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B2ABB">
      <w:pPr>
        <w:jc w:val="left"/>
        <w:rPr>
          <w:rFonts w:ascii="宋体" w:hAnsi="宋体"/>
          <w:b/>
          <w:sz w:val="48"/>
          <w:szCs w:val="48"/>
        </w:rPr>
      </w:pPr>
      <w:r>
        <w:rPr>
          <w:rFonts w:hint="eastAsia" w:ascii="仿宋" w:hAnsi="仿宋" w:eastAsia="仿宋" w:cs="仿宋"/>
          <w:b/>
          <w:sz w:val="28"/>
          <w:szCs w:val="28"/>
        </w:rPr>
        <w:drawing>
          <wp:inline distT="0" distB="0" distL="114300" distR="114300">
            <wp:extent cx="1499235" cy="1207135"/>
            <wp:effectExtent l="0" t="0" r="9525" b="12065"/>
            <wp:docPr id="3" name="图片 1"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标001jpg"/>
                    <pic:cNvPicPr>
                      <a:picLocks noChangeAspect="1"/>
                    </pic:cNvPicPr>
                  </pic:nvPicPr>
                  <pic:blipFill>
                    <a:blip r:embed="rId15"/>
                    <a:stretch>
                      <a:fillRect/>
                    </a:stretch>
                  </pic:blipFill>
                  <pic:spPr>
                    <a:xfrm>
                      <a:off x="0" y="0"/>
                      <a:ext cx="1499235" cy="1207135"/>
                    </a:xfrm>
                    <a:prstGeom prst="rect">
                      <a:avLst/>
                    </a:prstGeom>
                    <a:noFill/>
                    <a:ln>
                      <a:noFill/>
                    </a:ln>
                  </pic:spPr>
                </pic:pic>
              </a:graphicData>
            </a:graphic>
          </wp:inline>
        </w:drawing>
      </w:r>
    </w:p>
    <w:p w14:paraId="05AD635A">
      <w:pPr>
        <w:jc w:val="center"/>
        <w:rPr>
          <w:rFonts w:ascii="宋体" w:hAnsi="宋体"/>
          <w:b/>
          <w:sz w:val="48"/>
          <w:szCs w:val="48"/>
        </w:rPr>
      </w:pPr>
    </w:p>
    <w:p w14:paraId="344886E6">
      <w:pPr>
        <w:jc w:val="center"/>
        <w:rPr>
          <w:rFonts w:ascii="宋体" w:hAnsi="宋体"/>
          <w:b/>
          <w:sz w:val="48"/>
          <w:szCs w:val="48"/>
        </w:rPr>
      </w:pPr>
      <w:r>
        <w:rPr>
          <w:rFonts w:hint="eastAsia" w:ascii="宋体" w:hAnsi="宋体"/>
          <w:b/>
          <w:sz w:val="48"/>
          <w:szCs w:val="48"/>
          <w:lang w:eastAsia="zh-CN"/>
        </w:rPr>
        <w:t>新疆农业大学实习林场高空云台建设项目</w:t>
      </w:r>
    </w:p>
    <w:p w14:paraId="7A62111B">
      <w:pPr>
        <w:rPr>
          <w:rFonts w:ascii="宋体" w:hAnsi="宋体"/>
          <w:b/>
          <w:sz w:val="72"/>
          <w:szCs w:val="72"/>
        </w:rPr>
      </w:pPr>
    </w:p>
    <w:p w14:paraId="3BDDCF64">
      <w:pPr>
        <w:rPr>
          <w:rFonts w:ascii="宋体" w:hAnsi="宋体"/>
          <w:b/>
          <w:sz w:val="60"/>
          <w:szCs w:val="60"/>
        </w:rPr>
      </w:pPr>
    </w:p>
    <w:p w14:paraId="73882B6A">
      <w:pPr>
        <w:jc w:val="center"/>
        <w:rPr>
          <w:rFonts w:ascii="宋体" w:hAnsi="宋体"/>
          <w:b/>
          <w:spacing w:val="14"/>
          <w:sz w:val="32"/>
          <w:szCs w:val="32"/>
        </w:rPr>
      </w:pPr>
      <w:r>
        <w:rPr>
          <w:rFonts w:hint="eastAsia" w:ascii="宋体" w:hAnsi="宋体"/>
          <w:b/>
          <w:sz w:val="56"/>
          <w:szCs w:val="72"/>
        </w:rPr>
        <w:t>招标文件</w:t>
      </w:r>
    </w:p>
    <w:p w14:paraId="603D83C9">
      <w:pPr>
        <w:pStyle w:val="87"/>
        <w:spacing w:line="440" w:lineRule="exact"/>
        <w:jc w:val="center"/>
        <w:rPr>
          <w:rFonts w:ascii="宋体" w:hAnsi="宋体"/>
          <w:b/>
          <w:color w:val="auto"/>
          <w:spacing w:val="14"/>
          <w:kern w:val="2"/>
          <w:sz w:val="32"/>
          <w:szCs w:val="32"/>
        </w:rPr>
      </w:pPr>
    </w:p>
    <w:p w14:paraId="5B5867D3">
      <w:pPr>
        <w:pStyle w:val="87"/>
        <w:spacing w:line="440" w:lineRule="exact"/>
        <w:jc w:val="center"/>
        <w:rPr>
          <w:rFonts w:ascii="宋体" w:hAnsi="宋体"/>
          <w:b/>
          <w:color w:val="auto"/>
          <w:spacing w:val="14"/>
          <w:kern w:val="2"/>
          <w:sz w:val="32"/>
          <w:szCs w:val="32"/>
        </w:rPr>
      </w:pPr>
    </w:p>
    <w:p w14:paraId="28707796">
      <w:pPr>
        <w:widowControl/>
        <w:shd w:val="clear" w:color="auto" w:fill="FFFFFF"/>
        <w:snapToGrid w:val="0"/>
        <w:spacing w:line="480" w:lineRule="auto"/>
        <w:ind w:firstLine="562" w:firstLineChars="200"/>
        <w:rPr>
          <w:rFonts w:hint="eastAsia" w:ascii="宋体" w:hAnsi="宋体" w:eastAsia="宋体" w:cs="Arial"/>
          <w:b/>
          <w:sz w:val="28"/>
          <w:szCs w:val="28"/>
          <w:lang w:eastAsia="zh-CN"/>
        </w:rPr>
      </w:pPr>
      <w:r>
        <w:rPr>
          <w:rFonts w:hint="eastAsia" w:ascii="宋体" w:hAnsi="宋体" w:cs="Arial"/>
          <w:b/>
          <w:sz w:val="28"/>
          <w:szCs w:val="28"/>
        </w:rPr>
        <w:t>采购人（章）：</w:t>
      </w:r>
      <w:r>
        <w:rPr>
          <w:rFonts w:hint="eastAsia" w:ascii="宋体" w:hAnsi="宋体"/>
          <w:b/>
          <w:kern w:val="0"/>
          <w:sz w:val="28"/>
          <w:szCs w:val="28"/>
          <w:lang w:eastAsia="zh-CN"/>
        </w:rPr>
        <w:t>新疆农业大学实习林场</w:t>
      </w:r>
    </w:p>
    <w:p w14:paraId="780C9EFD">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法定代表人（章）：</w:t>
      </w:r>
      <w:r>
        <w:rPr>
          <w:rFonts w:ascii="宋体" w:hAnsi="宋体"/>
          <w:b/>
          <w:kern w:val="0"/>
          <w:sz w:val="28"/>
          <w:szCs w:val="28"/>
        </w:rPr>
        <w:t xml:space="preserve"> </w:t>
      </w:r>
    </w:p>
    <w:p w14:paraId="1FFB55E2">
      <w:pPr>
        <w:widowControl/>
        <w:shd w:val="clear" w:color="auto" w:fill="FFFFFF"/>
        <w:snapToGrid w:val="0"/>
        <w:spacing w:line="480" w:lineRule="auto"/>
        <w:ind w:firstLine="562" w:firstLineChars="200"/>
        <w:rPr>
          <w:rFonts w:hint="eastAsia" w:ascii="宋体" w:hAnsi="宋体" w:eastAsia="宋体"/>
          <w:b/>
          <w:kern w:val="0"/>
          <w:sz w:val="28"/>
          <w:szCs w:val="28"/>
          <w:lang w:eastAsia="zh-CN"/>
        </w:rPr>
      </w:pPr>
      <w:r>
        <w:rPr>
          <w:rFonts w:hint="eastAsia" w:ascii="宋体" w:hAnsi="宋体"/>
          <w:b/>
          <w:kern w:val="0"/>
          <w:sz w:val="28"/>
          <w:szCs w:val="28"/>
        </w:rPr>
        <w:t>联系人：</w:t>
      </w:r>
      <w:r>
        <w:rPr>
          <w:rFonts w:hint="eastAsia" w:ascii="宋体" w:hAnsi="宋体"/>
          <w:b/>
          <w:kern w:val="0"/>
          <w:sz w:val="28"/>
          <w:szCs w:val="28"/>
          <w:lang w:eastAsia="zh-CN"/>
        </w:rPr>
        <w:t>高玉德</w:t>
      </w:r>
    </w:p>
    <w:p w14:paraId="566F6C0A">
      <w:pPr>
        <w:widowControl/>
        <w:shd w:val="clear" w:color="auto" w:fill="FFFFFF"/>
        <w:snapToGrid w:val="0"/>
        <w:spacing w:line="480" w:lineRule="auto"/>
        <w:ind w:firstLine="562" w:firstLineChars="200"/>
        <w:rPr>
          <w:rFonts w:hint="eastAsia" w:ascii="宋体" w:hAnsi="宋体" w:eastAsia="宋体"/>
          <w:b/>
          <w:kern w:val="0"/>
          <w:sz w:val="28"/>
          <w:szCs w:val="28"/>
          <w:lang w:eastAsia="zh-CN"/>
        </w:rPr>
      </w:pPr>
      <w:r>
        <w:rPr>
          <w:rFonts w:hint="eastAsia" w:ascii="宋体" w:hAnsi="宋体"/>
          <w:b/>
          <w:kern w:val="0"/>
          <w:sz w:val="28"/>
          <w:szCs w:val="28"/>
        </w:rPr>
        <w:t>电话：</w:t>
      </w:r>
      <w:r>
        <w:rPr>
          <w:rFonts w:hint="eastAsia" w:ascii="宋体" w:hAnsi="宋体"/>
          <w:b/>
          <w:kern w:val="0"/>
          <w:sz w:val="28"/>
          <w:szCs w:val="28"/>
          <w:lang w:eastAsia="zh-CN"/>
        </w:rPr>
        <w:t>0991-8762293</w:t>
      </w:r>
    </w:p>
    <w:p w14:paraId="305F0B3E">
      <w:pPr>
        <w:spacing w:line="700" w:lineRule="exact"/>
        <w:ind w:firstLine="472"/>
        <w:rPr>
          <w:rFonts w:ascii="宋体" w:hAnsi="宋体"/>
          <w:b/>
          <w:kern w:val="0"/>
          <w:sz w:val="28"/>
          <w:szCs w:val="28"/>
        </w:rPr>
      </w:pPr>
      <w:r>
        <w:rPr>
          <w:rFonts w:hint="eastAsia" w:ascii="宋体" w:hAnsi="宋体"/>
          <w:b/>
          <w:kern w:val="0"/>
          <w:sz w:val="28"/>
          <w:szCs w:val="28"/>
        </w:rPr>
        <w:t>采购代理：新疆守正项目管理咨询有限公司</w:t>
      </w:r>
    </w:p>
    <w:p w14:paraId="703396B9">
      <w:pPr>
        <w:spacing w:line="700" w:lineRule="exact"/>
        <w:ind w:firstLine="472"/>
        <w:rPr>
          <w:rFonts w:ascii="宋体" w:hAnsi="宋体"/>
          <w:b/>
          <w:kern w:val="0"/>
          <w:sz w:val="28"/>
          <w:szCs w:val="28"/>
        </w:rPr>
      </w:pPr>
      <w:r>
        <w:rPr>
          <w:rFonts w:hint="eastAsia" w:ascii="宋体" w:hAnsi="宋体"/>
          <w:b/>
          <w:kern w:val="0"/>
          <w:sz w:val="28"/>
          <w:szCs w:val="28"/>
        </w:rPr>
        <w:t xml:space="preserve">法定代表人（签字或盖章） ： </w:t>
      </w:r>
    </w:p>
    <w:p w14:paraId="2A22C5E6">
      <w:pPr>
        <w:spacing w:line="700" w:lineRule="exact"/>
        <w:ind w:firstLine="472"/>
        <w:rPr>
          <w:rFonts w:ascii="宋体" w:hAnsi="宋体"/>
          <w:b/>
          <w:kern w:val="0"/>
          <w:sz w:val="28"/>
          <w:szCs w:val="28"/>
        </w:rPr>
      </w:pPr>
      <w:r>
        <w:rPr>
          <w:rFonts w:hint="eastAsia" w:ascii="宋体" w:hAnsi="宋体"/>
          <w:b/>
          <w:kern w:val="0"/>
          <w:sz w:val="28"/>
          <w:szCs w:val="28"/>
        </w:rPr>
        <w:t>联 系 人：邱奕霏、郑龙、陈旭文</w:t>
      </w:r>
    </w:p>
    <w:p w14:paraId="0BFA3BDA">
      <w:pPr>
        <w:spacing w:line="700" w:lineRule="exact"/>
        <w:ind w:firstLine="472"/>
        <w:rPr>
          <w:rFonts w:ascii="宋体" w:hAnsi="宋体"/>
          <w:b/>
          <w:kern w:val="0"/>
          <w:sz w:val="28"/>
          <w:szCs w:val="28"/>
        </w:rPr>
      </w:pPr>
      <w:r>
        <w:rPr>
          <w:rFonts w:hint="eastAsia" w:ascii="宋体" w:hAnsi="宋体"/>
          <w:b/>
          <w:kern w:val="0"/>
          <w:sz w:val="28"/>
          <w:szCs w:val="28"/>
        </w:rPr>
        <w:t>电    话：18599788578/18599788582</w:t>
      </w:r>
    </w:p>
    <w:p w14:paraId="6F185D44">
      <w:pPr>
        <w:autoSpaceDE w:val="0"/>
        <w:autoSpaceDN w:val="0"/>
        <w:adjustRightInd w:val="0"/>
        <w:spacing w:line="700" w:lineRule="exact"/>
        <w:ind w:firstLine="551" w:firstLineChars="196"/>
        <w:rPr>
          <w:rFonts w:ascii="宋体" w:hAnsi="宋体"/>
          <w:b/>
          <w:kern w:val="0"/>
          <w:sz w:val="28"/>
          <w:szCs w:val="28"/>
        </w:rPr>
      </w:pPr>
      <w:r>
        <w:rPr>
          <w:rFonts w:hint="eastAsia" w:ascii="宋体" w:hAnsi="宋体"/>
          <w:b/>
          <w:kern w:val="0"/>
          <w:sz w:val="28"/>
          <w:szCs w:val="28"/>
        </w:rPr>
        <w:t>联系地址：新疆乌鲁木齐高新区长春南路528号天康企业大厦3楼</w:t>
      </w:r>
    </w:p>
    <w:p w14:paraId="6BB8C508">
      <w:pPr>
        <w:pStyle w:val="19"/>
        <w:jc w:val="both"/>
        <w:rPr>
          <w:rFonts w:ascii="宋体" w:hAnsi="宋体" w:eastAsia="宋体"/>
        </w:rPr>
      </w:pPr>
    </w:p>
    <w:p w14:paraId="756B04ED">
      <w:pPr>
        <w:pStyle w:val="19"/>
        <w:rPr>
          <w:rFonts w:ascii="宋体" w:hAnsi="宋体" w:eastAsia="宋体"/>
        </w:rPr>
      </w:pPr>
      <w:r>
        <w:rPr>
          <w:rFonts w:ascii="宋体" w:hAnsi="宋体" w:eastAsia="宋体"/>
        </w:rPr>
        <w:br w:type="page"/>
      </w:r>
      <w:bookmarkStart w:id="0" w:name="_Toc92290550"/>
      <w:r>
        <w:rPr>
          <w:rFonts w:hint="eastAsia" w:ascii="宋体" w:hAnsi="宋体" w:eastAsia="宋体"/>
        </w:rPr>
        <w:t>目录</w:t>
      </w:r>
      <w:bookmarkEnd w:id="0"/>
    </w:p>
    <w:p w14:paraId="2FAA5493">
      <w:pPr>
        <w:pStyle w:val="21"/>
        <w:tabs>
          <w:tab w:val="right" w:leader="dot" w:pos="8789"/>
        </w:tabs>
        <w:spacing w:line="360" w:lineRule="auto"/>
        <w:ind w:right="420" w:rightChars="200"/>
        <w:rPr>
          <w:rFonts w:ascii="宋体" w:hAnsi="宋体"/>
          <w:sz w:val="28"/>
          <w:szCs w:val="28"/>
          <w:u w:val="single"/>
        </w:rPr>
      </w:pPr>
    </w:p>
    <w:p w14:paraId="054A2AFB">
      <w:pPr>
        <w:pStyle w:val="19"/>
        <w:tabs>
          <w:tab w:val="right" w:leader="dot" w:pos="9746"/>
          <w:tab w:val="clear" w:pos="9628"/>
        </w:tabs>
        <w:rPr>
          <w:rFonts w:ascii="宋体" w:hAnsi="宋体" w:eastAsia="宋体" w:cs="宋体"/>
          <w:sz w:val="28"/>
          <w:szCs w:val="28"/>
        </w:rPr>
      </w:pPr>
      <w:r>
        <w:rPr>
          <w:rFonts w:hint="eastAsia" w:ascii="宋体" w:hAnsi="宋体" w:eastAsia="宋体" w:cs="宋体"/>
          <w:b w:val="0"/>
          <w:sz w:val="28"/>
          <w:szCs w:val="28"/>
          <w:u w:val="single"/>
        </w:rPr>
        <w:fldChar w:fldCharType="begin"/>
      </w:r>
      <w:r>
        <w:rPr>
          <w:rFonts w:hint="eastAsia" w:ascii="宋体" w:hAnsi="宋体" w:eastAsia="宋体" w:cs="宋体"/>
          <w:b w:val="0"/>
          <w:sz w:val="28"/>
          <w:szCs w:val="28"/>
          <w:u w:val="single"/>
        </w:rPr>
        <w:instrText xml:space="preserve"> TOC \o "1-3" \h \z \u </w:instrText>
      </w:r>
      <w:r>
        <w:rPr>
          <w:rFonts w:hint="eastAsia" w:ascii="宋体" w:hAnsi="宋体" w:eastAsia="宋体" w:cs="宋体"/>
          <w:b w:val="0"/>
          <w:sz w:val="28"/>
          <w:szCs w:val="28"/>
          <w:u w:val="single"/>
        </w:rPr>
        <w:fldChar w:fldCharType="separate"/>
      </w:r>
      <w:r>
        <w:fldChar w:fldCharType="begin"/>
      </w:r>
      <w:r>
        <w:instrText xml:space="preserve"> HYPERLINK \l "_Toc12828" </w:instrText>
      </w:r>
      <w:r>
        <w:fldChar w:fldCharType="separate"/>
      </w:r>
      <w:r>
        <w:rPr>
          <w:rFonts w:hint="eastAsia" w:ascii="宋体" w:hAnsi="宋体" w:eastAsia="宋体" w:cs="宋体"/>
          <w:sz w:val="28"/>
          <w:szCs w:val="28"/>
        </w:rPr>
        <w:t>公开招标公告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_Toc12828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2A2F139">
      <w:pPr>
        <w:pStyle w:val="19"/>
        <w:tabs>
          <w:tab w:val="right" w:leader="dot" w:pos="9746"/>
          <w:tab w:val="clear" w:pos="9628"/>
        </w:tabs>
        <w:rPr>
          <w:rFonts w:ascii="宋体" w:hAnsi="宋体" w:eastAsia="宋体" w:cs="宋体"/>
          <w:sz w:val="28"/>
          <w:szCs w:val="28"/>
        </w:rPr>
      </w:pPr>
      <w:r>
        <w:fldChar w:fldCharType="begin"/>
      </w:r>
      <w:r>
        <w:instrText xml:space="preserve"> HYPERLINK \l "_Toc28474" </w:instrText>
      </w:r>
      <w:r>
        <w:fldChar w:fldCharType="separate"/>
      </w:r>
      <w:r>
        <w:rPr>
          <w:rFonts w:hint="eastAsia" w:ascii="宋体" w:hAnsi="宋体" w:eastAsia="宋体" w:cs="宋体"/>
          <w:sz w:val="28"/>
          <w:szCs w:val="28"/>
        </w:rPr>
        <w:t>第一部分 投标须知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_Toc28474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E333263">
      <w:pPr>
        <w:pStyle w:val="19"/>
        <w:tabs>
          <w:tab w:val="right" w:leader="dot" w:pos="9746"/>
          <w:tab w:val="clear" w:pos="9628"/>
        </w:tabs>
        <w:rPr>
          <w:rFonts w:ascii="宋体" w:hAnsi="宋体" w:eastAsia="宋体" w:cs="宋体"/>
          <w:sz w:val="28"/>
          <w:szCs w:val="28"/>
        </w:rPr>
      </w:pPr>
      <w:r>
        <w:fldChar w:fldCharType="begin"/>
      </w:r>
      <w:r>
        <w:instrText xml:space="preserve"> HYPERLINK \l "_Toc3402" </w:instrText>
      </w:r>
      <w:r>
        <w:fldChar w:fldCharType="separate"/>
      </w:r>
      <w:r>
        <w:rPr>
          <w:rFonts w:hint="eastAsia" w:ascii="宋体" w:hAnsi="宋体" w:eastAsia="宋体" w:cs="宋体"/>
          <w:sz w:val="28"/>
          <w:szCs w:val="28"/>
        </w:rPr>
        <w:t>第二部分 招标说明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_Toc3402 \h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8500CD4">
      <w:pPr>
        <w:pStyle w:val="21"/>
        <w:tabs>
          <w:tab w:val="right" w:leader="dot" w:pos="9746"/>
          <w:tab w:val="clear" w:pos="9628"/>
        </w:tabs>
        <w:rPr>
          <w:rFonts w:ascii="宋体" w:hAnsi="宋体" w:cs="宋体"/>
          <w:sz w:val="28"/>
          <w:szCs w:val="28"/>
        </w:rPr>
      </w:pPr>
      <w:r>
        <w:fldChar w:fldCharType="begin"/>
      </w:r>
      <w:r>
        <w:instrText xml:space="preserve"> HYPERLINK \l "_Toc27276" </w:instrText>
      </w:r>
      <w:r>
        <w:fldChar w:fldCharType="separate"/>
      </w:r>
      <w:r>
        <w:rPr>
          <w:rFonts w:hint="eastAsia" w:ascii="宋体" w:hAnsi="宋体" w:cs="宋体"/>
          <w:sz w:val="28"/>
          <w:szCs w:val="28"/>
        </w:rPr>
        <w:t>第一章 总则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_Toc27276 \h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1B7AAD21">
      <w:pPr>
        <w:pStyle w:val="21"/>
        <w:tabs>
          <w:tab w:val="right" w:leader="dot" w:pos="9746"/>
          <w:tab w:val="clear" w:pos="9628"/>
        </w:tabs>
        <w:rPr>
          <w:rFonts w:ascii="宋体" w:hAnsi="宋体" w:cs="宋体"/>
          <w:sz w:val="28"/>
          <w:szCs w:val="28"/>
        </w:rPr>
      </w:pPr>
      <w:r>
        <w:fldChar w:fldCharType="begin"/>
      </w:r>
      <w:r>
        <w:instrText xml:space="preserve"> HYPERLINK \l "_Toc17762" </w:instrText>
      </w:r>
      <w:r>
        <w:fldChar w:fldCharType="separate"/>
      </w:r>
      <w:r>
        <w:rPr>
          <w:rFonts w:hint="eastAsia" w:ascii="宋体" w:hAnsi="宋体" w:cs="宋体"/>
          <w:sz w:val="28"/>
          <w:szCs w:val="28"/>
        </w:rPr>
        <w:t>第二章 招标文件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_Toc17762 \h </w:instrText>
      </w:r>
      <w:r>
        <w:rPr>
          <w:rFonts w:hint="eastAsia" w:ascii="宋体" w:hAnsi="宋体" w:cs="宋体"/>
          <w:sz w:val="28"/>
          <w:szCs w:val="28"/>
        </w:rPr>
        <w:fldChar w:fldCharType="separate"/>
      </w:r>
      <w:r>
        <w:rPr>
          <w:rFonts w:hint="eastAsia" w:ascii="宋体" w:hAnsi="宋体" w:cs="宋体"/>
          <w:sz w:val="28"/>
          <w:szCs w:val="28"/>
        </w:rPr>
        <w:t>14</w:t>
      </w:r>
      <w:r>
        <w:rPr>
          <w:rFonts w:hint="eastAsia" w:ascii="宋体" w:hAnsi="宋体" w:cs="宋体"/>
          <w:sz w:val="28"/>
          <w:szCs w:val="28"/>
        </w:rPr>
        <w:fldChar w:fldCharType="end"/>
      </w:r>
      <w:r>
        <w:rPr>
          <w:rFonts w:hint="eastAsia" w:ascii="宋体" w:hAnsi="宋体" w:cs="宋体"/>
          <w:sz w:val="28"/>
          <w:szCs w:val="28"/>
        </w:rPr>
        <w:fldChar w:fldCharType="end"/>
      </w:r>
    </w:p>
    <w:p w14:paraId="4A53355B">
      <w:pPr>
        <w:pStyle w:val="19"/>
        <w:tabs>
          <w:tab w:val="right" w:leader="dot" w:pos="9746"/>
          <w:tab w:val="clear" w:pos="9628"/>
        </w:tabs>
        <w:rPr>
          <w:rFonts w:ascii="宋体" w:hAnsi="宋体" w:eastAsia="宋体" w:cs="宋体"/>
          <w:sz w:val="28"/>
          <w:szCs w:val="28"/>
        </w:rPr>
      </w:pPr>
      <w:r>
        <w:fldChar w:fldCharType="begin"/>
      </w:r>
      <w:r>
        <w:instrText xml:space="preserve"> HYPERLINK \l "_Toc21054" </w:instrText>
      </w:r>
      <w:r>
        <w:fldChar w:fldCharType="separate"/>
      </w:r>
      <w:r>
        <w:rPr>
          <w:rFonts w:hint="eastAsia" w:ascii="宋体" w:hAnsi="宋体" w:eastAsia="宋体" w:cs="宋体"/>
          <w:sz w:val="28"/>
          <w:szCs w:val="28"/>
        </w:rPr>
        <w:t>第三部分 投标说明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_Toc21054 \h </w:instrText>
      </w:r>
      <w:r>
        <w:rPr>
          <w:rFonts w:hint="eastAsia" w:ascii="宋体" w:hAnsi="宋体" w:eastAsia="宋体" w:cs="宋体"/>
          <w:sz w:val="28"/>
          <w:szCs w:val="28"/>
        </w:rPr>
        <w:fldChar w:fldCharType="separate"/>
      </w:r>
      <w:r>
        <w:rPr>
          <w:rFonts w:hint="eastAsia"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E2D0089">
      <w:pPr>
        <w:pStyle w:val="21"/>
        <w:tabs>
          <w:tab w:val="right" w:leader="dot" w:pos="9746"/>
          <w:tab w:val="clear" w:pos="9628"/>
        </w:tabs>
        <w:rPr>
          <w:rFonts w:ascii="宋体" w:hAnsi="宋体" w:cs="宋体"/>
          <w:sz w:val="28"/>
          <w:szCs w:val="28"/>
        </w:rPr>
      </w:pPr>
      <w:r>
        <w:fldChar w:fldCharType="begin"/>
      </w:r>
      <w:r>
        <w:instrText xml:space="preserve"> HYPERLINK \l "_Toc13313" </w:instrText>
      </w:r>
      <w:r>
        <w:fldChar w:fldCharType="separate"/>
      </w:r>
      <w:r>
        <w:rPr>
          <w:rFonts w:hint="eastAsia" w:ascii="宋体" w:hAnsi="宋体" w:cs="宋体"/>
          <w:sz w:val="28"/>
          <w:szCs w:val="28"/>
        </w:rPr>
        <w:t>第一章 对投标人的资质要求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_Toc13313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5EFEA097">
      <w:pPr>
        <w:pStyle w:val="21"/>
        <w:tabs>
          <w:tab w:val="right" w:leader="dot" w:pos="9746"/>
          <w:tab w:val="clear" w:pos="9628"/>
        </w:tabs>
        <w:rPr>
          <w:rFonts w:ascii="宋体" w:hAnsi="宋体" w:cs="宋体"/>
          <w:sz w:val="28"/>
          <w:szCs w:val="28"/>
        </w:rPr>
      </w:pPr>
      <w:r>
        <w:fldChar w:fldCharType="begin"/>
      </w:r>
      <w:r>
        <w:instrText xml:space="preserve"> HYPERLINK \l "_Toc5218" </w:instrText>
      </w:r>
      <w:r>
        <w:fldChar w:fldCharType="separate"/>
      </w:r>
      <w:r>
        <w:rPr>
          <w:rFonts w:hint="eastAsia" w:ascii="宋体" w:hAnsi="宋体" w:cs="宋体"/>
          <w:sz w:val="28"/>
          <w:szCs w:val="28"/>
        </w:rPr>
        <w:t>第二章 投标文件的编写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_Toc5218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2F74DB5A">
      <w:pPr>
        <w:pStyle w:val="21"/>
        <w:tabs>
          <w:tab w:val="right" w:leader="dot" w:pos="9746"/>
          <w:tab w:val="clear" w:pos="9628"/>
        </w:tabs>
        <w:rPr>
          <w:rFonts w:ascii="宋体" w:hAnsi="宋体" w:cs="宋体"/>
          <w:sz w:val="28"/>
          <w:szCs w:val="28"/>
        </w:rPr>
      </w:pPr>
      <w:r>
        <w:fldChar w:fldCharType="begin"/>
      </w:r>
      <w:r>
        <w:instrText xml:space="preserve"> HYPERLINK \l "_Toc17974" </w:instrText>
      </w:r>
      <w:r>
        <w:fldChar w:fldCharType="separate"/>
      </w:r>
      <w:r>
        <w:rPr>
          <w:rFonts w:hint="eastAsia" w:ascii="宋体" w:hAnsi="宋体" w:cs="宋体"/>
          <w:sz w:val="28"/>
          <w:szCs w:val="28"/>
        </w:rPr>
        <w:t>第三章 投标文件的递交</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_Toc17974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14:paraId="1C226F41">
      <w:pPr>
        <w:pStyle w:val="21"/>
        <w:tabs>
          <w:tab w:val="right" w:leader="dot" w:pos="9746"/>
          <w:tab w:val="clear" w:pos="9628"/>
        </w:tabs>
        <w:rPr>
          <w:rFonts w:ascii="宋体" w:hAnsi="宋体" w:cs="宋体"/>
          <w:sz w:val="28"/>
          <w:szCs w:val="28"/>
        </w:rPr>
      </w:pPr>
      <w:r>
        <w:fldChar w:fldCharType="begin"/>
      </w:r>
      <w:r>
        <w:instrText xml:space="preserve"> HYPERLINK \l "_Toc19458" </w:instrText>
      </w:r>
      <w:r>
        <w:fldChar w:fldCharType="separate"/>
      </w:r>
      <w:r>
        <w:rPr>
          <w:rFonts w:hint="eastAsia" w:ascii="宋体" w:hAnsi="宋体" w:cs="宋体"/>
          <w:sz w:val="28"/>
          <w:szCs w:val="28"/>
        </w:rPr>
        <w:t>第四章 评标委员会</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_Toc19458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6CA181F8">
      <w:pPr>
        <w:pStyle w:val="21"/>
        <w:tabs>
          <w:tab w:val="right" w:leader="dot" w:pos="9746"/>
          <w:tab w:val="clear" w:pos="9628"/>
        </w:tabs>
        <w:rPr>
          <w:rFonts w:ascii="宋体" w:hAnsi="宋体" w:cs="宋体"/>
          <w:sz w:val="28"/>
          <w:szCs w:val="28"/>
        </w:rPr>
      </w:pPr>
      <w:r>
        <w:fldChar w:fldCharType="begin"/>
      </w:r>
      <w:r>
        <w:instrText xml:space="preserve"> HYPERLINK \l "_Toc27696" </w:instrText>
      </w:r>
      <w:r>
        <w:fldChar w:fldCharType="separate"/>
      </w:r>
      <w:r>
        <w:rPr>
          <w:rFonts w:hint="eastAsia" w:ascii="宋体" w:hAnsi="宋体" w:cs="宋体"/>
          <w:sz w:val="28"/>
          <w:szCs w:val="28"/>
        </w:rPr>
        <w:t>第五章 开　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_Toc27696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1419042B">
      <w:pPr>
        <w:pStyle w:val="21"/>
        <w:tabs>
          <w:tab w:val="right" w:leader="dot" w:pos="9746"/>
          <w:tab w:val="clear" w:pos="9628"/>
        </w:tabs>
        <w:rPr>
          <w:rFonts w:ascii="宋体" w:hAnsi="宋体" w:cs="宋体"/>
          <w:sz w:val="28"/>
          <w:szCs w:val="28"/>
        </w:rPr>
      </w:pPr>
      <w:r>
        <w:fldChar w:fldCharType="begin"/>
      </w:r>
      <w:r>
        <w:instrText xml:space="preserve"> HYPERLINK \l "_Toc11426" </w:instrText>
      </w:r>
      <w:r>
        <w:fldChar w:fldCharType="separate"/>
      </w:r>
      <w:r>
        <w:rPr>
          <w:rFonts w:hint="eastAsia" w:ascii="宋体" w:hAnsi="宋体" w:cs="宋体"/>
          <w:bCs/>
          <w:sz w:val="28"/>
          <w:szCs w:val="28"/>
        </w:rPr>
        <w:t>第六章 评　标</w:t>
      </w:r>
      <w:r>
        <w:rPr>
          <w:rFonts w:hint="eastAsia" w:ascii="宋体" w:hAnsi="宋体" w:cs="宋体"/>
          <w:sz w:val="28"/>
          <w:szCs w:val="28"/>
        </w:rPr>
        <w:tab/>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u w:val="single"/>
        </w:rPr>
        <w:t>3</w:t>
      </w:r>
    </w:p>
    <w:p w14:paraId="45B3AD45">
      <w:pPr>
        <w:pStyle w:val="21"/>
        <w:tabs>
          <w:tab w:val="right" w:leader="dot" w:pos="9746"/>
          <w:tab w:val="clear" w:pos="9628"/>
        </w:tabs>
        <w:rPr>
          <w:rFonts w:ascii="宋体" w:hAnsi="宋体" w:cs="宋体"/>
          <w:sz w:val="28"/>
          <w:szCs w:val="28"/>
        </w:rPr>
      </w:pPr>
      <w:r>
        <w:fldChar w:fldCharType="begin"/>
      </w:r>
      <w:r>
        <w:instrText xml:space="preserve"> HYPERLINK \l "_Toc10059" </w:instrText>
      </w:r>
      <w:r>
        <w:fldChar w:fldCharType="separate"/>
      </w:r>
      <w:r>
        <w:rPr>
          <w:rFonts w:hint="eastAsia" w:ascii="宋体" w:hAnsi="宋体" w:cs="宋体"/>
          <w:sz w:val="28"/>
          <w:szCs w:val="28"/>
        </w:rPr>
        <w:t>第七章 定　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_Toc10059 \h </w:instrText>
      </w:r>
      <w:r>
        <w:rPr>
          <w:rFonts w:hint="eastAsia" w:ascii="宋体" w:hAnsi="宋体" w:cs="宋体"/>
          <w:sz w:val="28"/>
          <w:szCs w:val="28"/>
        </w:rPr>
        <w:fldChar w:fldCharType="separate"/>
      </w:r>
      <w:r>
        <w:rPr>
          <w:rFonts w:hint="eastAsia" w:ascii="宋体" w:hAnsi="宋体" w:cs="宋体"/>
          <w:sz w:val="28"/>
          <w:szCs w:val="28"/>
        </w:rPr>
        <w:t>27</w:t>
      </w:r>
      <w:r>
        <w:rPr>
          <w:rFonts w:hint="eastAsia" w:ascii="宋体" w:hAnsi="宋体" w:cs="宋体"/>
          <w:sz w:val="28"/>
          <w:szCs w:val="28"/>
        </w:rPr>
        <w:fldChar w:fldCharType="end"/>
      </w:r>
      <w:r>
        <w:rPr>
          <w:rFonts w:hint="eastAsia" w:ascii="宋体" w:hAnsi="宋体" w:cs="宋体"/>
          <w:sz w:val="28"/>
          <w:szCs w:val="28"/>
        </w:rPr>
        <w:fldChar w:fldCharType="end"/>
      </w:r>
    </w:p>
    <w:p w14:paraId="58239512">
      <w:pPr>
        <w:pStyle w:val="21"/>
        <w:tabs>
          <w:tab w:val="right" w:leader="dot" w:pos="9746"/>
          <w:tab w:val="clear" w:pos="9628"/>
        </w:tabs>
        <w:rPr>
          <w:rFonts w:ascii="宋体" w:hAnsi="宋体" w:cs="宋体"/>
          <w:sz w:val="28"/>
          <w:szCs w:val="28"/>
        </w:rPr>
      </w:pPr>
      <w:r>
        <w:fldChar w:fldCharType="begin"/>
      </w:r>
      <w:r>
        <w:instrText xml:space="preserve"> HYPERLINK \l "_Toc26243" </w:instrText>
      </w:r>
      <w:r>
        <w:fldChar w:fldCharType="separate"/>
      </w:r>
      <w:r>
        <w:rPr>
          <w:rFonts w:hint="eastAsia" w:ascii="宋体" w:hAnsi="宋体" w:cs="宋体"/>
          <w:sz w:val="28"/>
          <w:szCs w:val="28"/>
        </w:rPr>
        <w:t>第八章 授予合同</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_Toc26243 \h </w:instrText>
      </w:r>
      <w:r>
        <w:rPr>
          <w:rFonts w:hint="eastAsia" w:ascii="宋体" w:hAnsi="宋体" w:cs="宋体"/>
          <w:sz w:val="28"/>
          <w:szCs w:val="28"/>
        </w:rPr>
        <w:fldChar w:fldCharType="separate"/>
      </w:r>
      <w:r>
        <w:rPr>
          <w:rFonts w:hint="eastAsia" w:ascii="宋体" w:hAnsi="宋体" w:cs="宋体"/>
          <w:sz w:val="28"/>
          <w:szCs w:val="28"/>
        </w:rPr>
        <w:t>28</w:t>
      </w:r>
      <w:r>
        <w:rPr>
          <w:rFonts w:hint="eastAsia" w:ascii="宋体" w:hAnsi="宋体" w:cs="宋体"/>
          <w:sz w:val="28"/>
          <w:szCs w:val="28"/>
        </w:rPr>
        <w:fldChar w:fldCharType="end"/>
      </w:r>
      <w:r>
        <w:rPr>
          <w:rFonts w:hint="eastAsia" w:ascii="宋体" w:hAnsi="宋体" w:cs="宋体"/>
          <w:sz w:val="28"/>
          <w:szCs w:val="28"/>
        </w:rPr>
        <w:fldChar w:fldCharType="end"/>
      </w:r>
    </w:p>
    <w:p w14:paraId="548A666F">
      <w:pPr>
        <w:pStyle w:val="19"/>
        <w:tabs>
          <w:tab w:val="right" w:leader="dot" w:pos="9746"/>
          <w:tab w:val="clear" w:pos="9628"/>
        </w:tabs>
        <w:rPr>
          <w:rFonts w:ascii="宋体" w:hAnsi="宋体" w:eastAsia="宋体" w:cs="宋体"/>
          <w:sz w:val="28"/>
          <w:szCs w:val="28"/>
        </w:rPr>
      </w:pPr>
      <w:r>
        <w:fldChar w:fldCharType="begin"/>
      </w:r>
      <w:r>
        <w:instrText xml:space="preserve"> HYPERLINK \l "_Toc12723" </w:instrText>
      </w:r>
      <w:r>
        <w:fldChar w:fldCharType="separate"/>
      </w:r>
      <w:r>
        <w:rPr>
          <w:rFonts w:hint="eastAsia" w:ascii="宋体" w:hAnsi="宋体" w:eastAsia="宋体" w:cs="宋体"/>
          <w:sz w:val="28"/>
          <w:szCs w:val="28"/>
        </w:rPr>
        <w:t>第四部分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_Toc12723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8D18FC2">
      <w:pPr>
        <w:pStyle w:val="19"/>
        <w:tabs>
          <w:tab w:val="right" w:leader="dot" w:pos="9746"/>
          <w:tab w:val="clear" w:pos="9628"/>
        </w:tabs>
        <w:rPr>
          <w:rFonts w:ascii="宋体" w:hAnsi="宋体" w:eastAsia="宋体" w:cs="宋体"/>
          <w:sz w:val="28"/>
          <w:szCs w:val="28"/>
        </w:rPr>
      </w:pPr>
      <w:r>
        <w:fldChar w:fldCharType="begin"/>
      </w:r>
      <w:r>
        <w:instrText xml:space="preserve"> HYPERLINK \l "_Toc26316" </w:instrText>
      </w:r>
      <w:r>
        <w:fldChar w:fldCharType="separate"/>
      </w:r>
      <w:r>
        <w:rPr>
          <w:rFonts w:hint="eastAsia" w:ascii="宋体" w:hAnsi="宋体" w:eastAsia="宋体" w:cs="宋体"/>
          <w:sz w:val="28"/>
          <w:szCs w:val="28"/>
        </w:rPr>
        <w:t>第五部分 合同部分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_Toc26316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1D37161">
      <w:pPr>
        <w:pStyle w:val="21"/>
        <w:tabs>
          <w:tab w:val="right" w:leader="dot" w:pos="9746"/>
          <w:tab w:val="clear" w:pos="9628"/>
        </w:tabs>
        <w:rPr>
          <w:rFonts w:ascii="宋体" w:hAnsi="宋体" w:cs="宋体"/>
          <w:sz w:val="28"/>
          <w:szCs w:val="28"/>
        </w:rPr>
      </w:pPr>
      <w:r>
        <w:fldChar w:fldCharType="begin"/>
      </w:r>
      <w:r>
        <w:instrText xml:space="preserve"> HYPERLINK \l "_Toc24629" </w:instrText>
      </w:r>
      <w:r>
        <w:fldChar w:fldCharType="separate"/>
      </w:r>
      <w:r>
        <w:rPr>
          <w:rFonts w:hint="eastAsia" w:ascii="宋体" w:hAnsi="宋体" w:cs="宋体"/>
          <w:sz w:val="28"/>
          <w:szCs w:val="28"/>
        </w:rPr>
        <w:t>第一部分 合同书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_Toc24629 \h </w:instrText>
      </w:r>
      <w:r>
        <w:rPr>
          <w:rFonts w:hint="eastAsia" w:ascii="宋体" w:hAnsi="宋体" w:cs="宋体"/>
          <w:sz w:val="28"/>
          <w:szCs w:val="28"/>
        </w:rPr>
        <w:fldChar w:fldCharType="separate"/>
      </w:r>
      <w:r>
        <w:rPr>
          <w:rFonts w:hint="eastAsia" w:ascii="宋体" w:hAnsi="宋体" w:cs="宋体"/>
          <w:sz w:val="28"/>
          <w:szCs w:val="28"/>
        </w:rPr>
        <w:t>41</w:t>
      </w:r>
      <w:r>
        <w:rPr>
          <w:rFonts w:hint="eastAsia" w:ascii="宋体" w:hAnsi="宋体" w:cs="宋体"/>
          <w:sz w:val="28"/>
          <w:szCs w:val="28"/>
        </w:rPr>
        <w:fldChar w:fldCharType="end"/>
      </w:r>
      <w:r>
        <w:rPr>
          <w:rFonts w:hint="eastAsia" w:ascii="宋体" w:hAnsi="宋体" w:cs="宋体"/>
          <w:sz w:val="28"/>
          <w:szCs w:val="28"/>
        </w:rPr>
        <w:fldChar w:fldCharType="end"/>
      </w:r>
    </w:p>
    <w:p w14:paraId="5BBE1DFC">
      <w:pPr>
        <w:pStyle w:val="21"/>
        <w:tabs>
          <w:tab w:val="right" w:leader="dot" w:pos="9746"/>
          <w:tab w:val="clear" w:pos="9628"/>
        </w:tabs>
        <w:rPr>
          <w:rFonts w:ascii="宋体" w:hAnsi="宋体" w:cs="宋体"/>
          <w:sz w:val="28"/>
          <w:szCs w:val="28"/>
        </w:rPr>
      </w:pPr>
      <w:r>
        <w:fldChar w:fldCharType="begin"/>
      </w:r>
      <w:r>
        <w:instrText xml:space="preserve"> HYPERLINK \l "_Toc20973" </w:instrText>
      </w:r>
      <w:r>
        <w:fldChar w:fldCharType="separate"/>
      </w:r>
      <w:r>
        <w:rPr>
          <w:rFonts w:hint="eastAsia" w:ascii="宋体" w:hAnsi="宋体" w:cs="宋体"/>
          <w:sz w:val="28"/>
          <w:szCs w:val="28"/>
        </w:rPr>
        <w:t>第二部分 合同一般条款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_Toc20973 \h </w:instrText>
      </w:r>
      <w:r>
        <w:rPr>
          <w:rFonts w:hint="eastAsia" w:ascii="宋体" w:hAnsi="宋体" w:cs="宋体"/>
          <w:sz w:val="28"/>
          <w:szCs w:val="28"/>
        </w:rPr>
        <w:fldChar w:fldCharType="separate"/>
      </w:r>
      <w:r>
        <w:rPr>
          <w:rFonts w:hint="eastAsia" w:ascii="宋体" w:hAnsi="宋体" w:cs="宋体"/>
          <w:sz w:val="28"/>
          <w:szCs w:val="28"/>
        </w:rPr>
        <w:t>45</w:t>
      </w:r>
      <w:r>
        <w:rPr>
          <w:rFonts w:hint="eastAsia" w:ascii="宋体" w:hAnsi="宋体" w:cs="宋体"/>
          <w:sz w:val="28"/>
          <w:szCs w:val="28"/>
        </w:rPr>
        <w:fldChar w:fldCharType="end"/>
      </w:r>
      <w:r>
        <w:rPr>
          <w:rFonts w:hint="eastAsia" w:ascii="宋体" w:hAnsi="宋体" w:cs="宋体"/>
          <w:sz w:val="28"/>
          <w:szCs w:val="28"/>
        </w:rPr>
        <w:fldChar w:fldCharType="end"/>
      </w:r>
    </w:p>
    <w:p w14:paraId="5DAFBB39">
      <w:pPr>
        <w:pStyle w:val="19"/>
        <w:tabs>
          <w:tab w:val="right" w:leader="dot" w:pos="9746"/>
          <w:tab w:val="clear" w:pos="9628"/>
        </w:tabs>
        <w:rPr>
          <w:rFonts w:ascii="宋体" w:hAnsi="宋体" w:eastAsia="宋体" w:cs="宋体"/>
          <w:sz w:val="28"/>
          <w:szCs w:val="28"/>
        </w:rPr>
      </w:pPr>
      <w:r>
        <w:fldChar w:fldCharType="begin"/>
      </w:r>
      <w:r>
        <w:instrText xml:space="preserve"> HYPERLINK \l "_Toc18393" </w:instrText>
      </w:r>
      <w:r>
        <w:fldChar w:fldCharType="separate"/>
      </w:r>
      <w:r>
        <w:rPr>
          <w:rFonts w:hint="eastAsia" w:ascii="宋体" w:hAnsi="宋体" w:eastAsia="宋体" w:cs="宋体"/>
          <w:sz w:val="28"/>
          <w:szCs w:val="28"/>
        </w:rPr>
        <w:t>第六部分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_Toc18393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DA1B3C2">
      <w:pPr>
        <w:pStyle w:val="21"/>
        <w:tabs>
          <w:tab w:val="right" w:leader="dot" w:pos="8789"/>
          <w:tab w:val="clear" w:pos="9628"/>
        </w:tabs>
        <w:spacing w:line="360" w:lineRule="auto"/>
        <w:ind w:left="0" w:leftChars="0" w:right="420" w:rightChars="200"/>
        <w:rPr>
          <w:rFonts w:ascii="宋体" w:hAnsi="宋体"/>
          <w:sz w:val="24"/>
          <w:szCs w:val="24"/>
          <w:u w:val="single"/>
        </w:rPr>
      </w:pPr>
      <w:r>
        <w:rPr>
          <w:rFonts w:hint="eastAsia" w:ascii="宋体" w:hAnsi="宋体" w:cs="宋体"/>
          <w:sz w:val="28"/>
          <w:szCs w:val="28"/>
          <w:u w:val="single"/>
        </w:rPr>
        <w:fldChar w:fldCharType="end"/>
      </w:r>
    </w:p>
    <w:p w14:paraId="09FE9473">
      <w:pPr>
        <w:pStyle w:val="21"/>
        <w:tabs>
          <w:tab w:val="right" w:leader="dot" w:pos="8789"/>
          <w:tab w:val="clear" w:pos="9628"/>
        </w:tabs>
        <w:spacing w:line="360" w:lineRule="auto"/>
        <w:ind w:left="0" w:leftChars="0" w:right="420" w:rightChars="200"/>
        <w:jc w:val="center"/>
        <w:rPr>
          <w:b/>
          <w:sz w:val="24"/>
        </w:rPr>
      </w:pPr>
    </w:p>
    <w:p w14:paraId="6BF8D1B6"/>
    <w:p w14:paraId="2F1993F6"/>
    <w:p w14:paraId="0B6C1657">
      <w:pPr>
        <w:tabs>
          <w:tab w:val="left" w:pos="3373"/>
        </w:tabs>
        <w:jc w:val="left"/>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rPr>
        <w:tab/>
      </w:r>
    </w:p>
    <w:p w14:paraId="6030F5CA">
      <w:pPr>
        <w:pStyle w:val="21"/>
        <w:tabs>
          <w:tab w:val="right" w:leader="dot" w:pos="8789"/>
          <w:tab w:val="clear" w:pos="9628"/>
        </w:tabs>
        <w:spacing w:line="360" w:lineRule="auto"/>
        <w:ind w:left="0" w:leftChars="0" w:right="420" w:rightChars="200"/>
        <w:jc w:val="center"/>
        <w:rPr>
          <w:b/>
          <w:sz w:val="24"/>
        </w:rPr>
      </w:pPr>
      <w:r>
        <w:rPr>
          <w:rFonts w:hint="eastAsia"/>
          <w:b/>
          <w:sz w:val="24"/>
          <w:lang w:eastAsia="zh-CN"/>
        </w:rPr>
        <w:t>新疆农业大学实习林场高空云台建设项目</w:t>
      </w:r>
    </w:p>
    <w:p w14:paraId="1A134FA4">
      <w:pPr>
        <w:jc w:val="center"/>
        <w:outlineLvl w:val="0"/>
        <w:rPr>
          <w:b/>
        </w:rPr>
      </w:pPr>
      <w:bookmarkStart w:id="1" w:name="_Toc12828"/>
      <w:r>
        <w:rPr>
          <w:rFonts w:hint="eastAsia"/>
          <w:b/>
          <w:sz w:val="24"/>
        </w:rPr>
        <w:t>公开招标</w:t>
      </w:r>
      <w:r>
        <w:rPr>
          <w:b/>
          <w:sz w:val="24"/>
        </w:rPr>
        <w:t>公告</w:t>
      </w:r>
      <w:bookmarkEnd w:id="1"/>
    </w:p>
    <w:p w14:paraId="37254472">
      <w:pPr>
        <w:widowControl/>
        <w:spacing w:before="60" w:after="60" w:line="350" w:lineRule="exact"/>
        <w:jc w:val="left"/>
        <w:rPr>
          <w:rFonts w:ascii="宋体" w:hAnsi="宋体" w:cs="Arial"/>
          <w:kern w:val="0"/>
          <w:sz w:val="24"/>
          <w:szCs w:val="24"/>
        </w:rPr>
      </w:pPr>
      <w:r>
        <w:rPr>
          <w:rFonts w:ascii="宋体" w:hAnsi="宋体" w:cs="Arial"/>
          <w:kern w:val="0"/>
          <w:sz w:val="24"/>
          <w:szCs w:val="24"/>
        </w:rPr>
        <w:t>项目概况</w:t>
      </w:r>
    </w:p>
    <w:p w14:paraId="7B459B0D">
      <w:pPr>
        <w:widowControl/>
        <w:spacing w:before="60" w:after="60" w:line="350" w:lineRule="exact"/>
        <w:ind w:firstLine="480" w:firstLineChars="200"/>
        <w:jc w:val="left"/>
        <w:rPr>
          <w:rFonts w:ascii="宋体" w:hAnsi="宋体" w:cs="Arial"/>
          <w:kern w:val="0"/>
          <w:sz w:val="24"/>
          <w:szCs w:val="24"/>
        </w:rPr>
      </w:pPr>
      <w:r>
        <w:rPr>
          <w:rFonts w:hint="eastAsia" w:ascii="宋体" w:hAnsi="宋体" w:cs="Arial"/>
          <w:kern w:val="0"/>
          <w:sz w:val="24"/>
          <w:szCs w:val="24"/>
          <w:lang w:eastAsia="zh-CN"/>
        </w:rPr>
        <w:t>新疆农业大学实习林场高空云台建设项目</w:t>
      </w:r>
      <w:r>
        <w:rPr>
          <w:rFonts w:ascii="宋体" w:hAnsi="宋体" w:cs="Arial"/>
          <w:kern w:val="0"/>
          <w:sz w:val="24"/>
          <w:szCs w:val="24"/>
        </w:rPr>
        <w:t>的潜在投标人应在</w:t>
      </w:r>
      <w:r>
        <w:rPr>
          <w:rStyle w:val="101"/>
          <w:rFonts w:hint="eastAsia" w:ascii="宋体" w:hAnsi="宋体" w:cs="Arial"/>
          <w:sz w:val="24"/>
          <w:szCs w:val="24"/>
        </w:rPr>
        <w:t>政采云平台http://www.zcygov.cn/获取招标文件</w:t>
      </w:r>
      <w:r>
        <w:rPr>
          <w:rFonts w:ascii="宋体" w:hAnsi="宋体" w:cs="Arial"/>
          <w:kern w:val="0"/>
          <w:sz w:val="24"/>
          <w:szCs w:val="24"/>
        </w:rPr>
        <w:t>，并于</w:t>
      </w:r>
      <w:r>
        <w:rPr>
          <w:rFonts w:hint="eastAsia" w:ascii="宋体" w:hAnsi="宋体" w:cs="Arial"/>
          <w:kern w:val="0"/>
          <w:sz w:val="24"/>
          <w:szCs w:val="24"/>
          <w:lang w:eastAsia="zh-CN"/>
        </w:rPr>
        <w:t>2026年08月05日</w:t>
      </w:r>
      <w:r>
        <w:rPr>
          <w:rFonts w:ascii="宋体" w:hAnsi="宋体" w:cs="Arial"/>
          <w:kern w:val="0"/>
          <w:sz w:val="24"/>
          <w:szCs w:val="24"/>
        </w:rPr>
        <w:t>11:00（北京时间）前递交投标文件。</w:t>
      </w:r>
    </w:p>
    <w:p w14:paraId="372AD10E">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一、项目基本情况</w:t>
      </w:r>
    </w:p>
    <w:p w14:paraId="512BFF64">
      <w:pPr>
        <w:widowControl/>
        <w:spacing w:before="60" w:after="60"/>
        <w:ind w:firstLine="480"/>
        <w:jc w:val="left"/>
        <w:rPr>
          <w:rFonts w:ascii="宋体" w:hAnsi="宋体" w:cs="Arial"/>
          <w:kern w:val="0"/>
          <w:sz w:val="24"/>
          <w:szCs w:val="24"/>
        </w:rPr>
      </w:pPr>
      <w:r>
        <w:rPr>
          <w:rFonts w:hint="eastAsia" w:ascii="宋体" w:hAnsi="宋体" w:cs="Arial"/>
          <w:kern w:val="0"/>
          <w:sz w:val="24"/>
          <w:szCs w:val="24"/>
        </w:rPr>
        <w:t>招标方式: 公开招标</w:t>
      </w:r>
    </w:p>
    <w:p w14:paraId="0F005865">
      <w:pPr>
        <w:widowControl/>
        <w:spacing w:before="60" w:after="60"/>
        <w:ind w:firstLine="480"/>
        <w:jc w:val="left"/>
        <w:rPr>
          <w:rFonts w:hint="eastAsia" w:ascii="宋体" w:hAnsi="宋体" w:eastAsia="宋体" w:cs="Arial"/>
          <w:kern w:val="0"/>
          <w:sz w:val="24"/>
          <w:szCs w:val="24"/>
          <w:lang w:eastAsia="zh-CN"/>
        </w:rPr>
      </w:pPr>
      <w:r>
        <w:rPr>
          <w:rFonts w:ascii="宋体" w:hAnsi="宋体" w:cs="Arial"/>
          <w:kern w:val="0"/>
          <w:sz w:val="24"/>
          <w:szCs w:val="24"/>
        </w:rPr>
        <w:t>项目编号：</w:t>
      </w:r>
      <w:r>
        <w:rPr>
          <w:rFonts w:hint="eastAsia" w:ascii="宋体" w:hAnsi="宋体" w:cs="Arial"/>
          <w:kern w:val="0"/>
          <w:sz w:val="24"/>
          <w:szCs w:val="24"/>
          <w:lang w:eastAsia="zh-CN"/>
        </w:rPr>
        <w:t>XJSZG2026-183</w:t>
      </w:r>
    </w:p>
    <w:p w14:paraId="3643F313">
      <w:pPr>
        <w:widowControl/>
        <w:spacing w:before="60" w:after="60"/>
        <w:ind w:firstLine="480"/>
        <w:jc w:val="left"/>
        <w:rPr>
          <w:rFonts w:ascii="宋体" w:hAnsi="宋体" w:cs="Arial"/>
          <w:kern w:val="0"/>
          <w:sz w:val="24"/>
          <w:szCs w:val="24"/>
        </w:rPr>
      </w:pPr>
      <w:r>
        <w:rPr>
          <w:rFonts w:ascii="宋体" w:hAnsi="宋体" w:cs="Arial"/>
          <w:kern w:val="0"/>
          <w:sz w:val="24"/>
          <w:szCs w:val="24"/>
        </w:rPr>
        <w:t>项目名称：</w:t>
      </w:r>
      <w:r>
        <w:rPr>
          <w:rFonts w:hint="eastAsia" w:ascii="宋体" w:hAnsi="宋体" w:cs="Arial"/>
          <w:kern w:val="0"/>
          <w:sz w:val="24"/>
          <w:szCs w:val="24"/>
          <w:lang w:eastAsia="zh-CN"/>
        </w:rPr>
        <w:t>新疆农业大学实习林场高空云台建设项目</w:t>
      </w:r>
    </w:p>
    <w:p w14:paraId="78B9E050">
      <w:pPr>
        <w:widowControl/>
        <w:spacing w:before="60" w:after="60"/>
        <w:ind w:firstLine="480"/>
        <w:jc w:val="left"/>
        <w:rPr>
          <w:rFonts w:ascii="宋体" w:hAnsi="宋体" w:cs="Arial"/>
          <w:kern w:val="0"/>
          <w:sz w:val="24"/>
          <w:szCs w:val="24"/>
        </w:rPr>
      </w:pPr>
      <w:r>
        <w:rPr>
          <w:rFonts w:ascii="宋体" w:hAnsi="宋体" w:cs="Arial"/>
          <w:kern w:val="0"/>
          <w:sz w:val="24"/>
          <w:szCs w:val="24"/>
        </w:rPr>
        <w:t>预算金额（元）：</w:t>
      </w:r>
      <w:r>
        <w:rPr>
          <w:rFonts w:hint="eastAsia" w:ascii="宋体" w:hAnsi="宋体" w:cs="Arial"/>
          <w:kern w:val="0"/>
          <w:sz w:val="24"/>
          <w:szCs w:val="24"/>
          <w:lang w:eastAsia="zh-CN"/>
        </w:rPr>
        <w:t>1148600.00</w:t>
      </w:r>
      <w:r>
        <w:rPr>
          <w:rFonts w:hint="eastAsia" w:ascii="宋体" w:hAnsi="宋体" w:cs="Arial"/>
          <w:kern w:val="0"/>
          <w:sz w:val="24"/>
          <w:szCs w:val="24"/>
        </w:rPr>
        <w:t>元</w:t>
      </w:r>
    </w:p>
    <w:p w14:paraId="29DBDF93">
      <w:pPr>
        <w:widowControl/>
        <w:spacing w:before="60" w:after="60"/>
        <w:ind w:firstLine="480"/>
        <w:jc w:val="left"/>
        <w:rPr>
          <w:rFonts w:ascii="宋体" w:hAnsi="宋体" w:cs="Arial"/>
          <w:kern w:val="0"/>
          <w:sz w:val="24"/>
          <w:szCs w:val="24"/>
        </w:rPr>
      </w:pPr>
      <w:r>
        <w:rPr>
          <w:rFonts w:ascii="宋体" w:hAnsi="宋体" w:cs="Arial"/>
          <w:kern w:val="0"/>
          <w:sz w:val="24"/>
          <w:szCs w:val="24"/>
        </w:rPr>
        <w:t>最高限价（元）：</w:t>
      </w:r>
      <w:r>
        <w:rPr>
          <w:rFonts w:hint="eastAsia" w:ascii="宋体" w:hAnsi="宋体" w:cs="Arial"/>
          <w:kern w:val="0"/>
          <w:sz w:val="24"/>
          <w:szCs w:val="24"/>
          <w:lang w:eastAsia="zh-CN"/>
        </w:rPr>
        <w:t>1148600.00</w:t>
      </w:r>
      <w:r>
        <w:rPr>
          <w:rFonts w:hint="eastAsia" w:ascii="宋体" w:hAnsi="宋体" w:cs="Arial"/>
          <w:kern w:val="0"/>
          <w:sz w:val="24"/>
          <w:szCs w:val="24"/>
        </w:rPr>
        <w:t>元</w:t>
      </w:r>
    </w:p>
    <w:p w14:paraId="42043B9E">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采购需求：</w:t>
      </w:r>
    </w:p>
    <w:p w14:paraId="78727009">
      <w:pPr>
        <w:pStyle w:val="20"/>
        <w:spacing w:line="276" w:lineRule="auto"/>
        <w:ind w:left="60" w:firstLine="420"/>
        <w:rPr>
          <w:rFonts w:ascii="宋体" w:hAnsi="宋体" w:cs="Arial"/>
          <w:kern w:val="0"/>
          <w:sz w:val="24"/>
          <w:szCs w:val="24"/>
        </w:rPr>
      </w:pPr>
    </w:p>
    <w:p w14:paraId="06CFD801">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标项名称:</w:t>
      </w:r>
      <w:r>
        <w:rPr>
          <w:rFonts w:hint="eastAsia" w:ascii="宋体" w:hAnsi="宋体" w:cs="Arial"/>
          <w:kern w:val="0"/>
          <w:sz w:val="24"/>
          <w:szCs w:val="24"/>
          <w:lang w:eastAsia="zh-CN"/>
        </w:rPr>
        <w:t>新疆农业大学实习林场高空云台建设项目</w:t>
      </w:r>
      <w:r>
        <w:rPr>
          <w:rFonts w:hint="eastAsia" w:ascii="宋体" w:hAnsi="宋体" w:cs="Arial"/>
          <w:kern w:val="0"/>
          <w:sz w:val="24"/>
          <w:szCs w:val="24"/>
        </w:rPr>
        <w:t>标项一</w:t>
      </w:r>
    </w:p>
    <w:p w14:paraId="498D5212">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数量:一批</w:t>
      </w:r>
    </w:p>
    <w:p w14:paraId="3D9CB9CE">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预算金额（元）:</w:t>
      </w:r>
      <w:r>
        <w:rPr>
          <w:rFonts w:hint="eastAsia" w:ascii="宋体" w:hAnsi="宋体" w:cs="Arial"/>
          <w:kern w:val="0"/>
          <w:sz w:val="24"/>
          <w:szCs w:val="24"/>
          <w:lang w:eastAsia="zh-CN"/>
        </w:rPr>
        <w:t>1148600.00</w:t>
      </w:r>
      <w:r>
        <w:rPr>
          <w:rFonts w:hint="eastAsia" w:ascii="宋体" w:hAnsi="宋体" w:cs="Arial"/>
          <w:kern w:val="0"/>
          <w:sz w:val="24"/>
          <w:szCs w:val="24"/>
        </w:rPr>
        <w:t>元</w:t>
      </w:r>
    </w:p>
    <w:p w14:paraId="0952799C">
      <w:pPr>
        <w:pStyle w:val="20"/>
        <w:spacing w:line="276" w:lineRule="auto"/>
        <w:ind w:left="60" w:firstLine="420"/>
        <w:rPr>
          <w:rFonts w:ascii="宋体" w:hAnsi="宋体" w:cs="Arial"/>
          <w:kern w:val="0"/>
          <w:sz w:val="24"/>
          <w:szCs w:val="24"/>
          <w:highlight w:val="none"/>
        </w:rPr>
      </w:pPr>
      <w:r>
        <w:rPr>
          <w:rFonts w:hint="eastAsia" w:ascii="宋体" w:hAnsi="宋体" w:cs="Arial"/>
          <w:kern w:val="0"/>
          <w:sz w:val="24"/>
          <w:szCs w:val="24"/>
        </w:rPr>
        <w:t>简要规格描述或项目基本概况介绍、用途：目前实习林场林区仅有一座高空云台，覆盖面积3万余亩，本次高空云台建设项目，立足实习林场林区管护任务需求，建设不少于2座高空云台，3座高空云台监控范围覆盖全场不少于85%区域。实现高空云台太阳能独立供电系统，构建</w:t>
      </w:r>
      <w:r>
        <w:rPr>
          <w:rFonts w:hint="eastAsia" w:ascii="宋体" w:hAnsi="宋体" w:cs="Arial"/>
          <w:kern w:val="0"/>
          <w:sz w:val="24"/>
          <w:szCs w:val="24"/>
          <w:highlight w:val="none"/>
        </w:rPr>
        <w:t>集“前端智能感知、信号传输链路闭环、稳定能源供给、安全数据传输、后端智能分析”于一体的全流程林草智能化管护体系。</w:t>
      </w:r>
    </w:p>
    <w:p w14:paraId="7F3BE19D">
      <w:pPr>
        <w:pStyle w:val="20"/>
        <w:spacing w:line="276" w:lineRule="auto"/>
        <w:ind w:left="60" w:firstLine="420"/>
        <w:rPr>
          <w:rFonts w:ascii="宋体" w:hAnsi="宋体" w:cs="Arial"/>
          <w:kern w:val="0"/>
          <w:sz w:val="24"/>
          <w:szCs w:val="24"/>
          <w:highlight w:val="none"/>
        </w:rPr>
      </w:pPr>
    </w:p>
    <w:p w14:paraId="545A98D8">
      <w:pPr>
        <w:widowControl/>
        <w:spacing w:before="60" w:after="60"/>
        <w:ind w:firstLine="480"/>
        <w:jc w:val="left"/>
        <w:rPr>
          <w:rFonts w:ascii="宋体" w:hAnsi="宋体" w:cs="Arial"/>
          <w:kern w:val="0"/>
          <w:sz w:val="24"/>
          <w:szCs w:val="24"/>
          <w:highlight w:val="none"/>
        </w:rPr>
      </w:pPr>
      <w:r>
        <w:rPr>
          <w:rFonts w:ascii="宋体" w:hAnsi="宋体" w:cs="Arial"/>
          <w:kern w:val="0"/>
          <w:sz w:val="24"/>
          <w:szCs w:val="24"/>
          <w:highlight w:val="none"/>
        </w:rPr>
        <w:t>合同履约期限：</w:t>
      </w:r>
      <w:r>
        <w:rPr>
          <w:rFonts w:hint="eastAsia" w:ascii="宋体" w:hAnsi="宋体" w:cs="Arial"/>
          <w:kern w:val="0"/>
          <w:sz w:val="24"/>
          <w:szCs w:val="24"/>
          <w:highlight w:val="none"/>
        </w:rPr>
        <w:t>自合同签订之日起60日内完成供货、调试及安装。</w:t>
      </w:r>
    </w:p>
    <w:p w14:paraId="1E3B7F99">
      <w:pPr>
        <w:widowControl/>
        <w:spacing w:before="60" w:after="60"/>
        <w:ind w:firstLine="480"/>
        <w:jc w:val="left"/>
        <w:rPr>
          <w:rFonts w:ascii="宋体" w:hAnsi="宋体" w:cs="Arial"/>
          <w:kern w:val="0"/>
          <w:sz w:val="24"/>
          <w:szCs w:val="24"/>
          <w:highlight w:val="none"/>
        </w:rPr>
      </w:pPr>
      <w:r>
        <w:rPr>
          <w:rFonts w:ascii="宋体" w:hAnsi="宋体" w:cs="Arial"/>
          <w:kern w:val="0"/>
          <w:sz w:val="24"/>
          <w:szCs w:val="24"/>
          <w:highlight w:val="none"/>
        </w:rPr>
        <w:t>本项目</w:t>
      </w:r>
      <w:r>
        <w:rPr>
          <w:rFonts w:hint="eastAsia" w:ascii="宋体" w:hAnsi="宋体" w:cs="Arial"/>
          <w:kern w:val="0"/>
          <w:sz w:val="24"/>
          <w:szCs w:val="24"/>
          <w:highlight w:val="none"/>
        </w:rPr>
        <w:t>不</w:t>
      </w:r>
      <w:r>
        <w:rPr>
          <w:rFonts w:ascii="宋体" w:hAnsi="宋体" w:cs="Arial"/>
          <w:kern w:val="0"/>
          <w:sz w:val="24"/>
          <w:szCs w:val="24"/>
          <w:highlight w:val="none"/>
        </w:rPr>
        <w:t>接受联合体投标。</w:t>
      </w:r>
    </w:p>
    <w:p w14:paraId="646E3E7A">
      <w:pPr>
        <w:widowControl/>
        <w:spacing w:before="60" w:after="60" w:line="350" w:lineRule="exact"/>
        <w:jc w:val="left"/>
        <w:rPr>
          <w:rFonts w:ascii="宋体" w:hAnsi="宋体" w:cs="Arial"/>
          <w:kern w:val="0"/>
          <w:sz w:val="24"/>
          <w:szCs w:val="24"/>
          <w:highlight w:val="none"/>
        </w:rPr>
      </w:pPr>
      <w:r>
        <w:rPr>
          <w:rFonts w:hint="eastAsia" w:ascii="宋体" w:hAnsi="宋体" w:cs="Arial"/>
          <w:b/>
          <w:bCs/>
          <w:kern w:val="0"/>
          <w:sz w:val="24"/>
          <w:szCs w:val="24"/>
          <w:highlight w:val="none"/>
        </w:rPr>
        <w:t>二、申请人的资格要求：</w:t>
      </w:r>
    </w:p>
    <w:p w14:paraId="1823B03E">
      <w:pPr>
        <w:widowControl/>
        <w:spacing w:before="60" w:after="60" w:line="350" w:lineRule="exact"/>
        <w:ind w:firstLine="480"/>
        <w:jc w:val="left"/>
        <w:rPr>
          <w:rFonts w:ascii="宋体" w:hAnsi="宋体" w:cs="Arial"/>
          <w:kern w:val="0"/>
          <w:sz w:val="24"/>
          <w:szCs w:val="24"/>
          <w:highlight w:val="none"/>
        </w:rPr>
      </w:pPr>
      <w:r>
        <w:rPr>
          <w:rFonts w:ascii="宋体" w:hAnsi="宋体" w:cs="Arial"/>
          <w:kern w:val="0"/>
          <w:sz w:val="24"/>
          <w:szCs w:val="24"/>
          <w:highlight w:val="none"/>
        </w:rPr>
        <w:t>1.满足《中华人民共和国政府采购法》第二十二条规定；</w:t>
      </w:r>
    </w:p>
    <w:p w14:paraId="36AA0692">
      <w:pPr>
        <w:widowControl/>
        <w:spacing w:before="60" w:after="60" w:line="350" w:lineRule="exact"/>
        <w:ind w:firstLine="480"/>
        <w:jc w:val="left"/>
        <w:rPr>
          <w:rFonts w:hint="eastAsia" w:ascii="宋体" w:hAnsi="宋体" w:cs="Arial"/>
          <w:kern w:val="0"/>
          <w:sz w:val="24"/>
          <w:szCs w:val="24"/>
        </w:rPr>
      </w:pPr>
      <w:r>
        <w:rPr>
          <w:rFonts w:ascii="宋体" w:hAnsi="宋体" w:cs="Arial"/>
          <w:kern w:val="0"/>
          <w:sz w:val="24"/>
          <w:szCs w:val="24"/>
          <w:highlight w:val="none"/>
        </w:rPr>
        <w:t>2.落实政府采购政策需满足的资格要求：</w:t>
      </w:r>
      <w:r>
        <w:rPr>
          <w:rFonts w:hint="eastAsia" w:ascii="宋体" w:hAnsi="宋体" w:cs="Arial"/>
          <w:kern w:val="0"/>
          <w:sz w:val="24"/>
          <w:szCs w:val="24"/>
          <w:highlight w:val="none"/>
        </w:rPr>
        <w:t>本项目为非专门面向中小企业采购项目，对小型和微型企业（或联合体各方均为小型、微型企业的，残疾人福利性单位、监狱企业视为小微企业）产品的价格给予10%的扣除，用扣除后的价格参与价格的评审。</w:t>
      </w:r>
    </w:p>
    <w:p w14:paraId="442CBDEF">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3.本项目的特定资格要求：</w:t>
      </w:r>
      <w:r>
        <w:rPr>
          <w:rFonts w:hint="eastAsia" w:ascii="宋体" w:hAnsi="宋体" w:cs="Arial"/>
          <w:kern w:val="0"/>
          <w:sz w:val="24"/>
          <w:szCs w:val="24"/>
        </w:rPr>
        <w:t>无</w:t>
      </w:r>
    </w:p>
    <w:p w14:paraId="11A156E0">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三、获取招标文件</w:t>
      </w:r>
    </w:p>
    <w:p w14:paraId="7CDBD98E">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时间：</w:t>
      </w:r>
      <w:r>
        <w:rPr>
          <w:rFonts w:hint="eastAsia" w:ascii="宋体" w:hAnsi="宋体" w:cs="Arial"/>
          <w:kern w:val="0"/>
          <w:sz w:val="24"/>
          <w:szCs w:val="24"/>
          <w:lang w:eastAsia="zh-CN"/>
        </w:rPr>
        <w:t>2026年07月15日</w:t>
      </w:r>
      <w:r>
        <w:rPr>
          <w:rFonts w:hint="eastAsia" w:ascii="宋体" w:hAnsi="宋体" w:cs="Arial"/>
          <w:kern w:val="0"/>
          <w:sz w:val="24"/>
          <w:szCs w:val="24"/>
        </w:rPr>
        <w:t>至</w:t>
      </w:r>
      <w:r>
        <w:rPr>
          <w:rFonts w:hint="eastAsia" w:ascii="宋体" w:hAnsi="宋体" w:cs="Arial"/>
          <w:kern w:val="0"/>
          <w:sz w:val="24"/>
          <w:szCs w:val="24"/>
          <w:lang w:eastAsia="zh-CN"/>
        </w:rPr>
        <w:t>2026年07月22日</w:t>
      </w:r>
      <w:r>
        <w:rPr>
          <w:rFonts w:hint="eastAsia" w:ascii="宋体" w:hAnsi="宋体" w:cs="Arial"/>
          <w:kern w:val="0"/>
          <w:sz w:val="24"/>
          <w:szCs w:val="24"/>
        </w:rPr>
        <w:t>（每日00：00-12：00，12：00-23：59</w:t>
      </w:r>
      <w:r>
        <w:rPr>
          <w:rFonts w:ascii="宋体" w:hAnsi="宋体" w:cs="Arial"/>
          <w:kern w:val="0"/>
          <w:sz w:val="24"/>
          <w:szCs w:val="24"/>
        </w:rPr>
        <w:t>（北京时间，法定节假日除外）</w:t>
      </w:r>
    </w:p>
    <w:p w14:paraId="48B3710B">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地点：</w:t>
      </w:r>
      <w:r>
        <w:rPr>
          <w:rStyle w:val="101"/>
          <w:rFonts w:hint="eastAsia" w:ascii="宋体" w:hAnsi="宋体"/>
          <w:sz w:val="24"/>
          <w:szCs w:val="24"/>
        </w:rPr>
        <w:t>政采云线上</w:t>
      </w:r>
    </w:p>
    <w:p w14:paraId="02871C4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ascii="宋体" w:hAnsi="宋体" w:cs="Arial"/>
          <w:kern w:val="0"/>
          <w:sz w:val="24"/>
          <w:szCs w:val="24"/>
        </w:rPr>
        <w:t>登录</w:t>
      </w:r>
      <w:r>
        <w:rPr>
          <w:rFonts w:ascii="宋体" w:hAnsi="宋体" w:cs="Arial"/>
          <w:kern w:val="0"/>
          <w:sz w:val="24"/>
          <w:szCs w:val="24"/>
        </w:rPr>
        <w:t>，直接获取采购文件。</w:t>
      </w:r>
    </w:p>
    <w:p w14:paraId="5CAE63A2">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售价（元）：</w:t>
      </w:r>
      <w:r>
        <w:rPr>
          <w:rFonts w:hint="eastAsia" w:ascii="宋体" w:hAnsi="宋体" w:cs="Arial"/>
          <w:kern w:val="0"/>
          <w:sz w:val="24"/>
          <w:szCs w:val="24"/>
        </w:rPr>
        <w:t>0</w:t>
      </w:r>
    </w:p>
    <w:p w14:paraId="640BC6B4">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四、提交投标文件截止时间、开标时间和地点</w:t>
      </w:r>
    </w:p>
    <w:p w14:paraId="38E487A7">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提交投标文件截止时间：</w:t>
      </w:r>
      <w:r>
        <w:rPr>
          <w:rFonts w:hint="eastAsia" w:ascii="宋体" w:hAnsi="宋体" w:cs="Arial"/>
          <w:kern w:val="0"/>
          <w:sz w:val="24"/>
          <w:szCs w:val="24"/>
          <w:lang w:eastAsia="zh-CN"/>
        </w:rPr>
        <w:t>2026年08月05日</w:t>
      </w:r>
      <w:r>
        <w:rPr>
          <w:rFonts w:ascii="宋体" w:hAnsi="宋体" w:cs="Arial"/>
          <w:kern w:val="0"/>
          <w:sz w:val="24"/>
          <w:szCs w:val="24"/>
        </w:rPr>
        <w:t xml:space="preserve"> 11:00（北京时间）</w:t>
      </w:r>
    </w:p>
    <w:p w14:paraId="29FBA838">
      <w:pPr>
        <w:widowControl/>
        <w:spacing w:before="60" w:after="60" w:line="350" w:lineRule="exact"/>
        <w:ind w:firstLine="480"/>
        <w:jc w:val="left"/>
        <w:rPr>
          <w:rStyle w:val="101"/>
          <w:rFonts w:ascii="宋体" w:hAnsi="宋体"/>
          <w:sz w:val="24"/>
          <w:szCs w:val="24"/>
        </w:rPr>
      </w:pPr>
      <w:r>
        <w:rPr>
          <w:rFonts w:ascii="宋体" w:hAnsi="宋体" w:cs="Arial"/>
          <w:kern w:val="0"/>
          <w:sz w:val="24"/>
          <w:szCs w:val="24"/>
        </w:rPr>
        <w:t>投标地点：</w:t>
      </w:r>
      <w:r>
        <w:rPr>
          <w:rFonts w:hint="eastAsia" w:ascii="宋体" w:hAnsi="宋体" w:cs="Arial"/>
          <w:kern w:val="0"/>
          <w:sz w:val="24"/>
          <w:szCs w:val="24"/>
        </w:rPr>
        <w:t>新疆政府采购网政采云平台：https://www.zcygov.cn/ </w:t>
      </w:r>
    </w:p>
    <w:p w14:paraId="74F6F850">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开标时间：</w:t>
      </w:r>
      <w:r>
        <w:rPr>
          <w:rFonts w:hint="eastAsia" w:ascii="宋体" w:hAnsi="宋体" w:cs="Arial"/>
          <w:kern w:val="0"/>
          <w:sz w:val="24"/>
          <w:szCs w:val="24"/>
          <w:lang w:eastAsia="zh-CN"/>
        </w:rPr>
        <w:t>2026年08月05日</w:t>
      </w:r>
      <w:r>
        <w:rPr>
          <w:rFonts w:ascii="宋体" w:hAnsi="宋体" w:cs="Arial"/>
          <w:kern w:val="0"/>
          <w:sz w:val="24"/>
          <w:szCs w:val="24"/>
        </w:rPr>
        <w:t xml:space="preserve"> 11:00</w:t>
      </w:r>
      <w:r>
        <w:rPr>
          <w:rFonts w:hint="eastAsia" w:ascii="宋体" w:hAnsi="宋体" w:cs="Arial"/>
          <w:kern w:val="0"/>
          <w:sz w:val="24"/>
          <w:szCs w:val="24"/>
        </w:rPr>
        <w:t>（北京时间）</w:t>
      </w:r>
    </w:p>
    <w:p w14:paraId="16279305">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开标地点：</w:t>
      </w:r>
      <w:r>
        <w:rPr>
          <w:rFonts w:hint="eastAsia" w:ascii="宋体" w:hAnsi="宋体" w:cs="Arial"/>
          <w:kern w:val="0"/>
          <w:sz w:val="24"/>
          <w:szCs w:val="24"/>
        </w:rPr>
        <w:t>新疆政府采购网政采云平台：https://www.zcygov.cn/ </w:t>
      </w:r>
    </w:p>
    <w:p w14:paraId="078EF47E">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五、公告期限</w:t>
      </w:r>
    </w:p>
    <w:p w14:paraId="1EA679D4">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自本公告发布之日起5个工作日。</w:t>
      </w:r>
    </w:p>
    <w:p w14:paraId="6BEC20F1">
      <w:pPr>
        <w:widowControl/>
        <w:spacing w:before="204" w:after="204" w:line="350" w:lineRule="exact"/>
        <w:rPr>
          <w:rFonts w:ascii="宋体" w:hAnsi="宋体" w:cs="Arial"/>
          <w:b/>
          <w:bCs/>
          <w:kern w:val="0"/>
          <w:sz w:val="24"/>
          <w:szCs w:val="24"/>
        </w:rPr>
      </w:pPr>
      <w:r>
        <w:rPr>
          <w:rFonts w:hint="eastAsia" w:ascii="宋体" w:hAnsi="宋体" w:cs="Arial"/>
          <w:b/>
          <w:bCs/>
          <w:kern w:val="0"/>
          <w:sz w:val="24"/>
          <w:szCs w:val="24"/>
        </w:rPr>
        <w:t>六、其他补充事宜</w:t>
      </w:r>
    </w:p>
    <w:p w14:paraId="1763B55D">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1、本项目实行网上投标，采用电子投标文件。</w:t>
      </w:r>
    </w:p>
    <w:p w14:paraId="4B8D65D5">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460EE71F">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3、供应商将政采云电子交易客户端下载、安装完成后，可通过账号密码或CA登录客户端进行投标文件的制作。在使用政采云投标客户端时，建议使用WIN7及以上操作系统。</w:t>
      </w:r>
    </w:p>
    <w:p w14:paraId="0581BF26">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七、对本次采购提出询问，请按以下方式联系</w:t>
      </w:r>
    </w:p>
    <w:p w14:paraId="28BE5C59">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1.采购人信息</w:t>
      </w:r>
    </w:p>
    <w:p w14:paraId="48BE8A0D">
      <w:pPr>
        <w:widowControl/>
        <w:spacing w:before="60" w:after="60" w:line="350" w:lineRule="exact"/>
        <w:ind w:firstLine="480"/>
        <w:jc w:val="left"/>
        <w:rPr>
          <w:rFonts w:hint="eastAsia" w:ascii="宋体" w:hAnsi="宋体" w:eastAsia="宋体" w:cs="Arial"/>
          <w:kern w:val="0"/>
          <w:sz w:val="24"/>
          <w:szCs w:val="24"/>
          <w:lang w:eastAsia="zh-CN"/>
        </w:rPr>
      </w:pPr>
      <w:r>
        <w:rPr>
          <w:rFonts w:ascii="宋体" w:hAnsi="宋体" w:cs="Arial"/>
          <w:kern w:val="0"/>
          <w:sz w:val="24"/>
          <w:szCs w:val="24"/>
        </w:rPr>
        <w:t>名 称：</w:t>
      </w:r>
      <w:r>
        <w:rPr>
          <w:rFonts w:hint="eastAsia" w:ascii="宋体" w:hAnsi="宋体" w:cs="Arial"/>
          <w:kern w:val="0"/>
          <w:sz w:val="24"/>
          <w:szCs w:val="24"/>
          <w:lang w:eastAsia="zh-CN"/>
        </w:rPr>
        <w:t>新疆农业大学实习林场</w:t>
      </w:r>
    </w:p>
    <w:p w14:paraId="312C50C5">
      <w:pPr>
        <w:widowControl/>
        <w:spacing w:before="60" w:after="60" w:line="350" w:lineRule="exact"/>
        <w:ind w:firstLine="480"/>
        <w:jc w:val="left"/>
        <w:rPr>
          <w:rFonts w:ascii="宋体" w:hAnsi="宋体" w:cs="Arial"/>
          <w:kern w:val="0"/>
          <w:sz w:val="24"/>
          <w:szCs w:val="24"/>
        </w:rPr>
      </w:pPr>
      <w:r>
        <w:rPr>
          <w:rFonts w:hint="eastAsia" w:ascii="宋体" w:hAnsi="宋体" w:cs="Arial"/>
          <w:kern w:val="0"/>
          <w:sz w:val="24"/>
          <w:szCs w:val="24"/>
        </w:rPr>
        <w:t>地 址：新疆乌鲁木齐市沙依巴克区农大东路311号</w:t>
      </w:r>
    </w:p>
    <w:p w14:paraId="34195DF1">
      <w:pPr>
        <w:widowControl/>
        <w:spacing w:before="60" w:after="60" w:line="350" w:lineRule="exact"/>
        <w:ind w:firstLine="480"/>
        <w:jc w:val="left"/>
        <w:rPr>
          <w:rFonts w:hint="eastAsia" w:ascii="宋体" w:hAnsi="宋体" w:eastAsia="宋体" w:cs="Arial"/>
          <w:kern w:val="0"/>
          <w:sz w:val="24"/>
          <w:szCs w:val="24"/>
          <w:lang w:eastAsia="zh-CN"/>
        </w:rPr>
      </w:pPr>
      <w:r>
        <w:rPr>
          <w:rFonts w:ascii="宋体" w:hAnsi="宋体" w:cs="Arial"/>
          <w:kern w:val="0"/>
          <w:sz w:val="24"/>
          <w:szCs w:val="24"/>
        </w:rPr>
        <w:t>联系方式</w:t>
      </w:r>
      <w:r>
        <w:rPr>
          <w:rFonts w:hint="eastAsia" w:ascii="宋体" w:hAnsi="宋体" w:cs="Arial"/>
          <w:kern w:val="0"/>
          <w:sz w:val="24"/>
          <w:szCs w:val="24"/>
        </w:rPr>
        <w:t>：</w:t>
      </w:r>
      <w:r>
        <w:rPr>
          <w:rFonts w:hint="eastAsia" w:ascii="宋体" w:hAnsi="宋体" w:cs="Arial"/>
          <w:kern w:val="0"/>
          <w:sz w:val="24"/>
          <w:szCs w:val="24"/>
          <w:lang w:eastAsia="zh-CN"/>
        </w:rPr>
        <w:t>高玉德</w:t>
      </w:r>
      <w:r>
        <w:rPr>
          <w:rFonts w:hint="eastAsia" w:ascii="宋体" w:hAnsi="宋体" w:cs="Arial"/>
          <w:kern w:val="0"/>
          <w:sz w:val="24"/>
          <w:szCs w:val="24"/>
        </w:rPr>
        <w:t xml:space="preserve"> </w:t>
      </w:r>
      <w:r>
        <w:rPr>
          <w:rFonts w:hint="eastAsia" w:ascii="宋体" w:hAnsi="宋体" w:cs="Arial"/>
          <w:kern w:val="0"/>
          <w:sz w:val="24"/>
          <w:szCs w:val="24"/>
          <w:lang w:eastAsia="zh-CN"/>
        </w:rPr>
        <w:t>0991-8762293</w:t>
      </w:r>
    </w:p>
    <w:p w14:paraId="53C687AB">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2.采购代理机构信息</w:t>
      </w:r>
    </w:p>
    <w:p w14:paraId="4C99C6C7">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新疆守正项目管理咨询有限公司</w:t>
      </w:r>
    </w:p>
    <w:p w14:paraId="44A0D52C">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 址：</w:t>
      </w:r>
      <w:r>
        <w:rPr>
          <w:rFonts w:hint="eastAsia" w:ascii="宋体" w:hAnsi="宋体" w:cs="Arial"/>
          <w:kern w:val="0"/>
          <w:sz w:val="24"/>
          <w:szCs w:val="24"/>
        </w:rPr>
        <w:t>新疆乌鲁木齐高新区长春南路528号天康企业大厦3楼</w:t>
      </w:r>
    </w:p>
    <w:p w14:paraId="42C22C02">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邱奕霏、郑龙、陈旭文18599788578/18599788582</w:t>
      </w:r>
    </w:p>
    <w:p w14:paraId="1A880615">
      <w:pPr>
        <w:rPr>
          <w:rFonts w:hint="eastAsia" w:ascii="宋体" w:hAnsi="宋体" w:cs="Arial"/>
          <w:kern w:val="0"/>
          <w:sz w:val="24"/>
          <w:szCs w:val="24"/>
        </w:rPr>
      </w:pPr>
      <w:r>
        <w:rPr>
          <w:rFonts w:hint="eastAsia" w:ascii="宋体" w:hAnsi="宋体" w:cs="Arial"/>
          <w:kern w:val="0"/>
          <w:sz w:val="24"/>
          <w:szCs w:val="24"/>
        </w:rPr>
        <w:br w:type="page"/>
      </w:r>
    </w:p>
    <w:p w14:paraId="735BDA5A">
      <w:pPr>
        <w:keepNext w:val="0"/>
        <w:keepLines w:val="0"/>
        <w:widowControl/>
        <w:suppressLineNumbers w:val="0"/>
        <w:spacing w:before="255" w:beforeAutospacing="0" w:after="255" w:afterAutospacing="0" w:line="240" w:lineRule="auto"/>
        <w:ind w:left="0" w:right="0" w:firstLine="0"/>
        <w:jc w:val="center"/>
        <w:rPr>
          <w:rStyle w:val="27"/>
          <w:rFonts w:hint="eastAsia" w:ascii="宋体" w:hAnsi="宋体" w:eastAsia="宋体" w:cs="宋体"/>
          <w:i w:val="0"/>
          <w:iCs w:val="0"/>
          <w:caps w:val="0"/>
          <w:color w:val="000000"/>
          <w:spacing w:val="0"/>
          <w:sz w:val="24"/>
          <w:szCs w:val="24"/>
        </w:rPr>
      </w:pPr>
      <w:r>
        <w:rPr>
          <w:rStyle w:val="27"/>
          <w:rFonts w:hint="eastAsia" w:ascii="宋体" w:hAnsi="宋体" w:eastAsia="宋体" w:cs="宋体"/>
          <w:i w:val="0"/>
          <w:iCs w:val="0"/>
          <w:caps w:val="0"/>
          <w:color w:val="000000"/>
          <w:spacing w:val="0"/>
          <w:sz w:val="24"/>
          <w:szCs w:val="24"/>
        </w:rPr>
        <w:t>新疆农业大学实习林场高空云台建设项目的更正公告</w:t>
      </w:r>
    </w:p>
    <w:p w14:paraId="79246143">
      <w:pPr>
        <w:keepNext w:val="0"/>
        <w:keepLines w:val="0"/>
        <w:widowControl/>
        <w:suppressLineNumbers w:val="0"/>
        <w:spacing w:before="255" w:beforeAutospacing="0" w:after="255" w:afterAutospacing="0" w:line="240" w:lineRule="auto"/>
        <w:ind w:left="0" w:right="0" w:firstLine="0"/>
        <w:jc w:val="both"/>
        <w:rPr>
          <w:rFonts w:hint="eastAsia" w:ascii="宋体" w:hAnsi="宋体" w:eastAsia="宋体" w:cs="宋体"/>
          <w:i w:val="0"/>
          <w:iCs w:val="0"/>
          <w:caps w:val="0"/>
          <w:color w:val="000000"/>
          <w:spacing w:val="0"/>
          <w:sz w:val="24"/>
          <w:szCs w:val="24"/>
        </w:rPr>
      </w:pPr>
      <w:r>
        <w:rPr>
          <w:rStyle w:val="27"/>
          <w:rFonts w:hint="eastAsia" w:ascii="宋体" w:hAnsi="宋体" w:eastAsia="宋体" w:cs="宋体"/>
          <w:i w:val="0"/>
          <w:iCs w:val="0"/>
          <w:caps w:val="0"/>
          <w:color w:val="000000"/>
          <w:spacing w:val="0"/>
          <w:sz w:val="24"/>
          <w:szCs w:val="24"/>
        </w:rPr>
        <w:t>一、项目基本情况</w:t>
      </w:r>
    </w:p>
    <w:p w14:paraId="28BC3353">
      <w:pPr>
        <w:keepNext w:val="0"/>
        <w:keepLines w:val="0"/>
        <w:widowControl/>
        <w:suppressLineNumbers w:val="0"/>
        <w:spacing w:before="75" w:beforeAutospacing="0" w:after="75" w:afterAutospacing="0" w:line="240" w:lineRule="auto"/>
        <w:ind w:left="0" w:right="0" w:firstLine="420"/>
        <w:rPr>
          <w:rFonts w:hint="default" w:ascii="宋体" w:hAnsi="宋体" w:eastAsia="宋体" w:cs="宋体"/>
          <w:sz w:val="24"/>
          <w:szCs w:val="24"/>
          <w:lang w:val="en-US" w:eastAsia="zh-CN"/>
        </w:rPr>
      </w:pPr>
      <w:r>
        <w:rPr>
          <w:rFonts w:hint="eastAsia" w:ascii="宋体" w:hAnsi="宋体" w:eastAsia="宋体" w:cs="宋体"/>
          <w:i w:val="0"/>
          <w:iCs w:val="0"/>
          <w:caps w:val="0"/>
          <w:color w:val="000000"/>
          <w:spacing w:val="0"/>
          <w:sz w:val="24"/>
          <w:szCs w:val="24"/>
        </w:rPr>
        <w:t>原公告的采购项目编号：XJSZG2026-</w:t>
      </w:r>
      <w:r>
        <w:rPr>
          <w:rFonts w:hint="eastAsia" w:ascii="宋体" w:hAnsi="宋体" w:eastAsia="宋体" w:cs="宋体"/>
          <w:i w:val="0"/>
          <w:iCs w:val="0"/>
          <w:caps w:val="0"/>
          <w:color w:val="000000"/>
          <w:spacing w:val="0"/>
          <w:sz w:val="24"/>
          <w:szCs w:val="24"/>
          <w:lang w:val="en-US" w:eastAsia="zh-CN"/>
        </w:rPr>
        <w:t>1</w:t>
      </w:r>
      <w:r>
        <w:rPr>
          <w:rFonts w:hint="eastAsia" w:ascii="宋体" w:hAnsi="宋体" w:cs="宋体"/>
          <w:i w:val="0"/>
          <w:iCs w:val="0"/>
          <w:caps w:val="0"/>
          <w:color w:val="000000"/>
          <w:spacing w:val="0"/>
          <w:sz w:val="24"/>
          <w:szCs w:val="24"/>
          <w:lang w:val="en-US" w:eastAsia="zh-CN"/>
        </w:rPr>
        <w:t>83</w:t>
      </w:r>
    </w:p>
    <w:p w14:paraId="77C9CC93">
      <w:pPr>
        <w:keepNext w:val="0"/>
        <w:keepLines w:val="0"/>
        <w:widowControl/>
        <w:suppressLineNumbers w:val="0"/>
        <w:spacing w:before="75" w:beforeAutospacing="0" w:after="75" w:afterAutospacing="0" w:line="24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原公告的采购项目名称：新疆农业大学实习林场高空云台建设项目</w:t>
      </w:r>
    </w:p>
    <w:p w14:paraId="26ED9D98">
      <w:pPr>
        <w:keepNext w:val="0"/>
        <w:keepLines w:val="0"/>
        <w:widowControl/>
        <w:suppressLineNumbers w:val="0"/>
        <w:spacing w:before="75" w:beforeAutospacing="0" w:after="75" w:afterAutospacing="0" w:line="24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首次公告日期：2026年</w:t>
      </w:r>
      <w:r>
        <w:rPr>
          <w:rFonts w:hint="eastAsia" w:ascii="宋体" w:hAnsi="宋体" w:eastAsia="宋体" w:cs="宋体"/>
          <w:i w:val="0"/>
          <w:iCs w:val="0"/>
          <w:caps w:val="0"/>
          <w:color w:val="000000"/>
          <w:spacing w:val="0"/>
          <w:sz w:val="24"/>
          <w:szCs w:val="24"/>
          <w:lang w:val="en-US" w:eastAsia="zh-CN"/>
        </w:rPr>
        <w:t>0</w:t>
      </w:r>
      <w:r>
        <w:rPr>
          <w:rFonts w:hint="eastAsia" w:ascii="宋体" w:hAnsi="宋体" w:cs="宋体"/>
          <w:i w:val="0"/>
          <w:iCs w:val="0"/>
          <w:caps w:val="0"/>
          <w:color w:val="000000"/>
          <w:spacing w:val="0"/>
          <w:sz w:val="24"/>
          <w:szCs w:val="24"/>
          <w:lang w:val="en-US" w:eastAsia="zh-CN"/>
        </w:rPr>
        <w:t>7</w:t>
      </w:r>
      <w:r>
        <w:rPr>
          <w:rFonts w:hint="eastAsia" w:ascii="宋体" w:hAnsi="宋体" w:eastAsia="宋体" w:cs="宋体"/>
          <w:i w:val="0"/>
          <w:iCs w:val="0"/>
          <w:caps w:val="0"/>
          <w:color w:val="000000"/>
          <w:spacing w:val="0"/>
          <w:sz w:val="24"/>
          <w:szCs w:val="24"/>
        </w:rPr>
        <w:t>月</w:t>
      </w:r>
      <w:r>
        <w:rPr>
          <w:rFonts w:hint="eastAsia" w:ascii="宋体" w:hAnsi="宋体" w:cs="宋体"/>
          <w:i w:val="0"/>
          <w:iCs w:val="0"/>
          <w:caps w:val="0"/>
          <w:color w:val="000000"/>
          <w:spacing w:val="0"/>
          <w:sz w:val="24"/>
          <w:szCs w:val="24"/>
          <w:lang w:val="en-US" w:eastAsia="zh-CN"/>
        </w:rPr>
        <w:t>15</w:t>
      </w:r>
      <w:r>
        <w:rPr>
          <w:rFonts w:hint="eastAsia" w:ascii="宋体" w:hAnsi="宋体" w:eastAsia="宋体" w:cs="宋体"/>
          <w:i w:val="0"/>
          <w:iCs w:val="0"/>
          <w:caps w:val="0"/>
          <w:color w:val="000000"/>
          <w:spacing w:val="0"/>
          <w:sz w:val="24"/>
          <w:szCs w:val="24"/>
        </w:rPr>
        <w:t>日  </w:t>
      </w:r>
    </w:p>
    <w:p w14:paraId="26F0D6E2">
      <w:pPr>
        <w:keepNext w:val="0"/>
        <w:keepLines w:val="0"/>
        <w:widowControl/>
        <w:suppressLineNumbers w:val="0"/>
        <w:spacing w:before="255" w:beforeAutospacing="0" w:after="255" w:afterAutospacing="0" w:line="240" w:lineRule="auto"/>
        <w:ind w:left="0" w:right="0" w:firstLine="0"/>
        <w:jc w:val="both"/>
        <w:rPr>
          <w:rFonts w:hint="eastAsia" w:ascii="宋体" w:hAnsi="宋体" w:eastAsia="宋体" w:cs="宋体"/>
          <w:i w:val="0"/>
          <w:iCs w:val="0"/>
          <w:caps w:val="0"/>
          <w:color w:val="000000"/>
          <w:spacing w:val="0"/>
          <w:sz w:val="24"/>
          <w:szCs w:val="24"/>
        </w:rPr>
      </w:pPr>
      <w:r>
        <w:rPr>
          <w:rStyle w:val="27"/>
          <w:rFonts w:hint="eastAsia" w:ascii="宋体" w:hAnsi="宋体" w:eastAsia="宋体" w:cs="宋体"/>
          <w:i w:val="0"/>
          <w:iCs w:val="0"/>
          <w:caps w:val="0"/>
          <w:color w:val="000000"/>
          <w:spacing w:val="0"/>
          <w:sz w:val="24"/>
          <w:szCs w:val="24"/>
        </w:rPr>
        <w:t>二、更正信息</w:t>
      </w:r>
    </w:p>
    <w:p w14:paraId="011CE969">
      <w:pPr>
        <w:keepNext w:val="0"/>
        <w:keepLines w:val="0"/>
        <w:widowControl/>
        <w:suppressLineNumbers w:val="0"/>
        <w:spacing w:before="75" w:beforeAutospacing="0" w:after="75" w:afterAutospacing="0" w:line="24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更正事项：采购文件</w:t>
      </w:r>
    </w:p>
    <w:p w14:paraId="2EF5E798">
      <w:pPr>
        <w:keepNext w:val="0"/>
        <w:keepLines w:val="0"/>
        <w:widowControl/>
        <w:suppressLineNumbers w:val="0"/>
        <w:spacing w:before="75" w:beforeAutospacing="0" w:after="75" w:afterAutospacing="0" w:line="24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更正内容：</w:t>
      </w:r>
    </w:p>
    <w:tbl>
      <w:tblPr>
        <w:tblStyle w:val="24"/>
        <w:tblW w:w="5000"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2484"/>
        <w:gridCol w:w="2484"/>
        <w:gridCol w:w="2485"/>
        <w:gridCol w:w="2485"/>
      </w:tblGrid>
      <w:tr w14:paraId="240A68A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1250" w:type="pct"/>
            <w:tcBorders>
              <w:tl2br w:val="nil"/>
              <w:tr2bl w:val="nil"/>
            </w:tcBorders>
            <w:shd w:val="clear" w:color="auto" w:fill="auto"/>
            <w:tcMar>
              <w:top w:w="75" w:type="dxa"/>
              <w:left w:w="150" w:type="dxa"/>
              <w:bottom w:w="75" w:type="dxa"/>
              <w:right w:w="150" w:type="dxa"/>
            </w:tcMar>
            <w:vAlign w:val="center"/>
          </w:tcPr>
          <w:p w14:paraId="49380ADC">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序号</w:t>
            </w:r>
          </w:p>
        </w:tc>
        <w:tc>
          <w:tcPr>
            <w:tcW w:w="1250" w:type="pct"/>
            <w:tcBorders>
              <w:tl2br w:val="nil"/>
              <w:tr2bl w:val="nil"/>
            </w:tcBorders>
            <w:shd w:val="clear" w:color="auto" w:fill="auto"/>
            <w:tcMar>
              <w:top w:w="75" w:type="dxa"/>
              <w:left w:w="150" w:type="dxa"/>
              <w:bottom w:w="75" w:type="dxa"/>
              <w:right w:w="150" w:type="dxa"/>
            </w:tcMar>
            <w:vAlign w:val="center"/>
          </w:tcPr>
          <w:p w14:paraId="0F5543FA">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更正项</w:t>
            </w:r>
          </w:p>
        </w:tc>
        <w:tc>
          <w:tcPr>
            <w:tcW w:w="1250" w:type="pct"/>
            <w:tcBorders>
              <w:tl2br w:val="nil"/>
              <w:tr2bl w:val="nil"/>
            </w:tcBorders>
            <w:shd w:val="clear" w:color="auto" w:fill="auto"/>
            <w:tcMar>
              <w:top w:w="75" w:type="dxa"/>
              <w:left w:w="150" w:type="dxa"/>
              <w:bottom w:w="75" w:type="dxa"/>
              <w:right w:w="150" w:type="dxa"/>
            </w:tcMar>
            <w:vAlign w:val="center"/>
          </w:tcPr>
          <w:p w14:paraId="16F5350F">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更正前内容</w:t>
            </w:r>
          </w:p>
        </w:tc>
        <w:tc>
          <w:tcPr>
            <w:tcW w:w="1250" w:type="pct"/>
            <w:tcBorders>
              <w:tl2br w:val="nil"/>
              <w:tr2bl w:val="nil"/>
            </w:tcBorders>
            <w:shd w:val="clear" w:color="auto" w:fill="auto"/>
            <w:tcMar>
              <w:top w:w="75" w:type="dxa"/>
              <w:left w:w="150" w:type="dxa"/>
              <w:bottom w:w="75" w:type="dxa"/>
              <w:right w:w="150" w:type="dxa"/>
            </w:tcMar>
            <w:vAlign w:val="center"/>
          </w:tcPr>
          <w:p w14:paraId="55DE9939">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更正后内容</w:t>
            </w:r>
          </w:p>
        </w:tc>
      </w:tr>
      <w:tr w14:paraId="3182600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15" w:type="dxa"/>
            <w:left w:w="15" w:type="dxa"/>
            <w:bottom w:w="15" w:type="dxa"/>
            <w:right w:w="15" w:type="dxa"/>
          </w:tblCellMar>
        </w:tblPrEx>
        <w:tc>
          <w:tcPr>
            <w:tcW w:w="1250" w:type="pct"/>
            <w:tcBorders>
              <w:tl2br w:val="nil"/>
              <w:tr2bl w:val="nil"/>
            </w:tcBorders>
            <w:shd w:val="clear" w:color="auto" w:fill="auto"/>
            <w:tcMar>
              <w:top w:w="75" w:type="dxa"/>
              <w:left w:w="150" w:type="dxa"/>
              <w:bottom w:w="75" w:type="dxa"/>
              <w:right w:w="150" w:type="dxa"/>
            </w:tcMar>
            <w:vAlign w:val="center"/>
          </w:tcPr>
          <w:p w14:paraId="00740E80">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1250" w:type="pct"/>
            <w:tcBorders>
              <w:tl2br w:val="nil"/>
              <w:tr2bl w:val="nil"/>
            </w:tcBorders>
            <w:shd w:val="clear" w:color="auto" w:fill="auto"/>
            <w:tcMar>
              <w:top w:w="75" w:type="dxa"/>
              <w:left w:w="150" w:type="dxa"/>
              <w:bottom w:w="75" w:type="dxa"/>
              <w:right w:w="150" w:type="dxa"/>
            </w:tcMar>
            <w:vAlign w:val="center"/>
          </w:tcPr>
          <w:p w14:paraId="1BCE92DF">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开标时间（投标截止时间及保证金递交截止时间）</w:t>
            </w:r>
          </w:p>
        </w:tc>
        <w:tc>
          <w:tcPr>
            <w:tcW w:w="1250" w:type="pct"/>
            <w:tcBorders>
              <w:tl2br w:val="nil"/>
              <w:tr2bl w:val="nil"/>
            </w:tcBorders>
            <w:shd w:val="clear" w:color="auto" w:fill="auto"/>
            <w:tcMar>
              <w:top w:w="75" w:type="dxa"/>
              <w:left w:w="150" w:type="dxa"/>
              <w:bottom w:w="75" w:type="dxa"/>
              <w:right w:w="150" w:type="dxa"/>
            </w:tcMar>
            <w:vAlign w:val="center"/>
          </w:tcPr>
          <w:p w14:paraId="2182C12B">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原开标时间（投标截止时间及保证金递交截止时间）为2026年0</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val="en-US" w:eastAsia="zh-CN" w:bidi="ar"/>
              </w:rPr>
              <w:t>月0</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val="en-US" w:eastAsia="zh-CN" w:bidi="ar"/>
              </w:rPr>
              <w:t>日11:00（北京时间）</w:t>
            </w:r>
          </w:p>
        </w:tc>
        <w:tc>
          <w:tcPr>
            <w:tcW w:w="1250" w:type="pct"/>
            <w:tcBorders>
              <w:tl2br w:val="nil"/>
              <w:tr2bl w:val="nil"/>
            </w:tcBorders>
            <w:shd w:val="clear" w:color="auto" w:fill="auto"/>
            <w:tcMar>
              <w:top w:w="75" w:type="dxa"/>
              <w:left w:w="150" w:type="dxa"/>
              <w:bottom w:w="75" w:type="dxa"/>
              <w:right w:w="150" w:type="dxa"/>
            </w:tcMar>
            <w:vAlign w:val="center"/>
          </w:tcPr>
          <w:p w14:paraId="3301460B">
            <w:pPr>
              <w:keepNext w:val="0"/>
              <w:keepLines w:val="0"/>
              <w:widowControl/>
              <w:suppressLineNumbers w:val="0"/>
              <w:wordWrap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现开标时间（投标截止时间及保证金递交截止时间）为2026年0</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val="en-US" w:eastAsia="zh-CN" w:bidi="ar"/>
              </w:rPr>
              <w:t>月</w:t>
            </w:r>
            <w:r>
              <w:rPr>
                <w:rFonts w:hint="eastAsia" w:ascii="宋体" w:hAnsi="宋体" w:cs="宋体"/>
                <w:kern w:val="0"/>
                <w:sz w:val="24"/>
                <w:szCs w:val="24"/>
                <w:lang w:val="en-US" w:eastAsia="zh-CN" w:bidi="ar"/>
              </w:rPr>
              <w:t>13</w:t>
            </w:r>
            <w:r>
              <w:rPr>
                <w:rFonts w:hint="eastAsia" w:ascii="宋体" w:hAnsi="宋体" w:eastAsia="宋体" w:cs="宋体"/>
                <w:kern w:val="0"/>
                <w:sz w:val="24"/>
                <w:szCs w:val="24"/>
                <w:lang w:val="en-US" w:eastAsia="zh-CN" w:bidi="ar"/>
              </w:rPr>
              <w:t>日1</w:t>
            </w:r>
            <w:r>
              <w:rPr>
                <w:rFonts w:hint="eastAsia" w:ascii="宋体" w:hAnsi="宋体" w:cs="宋体"/>
                <w:kern w:val="0"/>
                <w:sz w:val="24"/>
                <w:szCs w:val="24"/>
                <w:lang w:val="en-US" w:eastAsia="zh-CN" w:bidi="ar"/>
              </w:rPr>
              <w:t>6</w:t>
            </w:r>
            <w:r>
              <w:rPr>
                <w:rFonts w:hint="eastAsia" w:ascii="宋体" w:hAnsi="宋体" w:eastAsia="宋体" w:cs="宋体"/>
                <w:kern w:val="0"/>
                <w:sz w:val="24"/>
                <w:szCs w:val="24"/>
                <w:lang w:val="en-US" w:eastAsia="zh-CN" w:bidi="ar"/>
              </w:rPr>
              <w:t>:00（北京时间）</w:t>
            </w:r>
          </w:p>
        </w:tc>
      </w:tr>
      <w:tr w14:paraId="1BFBC9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1250" w:type="pct"/>
            <w:tcBorders>
              <w:tl2br w:val="nil"/>
              <w:tr2bl w:val="nil"/>
            </w:tcBorders>
            <w:shd w:val="clear" w:color="auto" w:fill="auto"/>
            <w:tcMar>
              <w:top w:w="75" w:type="dxa"/>
              <w:left w:w="150" w:type="dxa"/>
              <w:bottom w:w="75" w:type="dxa"/>
              <w:right w:w="150" w:type="dxa"/>
            </w:tcMar>
            <w:vAlign w:val="center"/>
          </w:tcPr>
          <w:p w14:paraId="1ED52DC8">
            <w:pPr>
              <w:keepNext w:val="0"/>
              <w:keepLines w:val="0"/>
              <w:widowControl/>
              <w:suppressLineNumbers w:val="0"/>
              <w:wordWrap w:val="0"/>
              <w:spacing w:line="240" w:lineRule="auto"/>
              <w:jc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w:t>
            </w:r>
          </w:p>
        </w:tc>
        <w:tc>
          <w:tcPr>
            <w:tcW w:w="1250" w:type="pct"/>
            <w:tcBorders>
              <w:tl2br w:val="nil"/>
              <w:tr2bl w:val="nil"/>
            </w:tcBorders>
            <w:shd w:val="clear" w:color="auto" w:fill="auto"/>
            <w:tcMar>
              <w:top w:w="75" w:type="dxa"/>
              <w:left w:w="150" w:type="dxa"/>
              <w:bottom w:w="75" w:type="dxa"/>
              <w:right w:w="150" w:type="dxa"/>
            </w:tcMar>
            <w:vAlign w:val="center"/>
          </w:tcPr>
          <w:p w14:paraId="137CDDD0">
            <w:pPr>
              <w:keepNext w:val="0"/>
              <w:keepLines w:val="0"/>
              <w:widowControl/>
              <w:suppressLineNumbers w:val="0"/>
              <w:wordWrap w:val="0"/>
              <w:spacing w:line="240" w:lineRule="auto"/>
              <w:jc w:val="center"/>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采购需求中技术参数</w:t>
            </w:r>
          </w:p>
        </w:tc>
        <w:tc>
          <w:tcPr>
            <w:tcW w:w="1250" w:type="pct"/>
            <w:tcBorders>
              <w:tl2br w:val="nil"/>
              <w:tr2bl w:val="nil"/>
            </w:tcBorders>
            <w:shd w:val="clear" w:color="auto" w:fill="auto"/>
            <w:tcMar>
              <w:top w:w="75" w:type="dxa"/>
              <w:left w:w="150" w:type="dxa"/>
              <w:bottom w:w="75" w:type="dxa"/>
              <w:right w:w="150" w:type="dxa"/>
            </w:tcMar>
            <w:vAlign w:val="center"/>
          </w:tcPr>
          <w:p w14:paraId="4C0360EB">
            <w:pPr>
              <w:keepNext w:val="0"/>
              <w:keepLines w:val="0"/>
              <w:widowControl/>
              <w:suppressLineNumbers w:val="0"/>
              <w:wordWrap w:val="0"/>
              <w:spacing w:line="240" w:lineRule="auto"/>
              <w:jc w:val="center"/>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详见招标文件</w:t>
            </w:r>
          </w:p>
        </w:tc>
        <w:tc>
          <w:tcPr>
            <w:tcW w:w="1250" w:type="pct"/>
            <w:tcBorders>
              <w:tl2br w:val="nil"/>
              <w:tr2bl w:val="nil"/>
            </w:tcBorders>
            <w:shd w:val="clear" w:color="auto" w:fill="auto"/>
            <w:tcMar>
              <w:top w:w="75" w:type="dxa"/>
              <w:left w:w="150" w:type="dxa"/>
              <w:bottom w:w="75" w:type="dxa"/>
              <w:right w:w="150" w:type="dxa"/>
            </w:tcMar>
            <w:vAlign w:val="center"/>
          </w:tcPr>
          <w:p w14:paraId="3D66B88F">
            <w:pPr>
              <w:keepNext w:val="0"/>
              <w:keepLines w:val="0"/>
              <w:widowControl/>
              <w:suppressLineNumbers w:val="0"/>
              <w:wordWrap w:val="0"/>
              <w:spacing w:line="240" w:lineRule="auto"/>
              <w:jc w:val="center"/>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详见更正后的招标文件</w:t>
            </w:r>
          </w:p>
        </w:tc>
      </w:tr>
    </w:tbl>
    <w:p w14:paraId="166AD54C">
      <w:pPr>
        <w:keepNext w:val="0"/>
        <w:keepLines w:val="0"/>
        <w:widowControl/>
        <w:suppressLineNumbers w:val="0"/>
        <w:spacing w:before="75" w:beforeAutospacing="0" w:after="75" w:afterAutospacing="0" w:line="24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更正日期：2026年0</w:t>
      </w:r>
      <w:r>
        <w:rPr>
          <w:rFonts w:hint="eastAsia" w:ascii="宋体" w:hAnsi="宋体" w:eastAsia="宋体" w:cs="宋体"/>
          <w:i w:val="0"/>
          <w:iCs w:val="0"/>
          <w:caps w:val="0"/>
          <w:color w:val="000000"/>
          <w:spacing w:val="0"/>
          <w:sz w:val="24"/>
          <w:szCs w:val="24"/>
          <w:lang w:val="en-US" w:eastAsia="zh-CN"/>
        </w:rPr>
        <w:t>6</w:t>
      </w:r>
      <w:r>
        <w:rPr>
          <w:rFonts w:hint="eastAsia" w:ascii="宋体" w:hAnsi="宋体" w:eastAsia="宋体" w:cs="宋体"/>
          <w:i w:val="0"/>
          <w:iCs w:val="0"/>
          <w:caps w:val="0"/>
          <w:color w:val="000000"/>
          <w:spacing w:val="0"/>
          <w:sz w:val="24"/>
          <w:szCs w:val="24"/>
        </w:rPr>
        <w:t>月</w:t>
      </w:r>
      <w:r>
        <w:rPr>
          <w:rFonts w:hint="eastAsia" w:ascii="宋体" w:hAnsi="宋体" w:eastAsia="宋体" w:cs="宋体"/>
          <w:i w:val="0"/>
          <w:iCs w:val="0"/>
          <w:caps w:val="0"/>
          <w:color w:val="000000"/>
          <w:spacing w:val="0"/>
          <w:sz w:val="24"/>
          <w:szCs w:val="24"/>
          <w:lang w:val="en-US" w:eastAsia="zh-CN"/>
        </w:rPr>
        <w:t>02</w:t>
      </w:r>
      <w:r>
        <w:rPr>
          <w:rFonts w:hint="eastAsia" w:ascii="宋体" w:hAnsi="宋体" w:eastAsia="宋体" w:cs="宋体"/>
          <w:i w:val="0"/>
          <w:iCs w:val="0"/>
          <w:caps w:val="0"/>
          <w:color w:val="000000"/>
          <w:spacing w:val="0"/>
          <w:sz w:val="24"/>
          <w:szCs w:val="24"/>
        </w:rPr>
        <w:t>日</w:t>
      </w:r>
    </w:p>
    <w:p w14:paraId="45CA114C">
      <w:pPr>
        <w:keepNext w:val="0"/>
        <w:keepLines w:val="0"/>
        <w:widowControl/>
        <w:suppressLineNumbers w:val="0"/>
        <w:spacing w:before="255" w:beforeAutospacing="0" w:after="255" w:afterAutospacing="0" w:line="240" w:lineRule="auto"/>
        <w:ind w:left="0" w:right="0" w:firstLine="0"/>
        <w:jc w:val="both"/>
        <w:rPr>
          <w:rFonts w:hint="eastAsia" w:ascii="宋体" w:hAnsi="宋体" w:eastAsia="宋体" w:cs="宋体"/>
          <w:i w:val="0"/>
          <w:iCs w:val="0"/>
          <w:caps w:val="0"/>
          <w:color w:val="000000"/>
          <w:spacing w:val="0"/>
          <w:sz w:val="24"/>
          <w:szCs w:val="24"/>
        </w:rPr>
      </w:pPr>
      <w:r>
        <w:rPr>
          <w:rStyle w:val="27"/>
          <w:rFonts w:hint="eastAsia" w:ascii="宋体" w:hAnsi="宋体" w:eastAsia="宋体" w:cs="宋体"/>
          <w:i w:val="0"/>
          <w:iCs w:val="0"/>
          <w:caps w:val="0"/>
          <w:color w:val="000000"/>
          <w:spacing w:val="0"/>
          <w:sz w:val="24"/>
          <w:szCs w:val="24"/>
        </w:rPr>
        <w:t>三、其他补充事宜</w:t>
      </w:r>
    </w:p>
    <w:p w14:paraId="05DA1F33">
      <w:pPr>
        <w:keepNext w:val="0"/>
        <w:keepLines w:val="0"/>
        <w:widowControl/>
        <w:suppressLineNumbers w:val="0"/>
        <w:spacing w:before="75" w:beforeAutospacing="0" w:after="75" w:afterAutospacing="0" w:line="240" w:lineRule="auto"/>
        <w:ind w:left="0" w:right="0" w:firstLine="42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p>
    <w:p w14:paraId="4ED7CB75">
      <w:pPr>
        <w:keepNext w:val="0"/>
        <w:keepLines w:val="0"/>
        <w:widowControl/>
        <w:suppressLineNumbers w:val="0"/>
        <w:spacing w:before="255" w:beforeAutospacing="0" w:after="255" w:afterAutospacing="0" w:line="240" w:lineRule="auto"/>
        <w:ind w:left="0" w:right="0" w:firstLine="0"/>
        <w:jc w:val="both"/>
        <w:rPr>
          <w:rFonts w:hint="eastAsia" w:ascii="宋体" w:hAnsi="宋体" w:eastAsia="宋体" w:cs="宋体"/>
          <w:i w:val="0"/>
          <w:iCs w:val="0"/>
          <w:caps w:val="0"/>
          <w:color w:val="000000"/>
          <w:spacing w:val="0"/>
          <w:sz w:val="24"/>
          <w:szCs w:val="24"/>
        </w:rPr>
      </w:pPr>
      <w:r>
        <w:rPr>
          <w:rStyle w:val="27"/>
          <w:rFonts w:hint="eastAsia" w:ascii="宋体" w:hAnsi="宋体" w:eastAsia="宋体" w:cs="宋体"/>
          <w:i w:val="0"/>
          <w:iCs w:val="0"/>
          <w:caps w:val="0"/>
          <w:color w:val="000000"/>
          <w:spacing w:val="0"/>
          <w:sz w:val="24"/>
          <w:szCs w:val="24"/>
        </w:rPr>
        <w:t>四、对本次采购提出询问，请按以下方式联系。</w:t>
      </w:r>
    </w:p>
    <w:p w14:paraId="23567C2B">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1.采购人信息</w:t>
      </w:r>
    </w:p>
    <w:p w14:paraId="41154035">
      <w:pPr>
        <w:widowControl/>
        <w:spacing w:before="60" w:after="60" w:line="350" w:lineRule="exact"/>
        <w:ind w:firstLine="480"/>
        <w:jc w:val="left"/>
        <w:rPr>
          <w:rFonts w:hint="eastAsia" w:ascii="宋体" w:hAnsi="宋体" w:eastAsia="宋体" w:cs="Arial"/>
          <w:kern w:val="0"/>
          <w:sz w:val="24"/>
          <w:szCs w:val="24"/>
          <w:lang w:eastAsia="zh-CN"/>
        </w:rPr>
      </w:pPr>
      <w:r>
        <w:rPr>
          <w:rFonts w:ascii="宋体" w:hAnsi="宋体" w:cs="Arial"/>
          <w:kern w:val="0"/>
          <w:sz w:val="24"/>
          <w:szCs w:val="24"/>
        </w:rPr>
        <w:t>名 称：</w:t>
      </w:r>
      <w:r>
        <w:rPr>
          <w:rFonts w:hint="eastAsia" w:ascii="宋体" w:hAnsi="宋体" w:cs="Arial"/>
          <w:kern w:val="0"/>
          <w:sz w:val="24"/>
          <w:szCs w:val="24"/>
          <w:lang w:eastAsia="zh-CN"/>
        </w:rPr>
        <w:t>新疆农业大学实习林场</w:t>
      </w:r>
    </w:p>
    <w:p w14:paraId="46C42EC7">
      <w:pPr>
        <w:widowControl/>
        <w:spacing w:before="60" w:after="60" w:line="350" w:lineRule="exact"/>
        <w:ind w:firstLine="480"/>
        <w:jc w:val="left"/>
        <w:rPr>
          <w:rFonts w:ascii="宋体" w:hAnsi="宋体" w:cs="Arial"/>
          <w:kern w:val="0"/>
          <w:sz w:val="24"/>
          <w:szCs w:val="24"/>
        </w:rPr>
      </w:pPr>
      <w:r>
        <w:rPr>
          <w:rFonts w:hint="eastAsia" w:ascii="宋体" w:hAnsi="宋体" w:cs="Arial"/>
          <w:kern w:val="0"/>
          <w:sz w:val="24"/>
          <w:szCs w:val="24"/>
        </w:rPr>
        <w:t>地 址：新疆乌鲁木齐市沙依巴克区农大东路311号</w:t>
      </w:r>
    </w:p>
    <w:p w14:paraId="3886B0E6">
      <w:pPr>
        <w:widowControl/>
        <w:spacing w:before="60" w:after="60" w:line="350" w:lineRule="exact"/>
        <w:ind w:firstLine="480"/>
        <w:jc w:val="left"/>
        <w:rPr>
          <w:rFonts w:hint="eastAsia" w:ascii="宋体" w:hAnsi="宋体" w:eastAsia="宋体" w:cs="Arial"/>
          <w:kern w:val="0"/>
          <w:sz w:val="24"/>
          <w:szCs w:val="24"/>
          <w:lang w:eastAsia="zh-CN"/>
        </w:rPr>
      </w:pPr>
      <w:r>
        <w:rPr>
          <w:rFonts w:ascii="宋体" w:hAnsi="宋体" w:cs="Arial"/>
          <w:kern w:val="0"/>
          <w:sz w:val="24"/>
          <w:szCs w:val="24"/>
        </w:rPr>
        <w:t>联系方式</w:t>
      </w:r>
      <w:r>
        <w:rPr>
          <w:rFonts w:hint="eastAsia" w:ascii="宋体" w:hAnsi="宋体" w:cs="Arial"/>
          <w:kern w:val="0"/>
          <w:sz w:val="24"/>
          <w:szCs w:val="24"/>
        </w:rPr>
        <w:t>：</w:t>
      </w:r>
      <w:r>
        <w:rPr>
          <w:rFonts w:hint="eastAsia" w:ascii="宋体" w:hAnsi="宋体" w:cs="Arial"/>
          <w:kern w:val="0"/>
          <w:sz w:val="24"/>
          <w:szCs w:val="24"/>
          <w:lang w:eastAsia="zh-CN"/>
        </w:rPr>
        <w:t>高玉德</w:t>
      </w:r>
      <w:r>
        <w:rPr>
          <w:rFonts w:hint="eastAsia" w:ascii="宋体" w:hAnsi="宋体" w:cs="Arial"/>
          <w:kern w:val="0"/>
          <w:sz w:val="24"/>
          <w:szCs w:val="24"/>
        </w:rPr>
        <w:t xml:space="preserve"> </w:t>
      </w:r>
      <w:r>
        <w:rPr>
          <w:rFonts w:hint="eastAsia" w:ascii="宋体" w:hAnsi="宋体" w:cs="Arial"/>
          <w:kern w:val="0"/>
          <w:sz w:val="24"/>
          <w:szCs w:val="24"/>
          <w:lang w:eastAsia="zh-CN"/>
        </w:rPr>
        <w:t>0991-8762293</w:t>
      </w:r>
    </w:p>
    <w:p w14:paraId="6CBA5C79">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2.采购代理机构信息</w:t>
      </w:r>
    </w:p>
    <w:p w14:paraId="6B8EB72D">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新疆守正项目管理咨询有限公司</w:t>
      </w:r>
    </w:p>
    <w:p w14:paraId="4531ED0F">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 址：</w:t>
      </w:r>
      <w:r>
        <w:rPr>
          <w:rFonts w:hint="eastAsia" w:ascii="宋体" w:hAnsi="宋体" w:cs="Arial"/>
          <w:kern w:val="0"/>
          <w:sz w:val="24"/>
          <w:szCs w:val="24"/>
        </w:rPr>
        <w:t>新疆乌鲁木齐高新区长春南路528号天康企业大厦3楼</w:t>
      </w:r>
    </w:p>
    <w:p w14:paraId="42126440">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邱奕霏、郑龙、陈旭文18599788578/18599788582</w:t>
      </w:r>
    </w:p>
    <w:p w14:paraId="49E2E8ED">
      <w:pPr>
        <w:rPr>
          <w:rFonts w:ascii="宋体" w:hAnsi="宋体" w:cs="Arial"/>
          <w:kern w:val="0"/>
          <w:sz w:val="24"/>
          <w:szCs w:val="24"/>
        </w:rPr>
      </w:pPr>
      <w:r>
        <w:rPr>
          <w:rFonts w:hint="eastAsia" w:ascii="宋体" w:hAnsi="宋体" w:cs="Arial"/>
          <w:kern w:val="0"/>
          <w:sz w:val="24"/>
          <w:szCs w:val="24"/>
        </w:rPr>
        <w:br w:type="page"/>
      </w:r>
    </w:p>
    <w:p w14:paraId="4C5B8CD4">
      <w:pPr>
        <w:widowControl/>
        <w:spacing w:before="60" w:after="60" w:line="350" w:lineRule="exact"/>
        <w:ind w:firstLine="482"/>
        <w:jc w:val="center"/>
        <w:outlineLvl w:val="0"/>
        <w:rPr>
          <w:rFonts w:ascii="宋体" w:hAnsi="宋体"/>
          <w:b/>
          <w:sz w:val="32"/>
          <w:szCs w:val="32"/>
        </w:rPr>
      </w:pPr>
      <w:bookmarkStart w:id="2" w:name="_Toc89792125"/>
      <w:bookmarkStart w:id="3" w:name="_Toc28474"/>
      <w:r>
        <w:rPr>
          <w:rFonts w:hint="eastAsia" w:ascii="宋体" w:hAnsi="宋体"/>
          <w:b/>
          <w:sz w:val="32"/>
          <w:szCs w:val="32"/>
        </w:rPr>
        <w:t>第一部</w:t>
      </w:r>
      <w:r>
        <w:rPr>
          <w:rFonts w:hint="eastAsia" w:ascii="宋体" w:hAnsi="宋体"/>
          <w:b/>
          <w:sz w:val="32"/>
        </w:rPr>
        <w:t>分</w:t>
      </w:r>
      <w:r>
        <w:rPr>
          <w:rFonts w:ascii="宋体" w:hAnsi="宋体"/>
          <w:b/>
          <w:sz w:val="32"/>
          <w:szCs w:val="32"/>
        </w:rPr>
        <w:t xml:space="preserve"> </w:t>
      </w:r>
      <w:r>
        <w:rPr>
          <w:rFonts w:hint="eastAsia" w:ascii="宋体" w:hAnsi="宋体"/>
          <w:b/>
          <w:sz w:val="32"/>
          <w:szCs w:val="32"/>
        </w:rPr>
        <w:t>投标须知</w:t>
      </w:r>
      <w:bookmarkEnd w:id="2"/>
      <w:bookmarkEnd w:id="3"/>
    </w:p>
    <w:tbl>
      <w:tblPr>
        <w:tblStyle w:val="24"/>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3237C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5BA72E35">
            <w:pPr>
              <w:overflowPunct w:val="0"/>
              <w:spacing w:line="276" w:lineRule="auto"/>
              <w:jc w:val="center"/>
              <w:rPr>
                <w:rFonts w:ascii="宋体" w:hAnsi="宋体"/>
                <w:b/>
                <w:sz w:val="24"/>
              </w:rPr>
            </w:pPr>
            <w:r>
              <w:rPr>
                <w:rFonts w:hint="eastAsia" w:ascii="宋体" w:hAnsi="宋体"/>
                <w:b/>
                <w:sz w:val="24"/>
              </w:rPr>
              <w:t>序号</w:t>
            </w:r>
          </w:p>
        </w:tc>
        <w:tc>
          <w:tcPr>
            <w:tcW w:w="2509" w:type="dxa"/>
            <w:vAlign w:val="center"/>
          </w:tcPr>
          <w:p w14:paraId="475B5E3C">
            <w:pPr>
              <w:overflowPunct w:val="0"/>
              <w:spacing w:line="276" w:lineRule="auto"/>
              <w:jc w:val="center"/>
              <w:rPr>
                <w:rFonts w:ascii="宋体" w:hAnsi="宋体"/>
                <w:b/>
                <w:sz w:val="24"/>
              </w:rPr>
            </w:pPr>
            <w:r>
              <w:rPr>
                <w:rFonts w:hint="eastAsia" w:ascii="宋体" w:hAnsi="宋体"/>
                <w:b/>
                <w:sz w:val="24"/>
              </w:rPr>
              <w:t>名称</w:t>
            </w:r>
          </w:p>
        </w:tc>
        <w:tc>
          <w:tcPr>
            <w:tcW w:w="6837" w:type="dxa"/>
            <w:vAlign w:val="center"/>
          </w:tcPr>
          <w:p w14:paraId="5B32E1DD">
            <w:pPr>
              <w:overflowPunct w:val="0"/>
              <w:spacing w:line="276" w:lineRule="auto"/>
              <w:jc w:val="center"/>
              <w:rPr>
                <w:rFonts w:ascii="宋体" w:hAnsi="宋体"/>
                <w:b/>
                <w:sz w:val="24"/>
              </w:rPr>
            </w:pPr>
            <w:r>
              <w:rPr>
                <w:rFonts w:hint="eastAsia" w:ascii="宋体" w:hAnsi="宋体"/>
                <w:b/>
                <w:sz w:val="24"/>
              </w:rPr>
              <w:t>内容</w:t>
            </w:r>
          </w:p>
        </w:tc>
      </w:tr>
      <w:tr w14:paraId="4F7DD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522C01F">
            <w:pPr>
              <w:overflowPunct w:val="0"/>
              <w:spacing w:line="276" w:lineRule="auto"/>
              <w:jc w:val="center"/>
              <w:rPr>
                <w:rFonts w:ascii="宋体" w:hAnsi="宋体"/>
                <w:b/>
                <w:sz w:val="24"/>
              </w:rPr>
            </w:pPr>
            <w:r>
              <w:rPr>
                <w:rFonts w:hint="eastAsia" w:ascii="宋体" w:hAnsi="宋体"/>
                <w:b/>
                <w:sz w:val="24"/>
              </w:rPr>
              <w:t>1</w:t>
            </w:r>
          </w:p>
        </w:tc>
        <w:tc>
          <w:tcPr>
            <w:tcW w:w="2509" w:type="dxa"/>
            <w:vAlign w:val="center"/>
          </w:tcPr>
          <w:p w14:paraId="35B61B3A">
            <w:pPr>
              <w:overflowPunct w:val="0"/>
              <w:spacing w:line="276" w:lineRule="auto"/>
              <w:jc w:val="center"/>
              <w:rPr>
                <w:rFonts w:ascii="宋体" w:hAnsi="宋体"/>
                <w:b/>
                <w:sz w:val="24"/>
              </w:rPr>
            </w:pPr>
            <w:r>
              <w:rPr>
                <w:rFonts w:hint="eastAsia" w:ascii="宋体" w:hAnsi="宋体"/>
                <w:b/>
                <w:sz w:val="24"/>
              </w:rPr>
              <w:t>项目编号</w:t>
            </w:r>
          </w:p>
        </w:tc>
        <w:tc>
          <w:tcPr>
            <w:tcW w:w="6837" w:type="dxa"/>
            <w:vAlign w:val="center"/>
          </w:tcPr>
          <w:p w14:paraId="29B2B418">
            <w:pPr>
              <w:spacing w:line="276" w:lineRule="auto"/>
              <w:rPr>
                <w:rFonts w:hint="eastAsia" w:ascii="宋体" w:hAnsi="宋体" w:eastAsia="宋体"/>
                <w:sz w:val="24"/>
                <w:lang w:eastAsia="zh-CN"/>
              </w:rPr>
            </w:pPr>
            <w:r>
              <w:rPr>
                <w:rFonts w:hint="eastAsia" w:ascii="宋体" w:hAnsi="宋体"/>
                <w:sz w:val="24"/>
                <w:lang w:eastAsia="zh-CN"/>
              </w:rPr>
              <w:t>XJSZG2026-183</w:t>
            </w:r>
          </w:p>
        </w:tc>
      </w:tr>
      <w:tr w14:paraId="6D440E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6BAEC7A">
            <w:pPr>
              <w:overflowPunct w:val="0"/>
              <w:spacing w:line="276" w:lineRule="auto"/>
              <w:jc w:val="center"/>
              <w:rPr>
                <w:rFonts w:ascii="宋体" w:hAnsi="宋体"/>
                <w:b/>
                <w:sz w:val="24"/>
              </w:rPr>
            </w:pPr>
            <w:r>
              <w:rPr>
                <w:rFonts w:hint="eastAsia" w:ascii="宋体" w:hAnsi="宋体"/>
                <w:b/>
                <w:sz w:val="24"/>
              </w:rPr>
              <w:t>2</w:t>
            </w:r>
          </w:p>
        </w:tc>
        <w:tc>
          <w:tcPr>
            <w:tcW w:w="2509" w:type="dxa"/>
            <w:vAlign w:val="center"/>
          </w:tcPr>
          <w:p w14:paraId="1A5F1D26">
            <w:pPr>
              <w:overflowPunct w:val="0"/>
              <w:spacing w:line="276" w:lineRule="auto"/>
              <w:jc w:val="center"/>
              <w:rPr>
                <w:rFonts w:ascii="宋体" w:hAnsi="宋体"/>
                <w:b/>
                <w:sz w:val="24"/>
              </w:rPr>
            </w:pPr>
            <w:r>
              <w:rPr>
                <w:rFonts w:hint="eastAsia" w:ascii="宋体" w:hAnsi="宋体"/>
                <w:b/>
                <w:sz w:val="24"/>
              </w:rPr>
              <w:t>项目名称</w:t>
            </w:r>
          </w:p>
        </w:tc>
        <w:tc>
          <w:tcPr>
            <w:tcW w:w="6837" w:type="dxa"/>
          </w:tcPr>
          <w:p w14:paraId="5C708CC4">
            <w:pPr>
              <w:spacing w:line="276" w:lineRule="auto"/>
              <w:rPr>
                <w:rFonts w:ascii="宋体" w:hAnsi="宋体" w:cs="宋体"/>
                <w:kern w:val="0"/>
                <w:sz w:val="24"/>
              </w:rPr>
            </w:pPr>
            <w:r>
              <w:rPr>
                <w:rFonts w:hint="eastAsia" w:ascii="宋体" w:hAnsi="宋体" w:cs="宋体"/>
                <w:kern w:val="0"/>
                <w:sz w:val="24"/>
                <w:lang w:eastAsia="zh-CN"/>
              </w:rPr>
              <w:t>新疆农业大学实习林场高空云台建设项目</w:t>
            </w:r>
          </w:p>
        </w:tc>
      </w:tr>
      <w:tr w14:paraId="5EDA6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E9E27CA">
            <w:pPr>
              <w:overflowPunct w:val="0"/>
              <w:spacing w:line="276" w:lineRule="auto"/>
              <w:jc w:val="center"/>
              <w:rPr>
                <w:rFonts w:ascii="宋体" w:hAnsi="宋体"/>
                <w:b/>
                <w:sz w:val="24"/>
              </w:rPr>
            </w:pPr>
            <w:r>
              <w:rPr>
                <w:rFonts w:hint="eastAsia" w:ascii="宋体" w:hAnsi="宋体"/>
                <w:b/>
                <w:sz w:val="24"/>
              </w:rPr>
              <w:t>3</w:t>
            </w:r>
          </w:p>
        </w:tc>
        <w:tc>
          <w:tcPr>
            <w:tcW w:w="2509" w:type="dxa"/>
            <w:vAlign w:val="center"/>
          </w:tcPr>
          <w:p w14:paraId="376A93DD">
            <w:pPr>
              <w:overflowPunct w:val="0"/>
              <w:spacing w:line="276" w:lineRule="auto"/>
              <w:jc w:val="center"/>
              <w:rPr>
                <w:rFonts w:ascii="宋体" w:hAnsi="宋体"/>
                <w:b/>
                <w:sz w:val="24"/>
              </w:rPr>
            </w:pPr>
            <w:r>
              <w:rPr>
                <w:rFonts w:hint="eastAsia" w:ascii="宋体" w:hAnsi="宋体"/>
                <w:b/>
                <w:sz w:val="24"/>
              </w:rPr>
              <w:t>联系方式</w:t>
            </w:r>
          </w:p>
        </w:tc>
        <w:tc>
          <w:tcPr>
            <w:tcW w:w="6837" w:type="dxa"/>
            <w:vAlign w:val="center"/>
          </w:tcPr>
          <w:p w14:paraId="17C85F32">
            <w:pPr>
              <w:widowControl/>
              <w:spacing w:before="60" w:after="60" w:line="350" w:lineRule="exact"/>
              <w:jc w:val="left"/>
              <w:rPr>
                <w:rFonts w:hint="eastAsia" w:ascii="宋体" w:hAnsi="宋体" w:eastAsia="宋体"/>
                <w:sz w:val="24"/>
                <w:lang w:eastAsia="zh-CN"/>
              </w:rPr>
            </w:pPr>
            <w:r>
              <w:rPr>
                <w:rFonts w:hint="eastAsia" w:ascii="宋体" w:hAnsi="宋体"/>
                <w:sz w:val="24"/>
              </w:rPr>
              <w:t>采购单位：</w:t>
            </w:r>
            <w:r>
              <w:rPr>
                <w:rFonts w:hint="eastAsia" w:ascii="宋体" w:hAnsi="宋体" w:cs="Arial"/>
                <w:kern w:val="0"/>
                <w:sz w:val="24"/>
                <w:szCs w:val="24"/>
                <w:lang w:eastAsia="zh-CN"/>
              </w:rPr>
              <w:t>新疆农业大学实习林场</w:t>
            </w:r>
          </w:p>
          <w:p w14:paraId="143E8567">
            <w:pPr>
              <w:overflowPunct w:val="0"/>
              <w:spacing w:line="276" w:lineRule="auto"/>
              <w:rPr>
                <w:rFonts w:ascii="宋体" w:hAnsi="宋体"/>
                <w:sz w:val="24"/>
              </w:rPr>
            </w:pPr>
            <w:r>
              <w:rPr>
                <w:rFonts w:hint="eastAsia" w:ascii="宋体" w:hAnsi="宋体"/>
                <w:sz w:val="24"/>
              </w:rPr>
              <w:t>采购单位地址：新疆乌鲁木齐市沙依巴克区农大东路311号</w:t>
            </w:r>
          </w:p>
          <w:p w14:paraId="5E9B18F4">
            <w:pPr>
              <w:overflowPunct w:val="0"/>
              <w:spacing w:line="276" w:lineRule="auto"/>
              <w:rPr>
                <w:rFonts w:ascii="宋体" w:hAnsi="宋体"/>
                <w:sz w:val="24"/>
              </w:rPr>
            </w:pPr>
          </w:p>
          <w:p w14:paraId="49050718">
            <w:pPr>
              <w:overflowPunct w:val="0"/>
              <w:spacing w:line="276" w:lineRule="auto"/>
              <w:rPr>
                <w:rFonts w:ascii="宋体" w:hAnsi="宋体"/>
                <w:sz w:val="24"/>
              </w:rPr>
            </w:pPr>
            <w:r>
              <w:rPr>
                <w:rFonts w:hint="eastAsia" w:ascii="宋体" w:hAnsi="宋体"/>
                <w:sz w:val="24"/>
              </w:rPr>
              <w:t>招标代理机构：</w:t>
            </w:r>
            <w:r>
              <w:rPr>
                <w:rFonts w:hint="eastAsia" w:ascii="宋体" w:hAnsi="宋体" w:cs="Arial"/>
                <w:kern w:val="0"/>
                <w:sz w:val="24"/>
                <w:szCs w:val="24"/>
              </w:rPr>
              <w:t>新疆守正项目管理咨询有限公司</w:t>
            </w:r>
          </w:p>
          <w:p w14:paraId="07A30A2C">
            <w:pPr>
              <w:overflowPunct w:val="0"/>
              <w:spacing w:line="276" w:lineRule="auto"/>
              <w:rPr>
                <w:rFonts w:ascii="宋体" w:hAnsi="宋体"/>
                <w:sz w:val="24"/>
              </w:rPr>
            </w:pPr>
            <w:r>
              <w:rPr>
                <w:rFonts w:hint="eastAsia" w:ascii="宋体" w:hAnsi="宋体"/>
                <w:sz w:val="24"/>
              </w:rPr>
              <w:t>招标公司地址：</w:t>
            </w:r>
            <w:r>
              <w:rPr>
                <w:rFonts w:hint="eastAsia" w:ascii="宋体" w:hAnsi="宋体" w:cs="Arial"/>
                <w:kern w:val="0"/>
                <w:sz w:val="24"/>
                <w:szCs w:val="24"/>
              </w:rPr>
              <w:t>新疆乌鲁木齐高新区长春南路528号天康企业大厦3楼</w:t>
            </w:r>
          </w:p>
        </w:tc>
      </w:tr>
      <w:tr w14:paraId="56FC8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0E30A98A">
            <w:pPr>
              <w:overflowPunct w:val="0"/>
              <w:spacing w:line="276" w:lineRule="auto"/>
              <w:jc w:val="center"/>
              <w:rPr>
                <w:rFonts w:ascii="宋体" w:hAnsi="宋体"/>
                <w:b/>
                <w:sz w:val="24"/>
              </w:rPr>
            </w:pPr>
            <w:r>
              <w:rPr>
                <w:rFonts w:hint="eastAsia" w:ascii="宋体" w:hAnsi="宋体"/>
                <w:b/>
                <w:sz w:val="24"/>
              </w:rPr>
              <w:t>4</w:t>
            </w:r>
          </w:p>
        </w:tc>
        <w:tc>
          <w:tcPr>
            <w:tcW w:w="2509" w:type="dxa"/>
            <w:vAlign w:val="center"/>
          </w:tcPr>
          <w:p w14:paraId="4855938B">
            <w:pPr>
              <w:overflowPunct w:val="0"/>
              <w:spacing w:line="276" w:lineRule="auto"/>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采购内容</w:t>
            </w:r>
          </w:p>
        </w:tc>
        <w:tc>
          <w:tcPr>
            <w:tcW w:w="6837" w:type="dxa"/>
            <w:vAlign w:val="center"/>
          </w:tcPr>
          <w:p w14:paraId="4BE6C2F2">
            <w:pPr>
              <w:pStyle w:val="20"/>
              <w:rPr>
                <w:rFonts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目前实习林场林区仅有一座高空云台，覆盖面积3万余亩，本次高空云台建设项目，立足实习林场林区管护任务需求，建设不少于2座高空云台，3座高空云台监控范围覆盖全场不少于</w:t>
            </w:r>
            <w:r>
              <w:rPr>
                <w:rFonts w:hint="eastAsia" w:ascii="宋体" w:hAnsi="宋体" w:cs="Arial"/>
                <w:color w:val="000000" w:themeColor="text1"/>
                <w:kern w:val="0"/>
                <w:sz w:val="24"/>
                <w:szCs w:val="24"/>
                <w:lang w:val="en-US" w:eastAsia="zh-CN"/>
                <w14:textFill>
                  <w14:solidFill>
                    <w14:schemeClr w14:val="tx1"/>
                  </w14:solidFill>
                </w14:textFill>
              </w:rPr>
              <w:t>6</w:t>
            </w:r>
            <w:r>
              <w:rPr>
                <w:rFonts w:hint="eastAsia" w:ascii="宋体" w:hAnsi="宋体" w:cs="Arial"/>
                <w:color w:val="000000" w:themeColor="text1"/>
                <w:kern w:val="0"/>
                <w:sz w:val="24"/>
                <w:szCs w:val="24"/>
                <w14:textFill>
                  <w14:solidFill>
                    <w14:schemeClr w14:val="tx1"/>
                  </w14:solidFill>
                </w14:textFill>
              </w:rPr>
              <w:t>5%区域。实现高空云台太阳能独立供电系统，构建集“前端智能感知、信号传输链路闭环、稳定能源供给、安全数据传输、后端智能分析”于一体的全流程林草智能化管护体系。</w:t>
            </w:r>
          </w:p>
        </w:tc>
      </w:tr>
      <w:tr w14:paraId="35A4F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39491BB">
            <w:pPr>
              <w:overflowPunct w:val="0"/>
              <w:spacing w:line="276" w:lineRule="auto"/>
              <w:jc w:val="center"/>
              <w:rPr>
                <w:rFonts w:ascii="宋体" w:hAnsi="宋体"/>
                <w:b/>
                <w:sz w:val="24"/>
              </w:rPr>
            </w:pPr>
            <w:r>
              <w:rPr>
                <w:rFonts w:hint="eastAsia" w:ascii="宋体" w:hAnsi="宋体"/>
                <w:b/>
                <w:sz w:val="24"/>
              </w:rPr>
              <w:t>5</w:t>
            </w:r>
          </w:p>
        </w:tc>
        <w:tc>
          <w:tcPr>
            <w:tcW w:w="2509" w:type="dxa"/>
            <w:vAlign w:val="center"/>
          </w:tcPr>
          <w:p w14:paraId="207C96B5">
            <w:pPr>
              <w:overflowPunct w:val="0"/>
              <w:spacing w:line="276" w:lineRule="auto"/>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最高限价</w:t>
            </w:r>
          </w:p>
        </w:tc>
        <w:tc>
          <w:tcPr>
            <w:tcW w:w="6837" w:type="dxa"/>
            <w:vAlign w:val="center"/>
          </w:tcPr>
          <w:p w14:paraId="2903A222">
            <w:pPr>
              <w:overflowPunct w:val="0"/>
              <w:spacing w:line="276"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1148600.00</w:t>
            </w:r>
            <w:r>
              <w:rPr>
                <w:rFonts w:hint="eastAsia" w:ascii="宋体" w:hAnsi="宋体"/>
                <w:color w:val="000000" w:themeColor="text1"/>
                <w:sz w:val="24"/>
                <w:szCs w:val="24"/>
                <w14:textFill>
                  <w14:solidFill>
                    <w14:schemeClr w14:val="tx1"/>
                  </w14:solidFill>
                </w14:textFill>
              </w:rPr>
              <w:t>元，</w:t>
            </w:r>
            <w:r>
              <w:rPr>
                <w:rFonts w:hint="eastAsia" w:hAnsi="仿宋" w:cs="宋体"/>
                <w:b/>
                <w:color w:val="000000" w:themeColor="text1"/>
                <w:kern w:val="0"/>
                <w:sz w:val="24"/>
                <w:szCs w:val="24"/>
                <w14:textFill>
                  <w14:solidFill>
                    <w14:schemeClr w14:val="tx1"/>
                  </w14:solidFill>
                </w14:textFill>
              </w:rPr>
              <w:t>投标人投标报价不得高于项目最高限价，否则其投标将被否决</w:t>
            </w:r>
          </w:p>
        </w:tc>
      </w:tr>
      <w:tr w14:paraId="7E7EF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2C42744B">
            <w:pPr>
              <w:overflowPunct w:val="0"/>
              <w:spacing w:line="276" w:lineRule="auto"/>
              <w:jc w:val="center"/>
              <w:rPr>
                <w:rFonts w:ascii="宋体" w:hAnsi="宋体"/>
                <w:b/>
                <w:sz w:val="24"/>
              </w:rPr>
            </w:pPr>
            <w:r>
              <w:rPr>
                <w:rFonts w:hint="eastAsia" w:ascii="宋体" w:hAnsi="宋体"/>
                <w:b/>
                <w:sz w:val="24"/>
              </w:rPr>
              <w:t>6</w:t>
            </w:r>
          </w:p>
        </w:tc>
        <w:tc>
          <w:tcPr>
            <w:tcW w:w="2509" w:type="dxa"/>
            <w:tcBorders>
              <w:bottom w:val="single" w:color="auto" w:sz="4" w:space="0"/>
              <w:right w:val="single" w:color="auto" w:sz="4" w:space="0"/>
            </w:tcBorders>
            <w:vAlign w:val="center"/>
          </w:tcPr>
          <w:p w14:paraId="1874AA2B">
            <w:pPr>
              <w:overflowPunct w:val="0"/>
              <w:spacing w:line="276"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投标资格</w:t>
            </w:r>
          </w:p>
        </w:tc>
        <w:tc>
          <w:tcPr>
            <w:tcW w:w="6837" w:type="dxa"/>
            <w:tcBorders>
              <w:left w:val="single" w:color="auto" w:sz="4" w:space="0"/>
              <w:bottom w:val="single" w:color="auto" w:sz="4" w:space="0"/>
            </w:tcBorders>
            <w:vAlign w:val="center"/>
          </w:tcPr>
          <w:p w14:paraId="0ACE4466">
            <w:pPr>
              <w:pStyle w:val="20"/>
              <w:spacing w:line="400" w:lineRule="exact"/>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1.满足《中华人民共和国政府采购法》第二十二条规定；</w:t>
            </w:r>
          </w:p>
          <w:p w14:paraId="3A24D3CB">
            <w:pPr>
              <w:pStyle w:val="20"/>
              <w:spacing w:line="400" w:lineRule="exact"/>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2.落实政府采购政策需满足的资格要求：本项目为非专门面向中小企业采购项目，对小型和微型企业（或联合体各方均为小型、微型企业的，残疾人福利性单位、监狱企业视为小微企业）产品的价格给予10%的扣除，用扣除后的价格参与价格的评审。</w:t>
            </w:r>
          </w:p>
          <w:p w14:paraId="23D0EBA7">
            <w:pPr>
              <w:pStyle w:val="20"/>
              <w:spacing w:line="400" w:lineRule="exact"/>
              <w:rPr>
                <w:color w:val="000000" w:themeColor="text1"/>
                <w14:textFill>
                  <w14:solidFill>
                    <w14:schemeClr w14:val="tx1"/>
                  </w14:solidFill>
                </w14:textFill>
              </w:rPr>
            </w:pPr>
            <w:r>
              <w:rPr>
                <w:rFonts w:hint="eastAsia"/>
                <w:color w:val="000000" w:themeColor="text1"/>
                <w:sz w:val="24"/>
                <w:szCs w:val="28"/>
                <w14:textFill>
                  <w14:solidFill>
                    <w14:schemeClr w14:val="tx1"/>
                  </w14:solidFill>
                </w14:textFill>
              </w:rPr>
              <w:t>3.本项目的特定资格要求：无</w:t>
            </w:r>
          </w:p>
        </w:tc>
      </w:tr>
      <w:tr w14:paraId="4A55B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15DB5AAD">
            <w:pPr>
              <w:overflowPunct w:val="0"/>
              <w:spacing w:line="276" w:lineRule="auto"/>
              <w:jc w:val="center"/>
              <w:rPr>
                <w:rFonts w:ascii="宋体" w:hAnsi="宋体"/>
                <w:b/>
                <w:sz w:val="24"/>
              </w:rPr>
            </w:pPr>
            <w:r>
              <w:rPr>
                <w:rFonts w:hint="eastAsia" w:ascii="宋体" w:hAnsi="宋体"/>
                <w:b/>
                <w:sz w:val="24"/>
              </w:rPr>
              <w:t>7</w:t>
            </w:r>
          </w:p>
        </w:tc>
        <w:tc>
          <w:tcPr>
            <w:tcW w:w="2509" w:type="dxa"/>
            <w:tcBorders>
              <w:bottom w:val="single" w:color="auto" w:sz="4" w:space="0"/>
              <w:right w:val="single" w:color="auto" w:sz="4" w:space="0"/>
            </w:tcBorders>
            <w:vAlign w:val="center"/>
          </w:tcPr>
          <w:p w14:paraId="7E7A344F">
            <w:pPr>
              <w:overflowPunct w:val="0"/>
              <w:spacing w:line="276"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现场踏勘</w:t>
            </w:r>
          </w:p>
        </w:tc>
        <w:tc>
          <w:tcPr>
            <w:tcW w:w="6837" w:type="dxa"/>
            <w:tcBorders>
              <w:left w:val="single" w:color="auto" w:sz="4" w:space="0"/>
              <w:bottom w:val="single" w:color="auto" w:sz="4" w:space="0"/>
            </w:tcBorders>
            <w:vAlign w:val="center"/>
          </w:tcPr>
          <w:p w14:paraId="33F67BD6">
            <w:pPr>
              <w:pStyle w:val="20"/>
              <w:rPr>
                <w:rFonts w:hint="default" w:eastAsia="宋体"/>
                <w:color w:val="000000" w:themeColor="text1"/>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组织形式：</w:t>
            </w:r>
            <w:r>
              <w:rPr>
                <w:rFonts w:hint="eastAsia" w:ascii="宋体" w:hAnsi="宋体"/>
                <w:color w:val="000000" w:themeColor="text1"/>
                <w:sz w:val="24"/>
                <w:lang w:val="en-US" w:eastAsia="zh-CN"/>
                <w14:textFill>
                  <w14:solidFill>
                    <w14:schemeClr w14:val="tx1"/>
                  </w14:solidFill>
                </w14:textFill>
              </w:rPr>
              <w:t>自行踏勘</w:t>
            </w:r>
          </w:p>
        </w:tc>
      </w:tr>
      <w:tr w14:paraId="15C2F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242F4E2D">
            <w:pPr>
              <w:overflowPunct w:val="0"/>
              <w:spacing w:line="276" w:lineRule="auto"/>
              <w:jc w:val="center"/>
              <w:rPr>
                <w:rFonts w:ascii="宋体" w:hAnsi="宋体"/>
                <w:b/>
                <w:sz w:val="24"/>
              </w:rPr>
            </w:pPr>
            <w:r>
              <w:rPr>
                <w:rFonts w:hint="eastAsia" w:ascii="宋体" w:hAnsi="宋体"/>
                <w:b/>
                <w:sz w:val="24"/>
              </w:rPr>
              <w:t>8</w:t>
            </w:r>
          </w:p>
        </w:tc>
        <w:tc>
          <w:tcPr>
            <w:tcW w:w="2509" w:type="dxa"/>
            <w:tcBorders>
              <w:bottom w:val="single" w:color="auto" w:sz="4" w:space="0"/>
              <w:right w:val="single" w:color="auto" w:sz="4" w:space="0"/>
            </w:tcBorders>
            <w:vAlign w:val="center"/>
          </w:tcPr>
          <w:p w14:paraId="49BFC4A6">
            <w:pPr>
              <w:pStyle w:val="80"/>
              <w:spacing w:line="276" w:lineRule="auto"/>
              <w:ind w:left="38"/>
              <w:jc w:val="center"/>
              <w:rPr>
                <w:rFonts w:cs="Times New Roman"/>
                <w:b/>
                <w:color w:val="000000" w:themeColor="text1"/>
                <w:kern w:val="2"/>
                <w14:textFill>
                  <w14:solidFill>
                    <w14:schemeClr w14:val="tx1"/>
                  </w14:solidFill>
                </w14:textFill>
              </w:rPr>
            </w:pPr>
            <w:r>
              <w:rPr>
                <w:rFonts w:hint="eastAsia" w:cs="Times New Roman"/>
                <w:b/>
                <w:color w:val="000000" w:themeColor="text1"/>
                <w:kern w:val="2"/>
                <w14:textFill>
                  <w14:solidFill>
                    <w14:schemeClr w14:val="tx1"/>
                  </w14:solidFill>
                </w14:textFill>
              </w:rPr>
              <w:t>信用情况</w:t>
            </w:r>
          </w:p>
        </w:tc>
        <w:tc>
          <w:tcPr>
            <w:tcW w:w="6837" w:type="dxa"/>
            <w:tcBorders>
              <w:left w:val="single" w:color="auto" w:sz="4" w:space="0"/>
              <w:bottom w:val="single" w:color="auto" w:sz="4" w:space="0"/>
            </w:tcBorders>
            <w:vAlign w:val="center"/>
          </w:tcPr>
          <w:p w14:paraId="237D6192">
            <w:pPr>
              <w:widowControl/>
              <w:spacing w:line="276" w:lineRule="auto"/>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信用记录审查：</w:t>
            </w:r>
          </w:p>
          <w:p w14:paraId="3182F37E">
            <w:pPr>
              <w:widowControl/>
              <w:spacing w:line="276" w:lineRule="auto"/>
              <w:jc w:val="left"/>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根据《财政部关于在政府采购活动中查询及使用信用记录有关问题的通知》（财库〔2016〕125号）规定，投标截止时间后，采购人或采购代理机构将通过“信用中国”网站(www.creditchina.gov.cn)</w:t>
            </w:r>
            <w:r>
              <w:rPr>
                <w:rFonts w:hint="eastAsia" w:ascii="宋体" w:hAnsi="宋体" w:cs="Arial"/>
                <w:color w:val="000000" w:themeColor="text1"/>
                <w:kern w:val="0"/>
                <w:sz w:val="24"/>
                <w:szCs w:val="24"/>
                <w14:textFill>
                  <w14:solidFill>
                    <w14:schemeClr w14:val="tx1"/>
                  </w14:solidFill>
                </w14:textFill>
              </w:rPr>
              <w:t xml:space="preserve"> 未被列入</w:t>
            </w:r>
            <w:r>
              <w:rPr>
                <w:rFonts w:hint="eastAsia" w:ascii="宋体" w:hAnsi="宋体"/>
                <w:color w:val="000000" w:themeColor="text1"/>
                <w:sz w:val="24"/>
                <w14:textFill>
                  <w14:solidFill>
                    <w14:schemeClr w14:val="tx1"/>
                  </w14:solidFill>
                </w14:textFill>
              </w:rPr>
              <w:t>重大税收违法失信主体</w:t>
            </w:r>
            <w:r>
              <w:rPr>
                <w:rFonts w:hint="eastAsia" w:ascii="宋体" w:hAnsi="宋体" w:cs="Arial"/>
                <w:color w:val="000000" w:themeColor="text1"/>
                <w:kern w:val="0"/>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、“中国执行信息公开网”（http://zxgk.court.gov.cn/）未被列入失信被执行人、在中国政府采购网(www.ccgp.gov.cn)</w:t>
            </w:r>
            <w:r>
              <w:rPr>
                <w:rFonts w:hint="eastAsia" w:ascii="宋体" w:hAnsi="宋体" w:cs="Arial"/>
                <w:color w:val="000000" w:themeColor="text1"/>
                <w:kern w:val="0"/>
                <w:sz w:val="24"/>
                <w:szCs w:val="24"/>
                <w14:textFill>
                  <w14:solidFill>
                    <w14:schemeClr w14:val="tx1"/>
                  </w14:solidFill>
                </w14:textFill>
              </w:rPr>
              <w:t xml:space="preserve"> 网站上未被列入政府采购严重违法失信行为记录名单</w:t>
            </w:r>
            <w:r>
              <w:rPr>
                <w:rFonts w:hint="eastAsia" w:ascii="宋体" w:hAnsi="宋体"/>
                <w:color w:val="000000" w:themeColor="text1"/>
                <w:sz w:val="24"/>
                <w14:textFill>
                  <w14:solidFill>
                    <w14:schemeClr w14:val="tx1"/>
                  </w14:solidFill>
                </w14:textFill>
              </w:rPr>
              <w:t>，对投标人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5D012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79B835E6">
            <w:pPr>
              <w:overflowPunct w:val="0"/>
              <w:spacing w:line="276" w:lineRule="auto"/>
              <w:jc w:val="center"/>
              <w:rPr>
                <w:rFonts w:ascii="宋体" w:hAnsi="宋体"/>
                <w:b/>
                <w:sz w:val="24"/>
              </w:rPr>
            </w:pPr>
            <w:r>
              <w:rPr>
                <w:rFonts w:hint="eastAsia" w:ascii="宋体" w:hAnsi="宋体"/>
                <w:b/>
                <w:sz w:val="24"/>
              </w:rPr>
              <w:t>9</w:t>
            </w:r>
          </w:p>
        </w:tc>
        <w:tc>
          <w:tcPr>
            <w:tcW w:w="2509" w:type="dxa"/>
            <w:tcBorders>
              <w:top w:val="single" w:color="auto" w:sz="4" w:space="0"/>
            </w:tcBorders>
            <w:vAlign w:val="center"/>
          </w:tcPr>
          <w:p w14:paraId="04116B3C">
            <w:pPr>
              <w:overflowPunct w:val="0"/>
              <w:spacing w:line="276" w:lineRule="auto"/>
              <w:jc w:val="center"/>
              <w:rPr>
                <w:rFonts w:ascii="宋体" w:hAnsi="宋体"/>
                <w:b/>
                <w:sz w:val="24"/>
              </w:rPr>
            </w:pPr>
            <w:r>
              <w:rPr>
                <w:rFonts w:hint="eastAsia" w:ascii="宋体" w:hAnsi="宋体" w:cs="宋体"/>
                <w:b/>
                <w:kern w:val="0"/>
                <w:sz w:val="24"/>
              </w:rPr>
              <w:t>是否接受联合体投标</w:t>
            </w:r>
          </w:p>
        </w:tc>
        <w:tc>
          <w:tcPr>
            <w:tcW w:w="6837" w:type="dxa"/>
            <w:tcBorders>
              <w:top w:val="single" w:color="auto" w:sz="4" w:space="0"/>
            </w:tcBorders>
            <w:vAlign w:val="center"/>
          </w:tcPr>
          <w:p w14:paraId="38BF15D5">
            <w:pPr>
              <w:overflowPunct w:val="0"/>
              <w:spacing w:line="276" w:lineRule="auto"/>
              <w:rPr>
                <w:rFonts w:ascii="宋体" w:hAnsi="宋体"/>
                <w:sz w:val="24"/>
              </w:rPr>
            </w:pPr>
            <w:r>
              <w:rPr>
                <w:rFonts w:hint="eastAsia" w:ascii="宋体" w:hAnsi="宋体"/>
                <w:sz w:val="24"/>
              </w:rPr>
              <w:t>不接受</w:t>
            </w:r>
          </w:p>
        </w:tc>
      </w:tr>
      <w:tr w14:paraId="0E4AA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3162EFD">
            <w:pPr>
              <w:overflowPunct w:val="0"/>
              <w:spacing w:line="276" w:lineRule="auto"/>
              <w:jc w:val="center"/>
              <w:rPr>
                <w:rFonts w:ascii="宋体" w:hAnsi="宋体"/>
                <w:b/>
                <w:sz w:val="24"/>
              </w:rPr>
            </w:pPr>
            <w:r>
              <w:rPr>
                <w:rFonts w:hint="eastAsia" w:ascii="宋体" w:hAnsi="宋体"/>
                <w:b/>
                <w:sz w:val="24"/>
              </w:rPr>
              <w:t>10</w:t>
            </w:r>
          </w:p>
        </w:tc>
        <w:tc>
          <w:tcPr>
            <w:tcW w:w="2509" w:type="dxa"/>
            <w:vAlign w:val="center"/>
          </w:tcPr>
          <w:p w14:paraId="605439EE">
            <w:pPr>
              <w:overflowPunct w:val="0"/>
              <w:spacing w:line="276" w:lineRule="auto"/>
              <w:jc w:val="center"/>
              <w:rPr>
                <w:rFonts w:ascii="宋体" w:hAnsi="宋体"/>
                <w:b/>
                <w:sz w:val="24"/>
              </w:rPr>
            </w:pPr>
            <w:r>
              <w:rPr>
                <w:rFonts w:hint="eastAsia" w:ascii="宋体" w:hAnsi="宋体"/>
                <w:b/>
                <w:sz w:val="24"/>
              </w:rPr>
              <w:t>招标文件发放日期</w:t>
            </w:r>
          </w:p>
        </w:tc>
        <w:tc>
          <w:tcPr>
            <w:tcW w:w="6837" w:type="dxa"/>
            <w:vAlign w:val="center"/>
          </w:tcPr>
          <w:p w14:paraId="4EC8C342">
            <w:pPr>
              <w:overflowPunct w:val="0"/>
              <w:spacing w:line="276" w:lineRule="auto"/>
              <w:rPr>
                <w:rFonts w:ascii="宋体" w:hAnsi="宋体"/>
                <w:sz w:val="24"/>
              </w:rPr>
            </w:pPr>
            <w:r>
              <w:rPr>
                <w:rFonts w:hint="eastAsia" w:ascii="宋体" w:hAnsi="宋体"/>
                <w:sz w:val="24"/>
              </w:rPr>
              <w:t>时间：</w:t>
            </w:r>
            <w:r>
              <w:rPr>
                <w:rFonts w:hint="eastAsia" w:ascii="宋体" w:hAnsi="宋体" w:cs="Arial"/>
                <w:kern w:val="0"/>
                <w:sz w:val="24"/>
                <w:szCs w:val="24"/>
                <w:lang w:eastAsia="zh-CN"/>
              </w:rPr>
              <w:t>2026年07月15日</w:t>
            </w:r>
            <w:r>
              <w:rPr>
                <w:rFonts w:hint="eastAsia" w:ascii="宋体" w:hAnsi="宋体" w:cs="Arial"/>
                <w:kern w:val="0"/>
                <w:sz w:val="24"/>
                <w:szCs w:val="24"/>
              </w:rPr>
              <w:t>至</w:t>
            </w:r>
            <w:r>
              <w:rPr>
                <w:rFonts w:hint="eastAsia" w:ascii="宋体" w:hAnsi="宋体" w:cs="Arial"/>
                <w:kern w:val="0"/>
                <w:sz w:val="24"/>
                <w:szCs w:val="24"/>
                <w:lang w:eastAsia="zh-CN"/>
              </w:rPr>
              <w:t>2026年07月22日</w:t>
            </w:r>
            <w:r>
              <w:rPr>
                <w:rFonts w:hint="eastAsia" w:ascii="宋体" w:hAnsi="宋体"/>
                <w:sz w:val="24"/>
              </w:rPr>
              <w:t>（每日</w:t>
            </w:r>
            <w:r>
              <w:rPr>
                <w:rFonts w:ascii="宋体" w:hAnsi="宋体"/>
                <w:sz w:val="24"/>
              </w:rPr>
              <w:t>00</w:t>
            </w:r>
            <w:r>
              <w:rPr>
                <w:rFonts w:hint="eastAsia" w:ascii="宋体" w:hAnsi="宋体"/>
                <w:sz w:val="24"/>
              </w:rPr>
              <w:t>：</w:t>
            </w:r>
            <w:r>
              <w:rPr>
                <w:rFonts w:ascii="宋体" w:hAnsi="宋体"/>
                <w:sz w:val="24"/>
              </w:rPr>
              <w:t>0</w:t>
            </w:r>
            <w:r>
              <w:rPr>
                <w:rFonts w:hint="eastAsia" w:ascii="宋体" w:hAnsi="宋体"/>
                <w:sz w:val="24"/>
              </w:rPr>
              <w:t>0-1</w:t>
            </w:r>
            <w:r>
              <w:rPr>
                <w:rFonts w:ascii="宋体" w:hAnsi="宋体"/>
                <w:sz w:val="24"/>
              </w:rPr>
              <w:t>2</w:t>
            </w:r>
            <w:r>
              <w:rPr>
                <w:rFonts w:hint="eastAsia" w:ascii="宋体" w:hAnsi="宋体"/>
                <w:sz w:val="24"/>
              </w:rPr>
              <w:t>：</w:t>
            </w:r>
            <w:r>
              <w:rPr>
                <w:rFonts w:ascii="宋体" w:hAnsi="宋体"/>
                <w:sz w:val="24"/>
              </w:rPr>
              <w:t>0</w:t>
            </w:r>
            <w:r>
              <w:rPr>
                <w:rFonts w:hint="eastAsia" w:ascii="宋体" w:hAnsi="宋体"/>
                <w:sz w:val="24"/>
              </w:rPr>
              <w:t>0，1</w:t>
            </w:r>
            <w:r>
              <w:rPr>
                <w:rFonts w:ascii="宋体" w:hAnsi="宋体"/>
                <w:sz w:val="24"/>
              </w:rPr>
              <w:t>2</w:t>
            </w:r>
            <w:r>
              <w:rPr>
                <w:rFonts w:hint="eastAsia" w:ascii="宋体" w:hAnsi="宋体"/>
                <w:sz w:val="24"/>
              </w:rPr>
              <w:t>：</w:t>
            </w:r>
            <w:r>
              <w:rPr>
                <w:rFonts w:ascii="宋体" w:hAnsi="宋体"/>
                <w:sz w:val="24"/>
              </w:rPr>
              <w:t>0</w:t>
            </w:r>
            <w:r>
              <w:rPr>
                <w:rFonts w:hint="eastAsia" w:ascii="宋体" w:hAnsi="宋体"/>
                <w:sz w:val="24"/>
              </w:rPr>
              <w:t>0-</w:t>
            </w:r>
            <w:r>
              <w:rPr>
                <w:rFonts w:ascii="宋体" w:hAnsi="宋体"/>
                <w:sz w:val="24"/>
              </w:rPr>
              <w:t>23</w:t>
            </w:r>
            <w:r>
              <w:rPr>
                <w:rFonts w:hint="eastAsia" w:ascii="宋体" w:hAnsi="宋体"/>
                <w:sz w:val="24"/>
              </w:rPr>
              <w:t>：</w:t>
            </w:r>
            <w:r>
              <w:rPr>
                <w:rFonts w:ascii="宋体" w:hAnsi="宋体"/>
                <w:sz w:val="24"/>
              </w:rPr>
              <w:t>59</w:t>
            </w:r>
            <w:r>
              <w:rPr>
                <w:rFonts w:hint="eastAsia" w:ascii="宋体" w:hAnsi="宋体"/>
                <w:sz w:val="24"/>
              </w:rPr>
              <w:t>，北京时间，节假日除外)</w:t>
            </w:r>
          </w:p>
          <w:p w14:paraId="3AC3624E">
            <w:pPr>
              <w:widowControl/>
              <w:spacing w:line="276" w:lineRule="auto"/>
              <w:jc w:val="left"/>
              <w:rPr>
                <w:rFonts w:ascii="宋体" w:hAnsi="宋体" w:cs="宋体"/>
                <w:kern w:val="0"/>
                <w:szCs w:val="21"/>
              </w:rPr>
            </w:pPr>
            <w:r>
              <w:rPr>
                <w:rFonts w:hint="eastAsia" w:ascii="宋体" w:hAnsi="宋体"/>
                <w:sz w:val="24"/>
              </w:rPr>
              <w:t>地点：</w:t>
            </w:r>
            <w:r>
              <w:rPr>
                <w:rFonts w:hint="eastAsia" w:ascii="宋体" w:hAnsi="宋体" w:cs="宋体"/>
                <w:kern w:val="0"/>
                <w:sz w:val="24"/>
                <w:szCs w:val="24"/>
              </w:rPr>
              <w:t>线上获取。供应商登录政采云平台https://www.zcygov.cn/在线申请获取招标文件（进入“项目采购”应用，在获取招标文件菜单中选择项目，申请获取招标文件）</w:t>
            </w:r>
          </w:p>
        </w:tc>
      </w:tr>
      <w:tr w14:paraId="0A61B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254C396A">
            <w:pPr>
              <w:overflowPunct w:val="0"/>
              <w:spacing w:line="276" w:lineRule="auto"/>
              <w:jc w:val="center"/>
              <w:rPr>
                <w:rFonts w:ascii="宋体" w:hAnsi="宋体"/>
                <w:b/>
                <w:sz w:val="24"/>
              </w:rPr>
            </w:pPr>
            <w:r>
              <w:rPr>
                <w:rFonts w:hint="eastAsia" w:ascii="宋体" w:hAnsi="宋体"/>
                <w:b/>
                <w:sz w:val="24"/>
              </w:rPr>
              <w:t>11</w:t>
            </w:r>
          </w:p>
        </w:tc>
        <w:tc>
          <w:tcPr>
            <w:tcW w:w="2509" w:type="dxa"/>
            <w:vAlign w:val="center"/>
          </w:tcPr>
          <w:p w14:paraId="036D740A">
            <w:pPr>
              <w:overflowPunct w:val="0"/>
              <w:spacing w:line="276" w:lineRule="auto"/>
              <w:jc w:val="center"/>
              <w:rPr>
                <w:rFonts w:ascii="宋体" w:hAnsi="宋体"/>
                <w:b/>
                <w:sz w:val="24"/>
              </w:rPr>
            </w:pPr>
            <w:r>
              <w:rPr>
                <w:rFonts w:hint="eastAsia" w:ascii="宋体" w:hAnsi="宋体"/>
                <w:b/>
                <w:sz w:val="24"/>
              </w:rPr>
              <w:t>标书售价</w:t>
            </w:r>
          </w:p>
        </w:tc>
        <w:tc>
          <w:tcPr>
            <w:tcW w:w="6837" w:type="dxa"/>
            <w:vAlign w:val="center"/>
          </w:tcPr>
          <w:p w14:paraId="35443AF4">
            <w:pPr>
              <w:overflowPunct w:val="0"/>
              <w:spacing w:line="276" w:lineRule="auto"/>
              <w:rPr>
                <w:rFonts w:ascii="宋体" w:hAnsi="宋体"/>
                <w:sz w:val="24"/>
              </w:rPr>
            </w:pPr>
            <w:r>
              <w:rPr>
                <w:rFonts w:hint="eastAsia" w:ascii="宋体" w:hAnsi="宋体"/>
                <w:sz w:val="24"/>
              </w:rPr>
              <w:t>人民币0元/份</w:t>
            </w:r>
          </w:p>
        </w:tc>
      </w:tr>
      <w:tr w14:paraId="6448B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3D5CA12F">
            <w:pPr>
              <w:overflowPunct w:val="0"/>
              <w:spacing w:line="276" w:lineRule="auto"/>
              <w:jc w:val="center"/>
              <w:rPr>
                <w:rFonts w:ascii="宋体" w:hAnsi="宋体"/>
                <w:b/>
                <w:sz w:val="24"/>
              </w:rPr>
            </w:pPr>
            <w:r>
              <w:rPr>
                <w:rFonts w:hint="eastAsia" w:ascii="宋体" w:hAnsi="宋体"/>
                <w:b/>
                <w:sz w:val="24"/>
              </w:rPr>
              <w:t>12</w:t>
            </w:r>
          </w:p>
        </w:tc>
        <w:tc>
          <w:tcPr>
            <w:tcW w:w="2509" w:type="dxa"/>
            <w:vAlign w:val="center"/>
          </w:tcPr>
          <w:p w14:paraId="71965B4F">
            <w:pPr>
              <w:overflowPunct w:val="0"/>
              <w:spacing w:line="276" w:lineRule="auto"/>
              <w:ind w:left="241" w:hanging="241" w:hangingChars="100"/>
              <w:jc w:val="center"/>
              <w:rPr>
                <w:rFonts w:ascii="宋体" w:hAnsi="宋体"/>
                <w:b/>
                <w:sz w:val="24"/>
              </w:rPr>
            </w:pPr>
            <w:r>
              <w:rPr>
                <w:rFonts w:hint="eastAsia" w:ascii="宋体" w:hAnsi="宋体"/>
                <w:b/>
                <w:sz w:val="24"/>
              </w:rPr>
              <w:t>投标文件</w:t>
            </w:r>
          </w:p>
          <w:p w14:paraId="6DC5179C">
            <w:pPr>
              <w:overflowPunct w:val="0"/>
              <w:spacing w:line="276" w:lineRule="auto"/>
              <w:ind w:left="241" w:hanging="241" w:hangingChars="100"/>
              <w:jc w:val="center"/>
              <w:rPr>
                <w:rFonts w:ascii="宋体" w:hAnsi="宋体"/>
                <w:b/>
                <w:sz w:val="24"/>
              </w:rPr>
            </w:pPr>
            <w:r>
              <w:rPr>
                <w:rFonts w:hint="eastAsia" w:ascii="宋体" w:hAnsi="宋体"/>
                <w:b/>
                <w:sz w:val="24"/>
              </w:rPr>
              <w:t>递交截止时间及开标</w:t>
            </w:r>
          </w:p>
          <w:p w14:paraId="695A1901">
            <w:pPr>
              <w:overflowPunct w:val="0"/>
              <w:spacing w:line="276" w:lineRule="auto"/>
              <w:ind w:left="241" w:hanging="241" w:hangingChars="100"/>
              <w:jc w:val="center"/>
              <w:rPr>
                <w:rFonts w:ascii="宋体" w:hAnsi="宋体"/>
                <w:b/>
                <w:sz w:val="24"/>
              </w:rPr>
            </w:pPr>
            <w:r>
              <w:rPr>
                <w:rFonts w:hint="eastAsia" w:ascii="宋体" w:hAnsi="宋体"/>
                <w:b/>
                <w:sz w:val="24"/>
              </w:rPr>
              <w:t>时间</w:t>
            </w:r>
          </w:p>
        </w:tc>
        <w:tc>
          <w:tcPr>
            <w:tcW w:w="6837" w:type="dxa"/>
            <w:vAlign w:val="center"/>
          </w:tcPr>
          <w:p w14:paraId="6429FC66">
            <w:pPr>
              <w:widowControl/>
              <w:spacing w:line="276" w:lineRule="auto"/>
              <w:jc w:val="left"/>
              <w:rPr>
                <w:rFonts w:ascii="宋体" w:hAnsi="宋体"/>
                <w:sz w:val="24"/>
              </w:rPr>
            </w:pPr>
            <w:r>
              <w:rPr>
                <w:rFonts w:hint="eastAsia" w:ascii="宋体" w:hAnsi="宋体"/>
                <w:sz w:val="24"/>
                <w:lang w:eastAsia="zh-CN"/>
              </w:rPr>
              <w:t>2026年08月05日</w:t>
            </w:r>
            <w:r>
              <w:rPr>
                <w:rFonts w:hint="eastAsia" w:ascii="宋体" w:hAnsi="宋体"/>
                <w:sz w:val="24"/>
              </w:rPr>
              <w:t xml:space="preserve"> 11:00（北京时间）</w:t>
            </w:r>
          </w:p>
        </w:tc>
      </w:tr>
      <w:tr w14:paraId="51C14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2D5BE020">
            <w:pPr>
              <w:overflowPunct w:val="0"/>
              <w:spacing w:line="276" w:lineRule="auto"/>
              <w:jc w:val="center"/>
              <w:rPr>
                <w:rFonts w:ascii="宋体" w:hAnsi="宋体"/>
                <w:b/>
                <w:sz w:val="24"/>
              </w:rPr>
            </w:pPr>
            <w:r>
              <w:rPr>
                <w:rFonts w:hint="eastAsia" w:ascii="宋体" w:hAnsi="宋体"/>
                <w:b/>
                <w:sz w:val="24"/>
              </w:rPr>
              <w:t>13</w:t>
            </w:r>
          </w:p>
        </w:tc>
        <w:tc>
          <w:tcPr>
            <w:tcW w:w="2509" w:type="dxa"/>
            <w:vAlign w:val="center"/>
          </w:tcPr>
          <w:p w14:paraId="2F1EA508">
            <w:pPr>
              <w:overflowPunct w:val="0"/>
              <w:spacing w:line="276" w:lineRule="auto"/>
              <w:jc w:val="center"/>
              <w:rPr>
                <w:rFonts w:ascii="宋体" w:hAnsi="宋体"/>
                <w:b/>
                <w:sz w:val="24"/>
              </w:rPr>
            </w:pPr>
            <w:r>
              <w:rPr>
                <w:rFonts w:hint="eastAsia" w:ascii="宋体" w:hAnsi="宋体"/>
                <w:b/>
                <w:sz w:val="24"/>
              </w:rPr>
              <w:t>投标文件递交及开标地点</w:t>
            </w:r>
          </w:p>
        </w:tc>
        <w:tc>
          <w:tcPr>
            <w:tcW w:w="6837" w:type="dxa"/>
            <w:vAlign w:val="center"/>
          </w:tcPr>
          <w:p w14:paraId="1FD3644F">
            <w:pPr>
              <w:widowControl/>
              <w:spacing w:line="276" w:lineRule="auto"/>
              <w:jc w:val="left"/>
              <w:rPr>
                <w:rFonts w:ascii="宋体" w:hAnsi="宋体" w:cs="Arial"/>
                <w:kern w:val="0"/>
                <w:sz w:val="24"/>
                <w:szCs w:val="28"/>
              </w:rPr>
            </w:pPr>
            <w:r>
              <w:rPr>
                <w:rFonts w:hint="eastAsia" w:ascii="宋体" w:hAnsi="宋体" w:cs="Arial"/>
                <w:kern w:val="0"/>
                <w:sz w:val="24"/>
                <w:szCs w:val="24"/>
              </w:rPr>
              <w:t>新疆政府采购网政采云平台：https://www.zcygov.cn/</w:t>
            </w:r>
          </w:p>
        </w:tc>
      </w:tr>
      <w:tr w14:paraId="0AC01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37F8EF33">
            <w:pPr>
              <w:overflowPunct w:val="0"/>
              <w:spacing w:line="276" w:lineRule="auto"/>
              <w:jc w:val="center"/>
              <w:rPr>
                <w:rFonts w:ascii="宋体" w:hAnsi="宋体"/>
                <w:b/>
                <w:sz w:val="24"/>
              </w:rPr>
            </w:pPr>
            <w:r>
              <w:rPr>
                <w:rFonts w:hint="eastAsia" w:ascii="宋体" w:hAnsi="宋体"/>
                <w:b/>
                <w:sz w:val="24"/>
              </w:rPr>
              <w:t>14</w:t>
            </w:r>
          </w:p>
        </w:tc>
        <w:tc>
          <w:tcPr>
            <w:tcW w:w="2509" w:type="dxa"/>
            <w:tcBorders>
              <w:top w:val="single" w:color="auto" w:sz="4" w:space="0"/>
            </w:tcBorders>
            <w:vAlign w:val="center"/>
          </w:tcPr>
          <w:p w14:paraId="4CF96425">
            <w:pPr>
              <w:overflowPunct w:val="0"/>
              <w:spacing w:line="276" w:lineRule="auto"/>
              <w:jc w:val="center"/>
              <w:rPr>
                <w:rFonts w:ascii="宋体" w:hAnsi="宋体"/>
                <w:b/>
                <w:sz w:val="24"/>
              </w:rPr>
            </w:pPr>
            <w:r>
              <w:rPr>
                <w:rFonts w:hint="eastAsia" w:ascii="宋体" w:hAnsi="宋体"/>
                <w:b/>
                <w:sz w:val="24"/>
              </w:rPr>
              <w:t>投标有效期</w:t>
            </w:r>
          </w:p>
        </w:tc>
        <w:tc>
          <w:tcPr>
            <w:tcW w:w="6837" w:type="dxa"/>
            <w:tcBorders>
              <w:top w:val="single" w:color="auto" w:sz="4" w:space="0"/>
            </w:tcBorders>
            <w:vAlign w:val="center"/>
          </w:tcPr>
          <w:p w14:paraId="63A3818E">
            <w:pPr>
              <w:overflowPunct w:val="0"/>
              <w:spacing w:line="276" w:lineRule="auto"/>
              <w:rPr>
                <w:rFonts w:ascii="宋体" w:hAnsi="宋体"/>
                <w:sz w:val="24"/>
              </w:rPr>
            </w:pPr>
            <w:r>
              <w:rPr>
                <w:rFonts w:hint="eastAsia" w:ascii="宋体" w:hAnsi="宋体"/>
                <w:sz w:val="24"/>
              </w:rPr>
              <w:t>九十天</w:t>
            </w:r>
          </w:p>
        </w:tc>
      </w:tr>
      <w:tr w14:paraId="7B0F8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B77FA7F">
            <w:pPr>
              <w:overflowPunct w:val="0"/>
              <w:spacing w:line="276" w:lineRule="auto"/>
              <w:jc w:val="center"/>
              <w:rPr>
                <w:rFonts w:ascii="宋体" w:hAnsi="宋体"/>
                <w:b/>
                <w:sz w:val="24"/>
              </w:rPr>
            </w:pPr>
            <w:r>
              <w:rPr>
                <w:rFonts w:hint="eastAsia" w:ascii="宋体" w:hAnsi="宋体"/>
                <w:b/>
                <w:sz w:val="24"/>
              </w:rPr>
              <w:t>15</w:t>
            </w:r>
          </w:p>
        </w:tc>
        <w:tc>
          <w:tcPr>
            <w:tcW w:w="2509" w:type="dxa"/>
            <w:tcBorders>
              <w:top w:val="single" w:color="auto" w:sz="4" w:space="0"/>
            </w:tcBorders>
            <w:vAlign w:val="center"/>
          </w:tcPr>
          <w:p w14:paraId="6BD57B38">
            <w:pPr>
              <w:overflowPunct w:val="0"/>
              <w:spacing w:line="276"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质保期</w:t>
            </w:r>
          </w:p>
        </w:tc>
        <w:tc>
          <w:tcPr>
            <w:tcW w:w="6837" w:type="dxa"/>
            <w:vAlign w:val="center"/>
          </w:tcPr>
          <w:p w14:paraId="6EF4A482">
            <w:pPr>
              <w:spacing w:line="276"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三年</w:t>
            </w:r>
          </w:p>
        </w:tc>
      </w:tr>
      <w:tr w14:paraId="00D09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1CF9D74">
            <w:pPr>
              <w:overflowPunct w:val="0"/>
              <w:spacing w:line="276" w:lineRule="auto"/>
              <w:jc w:val="center"/>
              <w:rPr>
                <w:rFonts w:ascii="宋体" w:hAnsi="宋体"/>
                <w:b/>
                <w:sz w:val="24"/>
              </w:rPr>
            </w:pPr>
            <w:r>
              <w:rPr>
                <w:rFonts w:hint="eastAsia" w:ascii="宋体" w:hAnsi="宋体"/>
                <w:b/>
                <w:sz w:val="24"/>
              </w:rPr>
              <w:t>16</w:t>
            </w:r>
          </w:p>
        </w:tc>
        <w:tc>
          <w:tcPr>
            <w:tcW w:w="2509" w:type="dxa"/>
            <w:tcBorders>
              <w:top w:val="single" w:color="auto" w:sz="4" w:space="0"/>
            </w:tcBorders>
            <w:vAlign w:val="center"/>
          </w:tcPr>
          <w:p w14:paraId="722689C8">
            <w:pPr>
              <w:overflowPunct w:val="0"/>
              <w:spacing w:line="276"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供货周期</w:t>
            </w:r>
          </w:p>
        </w:tc>
        <w:tc>
          <w:tcPr>
            <w:tcW w:w="6837" w:type="dxa"/>
            <w:vAlign w:val="center"/>
          </w:tcPr>
          <w:p w14:paraId="1163A7F0">
            <w:pPr>
              <w:spacing w:line="276"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kern w:val="0"/>
                <w:sz w:val="24"/>
                <w:szCs w:val="24"/>
                <w:highlight w:val="none"/>
                <w14:textFill>
                  <w14:solidFill>
                    <w14:schemeClr w14:val="tx1"/>
                  </w14:solidFill>
                </w14:textFill>
              </w:rPr>
              <w:t>自合同签订之日起60日内完成供货、调试及安装。</w:t>
            </w:r>
          </w:p>
        </w:tc>
      </w:tr>
      <w:tr w14:paraId="75EB3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257463AD">
            <w:pPr>
              <w:overflowPunct w:val="0"/>
              <w:spacing w:line="276" w:lineRule="auto"/>
              <w:jc w:val="center"/>
              <w:rPr>
                <w:rFonts w:ascii="宋体" w:hAnsi="宋体"/>
                <w:b/>
                <w:sz w:val="24"/>
              </w:rPr>
            </w:pPr>
            <w:r>
              <w:rPr>
                <w:rFonts w:hint="eastAsia" w:ascii="宋体" w:hAnsi="宋体"/>
                <w:b/>
                <w:sz w:val="24"/>
              </w:rPr>
              <w:t>17</w:t>
            </w:r>
          </w:p>
        </w:tc>
        <w:tc>
          <w:tcPr>
            <w:tcW w:w="2509" w:type="dxa"/>
            <w:shd w:val="clear" w:color="auto" w:fill="auto"/>
            <w:vAlign w:val="center"/>
          </w:tcPr>
          <w:p w14:paraId="706B3903">
            <w:pPr>
              <w:overflowPunct w:val="0"/>
              <w:spacing w:line="276"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交货安装地点</w:t>
            </w:r>
          </w:p>
        </w:tc>
        <w:tc>
          <w:tcPr>
            <w:tcW w:w="6837" w:type="dxa"/>
            <w:shd w:val="clear" w:color="auto" w:fill="auto"/>
            <w:vAlign w:val="center"/>
          </w:tcPr>
          <w:p w14:paraId="7ADEDC51">
            <w:pPr>
              <w:spacing w:line="276" w:lineRule="auto"/>
              <w:rPr>
                <w:rFonts w:ascii="宋体" w:hAnsi="宋体"/>
                <w:color w:val="000000" w:themeColor="text1"/>
                <w:sz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按照甲方指定地点安装调试，2个月内完成安装验收工作；供方自行勘测场地，全权负责设备的卸货、就位、安装、调试、培训等。</w:t>
            </w:r>
          </w:p>
        </w:tc>
      </w:tr>
      <w:tr w14:paraId="3638B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503785AA">
            <w:pPr>
              <w:overflowPunct w:val="0"/>
              <w:spacing w:line="276" w:lineRule="auto"/>
              <w:jc w:val="center"/>
              <w:rPr>
                <w:rFonts w:ascii="宋体" w:hAnsi="宋体"/>
                <w:b/>
                <w:sz w:val="24"/>
              </w:rPr>
            </w:pPr>
            <w:r>
              <w:rPr>
                <w:rFonts w:hint="eastAsia" w:ascii="宋体" w:hAnsi="宋体"/>
                <w:b/>
                <w:sz w:val="24"/>
              </w:rPr>
              <w:t>18</w:t>
            </w:r>
          </w:p>
        </w:tc>
        <w:tc>
          <w:tcPr>
            <w:tcW w:w="2509" w:type="dxa"/>
            <w:tcBorders>
              <w:bottom w:val="single" w:color="auto" w:sz="4" w:space="0"/>
            </w:tcBorders>
            <w:vAlign w:val="center"/>
          </w:tcPr>
          <w:p w14:paraId="4D293EF5">
            <w:pPr>
              <w:overflowPunct w:val="0"/>
              <w:spacing w:line="276" w:lineRule="auto"/>
              <w:jc w:val="center"/>
              <w:rPr>
                <w:rFonts w:ascii="宋体" w:hAnsi="宋体"/>
                <w:b/>
                <w:sz w:val="24"/>
              </w:rPr>
            </w:pPr>
            <w:r>
              <w:rPr>
                <w:rFonts w:hint="eastAsia" w:ascii="宋体" w:hAnsi="宋体"/>
                <w:b/>
                <w:sz w:val="24"/>
              </w:rPr>
              <w:t>评标方法</w:t>
            </w:r>
          </w:p>
        </w:tc>
        <w:tc>
          <w:tcPr>
            <w:tcW w:w="6837" w:type="dxa"/>
            <w:tcBorders>
              <w:bottom w:val="single" w:color="auto" w:sz="4" w:space="0"/>
            </w:tcBorders>
            <w:vAlign w:val="center"/>
          </w:tcPr>
          <w:p w14:paraId="7D44ABE6">
            <w:pPr>
              <w:overflowPunct w:val="0"/>
              <w:spacing w:line="276" w:lineRule="auto"/>
              <w:rPr>
                <w:rFonts w:ascii="宋体" w:hAnsi="宋体"/>
                <w:sz w:val="24"/>
              </w:rPr>
            </w:pPr>
            <w:r>
              <w:rPr>
                <w:rFonts w:hint="eastAsia" w:ascii="宋体" w:hAnsi="宋体"/>
                <w:sz w:val="24"/>
              </w:rPr>
              <w:t>综合评分法</w:t>
            </w:r>
          </w:p>
        </w:tc>
      </w:tr>
      <w:tr w14:paraId="747C8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983572">
            <w:pPr>
              <w:overflowPunct w:val="0"/>
              <w:spacing w:line="276" w:lineRule="auto"/>
              <w:jc w:val="center"/>
              <w:rPr>
                <w:rFonts w:ascii="宋体" w:hAnsi="宋体"/>
                <w:b/>
                <w:sz w:val="24"/>
              </w:rPr>
            </w:pPr>
            <w:r>
              <w:rPr>
                <w:rFonts w:hint="eastAsia" w:ascii="宋体" w:hAnsi="宋体"/>
                <w:b/>
                <w:sz w:val="24"/>
              </w:rPr>
              <w:t>19</w:t>
            </w:r>
          </w:p>
        </w:tc>
        <w:tc>
          <w:tcPr>
            <w:tcW w:w="2509" w:type="dxa"/>
            <w:vAlign w:val="center"/>
          </w:tcPr>
          <w:p w14:paraId="4AC21C49">
            <w:pPr>
              <w:overflowPunct w:val="0"/>
              <w:spacing w:line="276" w:lineRule="auto"/>
              <w:jc w:val="center"/>
              <w:rPr>
                <w:rFonts w:ascii="宋体" w:hAnsi="宋体"/>
                <w:b/>
                <w:sz w:val="24"/>
                <w:szCs w:val="24"/>
              </w:rPr>
            </w:pPr>
            <w:r>
              <w:rPr>
                <w:rFonts w:hint="eastAsia" w:ascii="宋体" w:hAnsi="宋体"/>
                <w:b/>
                <w:sz w:val="24"/>
                <w:szCs w:val="24"/>
              </w:rPr>
              <w:t>投标保证金</w:t>
            </w:r>
          </w:p>
        </w:tc>
        <w:tc>
          <w:tcPr>
            <w:tcW w:w="6837" w:type="dxa"/>
            <w:vAlign w:val="center"/>
          </w:tcPr>
          <w:p w14:paraId="42265430">
            <w:pPr>
              <w:spacing w:line="276" w:lineRule="auto"/>
              <w:rPr>
                <w:rFonts w:ascii="宋体" w:hAnsi="宋体"/>
                <w:b/>
                <w:bCs/>
                <w:sz w:val="24"/>
              </w:rPr>
            </w:pPr>
            <w:r>
              <w:rPr>
                <w:rFonts w:hint="eastAsia" w:ascii="宋体" w:hAnsi="宋体"/>
                <w:b/>
                <w:bCs/>
                <w:sz w:val="24"/>
              </w:rPr>
              <w:t>保证金金额：</w:t>
            </w:r>
            <w:r>
              <w:rPr>
                <w:rFonts w:hint="eastAsia" w:ascii="宋体" w:hAnsi="宋体"/>
                <w:b/>
                <w:bCs/>
                <w:sz w:val="24"/>
                <w:lang w:val="en-US" w:eastAsia="zh-CN"/>
              </w:rPr>
              <w:t>22800.00</w:t>
            </w:r>
            <w:r>
              <w:rPr>
                <w:rFonts w:hint="eastAsia" w:ascii="宋体" w:hAnsi="宋体"/>
                <w:b/>
                <w:bCs/>
                <w:sz w:val="24"/>
              </w:rPr>
              <w:t>元（</w:t>
            </w:r>
            <w:r>
              <w:rPr>
                <w:rFonts w:hint="eastAsia" w:ascii="宋体" w:hAnsi="宋体"/>
                <w:b/>
                <w:bCs/>
                <w:sz w:val="24"/>
                <w:lang w:val="en-US" w:eastAsia="zh-CN"/>
              </w:rPr>
              <w:t>贰万贰仟捌佰元整</w:t>
            </w:r>
            <w:r>
              <w:rPr>
                <w:rFonts w:hint="eastAsia" w:ascii="宋体" w:hAnsi="宋体"/>
                <w:b/>
                <w:bCs/>
                <w:sz w:val="24"/>
              </w:rPr>
              <w:t>）（人民币）</w:t>
            </w:r>
          </w:p>
          <w:p w14:paraId="0A6E16DB">
            <w:pPr>
              <w:rPr>
                <w:rFonts w:ascii="宋体" w:hAnsi="宋体" w:cs="宋体"/>
                <w:sz w:val="24"/>
                <w:szCs w:val="24"/>
              </w:rPr>
            </w:pPr>
            <w:r>
              <w:rPr>
                <w:rFonts w:hint="eastAsia" w:ascii="宋体" w:hAnsi="宋体" w:cs="宋体"/>
                <w:sz w:val="24"/>
                <w:szCs w:val="24"/>
              </w:rPr>
              <w:t>保证金缴纳方式：本项目保证金供应商自主选择以银行转账（仅支持平台电子保证金）、保函等非现金形式缴纳。以上方式投标人仅需选择其中一种即可。具体缴纳方式如下：</w:t>
            </w:r>
          </w:p>
          <w:p w14:paraId="34B7F6E4">
            <w:pPr>
              <w:rPr>
                <w:rFonts w:ascii="宋体" w:hAnsi="宋体" w:cs="宋体"/>
                <w:sz w:val="24"/>
                <w:szCs w:val="24"/>
              </w:rPr>
            </w:pPr>
            <w:r>
              <w:rPr>
                <w:rFonts w:hint="eastAsia" w:ascii="宋体" w:hAnsi="宋体" w:cs="宋体"/>
                <w:sz w:val="24"/>
                <w:szCs w:val="24"/>
              </w:rPr>
              <w:t>一、电子保证金：</w:t>
            </w:r>
          </w:p>
          <w:p w14:paraId="0324DE90">
            <w:pPr>
              <w:rPr>
                <w:rFonts w:ascii="宋体" w:hAnsi="宋体" w:cs="宋体"/>
                <w:sz w:val="24"/>
                <w:szCs w:val="24"/>
              </w:rPr>
            </w:pPr>
            <w:r>
              <w:rPr>
                <w:rFonts w:hint="eastAsia" w:ascii="宋体" w:hAnsi="宋体" w:cs="宋体"/>
                <w:sz w:val="24"/>
                <w:szCs w:val="24"/>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27F8779F">
            <w:pPr>
              <w:rPr>
                <w:rFonts w:ascii="宋体" w:hAnsi="宋体" w:cs="宋体"/>
                <w:sz w:val="24"/>
                <w:szCs w:val="24"/>
              </w:rPr>
            </w:pPr>
            <w:r>
              <w:rPr>
                <w:rFonts w:hint="eastAsia" w:ascii="宋体" w:hAnsi="宋体" w:cs="宋体"/>
                <w:sz w:val="24"/>
                <w:szCs w:val="24"/>
              </w:rPr>
              <w:t>二、保函（电子保函、纸质保函）</w:t>
            </w:r>
          </w:p>
          <w:p w14:paraId="101E41E0">
            <w:pPr>
              <w:spacing w:line="276" w:lineRule="auto"/>
              <w:rPr>
                <w:rFonts w:ascii="宋体" w:hAnsi="宋体" w:cs="宋体"/>
                <w:sz w:val="24"/>
                <w:szCs w:val="24"/>
              </w:rPr>
            </w:pPr>
            <w:r>
              <w:rPr>
                <w:rFonts w:hint="eastAsia" w:ascii="宋体" w:hAnsi="宋体" w:cs="宋体"/>
                <w:sz w:val="24"/>
                <w:szCs w:val="24"/>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30AD7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5DC8472">
            <w:pPr>
              <w:overflowPunct w:val="0"/>
              <w:spacing w:line="276" w:lineRule="auto"/>
              <w:jc w:val="center"/>
              <w:rPr>
                <w:rFonts w:ascii="宋体" w:hAnsi="宋体"/>
                <w:b/>
                <w:sz w:val="24"/>
              </w:rPr>
            </w:pPr>
            <w:r>
              <w:rPr>
                <w:rFonts w:hint="eastAsia" w:ascii="宋体" w:hAnsi="宋体"/>
                <w:b/>
                <w:sz w:val="24"/>
              </w:rPr>
              <w:t>20</w:t>
            </w:r>
          </w:p>
        </w:tc>
        <w:tc>
          <w:tcPr>
            <w:tcW w:w="2509" w:type="dxa"/>
            <w:vAlign w:val="center"/>
          </w:tcPr>
          <w:p w14:paraId="4E2454AF">
            <w:pPr>
              <w:overflowPunct w:val="0"/>
              <w:spacing w:line="276" w:lineRule="auto"/>
              <w:jc w:val="center"/>
              <w:rPr>
                <w:rFonts w:ascii="宋体" w:hAnsi="宋体"/>
                <w:b/>
                <w:sz w:val="24"/>
                <w:szCs w:val="24"/>
              </w:rPr>
            </w:pPr>
            <w:r>
              <w:rPr>
                <w:rFonts w:hint="eastAsia" w:ascii="宋体" w:hAnsi="宋体" w:cs="宋体"/>
                <w:b/>
                <w:bCs/>
                <w:sz w:val="24"/>
              </w:rPr>
              <w:t>响应文件份数</w:t>
            </w:r>
          </w:p>
        </w:tc>
        <w:tc>
          <w:tcPr>
            <w:tcW w:w="6837" w:type="dxa"/>
            <w:vAlign w:val="center"/>
          </w:tcPr>
          <w:p w14:paraId="3D445361">
            <w:pPr>
              <w:overflowPunct w:val="0"/>
              <w:spacing w:line="276" w:lineRule="auto"/>
              <w:rPr>
                <w:rFonts w:ascii="宋体" w:hAnsi="宋体"/>
                <w:szCs w:val="21"/>
              </w:rPr>
            </w:pPr>
            <w:r>
              <w:rPr>
                <w:rStyle w:val="112"/>
                <w:rFonts w:hint="eastAsia"/>
                <w:sz w:val="24"/>
              </w:rPr>
              <w:t>供应商可通过账号密码或CA登录政采云客户端进行投标文件的制作，本项目采用电子版投标文件。</w:t>
            </w:r>
          </w:p>
        </w:tc>
      </w:tr>
      <w:tr w14:paraId="357A9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150DF5AE">
            <w:pPr>
              <w:overflowPunct w:val="0"/>
              <w:spacing w:line="276" w:lineRule="auto"/>
              <w:jc w:val="center"/>
              <w:rPr>
                <w:rFonts w:ascii="宋体" w:hAnsi="宋体"/>
                <w:b/>
                <w:sz w:val="24"/>
              </w:rPr>
            </w:pPr>
            <w:r>
              <w:rPr>
                <w:rFonts w:hint="eastAsia" w:ascii="宋体" w:hAnsi="宋体"/>
                <w:b/>
                <w:sz w:val="24"/>
              </w:rPr>
              <w:t>21</w:t>
            </w:r>
          </w:p>
        </w:tc>
        <w:tc>
          <w:tcPr>
            <w:tcW w:w="2509" w:type="dxa"/>
            <w:tcBorders>
              <w:top w:val="single" w:color="auto" w:sz="4" w:space="0"/>
              <w:bottom w:val="single" w:color="auto" w:sz="4" w:space="0"/>
            </w:tcBorders>
            <w:vAlign w:val="center"/>
          </w:tcPr>
          <w:p w14:paraId="57CEDAFC">
            <w:pPr>
              <w:overflowPunct w:val="0"/>
              <w:spacing w:line="276" w:lineRule="auto"/>
              <w:jc w:val="center"/>
              <w:rPr>
                <w:rFonts w:ascii="宋体" w:hAnsi="宋体"/>
                <w:b/>
                <w:sz w:val="24"/>
              </w:rPr>
            </w:pPr>
            <w:r>
              <w:rPr>
                <w:rFonts w:hint="eastAsia" w:ascii="宋体" w:hAnsi="宋体" w:cs="宋体"/>
                <w:b/>
                <w:bCs/>
                <w:sz w:val="24"/>
              </w:rPr>
              <w:t>签字或盖章要求</w:t>
            </w:r>
          </w:p>
        </w:tc>
        <w:tc>
          <w:tcPr>
            <w:tcW w:w="6837" w:type="dxa"/>
            <w:tcBorders>
              <w:top w:val="single" w:color="auto" w:sz="4" w:space="0"/>
              <w:bottom w:val="single" w:color="auto" w:sz="4" w:space="0"/>
            </w:tcBorders>
          </w:tcPr>
          <w:p w14:paraId="0CBB2AB3">
            <w:pPr>
              <w:pStyle w:val="113"/>
              <w:snapToGrid w:val="0"/>
              <w:spacing w:line="360" w:lineRule="auto"/>
              <w:rPr>
                <w:rStyle w:val="112"/>
                <w:sz w:val="24"/>
              </w:rPr>
            </w:pPr>
            <w:r>
              <w:rPr>
                <w:rStyle w:val="112"/>
                <w:rFonts w:ascii="Times New Roman" w:hAnsi="Times New Roman"/>
                <w:sz w:val="24"/>
              </w:rPr>
              <w:t>(1)</w:t>
            </w:r>
            <w:r>
              <w:rPr>
                <w:rStyle w:val="112"/>
                <w:rFonts w:hint="eastAsia"/>
                <w:sz w:val="24"/>
              </w:rPr>
              <w:t>投标文件格式文件要求盖单位章和（或）签字的地方，投标人均应使用CA数字证书加盖投标人的单位电子签章和（或）法定代表人的个人电子签名。</w:t>
            </w:r>
          </w:p>
          <w:p w14:paraId="4D025529">
            <w:pPr>
              <w:pStyle w:val="114"/>
              <w:snapToGrid w:val="0"/>
              <w:spacing w:line="360" w:lineRule="auto"/>
              <w:rPr>
                <w:rFonts w:ascii="宋体" w:hAnsi="宋体"/>
                <w:sz w:val="24"/>
              </w:rPr>
            </w:pPr>
            <w:r>
              <w:rPr>
                <w:rStyle w:val="112"/>
                <w:rFonts w:ascii="Times New Roman" w:hAnsi="Times New Roman"/>
                <w:sz w:val="24"/>
              </w:rPr>
              <w:t>(2)本</w:t>
            </w:r>
            <w:r>
              <w:rPr>
                <w:rStyle w:val="112"/>
                <w:sz w:val="24"/>
              </w:rPr>
              <w:t>文件中要求提交网上查询的证明资料的，以及本款中未明确要求盖章或签字的，不需盖章或签字；</w:t>
            </w:r>
          </w:p>
        </w:tc>
      </w:tr>
      <w:tr w14:paraId="4E5EB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443330BE">
            <w:pPr>
              <w:overflowPunct w:val="0"/>
              <w:spacing w:line="276" w:lineRule="auto"/>
              <w:jc w:val="center"/>
              <w:rPr>
                <w:rFonts w:ascii="宋体" w:hAnsi="宋体"/>
                <w:b/>
                <w:sz w:val="24"/>
              </w:rPr>
            </w:pPr>
            <w:r>
              <w:rPr>
                <w:rFonts w:hint="eastAsia" w:ascii="宋体" w:hAnsi="宋体"/>
                <w:b/>
                <w:sz w:val="24"/>
              </w:rPr>
              <w:t>22</w:t>
            </w:r>
          </w:p>
        </w:tc>
        <w:tc>
          <w:tcPr>
            <w:tcW w:w="2509" w:type="dxa"/>
            <w:tcBorders>
              <w:top w:val="single" w:color="auto" w:sz="4" w:space="0"/>
              <w:bottom w:val="single" w:color="auto" w:sz="4" w:space="0"/>
            </w:tcBorders>
            <w:vAlign w:val="center"/>
          </w:tcPr>
          <w:p w14:paraId="0FD2148F">
            <w:pPr>
              <w:overflowPunct w:val="0"/>
              <w:spacing w:line="276" w:lineRule="auto"/>
              <w:jc w:val="center"/>
              <w:rPr>
                <w:rFonts w:ascii="宋体" w:hAnsi="宋体"/>
                <w:b/>
                <w:sz w:val="24"/>
              </w:rPr>
            </w:pPr>
            <w:r>
              <w:rPr>
                <w:rFonts w:hint="eastAsia" w:ascii="宋体" w:hAnsi="宋体"/>
                <w:b/>
                <w:sz w:val="24"/>
              </w:rPr>
              <w:t>付款方式及币种</w:t>
            </w:r>
          </w:p>
        </w:tc>
        <w:tc>
          <w:tcPr>
            <w:tcW w:w="6837" w:type="dxa"/>
            <w:tcBorders>
              <w:top w:val="single" w:color="auto" w:sz="4" w:space="0"/>
            </w:tcBorders>
            <w:vAlign w:val="center"/>
          </w:tcPr>
          <w:p w14:paraId="5505360D">
            <w:pPr>
              <w:overflowPunct w:val="0"/>
              <w:spacing w:line="276" w:lineRule="auto"/>
              <w:rPr>
                <w:rFonts w:ascii="宋体" w:hAnsi="宋体"/>
                <w:sz w:val="24"/>
              </w:rPr>
            </w:pPr>
            <w:r>
              <w:rPr>
                <w:rFonts w:ascii="宋体" w:hAnsi="宋体"/>
                <w:sz w:val="24"/>
              </w:rPr>
              <w:t>1</w:t>
            </w:r>
            <w:r>
              <w:rPr>
                <w:rFonts w:hint="eastAsia" w:ascii="宋体" w:hAnsi="宋体"/>
                <w:sz w:val="24"/>
              </w:rPr>
              <w:t>、付款币种</w:t>
            </w:r>
          </w:p>
          <w:p w14:paraId="15E322AE">
            <w:pPr>
              <w:overflowPunct w:val="0"/>
              <w:spacing w:line="276" w:lineRule="auto"/>
              <w:rPr>
                <w:rFonts w:ascii="宋体" w:hAnsi="宋体"/>
                <w:sz w:val="24"/>
              </w:rPr>
            </w:pPr>
            <w:r>
              <w:rPr>
                <w:rFonts w:hint="eastAsia" w:ascii="宋体" w:hAnsi="宋体"/>
                <w:sz w:val="24"/>
              </w:rPr>
              <w:t>本次招标所述的项目资金均以人民币支付。</w:t>
            </w:r>
          </w:p>
          <w:p w14:paraId="6FE17A0F">
            <w:pPr>
              <w:spacing w:line="276" w:lineRule="auto"/>
              <w:jc w:val="left"/>
              <w:rPr>
                <w:rFonts w:ascii="宋体" w:hAnsi="宋体"/>
                <w:b/>
                <w:sz w:val="24"/>
              </w:rPr>
            </w:pPr>
            <w:r>
              <w:rPr>
                <w:rFonts w:ascii="宋体" w:hAnsi="宋体"/>
                <w:sz w:val="24"/>
              </w:rPr>
              <w:t>2</w:t>
            </w:r>
            <w:r>
              <w:rPr>
                <w:rFonts w:hint="eastAsia" w:ascii="宋体" w:hAnsi="宋体"/>
                <w:sz w:val="24"/>
              </w:rPr>
              <w:t>、付款方式：以合同签订时约定为准。</w:t>
            </w:r>
          </w:p>
        </w:tc>
      </w:tr>
      <w:tr w14:paraId="04B28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A864364">
            <w:pPr>
              <w:overflowPunct w:val="0"/>
              <w:spacing w:line="276" w:lineRule="auto"/>
              <w:jc w:val="center"/>
              <w:rPr>
                <w:rFonts w:ascii="宋体" w:hAnsi="宋体"/>
                <w:b/>
                <w:sz w:val="24"/>
              </w:rPr>
            </w:pPr>
            <w:r>
              <w:rPr>
                <w:rFonts w:hint="eastAsia" w:ascii="宋体" w:hAnsi="宋体"/>
                <w:b/>
                <w:sz w:val="24"/>
              </w:rPr>
              <w:t>23</w:t>
            </w:r>
          </w:p>
        </w:tc>
        <w:tc>
          <w:tcPr>
            <w:tcW w:w="2509" w:type="dxa"/>
            <w:tcBorders>
              <w:top w:val="single" w:color="auto" w:sz="4" w:space="0"/>
            </w:tcBorders>
            <w:vAlign w:val="center"/>
          </w:tcPr>
          <w:p w14:paraId="15584E6E">
            <w:pPr>
              <w:overflowPunct w:val="0"/>
              <w:spacing w:line="276" w:lineRule="auto"/>
              <w:jc w:val="center"/>
              <w:rPr>
                <w:rFonts w:ascii="宋体" w:hAnsi="宋体"/>
                <w:b/>
                <w:sz w:val="24"/>
              </w:rPr>
            </w:pPr>
            <w:r>
              <w:rPr>
                <w:rFonts w:hint="eastAsia" w:ascii="宋体" w:hAnsi="宋体"/>
                <w:b/>
                <w:sz w:val="24"/>
              </w:rPr>
              <w:t>投标费用</w:t>
            </w:r>
          </w:p>
        </w:tc>
        <w:tc>
          <w:tcPr>
            <w:tcW w:w="6837" w:type="dxa"/>
            <w:vAlign w:val="center"/>
          </w:tcPr>
          <w:p w14:paraId="0E8964AD">
            <w:pPr>
              <w:spacing w:line="276" w:lineRule="auto"/>
              <w:rPr>
                <w:rFonts w:ascii="宋体" w:hAnsi="宋体"/>
                <w:sz w:val="24"/>
              </w:rPr>
            </w:pPr>
            <w:r>
              <w:rPr>
                <w:rFonts w:hint="eastAsia" w:ascii="宋体" w:hAnsi="宋体"/>
                <w:sz w:val="24"/>
              </w:rPr>
              <w:t>不论投标的结果如何，投标人均应自行承担所有与参加投标有关的全部费用。</w:t>
            </w:r>
          </w:p>
        </w:tc>
      </w:tr>
      <w:tr w14:paraId="6D098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25217435">
            <w:pPr>
              <w:overflowPunct w:val="0"/>
              <w:spacing w:line="276" w:lineRule="auto"/>
              <w:jc w:val="center"/>
              <w:rPr>
                <w:rFonts w:ascii="宋体" w:hAnsi="宋体"/>
                <w:b/>
                <w:sz w:val="24"/>
              </w:rPr>
            </w:pPr>
            <w:r>
              <w:rPr>
                <w:rFonts w:hint="eastAsia" w:ascii="宋体" w:hAnsi="宋体"/>
                <w:b/>
                <w:sz w:val="24"/>
              </w:rPr>
              <w:t>24</w:t>
            </w:r>
          </w:p>
        </w:tc>
        <w:tc>
          <w:tcPr>
            <w:tcW w:w="2509" w:type="dxa"/>
            <w:vAlign w:val="center"/>
          </w:tcPr>
          <w:p w14:paraId="113904AD">
            <w:pPr>
              <w:overflowPunct w:val="0"/>
              <w:spacing w:line="276" w:lineRule="auto"/>
              <w:jc w:val="center"/>
              <w:rPr>
                <w:rFonts w:ascii="宋体" w:hAnsi="宋体" w:cs="宋体"/>
                <w:b/>
                <w:kern w:val="0"/>
                <w:sz w:val="24"/>
              </w:rPr>
            </w:pPr>
            <w:r>
              <w:rPr>
                <w:rFonts w:hint="eastAsia" w:ascii="宋体" w:hAnsi="宋体" w:cs="宋体"/>
                <w:b/>
                <w:kern w:val="0"/>
                <w:sz w:val="24"/>
              </w:rPr>
              <w:t>招标代理服务费</w:t>
            </w:r>
          </w:p>
        </w:tc>
        <w:tc>
          <w:tcPr>
            <w:tcW w:w="6837" w:type="dxa"/>
            <w:vAlign w:val="center"/>
          </w:tcPr>
          <w:p w14:paraId="777B2E99">
            <w:pPr>
              <w:tabs>
                <w:tab w:val="left" w:pos="5760"/>
              </w:tabs>
              <w:spacing w:line="276" w:lineRule="auto"/>
              <w:rPr>
                <w:rFonts w:ascii="宋体" w:hAnsi="宋体" w:cs="仿宋"/>
                <w:sz w:val="24"/>
              </w:rPr>
            </w:pPr>
            <w:r>
              <w:rPr>
                <w:rFonts w:hint="eastAsia" w:ascii="宋体" w:hAnsi="宋体" w:cs="仿宋"/>
                <w:sz w:val="24"/>
              </w:rPr>
              <w:t>1、代理报酬的计算方法：</w:t>
            </w:r>
            <w:r>
              <w:rPr>
                <w:rFonts w:hint="eastAsia" w:ascii="宋体" w:hAnsi="宋体" w:cs="仿宋"/>
                <w:sz w:val="24"/>
                <w:u w:val="single"/>
              </w:rPr>
              <w:t>参照原国家计委计价格【2002】1980号文和国家发改委发改办价格【2003】857号文的计算方法下浮30%收取。不足三千元按照三千元收取。</w:t>
            </w:r>
          </w:p>
          <w:p w14:paraId="10CC8DDE">
            <w:pPr>
              <w:tabs>
                <w:tab w:val="left" w:pos="5760"/>
              </w:tabs>
              <w:spacing w:line="276" w:lineRule="auto"/>
              <w:rPr>
                <w:rFonts w:ascii="宋体" w:hAnsi="宋体" w:cs="仿宋"/>
                <w:sz w:val="24"/>
              </w:rPr>
            </w:pPr>
            <w:r>
              <w:rPr>
                <w:rFonts w:hint="eastAsia" w:ascii="宋体" w:hAnsi="宋体" w:cs="仿宋"/>
                <w:sz w:val="24"/>
              </w:rPr>
              <w:t>2、代理报酬支付方式：</w:t>
            </w:r>
            <w:r>
              <w:rPr>
                <w:rFonts w:hint="eastAsia" w:ascii="宋体" w:hAnsi="宋体" w:cs="仿宋"/>
                <w:sz w:val="24"/>
                <w:u w:val="single"/>
              </w:rPr>
              <w:t>由中标人支付。</w:t>
            </w:r>
          </w:p>
          <w:p w14:paraId="1FF36402">
            <w:pPr>
              <w:tabs>
                <w:tab w:val="left" w:pos="5760"/>
              </w:tabs>
              <w:spacing w:line="276" w:lineRule="auto"/>
              <w:rPr>
                <w:rFonts w:ascii="宋体" w:hAnsi="宋体" w:cs="宋体"/>
                <w:kern w:val="0"/>
                <w:sz w:val="24"/>
                <w:szCs w:val="24"/>
              </w:rPr>
            </w:pPr>
            <w:r>
              <w:rPr>
                <w:rFonts w:hint="eastAsia" w:ascii="宋体" w:hAnsi="宋体" w:cs="仿宋"/>
                <w:sz w:val="24"/>
              </w:rPr>
              <w:t>3、代理报酬的支付时间：</w:t>
            </w:r>
            <w:r>
              <w:rPr>
                <w:rFonts w:hint="eastAsia" w:ascii="宋体" w:hAnsi="宋体" w:cs="仿宋"/>
                <w:sz w:val="24"/>
                <w:u w:val="single"/>
              </w:rPr>
              <w:t>由中标人领取中标通知书前支付。</w:t>
            </w:r>
          </w:p>
        </w:tc>
      </w:tr>
      <w:tr w14:paraId="26E32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EB49567">
            <w:pPr>
              <w:overflowPunct w:val="0"/>
              <w:spacing w:line="276" w:lineRule="auto"/>
              <w:jc w:val="center"/>
              <w:rPr>
                <w:rFonts w:ascii="宋体" w:hAnsi="宋体"/>
                <w:b/>
                <w:sz w:val="24"/>
              </w:rPr>
            </w:pPr>
            <w:r>
              <w:rPr>
                <w:rFonts w:hint="eastAsia" w:ascii="宋体" w:hAnsi="宋体"/>
                <w:b/>
                <w:sz w:val="24"/>
              </w:rPr>
              <w:t>25</w:t>
            </w:r>
          </w:p>
        </w:tc>
        <w:tc>
          <w:tcPr>
            <w:tcW w:w="2509" w:type="dxa"/>
            <w:vAlign w:val="center"/>
          </w:tcPr>
          <w:p w14:paraId="6136128B">
            <w:pPr>
              <w:overflowPunct w:val="0"/>
              <w:spacing w:line="276" w:lineRule="auto"/>
              <w:jc w:val="center"/>
              <w:rPr>
                <w:rFonts w:ascii="宋体" w:hAnsi="宋体"/>
                <w:b/>
                <w:sz w:val="24"/>
              </w:rPr>
            </w:pPr>
            <w:r>
              <w:rPr>
                <w:rFonts w:hint="eastAsia" w:ascii="宋体" w:hAnsi="宋体"/>
                <w:b/>
                <w:sz w:val="24"/>
              </w:rPr>
              <w:t>低于成本价不正当</w:t>
            </w:r>
          </w:p>
          <w:p w14:paraId="655ABE02">
            <w:pPr>
              <w:overflowPunct w:val="0"/>
              <w:spacing w:line="276" w:lineRule="auto"/>
              <w:jc w:val="center"/>
              <w:rPr>
                <w:rFonts w:ascii="宋体" w:hAnsi="宋体"/>
                <w:b/>
                <w:sz w:val="24"/>
              </w:rPr>
            </w:pPr>
            <w:r>
              <w:rPr>
                <w:rFonts w:hint="eastAsia" w:ascii="宋体" w:hAnsi="宋体"/>
                <w:b/>
                <w:sz w:val="24"/>
              </w:rPr>
              <w:t>竞争预防措施</w:t>
            </w:r>
          </w:p>
        </w:tc>
        <w:tc>
          <w:tcPr>
            <w:tcW w:w="6837" w:type="dxa"/>
            <w:vAlign w:val="center"/>
          </w:tcPr>
          <w:p w14:paraId="6E7C0B90">
            <w:pPr>
              <w:spacing w:line="276" w:lineRule="auto"/>
              <w:jc w:val="left"/>
              <w:rPr>
                <w:rFonts w:ascii="宋体" w:hAnsi="宋体"/>
                <w:sz w:val="24"/>
              </w:rPr>
            </w:pPr>
            <w:r>
              <w:rPr>
                <w:rFonts w:hint="eastAsia" w:ascii="宋体" w:hAnsi="宋体"/>
                <w:sz w:val="24"/>
              </w:rPr>
              <w:t>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78E0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108DC7CA">
            <w:pPr>
              <w:overflowPunct w:val="0"/>
              <w:spacing w:line="276" w:lineRule="auto"/>
              <w:jc w:val="center"/>
              <w:rPr>
                <w:rFonts w:ascii="宋体" w:hAnsi="宋体"/>
                <w:b/>
                <w:sz w:val="24"/>
              </w:rPr>
            </w:pPr>
            <w:r>
              <w:rPr>
                <w:rFonts w:hint="eastAsia" w:ascii="宋体" w:hAnsi="宋体"/>
                <w:b/>
                <w:sz w:val="24"/>
              </w:rPr>
              <w:t>26</w:t>
            </w:r>
          </w:p>
        </w:tc>
        <w:tc>
          <w:tcPr>
            <w:tcW w:w="2509" w:type="dxa"/>
            <w:vAlign w:val="center"/>
          </w:tcPr>
          <w:p w14:paraId="312F55A9">
            <w:pPr>
              <w:spacing w:line="276" w:lineRule="auto"/>
              <w:jc w:val="center"/>
              <w:rPr>
                <w:rFonts w:ascii="宋体" w:hAnsi="宋体"/>
                <w:b/>
                <w:sz w:val="24"/>
                <w:szCs w:val="24"/>
              </w:rPr>
            </w:pPr>
            <w:r>
              <w:rPr>
                <w:rFonts w:hint="eastAsia" w:ascii="宋体" w:hAnsi="宋体"/>
                <w:b/>
                <w:sz w:val="24"/>
                <w:szCs w:val="24"/>
              </w:rPr>
              <w:t>政府采购政策支持</w:t>
            </w:r>
          </w:p>
        </w:tc>
        <w:tc>
          <w:tcPr>
            <w:tcW w:w="6837" w:type="dxa"/>
          </w:tcPr>
          <w:p w14:paraId="2F6E3DD0">
            <w:pPr>
              <w:spacing w:line="276" w:lineRule="auto"/>
              <w:rPr>
                <w:rFonts w:ascii="宋体" w:hAnsi="宋体"/>
                <w:sz w:val="24"/>
                <w:szCs w:val="24"/>
              </w:rPr>
            </w:pPr>
            <w:r>
              <w:rPr>
                <w:rFonts w:hint="eastAsia" w:ascii="宋体" w:hAnsi="宋体"/>
                <w:sz w:val="24"/>
                <w:szCs w:val="24"/>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2E13C49B">
            <w:pPr>
              <w:spacing w:line="276" w:lineRule="auto"/>
              <w:rPr>
                <w:rFonts w:ascii="宋体" w:hAnsi="宋体"/>
                <w:sz w:val="24"/>
                <w:szCs w:val="24"/>
              </w:rPr>
            </w:pPr>
            <w:r>
              <w:rPr>
                <w:rFonts w:hint="eastAsia" w:ascii="宋体" w:hAnsi="宋体"/>
                <w:sz w:val="24"/>
                <w:szCs w:val="24"/>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19825C18">
            <w:pPr>
              <w:spacing w:line="276" w:lineRule="auto"/>
              <w:rPr>
                <w:rFonts w:ascii="宋体" w:hAnsi="宋体"/>
                <w:sz w:val="24"/>
                <w:szCs w:val="24"/>
              </w:rPr>
            </w:pPr>
            <w:r>
              <w:rPr>
                <w:rFonts w:hint="eastAsia" w:ascii="宋体" w:hAnsi="宋体"/>
                <w:sz w:val="24"/>
                <w:szCs w:val="24"/>
              </w:rPr>
              <w:t>3、在货物采购项目中，供应商提供的货物既有中小企业制造货物，也有大型企业制造货物的，不享受本办法规定的中小企业扶持政策。</w:t>
            </w:r>
          </w:p>
          <w:p w14:paraId="75A19CC7">
            <w:pPr>
              <w:spacing w:line="276" w:lineRule="auto"/>
              <w:rPr>
                <w:rFonts w:ascii="宋体" w:hAnsi="宋体"/>
                <w:sz w:val="24"/>
                <w:szCs w:val="24"/>
              </w:rPr>
            </w:pPr>
            <w:r>
              <w:rPr>
                <w:rFonts w:hint="eastAsia" w:ascii="宋体" w:hAnsi="宋体"/>
                <w:sz w:val="24"/>
                <w:szCs w:val="24"/>
              </w:rPr>
              <w:t>4、以联合体形式参加政府采购活动，联合体各方均为中小企业的，联合体视同中小企业。其中，联合体各方均为小微企业的，联合体视同小微企业。</w:t>
            </w:r>
          </w:p>
          <w:p w14:paraId="12A4E1C6">
            <w:pPr>
              <w:spacing w:line="276" w:lineRule="auto"/>
              <w:rPr>
                <w:rFonts w:ascii="宋体" w:hAnsi="宋体"/>
                <w:sz w:val="24"/>
                <w:szCs w:val="24"/>
              </w:rPr>
            </w:pPr>
            <w:r>
              <w:rPr>
                <w:rFonts w:hint="eastAsia" w:ascii="宋体" w:hAnsi="宋体"/>
                <w:sz w:val="24"/>
                <w:szCs w:val="24"/>
              </w:rPr>
              <w:t>5、供应商经享受扶持政策获得政府采购合同的，小微企业不得将合同分包给大中型企业，中型企业不得将合同分包给大型企业。</w:t>
            </w:r>
          </w:p>
          <w:p w14:paraId="517E3BC3">
            <w:pPr>
              <w:spacing w:line="276" w:lineRule="auto"/>
              <w:rPr>
                <w:rFonts w:ascii="宋体" w:hAnsi="宋体"/>
                <w:b/>
                <w:bCs/>
                <w:color w:val="auto"/>
                <w:sz w:val="24"/>
                <w:szCs w:val="24"/>
              </w:rPr>
            </w:pPr>
            <w:r>
              <w:rPr>
                <w:rFonts w:hint="eastAsia" w:ascii="宋体" w:hAnsi="宋体"/>
                <w:b/>
                <w:bCs/>
                <w:color w:val="auto"/>
                <w:sz w:val="24"/>
                <w:szCs w:val="24"/>
              </w:rPr>
              <w:t>6、本项目中小企业扶持政策：本项目为非专门面向中小企业采购项目，对小型和微型企业（或联合体各方均为小型、微型企业的，残疾人福利性单位、监狱企业视为小微企业）产品的价格给予10%的扣除，用扣除后的价格参与价格的评审。</w:t>
            </w:r>
          </w:p>
          <w:p w14:paraId="5D57491F">
            <w:pPr>
              <w:spacing w:line="276" w:lineRule="auto"/>
              <w:rPr>
                <w:rFonts w:ascii="宋体" w:hAnsi="宋体"/>
                <w:sz w:val="24"/>
                <w:szCs w:val="24"/>
              </w:rPr>
            </w:pPr>
            <w:r>
              <w:rPr>
                <w:rFonts w:hint="eastAsia" w:ascii="宋体" w:hAnsi="宋体"/>
                <w:sz w:val="24"/>
                <w:szCs w:val="24"/>
              </w:rPr>
              <w:t>7、根据“关于印发中小企业划型标准规定的通知（工信部联企业〔2011〕300号）”等有关规定，本项目标的所属行业为</w:t>
            </w:r>
            <w:r>
              <w:rPr>
                <w:rFonts w:hint="eastAsia" w:ascii="宋体" w:hAnsi="宋体"/>
                <w:b/>
                <w:bCs/>
                <w:sz w:val="24"/>
                <w:szCs w:val="24"/>
              </w:rPr>
              <w:t>工业</w:t>
            </w:r>
            <w:r>
              <w:rPr>
                <w:rFonts w:hint="eastAsia" w:ascii="宋体" w:hAnsi="宋体"/>
                <w:sz w:val="24"/>
                <w:szCs w:val="24"/>
              </w:rPr>
              <w:t>。</w:t>
            </w:r>
          </w:p>
          <w:p w14:paraId="6E5D7923">
            <w:pPr>
              <w:spacing w:line="276" w:lineRule="auto"/>
              <w:rPr>
                <w:rFonts w:ascii="宋体" w:hAnsi="宋体"/>
                <w:sz w:val="24"/>
                <w:szCs w:val="24"/>
              </w:rPr>
            </w:pPr>
            <w:r>
              <w:rPr>
                <w:rFonts w:hint="eastAsia" w:ascii="宋体" w:hAnsi="宋体"/>
                <w:sz w:val="24"/>
                <w:szCs w:val="24"/>
              </w:rPr>
              <w:t>8、根据财政部、工业和信息化部关于印发《政府采购促进中小企业发展管理办法》的通知(财库(2020)46号)，投标人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0D8911C2">
            <w:pPr>
              <w:spacing w:line="276" w:lineRule="auto"/>
              <w:rPr>
                <w:rFonts w:ascii="宋体" w:hAnsi="宋体"/>
                <w:sz w:val="24"/>
                <w:szCs w:val="24"/>
              </w:rPr>
            </w:pPr>
            <w:r>
              <w:rPr>
                <w:rFonts w:hint="eastAsia" w:ascii="宋体" w:hAnsi="宋体"/>
                <w:sz w:val="24"/>
                <w:szCs w:val="24"/>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2CE1B03F">
            <w:pPr>
              <w:spacing w:line="276" w:lineRule="auto"/>
              <w:rPr>
                <w:rFonts w:ascii="宋体" w:hAnsi="宋体"/>
                <w:sz w:val="24"/>
                <w:szCs w:val="24"/>
              </w:rPr>
            </w:pPr>
            <w:r>
              <w:rPr>
                <w:rFonts w:hint="eastAsia" w:ascii="宋体" w:hAnsi="宋体"/>
                <w:sz w:val="24"/>
                <w:szCs w:val="24"/>
              </w:rPr>
              <w:t>10、根据财政部、民政部、中国残疾人联合会《关于促进残疾人就业政府采购政策的通知》（财库[2017]141号），在政府采购活动中，残疾人福利性单位视同中型、小型、微型企业。投标人属于残疾人福利性单位的，按照文件格式提供残疾人福利性单位声明函。</w:t>
            </w:r>
          </w:p>
        </w:tc>
      </w:tr>
      <w:tr w14:paraId="5B370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9" w:type="dxa"/>
            <w:vAlign w:val="center"/>
          </w:tcPr>
          <w:p w14:paraId="728BA310">
            <w:pPr>
              <w:overflowPunct w:val="0"/>
              <w:spacing w:line="276" w:lineRule="auto"/>
              <w:jc w:val="center"/>
              <w:rPr>
                <w:rFonts w:ascii="宋体" w:hAnsi="宋体"/>
                <w:b/>
                <w:sz w:val="24"/>
              </w:rPr>
            </w:pPr>
            <w:r>
              <w:rPr>
                <w:rFonts w:hint="eastAsia" w:ascii="宋体" w:hAnsi="宋体"/>
                <w:b/>
                <w:sz w:val="24"/>
              </w:rPr>
              <w:t>27</w:t>
            </w:r>
          </w:p>
        </w:tc>
        <w:tc>
          <w:tcPr>
            <w:tcW w:w="2509" w:type="dxa"/>
            <w:vAlign w:val="center"/>
          </w:tcPr>
          <w:p w14:paraId="3B938541">
            <w:pPr>
              <w:pStyle w:val="80"/>
              <w:spacing w:line="276" w:lineRule="auto"/>
              <w:jc w:val="center"/>
              <w:rPr>
                <w:rFonts w:cs="Times New Roman"/>
                <w:b/>
                <w:kern w:val="2"/>
              </w:rPr>
            </w:pPr>
            <w:r>
              <w:rPr>
                <w:rFonts w:hint="eastAsia" w:cs="Times New Roman"/>
                <w:b/>
                <w:kern w:val="2"/>
              </w:rPr>
              <w:t>质疑须知</w:t>
            </w:r>
          </w:p>
        </w:tc>
        <w:tc>
          <w:tcPr>
            <w:tcW w:w="6837" w:type="dxa"/>
            <w:vAlign w:val="center"/>
          </w:tcPr>
          <w:p w14:paraId="73ABD352">
            <w:pPr>
              <w:pStyle w:val="80"/>
              <w:spacing w:line="276" w:lineRule="auto"/>
              <w:jc w:val="both"/>
              <w:rPr>
                <w:rFonts w:cs="Times New Roman"/>
                <w:kern w:val="2"/>
              </w:rPr>
            </w:pPr>
            <w:r>
              <w:rPr>
                <w:rFonts w:hint="eastAsia" w:cs="Times New Roman"/>
                <w:kern w:val="2"/>
              </w:rPr>
              <w:t>递交方式：现场递交纸质版质疑函（加盖供应商单位公章）及Word格式电子版质疑文件至采购代理机构，如法定代表人前来递交需携带法定代表人身份证明及法定代表人身份证原件，如‌委托人（被授权人）前来递交需携带法定代表人授权委托书及委托人（被授权人）身份证原件。</w:t>
            </w:r>
          </w:p>
          <w:p w14:paraId="159C2098">
            <w:pPr>
              <w:pStyle w:val="80"/>
              <w:spacing w:line="276" w:lineRule="auto"/>
              <w:jc w:val="both"/>
              <w:rPr>
                <w:rFonts w:cs="Times New Roman"/>
                <w:kern w:val="2"/>
              </w:rPr>
            </w:pPr>
            <w:r>
              <w:rPr>
                <w:rFonts w:hint="eastAsia" w:cs="Times New Roman"/>
                <w:kern w:val="2"/>
              </w:rPr>
              <w:t>递交地址：新疆乌鲁木齐新市区长春南路528号天康企业大厦3楼</w:t>
            </w:r>
          </w:p>
          <w:p w14:paraId="33B501F5">
            <w:pPr>
              <w:pStyle w:val="80"/>
              <w:spacing w:line="276" w:lineRule="auto"/>
              <w:jc w:val="both"/>
              <w:rPr>
                <w:rFonts w:cs="Times New Roman"/>
                <w:kern w:val="2"/>
              </w:rPr>
            </w:pPr>
            <w:r>
              <w:rPr>
                <w:rFonts w:hint="eastAsia" w:cs="Times New Roman"/>
                <w:kern w:val="2"/>
              </w:rPr>
              <w:t>联系人：邱奕霏</w:t>
            </w:r>
          </w:p>
          <w:p w14:paraId="013BC941">
            <w:pPr>
              <w:pStyle w:val="80"/>
              <w:spacing w:line="276" w:lineRule="auto"/>
              <w:jc w:val="both"/>
              <w:rPr>
                <w:rFonts w:cs="Times New Roman"/>
                <w:kern w:val="2"/>
              </w:rPr>
            </w:pPr>
            <w:r>
              <w:rPr>
                <w:rFonts w:hint="eastAsia" w:cs="Times New Roman"/>
                <w:kern w:val="2"/>
              </w:rPr>
              <w:t>联系电话：18599788578</w:t>
            </w:r>
          </w:p>
          <w:p w14:paraId="201864B7">
            <w:pPr>
              <w:pStyle w:val="80"/>
              <w:spacing w:line="276" w:lineRule="auto"/>
              <w:jc w:val="both"/>
              <w:rPr>
                <w:rFonts w:cs="Times New Roman"/>
                <w:kern w:val="2"/>
              </w:rPr>
            </w:pPr>
            <w:r>
              <w:rPr>
                <w:rFonts w:hint="eastAsia" w:cs="Times New Roman"/>
                <w:kern w:val="2"/>
              </w:rPr>
              <w:t>邮箱：346596835@qq.com</w:t>
            </w:r>
          </w:p>
          <w:p w14:paraId="35C7580A">
            <w:pPr>
              <w:pStyle w:val="80"/>
              <w:spacing w:line="276" w:lineRule="auto"/>
              <w:jc w:val="both"/>
              <w:rPr>
                <w:rFonts w:cs="Times New Roman"/>
                <w:b/>
                <w:bCs/>
                <w:kern w:val="2"/>
              </w:rPr>
            </w:pPr>
            <w:r>
              <w:rPr>
                <w:rFonts w:hint="eastAsia" w:cs="Times New Roman"/>
                <w:b/>
                <w:bCs/>
                <w:kern w:val="2"/>
              </w:rPr>
              <w:t>注：1.根据《中华人民共和国政府采购法》的规定，投标人质疑不得超出公开招标文件、公开招标过程及公开招标结果的范围及时效限制。</w:t>
            </w:r>
          </w:p>
          <w:p w14:paraId="4D40A4A3">
            <w:pPr>
              <w:pStyle w:val="80"/>
              <w:spacing w:line="276" w:lineRule="auto"/>
              <w:jc w:val="both"/>
              <w:rPr>
                <w:rFonts w:cs="Times New Roman"/>
                <w:kern w:val="2"/>
              </w:rPr>
            </w:pPr>
            <w:r>
              <w:rPr>
                <w:rFonts w:hint="eastAsia" w:cs="Times New Roman"/>
                <w:b/>
                <w:bCs/>
                <w:kern w:val="2"/>
              </w:rPr>
              <w:t>2.质疑函请参照中国政府采购网-下载专区-质疑函范本http://www.ccgp.gov.cn/编制。</w:t>
            </w:r>
          </w:p>
        </w:tc>
      </w:tr>
      <w:tr w14:paraId="72807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0E5ABB20">
            <w:pPr>
              <w:overflowPunct w:val="0"/>
              <w:spacing w:line="276" w:lineRule="auto"/>
              <w:jc w:val="center"/>
              <w:rPr>
                <w:rFonts w:ascii="宋体" w:hAnsi="宋体"/>
                <w:b/>
                <w:sz w:val="24"/>
              </w:rPr>
            </w:pPr>
            <w:r>
              <w:rPr>
                <w:rFonts w:hint="eastAsia" w:ascii="宋体" w:hAnsi="宋体"/>
                <w:b/>
                <w:sz w:val="24"/>
              </w:rPr>
              <w:t>28</w:t>
            </w:r>
          </w:p>
        </w:tc>
        <w:tc>
          <w:tcPr>
            <w:tcW w:w="2509" w:type="dxa"/>
            <w:vAlign w:val="center"/>
          </w:tcPr>
          <w:p w14:paraId="6DCC0350">
            <w:pPr>
              <w:pStyle w:val="80"/>
              <w:spacing w:line="276" w:lineRule="auto"/>
              <w:jc w:val="center"/>
              <w:rPr>
                <w:rFonts w:cs="Times New Roman"/>
                <w:b/>
                <w:kern w:val="2"/>
              </w:rPr>
            </w:pPr>
            <w:r>
              <w:rPr>
                <w:rFonts w:hint="eastAsia" w:cs="Times New Roman"/>
                <w:b/>
                <w:kern w:val="2"/>
              </w:rPr>
              <w:t>答疑澄清</w:t>
            </w:r>
          </w:p>
        </w:tc>
        <w:tc>
          <w:tcPr>
            <w:tcW w:w="6837" w:type="dxa"/>
            <w:vAlign w:val="center"/>
          </w:tcPr>
          <w:p w14:paraId="32E64D4A">
            <w:pPr>
              <w:pStyle w:val="80"/>
              <w:spacing w:line="276" w:lineRule="auto"/>
              <w:jc w:val="both"/>
              <w:rPr>
                <w:rFonts w:cs="Times New Roman"/>
                <w:kern w:val="2"/>
              </w:rPr>
            </w:pPr>
            <w:r>
              <w:rPr>
                <w:rFonts w:hint="eastAsia" w:cs="Times New Roman"/>
                <w:kern w:val="2"/>
              </w:rPr>
              <w:t>投标人对招标文件有需要答疑澄清的须在投标截止之前十五日以书面形式提交至招标代理机构，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7192C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588BD8BC">
            <w:pPr>
              <w:overflowPunct w:val="0"/>
              <w:spacing w:line="276" w:lineRule="auto"/>
              <w:jc w:val="center"/>
              <w:rPr>
                <w:rFonts w:ascii="宋体" w:hAnsi="宋体"/>
                <w:b/>
                <w:sz w:val="24"/>
              </w:rPr>
            </w:pPr>
            <w:r>
              <w:rPr>
                <w:rFonts w:hint="eastAsia" w:ascii="宋体" w:hAnsi="宋体"/>
                <w:b/>
                <w:sz w:val="24"/>
              </w:rPr>
              <w:t>29</w:t>
            </w:r>
          </w:p>
        </w:tc>
        <w:tc>
          <w:tcPr>
            <w:tcW w:w="2509" w:type="dxa"/>
            <w:vAlign w:val="center"/>
          </w:tcPr>
          <w:p w14:paraId="3B9DAF11">
            <w:pPr>
              <w:pStyle w:val="80"/>
              <w:spacing w:line="276" w:lineRule="auto"/>
              <w:jc w:val="center"/>
              <w:rPr>
                <w:rFonts w:cs="Times New Roman"/>
                <w:b/>
                <w:kern w:val="2"/>
              </w:rPr>
            </w:pPr>
            <w:r>
              <w:rPr>
                <w:rFonts w:hint="eastAsia" w:cs="Times New Roman"/>
                <w:b/>
                <w:kern w:val="2"/>
              </w:rPr>
              <w:t>公告发布媒体</w:t>
            </w:r>
          </w:p>
        </w:tc>
        <w:tc>
          <w:tcPr>
            <w:tcW w:w="6837" w:type="dxa"/>
            <w:vAlign w:val="center"/>
          </w:tcPr>
          <w:p w14:paraId="157625FD">
            <w:pPr>
              <w:widowControl/>
              <w:spacing w:line="276" w:lineRule="auto"/>
              <w:jc w:val="left"/>
              <w:rPr>
                <w:rFonts w:ascii="宋体" w:hAnsi="宋体" w:cs="宋体"/>
                <w:kern w:val="0"/>
                <w:sz w:val="24"/>
                <w:szCs w:val="24"/>
              </w:rPr>
            </w:pPr>
            <w:r>
              <w:rPr>
                <w:rFonts w:ascii="宋体" w:hAnsi="宋体" w:cs="宋体"/>
                <w:kern w:val="0"/>
                <w:sz w:val="24"/>
                <w:szCs w:val="24"/>
              </w:rPr>
              <w:t>新疆政府采购网</w:t>
            </w:r>
            <w:r>
              <w:rPr>
                <w:rFonts w:ascii="宋体" w:hAnsi="宋体" w:cs="宋体"/>
                <w:kern w:val="0"/>
                <w:sz w:val="24"/>
                <w:szCs w:val="24"/>
              </w:rPr>
              <w:drawing>
                <wp:inline distT="0" distB="0" distL="114300" distR="114300">
                  <wp:extent cx="189230" cy="142875"/>
                  <wp:effectExtent l="0" t="0" r="8890" b="9525"/>
                  <wp:docPr id="4"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GJ$ACOF(TYDYECOKVDYB"/>
                          <pic:cNvPicPr>
                            <a:picLocks noChangeAspect="1"/>
                          </pic:cNvPicPr>
                        </pic:nvPicPr>
                        <pic:blipFill>
                          <a:blip r:embed="rId16"/>
                          <a:stretch>
                            <a:fillRect/>
                          </a:stretch>
                        </pic:blipFill>
                        <pic:spPr>
                          <a:xfrm>
                            <a:off x="0" y="0"/>
                            <a:ext cx="189230" cy="142875"/>
                          </a:xfrm>
                          <a:prstGeom prst="rect">
                            <a:avLst/>
                          </a:prstGeom>
                          <a:noFill/>
                          <a:ln>
                            <a:noFill/>
                          </a:ln>
                        </pic:spPr>
                      </pic:pic>
                    </a:graphicData>
                  </a:graphic>
                </wp:inline>
              </w:drawing>
            </w:r>
            <w:r>
              <w:rPr>
                <w:rFonts w:ascii="宋体" w:hAnsi="宋体" w:cs="宋体"/>
                <w:kern w:val="0"/>
                <w:sz w:val="24"/>
                <w:szCs w:val="24"/>
              </w:rPr>
              <w:t>http://www.ccgp-xinjiang.gov.cn/home.html</w:t>
            </w:r>
          </w:p>
        </w:tc>
      </w:tr>
      <w:tr w14:paraId="07EEF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36DD9F93">
            <w:pPr>
              <w:overflowPunct w:val="0"/>
              <w:spacing w:line="276" w:lineRule="auto"/>
              <w:jc w:val="center"/>
              <w:rPr>
                <w:rFonts w:ascii="宋体" w:hAnsi="宋体"/>
                <w:b/>
                <w:sz w:val="24"/>
              </w:rPr>
            </w:pPr>
            <w:r>
              <w:rPr>
                <w:rFonts w:hint="eastAsia" w:ascii="宋体" w:hAnsi="宋体"/>
                <w:b/>
                <w:sz w:val="24"/>
              </w:rPr>
              <w:t>30</w:t>
            </w:r>
          </w:p>
        </w:tc>
        <w:tc>
          <w:tcPr>
            <w:tcW w:w="2509" w:type="dxa"/>
            <w:vAlign w:val="center"/>
          </w:tcPr>
          <w:p w14:paraId="2AEDA063">
            <w:pPr>
              <w:spacing w:line="276" w:lineRule="auto"/>
              <w:jc w:val="center"/>
              <w:rPr>
                <w:b/>
              </w:rPr>
            </w:pPr>
            <w:r>
              <w:rPr>
                <w:rFonts w:hint="eastAsia" w:ascii="宋体" w:hAnsi="宋体" w:cs="宋体"/>
                <w:b/>
                <w:bCs/>
                <w:sz w:val="24"/>
                <w:szCs w:val="24"/>
                <w:lang w:val="zh-CN"/>
              </w:rPr>
              <w:t>是否接受进口产品</w:t>
            </w:r>
          </w:p>
        </w:tc>
        <w:tc>
          <w:tcPr>
            <w:tcW w:w="6837" w:type="dxa"/>
            <w:vAlign w:val="center"/>
          </w:tcPr>
          <w:p w14:paraId="17428916">
            <w:pPr>
              <w:pStyle w:val="129"/>
              <w:spacing w:line="460" w:lineRule="exact"/>
              <w:rPr>
                <w:rFonts w:cs="宋体"/>
                <w:szCs w:val="24"/>
              </w:rPr>
            </w:pPr>
            <w:r>
              <w:rPr>
                <w:rFonts w:hint="eastAsia" w:cs="宋体"/>
                <w:szCs w:val="24"/>
              </w:rPr>
              <w:sym w:font="Wingdings" w:char="00FE"/>
            </w:r>
            <w:r>
              <w:rPr>
                <w:rFonts w:hint="eastAsia" w:cs="宋体"/>
                <w:szCs w:val="24"/>
              </w:rPr>
              <w:t>不接受</w:t>
            </w:r>
          </w:p>
          <w:p w14:paraId="62A4EEED">
            <w:pPr>
              <w:pStyle w:val="129"/>
              <w:spacing w:line="460" w:lineRule="exact"/>
              <w:rPr>
                <w:rFonts w:cs="宋体"/>
                <w:szCs w:val="24"/>
                <w:lang w:val="zh-CN"/>
              </w:rPr>
            </w:pPr>
            <w:r>
              <w:rPr>
                <w:rFonts w:hint="eastAsia" w:cs="宋体"/>
                <w:szCs w:val="24"/>
              </w:rPr>
              <w:sym w:font="Wingdings" w:char="00A8"/>
            </w:r>
            <w:r>
              <w:rPr>
                <w:rFonts w:hint="eastAsia" w:cs="宋体"/>
                <w:szCs w:val="24"/>
                <w:lang w:val="zh-CN"/>
              </w:rPr>
              <w:t>接受</w:t>
            </w:r>
          </w:p>
          <w:p w14:paraId="7D4A38F7">
            <w:pPr>
              <w:pStyle w:val="129"/>
              <w:spacing w:line="460" w:lineRule="exact"/>
              <w:rPr>
                <w:rFonts w:cs="宋体"/>
                <w:szCs w:val="24"/>
                <w:lang w:val="zh-CN"/>
              </w:rPr>
            </w:pPr>
            <w:r>
              <w:rPr>
                <w:rFonts w:hint="eastAsia" w:cs="宋体"/>
                <w:szCs w:val="24"/>
                <w:lang w:val="zh-CN"/>
              </w:rPr>
              <w:t>根据《国务院办公厅关于在政府采购中实施本国产品标准及相关政策的通知》（国办发〔2025〕34 号）的相关规定，投标产品符合“本国产品标准”的，按照以下政策执行价格评审优惠：</w:t>
            </w:r>
          </w:p>
          <w:p w14:paraId="7A3591FB">
            <w:pPr>
              <w:pStyle w:val="129"/>
              <w:spacing w:line="460" w:lineRule="exact"/>
              <w:ind w:firstLine="480" w:firstLineChars="200"/>
              <w:rPr>
                <w:rFonts w:cs="宋体"/>
                <w:szCs w:val="24"/>
                <w:lang w:val="zh-CN"/>
              </w:rPr>
            </w:pPr>
            <w:r>
              <w:rPr>
                <w:rFonts w:hint="eastAsia" w:cs="宋体"/>
                <w:szCs w:val="24"/>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的，不享受价格评审优惠。</w:t>
            </w:r>
          </w:p>
          <w:p w14:paraId="1F6B8137">
            <w:pPr>
              <w:pStyle w:val="129"/>
              <w:spacing w:line="460" w:lineRule="exact"/>
              <w:ind w:firstLine="480" w:firstLineChars="200"/>
              <w:rPr>
                <w:rFonts w:cs="宋体"/>
                <w:szCs w:val="24"/>
                <w:lang w:val="zh-CN"/>
              </w:rPr>
            </w:pPr>
            <w:r>
              <w:rPr>
                <w:rFonts w:hint="eastAsia" w:cs="宋体"/>
                <w:szCs w:val="24"/>
                <w:lang w:val="zh-CN"/>
              </w:rPr>
              <w:t>符合以上政策价格评审优惠政策的，需按以下要求提供证明文件，否则不予享受价格评审优惠政策：</w:t>
            </w:r>
          </w:p>
          <w:p w14:paraId="03FDB82C">
            <w:pPr>
              <w:spacing w:line="276" w:lineRule="auto"/>
              <w:jc w:val="left"/>
              <w:rPr>
                <w:rFonts w:ascii="宋体" w:hAnsi="宋体" w:cs="宋体"/>
                <w:kern w:val="0"/>
                <w:sz w:val="24"/>
                <w:szCs w:val="24"/>
              </w:rPr>
            </w:pPr>
            <w:r>
              <w:rPr>
                <w:rFonts w:hint="eastAsia" w:ascii="宋体" w:hAnsi="宋体" w:cs="宋体"/>
                <w:sz w:val="24"/>
                <w:szCs w:val="24"/>
                <w:lang w:val="zh-CN"/>
              </w:rPr>
              <w:t>（一）出具《关于符合本国产品标准的声明函》（样式见第</w:t>
            </w:r>
            <w:r>
              <w:rPr>
                <w:rFonts w:hint="eastAsia" w:cs="宋体"/>
                <w:sz w:val="24"/>
                <w:szCs w:val="24"/>
              </w:rPr>
              <w:t>六部分</w:t>
            </w:r>
            <w:r>
              <w:rPr>
                <w:rFonts w:hint="eastAsia" w:ascii="宋体" w:hAnsi="宋体" w:cs="宋体"/>
                <w:sz w:val="24"/>
                <w:szCs w:val="24"/>
                <w:lang w:val="zh-CN"/>
              </w:rPr>
              <w:t>投标文件格式，以下简称《声明函》）或财政部会同有关部门规</w:t>
            </w:r>
            <w:r>
              <w:rPr>
                <w:rFonts w:hint="eastAsia" w:ascii="宋体" w:hAnsi="宋体" w:cs="宋体"/>
                <w:color w:val="000000"/>
                <w:kern w:val="0"/>
                <w:sz w:val="24"/>
                <w:szCs w:val="24"/>
                <w:lang w:bidi="ar"/>
              </w:rPr>
              <w:t>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6A1F8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188A4E2">
            <w:pPr>
              <w:overflowPunct w:val="0"/>
              <w:spacing w:line="276" w:lineRule="auto"/>
              <w:jc w:val="center"/>
              <w:rPr>
                <w:rFonts w:ascii="宋体" w:hAnsi="宋体"/>
                <w:b/>
                <w:sz w:val="24"/>
              </w:rPr>
            </w:pPr>
            <w:r>
              <w:rPr>
                <w:rFonts w:hint="eastAsia" w:ascii="宋体" w:hAnsi="宋体"/>
                <w:b/>
                <w:sz w:val="24"/>
              </w:rPr>
              <w:t>31</w:t>
            </w:r>
          </w:p>
        </w:tc>
        <w:tc>
          <w:tcPr>
            <w:tcW w:w="2509" w:type="dxa"/>
            <w:vAlign w:val="center"/>
          </w:tcPr>
          <w:p w14:paraId="40C8BFCD">
            <w:pPr>
              <w:spacing w:line="276" w:lineRule="auto"/>
              <w:jc w:val="center"/>
              <w:rPr>
                <w:rFonts w:ascii="宋体" w:hAnsi="宋体" w:cs="宋体"/>
                <w:b/>
                <w:bCs/>
                <w:sz w:val="24"/>
                <w:szCs w:val="24"/>
                <w:lang w:val="zh-CN"/>
              </w:rPr>
            </w:pPr>
            <w:r>
              <w:rPr>
                <w:rFonts w:hint="eastAsia" w:ascii="宋体" w:hAnsi="宋体" w:cs="宋体"/>
                <w:b/>
                <w:bCs/>
                <w:sz w:val="24"/>
                <w:szCs w:val="24"/>
              </w:rPr>
              <w:t>政府采购异常低价</w:t>
            </w:r>
          </w:p>
        </w:tc>
        <w:tc>
          <w:tcPr>
            <w:tcW w:w="6837" w:type="dxa"/>
            <w:vAlign w:val="center"/>
          </w:tcPr>
          <w:p w14:paraId="37BE4914">
            <w:pPr>
              <w:pStyle w:val="129"/>
              <w:spacing w:line="460" w:lineRule="exact"/>
              <w:rPr>
                <w:rFonts w:cs="宋体"/>
                <w:snapToGrid w:val="0"/>
              </w:rPr>
            </w:pPr>
            <w:r>
              <w:rPr>
                <w:rFonts w:hint="eastAsia" w:cs="宋体"/>
                <w:snapToGrid w:val="0"/>
              </w:rPr>
              <w:t>关于政府采购异常低价问题：</w:t>
            </w:r>
          </w:p>
          <w:p w14:paraId="4FADD971">
            <w:pPr>
              <w:pStyle w:val="129"/>
              <w:spacing w:line="460" w:lineRule="exact"/>
              <w:ind w:firstLine="480" w:firstLineChars="200"/>
              <w:rPr>
                <w:rFonts w:cs="宋体"/>
                <w:snapToGrid w:val="0"/>
              </w:rPr>
            </w:pPr>
            <w:r>
              <w:rPr>
                <w:rFonts w:hint="eastAsia" w:cs="宋体"/>
                <w:snapToGrid w:val="0"/>
              </w:rPr>
              <w:t>1. “恶意低价中标”指报价明显低于成本，且无法通过审查证明合理性的情形，一经认定，取消投标资格。</w:t>
            </w:r>
          </w:p>
          <w:p w14:paraId="3AE913FE">
            <w:pPr>
              <w:pStyle w:val="129"/>
              <w:spacing w:line="460" w:lineRule="exact"/>
              <w:ind w:firstLine="480" w:firstLineChars="200"/>
              <w:rPr>
                <w:rFonts w:cs="宋体"/>
                <w:snapToGrid w:val="0"/>
              </w:rPr>
            </w:pPr>
            <w:r>
              <w:rPr>
                <w:rFonts w:hint="eastAsia" w:cs="宋体"/>
                <w:snapToGrid w:val="0"/>
              </w:rPr>
              <w:t>2. 异常低价审查规则（依据《关于推动解决政府采购异常低价问题的通知》财库〔2026〕2号）：</w:t>
            </w:r>
          </w:p>
          <w:p w14:paraId="1CDD890D">
            <w:pPr>
              <w:pStyle w:val="129"/>
              <w:spacing w:line="460" w:lineRule="exact"/>
              <w:ind w:firstLine="480" w:firstLineChars="200"/>
              <w:rPr>
                <w:rFonts w:cs="宋体"/>
                <w:snapToGrid w:val="0"/>
              </w:rPr>
            </w:pPr>
            <w:r>
              <w:rPr>
                <w:rFonts w:hint="eastAsia" w:cs="宋体"/>
                <w:snapToGrid w:val="0"/>
              </w:rPr>
              <w:t>①启动审查情形（满足任一即启动）：</w:t>
            </w:r>
          </w:p>
          <w:p w14:paraId="6148FE04">
            <w:pPr>
              <w:pStyle w:val="129"/>
              <w:spacing w:line="460" w:lineRule="exact"/>
              <w:rPr>
                <w:rFonts w:cs="宋体"/>
                <w:snapToGrid w:val="0"/>
              </w:rPr>
            </w:pPr>
            <w:r>
              <w:rPr>
                <w:rFonts w:hint="eastAsia" w:cs="宋体"/>
                <w:snapToGrid w:val="0"/>
              </w:rPr>
              <w:t>报价＜全部通过符合性审查供应商报价平均值×50%；</w:t>
            </w:r>
          </w:p>
          <w:p w14:paraId="25A43ADE">
            <w:pPr>
              <w:pStyle w:val="129"/>
              <w:spacing w:line="460" w:lineRule="exact"/>
              <w:rPr>
                <w:rFonts w:cs="宋体"/>
                <w:snapToGrid w:val="0"/>
              </w:rPr>
            </w:pPr>
            <w:r>
              <w:rPr>
                <w:rFonts w:hint="eastAsia" w:cs="宋体"/>
                <w:snapToGrid w:val="0"/>
              </w:rPr>
              <w:t>报价＜通过符合性审查的次低报价 ×50%；</w:t>
            </w:r>
          </w:p>
          <w:p w14:paraId="7F00705B">
            <w:pPr>
              <w:pStyle w:val="129"/>
              <w:spacing w:line="460" w:lineRule="exact"/>
              <w:rPr>
                <w:rFonts w:cs="宋体"/>
                <w:snapToGrid w:val="0"/>
              </w:rPr>
            </w:pPr>
            <w:r>
              <w:rPr>
                <w:rFonts w:hint="eastAsia" w:cs="宋体"/>
                <w:snapToGrid w:val="0"/>
              </w:rPr>
              <w:t>报价＜本项目最高限价×45%；</w:t>
            </w:r>
          </w:p>
          <w:p w14:paraId="304FF3B9">
            <w:pPr>
              <w:pStyle w:val="129"/>
              <w:spacing w:line="460" w:lineRule="exact"/>
              <w:rPr>
                <w:rFonts w:cs="宋体"/>
                <w:snapToGrid w:val="0"/>
              </w:rPr>
            </w:pPr>
            <w:r>
              <w:rPr>
                <w:rFonts w:hint="eastAsia" w:cs="宋体"/>
                <w:snapToGrid w:val="0"/>
              </w:rPr>
              <w:t>评审委员会基于专业判断，认为报价过低可能影响产品质量或诚信履约的；</w:t>
            </w:r>
          </w:p>
          <w:p w14:paraId="09BA516C">
            <w:pPr>
              <w:pStyle w:val="129"/>
              <w:spacing w:line="460" w:lineRule="exact"/>
              <w:ind w:firstLine="480" w:firstLineChars="200"/>
              <w:rPr>
                <w:rFonts w:cs="宋体"/>
                <w:snapToGrid w:val="0"/>
              </w:rPr>
            </w:pPr>
            <w:r>
              <w:rPr>
                <w:rFonts w:hint="eastAsia" w:cs="宋体"/>
                <w:snapToGrid w:val="0"/>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1DB4C912">
            <w:pPr>
              <w:pStyle w:val="129"/>
              <w:spacing w:line="460" w:lineRule="exact"/>
              <w:ind w:firstLine="480" w:firstLineChars="200"/>
              <w:rPr>
                <w:rFonts w:cs="宋体"/>
                <w:szCs w:val="24"/>
                <w:lang w:val="zh-CN"/>
              </w:rPr>
            </w:pPr>
            <w:r>
              <w:rPr>
                <w:rFonts w:hint="eastAsia" w:cs="宋体"/>
                <w:snapToGrid w:val="0"/>
              </w:rPr>
              <w:t>③结果处理：供应商未提供说明/材料，或材料无法证明报价合理性的，按“无效投标”处理；审查过程（启动原因、专家意见、供应商材料）需随评审报告归档，互联网查询记录需留存；</w:t>
            </w:r>
          </w:p>
        </w:tc>
      </w:tr>
      <w:tr w14:paraId="7C92E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0C53E113">
            <w:pPr>
              <w:overflowPunct w:val="0"/>
              <w:spacing w:line="276" w:lineRule="auto"/>
              <w:jc w:val="center"/>
              <w:rPr>
                <w:rFonts w:ascii="宋体" w:hAnsi="宋体"/>
                <w:b/>
                <w:sz w:val="24"/>
              </w:rPr>
            </w:pPr>
            <w:r>
              <w:rPr>
                <w:rFonts w:hint="eastAsia" w:ascii="宋体" w:hAnsi="宋体"/>
                <w:b/>
                <w:sz w:val="24"/>
              </w:rPr>
              <w:t>32</w:t>
            </w:r>
          </w:p>
        </w:tc>
        <w:tc>
          <w:tcPr>
            <w:tcW w:w="9346" w:type="dxa"/>
            <w:gridSpan w:val="2"/>
            <w:vAlign w:val="center"/>
          </w:tcPr>
          <w:p w14:paraId="25E582AC">
            <w:pPr>
              <w:spacing w:line="276" w:lineRule="auto"/>
              <w:jc w:val="left"/>
              <w:rPr>
                <w:rFonts w:ascii="宋体" w:hAnsi="宋体" w:cs="宋体"/>
                <w:bCs/>
                <w:kern w:val="0"/>
                <w:sz w:val="24"/>
                <w:szCs w:val="24"/>
              </w:rPr>
            </w:pPr>
            <w:r>
              <w:rPr>
                <w:rFonts w:hint="eastAsia" w:ascii="宋体" w:hAnsi="宋体" w:cs="宋体"/>
                <w:bCs/>
                <w:kern w:val="0"/>
                <w:sz w:val="24"/>
                <w:szCs w:val="24"/>
                <w:lang w:val="zh-TW"/>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6EA7E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6C161680">
            <w:pPr>
              <w:overflowPunct w:val="0"/>
              <w:spacing w:line="276" w:lineRule="auto"/>
              <w:jc w:val="center"/>
              <w:rPr>
                <w:rFonts w:ascii="宋体" w:hAnsi="宋体"/>
                <w:b/>
                <w:sz w:val="24"/>
              </w:rPr>
            </w:pPr>
            <w:r>
              <w:rPr>
                <w:rFonts w:hint="eastAsia" w:ascii="宋体" w:hAnsi="宋体"/>
                <w:b/>
                <w:sz w:val="24"/>
              </w:rPr>
              <w:t>33</w:t>
            </w:r>
          </w:p>
        </w:tc>
        <w:tc>
          <w:tcPr>
            <w:tcW w:w="9346" w:type="dxa"/>
            <w:gridSpan w:val="2"/>
            <w:vAlign w:val="center"/>
          </w:tcPr>
          <w:p w14:paraId="7BCE521D">
            <w:pPr>
              <w:spacing w:line="276" w:lineRule="auto"/>
              <w:jc w:val="left"/>
              <w:rPr>
                <w:rFonts w:ascii="宋体" w:hAnsi="宋体" w:cs="宋体"/>
                <w:bCs/>
                <w:kern w:val="0"/>
                <w:sz w:val="24"/>
                <w:szCs w:val="24"/>
              </w:rPr>
            </w:pPr>
            <w:r>
              <w:rPr>
                <w:rFonts w:hint="eastAsia" w:ascii="宋体" w:hAnsi="宋体" w:cs="宋体"/>
                <w:bCs/>
                <w:kern w:val="0"/>
                <w:sz w:val="24"/>
                <w:szCs w:val="24"/>
              </w:rPr>
              <w:t>政采云平台中的报价明细表需按投标产品逐条填写，如简写为详见投标文件等，则该供应商的投标文件作废标处理。</w:t>
            </w:r>
          </w:p>
        </w:tc>
      </w:tr>
      <w:tr w14:paraId="03D27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2DA27961">
            <w:pPr>
              <w:overflowPunct w:val="0"/>
              <w:spacing w:line="276" w:lineRule="auto"/>
              <w:jc w:val="center"/>
              <w:rPr>
                <w:rFonts w:ascii="宋体" w:hAnsi="宋体"/>
                <w:b/>
                <w:sz w:val="24"/>
                <w:highlight w:val="none"/>
              </w:rPr>
            </w:pPr>
            <w:r>
              <w:rPr>
                <w:rFonts w:hint="eastAsia" w:ascii="宋体" w:hAnsi="宋体"/>
                <w:b/>
                <w:sz w:val="24"/>
                <w:highlight w:val="none"/>
              </w:rPr>
              <w:t>34</w:t>
            </w:r>
          </w:p>
        </w:tc>
        <w:tc>
          <w:tcPr>
            <w:tcW w:w="9346" w:type="dxa"/>
            <w:gridSpan w:val="2"/>
            <w:vAlign w:val="center"/>
          </w:tcPr>
          <w:p w14:paraId="720E9BD6">
            <w:pPr>
              <w:spacing w:line="276" w:lineRule="auto"/>
              <w:jc w:val="left"/>
              <w:rPr>
                <w:rFonts w:hint="eastAsia" w:ascii="宋体" w:hAnsi="宋体" w:eastAsia="宋体" w:cs="宋体"/>
                <w:bCs/>
                <w:kern w:val="0"/>
                <w:sz w:val="24"/>
                <w:szCs w:val="24"/>
                <w:highlight w:val="none"/>
                <w:lang w:val="en-US" w:eastAsia="zh-CN"/>
              </w:rPr>
            </w:pPr>
            <w:r>
              <w:rPr>
                <w:rFonts w:hint="eastAsia" w:ascii="宋体" w:hAnsi="宋体" w:cs="宋体"/>
                <w:b/>
                <w:kern w:val="0"/>
                <w:sz w:val="24"/>
                <w:szCs w:val="24"/>
                <w:highlight w:val="none"/>
              </w:rPr>
              <w:t>核心产品：高空云台摄像机</w:t>
            </w:r>
          </w:p>
        </w:tc>
      </w:tr>
      <w:tr w14:paraId="7DC15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0E47AE28">
            <w:pPr>
              <w:overflowPunct w:val="0"/>
              <w:jc w:val="center"/>
              <w:rPr>
                <w:rFonts w:ascii="宋体" w:hAnsi="宋体"/>
                <w:b/>
                <w:sz w:val="24"/>
                <w:szCs w:val="24"/>
              </w:rPr>
            </w:pPr>
            <w:r>
              <w:rPr>
                <w:rFonts w:hint="eastAsia" w:ascii="宋体" w:hAnsi="宋体"/>
                <w:b/>
                <w:sz w:val="24"/>
                <w:szCs w:val="24"/>
              </w:rPr>
              <w:t>备注</w:t>
            </w:r>
          </w:p>
        </w:tc>
        <w:tc>
          <w:tcPr>
            <w:tcW w:w="9346" w:type="dxa"/>
            <w:gridSpan w:val="2"/>
            <w:vAlign w:val="center"/>
          </w:tcPr>
          <w:p w14:paraId="2C215697">
            <w:pPr>
              <w:ind w:firstLine="472" w:firstLineChars="196"/>
              <w:rPr>
                <w:rFonts w:ascii="宋体" w:hAnsi="宋体"/>
                <w:b/>
                <w:sz w:val="24"/>
                <w:szCs w:val="24"/>
              </w:rPr>
            </w:pPr>
            <w:r>
              <w:rPr>
                <w:rFonts w:ascii="宋体" w:hAnsi="宋体"/>
                <w:b/>
                <w:sz w:val="24"/>
                <w:szCs w:val="24"/>
              </w:rPr>
              <w:t>1</w:t>
            </w:r>
            <w:r>
              <w:rPr>
                <w:rFonts w:hint="eastAsia" w:ascii="宋体" w:hAnsi="宋体"/>
                <w:b/>
                <w:sz w:val="24"/>
                <w:szCs w:val="24"/>
              </w:rPr>
              <w:t>、招标文件中加粗、加下划线、废标、无效标、投标被拒绝字样的条款，为招标的实质性要求和条件，着重提醒各投标人注意，并认真查看招标文件中的每一个条款及要求，因误读招标文件而造成的后果，招标人概不负责。</w:t>
            </w:r>
          </w:p>
          <w:p w14:paraId="014B3C9E">
            <w:pPr>
              <w:ind w:firstLine="472" w:firstLineChars="196"/>
              <w:rPr>
                <w:rFonts w:ascii="宋体" w:hAnsi="宋体"/>
                <w:b/>
                <w:sz w:val="24"/>
                <w:szCs w:val="24"/>
              </w:rPr>
            </w:pPr>
            <w:r>
              <w:rPr>
                <w:rFonts w:ascii="宋体" w:hAnsi="宋体"/>
                <w:b/>
                <w:sz w:val="24"/>
                <w:szCs w:val="24"/>
              </w:rPr>
              <w:t>2</w:t>
            </w:r>
            <w:r>
              <w:rPr>
                <w:rFonts w:hint="eastAsia" w:ascii="宋体" w:hAnsi="宋体"/>
                <w:b/>
                <w:sz w:val="24"/>
                <w:szCs w:val="24"/>
              </w:rPr>
              <w:t>、投标文件中有弄虚作假的内容，其投标文件作废。（如假证书、假业绩、隐瞒不良行为记录、夸大荣誉、使用非本单位在职员工的相关证件及不符合招标文件规定的条款等）；在签订合同之前，如发现投标人的投标文件有弄虚作假内容，招标人可拒绝与其签订合同。并将其列入政府采购黑名单库。</w:t>
            </w:r>
          </w:p>
        </w:tc>
      </w:tr>
      <w:tr w14:paraId="09269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10325" w:type="dxa"/>
            <w:gridSpan w:val="3"/>
            <w:vAlign w:val="center"/>
          </w:tcPr>
          <w:p w14:paraId="415CB6BB">
            <w:pPr>
              <w:rPr>
                <w:rFonts w:ascii="宋体" w:hAnsi="宋体"/>
                <w:b/>
                <w:sz w:val="24"/>
                <w:szCs w:val="24"/>
              </w:rPr>
            </w:pPr>
            <w:r>
              <w:rPr>
                <w:rFonts w:hint="eastAsia" w:ascii="宋体" w:hAnsi="宋体"/>
                <w:b/>
                <w:sz w:val="24"/>
                <w:szCs w:val="24"/>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p>
        </w:tc>
      </w:tr>
    </w:tbl>
    <w:p w14:paraId="2E1765BA">
      <w:pPr>
        <w:pStyle w:val="87"/>
        <w:spacing w:line="440" w:lineRule="exact"/>
        <w:jc w:val="center"/>
        <w:outlineLvl w:val="0"/>
        <w:rPr>
          <w:rFonts w:ascii="宋体" w:hAnsi="宋体"/>
          <w:b/>
          <w:color w:val="auto"/>
          <w:kern w:val="2"/>
          <w:sz w:val="36"/>
          <w:szCs w:val="20"/>
        </w:rPr>
      </w:pPr>
      <w:r>
        <w:rPr>
          <w:rFonts w:ascii="宋体" w:hAnsi="宋体"/>
          <w:b/>
          <w:color w:val="auto"/>
          <w:kern w:val="2"/>
          <w:sz w:val="36"/>
          <w:szCs w:val="20"/>
        </w:rPr>
        <w:br w:type="page"/>
      </w:r>
      <w:bookmarkStart w:id="4" w:name="_Toc3402"/>
      <w:bookmarkStart w:id="5" w:name="_Toc89792126"/>
      <w:r>
        <w:rPr>
          <w:rFonts w:hint="eastAsia" w:ascii="宋体" w:hAnsi="宋体"/>
          <w:b/>
          <w:color w:val="auto"/>
          <w:kern w:val="2"/>
          <w:sz w:val="32"/>
          <w:szCs w:val="20"/>
        </w:rPr>
        <w:t>第二部分 招标说明</w:t>
      </w:r>
      <w:bookmarkEnd w:id="4"/>
      <w:bookmarkEnd w:id="5"/>
    </w:p>
    <w:p w14:paraId="07F09AE4">
      <w:pPr>
        <w:pStyle w:val="87"/>
        <w:spacing w:line="440" w:lineRule="exact"/>
        <w:jc w:val="center"/>
        <w:rPr>
          <w:rFonts w:ascii="宋体" w:hAnsi="宋体"/>
          <w:b/>
          <w:color w:val="auto"/>
          <w:kern w:val="2"/>
          <w:sz w:val="32"/>
          <w:szCs w:val="32"/>
        </w:rPr>
      </w:pPr>
    </w:p>
    <w:p w14:paraId="2FA897B1">
      <w:pPr>
        <w:pStyle w:val="87"/>
        <w:spacing w:line="440" w:lineRule="exact"/>
        <w:jc w:val="center"/>
        <w:outlineLvl w:val="1"/>
        <w:rPr>
          <w:rFonts w:ascii="宋体" w:hAnsi="宋体"/>
          <w:b/>
          <w:color w:val="auto"/>
          <w:kern w:val="2"/>
          <w:sz w:val="28"/>
          <w:szCs w:val="28"/>
        </w:rPr>
      </w:pPr>
      <w:bookmarkStart w:id="6" w:name="_Toc27276"/>
      <w:bookmarkStart w:id="7" w:name="_Toc89792127"/>
      <w:r>
        <w:rPr>
          <w:rFonts w:hint="eastAsia" w:ascii="宋体" w:hAnsi="宋体"/>
          <w:b/>
          <w:color w:val="auto"/>
          <w:kern w:val="2"/>
          <w:sz w:val="28"/>
          <w:szCs w:val="28"/>
        </w:rPr>
        <w:t>第一章 总则</w:t>
      </w:r>
      <w:bookmarkEnd w:id="6"/>
      <w:bookmarkEnd w:id="7"/>
    </w:p>
    <w:p w14:paraId="5B20E7B6">
      <w:pPr>
        <w:spacing w:line="440" w:lineRule="exact"/>
        <w:ind w:firstLine="472" w:firstLineChars="196"/>
        <w:rPr>
          <w:rFonts w:ascii="宋体" w:hAnsi="宋体"/>
          <w:b/>
          <w:sz w:val="24"/>
        </w:rPr>
      </w:pPr>
      <w:r>
        <w:rPr>
          <w:rFonts w:ascii="宋体" w:hAnsi="宋体"/>
          <w:b/>
          <w:sz w:val="24"/>
        </w:rPr>
        <w:t xml:space="preserve">1. </w:t>
      </w:r>
      <w:r>
        <w:rPr>
          <w:rFonts w:hint="eastAsia" w:ascii="宋体" w:hAnsi="宋体"/>
          <w:b/>
          <w:sz w:val="24"/>
        </w:rPr>
        <w:t>适用范围</w:t>
      </w:r>
    </w:p>
    <w:p w14:paraId="320D0558">
      <w:pPr>
        <w:spacing w:line="440" w:lineRule="exact"/>
        <w:ind w:firstLine="480" w:firstLineChars="200"/>
        <w:rPr>
          <w:rFonts w:ascii="宋体" w:hAnsi="宋体"/>
          <w:sz w:val="24"/>
        </w:rPr>
      </w:pPr>
      <w:r>
        <w:rPr>
          <w:rFonts w:ascii="宋体" w:hAnsi="宋体"/>
          <w:sz w:val="24"/>
        </w:rPr>
        <w:t xml:space="preserve">1.1  </w:t>
      </w:r>
      <w:r>
        <w:rPr>
          <w:rFonts w:hint="eastAsia" w:ascii="宋体" w:hAnsi="宋体"/>
          <w:sz w:val="24"/>
        </w:rPr>
        <w:t>本招标文件仅适用于</w:t>
      </w:r>
      <w:r>
        <w:rPr>
          <w:rFonts w:hint="eastAsia" w:ascii="宋体" w:hAnsi="宋体" w:cs="宋体"/>
          <w:color w:val="000000"/>
          <w:sz w:val="24"/>
          <w:szCs w:val="24"/>
        </w:rPr>
        <w:t>本招标公告中所述项目的货物及相关服务的采购</w:t>
      </w:r>
      <w:r>
        <w:rPr>
          <w:rFonts w:hint="eastAsia" w:ascii="宋体" w:hAnsi="宋体"/>
          <w:sz w:val="24"/>
        </w:rPr>
        <w:t>。</w:t>
      </w:r>
    </w:p>
    <w:p w14:paraId="345B1BD5">
      <w:pPr>
        <w:tabs>
          <w:tab w:val="left" w:pos="1185"/>
        </w:tabs>
        <w:spacing w:line="440" w:lineRule="exact"/>
        <w:ind w:firstLine="482" w:firstLineChars="200"/>
        <w:rPr>
          <w:rFonts w:ascii="宋体" w:hAnsi="宋体"/>
          <w:b/>
          <w:sz w:val="24"/>
        </w:rPr>
      </w:pPr>
      <w:r>
        <w:rPr>
          <w:rFonts w:ascii="宋体" w:hAnsi="宋体"/>
          <w:b/>
          <w:sz w:val="24"/>
        </w:rPr>
        <w:t xml:space="preserve">2. </w:t>
      </w:r>
      <w:r>
        <w:rPr>
          <w:rFonts w:hint="eastAsia" w:ascii="宋体" w:hAnsi="宋体"/>
          <w:b/>
          <w:sz w:val="24"/>
        </w:rPr>
        <w:t>投标资格</w:t>
      </w:r>
    </w:p>
    <w:p w14:paraId="21CA1CFA">
      <w:pPr>
        <w:spacing w:line="440" w:lineRule="exact"/>
        <w:ind w:firstLine="480" w:firstLineChars="200"/>
        <w:rPr>
          <w:rFonts w:ascii="宋体" w:hAnsi="宋体"/>
          <w:sz w:val="24"/>
        </w:rPr>
      </w:pPr>
      <w:r>
        <w:rPr>
          <w:rFonts w:ascii="宋体" w:hAnsi="宋体"/>
          <w:sz w:val="24"/>
        </w:rPr>
        <w:t>2.</w:t>
      </w:r>
      <w:r>
        <w:rPr>
          <w:rFonts w:hint="eastAsia" w:ascii="宋体" w:hAnsi="宋体"/>
          <w:sz w:val="24"/>
        </w:rPr>
        <w:t>1. 满足《中华人民共和国政府采购法》第二十二条规定；</w:t>
      </w:r>
    </w:p>
    <w:p w14:paraId="30615B8A">
      <w:pPr>
        <w:spacing w:line="440" w:lineRule="exact"/>
        <w:ind w:firstLine="480" w:firstLineChars="200"/>
        <w:rPr>
          <w:rFonts w:ascii="宋体" w:hAnsi="宋体"/>
          <w:sz w:val="24"/>
        </w:rPr>
      </w:pPr>
      <w:r>
        <w:rPr>
          <w:rFonts w:ascii="宋体" w:hAnsi="宋体"/>
          <w:sz w:val="24"/>
        </w:rPr>
        <w:t>2.</w:t>
      </w:r>
      <w:r>
        <w:rPr>
          <w:rFonts w:hint="eastAsia" w:ascii="宋体" w:hAnsi="宋体"/>
          <w:sz w:val="24"/>
        </w:rPr>
        <w:t>2. 落实政府采购政策需满足的资格要求：见投标须知前附表</w:t>
      </w:r>
    </w:p>
    <w:p w14:paraId="7B9B5727">
      <w:pPr>
        <w:spacing w:line="440" w:lineRule="exact"/>
        <w:ind w:firstLine="480" w:firstLineChars="200"/>
        <w:rPr>
          <w:rFonts w:ascii="宋体" w:hAnsi="宋体"/>
          <w:sz w:val="24"/>
        </w:rPr>
      </w:pPr>
      <w:r>
        <w:rPr>
          <w:rFonts w:ascii="宋体" w:hAnsi="宋体"/>
          <w:sz w:val="24"/>
        </w:rPr>
        <w:t>2.</w:t>
      </w:r>
      <w:r>
        <w:rPr>
          <w:rFonts w:hint="eastAsia" w:ascii="宋体" w:hAnsi="宋体"/>
          <w:sz w:val="24"/>
        </w:rPr>
        <w:t>3. 本项目的特定资格要求：见投标须知前附表</w:t>
      </w:r>
      <w:r>
        <w:rPr>
          <w:rFonts w:ascii="宋体" w:hAnsi="宋体"/>
          <w:sz w:val="24"/>
        </w:rPr>
        <w:t xml:space="preserve"> </w:t>
      </w:r>
    </w:p>
    <w:p w14:paraId="669D9843">
      <w:pPr>
        <w:spacing w:line="440" w:lineRule="exact"/>
        <w:ind w:firstLine="480" w:firstLineChars="200"/>
        <w:rPr>
          <w:rFonts w:ascii="宋体" w:hAnsi="宋体"/>
          <w:sz w:val="24"/>
        </w:rPr>
      </w:pPr>
      <w:r>
        <w:rPr>
          <w:rFonts w:ascii="宋体" w:hAnsi="宋体"/>
          <w:sz w:val="24"/>
        </w:rPr>
        <w:t>3.</w:t>
      </w:r>
      <w:r>
        <w:rPr>
          <w:rFonts w:hint="eastAsia" w:ascii="宋体" w:hAnsi="宋体"/>
          <w:sz w:val="24"/>
        </w:rPr>
        <w:t xml:space="preserve"> 投标人存在下列情形之一的，拒绝其参加本次投标（已投标的按无效标处理）：</w:t>
      </w:r>
    </w:p>
    <w:p w14:paraId="502D1070">
      <w:pPr>
        <w:spacing w:line="440" w:lineRule="exact"/>
        <w:ind w:firstLine="480" w:firstLineChars="200"/>
        <w:rPr>
          <w:rFonts w:ascii="宋体" w:hAnsi="宋体"/>
          <w:sz w:val="24"/>
        </w:rPr>
      </w:pPr>
      <w:r>
        <w:rPr>
          <w:rFonts w:hint="eastAsia" w:ascii="宋体" w:hAnsi="宋体"/>
          <w:sz w:val="24"/>
        </w:rPr>
        <w:t>（1）为招标人不具有独立法人资格的附属机构（单位）；</w:t>
      </w:r>
    </w:p>
    <w:p w14:paraId="7EF3E495">
      <w:pPr>
        <w:spacing w:line="440" w:lineRule="exact"/>
        <w:ind w:firstLine="480" w:firstLineChars="200"/>
        <w:rPr>
          <w:rFonts w:ascii="宋体" w:hAnsi="宋体"/>
          <w:sz w:val="24"/>
        </w:rPr>
      </w:pPr>
      <w:r>
        <w:rPr>
          <w:rFonts w:hint="eastAsia" w:ascii="宋体" w:hAnsi="宋体"/>
          <w:sz w:val="24"/>
        </w:rPr>
        <w:t>（2）为本标段前期准备提供设计或咨询服务的；</w:t>
      </w:r>
    </w:p>
    <w:p w14:paraId="39777A27">
      <w:pPr>
        <w:spacing w:line="440" w:lineRule="exact"/>
        <w:ind w:firstLine="480" w:firstLineChars="200"/>
        <w:rPr>
          <w:rFonts w:ascii="宋体" w:hAnsi="宋体"/>
          <w:sz w:val="24"/>
        </w:rPr>
      </w:pPr>
      <w:r>
        <w:rPr>
          <w:rFonts w:hint="eastAsia" w:ascii="宋体" w:hAnsi="宋体"/>
          <w:sz w:val="24"/>
        </w:rPr>
        <w:t>（3）为本标段提供招标代理服务的；</w:t>
      </w:r>
    </w:p>
    <w:p w14:paraId="5152D59D">
      <w:pPr>
        <w:spacing w:line="440" w:lineRule="exact"/>
        <w:ind w:firstLine="480" w:firstLineChars="200"/>
        <w:rPr>
          <w:rFonts w:ascii="宋体" w:hAnsi="宋体"/>
          <w:sz w:val="24"/>
        </w:rPr>
      </w:pPr>
      <w:r>
        <w:rPr>
          <w:rFonts w:hint="eastAsia" w:ascii="宋体" w:hAnsi="宋体"/>
          <w:sz w:val="24"/>
        </w:rPr>
        <w:t>（4）法定代表人为同一人的两个及两个以上法人，母公司、全资子公司及其控股公司，在同一货物采购招标中同时投标的；</w:t>
      </w:r>
    </w:p>
    <w:p w14:paraId="6320E9F5">
      <w:pPr>
        <w:spacing w:line="440" w:lineRule="exact"/>
        <w:ind w:firstLine="480" w:firstLineChars="200"/>
        <w:rPr>
          <w:rFonts w:ascii="宋体" w:hAnsi="宋体"/>
          <w:sz w:val="24"/>
        </w:rPr>
      </w:pPr>
      <w:r>
        <w:rPr>
          <w:rFonts w:hint="eastAsia" w:ascii="宋体" w:hAnsi="宋体"/>
          <w:sz w:val="24"/>
        </w:rPr>
        <w:t>（5）单位负责人为同一人或者存在直接控股、管理关系的不同供应商（服务商），不得参加同一合同项下的政府采购活动；</w:t>
      </w:r>
    </w:p>
    <w:p w14:paraId="3967477F">
      <w:pPr>
        <w:spacing w:line="440" w:lineRule="exact"/>
        <w:ind w:firstLine="480" w:firstLineChars="200"/>
        <w:rPr>
          <w:rFonts w:ascii="宋体" w:hAnsi="宋体"/>
          <w:sz w:val="24"/>
        </w:rPr>
      </w:pPr>
      <w:r>
        <w:rPr>
          <w:rFonts w:hint="eastAsia" w:ascii="宋体" w:hAnsi="宋体"/>
          <w:sz w:val="24"/>
        </w:rPr>
        <w:t>（6）被责令停业的；</w:t>
      </w:r>
    </w:p>
    <w:p w14:paraId="4962BB36">
      <w:pPr>
        <w:spacing w:line="440" w:lineRule="exact"/>
        <w:ind w:firstLine="480" w:firstLineChars="200"/>
        <w:rPr>
          <w:rFonts w:ascii="宋体" w:hAnsi="宋体"/>
          <w:sz w:val="24"/>
        </w:rPr>
      </w:pPr>
      <w:r>
        <w:rPr>
          <w:rFonts w:hint="eastAsia" w:ascii="宋体" w:hAnsi="宋体"/>
          <w:sz w:val="24"/>
        </w:rPr>
        <w:t>（7）被暂停或取消投标资格的；</w:t>
      </w:r>
    </w:p>
    <w:p w14:paraId="3565146A">
      <w:pPr>
        <w:spacing w:line="440" w:lineRule="exact"/>
        <w:ind w:firstLine="480" w:firstLineChars="200"/>
        <w:rPr>
          <w:rFonts w:ascii="宋体" w:hAnsi="宋体"/>
          <w:sz w:val="24"/>
        </w:rPr>
      </w:pPr>
      <w:r>
        <w:rPr>
          <w:rFonts w:hint="eastAsia" w:ascii="宋体" w:hAnsi="宋体"/>
          <w:sz w:val="24"/>
        </w:rPr>
        <w:t>（8）财产被接管或冻结的；</w:t>
      </w:r>
    </w:p>
    <w:p w14:paraId="5889FF25">
      <w:pPr>
        <w:spacing w:line="440" w:lineRule="exact"/>
        <w:ind w:firstLine="480" w:firstLineChars="200"/>
        <w:rPr>
          <w:rFonts w:ascii="宋体" w:hAnsi="宋体"/>
          <w:sz w:val="24"/>
        </w:rPr>
      </w:pPr>
      <w:r>
        <w:rPr>
          <w:rFonts w:hint="eastAsia" w:ascii="宋体" w:hAnsi="宋体"/>
          <w:sz w:val="24"/>
        </w:rPr>
        <w:t>（9）在最近三年内有骗取中标或严重违约或重大质量问题的，受到行政处罚的。</w:t>
      </w:r>
    </w:p>
    <w:p w14:paraId="24236878">
      <w:pPr>
        <w:spacing w:line="440" w:lineRule="exact"/>
        <w:ind w:firstLine="480" w:firstLineChars="200"/>
        <w:rPr>
          <w:rFonts w:ascii="宋体" w:hAnsi="宋体"/>
          <w:sz w:val="24"/>
        </w:rPr>
      </w:pPr>
      <w:r>
        <w:rPr>
          <w:rFonts w:ascii="宋体" w:hAnsi="宋体"/>
          <w:sz w:val="24"/>
        </w:rPr>
        <w:t xml:space="preserve">4. </w:t>
      </w:r>
      <w:r>
        <w:rPr>
          <w:rFonts w:hint="eastAsia" w:ascii="宋体" w:hAnsi="宋体"/>
          <w:sz w:val="24"/>
        </w:rPr>
        <w:t>有下列情形之一的，视为投标人串通投标，其投标无效：</w:t>
      </w:r>
    </w:p>
    <w:p w14:paraId="5999F50D">
      <w:pPr>
        <w:spacing w:line="440" w:lineRule="exact"/>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）不同投标人的投标文件由同一单位或者个人编制。</w:t>
      </w:r>
    </w:p>
    <w:p w14:paraId="420FE659">
      <w:pPr>
        <w:spacing w:line="440" w:lineRule="exact"/>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）不同投标人委托同一单位或者个人办理投标事宜。</w:t>
      </w:r>
    </w:p>
    <w:p w14:paraId="6ED414A6">
      <w:pPr>
        <w:spacing w:line="44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）不同投标人的投标文件载明的项目管理成员或者联系人员为同一人。</w:t>
      </w:r>
    </w:p>
    <w:p w14:paraId="05343BBA">
      <w:pPr>
        <w:spacing w:line="440" w:lineRule="exact"/>
        <w:ind w:firstLine="480" w:firstLineChars="20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）不同投标人的投标文件异常一致或者投标报价呈规律性差异。</w:t>
      </w:r>
    </w:p>
    <w:p w14:paraId="62248FB0">
      <w:pPr>
        <w:spacing w:line="440" w:lineRule="exact"/>
        <w:ind w:firstLine="480" w:firstLineChars="20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）不同投标人的投标文件相互混装。</w:t>
      </w:r>
    </w:p>
    <w:p w14:paraId="7481C9DF">
      <w:pPr>
        <w:spacing w:line="44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）不同投标人的投标保证金从同一单位或者个人的账户转出。</w:t>
      </w:r>
    </w:p>
    <w:p w14:paraId="1C353058">
      <w:pPr>
        <w:spacing w:line="440" w:lineRule="exact"/>
        <w:ind w:firstLine="480" w:firstLineChars="200"/>
        <w:rPr>
          <w:rFonts w:ascii="宋体" w:hAnsi="宋体"/>
          <w:sz w:val="24"/>
        </w:rPr>
      </w:pPr>
      <w:r>
        <w:rPr>
          <w:rFonts w:hint="eastAsia" w:ascii="宋体" w:hAnsi="宋体"/>
          <w:sz w:val="24"/>
        </w:rPr>
        <w:t>（7）投标文件技术规格中的响应与事实不符或虚假投标的；</w:t>
      </w:r>
    </w:p>
    <w:p w14:paraId="28EAF8B0">
      <w:pPr>
        <w:spacing w:line="440" w:lineRule="exact"/>
        <w:ind w:firstLine="480" w:firstLineChars="200"/>
        <w:rPr>
          <w:rFonts w:ascii="宋体" w:hAnsi="宋体"/>
          <w:sz w:val="24"/>
        </w:rPr>
      </w:pPr>
      <w:r>
        <w:rPr>
          <w:rFonts w:hint="eastAsia" w:ascii="宋体" w:hAnsi="宋体"/>
          <w:sz w:val="24"/>
        </w:rPr>
        <w:t>（8）投标文件符合招标文件中规定废标的其它技术条款；</w:t>
      </w:r>
    </w:p>
    <w:p w14:paraId="79AFACF5">
      <w:pPr>
        <w:spacing w:line="440" w:lineRule="exact"/>
        <w:ind w:firstLine="480" w:firstLineChars="200"/>
        <w:rPr>
          <w:rFonts w:ascii="宋体" w:hAnsi="宋体"/>
          <w:sz w:val="24"/>
        </w:rPr>
      </w:pPr>
      <w:r>
        <w:rPr>
          <w:rFonts w:hint="eastAsia" w:ascii="宋体" w:hAnsi="宋体"/>
          <w:sz w:val="24"/>
        </w:rPr>
        <w:t>（9）投标人拒绝修正错误的；</w:t>
      </w:r>
    </w:p>
    <w:p w14:paraId="3705E047">
      <w:pPr>
        <w:spacing w:line="440" w:lineRule="exact"/>
        <w:ind w:firstLine="480" w:firstLineChars="200"/>
        <w:rPr>
          <w:rFonts w:ascii="宋体" w:hAnsi="宋体"/>
          <w:sz w:val="24"/>
        </w:rPr>
      </w:pPr>
      <w:r>
        <w:rPr>
          <w:rFonts w:hint="eastAsia" w:ascii="宋体" w:hAnsi="宋体"/>
          <w:sz w:val="24"/>
        </w:rPr>
        <w:t>（10）其他违反相关法律法规规定的行为的；</w:t>
      </w:r>
    </w:p>
    <w:p w14:paraId="0718E454">
      <w:pPr>
        <w:spacing w:line="440" w:lineRule="exact"/>
        <w:ind w:firstLine="480" w:firstLineChars="200"/>
        <w:rPr>
          <w:rFonts w:ascii="宋体" w:hAnsi="宋体"/>
          <w:sz w:val="24"/>
        </w:rPr>
      </w:pPr>
      <w:r>
        <w:rPr>
          <w:rFonts w:hint="eastAsia" w:ascii="宋体" w:hAnsi="宋体"/>
          <w:sz w:val="24"/>
        </w:rPr>
        <w:t>（11）评标委员会认为是其他应当否决的投标。</w:t>
      </w:r>
    </w:p>
    <w:p w14:paraId="1F4A340C">
      <w:pPr>
        <w:spacing w:line="440" w:lineRule="exact"/>
        <w:ind w:firstLine="480" w:firstLineChars="200"/>
        <w:rPr>
          <w:rFonts w:ascii="宋体" w:hAnsi="宋体"/>
          <w:sz w:val="24"/>
        </w:rPr>
      </w:pPr>
      <w:r>
        <w:rPr>
          <w:rFonts w:ascii="宋体" w:hAnsi="宋体"/>
          <w:sz w:val="24"/>
        </w:rPr>
        <w:t xml:space="preserve">5. </w:t>
      </w:r>
      <w:r>
        <w:rPr>
          <w:rFonts w:hint="eastAsia" w:ascii="宋体" w:hAnsi="宋体"/>
          <w:sz w:val="24"/>
        </w:rPr>
        <w:t>投标人在本次招标活动中，必须遵守《中华人民共和国政府采购法》及相关法律法规的规定。</w:t>
      </w:r>
    </w:p>
    <w:p w14:paraId="7D75851B">
      <w:pPr>
        <w:spacing w:line="440" w:lineRule="exact"/>
        <w:ind w:firstLine="482" w:firstLineChars="200"/>
        <w:rPr>
          <w:rFonts w:ascii="宋体" w:hAnsi="宋体"/>
          <w:b/>
          <w:sz w:val="24"/>
        </w:rPr>
      </w:pPr>
      <w:r>
        <w:rPr>
          <w:rFonts w:ascii="宋体" w:hAnsi="宋体"/>
          <w:b/>
          <w:sz w:val="24"/>
        </w:rPr>
        <w:t>6</w:t>
      </w:r>
      <w:r>
        <w:rPr>
          <w:rFonts w:hint="eastAsia" w:ascii="宋体" w:hAnsi="宋体"/>
          <w:b/>
          <w:sz w:val="24"/>
        </w:rPr>
        <w:t>. 定义</w:t>
      </w:r>
    </w:p>
    <w:p w14:paraId="3785A90D">
      <w:pPr>
        <w:spacing w:line="440" w:lineRule="exact"/>
        <w:ind w:firstLine="480" w:firstLineChars="200"/>
        <w:rPr>
          <w:rFonts w:ascii="宋体" w:hAnsi="宋体"/>
          <w:sz w:val="24"/>
        </w:rPr>
      </w:pPr>
      <w:r>
        <w:rPr>
          <w:rFonts w:hint="eastAsia" w:ascii="宋体" w:hAnsi="宋体"/>
          <w:sz w:val="24"/>
        </w:rPr>
        <w:t>下列术语和缩写的定义为：</w:t>
      </w:r>
    </w:p>
    <w:p w14:paraId="40DC1965">
      <w:pPr>
        <w:spacing w:line="440" w:lineRule="exact"/>
        <w:ind w:firstLine="480" w:firstLineChars="200"/>
        <w:rPr>
          <w:rFonts w:ascii="宋体" w:hAnsi="宋体"/>
          <w:sz w:val="24"/>
        </w:rPr>
      </w:pPr>
      <w:r>
        <w:rPr>
          <w:rFonts w:hint="eastAsia" w:ascii="宋体" w:hAnsi="宋体"/>
          <w:sz w:val="24"/>
        </w:rPr>
        <w:t>6.1  “采购人”是指依法进行政府采购的国家机关、事业单位、团体组织。</w:t>
      </w:r>
    </w:p>
    <w:p w14:paraId="162C42E9">
      <w:pPr>
        <w:spacing w:line="440" w:lineRule="exact"/>
        <w:ind w:firstLine="480" w:firstLineChars="200"/>
        <w:rPr>
          <w:rFonts w:ascii="宋体" w:hAnsi="宋体"/>
          <w:sz w:val="24"/>
        </w:rPr>
      </w:pPr>
      <w:r>
        <w:rPr>
          <w:rFonts w:hint="eastAsia" w:ascii="宋体" w:hAnsi="宋体"/>
          <w:sz w:val="24"/>
        </w:rPr>
        <w:t>6.2  “招标代理机构”系指新疆守正项目管理咨询有限公司。</w:t>
      </w:r>
    </w:p>
    <w:p w14:paraId="4A0398E5">
      <w:pPr>
        <w:spacing w:line="440" w:lineRule="exact"/>
        <w:ind w:firstLine="480" w:firstLineChars="200"/>
        <w:rPr>
          <w:rFonts w:ascii="宋体" w:hAnsi="宋体"/>
          <w:sz w:val="24"/>
        </w:rPr>
      </w:pPr>
      <w:r>
        <w:rPr>
          <w:rFonts w:hint="eastAsia" w:ascii="宋体" w:hAnsi="宋体"/>
          <w:sz w:val="24"/>
        </w:rPr>
        <w:t>6.3  “招标方”系指采购人和招标代理机构的统称。</w:t>
      </w:r>
    </w:p>
    <w:p w14:paraId="39780BA9">
      <w:pPr>
        <w:spacing w:line="440" w:lineRule="exact"/>
        <w:ind w:firstLine="480" w:firstLineChars="200"/>
        <w:rPr>
          <w:rFonts w:ascii="宋体" w:hAnsi="宋体"/>
          <w:sz w:val="24"/>
        </w:rPr>
      </w:pPr>
      <w:r>
        <w:rPr>
          <w:rFonts w:hint="eastAsia" w:ascii="宋体" w:hAnsi="宋体"/>
          <w:sz w:val="24"/>
        </w:rPr>
        <w:t>6.4  “投标人”是响应招标文件并且符合招标文件规定资格条件和参加投标竞争的法人、其他组织或者自然人。</w:t>
      </w:r>
    </w:p>
    <w:p w14:paraId="4E7F59A3">
      <w:pPr>
        <w:spacing w:line="440" w:lineRule="exact"/>
        <w:ind w:firstLine="480" w:firstLineChars="200"/>
        <w:rPr>
          <w:rFonts w:ascii="宋体" w:hAnsi="宋体"/>
          <w:sz w:val="24"/>
        </w:rPr>
      </w:pPr>
      <w:r>
        <w:rPr>
          <w:rFonts w:hint="eastAsia" w:ascii="宋体" w:hAnsi="宋体"/>
          <w:sz w:val="24"/>
        </w:rPr>
        <w:t>6.</w:t>
      </w:r>
      <w:r>
        <w:rPr>
          <w:rFonts w:ascii="宋体" w:hAnsi="宋体"/>
          <w:sz w:val="24"/>
        </w:rPr>
        <w:t>5</w:t>
      </w:r>
      <w:r>
        <w:rPr>
          <w:rFonts w:hint="eastAsia" w:ascii="宋体" w:hAnsi="宋体"/>
          <w:sz w:val="24"/>
        </w:rPr>
        <w:t>　“供应商”是指向采购人提供货物、工程或者服务的法人、其他组织或者自然人。</w:t>
      </w:r>
    </w:p>
    <w:p w14:paraId="1290B69E">
      <w:pPr>
        <w:spacing w:line="440" w:lineRule="exact"/>
        <w:ind w:firstLine="480" w:firstLineChars="200"/>
        <w:rPr>
          <w:rFonts w:ascii="宋体" w:hAnsi="宋体"/>
          <w:sz w:val="24"/>
        </w:rPr>
      </w:pPr>
      <w:r>
        <w:rPr>
          <w:rFonts w:hint="eastAsia" w:ascii="宋体" w:hAnsi="宋体"/>
          <w:sz w:val="24"/>
        </w:rPr>
        <w:t>6.</w:t>
      </w:r>
      <w:r>
        <w:rPr>
          <w:rFonts w:ascii="宋体" w:hAnsi="宋体"/>
          <w:sz w:val="24"/>
        </w:rPr>
        <w:t>6</w:t>
      </w:r>
      <w:r>
        <w:rPr>
          <w:rFonts w:hint="eastAsia" w:ascii="宋体" w:hAnsi="宋体"/>
          <w:sz w:val="24"/>
        </w:rPr>
        <w:t xml:space="preserve">  “投标人代表”是指投标人法定代表人，或法定代表人指定的某一代表自己参与和处理与投标项目有关事宜的自然人。</w:t>
      </w:r>
    </w:p>
    <w:p w14:paraId="4273653C">
      <w:pPr>
        <w:spacing w:line="440" w:lineRule="exact"/>
        <w:ind w:firstLine="480" w:firstLineChars="200"/>
        <w:rPr>
          <w:rFonts w:ascii="宋体" w:hAnsi="宋体"/>
          <w:sz w:val="24"/>
        </w:rPr>
      </w:pPr>
      <w:r>
        <w:rPr>
          <w:rFonts w:hint="eastAsia" w:ascii="宋体" w:hAnsi="宋体"/>
          <w:sz w:val="24"/>
        </w:rPr>
        <w:t>6.</w:t>
      </w:r>
      <w:r>
        <w:rPr>
          <w:rFonts w:ascii="宋体" w:hAnsi="宋体"/>
          <w:sz w:val="24"/>
        </w:rPr>
        <w:t>7</w:t>
      </w:r>
      <w:r>
        <w:rPr>
          <w:rFonts w:hint="eastAsia" w:ascii="宋体" w:hAnsi="宋体"/>
          <w:sz w:val="24"/>
        </w:rPr>
        <w:t xml:space="preserve"> “中标人”系指经评标委员、会评定后由评标委员会推荐并由采购人确定的投标人。</w:t>
      </w:r>
    </w:p>
    <w:p w14:paraId="493415E4">
      <w:pPr>
        <w:spacing w:line="440" w:lineRule="exact"/>
        <w:ind w:firstLine="480" w:firstLineChars="200"/>
        <w:rPr>
          <w:rFonts w:ascii="宋体" w:hAnsi="宋体"/>
          <w:sz w:val="24"/>
        </w:rPr>
      </w:pPr>
      <w:r>
        <w:rPr>
          <w:rFonts w:hint="eastAsia" w:ascii="宋体" w:hAnsi="宋体"/>
          <w:sz w:val="24"/>
        </w:rPr>
        <w:t>6.</w:t>
      </w:r>
      <w:r>
        <w:rPr>
          <w:rFonts w:ascii="宋体" w:hAnsi="宋体"/>
          <w:sz w:val="24"/>
        </w:rPr>
        <w:t>8</w:t>
      </w:r>
      <w:r>
        <w:rPr>
          <w:rFonts w:hint="eastAsia" w:ascii="宋体" w:hAnsi="宋体"/>
          <w:sz w:val="24"/>
        </w:rPr>
        <w:t xml:space="preserve">  “货物”、“产品”指本招标文件中第四部分《采购需求》及《政府采购品目分类目录》(财库〔2022〕31号)所述所有货物及相关服务。</w:t>
      </w:r>
    </w:p>
    <w:p w14:paraId="751FDD77">
      <w:pPr>
        <w:spacing w:line="440" w:lineRule="exact"/>
        <w:ind w:firstLine="480" w:firstLineChars="200"/>
        <w:rPr>
          <w:rFonts w:ascii="宋体" w:hAnsi="宋体"/>
          <w:sz w:val="24"/>
        </w:rPr>
      </w:pPr>
      <w:r>
        <w:rPr>
          <w:rFonts w:hint="eastAsia" w:ascii="宋体" w:hAnsi="宋体"/>
          <w:sz w:val="24"/>
        </w:rPr>
        <w:t>6.</w:t>
      </w:r>
      <w:r>
        <w:rPr>
          <w:rFonts w:ascii="宋体" w:hAnsi="宋体"/>
          <w:sz w:val="24"/>
        </w:rPr>
        <w:t>9</w:t>
      </w:r>
      <w:r>
        <w:rPr>
          <w:rFonts w:hint="eastAsia" w:ascii="宋体" w:hAnsi="宋体"/>
          <w:sz w:val="24"/>
        </w:rPr>
        <w:t xml:space="preserve">  采购信息安全产品的，应当采购经国家认证的信息安全产品；供应货物中的相关产品，供应商应提供由中国信息安全认证中心按国家标准认证颁发的有效认证证书。</w:t>
      </w:r>
    </w:p>
    <w:p w14:paraId="67DF6AA1">
      <w:pPr>
        <w:spacing w:line="440" w:lineRule="exact"/>
        <w:ind w:firstLine="480" w:firstLineChars="200"/>
        <w:rPr>
          <w:rFonts w:ascii="宋体" w:hAnsi="宋体"/>
          <w:sz w:val="24"/>
        </w:rPr>
      </w:pPr>
      <w:r>
        <w:rPr>
          <w:rFonts w:hint="eastAsia" w:ascii="宋体" w:hAnsi="宋体"/>
          <w:sz w:val="24"/>
        </w:rPr>
        <w:t>6.</w:t>
      </w:r>
      <w:r>
        <w:rPr>
          <w:rFonts w:ascii="宋体" w:hAnsi="宋体"/>
          <w:sz w:val="24"/>
        </w:rPr>
        <w:t>10</w:t>
      </w:r>
      <w:r>
        <w:rPr>
          <w:rFonts w:hint="eastAsia" w:ascii="宋体" w:hAnsi="宋体"/>
          <w:sz w:val="24"/>
        </w:rPr>
        <w:t xml:space="preserve"> “节能产品”或者“环保产品”是指财政部发布的《节能产品政府采购品目清单》内并获得认证的产品及《环境标志产品政府采购品目清单》内并获得认证的产品。</w:t>
      </w:r>
    </w:p>
    <w:p w14:paraId="7412A526">
      <w:pPr>
        <w:spacing w:line="440" w:lineRule="exact"/>
        <w:ind w:firstLine="480" w:firstLineChars="200"/>
        <w:rPr>
          <w:rFonts w:ascii="宋体" w:hAnsi="宋体"/>
          <w:sz w:val="24"/>
        </w:rPr>
      </w:pPr>
      <w:r>
        <w:rPr>
          <w:rFonts w:hint="eastAsia" w:ascii="宋体" w:hAnsi="宋体"/>
          <w:sz w:val="24"/>
        </w:rPr>
        <w:t>6.</w:t>
      </w:r>
      <w:r>
        <w:rPr>
          <w:rFonts w:ascii="宋体" w:hAnsi="宋体"/>
          <w:sz w:val="24"/>
        </w:rPr>
        <w:t>11</w:t>
      </w:r>
      <w:r>
        <w:rPr>
          <w:rFonts w:hint="eastAsia" w:ascii="宋体" w:hAnsi="宋体"/>
          <w:sz w:val="24"/>
        </w:rPr>
        <w:t xml:space="preserve"> “进口产品”是指通过中国海关报关验放进入中国境内且产自关境外的产品，详见《关于政府采购进口产品管理有关问题的通知》(财库[2007]119号)。</w:t>
      </w:r>
    </w:p>
    <w:p w14:paraId="6C8FBF83">
      <w:pPr>
        <w:spacing w:line="440" w:lineRule="exact"/>
        <w:ind w:firstLine="480" w:firstLineChars="200"/>
        <w:rPr>
          <w:rFonts w:ascii="宋体" w:hAnsi="宋体"/>
          <w:sz w:val="24"/>
        </w:rPr>
      </w:pPr>
      <w:r>
        <w:rPr>
          <w:rFonts w:hint="eastAsia" w:ascii="宋体" w:hAnsi="宋体"/>
          <w:sz w:val="24"/>
        </w:rPr>
        <w:t>6.1</w:t>
      </w:r>
      <w:r>
        <w:rPr>
          <w:rFonts w:ascii="宋体" w:hAnsi="宋体"/>
          <w:sz w:val="24"/>
        </w:rPr>
        <w:t>2</w:t>
      </w:r>
      <w:r>
        <w:rPr>
          <w:rFonts w:hint="eastAsia" w:ascii="宋体" w:hAnsi="宋体"/>
          <w:sz w:val="24"/>
        </w:rPr>
        <w:t xml:space="preserve">  “服务”系指招标文件中规定投标人须承担的质保、技术协助、培训及其他类似的责任。</w:t>
      </w:r>
    </w:p>
    <w:p w14:paraId="09BF0D7E">
      <w:pPr>
        <w:spacing w:line="440" w:lineRule="exact"/>
        <w:ind w:firstLine="480" w:firstLineChars="200"/>
        <w:rPr>
          <w:rFonts w:ascii="宋体" w:hAnsi="宋体"/>
          <w:sz w:val="24"/>
        </w:rPr>
      </w:pPr>
      <w:r>
        <w:rPr>
          <w:rFonts w:hint="eastAsia" w:ascii="宋体" w:hAnsi="宋体"/>
          <w:sz w:val="24"/>
        </w:rPr>
        <w:t>6.1</w:t>
      </w:r>
      <w:r>
        <w:rPr>
          <w:rFonts w:ascii="宋体" w:hAnsi="宋体"/>
          <w:sz w:val="24"/>
        </w:rPr>
        <w:t>3</w:t>
      </w:r>
      <w:r>
        <w:rPr>
          <w:rFonts w:hint="eastAsia" w:ascii="宋体" w:hAnsi="宋体"/>
          <w:sz w:val="24"/>
        </w:rPr>
        <w:t xml:space="preserve"> “响应”系指投标人根据招标代理机构发布的招标文件，编制投标文件并按规定投标的行为。</w:t>
      </w:r>
    </w:p>
    <w:p w14:paraId="51056DF4">
      <w:pPr>
        <w:spacing w:line="440" w:lineRule="exact"/>
        <w:ind w:firstLine="480" w:firstLineChars="200"/>
        <w:rPr>
          <w:rFonts w:ascii="宋体" w:hAnsi="宋体"/>
          <w:sz w:val="24"/>
        </w:rPr>
      </w:pPr>
      <w:r>
        <w:rPr>
          <w:rFonts w:hint="eastAsia" w:ascii="宋体" w:hAnsi="宋体"/>
          <w:sz w:val="24"/>
        </w:rPr>
        <w:t>6.1</w:t>
      </w:r>
      <w:r>
        <w:rPr>
          <w:rFonts w:ascii="宋体" w:hAnsi="宋体"/>
          <w:sz w:val="24"/>
        </w:rPr>
        <w:t>4</w:t>
      </w:r>
      <w:r>
        <w:rPr>
          <w:rFonts w:hint="eastAsia" w:ascii="宋体" w:hAnsi="宋体"/>
          <w:sz w:val="24"/>
        </w:rPr>
        <w:t xml:space="preserve">  “标段/标项（包）”系指一个完整独立的投标项目。</w:t>
      </w:r>
    </w:p>
    <w:p w14:paraId="4080549E">
      <w:pPr>
        <w:spacing w:line="440" w:lineRule="exact"/>
        <w:ind w:firstLine="482" w:firstLineChars="200"/>
        <w:rPr>
          <w:rFonts w:ascii="宋体" w:hAnsi="宋体"/>
          <w:b/>
          <w:sz w:val="24"/>
        </w:rPr>
      </w:pPr>
      <w:r>
        <w:rPr>
          <w:rFonts w:ascii="宋体" w:hAnsi="宋体"/>
          <w:b/>
          <w:sz w:val="24"/>
        </w:rPr>
        <w:t xml:space="preserve">7. </w:t>
      </w:r>
      <w:r>
        <w:rPr>
          <w:rFonts w:hint="eastAsia" w:ascii="宋体" w:hAnsi="宋体"/>
          <w:b/>
          <w:sz w:val="24"/>
        </w:rPr>
        <w:t>投标费用</w:t>
      </w:r>
    </w:p>
    <w:p w14:paraId="1AD8EDFA">
      <w:pPr>
        <w:spacing w:line="440" w:lineRule="exact"/>
        <w:ind w:firstLine="480" w:firstLineChars="200"/>
        <w:rPr>
          <w:rFonts w:ascii="宋体" w:hAnsi="宋体"/>
          <w:sz w:val="24"/>
        </w:rPr>
      </w:pPr>
      <w:r>
        <w:rPr>
          <w:rFonts w:ascii="宋体" w:hAnsi="宋体"/>
          <w:sz w:val="24"/>
        </w:rPr>
        <w:t xml:space="preserve">7.1  </w:t>
      </w:r>
      <w:r>
        <w:rPr>
          <w:rFonts w:hint="eastAsia" w:ascii="宋体" w:hAnsi="宋体"/>
          <w:sz w:val="24"/>
        </w:rPr>
        <w:t>无论投标结果如何，凡参与招标、投标活动有关的所有费用将由投标人自行承担。</w:t>
      </w:r>
    </w:p>
    <w:p w14:paraId="5B8E97B9">
      <w:pPr>
        <w:spacing w:line="440" w:lineRule="exact"/>
        <w:ind w:firstLine="480" w:firstLineChars="200"/>
        <w:rPr>
          <w:rFonts w:ascii="宋体" w:hAnsi="宋体"/>
          <w:sz w:val="24"/>
        </w:rPr>
      </w:pPr>
      <w:r>
        <w:rPr>
          <w:rFonts w:ascii="宋体" w:hAnsi="宋体"/>
          <w:sz w:val="24"/>
        </w:rPr>
        <w:t xml:space="preserve">7.2  </w:t>
      </w:r>
      <w:r>
        <w:rPr>
          <w:rFonts w:hint="eastAsia" w:ascii="宋体" w:hAnsi="宋体"/>
          <w:sz w:val="24"/>
        </w:rPr>
        <w:t>投标人被视为熟悉本招标项目的各种情况以及与履行合同有关的一切情况。</w:t>
      </w:r>
    </w:p>
    <w:p w14:paraId="48A55D5F">
      <w:pPr>
        <w:pStyle w:val="87"/>
        <w:spacing w:line="440" w:lineRule="exact"/>
        <w:jc w:val="center"/>
        <w:outlineLvl w:val="1"/>
        <w:rPr>
          <w:rFonts w:ascii="宋体" w:hAnsi="宋体"/>
          <w:b/>
          <w:color w:val="auto"/>
          <w:kern w:val="2"/>
          <w:sz w:val="28"/>
          <w:szCs w:val="32"/>
        </w:rPr>
      </w:pPr>
      <w:bookmarkStart w:id="8" w:name="_Toc89792128"/>
      <w:r>
        <w:rPr>
          <w:rFonts w:ascii="宋体" w:hAnsi="宋体"/>
          <w:b/>
          <w:color w:val="auto"/>
          <w:kern w:val="2"/>
          <w:sz w:val="28"/>
          <w:szCs w:val="32"/>
        </w:rPr>
        <w:br w:type="page"/>
      </w:r>
      <w:bookmarkStart w:id="9" w:name="_Toc17762"/>
      <w:r>
        <w:rPr>
          <w:rFonts w:hint="eastAsia" w:ascii="宋体" w:hAnsi="宋体"/>
          <w:b/>
          <w:color w:val="auto"/>
          <w:kern w:val="2"/>
          <w:sz w:val="28"/>
          <w:szCs w:val="32"/>
        </w:rPr>
        <w:t>第二章 招标文件</w:t>
      </w:r>
      <w:bookmarkEnd w:id="8"/>
      <w:bookmarkEnd w:id="9"/>
    </w:p>
    <w:p w14:paraId="40E67617">
      <w:pPr>
        <w:spacing w:line="440" w:lineRule="exact"/>
        <w:ind w:firstLine="482" w:firstLineChars="200"/>
        <w:rPr>
          <w:rFonts w:ascii="宋体" w:hAnsi="宋体"/>
          <w:b/>
          <w:sz w:val="24"/>
        </w:rPr>
      </w:pPr>
      <w:r>
        <w:rPr>
          <w:rFonts w:ascii="宋体" w:hAnsi="宋体"/>
          <w:b/>
          <w:sz w:val="24"/>
        </w:rPr>
        <w:t xml:space="preserve">8. </w:t>
      </w:r>
      <w:r>
        <w:rPr>
          <w:rFonts w:hint="eastAsia" w:ascii="宋体" w:hAnsi="宋体"/>
          <w:b/>
          <w:sz w:val="24"/>
        </w:rPr>
        <w:t>招标文件说明</w:t>
      </w:r>
    </w:p>
    <w:p w14:paraId="2ECE7258">
      <w:pPr>
        <w:spacing w:line="440" w:lineRule="exact"/>
        <w:ind w:firstLine="480" w:firstLineChars="200"/>
        <w:rPr>
          <w:rFonts w:ascii="宋体" w:hAnsi="宋体"/>
          <w:sz w:val="24"/>
        </w:rPr>
      </w:pPr>
      <w:r>
        <w:rPr>
          <w:rFonts w:ascii="宋体" w:hAnsi="宋体"/>
          <w:sz w:val="24"/>
        </w:rPr>
        <w:t xml:space="preserve">8.1  </w:t>
      </w:r>
      <w:r>
        <w:rPr>
          <w:rFonts w:hint="eastAsia" w:ascii="宋体" w:hAnsi="宋体"/>
          <w:sz w:val="24"/>
        </w:rPr>
        <w:t>招标文件组成如下：</w:t>
      </w:r>
    </w:p>
    <w:p w14:paraId="35C4D861">
      <w:pPr>
        <w:spacing w:line="440" w:lineRule="exact"/>
        <w:ind w:firstLine="480" w:firstLineChars="200"/>
        <w:rPr>
          <w:rFonts w:ascii="宋体" w:hAnsi="宋体"/>
          <w:sz w:val="24"/>
        </w:rPr>
      </w:pPr>
      <w:r>
        <w:rPr>
          <w:rFonts w:ascii="宋体" w:hAnsi="宋体"/>
          <w:sz w:val="24"/>
        </w:rPr>
        <w:t xml:space="preserve">  </w:t>
      </w:r>
      <w:r>
        <w:rPr>
          <w:rFonts w:hint="eastAsia" w:ascii="宋体" w:hAnsi="宋体"/>
          <w:sz w:val="24"/>
        </w:rPr>
        <w:t>投标邀请</w:t>
      </w:r>
    </w:p>
    <w:p w14:paraId="4DD980B3">
      <w:pPr>
        <w:spacing w:line="440" w:lineRule="exact"/>
        <w:ind w:firstLine="480" w:firstLineChars="200"/>
        <w:rPr>
          <w:rFonts w:ascii="宋体" w:hAnsi="宋体"/>
          <w:sz w:val="24"/>
        </w:rPr>
      </w:pPr>
      <w:r>
        <w:rPr>
          <w:rFonts w:hint="eastAsia" w:ascii="宋体" w:hAnsi="宋体"/>
          <w:sz w:val="24"/>
        </w:rPr>
        <w:t>第一部分投标须知</w:t>
      </w:r>
    </w:p>
    <w:p w14:paraId="125E7A06">
      <w:pPr>
        <w:spacing w:line="440" w:lineRule="exact"/>
        <w:ind w:firstLine="480" w:firstLineChars="200"/>
        <w:rPr>
          <w:rFonts w:ascii="宋体" w:hAnsi="宋体"/>
          <w:sz w:val="24"/>
        </w:rPr>
      </w:pPr>
      <w:r>
        <w:rPr>
          <w:rFonts w:hint="eastAsia" w:ascii="宋体" w:hAnsi="宋体"/>
          <w:sz w:val="24"/>
        </w:rPr>
        <w:t>第二部分招标说明</w:t>
      </w:r>
    </w:p>
    <w:p w14:paraId="0833AC20">
      <w:pPr>
        <w:spacing w:line="440" w:lineRule="exact"/>
        <w:ind w:firstLine="480" w:firstLineChars="200"/>
        <w:rPr>
          <w:rFonts w:ascii="宋体" w:hAnsi="宋体"/>
          <w:sz w:val="24"/>
        </w:rPr>
      </w:pPr>
      <w:r>
        <w:rPr>
          <w:rFonts w:hint="eastAsia" w:ascii="宋体" w:hAnsi="宋体"/>
          <w:sz w:val="24"/>
        </w:rPr>
        <w:t>第三部分投标说明</w:t>
      </w:r>
    </w:p>
    <w:p w14:paraId="67F46DED">
      <w:pPr>
        <w:spacing w:line="440" w:lineRule="exact"/>
        <w:ind w:firstLine="480" w:firstLineChars="200"/>
        <w:rPr>
          <w:rFonts w:ascii="宋体" w:hAnsi="宋体"/>
          <w:sz w:val="24"/>
        </w:rPr>
      </w:pPr>
      <w:r>
        <w:rPr>
          <w:rFonts w:hint="eastAsia" w:ascii="宋体" w:hAnsi="宋体"/>
          <w:sz w:val="24"/>
        </w:rPr>
        <w:t>第四部分采购需求</w:t>
      </w:r>
    </w:p>
    <w:p w14:paraId="2E1A773A">
      <w:pPr>
        <w:spacing w:line="440" w:lineRule="exact"/>
        <w:ind w:firstLine="480" w:firstLineChars="200"/>
        <w:rPr>
          <w:rFonts w:ascii="宋体" w:hAnsi="宋体"/>
          <w:sz w:val="24"/>
        </w:rPr>
      </w:pPr>
      <w:r>
        <w:rPr>
          <w:rFonts w:hint="eastAsia" w:ascii="宋体" w:hAnsi="宋体"/>
          <w:sz w:val="24"/>
        </w:rPr>
        <w:t>第五部分合同部分</w:t>
      </w:r>
    </w:p>
    <w:p w14:paraId="64590704">
      <w:pPr>
        <w:spacing w:line="440" w:lineRule="exact"/>
        <w:ind w:firstLine="480" w:firstLineChars="200"/>
        <w:rPr>
          <w:rFonts w:ascii="宋体" w:hAnsi="宋体"/>
          <w:sz w:val="24"/>
        </w:rPr>
      </w:pPr>
      <w:r>
        <w:rPr>
          <w:rFonts w:hint="eastAsia" w:ascii="宋体" w:hAnsi="宋体"/>
          <w:sz w:val="24"/>
        </w:rPr>
        <w:t>第六部分投标文件格式（范本格式）</w:t>
      </w:r>
    </w:p>
    <w:p w14:paraId="1EEB1AFD">
      <w:pPr>
        <w:spacing w:line="440" w:lineRule="exact"/>
        <w:ind w:firstLine="480" w:firstLineChars="200"/>
        <w:rPr>
          <w:rFonts w:ascii="宋体" w:hAnsi="宋体"/>
          <w:sz w:val="24"/>
        </w:rPr>
      </w:pPr>
      <w:r>
        <w:rPr>
          <w:rFonts w:ascii="宋体" w:hAnsi="宋体"/>
          <w:sz w:val="24"/>
        </w:rPr>
        <w:t xml:space="preserve">8.2  </w:t>
      </w:r>
      <w:r>
        <w:rPr>
          <w:rFonts w:hint="eastAsia" w:ascii="宋体" w:hAnsi="宋体"/>
          <w:sz w:val="24"/>
        </w:rPr>
        <w:t>投标人应详细阅读招标文件的全部内容。如果投标人未按照招标文件要求提交全部资料或者投标文件没有对招标文件在各方面的要求做出实质性响应，将导致其投标被拒绝。</w:t>
      </w:r>
    </w:p>
    <w:p w14:paraId="522D7290">
      <w:pPr>
        <w:spacing w:line="440" w:lineRule="exact"/>
        <w:ind w:left="359" w:leftChars="171" w:firstLine="120" w:firstLineChars="50"/>
        <w:rPr>
          <w:rFonts w:ascii="宋体" w:hAnsi="宋体"/>
          <w:b/>
          <w:sz w:val="24"/>
        </w:rPr>
      </w:pPr>
      <w:r>
        <w:rPr>
          <w:rFonts w:ascii="宋体" w:hAnsi="宋体"/>
          <w:b/>
          <w:sz w:val="24"/>
        </w:rPr>
        <w:t>9.</w:t>
      </w:r>
      <w:r>
        <w:rPr>
          <w:rFonts w:hint="eastAsia" w:ascii="宋体" w:hAnsi="宋体"/>
          <w:b/>
          <w:sz w:val="24"/>
        </w:rPr>
        <w:t xml:space="preserve"> 招标文件的修改或补充</w:t>
      </w:r>
    </w:p>
    <w:p w14:paraId="569A4948">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1　澄清或者修改的内容可能影响投标文件编制的，在投标截止期十五日前的任何时间，招标方可主动或依据投标人要求澄清的问题而修改或补充招标文件，并以书面形式或网上公告通知所有投标人，投标人在收到该通知后应立即以电报或传真的形式予以确认。</w:t>
      </w:r>
    </w:p>
    <w:p w14:paraId="161DF798">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2　为使投标人在准备投标时有适当的时间考虑投标文件的修改，招标方有权决定推迟投标截止时间和开标时间，并将此变更通知所有的投标人。</w:t>
      </w:r>
    </w:p>
    <w:p w14:paraId="11311824">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3　招标文件的修改和补充文件将构成招标文件的一部分，并且对投标人具有优先约束力。</w:t>
      </w:r>
    </w:p>
    <w:p w14:paraId="174FECCF">
      <w:pPr>
        <w:spacing w:line="440" w:lineRule="exact"/>
        <w:ind w:firstLine="482" w:firstLineChars="200"/>
        <w:rPr>
          <w:rFonts w:ascii="宋体" w:hAnsi="宋体"/>
          <w:b/>
          <w:sz w:val="24"/>
        </w:rPr>
      </w:pPr>
      <w:r>
        <w:rPr>
          <w:rFonts w:ascii="宋体" w:hAnsi="宋体"/>
          <w:b/>
          <w:sz w:val="24"/>
        </w:rPr>
        <w:t>10</w:t>
      </w:r>
      <w:r>
        <w:rPr>
          <w:rFonts w:hint="eastAsia" w:ascii="宋体" w:hAnsi="宋体"/>
          <w:b/>
          <w:sz w:val="24"/>
        </w:rPr>
        <w:t>.质疑须知</w:t>
      </w:r>
    </w:p>
    <w:p w14:paraId="7BFFBC61">
      <w:pPr>
        <w:spacing w:line="440" w:lineRule="exact"/>
        <w:ind w:firstLine="480" w:firstLineChars="200"/>
        <w:rPr>
          <w:rFonts w:ascii="宋体" w:hAnsi="宋体"/>
          <w:sz w:val="24"/>
        </w:rPr>
      </w:pPr>
      <w:r>
        <w:rPr>
          <w:rFonts w:hint="eastAsia" w:ascii="宋体" w:hAnsi="宋体"/>
          <w:sz w:val="24"/>
        </w:rPr>
        <w:t>投标人如需提出质疑的，应在法定质疑期内一次性提出针对同一采购程序环节的质疑。</w:t>
      </w:r>
    </w:p>
    <w:p w14:paraId="4C89A875">
      <w:pPr>
        <w:pStyle w:val="87"/>
        <w:spacing w:line="276" w:lineRule="auto"/>
        <w:jc w:val="center"/>
        <w:outlineLvl w:val="0"/>
        <w:rPr>
          <w:rFonts w:ascii="宋体" w:hAnsi="宋体"/>
          <w:b/>
          <w:color w:val="auto"/>
          <w:kern w:val="2"/>
          <w:sz w:val="36"/>
          <w:szCs w:val="20"/>
        </w:rPr>
      </w:pPr>
      <w:r>
        <w:rPr>
          <w:rFonts w:ascii="宋体" w:hAnsi="宋体"/>
          <w:b/>
          <w:color w:val="auto"/>
          <w:kern w:val="2"/>
          <w:sz w:val="36"/>
          <w:szCs w:val="20"/>
        </w:rPr>
        <w:br w:type="page"/>
      </w:r>
      <w:bookmarkStart w:id="10" w:name="_Toc89792129"/>
      <w:bookmarkStart w:id="11" w:name="_Toc21054"/>
      <w:r>
        <w:rPr>
          <w:rFonts w:hint="eastAsia" w:ascii="宋体" w:hAnsi="宋体"/>
          <w:b/>
          <w:color w:val="auto"/>
          <w:kern w:val="2"/>
          <w:sz w:val="32"/>
          <w:szCs w:val="20"/>
        </w:rPr>
        <w:t>第三部分 投标说明</w:t>
      </w:r>
      <w:bookmarkEnd w:id="10"/>
      <w:bookmarkEnd w:id="11"/>
    </w:p>
    <w:p w14:paraId="195E52B8">
      <w:pPr>
        <w:spacing w:line="440" w:lineRule="exact"/>
        <w:jc w:val="center"/>
        <w:rPr>
          <w:rFonts w:ascii="宋体" w:hAnsi="宋体"/>
          <w:b/>
          <w:sz w:val="28"/>
        </w:rPr>
      </w:pPr>
    </w:p>
    <w:p w14:paraId="18A80D83">
      <w:pPr>
        <w:spacing w:line="440" w:lineRule="exact"/>
        <w:jc w:val="center"/>
        <w:outlineLvl w:val="1"/>
        <w:rPr>
          <w:rFonts w:ascii="宋体" w:hAnsi="宋体"/>
          <w:b/>
          <w:sz w:val="28"/>
        </w:rPr>
      </w:pPr>
      <w:bookmarkStart w:id="12" w:name="_Toc13313"/>
      <w:bookmarkStart w:id="13" w:name="_Toc89792130"/>
      <w:r>
        <w:rPr>
          <w:rFonts w:hint="eastAsia" w:ascii="宋体" w:hAnsi="宋体"/>
          <w:b/>
          <w:sz w:val="28"/>
        </w:rPr>
        <w:t>第一章 对投标人的资质要求</w:t>
      </w:r>
      <w:bookmarkEnd w:id="12"/>
      <w:bookmarkEnd w:id="13"/>
    </w:p>
    <w:p w14:paraId="5F079449">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、开标会的资质要求、开标时间及地点</w:t>
      </w:r>
    </w:p>
    <w:p w14:paraId="1E7DF0A3">
      <w:pPr>
        <w:spacing w:line="440" w:lineRule="exact"/>
        <w:ind w:firstLine="480" w:firstLineChars="200"/>
        <w:rPr>
          <w:rFonts w:ascii="宋体" w:hAnsi="宋体"/>
          <w:sz w:val="24"/>
          <w:szCs w:val="24"/>
        </w:rPr>
      </w:pPr>
      <w:r>
        <w:rPr>
          <w:rFonts w:ascii="宋体" w:hAnsi="宋体"/>
          <w:sz w:val="24"/>
          <w:szCs w:val="24"/>
        </w:rPr>
        <w:t>1.1</w:t>
      </w:r>
      <w:r>
        <w:rPr>
          <w:rFonts w:hint="eastAsia" w:ascii="宋体" w:hAnsi="宋体"/>
          <w:sz w:val="24"/>
          <w:szCs w:val="24"/>
        </w:rPr>
        <w:t xml:space="preserve">  本项目开标的时间、地点已在投标人须知前附表列清。</w:t>
      </w:r>
    </w:p>
    <w:p w14:paraId="70FD95D2">
      <w:pPr>
        <w:spacing w:line="440" w:lineRule="exact"/>
        <w:ind w:firstLine="480" w:firstLineChars="200"/>
      </w:pPr>
      <w:r>
        <w:rPr>
          <w:rFonts w:ascii="宋体" w:hAnsi="宋体"/>
          <w:bCs/>
          <w:sz w:val="24"/>
          <w:szCs w:val="24"/>
        </w:rPr>
        <w:t>1.</w:t>
      </w:r>
      <w:r>
        <w:rPr>
          <w:rFonts w:hint="eastAsia" w:ascii="宋体" w:hAnsi="宋体"/>
          <w:bCs/>
          <w:sz w:val="24"/>
          <w:szCs w:val="24"/>
        </w:rPr>
        <w:t>2　所有资格证明文件必须满足招标文件的要求，否则将导致废标。</w:t>
      </w:r>
    </w:p>
    <w:p w14:paraId="5C45986C">
      <w:pPr>
        <w:spacing w:line="440" w:lineRule="exact"/>
        <w:jc w:val="center"/>
        <w:rPr>
          <w:rFonts w:ascii="宋体" w:hAnsi="宋体"/>
          <w:b/>
          <w:sz w:val="28"/>
          <w:szCs w:val="32"/>
        </w:rPr>
      </w:pPr>
      <w:bookmarkStart w:id="14" w:name="_Toc89792131"/>
    </w:p>
    <w:p w14:paraId="1ACC939B">
      <w:pPr>
        <w:spacing w:line="440" w:lineRule="exact"/>
        <w:jc w:val="center"/>
        <w:outlineLvl w:val="1"/>
        <w:rPr>
          <w:rFonts w:ascii="宋体" w:hAnsi="宋体"/>
          <w:b/>
          <w:sz w:val="32"/>
          <w:szCs w:val="32"/>
        </w:rPr>
      </w:pPr>
      <w:bookmarkStart w:id="15" w:name="_Toc5218"/>
      <w:r>
        <w:rPr>
          <w:rFonts w:hint="eastAsia" w:ascii="宋体" w:hAnsi="宋体"/>
          <w:b/>
          <w:sz w:val="28"/>
          <w:szCs w:val="32"/>
        </w:rPr>
        <w:t>第二章 投标文件的编写</w:t>
      </w:r>
      <w:bookmarkEnd w:id="14"/>
      <w:bookmarkEnd w:id="15"/>
    </w:p>
    <w:p w14:paraId="062CD8E1">
      <w:pPr>
        <w:spacing w:line="440" w:lineRule="exact"/>
        <w:ind w:firstLine="482" w:firstLineChars="200"/>
        <w:rPr>
          <w:rFonts w:ascii="宋体" w:hAnsi="宋体"/>
          <w:b/>
          <w:sz w:val="24"/>
          <w:szCs w:val="24"/>
        </w:rPr>
      </w:pPr>
      <w:r>
        <w:rPr>
          <w:rFonts w:ascii="宋体" w:hAnsi="宋体"/>
          <w:b/>
          <w:sz w:val="24"/>
          <w:szCs w:val="24"/>
        </w:rPr>
        <w:t xml:space="preserve">2. </w:t>
      </w:r>
      <w:r>
        <w:rPr>
          <w:rFonts w:hint="eastAsia" w:ascii="宋体" w:hAnsi="宋体"/>
          <w:b/>
          <w:sz w:val="24"/>
          <w:szCs w:val="24"/>
        </w:rPr>
        <w:t>要求</w:t>
      </w:r>
    </w:p>
    <w:p w14:paraId="1FC3C8D5">
      <w:pPr>
        <w:spacing w:line="440" w:lineRule="exact"/>
        <w:ind w:firstLine="480" w:firstLineChars="200"/>
        <w:rPr>
          <w:rFonts w:ascii="宋体" w:hAnsi="宋体"/>
          <w:sz w:val="24"/>
          <w:szCs w:val="24"/>
        </w:rPr>
      </w:pPr>
      <w:r>
        <w:rPr>
          <w:rFonts w:ascii="宋体" w:hAnsi="宋体"/>
          <w:sz w:val="24"/>
          <w:szCs w:val="24"/>
        </w:rPr>
        <w:t xml:space="preserve">2.1  </w:t>
      </w:r>
      <w:r>
        <w:rPr>
          <w:rFonts w:hint="eastAsia" w:ascii="宋体" w:hAnsi="宋体"/>
          <w:sz w:val="24"/>
          <w:szCs w:val="24"/>
        </w:rPr>
        <w:t>投标人应详细阅读招标文件中的条款、规范、表示、条件和格式等所有内容，按招标文件的要求份数提供投标文件，并保证所提供全部材料的真实性，使其投标对招标文件做出实质性响应。否则，其投标视为无效。</w:t>
      </w:r>
    </w:p>
    <w:p w14:paraId="4616D90B">
      <w:pPr>
        <w:spacing w:line="440" w:lineRule="exact"/>
        <w:ind w:firstLine="480" w:firstLineChars="200"/>
        <w:rPr>
          <w:rFonts w:ascii="宋体" w:hAnsi="宋体"/>
          <w:sz w:val="24"/>
          <w:szCs w:val="24"/>
        </w:rPr>
      </w:pPr>
      <w:r>
        <w:rPr>
          <w:rFonts w:ascii="宋体" w:hAnsi="宋体"/>
          <w:sz w:val="24"/>
          <w:szCs w:val="24"/>
        </w:rPr>
        <w:t xml:space="preserve">2.2  </w:t>
      </w:r>
      <w:r>
        <w:rPr>
          <w:rFonts w:hint="eastAsia" w:ascii="宋体" w:hAnsi="宋体"/>
          <w:sz w:val="24"/>
          <w:szCs w:val="24"/>
        </w:rPr>
        <w:t>允许投标人对本招标文件中的所有包投标，也可根据本企业生产或代理产品的情况对部分包进行投标，但不允许投标人对某一包中的一项或部分项进行投标。招标人可选择一家投标单位为所有包的中标人，也可选择若干个投标单位分别中标。</w:t>
      </w:r>
    </w:p>
    <w:p w14:paraId="31ADE8EC">
      <w:pPr>
        <w:spacing w:line="440" w:lineRule="exact"/>
        <w:ind w:firstLine="482" w:firstLineChars="200"/>
        <w:rPr>
          <w:rFonts w:ascii="宋体" w:hAnsi="宋体"/>
          <w:b/>
          <w:sz w:val="24"/>
          <w:szCs w:val="24"/>
        </w:rPr>
      </w:pPr>
      <w:r>
        <w:rPr>
          <w:rFonts w:ascii="宋体" w:hAnsi="宋体"/>
          <w:b/>
          <w:sz w:val="24"/>
          <w:szCs w:val="24"/>
        </w:rPr>
        <w:t xml:space="preserve">3. </w:t>
      </w:r>
      <w:r>
        <w:rPr>
          <w:rFonts w:hint="eastAsia" w:ascii="宋体" w:hAnsi="宋体"/>
          <w:b/>
          <w:sz w:val="24"/>
          <w:szCs w:val="24"/>
        </w:rPr>
        <w:t>投标文件语言和度量单位</w:t>
      </w:r>
    </w:p>
    <w:p w14:paraId="008F9532">
      <w:pPr>
        <w:spacing w:line="440" w:lineRule="exact"/>
        <w:ind w:firstLine="480" w:firstLineChars="200"/>
        <w:rPr>
          <w:rFonts w:ascii="宋体" w:hAnsi="宋体"/>
          <w:sz w:val="24"/>
          <w:szCs w:val="24"/>
        </w:rPr>
      </w:pPr>
      <w:r>
        <w:rPr>
          <w:rFonts w:ascii="宋体" w:hAnsi="宋体"/>
          <w:sz w:val="24"/>
          <w:szCs w:val="24"/>
        </w:rPr>
        <w:t xml:space="preserve">3.1  </w:t>
      </w:r>
      <w:r>
        <w:rPr>
          <w:rFonts w:hint="eastAsia" w:ascii="宋体" w:hAnsi="宋体"/>
          <w:sz w:val="24"/>
          <w:szCs w:val="24"/>
        </w:rPr>
        <w:t>投标文件及投标人和招标方就招标、投标交换的文件和往来信件，须以中文书写。</w:t>
      </w:r>
    </w:p>
    <w:p w14:paraId="51D279E4">
      <w:pPr>
        <w:spacing w:line="440" w:lineRule="exact"/>
        <w:ind w:firstLine="480" w:firstLineChars="200"/>
        <w:rPr>
          <w:rFonts w:ascii="宋体" w:hAnsi="宋体"/>
          <w:sz w:val="24"/>
          <w:szCs w:val="24"/>
        </w:rPr>
      </w:pPr>
      <w:r>
        <w:rPr>
          <w:rFonts w:ascii="宋体" w:hAnsi="宋体"/>
          <w:sz w:val="24"/>
          <w:szCs w:val="24"/>
        </w:rPr>
        <w:t xml:space="preserve">3.2  </w:t>
      </w:r>
      <w:r>
        <w:rPr>
          <w:rFonts w:hint="eastAsia" w:ascii="宋体" w:hAnsi="宋体"/>
          <w:sz w:val="24"/>
          <w:szCs w:val="24"/>
        </w:rPr>
        <w:t>除在招标文件的技术规格中另有规定外，计量单位应使用中华人民共和国法定计量单位。</w:t>
      </w:r>
    </w:p>
    <w:p w14:paraId="77014188">
      <w:pPr>
        <w:spacing w:line="440" w:lineRule="exact"/>
        <w:ind w:firstLine="482" w:firstLineChars="200"/>
        <w:rPr>
          <w:rFonts w:ascii="宋体" w:hAnsi="宋体"/>
          <w:b/>
          <w:sz w:val="24"/>
          <w:szCs w:val="24"/>
        </w:rPr>
      </w:pPr>
      <w:r>
        <w:rPr>
          <w:rFonts w:ascii="宋体" w:hAnsi="宋体"/>
          <w:b/>
          <w:sz w:val="24"/>
          <w:szCs w:val="24"/>
        </w:rPr>
        <w:t xml:space="preserve">4. </w:t>
      </w:r>
      <w:r>
        <w:rPr>
          <w:rFonts w:hint="eastAsia" w:ascii="宋体" w:hAnsi="宋体"/>
          <w:b/>
          <w:sz w:val="24"/>
          <w:szCs w:val="24"/>
        </w:rPr>
        <w:t>投标文件的组成</w:t>
      </w:r>
    </w:p>
    <w:p w14:paraId="6FAA8049">
      <w:pPr>
        <w:spacing w:line="440" w:lineRule="exact"/>
        <w:ind w:firstLine="480" w:firstLineChars="200"/>
        <w:rPr>
          <w:rFonts w:ascii="宋体" w:hAnsi="宋体"/>
          <w:sz w:val="24"/>
          <w:szCs w:val="24"/>
        </w:rPr>
      </w:pPr>
      <w:r>
        <w:rPr>
          <w:rFonts w:hint="eastAsia" w:ascii="宋体" w:hAnsi="宋体"/>
          <w:sz w:val="24"/>
          <w:szCs w:val="24"/>
        </w:rPr>
        <w:t>4. 投标文件的组成</w:t>
      </w:r>
    </w:p>
    <w:p w14:paraId="263C29DD">
      <w:pPr>
        <w:spacing w:line="440" w:lineRule="exact"/>
        <w:ind w:firstLine="480" w:firstLineChars="200"/>
        <w:rPr>
          <w:rFonts w:ascii="宋体" w:hAnsi="宋体"/>
          <w:sz w:val="24"/>
          <w:szCs w:val="24"/>
        </w:rPr>
      </w:pPr>
      <w:r>
        <w:rPr>
          <w:rFonts w:hint="eastAsia" w:ascii="宋体" w:hAnsi="宋体"/>
          <w:sz w:val="24"/>
          <w:szCs w:val="24"/>
        </w:rPr>
        <w:t>4.1　投标人编写的投标文件应包括但不限于下列内容：</w:t>
      </w:r>
    </w:p>
    <w:p w14:paraId="08BAE5BC">
      <w:pPr>
        <w:spacing w:line="440" w:lineRule="exact"/>
        <w:ind w:firstLine="1058" w:firstLineChars="441"/>
        <w:rPr>
          <w:rFonts w:ascii="宋体" w:hAnsi="宋体"/>
          <w:sz w:val="24"/>
          <w:szCs w:val="24"/>
        </w:rPr>
      </w:pPr>
      <w:r>
        <w:rPr>
          <w:rFonts w:hint="eastAsia" w:ascii="宋体" w:hAnsi="宋体"/>
          <w:sz w:val="24"/>
          <w:szCs w:val="24"/>
        </w:rPr>
        <w:t>一、法人或者其他组织的营业执照副本复印件或自然人的身份证明复印件</w:t>
      </w:r>
    </w:p>
    <w:p w14:paraId="4A797935">
      <w:pPr>
        <w:spacing w:line="440" w:lineRule="exact"/>
        <w:ind w:firstLine="1058" w:firstLineChars="441"/>
        <w:rPr>
          <w:rFonts w:ascii="宋体" w:hAnsi="宋体"/>
          <w:sz w:val="24"/>
          <w:szCs w:val="24"/>
        </w:rPr>
      </w:pPr>
      <w:r>
        <w:rPr>
          <w:rFonts w:hint="eastAsia" w:ascii="宋体" w:hAnsi="宋体"/>
          <w:sz w:val="24"/>
          <w:szCs w:val="24"/>
        </w:rPr>
        <w:t>二、投标人代表身份证明</w:t>
      </w:r>
    </w:p>
    <w:p w14:paraId="5AAC2D28">
      <w:pPr>
        <w:spacing w:line="440" w:lineRule="exact"/>
        <w:ind w:firstLine="1058" w:firstLineChars="441"/>
        <w:rPr>
          <w:rFonts w:ascii="宋体" w:hAnsi="宋体"/>
          <w:sz w:val="24"/>
          <w:szCs w:val="24"/>
        </w:rPr>
      </w:pPr>
      <w:r>
        <w:rPr>
          <w:rFonts w:hint="eastAsia" w:ascii="宋体" w:hAnsi="宋体"/>
          <w:sz w:val="24"/>
          <w:szCs w:val="24"/>
        </w:rPr>
        <w:t>1法定代表人身份证明复印件(法定代表人参加投标)（附件1-1）</w:t>
      </w:r>
    </w:p>
    <w:p w14:paraId="3EBC90AF">
      <w:pPr>
        <w:spacing w:line="440" w:lineRule="exact"/>
        <w:ind w:firstLine="1058" w:firstLineChars="441"/>
        <w:rPr>
          <w:rFonts w:ascii="宋体" w:hAnsi="宋体"/>
          <w:sz w:val="24"/>
          <w:szCs w:val="24"/>
        </w:rPr>
      </w:pPr>
      <w:r>
        <w:rPr>
          <w:rFonts w:hint="eastAsia" w:ascii="宋体" w:hAnsi="宋体"/>
          <w:sz w:val="24"/>
          <w:szCs w:val="24"/>
        </w:rPr>
        <w:t>2法定代表人授权委托书(授权代表参加投标) （附件1-2）</w:t>
      </w:r>
    </w:p>
    <w:p w14:paraId="6A0DBAE3">
      <w:pPr>
        <w:spacing w:line="440" w:lineRule="exact"/>
        <w:ind w:firstLine="1058" w:firstLineChars="441"/>
        <w:rPr>
          <w:rFonts w:hint="eastAsia" w:ascii="宋体" w:hAnsi="宋体" w:eastAsia="宋体"/>
          <w:sz w:val="24"/>
          <w:szCs w:val="24"/>
          <w:lang w:eastAsia="zh-CN"/>
        </w:rPr>
      </w:pPr>
      <w:r>
        <w:rPr>
          <w:rFonts w:hint="eastAsia" w:ascii="宋体" w:hAnsi="宋体"/>
          <w:sz w:val="24"/>
          <w:szCs w:val="24"/>
        </w:rPr>
        <w:t>三、提供符合政府采购政策的证明材料</w:t>
      </w:r>
      <w:r>
        <w:rPr>
          <w:rFonts w:hint="eastAsia" w:ascii="宋体" w:hAnsi="宋体"/>
          <w:sz w:val="24"/>
          <w:szCs w:val="24"/>
          <w:lang w:eastAsia="zh-CN"/>
        </w:rPr>
        <w:t>（</w:t>
      </w:r>
      <w:r>
        <w:rPr>
          <w:rFonts w:hint="eastAsia" w:ascii="宋体" w:hAnsi="宋体"/>
          <w:sz w:val="24"/>
          <w:szCs w:val="24"/>
          <w:lang w:val="en-US" w:eastAsia="zh-CN"/>
        </w:rPr>
        <w:t>如需</w:t>
      </w:r>
      <w:r>
        <w:rPr>
          <w:rFonts w:hint="eastAsia" w:ascii="宋体" w:hAnsi="宋体"/>
          <w:sz w:val="24"/>
          <w:szCs w:val="24"/>
          <w:lang w:eastAsia="zh-CN"/>
        </w:rPr>
        <w:t>）</w:t>
      </w:r>
    </w:p>
    <w:p w14:paraId="46949B00">
      <w:pPr>
        <w:spacing w:line="440" w:lineRule="exact"/>
        <w:ind w:firstLine="1058" w:firstLineChars="441"/>
        <w:rPr>
          <w:rFonts w:ascii="宋体" w:hAnsi="宋体"/>
          <w:sz w:val="24"/>
          <w:szCs w:val="24"/>
        </w:rPr>
      </w:pPr>
      <w:r>
        <w:rPr>
          <w:rFonts w:hint="eastAsia" w:ascii="宋体" w:hAnsi="宋体"/>
          <w:sz w:val="24"/>
          <w:szCs w:val="24"/>
        </w:rPr>
        <w:t>1中小企业声明函（附件1-4-1）</w:t>
      </w:r>
    </w:p>
    <w:p w14:paraId="3F0692F6">
      <w:pPr>
        <w:spacing w:line="440" w:lineRule="exact"/>
        <w:ind w:firstLine="1058" w:firstLineChars="441"/>
        <w:rPr>
          <w:rFonts w:ascii="宋体" w:hAnsi="宋体"/>
          <w:sz w:val="24"/>
          <w:szCs w:val="24"/>
        </w:rPr>
      </w:pPr>
      <w:r>
        <w:rPr>
          <w:rFonts w:hint="eastAsia" w:ascii="宋体" w:hAnsi="宋体"/>
          <w:sz w:val="24"/>
          <w:szCs w:val="24"/>
        </w:rPr>
        <w:t>2监狱企业证明文件（附件1-4-2）</w:t>
      </w:r>
    </w:p>
    <w:p w14:paraId="5CB83E34">
      <w:pPr>
        <w:spacing w:line="440" w:lineRule="exact"/>
        <w:ind w:firstLine="1058" w:firstLineChars="441"/>
        <w:rPr>
          <w:rFonts w:ascii="宋体" w:hAnsi="宋体"/>
          <w:sz w:val="24"/>
          <w:szCs w:val="24"/>
        </w:rPr>
      </w:pPr>
      <w:r>
        <w:rPr>
          <w:rFonts w:hint="eastAsia" w:ascii="宋体" w:hAnsi="宋体"/>
          <w:sz w:val="24"/>
          <w:szCs w:val="24"/>
        </w:rPr>
        <w:t>3残疾人福利性单位声明函（附件1-4-3）</w:t>
      </w:r>
    </w:p>
    <w:p w14:paraId="04B89AC4">
      <w:pPr>
        <w:spacing w:line="440" w:lineRule="exact"/>
        <w:ind w:firstLine="1058" w:firstLineChars="441"/>
        <w:rPr>
          <w:rFonts w:ascii="宋体" w:hAnsi="宋体"/>
          <w:sz w:val="24"/>
          <w:szCs w:val="24"/>
        </w:rPr>
      </w:pPr>
      <w:r>
        <w:rPr>
          <w:rFonts w:hint="eastAsia" w:ascii="宋体" w:hAnsi="宋体"/>
          <w:sz w:val="24"/>
          <w:szCs w:val="24"/>
        </w:rPr>
        <w:t>4关于符合本国产品标准的声明函（附件1-4-4）</w:t>
      </w:r>
    </w:p>
    <w:p w14:paraId="46E46E33">
      <w:pPr>
        <w:spacing w:line="440" w:lineRule="exact"/>
        <w:ind w:firstLine="1058" w:firstLineChars="441"/>
        <w:rPr>
          <w:rFonts w:ascii="宋体" w:hAnsi="宋体"/>
          <w:sz w:val="24"/>
          <w:szCs w:val="24"/>
        </w:rPr>
      </w:pPr>
      <w:r>
        <w:rPr>
          <w:rFonts w:hint="eastAsia" w:ascii="宋体" w:hAnsi="宋体"/>
          <w:sz w:val="24"/>
          <w:szCs w:val="24"/>
        </w:rPr>
        <w:t>5分包意向协议（附件1-4-5）</w:t>
      </w:r>
    </w:p>
    <w:p w14:paraId="6380682E">
      <w:pPr>
        <w:spacing w:line="440" w:lineRule="exact"/>
        <w:ind w:firstLine="1058" w:firstLineChars="441"/>
        <w:rPr>
          <w:rFonts w:ascii="宋体" w:hAnsi="宋体"/>
          <w:sz w:val="24"/>
          <w:szCs w:val="24"/>
        </w:rPr>
      </w:pPr>
      <w:r>
        <w:rPr>
          <w:rFonts w:hint="eastAsia" w:ascii="宋体" w:hAnsi="宋体"/>
          <w:sz w:val="24"/>
          <w:szCs w:val="24"/>
        </w:rPr>
        <w:t>四、投标函（附件2-1）</w:t>
      </w:r>
    </w:p>
    <w:p w14:paraId="41A6B1E2">
      <w:pPr>
        <w:spacing w:line="440" w:lineRule="exact"/>
        <w:ind w:firstLine="1058" w:firstLineChars="441"/>
        <w:rPr>
          <w:rFonts w:ascii="宋体" w:hAnsi="宋体"/>
          <w:sz w:val="24"/>
          <w:szCs w:val="24"/>
        </w:rPr>
      </w:pPr>
      <w:r>
        <w:rPr>
          <w:rFonts w:hint="eastAsia" w:ascii="宋体" w:hAnsi="宋体"/>
          <w:sz w:val="24"/>
          <w:szCs w:val="24"/>
        </w:rPr>
        <w:t>五、反商业贿赂承诺书；（附件2-2）</w:t>
      </w:r>
    </w:p>
    <w:p w14:paraId="1A056C4D">
      <w:pPr>
        <w:spacing w:line="440" w:lineRule="exact"/>
        <w:ind w:firstLine="1058" w:firstLineChars="441"/>
        <w:rPr>
          <w:rFonts w:ascii="宋体" w:hAnsi="宋体"/>
          <w:sz w:val="24"/>
          <w:szCs w:val="24"/>
        </w:rPr>
      </w:pPr>
      <w:r>
        <w:rPr>
          <w:rFonts w:hint="eastAsia" w:ascii="宋体" w:hAnsi="宋体"/>
          <w:sz w:val="24"/>
          <w:szCs w:val="24"/>
        </w:rPr>
        <w:t>六、投标报价</w:t>
      </w:r>
    </w:p>
    <w:p w14:paraId="4344F4D6">
      <w:pPr>
        <w:spacing w:line="440" w:lineRule="exact"/>
        <w:ind w:firstLine="1058" w:firstLineChars="441"/>
        <w:rPr>
          <w:rFonts w:ascii="宋体" w:hAnsi="宋体"/>
          <w:sz w:val="24"/>
          <w:szCs w:val="24"/>
        </w:rPr>
      </w:pPr>
      <w:r>
        <w:rPr>
          <w:rFonts w:hint="eastAsia" w:ascii="宋体" w:hAnsi="宋体"/>
          <w:sz w:val="24"/>
          <w:szCs w:val="24"/>
        </w:rPr>
        <w:t>1开标一览表（附件2-3-1）</w:t>
      </w:r>
    </w:p>
    <w:p w14:paraId="336190BE">
      <w:pPr>
        <w:spacing w:line="440" w:lineRule="exact"/>
        <w:ind w:firstLine="1058" w:firstLineChars="441"/>
        <w:rPr>
          <w:rFonts w:ascii="宋体" w:hAnsi="宋体"/>
          <w:sz w:val="24"/>
          <w:szCs w:val="24"/>
        </w:rPr>
      </w:pPr>
      <w:r>
        <w:rPr>
          <w:rFonts w:hint="eastAsia" w:ascii="宋体" w:hAnsi="宋体"/>
          <w:sz w:val="24"/>
          <w:szCs w:val="24"/>
        </w:rPr>
        <w:t>2明细报价表（附件2-3-2）</w:t>
      </w:r>
    </w:p>
    <w:p w14:paraId="79978230">
      <w:pPr>
        <w:spacing w:line="440" w:lineRule="exact"/>
        <w:ind w:firstLine="1058" w:firstLineChars="441"/>
        <w:rPr>
          <w:rFonts w:ascii="宋体" w:hAnsi="宋体"/>
          <w:sz w:val="24"/>
          <w:szCs w:val="24"/>
        </w:rPr>
      </w:pPr>
      <w:r>
        <w:rPr>
          <w:rFonts w:hint="eastAsia" w:ascii="宋体" w:hAnsi="宋体"/>
          <w:sz w:val="24"/>
          <w:szCs w:val="24"/>
        </w:rPr>
        <w:t>七、商务条款偏离表（附件2-4）</w:t>
      </w:r>
    </w:p>
    <w:p w14:paraId="7500EA94">
      <w:pPr>
        <w:spacing w:line="440" w:lineRule="exact"/>
        <w:ind w:firstLine="1058" w:firstLineChars="441"/>
        <w:rPr>
          <w:rFonts w:ascii="宋体" w:hAnsi="宋体"/>
          <w:sz w:val="24"/>
          <w:szCs w:val="24"/>
        </w:rPr>
      </w:pPr>
      <w:r>
        <w:rPr>
          <w:rFonts w:hint="eastAsia" w:ascii="宋体" w:hAnsi="宋体"/>
          <w:sz w:val="24"/>
          <w:szCs w:val="24"/>
        </w:rPr>
        <w:t>八、产品简要说明一览表（附件2-5）</w:t>
      </w:r>
    </w:p>
    <w:p w14:paraId="66DA4FEE">
      <w:pPr>
        <w:spacing w:line="440" w:lineRule="exact"/>
        <w:ind w:firstLine="1058" w:firstLineChars="441"/>
        <w:rPr>
          <w:rFonts w:ascii="宋体" w:hAnsi="宋体"/>
          <w:sz w:val="24"/>
          <w:szCs w:val="24"/>
        </w:rPr>
      </w:pPr>
      <w:r>
        <w:rPr>
          <w:rFonts w:hint="eastAsia" w:ascii="宋体" w:hAnsi="宋体"/>
          <w:sz w:val="24"/>
          <w:szCs w:val="24"/>
        </w:rPr>
        <w:t>九、产品技术支持文件（包含但不限于产品检测报告、产品彩页或技术白皮书等）</w:t>
      </w:r>
    </w:p>
    <w:p w14:paraId="50756600">
      <w:pPr>
        <w:spacing w:line="440" w:lineRule="exact"/>
        <w:ind w:firstLine="1058" w:firstLineChars="441"/>
        <w:rPr>
          <w:rFonts w:ascii="宋体" w:hAnsi="宋体"/>
          <w:sz w:val="24"/>
          <w:szCs w:val="24"/>
        </w:rPr>
      </w:pPr>
      <w:r>
        <w:rPr>
          <w:rFonts w:hint="eastAsia" w:ascii="宋体" w:hAnsi="宋体"/>
          <w:sz w:val="24"/>
          <w:szCs w:val="24"/>
        </w:rPr>
        <w:t>十、技术参数偏离表（附件2-6）</w:t>
      </w:r>
    </w:p>
    <w:p w14:paraId="55343EE9">
      <w:pPr>
        <w:spacing w:line="440" w:lineRule="exact"/>
        <w:ind w:firstLine="1058" w:firstLineChars="441"/>
        <w:rPr>
          <w:rFonts w:ascii="宋体" w:hAnsi="宋体"/>
          <w:sz w:val="24"/>
          <w:szCs w:val="24"/>
        </w:rPr>
      </w:pPr>
      <w:r>
        <w:rPr>
          <w:rFonts w:hint="eastAsia" w:ascii="宋体" w:hAnsi="宋体"/>
          <w:sz w:val="24"/>
          <w:szCs w:val="24"/>
        </w:rPr>
        <w:t>十一、售后服务</w:t>
      </w:r>
    </w:p>
    <w:p w14:paraId="1472535C">
      <w:pPr>
        <w:spacing w:line="440" w:lineRule="exact"/>
        <w:ind w:firstLine="1058" w:firstLineChars="441"/>
        <w:rPr>
          <w:rFonts w:ascii="宋体" w:hAnsi="宋体"/>
          <w:sz w:val="24"/>
          <w:szCs w:val="24"/>
        </w:rPr>
      </w:pPr>
      <w:r>
        <w:rPr>
          <w:rFonts w:hint="eastAsia" w:ascii="宋体" w:hAnsi="宋体"/>
          <w:sz w:val="24"/>
          <w:szCs w:val="24"/>
        </w:rPr>
        <w:t>十二、项目实施方案</w:t>
      </w:r>
    </w:p>
    <w:p w14:paraId="215CC534">
      <w:pPr>
        <w:spacing w:line="440" w:lineRule="exact"/>
        <w:ind w:firstLine="1058" w:firstLineChars="441"/>
        <w:rPr>
          <w:rFonts w:ascii="宋体" w:hAnsi="宋体"/>
          <w:sz w:val="24"/>
          <w:szCs w:val="24"/>
        </w:rPr>
      </w:pPr>
      <w:r>
        <w:rPr>
          <w:rFonts w:hint="eastAsia" w:ascii="宋体" w:hAnsi="宋体"/>
          <w:sz w:val="24"/>
          <w:szCs w:val="24"/>
        </w:rPr>
        <w:t>十三、业绩</w:t>
      </w:r>
    </w:p>
    <w:p w14:paraId="181B42E2">
      <w:pPr>
        <w:spacing w:line="440" w:lineRule="exact"/>
        <w:ind w:firstLine="1058" w:firstLineChars="441"/>
        <w:rPr>
          <w:rFonts w:ascii="宋体" w:hAnsi="宋体"/>
          <w:sz w:val="24"/>
          <w:szCs w:val="24"/>
        </w:rPr>
      </w:pPr>
      <w:r>
        <w:rPr>
          <w:rFonts w:hint="eastAsia" w:ascii="宋体" w:hAnsi="宋体"/>
          <w:sz w:val="24"/>
          <w:szCs w:val="24"/>
        </w:rPr>
        <w:t>十四、资格审查文件</w:t>
      </w:r>
    </w:p>
    <w:p w14:paraId="00366A67">
      <w:pPr>
        <w:spacing w:line="440" w:lineRule="exact"/>
        <w:ind w:firstLine="480" w:firstLineChars="200"/>
        <w:rPr>
          <w:rFonts w:ascii="宋体" w:hAnsi="宋体"/>
          <w:sz w:val="24"/>
          <w:szCs w:val="24"/>
        </w:rPr>
      </w:pPr>
      <w:r>
        <w:rPr>
          <w:rFonts w:hint="eastAsia" w:ascii="宋体" w:hAnsi="宋体"/>
          <w:sz w:val="24"/>
          <w:szCs w:val="24"/>
        </w:rPr>
        <w:t>4.2　在投标过程中，投标人根据评标委员会书面形式要求提供的澄清文件是投标文件的有效组成部分。</w:t>
      </w:r>
    </w:p>
    <w:p w14:paraId="59BFA608">
      <w:pPr>
        <w:spacing w:line="440" w:lineRule="exact"/>
        <w:ind w:firstLine="480" w:firstLineChars="200"/>
        <w:rPr>
          <w:rFonts w:ascii="宋体" w:hAnsi="宋体"/>
          <w:sz w:val="24"/>
          <w:szCs w:val="24"/>
        </w:rPr>
      </w:pPr>
      <w:r>
        <w:rPr>
          <w:rFonts w:hint="eastAsia" w:ascii="宋体" w:hAnsi="宋体"/>
          <w:sz w:val="24"/>
          <w:szCs w:val="24"/>
        </w:rPr>
        <w:t>4.3　供应商无论中标与否，其投标文件不予退还。</w:t>
      </w:r>
    </w:p>
    <w:p w14:paraId="3CD7E2AE">
      <w:pPr>
        <w:spacing w:line="440" w:lineRule="exact"/>
        <w:ind w:firstLine="482" w:firstLineChars="200"/>
        <w:rPr>
          <w:rFonts w:ascii="宋体" w:hAnsi="宋体"/>
          <w:b/>
          <w:sz w:val="24"/>
          <w:szCs w:val="24"/>
        </w:rPr>
      </w:pPr>
      <w:r>
        <w:rPr>
          <w:rFonts w:hint="eastAsia" w:ascii="宋体" w:hAnsi="宋体"/>
          <w:b/>
          <w:sz w:val="24"/>
          <w:szCs w:val="24"/>
        </w:rPr>
        <w:t>5. 投标文件格式</w:t>
      </w:r>
    </w:p>
    <w:p w14:paraId="4C225F8F">
      <w:pPr>
        <w:spacing w:line="440" w:lineRule="exact"/>
        <w:ind w:firstLine="480" w:firstLineChars="200"/>
        <w:rPr>
          <w:rFonts w:ascii="宋体" w:hAnsi="宋体" w:cs="宋体"/>
          <w:kern w:val="0"/>
          <w:sz w:val="24"/>
          <w:szCs w:val="24"/>
        </w:rPr>
      </w:pPr>
      <w:r>
        <w:rPr>
          <w:rFonts w:hint="eastAsia" w:ascii="宋体" w:hAnsi="宋体"/>
          <w:sz w:val="24"/>
          <w:szCs w:val="24"/>
        </w:rPr>
        <w:t xml:space="preserve">5.1 </w:t>
      </w:r>
      <w:r>
        <w:rPr>
          <w:rFonts w:hint="eastAsia" w:ascii="宋体" w:hAnsi="宋体" w:cs="宋体"/>
          <w:spacing w:val="-6"/>
          <w:sz w:val="24"/>
          <w:szCs w:val="24"/>
        </w:rPr>
        <w:t>投标文件</w:t>
      </w:r>
      <w:r>
        <w:rPr>
          <w:rFonts w:hint="eastAsia" w:ascii="宋体" w:hAnsi="宋体" w:cs="宋体"/>
          <w:kern w:val="0"/>
          <w:sz w:val="24"/>
          <w:szCs w:val="24"/>
        </w:rPr>
        <w:t>制作时，应按照招标文件中明确的投标文件目录和投标</w:t>
      </w:r>
      <w:r>
        <w:rPr>
          <w:rFonts w:hint="eastAsia" w:ascii="宋体" w:hAnsi="宋体" w:cs="宋体"/>
          <w:sz w:val="24"/>
          <w:szCs w:val="24"/>
        </w:rPr>
        <w:t>技术规格、参数及相关要求</w:t>
      </w:r>
      <w:r>
        <w:rPr>
          <w:rFonts w:hint="eastAsia" w:ascii="宋体" w:hAnsi="宋体" w:cs="宋体"/>
          <w:kern w:val="0"/>
          <w:sz w:val="24"/>
          <w:szCs w:val="24"/>
        </w:rPr>
        <w:t>格式进行编制，保证目录清晰、内容完整。</w:t>
      </w:r>
    </w:p>
    <w:p w14:paraId="7C591CF4">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5.2 投标人应按照投标须知前附表要求的份数编制投标文件。</w:t>
      </w:r>
    </w:p>
    <w:p w14:paraId="65FAF1A0">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5.3 当副本和正本不一致时，以正本为准。</w:t>
      </w:r>
    </w:p>
    <w:p w14:paraId="7D81D0CE">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5.4 投标文件具有法律效力,与其他形式的投标文件在内容和格式上等同，若投标文件与招标文件要求不一致，其内容影响成交结果时，责任由供应商自行承担。</w:t>
      </w:r>
    </w:p>
    <w:p w14:paraId="0BF7AC22">
      <w:pPr>
        <w:pStyle w:val="115"/>
        <w:snapToGrid w:val="0"/>
        <w:spacing w:line="360" w:lineRule="auto"/>
        <w:ind w:firstLine="484" w:firstLineChars="202"/>
        <w:jc w:val="left"/>
        <w:rPr>
          <w:rFonts w:ascii="宋体" w:hAnsi="宋体" w:cs="宋体"/>
          <w:kern w:val="0"/>
          <w:sz w:val="24"/>
          <w:szCs w:val="24"/>
        </w:rPr>
      </w:pPr>
      <w:r>
        <w:rPr>
          <w:rFonts w:hint="eastAsia" w:ascii="宋体" w:hAnsi="宋体" w:cs="宋体"/>
          <w:kern w:val="0"/>
          <w:sz w:val="24"/>
          <w:szCs w:val="24"/>
        </w:rPr>
        <w:t>5.5 投标文件应在规定区域加盖单位和法定代表人签章。投标文件若无签章，则视为无效文件。</w:t>
      </w:r>
    </w:p>
    <w:p w14:paraId="330D8F39">
      <w:pPr>
        <w:pStyle w:val="115"/>
        <w:snapToGrid w:val="0"/>
        <w:spacing w:line="360" w:lineRule="auto"/>
        <w:ind w:firstLine="484" w:firstLineChars="202"/>
        <w:jc w:val="left"/>
      </w:pPr>
      <w:r>
        <w:rPr>
          <w:rFonts w:hint="eastAsia" w:ascii="宋体" w:hAnsi="宋体" w:cs="宋体"/>
          <w:kern w:val="0"/>
          <w:sz w:val="24"/>
          <w:szCs w:val="24"/>
        </w:rPr>
        <w:t>5.6 投标人必须保证投标文件所提供的全部资料真实可靠，并接受采购单位对其中任何资料进一步核实的要求</w:t>
      </w:r>
    </w:p>
    <w:p w14:paraId="776CE962">
      <w:pPr>
        <w:spacing w:line="440" w:lineRule="exact"/>
        <w:ind w:firstLine="482" w:firstLineChars="200"/>
        <w:rPr>
          <w:rFonts w:ascii="宋体" w:hAnsi="宋体"/>
          <w:b/>
          <w:sz w:val="24"/>
          <w:szCs w:val="24"/>
        </w:rPr>
      </w:pPr>
      <w:r>
        <w:rPr>
          <w:rFonts w:hint="eastAsia" w:ascii="宋体" w:hAnsi="宋体"/>
          <w:b/>
          <w:sz w:val="24"/>
          <w:szCs w:val="24"/>
        </w:rPr>
        <w:t>6. 投标报价</w:t>
      </w:r>
    </w:p>
    <w:p w14:paraId="24884834">
      <w:pPr>
        <w:spacing w:line="440" w:lineRule="exact"/>
        <w:ind w:firstLine="480" w:firstLineChars="200"/>
        <w:rPr>
          <w:rFonts w:ascii="宋体" w:hAnsi="宋体"/>
          <w:sz w:val="24"/>
          <w:szCs w:val="24"/>
        </w:rPr>
      </w:pPr>
      <w:r>
        <w:rPr>
          <w:rFonts w:hint="eastAsia" w:ascii="宋体" w:hAnsi="宋体"/>
          <w:sz w:val="24"/>
          <w:szCs w:val="24"/>
        </w:rPr>
        <w:t>6.1 投标人应按招标文件规定的供货及服务要求、责任范围和合同条件以人民币形式进行报价。投标报价应为完税价。</w:t>
      </w:r>
    </w:p>
    <w:p w14:paraId="763B7910">
      <w:pPr>
        <w:spacing w:line="440" w:lineRule="exact"/>
        <w:ind w:firstLine="480" w:firstLineChars="200"/>
        <w:rPr>
          <w:rFonts w:ascii="宋体" w:hAnsi="宋体"/>
          <w:sz w:val="24"/>
          <w:szCs w:val="24"/>
        </w:rPr>
      </w:pPr>
      <w:r>
        <w:rPr>
          <w:rFonts w:hint="eastAsia" w:ascii="宋体" w:hAnsi="宋体"/>
          <w:sz w:val="24"/>
          <w:szCs w:val="24"/>
        </w:rPr>
        <w:t>6.2 投标人必须按开标一览表和明细报价表的内容和格式要求填写各项货物及服务的分项价格和总价。投标人在投标人须知前附表规定的投标文件截止之日前修改开标一览表中的报价的，应同时修改其明细报价表中的报价。</w:t>
      </w:r>
    </w:p>
    <w:p w14:paraId="33549535">
      <w:pPr>
        <w:spacing w:line="440" w:lineRule="exact"/>
        <w:ind w:firstLine="480" w:firstLineChars="200"/>
        <w:rPr>
          <w:rFonts w:ascii="宋体" w:hAnsi="宋体"/>
          <w:sz w:val="24"/>
          <w:szCs w:val="24"/>
        </w:rPr>
      </w:pPr>
      <w:r>
        <w:rPr>
          <w:rFonts w:hint="eastAsia" w:ascii="宋体" w:hAnsi="宋体"/>
          <w:sz w:val="24"/>
          <w:szCs w:val="24"/>
        </w:rPr>
        <w:t>6.3 投标人应在明细报价表上标明综合单价和总价。</w:t>
      </w:r>
    </w:p>
    <w:p w14:paraId="21BD6850">
      <w:pPr>
        <w:spacing w:line="440" w:lineRule="exact"/>
        <w:ind w:firstLine="480" w:firstLineChars="200"/>
        <w:rPr>
          <w:rFonts w:ascii="宋体" w:hAnsi="宋体"/>
          <w:sz w:val="24"/>
          <w:szCs w:val="24"/>
        </w:rPr>
      </w:pPr>
      <w:r>
        <w:rPr>
          <w:rFonts w:hint="eastAsia" w:ascii="宋体" w:hAnsi="宋体"/>
          <w:sz w:val="24"/>
          <w:szCs w:val="24"/>
        </w:rPr>
        <w:t>（1）投标文件中开标一览表（报价表）内容与投标文件中相应内容不一致的，以开标一览表（报价表）为准；</w:t>
      </w:r>
    </w:p>
    <w:p w14:paraId="74E6E00F">
      <w:pPr>
        <w:spacing w:line="440" w:lineRule="exact"/>
        <w:ind w:firstLine="480" w:firstLineChars="200"/>
        <w:rPr>
          <w:rFonts w:ascii="宋体" w:hAnsi="宋体"/>
          <w:sz w:val="24"/>
          <w:szCs w:val="24"/>
        </w:rPr>
      </w:pPr>
      <w:r>
        <w:rPr>
          <w:rFonts w:hint="eastAsia" w:ascii="宋体" w:hAnsi="宋体"/>
          <w:sz w:val="24"/>
          <w:szCs w:val="24"/>
        </w:rPr>
        <w:t>（2）大写金额和小写金额不一致的，以大写金额为准；</w:t>
      </w:r>
    </w:p>
    <w:p w14:paraId="3229A94F">
      <w:pPr>
        <w:spacing w:line="440" w:lineRule="exact"/>
        <w:ind w:firstLine="480" w:firstLineChars="200"/>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71836FB7">
      <w:pPr>
        <w:spacing w:line="440" w:lineRule="exact"/>
        <w:ind w:firstLine="480" w:firstLineChars="200"/>
        <w:rPr>
          <w:rFonts w:ascii="宋体" w:hAnsi="宋体"/>
          <w:sz w:val="24"/>
          <w:szCs w:val="24"/>
        </w:rPr>
      </w:pPr>
      <w:r>
        <w:rPr>
          <w:rFonts w:hint="eastAsia" w:ascii="宋体" w:hAnsi="宋体"/>
          <w:sz w:val="24"/>
          <w:szCs w:val="24"/>
        </w:rPr>
        <w:t>（4）总价金额与按单价汇总金额不一致的，以单价金额计算结果为准。</w:t>
      </w:r>
    </w:p>
    <w:p w14:paraId="0956A396">
      <w:pPr>
        <w:spacing w:line="440" w:lineRule="exact"/>
        <w:ind w:firstLine="480" w:firstLineChars="200"/>
        <w:rPr>
          <w:rFonts w:ascii="宋体" w:hAnsi="宋体"/>
          <w:sz w:val="24"/>
          <w:szCs w:val="24"/>
        </w:rPr>
      </w:pPr>
      <w:r>
        <w:rPr>
          <w:rFonts w:hint="eastAsia" w:ascii="宋体" w:hAnsi="宋体"/>
          <w:sz w:val="24"/>
          <w:szCs w:val="24"/>
        </w:rPr>
        <w:t>同时出现两种以上不一致的，按照前款规定的顺序修正。修正后的报价经投标人确认后产生约束力，投标人不确认的，其投标无效。</w:t>
      </w:r>
    </w:p>
    <w:p w14:paraId="08EF8A82">
      <w:pPr>
        <w:spacing w:line="440" w:lineRule="exact"/>
        <w:ind w:firstLine="480" w:firstLineChars="200"/>
        <w:rPr>
          <w:rFonts w:ascii="宋体" w:hAnsi="宋体"/>
          <w:sz w:val="24"/>
          <w:szCs w:val="24"/>
        </w:rPr>
      </w:pPr>
      <w:r>
        <w:rPr>
          <w:rFonts w:hint="eastAsia" w:ascii="宋体" w:hAnsi="宋体"/>
          <w:sz w:val="24"/>
          <w:szCs w:val="24"/>
        </w:rPr>
        <w:t>★6.4　投标人对每种货物及服务只允许有一个报价，不接受可变动性报价、赠送，否则，在评标时将其视为无效投标。</w:t>
      </w:r>
    </w:p>
    <w:p w14:paraId="00D02E9A">
      <w:pPr>
        <w:spacing w:line="440" w:lineRule="exact"/>
        <w:ind w:firstLine="480" w:firstLineChars="200"/>
        <w:rPr>
          <w:rFonts w:ascii="宋体" w:hAnsi="宋体"/>
          <w:sz w:val="24"/>
          <w:szCs w:val="24"/>
        </w:rPr>
      </w:pPr>
      <w:r>
        <w:rPr>
          <w:rFonts w:hint="eastAsia" w:ascii="宋体" w:hAnsi="宋体"/>
          <w:sz w:val="24"/>
          <w:szCs w:val="24"/>
        </w:rPr>
        <w:t>6.5  投标报价不符合招标文件对投标报价要求的，为无效投标。</w:t>
      </w:r>
    </w:p>
    <w:p w14:paraId="23C698D8">
      <w:pPr>
        <w:spacing w:line="440" w:lineRule="exact"/>
        <w:ind w:firstLine="480" w:firstLineChars="200"/>
        <w:rPr>
          <w:rFonts w:ascii="宋体" w:hAnsi="宋体"/>
          <w:sz w:val="24"/>
          <w:szCs w:val="24"/>
        </w:rPr>
      </w:pPr>
      <w:r>
        <w:rPr>
          <w:rFonts w:hint="eastAsia" w:ascii="宋体" w:hAnsi="宋体"/>
          <w:sz w:val="24"/>
          <w:szCs w:val="24"/>
        </w:rPr>
        <w:t>6.6 投标报价超预算金额（最高限价）的，为无效投标。</w:t>
      </w:r>
    </w:p>
    <w:p w14:paraId="3CBFC118">
      <w:pPr>
        <w:spacing w:line="440" w:lineRule="exact"/>
        <w:ind w:firstLine="480" w:firstLineChars="200"/>
        <w:rPr>
          <w:rFonts w:ascii="宋体" w:hAnsi="宋体"/>
          <w:sz w:val="24"/>
          <w:szCs w:val="24"/>
        </w:rPr>
      </w:pPr>
      <w:r>
        <w:rPr>
          <w:rFonts w:hint="eastAsia" w:ascii="宋体" w:hAnsi="宋体"/>
          <w:sz w:val="24"/>
          <w:szCs w:val="24"/>
        </w:rPr>
        <w:t>6.7 投标报价是履行合同的最终价格，应包括下列几项费用：</w:t>
      </w:r>
    </w:p>
    <w:p w14:paraId="49CC3E42">
      <w:pPr>
        <w:spacing w:line="440" w:lineRule="exact"/>
        <w:ind w:firstLine="480" w:firstLineChars="200"/>
        <w:rPr>
          <w:rFonts w:ascii="宋体" w:hAnsi="宋体"/>
          <w:sz w:val="24"/>
          <w:szCs w:val="24"/>
        </w:rPr>
      </w:pPr>
      <w:r>
        <w:rPr>
          <w:rFonts w:hint="eastAsia" w:ascii="宋体" w:hAnsi="宋体"/>
          <w:sz w:val="24"/>
          <w:szCs w:val="24"/>
        </w:rPr>
        <w:t>（1）招标文件中要求的备品备件、易损件和专用工具的费用；</w:t>
      </w:r>
    </w:p>
    <w:p w14:paraId="061C6A6B">
      <w:pPr>
        <w:spacing w:line="440" w:lineRule="exact"/>
        <w:ind w:firstLine="480" w:firstLineChars="200"/>
        <w:rPr>
          <w:rFonts w:ascii="宋体" w:hAnsi="宋体"/>
          <w:sz w:val="24"/>
          <w:szCs w:val="24"/>
        </w:rPr>
      </w:pPr>
      <w:r>
        <w:rPr>
          <w:rFonts w:hint="eastAsia" w:ascii="宋体" w:hAnsi="宋体"/>
          <w:sz w:val="24"/>
          <w:szCs w:val="24"/>
        </w:rPr>
        <w:t>（2）招标文件中特别要求的安装、调试、培训、运输、保险及其它附带服务的全部费用；</w:t>
      </w:r>
    </w:p>
    <w:p w14:paraId="08C2D2A8">
      <w:pPr>
        <w:spacing w:line="440" w:lineRule="exact"/>
        <w:ind w:firstLine="480" w:firstLineChars="200"/>
        <w:rPr>
          <w:rFonts w:ascii="宋体" w:hAnsi="宋体"/>
          <w:sz w:val="24"/>
          <w:szCs w:val="24"/>
        </w:rPr>
      </w:pPr>
      <w:r>
        <w:rPr>
          <w:rFonts w:hint="eastAsia" w:ascii="宋体" w:hAnsi="宋体"/>
          <w:sz w:val="24"/>
          <w:szCs w:val="24"/>
        </w:rPr>
        <w:t>（3）投标人提供的在中华人民共和国制造的货物，其货物的投标价即交货价中，包括制造、组装该货物所使用的零部件及原材料已付的全部关税、销售税和其他税。</w:t>
      </w:r>
    </w:p>
    <w:p w14:paraId="21EB759C">
      <w:pPr>
        <w:spacing w:line="440" w:lineRule="exact"/>
        <w:ind w:firstLine="480" w:firstLineChars="200"/>
        <w:rPr>
          <w:rFonts w:ascii="宋体" w:hAnsi="宋体"/>
          <w:sz w:val="24"/>
          <w:szCs w:val="24"/>
        </w:rPr>
      </w:pPr>
      <w:r>
        <w:rPr>
          <w:rFonts w:hint="eastAsia" w:ascii="宋体" w:hAnsi="宋体"/>
          <w:sz w:val="24"/>
          <w:szCs w:val="24"/>
        </w:rPr>
        <w:t>（4）综合单价必须包括货物、安装、调试、技术支持、运输保险、售后服务、培训及其它必需服务的报价。</w:t>
      </w:r>
    </w:p>
    <w:p w14:paraId="5E7D53CB">
      <w:pPr>
        <w:spacing w:line="440" w:lineRule="exact"/>
        <w:ind w:firstLine="482" w:firstLineChars="200"/>
        <w:rPr>
          <w:rFonts w:ascii="宋体" w:hAnsi="宋体"/>
          <w:b/>
          <w:sz w:val="24"/>
          <w:szCs w:val="24"/>
        </w:rPr>
      </w:pPr>
      <w:r>
        <w:rPr>
          <w:rFonts w:hint="eastAsia" w:ascii="宋体" w:hAnsi="宋体"/>
          <w:b/>
          <w:sz w:val="24"/>
          <w:szCs w:val="24"/>
        </w:rPr>
        <w:t>7. 证明货物的合格性和符合招标文件规定的文件</w:t>
      </w:r>
    </w:p>
    <w:p w14:paraId="7C5CC733">
      <w:pPr>
        <w:spacing w:line="440" w:lineRule="exact"/>
        <w:ind w:firstLine="480" w:firstLineChars="200"/>
        <w:rPr>
          <w:rFonts w:ascii="宋体" w:hAnsi="宋体"/>
          <w:sz w:val="24"/>
          <w:szCs w:val="24"/>
        </w:rPr>
      </w:pPr>
      <w:r>
        <w:rPr>
          <w:rFonts w:hint="eastAsia" w:ascii="宋体" w:hAnsi="宋体"/>
          <w:sz w:val="24"/>
          <w:szCs w:val="24"/>
        </w:rPr>
        <w:t>7.1 投标人应提交证明文件证明其拟投标的货物的合格性符合招标文件规定。该证明文件作为投标文件的一部分。</w:t>
      </w:r>
    </w:p>
    <w:p w14:paraId="6D2D29BA">
      <w:pPr>
        <w:spacing w:line="440" w:lineRule="exact"/>
        <w:ind w:firstLine="480" w:firstLineChars="200"/>
        <w:rPr>
          <w:rFonts w:ascii="宋体" w:hAnsi="宋体"/>
          <w:sz w:val="24"/>
          <w:szCs w:val="24"/>
        </w:rPr>
      </w:pPr>
      <w:r>
        <w:rPr>
          <w:rFonts w:hint="eastAsia" w:ascii="宋体" w:hAnsi="宋体"/>
          <w:sz w:val="24"/>
          <w:szCs w:val="24"/>
        </w:rPr>
        <w:t>7.2  投标人的服务承诺应按不低于招标文件中要求的服务标准做出响应。</w:t>
      </w:r>
    </w:p>
    <w:p w14:paraId="50E31F5E">
      <w:pPr>
        <w:spacing w:line="440" w:lineRule="exact"/>
        <w:ind w:firstLine="480" w:firstLineChars="200"/>
        <w:rPr>
          <w:rFonts w:ascii="宋体" w:hAnsi="宋体"/>
          <w:sz w:val="24"/>
          <w:szCs w:val="24"/>
        </w:rPr>
      </w:pPr>
      <w:r>
        <w:rPr>
          <w:rFonts w:hint="eastAsia" w:ascii="宋体" w:hAnsi="宋体"/>
          <w:sz w:val="24"/>
          <w:szCs w:val="24"/>
        </w:rPr>
        <w:t>7.3  上述文件可以是文字资料、图纸和数据等，并提供：</w:t>
      </w:r>
    </w:p>
    <w:p w14:paraId="6D5ACC24">
      <w:pPr>
        <w:spacing w:line="440" w:lineRule="exact"/>
        <w:ind w:firstLine="480" w:firstLineChars="200"/>
        <w:rPr>
          <w:rFonts w:ascii="宋体" w:hAnsi="宋体"/>
          <w:sz w:val="24"/>
          <w:szCs w:val="24"/>
        </w:rPr>
      </w:pPr>
      <w:r>
        <w:rPr>
          <w:rFonts w:hint="eastAsia" w:ascii="宋体" w:hAnsi="宋体"/>
          <w:sz w:val="24"/>
          <w:szCs w:val="24"/>
        </w:rPr>
        <w:t xml:space="preserve">（1）货物主要技术及性能特点的详细描述； </w:t>
      </w:r>
    </w:p>
    <w:p w14:paraId="14DD62F8">
      <w:pPr>
        <w:spacing w:line="440" w:lineRule="exact"/>
        <w:ind w:firstLine="480" w:firstLineChars="200"/>
        <w:rPr>
          <w:rFonts w:ascii="宋体" w:hAnsi="宋体"/>
          <w:sz w:val="24"/>
          <w:szCs w:val="24"/>
        </w:rPr>
      </w:pPr>
      <w:r>
        <w:rPr>
          <w:rFonts w:hint="eastAsia" w:ascii="宋体" w:hAnsi="宋体"/>
          <w:sz w:val="24"/>
          <w:szCs w:val="24"/>
        </w:rPr>
        <w:t>（2）货物主要部件的详细资料，包括检验报告等；</w:t>
      </w:r>
    </w:p>
    <w:p w14:paraId="6BE3EA61">
      <w:pPr>
        <w:spacing w:line="440" w:lineRule="exact"/>
        <w:ind w:firstLine="480" w:firstLineChars="200"/>
        <w:rPr>
          <w:rFonts w:ascii="宋体" w:hAnsi="宋体"/>
          <w:sz w:val="24"/>
          <w:szCs w:val="24"/>
        </w:rPr>
      </w:pPr>
      <w:r>
        <w:rPr>
          <w:rFonts w:hint="eastAsia" w:ascii="宋体" w:hAnsi="宋体"/>
          <w:sz w:val="24"/>
          <w:szCs w:val="24"/>
        </w:rPr>
        <w:t>（3）一份在技术规格中规定的保证服务正常和连续运转期间所需要的所有备件和专业工具的详细清单包括供货来源信息。</w:t>
      </w:r>
    </w:p>
    <w:p w14:paraId="6DC121F0">
      <w:pPr>
        <w:spacing w:line="440" w:lineRule="exact"/>
        <w:ind w:firstLine="480" w:firstLineChars="200"/>
        <w:rPr>
          <w:rFonts w:ascii="宋体" w:hAnsi="宋体"/>
          <w:sz w:val="24"/>
          <w:szCs w:val="24"/>
        </w:rPr>
      </w:pPr>
      <w:r>
        <w:rPr>
          <w:rFonts w:hint="eastAsia" w:ascii="宋体" w:hAnsi="宋体"/>
          <w:sz w:val="24"/>
          <w:szCs w:val="24"/>
        </w:rPr>
        <w:t>7.4没有按要求提供资料或提供资料不完全的或仅仅复制招标文件提供的技术参数并与实际提供设备参数不符，将被视为对招标文件没有做出实质性响应，其风险由投标人自行承担。</w:t>
      </w:r>
    </w:p>
    <w:p w14:paraId="1910C095">
      <w:pPr>
        <w:spacing w:line="440" w:lineRule="exact"/>
        <w:ind w:firstLine="480" w:firstLineChars="200"/>
        <w:rPr>
          <w:rFonts w:ascii="宋体" w:hAnsi="宋体"/>
          <w:sz w:val="24"/>
          <w:szCs w:val="24"/>
        </w:rPr>
      </w:pPr>
      <w:r>
        <w:rPr>
          <w:rFonts w:hint="eastAsia" w:ascii="宋体" w:hAnsi="宋体"/>
          <w:sz w:val="24"/>
          <w:szCs w:val="24"/>
        </w:rPr>
        <w:t>7.5 投标人提供的设备必须是正规厂家生产的高质量产品，不能提供劣质三无产品（无厂址,无商标,无合格证）。</w:t>
      </w:r>
    </w:p>
    <w:p w14:paraId="28AB9F49">
      <w:pPr>
        <w:spacing w:line="440" w:lineRule="exact"/>
        <w:ind w:firstLine="480" w:firstLineChars="200"/>
        <w:rPr>
          <w:rFonts w:ascii="宋体" w:hAnsi="宋体"/>
          <w:sz w:val="24"/>
          <w:szCs w:val="24"/>
        </w:rPr>
      </w:pPr>
      <w:r>
        <w:rPr>
          <w:rFonts w:hint="eastAsia" w:ascii="宋体" w:hAnsi="宋体"/>
          <w:sz w:val="24"/>
          <w:szCs w:val="24"/>
        </w:rPr>
        <w:t>7.6 产品资料和检测报告所反映的技术参数和性能指标将作为验收产品实物的依据。</w:t>
      </w:r>
    </w:p>
    <w:p w14:paraId="73986AED">
      <w:pPr>
        <w:spacing w:line="440" w:lineRule="exact"/>
        <w:ind w:firstLine="480" w:firstLineChars="200"/>
        <w:rPr>
          <w:rFonts w:ascii="宋体" w:hAnsi="宋体"/>
          <w:sz w:val="24"/>
          <w:szCs w:val="24"/>
        </w:rPr>
      </w:pPr>
      <w:r>
        <w:rPr>
          <w:rFonts w:hint="eastAsia" w:ascii="宋体" w:hAnsi="宋体"/>
          <w:sz w:val="24"/>
          <w:szCs w:val="24"/>
        </w:rPr>
        <w:t>7.7 对照招标文件技术规格、参数与要求，逐条说明所提供货物和服务已对招标文件的技术规格、参数与要求做出了实质性的响应，或申明与技术规格、参数与要求条文的偏差和例外。特别对于有具体参数要求的指标，投标人必须提供所投设备的具体参数值。</w:t>
      </w:r>
    </w:p>
    <w:p w14:paraId="551E0B08">
      <w:pPr>
        <w:spacing w:line="440" w:lineRule="exact"/>
        <w:ind w:firstLine="480" w:firstLineChars="200"/>
        <w:rPr>
          <w:rFonts w:ascii="宋体" w:hAnsi="宋体"/>
          <w:sz w:val="24"/>
          <w:szCs w:val="24"/>
        </w:rPr>
      </w:pPr>
      <w:r>
        <w:rPr>
          <w:rFonts w:hint="eastAsia" w:ascii="宋体" w:hAnsi="宋体"/>
          <w:sz w:val="24"/>
          <w:szCs w:val="24"/>
        </w:rPr>
        <w:t>7.8 投标人在阐述上述时应注意招标文件“货物技术规格、参数与要求”中指出的工艺、材料和设备的标准以及参照的牌号或分类号仅起说明作用，并没有任何限制性。投标人在响应中可以选用替代标准、牌号或分类号，但这些替代要实质上相当于技术规格的要求，并且使采购方满意。</w:t>
      </w:r>
    </w:p>
    <w:p w14:paraId="10E2E296">
      <w:pPr>
        <w:spacing w:line="440" w:lineRule="exact"/>
        <w:ind w:firstLine="482" w:firstLineChars="200"/>
        <w:rPr>
          <w:rFonts w:ascii="宋体" w:hAnsi="宋体"/>
          <w:b/>
          <w:sz w:val="24"/>
          <w:szCs w:val="24"/>
        </w:rPr>
      </w:pPr>
      <w:r>
        <w:rPr>
          <w:rFonts w:hint="eastAsia" w:ascii="宋体" w:hAnsi="宋体"/>
          <w:b/>
          <w:sz w:val="24"/>
          <w:szCs w:val="24"/>
        </w:rPr>
        <w:t>8. 投标有效期</w:t>
      </w:r>
    </w:p>
    <w:p w14:paraId="2A4E2190">
      <w:pPr>
        <w:spacing w:line="440" w:lineRule="exact"/>
        <w:ind w:firstLine="480" w:firstLineChars="200"/>
        <w:rPr>
          <w:rFonts w:ascii="宋体" w:hAnsi="宋体"/>
          <w:sz w:val="24"/>
          <w:szCs w:val="24"/>
        </w:rPr>
      </w:pPr>
      <w:r>
        <w:rPr>
          <w:rFonts w:hint="eastAsia" w:ascii="宋体" w:hAnsi="宋体"/>
          <w:sz w:val="24"/>
          <w:szCs w:val="24"/>
        </w:rPr>
        <w:t>8.1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14:paraId="7899C5B3">
      <w:pPr>
        <w:spacing w:line="440" w:lineRule="exact"/>
        <w:ind w:firstLine="480" w:firstLineChars="200"/>
        <w:rPr>
          <w:rFonts w:ascii="宋体" w:hAnsi="宋体"/>
          <w:sz w:val="24"/>
          <w:szCs w:val="24"/>
        </w:rPr>
      </w:pPr>
      <w:r>
        <w:rPr>
          <w:rFonts w:hint="eastAsia" w:ascii="宋体" w:hAnsi="宋体"/>
          <w:sz w:val="24"/>
          <w:szCs w:val="24"/>
        </w:rPr>
        <w:t>8.2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0C4B8549">
      <w:pPr>
        <w:spacing w:line="440" w:lineRule="exact"/>
        <w:ind w:firstLine="482" w:firstLineChars="200"/>
        <w:rPr>
          <w:rFonts w:ascii="宋体" w:hAnsi="宋体"/>
          <w:b/>
          <w:sz w:val="24"/>
          <w:szCs w:val="24"/>
        </w:rPr>
      </w:pPr>
      <w:r>
        <w:rPr>
          <w:rFonts w:hint="eastAsia" w:ascii="宋体" w:hAnsi="宋体"/>
          <w:b/>
          <w:sz w:val="24"/>
          <w:szCs w:val="24"/>
        </w:rPr>
        <w:t>9. 投标文件的签署和规定见前投标须知前附表。</w:t>
      </w:r>
    </w:p>
    <w:p w14:paraId="20E1935F">
      <w:pPr>
        <w:spacing w:line="440" w:lineRule="exact"/>
        <w:ind w:firstLine="482" w:firstLineChars="200"/>
        <w:rPr>
          <w:rFonts w:ascii="宋体" w:hAnsi="宋体"/>
          <w:b/>
          <w:sz w:val="24"/>
          <w:szCs w:val="24"/>
        </w:rPr>
      </w:pPr>
      <w:r>
        <w:rPr>
          <w:rFonts w:hint="eastAsia" w:ascii="宋体" w:hAnsi="宋体"/>
          <w:b/>
          <w:sz w:val="24"/>
          <w:szCs w:val="24"/>
        </w:rPr>
        <w:t>10.投标文件的密封和标记见前投标须知前附表。</w:t>
      </w:r>
    </w:p>
    <w:p w14:paraId="31378023">
      <w:pPr>
        <w:spacing w:line="440" w:lineRule="exact"/>
        <w:ind w:firstLine="482" w:firstLineChars="200"/>
        <w:rPr>
          <w:rFonts w:ascii="宋体" w:hAnsi="宋体"/>
          <w:b/>
          <w:sz w:val="24"/>
          <w:szCs w:val="24"/>
        </w:rPr>
      </w:pPr>
      <w:r>
        <w:rPr>
          <w:rFonts w:ascii="宋体" w:hAnsi="宋体"/>
          <w:b/>
          <w:sz w:val="24"/>
          <w:szCs w:val="24"/>
        </w:rPr>
        <w:t xml:space="preserve">11. </w:t>
      </w:r>
      <w:r>
        <w:rPr>
          <w:rFonts w:hint="eastAsia" w:ascii="宋体" w:hAnsi="宋体"/>
          <w:b/>
          <w:sz w:val="24"/>
          <w:szCs w:val="24"/>
        </w:rPr>
        <w:t>投标保证金</w:t>
      </w:r>
    </w:p>
    <w:p w14:paraId="4D0FF20F">
      <w:pPr>
        <w:spacing w:line="440" w:lineRule="exact"/>
        <w:ind w:firstLine="480" w:firstLineChars="200"/>
        <w:rPr>
          <w:rFonts w:ascii="宋体" w:hAnsi="宋体"/>
          <w:sz w:val="24"/>
          <w:szCs w:val="24"/>
        </w:rPr>
      </w:pPr>
      <w:r>
        <w:rPr>
          <w:rFonts w:ascii="宋体" w:hAnsi="宋体"/>
          <w:sz w:val="24"/>
          <w:szCs w:val="24"/>
        </w:rPr>
        <w:t xml:space="preserve">11.1  </w:t>
      </w:r>
      <w:r>
        <w:rPr>
          <w:rFonts w:hint="eastAsia" w:ascii="宋体" w:hAnsi="宋体"/>
          <w:sz w:val="24"/>
          <w:szCs w:val="24"/>
        </w:rPr>
        <w:t>招标方因投标人的违规行为而受到损害时将不予退还投标人的投标保证金，将其作为所受损害的补偿。</w:t>
      </w:r>
    </w:p>
    <w:p w14:paraId="7FDA0604">
      <w:pPr>
        <w:pStyle w:val="13"/>
        <w:spacing w:line="440" w:lineRule="exact"/>
        <w:ind w:firstLine="480" w:firstLineChars="200"/>
        <w:rPr>
          <w:rFonts w:hAnsi="宋体"/>
          <w:sz w:val="24"/>
        </w:rPr>
      </w:pPr>
      <w:r>
        <w:rPr>
          <w:rFonts w:hAnsi="宋体"/>
          <w:sz w:val="24"/>
        </w:rPr>
        <w:t>11.2</w:t>
      </w:r>
      <w:r>
        <w:rPr>
          <w:rFonts w:hint="eastAsia" w:hAnsi="宋体"/>
          <w:sz w:val="24"/>
        </w:rPr>
        <w:t>　投标保证金应当以支票、汇票、本票、保函等非现金形式提交，必须从投标人基本账户转出，其有效期应不低于投标有效期。投标人未按照招标文件要求提交投标保证金的，投标无效。</w:t>
      </w:r>
    </w:p>
    <w:p w14:paraId="7AB77965">
      <w:pPr>
        <w:pStyle w:val="13"/>
        <w:spacing w:line="440" w:lineRule="exact"/>
        <w:ind w:firstLine="480" w:firstLineChars="200"/>
        <w:rPr>
          <w:rFonts w:hAnsi="宋体"/>
          <w:sz w:val="24"/>
        </w:rPr>
      </w:pPr>
      <w:r>
        <w:rPr>
          <w:rFonts w:hAnsi="宋体"/>
          <w:sz w:val="24"/>
        </w:rPr>
        <w:t xml:space="preserve">11.3  </w:t>
      </w:r>
      <w:r>
        <w:rPr>
          <w:rFonts w:hint="eastAsia" w:hAnsi="宋体"/>
          <w:sz w:val="24"/>
        </w:rPr>
        <w:t>投标人应提交投标保证金，并于投标保证金缴纳截止时间前到达</w:t>
      </w:r>
      <w:r>
        <w:rPr>
          <w:rFonts w:hint="eastAsia"/>
          <w:sz w:val="24"/>
        </w:rPr>
        <w:t>新疆守正项目管理咨询有限公司</w:t>
      </w:r>
      <w:r>
        <w:rPr>
          <w:rFonts w:hint="eastAsia" w:hAnsi="宋体"/>
          <w:sz w:val="24"/>
        </w:rPr>
        <w:t>指定账户（人民币）。如是本地转账支票需于投标保证金缴纳截止时间三个工作日前向</w:t>
      </w:r>
      <w:r>
        <w:rPr>
          <w:rFonts w:hint="eastAsia"/>
          <w:sz w:val="24"/>
        </w:rPr>
        <w:t>新疆守正项目管理咨询有限公司</w:t>
      </w:r>
      <w:r>
        <w:rPr>
          <w:rFonts w:hint="eastAsia" w:hAnsi="宋体"/>
          <w:sz w:val="24"/>
        </w:rPr>
        <w:t>送达，如投标保证金为汇款形式的，（汇款时汇款单填写内容须备注项目编号及包号）。</w:t>
      </w:r>
    </w:p>
    <w:p w14:paraId="5BCFA37D">
      <w:pPr>
        <w:spacing w:line="440" w:lineRule="exact"/>
        <w:ind w:firstLine="480" w:firstLineChars="200"/>
        <w:rPr>
          <w:rFonts w:ascii="宋体" w:hAnsi="宋体"/>
          <w:sz w:val="24"/>
          <w:szCs w:val="24"/>
        </w:rPr>
      </w:pPr>
      <w:r>
        <w:rPr>
          <w:rFonts w:ascii="宋体" w:hAnsi="宋体"/>
          <w:sz w:val="24"/>
          <w:szCs w:val="24"/>
        </w:rPr>
        <w:t>11.4</w:t>
      </w:r>
      <w:r>
        <w:rPr>
          <w:rFonts w:hint="eastAsia" w:ascii="宋体" w:hAnsi="宋体"/>
          <w:sz w:val="24"/>
          <w:szCs w:val="24"/>
        </w:rPr>
        <w:t>　未中标的投标人的投标保证金，将在中标通知书发出后</w:t>
      </w:r>
      <w:r>
        <w:rPr>
          <w:rFonts w:ascii="宋体" w:hAnsi="宋体"/>
          <w:sz w:val="24"/>
          <w:szCs w:val="24"/>
        </w:rPr>
        <w:t>5</w:t>
      </w:r>
      <w:r>
        <w:rPr>
          <w:rFonts w:hint="eastAsia" w:ascii="宋体" w:hAnsi="宋体"/>
          <w:sz w:val="24"/>
          <w:szCs w:val="24"/>
        </w:rPr>
        <w:t>个工作日内无息退还。</w:t>
      </w:r>
    </w:p>
    <w:p w14:paraId="63254354">
      <w:pPr>
        <w:spacing w:line="460" w:lineRule="atLeast"/>
        <w:ind w:firstLine="480" w:firstLineChars="200"/>
        <w:rPr>
          <w:rFonts w:ascii="宋体" w:hAnsi="宋体"/>
          <w:sz w:val="24"/>
        </w:rPr>
      </w:pPr>
      <w:r>
        <w:rPr>
          <w:rFonts w:ascii="宋体" w:hAnsi="宋体"/>
          <w:sz w:val="24"/>
          <w:szCs w:val="24"/>
        </w:rPr>
        <w:t xml:space="preserve">11.5  </w:t>
      </w:r>
      <w:r>
        <w:rPr>
          <w:rFonts w:hint="eastAsia" w:ascii="宋体" w:hAnsi="宋体"/>
          <w:sz w:val="24"/>
          <w:szCs w:val="24"/>
        </w:rPr>
        <w:t>中标人的投标保证金，将在领取中标通知书，缴纳履约保证金并签订合同后</w:t>
      </w:r>
      <w:r>
        <w:rPr>
          <w:rFonts w:ascii="宋体" w:hAnsi="宋体"/>
          <w:sz w:val="24"/>
          <w:szCs w:val="24"/>
        </w:rPr>
        <w:t>5</w:t>
      </w:r>
      <w:r>
        <w:rPr>
          <w:rFonts w:hint="eastAsia" w:ascii="宋体" w:hAnsi="宋体"/>
          <w:sz w:val="24"/>
          <w:szCs w:val="24"/>
        </w:rPr>
        <w:t>个工作日内无息退还。</w:t>
      </w:r>
    </w:p>
    <w:p w14:paraId="2462154B">
      <w:pPr>
        <w:spacing w:line="440" w:lineRule="exact"/>
        <w:ind w:firstLine="480" w:firstLineChars="200"/>
        <w:rPr>
          <w:rFonts w:ascii="宋体" w:hAnsi="宋体"/>
          <w:sz w:val="24"/>
          <w:szCs w:val="24"/>
        </w:rPr>
      </w:pPr>
      <w:r>
        <w:rPr>
          <w:rFonts w:hint="eastAsia" w:ascii="宋体" w:hAnsi="宋体"/>
          <w:sz w:val="24"/>
          <w:szCs w:val="24"/>
        </w:rPr>
        <w:t>11.6在评标过程中，如发现下列情况之一的，其投标将被拒绝；</w:t>
      </w:r>
    </w:p>
    <w:p w14:paraId="015F595D">
      <w:pPr>
        <w:spacing w:line="440" w:lineRule="exact"/>
        <w:ind w:firstLine="480" w:firstLineChars="200"/>
        <w:rPr>
          <w:rFonts w:ascii="宋体" w:hAnsi="宋体"/>
          <w:sz w:val="24"/>
          <w:szCs w:val="24"/>
        </w:rPr>
      </w:pPr>
      <w:r>
        <w:rPr>
          <w:rFonts w:hint="eastAsia" w:ascii="宋体" w:hAnsi="宋体"/>
          <w:sz w:val="24"/>
          <w:szCs w:val="24"/>
        </w:rPr>
        <w:t>（1）未按规定提交投标保证金的投标；</w:t>
      </w:r>
    </w:p>
    <w:p w14:paraId="5B66575E">
      <w:pPr>
        <w:spacing w:line="440" w:lineRule="exact"/>
        <w:ind w:firstLine="480" w:firstLineChars="200"/>
        <w:rPr>
          <w:rFonts w:ascii="宋体" w:hAnsi="宋体"/>
          <w:sz w:val="24"/>
          <w:szCs w:val="24"/>
        </w:rPr>
      </w:pPr>
      <w:r>
        <w:rPr>
          <w:rFonts w:hint="eastAsia" w:ascii="宋体" w:hAnsi="宋体"/>
          <w:sz w:val="24"/>
          <w:szCs w:val="24"/>
        </w:rPr>
        <w:t>（2）投标文件技术规格中的响应与事实不符或虚假投标的；</w:t>
      </w:r>
    </w:p>
    <w:p w14:paraId="0CF96DC5">
      <w:pPr>
        <w:spacing w:line="440" w:lineRule="exact"/>
        <w:ind w:firstLine="480" w:firstLineChars="200"/>
        <w:rPr>
          <w:rFonts w:ascii="宋体" w:hAnsi="宋体"/>
          <w:sz w:val="24"/>
          <w:szCs w:val="24"/>
        </w:rPr>
      </w:pPr>
      <w:r>
        <w:rPr>
          <w:rFonts w:hint="eastAsia" w:ascii="宋体" w:hAnsi="宋体"/>
          <w:sz w:val="24"/>
          <w:szCs w:val="24"/>
        </w:rPr>
        <w:t>（3）投标人复制招标文件的技术规格相关部分内容作为其投标文件的一部分；</w:t>
      </w:r>
    </w:p>
    <w:p w14:paraId="45A4278C">
      <w:pPr>
        <w:spacing w:line="440" w:lineRule="exact"/>
        <w:ind w:firstLine="480" w:firstLineChars="200"/>
        <w:rPr>
          <w:rFonts w:ascii="宋体" w:hAnsi="宋体"/>
          <w:sz w:val="24"/>
          <w:szCs w:val="24"/>
        </w:rPr>
      </w:pPr>
      <w:r>
        <w:rPr>
          <w:rFonts w:hint="eastAsia" w:ascii="宋体" w:hAnsi="宋体"/>
          <w:sz w:val="24"/>
          <w:szCs w:val="24"/>
        </w:rPr>
        <w:t>（4）投标文件符合招标文件中规定废标的其它技术条款；</w:t>
      </w:r>
    </w:p>
    <w:p w14:paraId="4E11E9B8">
      <w:pPr>
        <w:spacing w:line="440" w:lineRule="exact"/>
        <w:ind w:firstLine="480" w:firstLineChars="200"/>
        <w:rPr>
          <w:rFonts w:ascii="宋体" w:hAnsi="宋体"/>
          <w:sz w:val="24"/>
          <w:szCs w:val="24"/>
        </w:rPr>
      </w:pPr>
      <w:r>
        <w:rPr>
          <w:rFonts w:hint="eastAsia" w:ascii="宋体" w:hAnsi="宋体"/>
          <w:sz w:val="24"/>
          <w:szCs w:val="24"/>
        </w:rPr>
        <w:t>（5）投标人拒绝修正错误的；</w:t>
      </w:r>
    </w:p>
    <w:p w14:paraId="7D3DD86F">
      <w:pPr>
        <w:spacing w:line="440" w:lineRule="exact"/>
        <w:ind w:firstLine="480" w:firstLineChars="200"/>
        <w:rPr>
          <w:rFonts w:ascii="宋体" w:hAnsi="宋体"/>
          <w:sz w:val="24"/>
          <w:szCs w:val="24"/>
        </w:rPr>
      </w:pPr>
      <w:r>
        <w:rPr>
          <w:rFonts w:hint="eastAsia" w:ascii="宋体" w:hAnsi="宋体"/>
          <w:sz w:val="24"/>
          <w:szCs w:val="24"/>
        </w:rPr>
        <w:t>（6）投标文件的关键内容字迹模糊，无法辨认的；</w:t>
      </w:r>
    </w:p>
    <w:p w14:paraId="3C76BE3A">
      <w:pPr>
        <w:spacing w:line="440" w:lineRule="exact"/>
        <w:ind w:firstLine="480" w:firstLineChars="200"/>
        <w:rPr>
          <w:rFonts w:ascii="宋体" w:hAnsi="宋体"/>
          <w:sz w:val="24"/>
          <w:szCs w:val="24"/>
        </w:rPr>
      </w:pPr>
      <w:r>
        <w:rPr>
          <w:rFonts w:hint="eastAsia" w:ascii="宋体" w:hAnsi="宋体"/>
          <w:sz w:val="24"/>
          <w:szCs w:val="24"/>
        </w:rPr>
        <w:t>（7）投标有效期不足的；</w:t>
      </w:r>
    </w:p>
    <w:p w14:paraId="4E58EB2B">
      <w:pPr>
        <w:spacing w:line="440" w:lineRule="exact"/>
        <w:ind w:firstLine="480" w:firstLineChars="200"/>
        <w:rPr>
          <w:rFonts w:ascii="宋体" w:hAnsi="宋体"/>
          <w:sz w:val="24"/>
          <w:szCs w:val="24"/>
        </w:rPr>
      </w:pPr>
      <w:r>
        <w:rPr>
          <w:rFonts w:hint="eastAsia" w:ascii="宋体" w:hAnsi="宋体"/>
          <w:sz w:val="24"/>
          <w:szCs w:val="24"/>
        </w:rPr>
        <w:t>（8）其他违反相关法律法规规定的行为的；</w:t>
      </w:r>
    </w:p>
    <w:p w14:paraId="79E14472">
      <w:pPr>
        <w:spacing w:line="440" w:lineRule="exact"/>
        <w:ind w:firstLine="480" w:firstLineChars="200"/>
        <w:rPr>
          <w:rFonts w:ascii="宋体" w:hAnsi="宋体"/>
          <w:sz w:val="24"/>
          <w:szCs w:val="24"/>
        </w:rPr>
      </w:pPr>
      <w:r>
        <w:rPr>
          <w:rFonts w:hint="eastAsia" w:ascii="宋体" w:hAnsi="宋体"/>
          <w:sz w:val="24"/>
          <w:szCs w:val="24"/>
        </w:rPr>
        <w:t>（9）评标委员会认为是其他应当否决的投标。</w:t>
      </w:r>
    </w:p>
    <w:p w14:paraId="5C0404E5">
      <w:pPr>
        <w:spacing w:line="440" w:lineRule="exact"/>
        <w:ind w:firstLine="480" w:firstLineChars="200"/>
        <w:rPr>
          <w:rFonts w:ascii="宋体" w:hAnsi="宋体"/>
          <w:sz w:val="24"/>
          <w:szCs w:val="24"/>
        </w:rPr>
      </w:pPr>
      <w:r>
        <w:rPr>
          <w:rFonts w:hint="eastAsia" w:ascii="宋体" w:hAnsi="宋体"/>
          <w:sz w:val="24"/>
          <w:szCs w:val="24"/>
        </w:rPr>
        <w:t>11.7下列任何情况发生时，投标保证金将不予退还，转为违约金：</w:t>
      </w:r>
    </w:p>
    <w:p w14:paraId="745AD3DA">
      <w:pPr>
        <w:spacing w:line="440" w:lineRule="exact"/>
        <w:ind w:firstLine="480" w:firstLineChars="200"/>
        <w:rPr>
          <w:rFonts w:ascii="宋体" w:hAnsi="宋体"/>
          <w:sz w:val="24"/>
          <w:szCs w:val="24"/>
        </w:rPr>
      </w:pPr>
      <w:r>
        <w:rPr>
          <w:rFonts w:hint="eastAsia" w:ascii="宋体" w:hAnsi="宋体"/>
          <w:sz w:val="24"/>
          <w:szCs w:val="24"/>
        </w:rPr>
        <w:t>(1)  投标人在投标截止期后，投标有效期内撤回投标；</w:t>
      </w:r>
    </w:p>
    <w:p w14:paraId="796BF81F">
      <w:pPr>
        <w:spacing w:line="440" w:lineRule="exact"/>
        <w:ind w:firstLine="480" w:firstLineChars="200"/>
        <w:rPr>
          <w:rFonts w:ascii="宋体" w:hAnsi="宋体"/>
          <w:sz w:val="24"/>
          <w:szCs w:val="24"/>
        </w:rPr>
      </w:pPr>
      <w:r>
        <w:rPr>
          <w:rFonts w:hint="eastAsia" w:ascii="宋体" w:hAnsi="宋体"/>
          <w:sz w:val="24"/>
          <w:szCs w:val="24"/>
        </w:rPr>
        <w:t>(2)  投标人在规定期限内未按规定向采购人缴纳履约保证金；</w:t>
      </w:r>
    </w:p>
    <w:p w14:paraId="434FBA4C">
      <w:pPr>
        <w:spacing w:line="440" w:lineRule="exact"/>
        <w:ind w:firstLine="480" w:firstLineChars="200"/>
        <w:rPr>
          <w:rFonts w:ascii="宋体" w:hAnsi="宋体"/>
          <w:sz w:val="24"/>
          <w:szCs w:val="24"/>
        </w:rPr>
      </w:pPr>
      <w:r>
        <w:rPr>
          <w:rFonts w:hint="eastAsia" w:ascii="宋体" w:hAnsi="宋体"/>
          <w:sz w:val="24"/>
          <w:szCs w:val="24"/>
        </w:rPr>
        <w:t>(3)  中标人未按投标人须知规定缴纳招标代理费；</w:t>
      </w:r>
    </w:p>
    <w:p w14:paraId="3F0FBE94">
      <w:pPr>
        <w:spacing w:line="440" w:lineRule="exact"/>
        <w:ind w:firstLine="480" w:firstLineChars="200"/>
        <w:rPr>
          <w:rFonts w:ascii="宋体" w:hAnsi="宋体"/>
          <w:sz w:val="24"/>
          <w:szCs w:val="24"/>
        </w:rPr>
      </w:pPr>
      <w:r>
        <w:rPr>
          <w:rFonts w:hint="eastAsia" w:ascii="宋体" w:hAnsi="宋体"/>
          <w:sz w:val="24"/>
          <w:szCs w:val="24"/>
        </w:rPr>
        <w:t>(4)  以他人名义投标或者以其他方式弄虚作假，骗取中标；</w:t>
      </w:r>
    </w:p>
    <w:p w14:paraId="0C4C7C20">
      <w:pPr>
        <w:spacing w:line="440" w:lineRule="exact"/>
        <w:ind w:firstLine="480" w:firstLineChars="200"/>
        <w:rPr>
          <w:rFonts w:ascii="宋体" w:hAnsi="宋体"/>
          <w:sz w:val="24"/>
          <w:szCs w:val="24"/>
        </w:rPr>
      </w:pPr>
      <w:r>
        <w:rPr>
          <w:rFonts w:hint="eastAsia" w:ascii="宋体" w:hAnsi="宋体"/>
          <w:sz w:val="24"/>
          <w:szCs w:val="24"/>
        </w:rPr>
        <w:t>(5)  打架斗殴，扰乱会场秩序；</w:t>
      </w:r>
    </w:p>
    <w:p w14:paraId="60C77229">
      <w:pPr>
        <w:spacing w:line="440" w:lineRule="exact"/>
        <w:ind w:firstLine="480" w:firstLineChars="200"/>
        <w:rPr>
          <w:rFonts w:ascii="宋体" w:hAnsi="宋体"/>
          <w:sz w:val="24"/>
          <w:szCs w:val="24"/>
        </w:rPr>
      </w:pPr>
      <w:r>
        <w:rPr>
          <w:rFonts w:hint="eastAsia" w:ascii="宋体" w:hAnsi="宋体"/>
          <w:sz w:val="24"/>
          <w:szCs w:val="24"/>
        </w:rPr>
        <w:t>(6)  本招标文件中或《政府采购货物和服务招标投标管理办法》第七十五条规定的其他不予退还投标保证金的情形。</w:t>
      </w:r>
    </w:p>
    <w:p w14:paraId="35100D91">
      <w:pPr>
        <w:spacing w:line="440" w:lineRule="exact"/>
        <w:ind w:firstLine="840" w:firstLineChars="350"/>
        <w:rPr>
          <w:rFonts w:ascii="宋体" w:hAnsi="宋体"/>
          <w:sz w:val="24"/>
          <w:szCs w:val="24"/>
        </w:rPr>
      </w:pPr>
      <w:r>
        <w:rPr>
          <w:rFonts w:hint="eastAsia" w:ascii="宋体" w:hAnsi="宋体"/>
          <w:sz w:val="24"/>
          <w:szCs w:val="24"/>
        </w:rPr>
        <w:t>上述不予退还投标保证金的情况并给招标代理机构造成损失的，还要承担赔偿责任。</w:t>
      </w:r>
    </w:p>
    <w:p w14:paraId="7663AE8B">
      <w:pPr>
        <w:spacing w:line="440" w:lineRule="exact"/>
        <w:rPr>
          <w:rFonts w:ascii="宋体" w:hAnsi="宋体"/>
          <w:sz w:val="24"/>
          <w:szCs w:val="24"/>
        </w:rPr>
      </w:pPr>
    </w:p>
    <w:p w14:paraId="1115D618">
      <w:pPr>
        <w:spacing w:line="440" w:lineRule="exact"/>
        <w:ind w:firstLine="482"/>
        <w:jc w:val="center"/>
        <w:outlineLvl w:val="1"/>
        <w:rPr>
          <w:rFonts w:ascii="宋体" w:hAnsi="宋体"/>
          <w:b/>
          <w:sz w:val="28"/>
          <w:szCs w:val="32"/>
        </w:rPr>
      </w:pPr>
      <w:bookmarkStart w:id="16" w:name="_Toc89792132"/>
      <w:bookmarkStart w:id="17" w:name="_Toc17974"/>
      <w:r>
        <w:rPr>
          <w:rFonts w:hint="eastAsia" w:ascii="宋体" w:hAnsi="宋体"/>
          <w:b/>
          <w:sz w:val="28"/>
          <w:szCs w:val="32"/>
        </w:rPr>
        <w:t>第三章 投标文件的递交</w:t>
      </w:r>
      <w:bookmarkEnd w:id="16"/>
      <w:bookmarkEnd w:id="17"/>
    </w:p>
    <w:p w14:paraId="1482DAF9">
      <w:pPr>
        <w:spacing w:line="440" w:lineRule="exact"/>
        <w:ind w:firstLine="482" w:firstLineChars="200"/>
        <w:rPr>
          <w:rFonts w:ascii="宋体" w:hAnsi="宋体"/>
          <w:b/>
          <w:sz w:val="24"/>
          <w:szCs w:val="24"/>
        </w:rPr>
      </w:pPr>
      <w:r>
        <w:rPr>
          <w:rFonts w:ascii="宋体" w:hAnsi="宋体"/>
          <w:b/>
          <w:sz w:val="24"/>
          <w:szCs w:val="24"/>
        </w:rPr>
        <w:t xml:space="preserve">12. </w:t>
      </w:r>
      <w:r>
        <w:rPr>
          <w:rFonts w:hint="eastAsia" w:ascii="宋体" w:hAnsi="宋体"/>
          <w:b/>
          <w:sz w:val="24"/>
          <w:szCs w:val="24"/>
        </w:rPr>
        <w:t>投标文件的标记</w:t>
      </w:r>
    </w:p>
    <w:p w14:paraId="6F02FBE3">
      <w:pPr>
        <w:spacing w:line="440" w:lineRule="exact"/>
        <w:ind w:firstLine="480" w:firstLineChars="200"/>
        <w:rPr>
          <w:rFonts w:ascii="宋体" w:hAnsi="宋体"/>
          <w:sz w:val="24"/>
          <w:szCs w:val="24"/>
        </w:rPr>
      </w:pPr>
      <w:r>
        <w:rPr>
          <w:rFonts w:ascii="宋体" w:hAnsi="宋体"/>
          <w:sz w:val="24"/>
          <w:szCs w:val="24"/>
        </w:rPr>
        <w:t>12.1</w:t>
      </w:r>
      <w:r>
        <w:rPr>
          <w:rStyle w:val="112"/>
          <w:rFonts w:hint="eastAsia" w:ascii="宋体" w:hAnsi="宋体"/>
          <w:sz w:val="24"/>
        </w:rPr>
        <w:t>本项目采用不见面电子标。</w:t>
      </w:r>
    </w:p>
    <w:p w14:paraId="4672BF72">
      <w:pPr>
        <w:spacing w:line="440" w:lineRule="exact"/>
        <w:ind w:firstLine="480" w:firstLineChars="200"/>
        <w:rPr>
          <w:rFonts w:ascii="宋体" w:hAnsi="宋体"/>
          <w:sz w:val="24"/>
          <w:szCs w:val="24"/>
        </w:rPr>
      </w:pPr>
      <w:r>
        <w:rPr>
          <w:rFonts w:ascii="宋体" w:hAnsi="宋体"/>
          <w:sz w:val="24"/>
          <w:szCs w:val="24"/>
        </w:rPr>
        <w:t>12.2</w:t>
      </w:r>
      <w:r>
        <w:rPr>
          <w:rFonts w:hint="eastAsia" w:ascii="宋体" w:hAnsi="宋体"/>
          <w:sz w:val="24"/>
          <w:szCs w:val="24"/>
        </w:rPr>
        <w:t>任何不完整或不满足招标文件要求的投标文件将被拒绝。</w:t>
      </w:r>
    </w:p>
    <w:p w14:paraId="6DDC3FDC">
      <w:pPr>
        <w:spacing w:line="440" w:lineRule="exact"/>
        <w:ind w:firstLine="482" w:firstLineChars="200"/>
        <w:rPr>
          <w:rFonts w:ascii="宋体" w:hAnsi="宋体"/>
          <w:b/>
          <w:sz w:val="24"/>
          <w:szCs w:val="24"/>
        </w:rPr>
      </w:pPr>
      <w:r>
        <w:rPr>
          <w:rFonts w:ascii="宋体" w:hAnsi="宋体"/>
          <w:b/>
          <w:sz w:val="24"/>
          <w:szCs w:val="24"/>
        </w:rPr>
        <w:t xml:space="preserve">13. </w:t>
      </w:r>
      <w:r>
        <w:rPr>
          <w:rFonts w:hint="eastAsia" w:ascii="宋体" w:hAnsi="宋体"/>
          <w:b/>
          <w:sz w:val="24"/>
          <w:szCs w:val="24"/>
        </w:rPr>
        <w:t>投标截止时间</w:t>
      </w:r>
    </w:p>
    <w:p w14:paraId="2FF8986B">
      <w:pPr>
        <w:spacing w:line="440" w:lineRule="exact"/>
        <w:ind w:firstLine="480" w:firstLineChars="200"/>
        <w:rPr>
          <w:rFonts w:ascii="宋体" w:hAnsi="宋体"/>
          <w:sz w:val="24"/>
          <w:szCs w:val="24"/>
        </w:rPr>
      </w:pPr>
      <w:r>
        <w:rPr>
          <w:rFonts w:ascii="宋体" w:hAnsi="宋体"/>
          <w:sz w:val="24"/>
          <w:szCs w:val="24"/>
        </w:rPr>
        <w:t>13.1  投标人应在本章规定的投标截止时间前和地点递交投标文件。</w:t>
      </w:r>
    </w:p>
    <w:p w14:paraId="6E13B1A1">
      <w:pPr>
        <w:spacing w:line="440" w:lineRule="exact"/>
        <w:ind w:firstLine="480" w:firstLineChars="200"/>
        <w:rPr>
          <w:rFonts w:ascii="宋体" w:hAnsi="宋体"/>
          <w:sz w:val="24"/>
          <w:szCs w:val="24"/>
        </w:rPr>
      </w:pPr>
      <w:r>
        <w:rPr>
          <w:rFonts w:ascii="宋体" w:hAnsi="宋体"/>
          <w:sz w:val="24"/>
          <w:szCs w:val="24"/>
        </w:rPr>
        <w:t>13.2</w:t>
      </w:r>
      <w:r>
        <w:rPr>
          <w:rFonts w:hint="eastAsia" w:ascii="宋体" w:hAnsi="宋体"/>
          <w:sz w:val="24"/>
          <w:szCs w:val="24"/>
        </w:rPr>
        <w:t>　</w:t>
      </w:r>
      <w:r>
        <w:rPr>
          <w:rStyle w:val="112"/>
          <w:rFonts w:ascii="宋体" w:hAnsi="宋体"/>
          <w:sz w:val="24"/>
        </w:rPr>
        <w:t>除投标人须知前附表另有规定外，投标人所递交的投标文件不予退还</w:t>
      </w:r>
      <w:r>
        <w:rPr>
          <w:rFonts w:hint="eastAsia" w:ascii="宋体" w:hAnsi="宋体"/>
          <w:sz w:val="24"/>
          <w:szCs w:val="24"/>
        </w:rPr>
        <w:t>。</w:t>
      </w:r>
    </w:p>
    <w:p w14:paraId="792EAD38">
      <w:pPr>
        <w:spacing w:line="440" w:lineRule="exact"/>
        <w:ind w:firstLine="480" w:firstLineChars="200"/>
        <w:rPr>
          <w:rFonts w:ascii="宋体" w:hAnsi="宋体"/>
          <w:sz w:val="24"/>
          <w:szCs w:val="24"/>
        </w:rPr>
      </w:pPr>
      <w:r>
        <w:rPr>
          <w:rFonts w:ascii="宋体" w:hAnsi="宋体"/>
          <w:sz w:val="24"/>
          <w:szCs w:val="24"/>
        </w:rPr>
        <w:t xml:space="preserve">13.3  </w:t>
      </w:r>
      <w:r>
        <w:rPr>
          <w:rStyle w:val="112"/>
          <w:rFonts w:ascii="宋体" w:hAnsi="宋体"/>
          <w:sz w:val="24"/>
        </w:rPr>
        <w:t>逾期送达的或者未送达指定地点的投标文件，招标人不予受理</w:t>
      </w:r>
    </w:p>
    <w:p w14:paraId="234AEFF3">
      <w:pPr>
        <w:spacing w:line="440" w:lineRule="exact"/>
        <w:ind w:firstLine="480" w:firstLineChars="200"/>
        <w:rPr>
          <w:rFonts w:ascii="宋体" w:hAnsi="宋体"/>
          <w:sz w:val="24"/>
          <w:szCs w:val="24"/>
        </w:rPr>
      </w:pPr>
      <w:r>
        <w:rPr>
          <w:rFonts w:hint="eastAsia" w:ascii="宋体" w:hAnsi="宋体"/>
          <w:sz w:val="24"/>
          <w:szCs w:val="24"/>
        </w:rPr>
        <w:t>13.4  出现因招标文件的修改而推迟投标截止时间的情况时，投标人则需按招标方的书面修改通知重新规定的投标时间递交。</w:t>
      </w:r>
    </w:p>
    <w:p w14:paraId="3ADE4639">
      <w:pPr>
        <w:spacing w:line="440" w:lineRule="exact"/>
        <w:ind w:firstLine="482" w:firstLineChars="200"/>
        <w:rPr>
          <w:rFonts w:ascii="宋体" w:hAnsi="宋体"/>
          <w:b/>
          <w:sz w:val="24"/>
          <w:szCs w:val="24"/>
        </w:rPr>
      </w:pPr>
      <w:r>
        <w:rPr>
          <w:rFonts w:ascii="宋体" w:hAnsi="宋体"/>
          <w:b/>
          <w:sz w:val="24"/>
          <w:szCs w:val="24"/>
        </w:rPr>
        <w:t xml:space="preserve">14. </w:t>
      </w:r>
      <w:r>
        <w:rPr>
          <w:rFonts w:hint="eastAsia" w:ascii="宋体" w:hAnsi="宋体"/>
          <w:b/>
          <w:sz w:val="24"/>
          <w:szCs w:val="24"/>
        </w:rPr>
        <w:t>投标文件</w:t>
      </w:r>
      <w:r>
        <w:rPr>
          <w:rStyle w:val="112"/>
          <w:rFonts w:ascii="宋体" w:hAnsi="宋体" w:cs="宋体"/>
          <w:b/>
          <w:bCs/>
          <w:sz w:val="24"/>
        </w:rPr>
        <w:t>的</w:t>
      </w:r>
      <w:r>
        <w:rPr>
          <w:rStyle w:val="112"/>
          <w:rFonts w:ascii="宋体" w:hAnsi="宋体"/>
          <w:b/>
          <w:kern w:val="0"/>
          <w:sz w:val="24"/>
          <w:lang w:val="zh-CN"/>
        </w:rPr>
        <w:t>补充、修改或者撤回</w:t>
      </w:r>
    </w:p>
    <w:p w14:paraId="2E32F24A">
      <w:pPr>
        <w:spacing w:line="440" w:lineRule="exact"/>
        <w:ind w:firstLine="480" w:firstLineChars="200"/>
        <w:rPr>
          <w:rFonts w:ascii="宋体" w:hAnsi="宋体"/>
          <w:sz w:val="24"/>
          <w:szCs w:val="24"/>
        </w:rPr>
      </w:pPr>
      <w:r>
        <w:rPr>
          <w:rFonts w:hint="eastAsia" w:ascii="宋体" w:hAnsi="宋体"/>
          <w:sz w:val="24"/>
          <w:szCs w:val="24"/>
        </w:rPr>
        <w:t xml:space="preserve"> </w:t>
      </w:r>
      <w:r>
        <w:rPr>
          <w:rFonts w:ascii="宋体" w:hAnsi="宋体"/>
          <w:sz w:val="24"/>
          <w:szCs w:val="24"/>
        </w:rPr>
        <w:t>14.1</w:t>
      </w:r>
      <w:r>
        <w:rPr>
          <w:rFonts w:hint="eastAsia" w:ascii="宋体" w:hAnsi="宋体"/>
          <w:sz w:val="24"/>
          <w:szCs w:val="24"/>
        </w:rPr>
        <w:t xml:space="preserve"> 投标人</w:t>
      </w:r>
      <w:r>
        <w:rPr>
          <w:rFonts w:ascii="宋体" w:hAnsi="宋体"/>
          <w:sz w:val="24"/>
          <w:szCs w:val="24"/>
        </w:rPr>
        <w:t>在</w:t>
      </w:r>
      <w:r>
        <w:rPr>
          <w:rFonts w:hint="eastAsia" w:ascii="宋体" w:hAnsi="宋体"/>
          <w:sz w:val="24"/>
          <w:szCs w:val="24"/>
        </w:rPr>
        <w:t>招标</w:t>
      </w:r>
      <w:r>
        <w:rPr>
          <w:rFonts w:ascii="宋体" w:hAnsi="宋体"/>
          <w:sz w:val="24"/>
          <w:szCs w:val="24"/>
        </w:rPr>
        <w:t>文件规定的</w:t>
      </w:r>
      <w:r>
        <w:rPr>
          <w:rFonts w:hint="eastAsia" w:ascii="宋体" w:hAnsi="宋体"/>
          <w:sz w:val="24"/>
          <w:szCs w:val="24"/>
        </w:rPr>
        <w:t>提交投标文件</w:t>
      </w:r>
      <w:r>
        <w:rPr>
          <w:rFonts w:ascii="宋体" w:hAnsi="宋体"/>
          <w:sz w:val="24"/>
          <w:szCs w:val="24"/>
        </w:rPr>
        <w:t>截止时间前，可以撤回已递交的</w:t>
      </w:r>
      <w:r>
        <w:rPr>
          <w:rFonts w:hint="eastAsia" w:ascii="宋体" w:hAnsi="宋体"/>
          <w:sz w:val="24"/>
          <w:szCs w:val="24"/>
        </w:rPr>
        <w:t>投标</w:t>
      </w:r>
      <w:r>
        <w:rPr>
          <w:rFonts w:ascii="宋体" w:hAnsi="宋体"/>
          <w:sz w:val="24"/>
          <w:szCs w:val="24"/>
        </w:rPr>
        <w:t>文件。如要修改，必须在撤回并修改后在规定的</w:t>
      </w:r>
      <w:r>
        <w:rPr>
          <w:rFonts w:hint="eastAsia" w:ascii="宋体" w:hAnsi="宋体"/>
          <w:sz w:val="24"/>
          <w:szCs w:val="24"/>
        </w:rPr>
        <w:t>投标</w:t>
      </w:r>
      <w:r>
        <w:rPr>
          <w:rFonts w:ascii="宋体" w:hAnsi="宋体"/>
          <w:sz w:val="24"/>
          <w:szCs w:val="24"/>
        </w:rPr>
        <w:t>文件递交截止时间之前将修改后的</w:t>
      </w:r>
      <w:r>
        <w:rPr>
          <w:rFonts w:hint="eastAsia" w:ascii="宋体" w:hAnsi="宋体"/>
          <w:sz w:val="24"/>
          <w:szCs w:val="24"/>
        </w:rPr>
        <w:t>投标</w:t>
      </w:r>
      <w:r>
        <w:rPr>
          <w:rFonts w:ascii="宋体" w:hAnsi="宋体"/>
          <w:sz w:val="24"/>
          <w:szCs w:val="24"/>
        </w:rPr>
        <w:t>文件再重新递交。在</w:t>
      </w:r>
      <w:r>
        <w:rPr>
          <w:rFonts w:hint="eastAsia" w:ascii="宋体" w:hAnsi="宋体"/>
          <w:sz w:val="24"/>
          <w:szCs w:val="24"/>
        </w:rPr>
        <w:t>投标</w:t>
      </w:r>
      <w:r>
        <w:rPr>
          <w:rFonts w:ascii="宋体" w:hAnsi="宋体"/>
          <w:sz w:val="24"/>
          <w:szCs w:val="24"/>
        </w:rPr>
        <w:t>文件递交截止时间之后，供应商不得对已经递交的</w:t>
      </w:r>
      <w:r>
        <w:rPr>
          <w:rFonts w:hint="eastAsia" w:ascii="宋体" w:hAnsi="宋体"/>
          <w:sz w:val="24"/>
          <w:szCs w:val="24"/>
        </w:rPr>
        <w:t>投标</w:t>
      </w:r>
      <w:r>
        <w:rPr>
          <w:rFonts w:ascii="宋体" w:hAnsi="宋体"/>
          <w:sz w:val="24"/>
          <w:szCs w:val="24"/>
        </w:rPr>
        <w:t>文件撤销或修改</w:t>
      </w:r>
      <w:r>
        <w:rPr>
          <w:rFonts w:hint="eastAsia" w:ascii="宋体" w:hAnsi="宋体"/>
          <w:sz w:val="24"/>
          <w:szCs w:val="24"/>
        </w:rPr>
        <w:t>。</w:t>
      </w:r>
    </w:p>
    <w:p w14:paraId="79AC4A85">
      <w:pPr>
        <w:spacing w:line="440" w:lineRule="exact"/>
        <w:ind w:firstLine="480" w:firstLineChars="200"/>
        <w:rPr>
          <w:rFonts w:ascii="宋体" w:hAnsi="宋体"/>
          <w:sz w:val="24"/>
          <w:szCs w:val="24"/>
        </w:rPr>
      </w:pPr>
      <w:r>
        <w:rPr>
          <w:rFonts w:ascii="宋体" w:hAnsi="宋体"/>
          <w:sz w:val="24"/>
          <w:szCs w:val="24"/>
        </w:rPr>
        <w:t>14.</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投标人不得在开标后至投标有效期期满前撤销投标文件，否则招标方将不予退还其投标保证金。</w:t>
      </w:r>
    </w:p>
    <w:p w14:paraId="1E610EA8">
      <w:pPr>
        <w:spacing w:line="440" w:lineRule="exact"/>
        <w:ind w:firstLine="480" w:firstLineChars="200"/>
        <w:rPr>
          <w:rFonts w:ascii="宋体" w:hAnsi="宋体"/>
          <w:sz w:val="24"/>
          <w:szCs w:val="24"/>
        </w:rPr>
      </w:pPr>
    </w:p>
    <w:p w14:paraId="02C8FD91">
      <w:pPr>
        <w:spacing w:line="440" w:lineRule="exact"/>
        <w:ind w:firstLine="422" w:firstLineChars="150"/>
        <w:jc w:val="center"/>
        <w:outlineLvl w:val="1"/>
        <w:rPr>
          <w:rFonts w:ascii="宋体" w:hAnsi="宋体"/>
          <w:sz w:val="22"/>
        </w:rPr>
      </w:pPr>
      <w:bookmarkStart w:id="18" w:name="_Toc89792133"/>
      <w:bookmarkStart w:id="19" w:name="_Toc19458"/>
      <w:r>
        <w:rPr>
          <w:rFonts w:hint="eastAsia" w:ascii="宋体" w:hAnsi="宋体"/>
          <w:b/>
          <w:sz w:val="28"/>
          <w:szCs w:val="32"/>
        </w:rPr>
        <w:t>第四章</w:t>
      </w:r>
      <w:r>
        <w:rPr>
          <w:rFonts w:ascii="宋体" w:hAnsi="宋体"/>
          <w:b/>
          <w:sz w:val="28"/>
          <w:szCs w:val="32"/>
        </w:rPr>
        <w:t xml:space="preserve"> </w:t>
      </w:r>
      <w:r>
        <w:rPr>
          <w:rFonts w:hint="eastAsia" w:ascii="宋体" w:hAnsi="宋体"/>
          <w:b/>
          <w:sz w:val="28"/>
          <w:szCs w:val="32"/>
        </w:rPr>
        <w:t>评标委员会</w:t>
      </w:r>
      <w:bookmarkEnd w:id="18"/>
      <w:bookmarkEnd w:id="19"/>
    </w:p>
    <w:p w14:paraId="4320F2F7">
      <w:pPr>
        <w:spacing w:line="440" w:lineRule="exact"/>
        <w:ind w:left="481" w:leftChars="229"/>
        <w:rPr>
          <w:rFonts w:hint="eastAsia" w:ascii="宋体" w:hAnsi="宋体"/>
          <w:b/>
          <w:sz w:val="24"/>
        </w:rPr>
      </w:pPr>
      <w:r>
        <w:rPr>
          <w:rFonts w:ascii="宋体" w:hAnsi="宋体"/>
          <w:b/>
          <w:sz w:val="24"/>
        </w:rPr>
        <w:t xml:space="preserve">15. </w:t>
      </w:r>
      <w:r>
        <w:rPr>
          <w:rFonts w:hint="eastAsia" w:ascii="宋体" w:hAnsi="宋体"/>
          <w:b/>
          <w:sz w:val="24"/>
        </w:rPr>
        <w:t>评标委员会</w:t>
      </w:r>
    </w:p>
    <w:p w14:paraId="62457D34">
      <w:pPr>
        <w:spacing w:line="440" w:lineRule="exact"/>
        <w:ind w:left="481" w:leftChars="229"/>
        <w:rPr>
          <w:rFonts w:ascii="宋体" w:hAnsi="宋体"/>
          <w:spacing w:val="-2"/>
          <w:sz w:val="24"/>
          <w:szCs w:val="24"/>
        </w:rPr>
      </w:pPr>
      <w:r>
        <w:rPr>
          <w:rFonts w:hint="eastAsia" w:ascii="宋体" w:hAnsi="宋体"/>
          <w:spacing w:val="-2"/>
          <w:sz w:val="24"/>
          <w:szCs w:val="24"/>
        </w:rPr>
        <w:t>15.1  招标方将根据《中华人民共和国政府采购法》和相关法律法规，依法组建本次招标的评标委员会，负责本次招标的评标活动。评标委员会负责按招标文件规定的评标标准向招标方推荐中标候选人，并标明排列顺序。</w:t>
      </w:r>
    </w:p>
    <w:p w14:paraId="3165973E">
      <w:pPr>
        <w:spacing w:line="440" w:lineRule="exact"/>
        <w:ind w:firstLine="472" w:firstLineChars="200"/>
        <w:rPr>
          <w:rFonts w:ascii="宋体" w:hAnsi="宋体"/>
          <w:spacing w:val="-2"/>
          <w:sz w:val="24"/>
          <w:szCs w:val="24"/>
        </w:rPr>
      </w:pPr>
      <w:r>
        <w:rPr>
          <w:rFonts w:hint="eastAsia" w:ascii="宋体" w:hAnsi="宋体"/>
          <w:spacing w:val="-2"/>
          <w:sz w:val="24"/>
          <w:szCs w:val="24"/>
        </w:rPr>
        <w:t>15.2　评标委员会人选于开标前确定。评标委员会成员名单在中标结果确定前保密。</w:t>
      </w:r>
    </w:p>
    <w:p w14:paraId="41201955">
      <w:pPr>
        <w:spacing w:line="440" w:lineRule="exact"/>
        <w:ind w:firstLine="472" w:firstLineChars="200"/>
        <w:rPr>
          <w:rFonts w:ascii="宋体" w:hAnsi="宋体"/>
          <w:spacing w:val="-2"/>
          <w:sz w:val="24"/>
          <w:szCs w:val="24"/>
        </w:rPr>
      </w:pPr>
      <w:r>
        <w:rPr>
          <w:rFonts w:hint="eastAsia" w:ascii="宋体" w:hAnsi="宋体"/>
          <w:spacing w:val="-2"/>
          <w:sz w:val="24"/>
          <w:szCs w:val="24"/>
        </w:rPr>
        <w:t>15.3  评标委员会由有关技术、经济等方面的五名以上专家组成。</w:t>
      </w:r>
    </w:p>
    <w:p w14:paraId="68EB68C3">
      <w:pPr>
        <w:spacing w:line="440" w:lineRule="exact"/>
        <w:ind w:firstLine="472" w:firstLineChars="200"/>
        <w:rPr>
          <w:rFonts w:ascii="宋体" w:hAnsi="宋体"/>
          <w:spacing w:val="-2"/>
          <w:sz w:val="24"/>
          <w:szCs w:val="24"/>
        </w:rPr>
      </w:pPr>
      <w:r>
        <w:rPr>
          <w:rFonts w:hint="eastAsia" w:ascii="宋体" w:hAnsi="宋体"/>
          <w:spacing w:val="-2"/>
          <w:sz w:val="24"/>
          <w:szCs w:val="24"/>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663F4A0B">
      <w:pPr>
        <w:spacing w:line="440" w:lineRule="exact"/>
        <w:ind w:firstLine="472" w:firstLineChars="200"/>
        <w:rPr>
          <w:rFonts w:ascii="宋体" w:hAnsi="宋体"/>
          <w:spacing w:val="-2"/>
          <w:sz w:val="24"/>
          <w:szCs w:val="24"/>
        </w:rPr>
      </w:pPr>
      <w:r>
        <w:rPr>
          <w:rFonts w:hint="eastAsia" w:ascii="宋体" w:hAnsi="宋体"/>
          <w:spacing w:val="-2"/>
          <w:sz w:val="24"/>
          <w:szCs w:val="24"/>
        </w:rPr>
        <w:t>15.5评标委员会成员应当熟悉并认真研究招标文件，至少应了解和熟悉以下内容：</w:t>
      </w:r>
    </w:p>
    <w:p w14:paraId="4AFF11BB">
      <w:pPr>
        <w:spacing w:line="440" w:lineRule="exact"/>
        <w:ind w:firstLine="472" w:firstLineChars="200"/>
        <w:rPr>
          <w:rFonts w:ascii="宋体" w:hAnsi="宋体"/>
          <w:spacing w:val="-2"/>
          <w:sz w:val="24"/>
          <w:szCs w:val="24"/>
        </w:rPr>
      </w:pPr>
      <w:r>
        <w:rPr>
          <w:rFonts w:hint="eastAsia" w:ascii="宋体" w:hAnsi="宋体"/>
          <w:spacing w:val="-2"/>
          <w:sz w:val="24"/>
          <w:szCs w:val="24"/>
        </w:rPr>
        <w:t>（1）招标目的；</w:t>
      </w:r>
    </w:p>
    <w:p w14:paraId="43DB2A0B">
      <w:pPr>
        <w:spacing w:line="440" w:lineRule="exact"/>
        <w:ind w:firstLine="472" w:firstLineChars="200"/>
        <w:rPr>
          <w:rFonts w:ascii="宋体" w:hAnsi="宋体"/>
          <w:spacing w:val="-2"/>
          <w:sz w:val="24"/>
          <w:szCs w:val="24"/>
        </w:rPr>
      </w:pPr>
      <w:r>
        <w:rPr>
          <w:rFonts w:hint="eastAsia" w:ascii="宋体" w:hAnsi="宋体"/>
          <w:spacing w:val="-2"/>
          <w:sz w:val="24"/>
          <w:szCs w:val="24"/>
        </w:rPr>
        <w:t>（2）招标项目的范围、性质；</w:t>
      </w:r>
    </w:p>
    <w:p w14:paraId="58009B11">
      <w:pPr>
        <w:spacing w:line="440" w:lineRule="exact"/>
        <w:ind w:firstLine="472" w:firstLineChars="200"/>
        <w:rPr>
          <w:rFonts w:ascii="宋体" w:hAnsi="宋体"/>
          <w:spacing w:val="-2"/>
          <w:sz w:val="24"/>
          <w:szCs w:val="24"/>
        </w:rPr>
      </w:pPr>
      <w:r>
        <w:rPr>
          <w:rFonts w:hint="eastAsia" w:ascii="宋体" w:hAnsi="宋体"/>
          <w:spacing w:val="-2"/>
          <w:sz w:val="24"/>
          <w:szCs w:val="24"/>
        </w:rPr>
        <w:t>（3）招标文件中规定的主要技术要求、标准和商务条款；</w:t>
      </w:r>
    </w:p>
    <w:p w14:paraId="760A2433">
      <w:pPr>
        <w:spacing w:line="440" w:lineRule="exact"/>
        <w:ind w:firstLine="472" w:firstLineChars="200"/>
        <w:rPr>
          <w:rFonts w:ascii="宋体" w:hAnsi="宋体"/>
          <w:spacing w:val="-2"/>
          <w:sz w:val="24"/>
          <w:szCs w:val="24"/>
        </w:rPr>
      </w:pPr>
      <w:r>
        <w:rPr>
          <w:rFonts w:hint="eastAsia" w:ascii="宋体" w:hAnsi="宋体"/>
          <w:spacing w:val="-2"/>
          <w:sz w:val="24"/>
          <w:szCs w:val="24"/>
        </w:rPr>
        <w:t>（4）招标文件规定的评标标准、评标方法和在评标过程中应考虑的相关因素。</w:t>
      </w:r>
    </w:p>
    <w:p w14:paraId="52D62B98">
      <w:pPr>
        <w:spacing w:line="440" w:lineRule="exact"/>
        <w:ind w:firstLine="472" w:firstLineChars="200"/>
        <w:rPr>
          <w:rFonts w:ascii="宋体" w:hAnsi="宋体"/>
          <w:spacing w:val="-2"/>
          <w:sz w:val="24"/>
          <w:szCs w:val="24"/>
        </w:rPr>
      </w:pPr>
      <w:r>
        <w:rPr>
          <w:rFonts w:hint="eastAsia" w:ascii="宋体" w:hAnsi="宋体"/>
          <w:spacing w:val="-2"/>
          <w:sz w:val="24"/>
          <w:szCs w:val="24"/>
        </w:rPr>
        <w:t>15.6  评标委员会应当根据招标文件规定的评标标准和方法，对投标文件进行系统地评审。招标文件中没有规定的标准和方法不得作为评标的依据。</w:t>
      </w:r>
    </w:p>
    <w:p w14:paraId="6CDC3A35">
      <w:pPr>
        <w:spacing w:line="440" w:lineRule="exact"/>
        <w:ind w:firstLine="472" w:firstLineChars="200"/>
        <w:rPr>
          <w:rFonts w:ascii="宋体" w:hAnsi="宋体"/>
          <w:spacing w:val="-2"/>
          <w:sz w:val="24"/>
          <w:szCs w:val="24"/>
        </w:rPr>
      </w:pPr>
      <w:r>
        <w:rPr>
          <w:rFonts w:hint="eastAsia" w:ascii="宋体" w:hAnsi="宋体"/>
          <w:spacing w:val="-2"/>
          <w:sz w:val="24"/>
          <w:szCs w:val="24"/>
        </w:rPr>
        <w:t>15.7  评标委员会成员应当客观、公正地履行职责，遵守职业道德，并对所提出的评审意见承担个人责任。评标委员会成员不得与任何投标人或者与招标结果有利害关系的人员进行私下接触，不得收受投标人、中介人或其他有利害关系人的财物或好处。</w:t>
      </w:r>
    </w:p>
    <w:p w14:paraId="570FBDD9">
      <w:pPr>
        <w:spacing w:line="440" w:lineRule="exact"/>
        <w:ind w:firstLine="472" w:firstLineChars="200"/>
        <w:rPr>
          <w:rFonts w:ascii="宋体" w:hAnsi="宋体"/>
          <w:spacing w:val="-2"/>
          <w:sz w:val="24"/>
          <w:szCs w:val="24"/>
        </w:rPr>
      </w:pPr>
      <w:r>
        <w:rPr>
          <w:rFonts w:hint="eastAsia" w:ascii="宋体" w:hAnsi="宋体"/>
          <w:spacing w:val="-2"/>
          <w:sz w:val="24"/>
          <w:szCs w:val="24"/>
        </w:rPr>
        <w:t>15.8  评标委员会成员和与本次评标活动有关的工作人员，不得透露对投标文件的评审和中标候选人的推荐情况以及与评标有关的其他情况。</w:t>
      </w:r>
    </w:p>
    <w:p w14:paraId="3A57E465">
      <w:pPr>
        <w:spacing w:line="440" w:lineRule="exact"/>
        <w:ind w:firstLine="472" w:firstLineChars="200"/>
        <w:rPr>
          <w:rFonts w:ascii="宋体" w:hAnsi="宋体"/>
          <w:spacing w:val="-2"/>
          <w:sz w:val="24"/>
          <w:szCs w:val="24"/>
        </w:rPr>
      </w:pPr>
      <w:r>
        <w:rPr>
          <w:rFonts w:hint="eastAsia" w:ascii="宋体" w:hAnsi="宋体"/>
          <w:spacing w:val="-2"/>
          <w:sz w:val="24"/>
          <w:szCs w:val="24"/>
        </w:rPr>
        <w:t>15.9　与评标活动有关的工作人员，是指评标委员会成员以外的、因参与评标监督工作或者事务性工作而知悉有关评标情况的所有人员。</w:t>
      </w:r>
    </w:p>
    <w:p w14:paraId="23EC2A54">
      <w:pPr>
        <w:spacing w:line="440" w:lineRule="exact"/>
        <w:jc w:val="center"/>
        <w:rPr>
          <w:rFonts w:ascii="宋体" w:hAnsi="宋体"/>
          <w:b/>
          <w:sz w:val="32"/>
          <w:szCs w:val="32"/>
        </w:rPr>
      </w:pPr>
    </w:p>
    <w:p w14:paraId="4107C77C">
      <w:pPr>
        <w:spacing w:line="440" w:lineRule="exact"/>
        <w:jc w:val="center"/>
        <w:outlineLvl w:val="1"/>
        <w:rPr>
          <w:rFonts w:ascii="宋体" w:hAnsi="宋体"/>
          <w:b/>
          <w:sz w:val="28"/>
          <w:szCs w:val="32"/>
        </w:rPr>
      </w:pPr>
      <w:bookmarkStart w:id="20" w:name="_Toc89792134"/>
      <w:bookmarkStart w:id="21" w:name="_Toc27696"/>
      <w:r>
        <w:rPr>
          <w:rFonts w:hint="eastAsia" w:ascii="宋体" w:hAnsi="宋体"/>
          <w:b/>
          <w:sz w:val="28"/>
          <w:szCs w:val="32"/>
        </w:rPr>
        <w:t>第五章</w:t>
      </w:r>
      <w:r>
        <w:rPr>
          <w:rFonts w:ascii="宋体" w:hAnsi="宋体"/>
          <w:b/>
          <w:sz w:val="28"/>
          <w:szCs w:val="32"/>
        </w:rPr>
        <w:t xml:space="preserve"> </w:t>
      </w:r>
      <w:r>
        <w:rPr>
          <w:rFonts w:hint="eastAsia" w:ascii="宋体" w:hAnsi="宋体"/>
          <w:b/>
          <w:sz w:val="28"/>
          <w:szCs w:val="32"/>
        </w:rPr>
        <w:t>开</w:t>
      </w:r>
      <w:r>
        <w:rPr>
          <w:rFonts w:hint="default" w:ascii="宋体" w:hAnsi="宋体"/>
          <w:b/>
          <w:sz w:val="28"/>
          <w:szCs w:val="32"/>
          <w:lang w:val="en-US"/>
        </w:rPr>
        <w:t xml:space="preserve"> </w:t>
      </w:r>
      <w:r>
        <w:rPr>
          <w:rFonts w:hint="eastAsia" w:ascii="宋体" w:hAnsi="宋体"/>
          <w:b/>
          <w:sz w:val="28"/>
          <w:szCs w:val="32"/>
        </w:rPr>
        <w:t>标</w:t>
      </w:r>
      <w:bookmarkEnd w:id="20"/>
      <w:bookmarkEnd w:id="21"/>
    </w:p>
    <w:p w14:paraId="487E3F5A">
      <w:pPr>
        <w:spacing w:line="440" w:lineRule="exact"/>
        <w:ind w:firstLine="474" w:firstLineChars="200"/>
        <w:rPr>
          <w:rFonts w:ascii="宋体" w:hAnsi="宋体"/>
          <w:b/>
          <w:spacing w:val="-2"/>
          <w:sz w:val="24"/>
          <w:szCs w:val="24"/>
        </w:rPr>
      </w:pPr>
      <w:r>
        <w:rPr>
          <w:rFonts w:ascii="宋体" w:hAnsi="宋体"/>
          <w:b/>
          <w:spacing w:val="-2"/>
          <w:sz w:val="24"/>
          <w:szCs w:val="24"/>
        </w:rPr>
        <w:t xml:space="preserve">16. </w:t>
      </w:r>
      <w:r>
        <w:rPr>
          <w:rFonts w:hint="eastAsia" w:ascii="宋体" w:hAnsi="宋体"/>
          <w:b/>
          <w:spacing w:val="-2"/>
          <w:sz w:val="24"/>
          <w:szCs w:val="24"/>
        </w:rPr>
        <w:t>开标</w:t>
      </w:r>
    </w:p>
    <w:p w14:paraId="2919211D">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16.1开标会按“第一章 招标公告”规定的开标时间和地点准时举行，采购人、采购代理机构邀请所有投标人准时参加开标会。投标人应按照招标文件的要求参与不见面开标。</w:t>
      </w:r>
    </w:p>
    <w:p w14:paraId="3E754102">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16.2 采购代理机构按照招标文件规定的时间、地点主持开标。采购人在规定的投标文件递交截止时间（开标时间）和地点进行不见面远程开标。投标人的法定代表人或其委托代理人无需到达开标现场，仅需在任意地点通过新疆政府采购电子交易云平台（网址：http://www.ccgp-xinjiang.gov.cn/）的“政采云登录入口”登录后，进入“政采云远程开标大厅”参加开标会议，并使用CA密钥完成远程解密、提疑澄清、开标唱标、结果公布等交互环节。</w:t>
      </w:r>
    </w:p>
    <w:p w14:paraId="425319EA">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 xml:space="preserve">16.3开标过程将宣布投标人名称、投标价格和招标文件规定的需要宣布的其他内容并进行记录，并由参加开标的各投标人确认。投标人未在规定时间内提出疑义或确认一览表的，视同认可开标结果。 </w:t>
      </w:r>
    </w:p>
    <w:p w14:paraId="45E64B10">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16.4.开标程序</w:t>
      </w:r>
    </w:p>
    <w:p w14:paraId="4CE64437">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16.4.1 投标人不足3家的，不得开标。</w:t>
      </w:r>
    </w:p>
    <w:p w14:paraId="24A853F8">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16.4.2 评标委员会成员不得参加开标活动。</w:t>
      </w:r>
    </w:p>
    <w:p w14:paraId="184CBBC8">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16.4.3主持人按下列程序进行开标：</w:t>
      </w:r>
    </w:p>
    <w:p w14:paraId="5EB3C176">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（1）宣布开标会纪律；</w:t>
      </w:r>
    </w:p>
    <w:p w14:paraId="77393157">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（2）介绍参加开标会的单位和人员；</w:t>
      </w:r>
    </w:p>
    <w:p w14:paraId="4C9F0432">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（3）发起投标文件解密。投标人应在“投标人须知前附表”规定的时间内使用加密投标文件的CA证书在系统中完成投标文件的解密；</w:t>
      </w:r>
    </w:p>
    <w:p w14:paraId="642DF165">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（4）解密完成后，系统自动显示投标人名称、投标价格和招标文件规定的需要宣布的其他内容；</w:t>
      </w:r>
    </w:p>
    <w:p w14:paraId="31E07031">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（5）系统自动生成开标记录表，供应商应在线对开标记录进行签署确认；</w:t>
      </w:r>
    </w:p>
    <w:p w14:paraId="0184C405">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（6）开标会结束。</w:t>
      </w:r>
    </w:p>
    <w:p w14:paraId="61DD21BB">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16.5.开标疑义及回避情形</w:t>
      </w:r>
    </w:p>
    <w:p w14:paraId="28AB488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66165AC5">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16.5.2投标人未参加开标的，视同认可开标结果。</w:t>
      </w:r>
    </w:p>
    <w:p w14:paraId="052B3BCF">
      <w:pPr>
        <w:spacing w:line="440" w:lineRule="exact"/>
        <w:ind w:firstLine="474" w:firstLineChars="200"/>
        <w:rPr>
          <w:rFonts w:ascii="宋体" w:hAnsi="宋体"/>
          <w:b/>
          <w:spacing w:val="-2"/>
          <w:sz w:val="24"/>
          <w:szCs w:val="24"/>
        </w:rPr>
      </w:pPr>
      <w:r>
        <w:rPr>
          <w:rFonts w:hint="eastAsia" w:ascii="宋体" w:hAnsi="宋体"/>
          <w:b/>
          <w:spacing w:val="-2"/>
          <w:sz w:val="24"/>
          <w:szCs w:val="24"/>
        </w:rPr>
        <w:t>★1</w:t>
      </w:r>
      <w:r>
        <w:rPr>
          <w:rFonts w:ascii="宋体" w:hAnsi="宋体"/>
          <w:b/>
          <w:spacing w:val="-2"/>
          <w:sz w:val="24"/>
          <w:szCs w:val="24"/>
        </w:rPr>
        <w:t xml:space="preserve">7. </w:t>
      </w:r>
      <w:r>
        <w:rPr>
          <w:rFonts w:hint="eastAsia" w:ascii="宋体" w:hAnsi="宋体"/>
          <w:b/>
          <w:spacing w:val="-2"/>
          <w:sz w:val="24"/>
          <w:szCs w:val="24"/>
        </w:rPr>
        <w:t>资格审查</w:t>
      </w:r>
    </w:p>
    <w:p w14:paraId="741C7C29">
      <w:pPr>
        <w:spacing w:line="440" w:lineRule="exact"/>
        <w:ind w:firstLine="472" w:firstLineChars="200"/>
        <w:rPr>
          <w:rFonts w:ascii="宋体" w:hAnsi="宋体"/>
          <w:spacing w:val="-2"/>
          <w:sz w:val="24"/>
          <w:szCs w:val="24"/>
        </w:rPr>
      </w:pPr>
      <w:r>
        <w:rPr>
          <w:rFonts w:ascii="宋体" w:hAnsi="宋体"/>
          <w:spacing w:val="-2"/>
          <w:sz w:val="24"/>
          <w:szCs w:val="24"/>
        </w:rPr>
        <w:t>17.</w:t>
      </w:r>
      <w:r>
        <w:rPr>
          <w:rFonts w:hint="eastAsia" w:ascii="宋体" w:hAnsi="宋体"/>
          <w:spacing w:val="-2"/>
          <w:sz w:val="24"/>
          <w:szCs w:val="24"/>
        </w:rPr>
        <w:t>1　公开招标采购项目开标结束后，采购人或者采购代理机构应当依法对投标人的资格进行审查。合格投标人不足3家的，不得评标。</w:t>
      </w:r>
    </w:p>
    <w:p w14:paraId="39DA1E2F">
      <w:pPr>
        <w:spacing w:line="440" w:lineRule="exact"/>
        <w:ind w:firstLine="472" w:firstLineChars="200"/>
        <w:rPr>
          <w:rFonts w:hAnsi="宋体"/>
          <w:spacing w:val="-2"/>
          <w:sz w:val="24"/>
          <w:szCs w:val="24"/>
        </w:rPr>
      </w:pPr>
      <w:r>
        <w:rPr>
          <w:rFonts w:hint="eastAsia" w:hAnsi="宋体"/>
          <w:spacing w:val="-2"/>
          <w:sz w:val="24"/>
          <w:szCs w:val="24"/>
        </w:rPr>
        <w:t>资格审查内容如下：</w:t>
      </w:r>
    </w:p>
    <w:p w14:paraId="534E223B">
      <w:pPr>
        <w:pStyle w:val="20"/>
      </w:pPr>
    </w:p>
    <w:p w14:paraId="3437F370">
      <w:pPr>
        <w:pStyle w:val="20"/>
      </w:pPr>
    </w:p>
    <w:p w14:paraId="7BD7925A">
      <w:pPr>
        <w:spacing w:line="440" w:lineRule="exact"/>
        <w:ind w:firstLine="554" w:firstLineChars="200"/>
        <w:jc w:val="center"/>
        <w:rPr>
          <w:rFonts w:ascii="宋体" w:hAnsi="宋体"/>
          <w:b/>
          <w:spacing w:val="-2"/>
          <w:sz w:val="28"/>
          <w:szCs w:val="24"/>
        </w:rPr>
      </w:pPr>
      <w:r>
        <w:rPr>
          <w:rFonts w:hint="eastAsia" w:ascii="宋体" w:hAnsi="宋体"/>
          <w:b/>
          <w:spacing w:val="-2"/>
          <w:sz w:val="28"/>
          <w:szCs w:val="24"/>
        </w:rPr>
        <w:t>资格审查</w:t>
      </w:r>
    </w:p>
    <w:tbl>
      <w:tblPr>
        <w:tblStyle w:val="24"/>
        <w:tblW w:w="8665" w:type="dxa"/>
        <w:jc w:val="center"/>
        <w:tblLayout w:type="fixed"/>
        <w:tblCellMar>
          <w:top w:w="0" w:type="dxa"/>
          <w:left w:w="108" w:type="dxa"/>
          <w:bottom w:w="0" w:type="dxa"/>
          <w:right w:w="108" w:type="dxa"/>
        </w:tblCellMar>
      </w:tblPr>
      <w:tblGrid>
        <w:gridCol w:w="464"/>
        <w:gridCol w:w="1708"/>
        <w:gridCol w:w="6493"/>
      </w:tblGrid>
      <w:tr w14:paraId="446A6B8A">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4E26A16C">
            <w:pPr>
              <w:jc w:val="center"/>
              <w:rPr>
                <w:rFonts w:ascii="宋体" w:hAnsi="宋体" w:cs="宋体"/>
                <w:sz w:val="22"/>
                <w:szCs w:val="22"/>
              </w:rPr>
            </w:pPr>
            <w:r>
              <w:rPr>
                <w:rFonts w:hint="eastAsia" w:ascii="宋体" w:hAnsi="宋体" w:cs="宋体"/>
                <w:sz w:val="22"/>
                <w:szCs w:val="22"/>
              </w:rPr>
              <w:t>序号</w:t>
            </w:r>
          </w:p>
        </w:tc>
        <w:tc>
          <w:tcPr>
            <w:tcW w:w="1708" w:type="dxa"/>
            <w:tcBorders>
              <w:top w:val="single" w:color="auto" w:sz="4" w:space="0"/>
              <w:left w:val="nil"/>
              <w:bottom w:val="single" w:color="auto" w:sz="4" w:space="0"/>
              <w:right w:val="single" w:color="auto" w:sz="4" w:space="0"/>
            </w:tcBorders>
            <w:vAlign w:val="center"/>
          </w:tcPr>
          <w:p w14:paraId="0F6BA6A5">
            <w:pPr>
              <w:jc w:val="center"/>
              <w:rPr>
                <w:rFonts w:ascii="宋体" w:hAnsi="宋体" w:cs="宋体"/>
                <w:sz w:val="22"/>
                <w:szCs w:val="22"/>
              </w:rPr>
            </w:pPr>
            <w:r>
              <w:rPr>
                <w:rFonts w:hint="eastAsia" w:ascii="宋体" w:hAnsi="宋体" w:cs="宋体"/>
                <w:sz w:val="22"/>
                <w:szCs w:val="22"/>
              </w:rPr>
              <w:t>评审因素</w:t>
            </w:r>
          </w:p>
        </w:tc>
        <w:tc>
          <w:tcPr>
            <w:tcW w:w="6493" w:type="dxa"/>
            <w:tcBorders>
              <w:top w:val="single" w:color="auto" w:sz="4" w:space="0"/>
              <w:left w:val="nil"/>
              <w:bottom w:val="single" w:color="auto" w:sz="4" w:space="0"/>
              <w:right w:val="single" w:color="auto" w:sz="4" w:space="0"/>
            </w:tcBorders>
            <w:vAlign w:val="center"/>
          </w:tcPr>
          <w:p w14:paraId="418A073A">
            <w:pPr>
              <w:jc w:val="center"/>
              <w:rPr>
                <w:rFonts w:ascii="宋体" w:hAnsi="宋体" w:cs="宋体"/>
                <w:sz w:val="22"/>
                <w:szCs w:val="22"/>
              </w:rPr>
            </w:pPr>
            <w:r>
              <w:rPr>
                <w:rFonts w:hint="eastAsia" w:ascii="宋体" w:hAnsi="宋体" w:cs="宋体"/>
                <w:sz w:val="22"/>
                <w:szCs w:val="22"/>
              </w:rPr>
              <w:t>评审标准</w:t>
            </w:r>
          </w:p>
        </w:tc>
      </w:tr>
      <w:tr w14:paraId="2782FF6A">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B9D8E34">
            <w:pPr>
              <w:jc w:val="center"/>
              <w:rPr>
                <w:rFonts w:ascii="宋体" w:hAnsi="宋体" w:cs="宋体"/>
                <w:sz w:val="22"/>
                <w:szCs w:val="22"/>
              </w:rPr>
            </w:pPr>
            <w:r>
              <w:rPr>
                <w:rFonts w:hint="eastAsia" w:ascii="宋体" w:hAnsi="宋体" w:cs="宋体"/>
                <w:sz w:val="22"/>
                <w:szCs w:val="22"/>
              </w:rPr>
              <w:t>1</w:t>
            </w:r>
          </w:p>
        </w:tc>
        <w:tc>
          <w:tcPr>
            <w:tcW w:w="1708" w:type="dxa"/>
            <w:tcBorders>
              <w:top w:val="single" w:color="auto" w:sz="4" w:space="0"/>
              <w:left w:val="nil"/>
              <w:bottom w:val="single" w:color="auto" w:sz="4" w:space="0"/>
              <w:right w:val="single" w:color="auto" w:sz="4" w:space="0"/>
            </w:tcBorders>
            <w:vAlign w:val="center"/>
          </w:tcPr>
          <w:p w14:paraId="0FEB095D">
            <w:pPr>
              <w:widowControl/>
              <w:rPr>
                <w:rFonts w:ascii="宋体" w:hAnsi="宋体" w:cs="宋体"/>
                <w:sz w:val="22"/>
                <w:szCs w:val="22"/>
              </w:rPr>
            </w:pPr>
            <w:r>
              <w:rPr>
                <w:rFonts w:hint="eastAsia" w:ascii="宋体" w:hAnsi="宋体" w:cs="宋体"/>
                <w:sz w:val="22"/>
                <w:szCs w:val="22"/>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64C7DCA7">
            <w:pPr>
              <w:widowControl/>
              <w:rPr>
                <w:rFonts w:ascii="宋体" w:hAnsi="宋体" w:cs="宋体"/>
                <w:sz w:val="22"/>
                <w:szCs w:val="22"/>
              </w:rPr>
            </w:pPr>
            <w:r>
              <w:rPr>
                <w:rFonts w:hint="eastAsia" w:ascii="宋体" w:hAnsi="宋体" w:cs="宋体"/>
                <w:sz w:val="22"/>
                <w:szCs w:val="22"/>
              </w:rPr>
              <w:t>三证合一营业执照（副本）或事业单位法人证书（副本）复印件</w:t>
            </w:r>
          </w:p>
        </w:tc>
      </w:tr>
      <w:tr w14:paraId="2C69FD5D">
        <w:tblPrEx>
          <w:tblCellMar>
            <w:top w:w="0" w:type="dxa"/>
            <w:left w:w="108" w:type="dxa"/>
            <w:bottom w:w="0" w:type="dxa"/>
            <w:right w:w="108" w:type="dxa"/>
          </w:tblCellMar>
        </w:tblPrEx>
        <w:trPr>
          <w:trHeight w:val="1924"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41B90092">
            <w:pPr>
              <w:jc w:val="center"/>
              <w:rPr>
                <w:rFonts w:ascii="宋体" w:hAnsi="宋体" w:cs="宋体"/>
                <w:sz w:val="22"/>
                <w:szCs w:val="22"/>
              </w:rPr>
            </w:pPr>
            <w:r>
              <w:rPr>
                <w:rFonts w:hint="eastAsia" w:ascii="宋体" w:hAnsi="宋体" w:cs="宋体"/>
                <w:sz w:val="22"/>
                <w:szCs w:val="22"/>
              </w:rPr>
              <w:t>2</w:t>
            </w:r>
          </w:p>
        </w:tc>
        <w:tc>
          <w:tcPr>
            <w:tcW w:w="1708" w:type="dxa"/>
            <w:tcBorders>
              <w:top w:val="single" w:color="auto" w:sz="4" w:space="0"/>
              <w:left w:val="nil"/>
              <w:bottom w:val="single" w:color="auto" w:sz="4" w:space="0"/>
              <w:right w:val="single" w:color="auto" w:sz="4" w:space="0"/>
            </w:tcBorders>
            <w:vAlign w:val="center"/>
          </w:tcPr>
          <w:p w14:paraId="07E8C7A7">
            <w:pPr>
              <w:widowControl/>
              <w:rPr>
                <w:rFonts w:ascii="宋体" w:hAnsi="宋体" w:cs="宋体"/>
                <w:sz w:val="22"/>
                <w:szCs w:val="22"/>
              </w:rPr>
            </w:pPr>
            <w:r>
              <w:rPr>
                <w:rFonts w:hint="eastAsia" w:ascii="宋体" w:hAnsi="宋体" w:cs="宋体"/>
                <w:sz w:val="22"/>
                <w:szCs w:val="22"/>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5076DA2E">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提供（2025年度）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tc>
      </w:tr>
      <w:tr w14:paraId="1A0827C9">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4E9A9F42">
            <w:pPr>
              <w:jc w:val="center"/>
              <w:rPr>
                <w:rFonts w:ascii="宋体" w:hAnsi="宋体" w:cs="宋体"/>
                <w:sz w:val="22"/>
                <w:szCs w:val="22"/>
              </w:rPr>
            </w:pPr>
            <w:r>
              <w:rPr>
                <w:rFonts w:hint="eastAsia" w:ascii="宋体" w:hAnsi="宋体" w:cs="宋体"/>
                <w:sz w:val="22"/>
                <w:szCs w:val="22"/>
              </w:rPr>
              <w:t>3</w:t>
            </w:r>
          </w:p>
        </w:tc>
        <w:tc>
          <w:tcPr>
            <w:tcW w:w="1708" w:type="dxa"/>
            <w:tcBorders>
              <w:top w:val="single" w:color="auto" w:sz="4" w:space="0"/>
              <w:left w:val="nil"/>
              <w:bottom w:val="single" w:color="auto" w:sz="4" w:space="0"/>
              <w:right w:val="single" w:color="auto" w:sz="4" w:space="0"/>
            </w:tcBorders>
            <w:vAlign w:val="center"/>
          </w:tcPr>
          <w:p w14:paraId="4ABE076A">
            <w:pPr>
              <w:rPr>
                <w:rFonts w:ascii="宋体" w:hAnsi="宋体" w:cs="宋体"/>
                <w:sz w:val="22"/>
                <w:szCs w:val="22"/>
              </w:rPr>
            </w:pPr>
            <w:r>
              <w:rPr>
                <w:rFonts w:hint="eastAsia" w:ascii="宋体" w:hAnsi="宋体" w:cs="宋体"/>
                <w:sz w:val="22"/>
                <w:szCs w:val="22"/>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3C01947F">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提供具有履行合同所必需的设备和专业技术能力等相关证明材料或声明；</w:t>
            </w:r>
          </w:p>
        </w:tc>
      </w:tr>
      <w:tr w14:paraId="2B939101">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B37C7AD">
            <w:pPr>
              <w:jc w:val="center"/>
              <w:rPr>
                <w:rFonts w:ascii="宋体" w:hAnsi="宋体" w:cs="宋体"/>
                <w:sz w:val="22"/>
                <w:szCs w:val="22"/>
              </w:rPr>
            </w:pPr>
            <w:r>
              <w:rPr>
                <w:rFonts w:hint="eastAsia" w:ascii="宋体" w:hAnsi="宋体" w:cs="宋体"/>
                <w:sz w:val="22"/>
                <w:szCs w:val="22"/>
              </w:rPr>
              <w:t>4</w:t>
            </w:r>
          </w:p>
        </w:tc>
        <w:tc>
          <w:tcPr>
            <w:tcW w:w="1708" w:type="dxa"/>
            <w:tcBorders>
              <w:top w:val="single" w:color="auto" w:sz="4" w:space="0"/>
              <w:left w:val="nil"/>
              <w:bottom w:val="single" w:color="auto" w:sz="4" w:space="0"/>
              <w:right w:val="single" w:color="auto" w:sz="4" w:space="0"/>
            </w:tcBorders>
            <w:vAlign w:val="center"/>
          </w:tcPr>
          <w:p w14:paraId="6955B46D">
            <w:pPr>
              <w:rPr>
                <w:rFonts w:ascii="宋体" w:hAnsi="宋体" w:cs="宋体"/>
                <w:sz w:val="22"/>
                <w:szCs w:val="22"/>
              </w:rPr>
            </w:pPr>
            <w:r>
              <w:rPr>
                <w:rFonts w:hint="eastAsia" w:ascii="宋体" w:hAnsi="宋体" w:cs="宋体"/>
                <w:sz w:val="22"/>
                <w:szCs w:val="22"/>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7A109501">
            <w:pPr>
              <w:rPr>
                <w:rFonts w:ascii="宋体" w:hAnsi="宋体" w:cs="宋体"/>
                <w:sz w:val="22"/>
                <w:szCs w:val="22"/>
              </w:rPr>
            </w:pPr>
            <w:r>
              <w:rPr>
                <w:rFonts w:hint="eastAsia" w:ascii="宋体" w:hAnsi="宋体" w:cs="宋体"/>
                <w:sz w:val="22"/>
                <w:szCs w:val="22"/>
              </w:rPr>
              <w:t xml:space="preserve">提供近半年任意一个月依法缴纳税收和社会保障资金的良好记录的证明材料（附复印件）； </w:t>
            </w:r>
          </w:p>
          <w:p w14:paraId="50946546">
            <w:pPr>
              <w:rPr>
                <w:rFonts w:ascii="宋体" w:hAnsi="宋体" w:cs="宋体"/>
                <w:sz w:val="22"/>
                <w:szCs w:val="22"/>
              </w:rPr>
            </w:pPr>
            <w:r>
              <w:rPr>
                <w:rFonts w:hint="eastAsia" w:ascii="宋体" w:hAnsi="宋体" w:cs="宋体"/>
                <w:sz w:val="22"/>
                <w:szCs w:val="22"/>
              </w:rPr>
              <w:t xml:space="preserve">个体工商户参与政府采购活动需要提供缴纳税收的凭据和社会保险的凭据；依法免税或不需要缴纳社保的，应提供相应文件以证明其依法免税或不需要缴纳社保的优惠； </w:t>
            </w:r>
          </w:p>
        </w:tc>
      </w:tr>
      <w:tr w14:paraId="69064F6F">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0E98C45">
            <w:pPr>
              <w:jc w:val="center"/>
              <w:rPr>
                <w:rFonts w:ascii="宋体" w:hAnsi="宋体" w:cs="宋体"/>
                <w:sz w:val="22"/>
                <w:szCs w:val="22"/>
              </w:rPr>
            </w:pPr>
            <w:r>
              <w:rPr>
                <w:rFonts w:hint="eastAsia" w:ascii="宋体" w:hAnsi="宋体" w:cs="宋体"/>
                <w:sz w:val="22"/>
                <w:szCs w:val="22"/>
              </w:rPr>
              <w:t>5</w:t>
            </w:r>
          </w:p>
        </w:tc>
        <w:tc>
          <w:tcPr>
            <w:tcW w:w="1708" w:type="dxa"/>
            <w:tcBorders>
              <w:top w:val="single" w:color="auto" w:sz="4" w:space="0"/>
              <w:left w:val="nil"/>
              <w:bottom w:val="single" w:color="auto" w:sz="4" w:space="0"/>
              <w:right w:val="single" w:color="auto" w:sz="4" w:space="0"/>
            </w:tcBorders>
            <w:vAlign w:val="center"/>
          </w:tcPr>
          <w:p w14:paraId="7D2714E5">
            <w:pPr>
              <w:rPr>
                <w:rFonts w:ascii="宋体" w:hAnsi="宋体" w:cs="宋体"/>
                <w:sz w:val="22"/>
                <w:szCs w:val="22"/>
              </w:rPr>
            </w:pPr>
            <w:r>
              <w:rPr>
                <w:rFonts w:hint="eastAsia" w:ascii="宋体" w:hAnsi="宋体" w:cs="宋体"/>
                <w:sz w:val="22"/>
                <w:szCs w:val="22"/>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1C5BFB87">
            <w:pPr>
              <w:rPr>
                <w:rFonts w:ascii="宋体" w:hAnsi="宋体" w:cs="宋体"/>
                <w:kern w:val="0"/>
                <w:sz w:val="22"/>
                <w:szCs w:val="22"/>
              </w:rPr>
            </w:pPr>
            <w:r>
              <w:rPr>
                <w:rFonts w:hint="eastAsia" w:ascii="宋体" w:hAnsi="宋体" w:cs="宋体"/>
                <w:kern w:val="0"/>
                <w:sz w:val="22"/>
                <w:szCs w:val="22"/>
              </w:rPr>
              <w:t>参加政府采购活动近3年内，在经营活动中没有重大违法记录，提供声明书。</w:t>
            </w:r>
          </w:p>
        </w:tc>
      </w:tr>
      <w:tr w14:paraId="386B14A8">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E617D64">
            <w:pPr>
              <w:jc w:val="center"/>
              <w:rPr>
                <w:rFonts w:ascii="宋体" w:hAnsi="宋体" w:cs="宋体"/>
                <w:sz w:val="22"/>
                <w:szCs w:val="22"/>
              </w:rPr>
            </w:pPr>
            <w:r>
              <w:rPr>
                <w:rFonts w:hint="eastAsia" w:ascii="宋体" w:hAnsi="宋体" w:cs="宋体"/>
                <w:sz w:val="22"/>
                <w:szCs w:val="22"/>
              </w:rPr>
              <w:t>6</w:t>
            </w:r>
          </w:p>
        </w:tc>
        <w:tc>
          <w:tcPr>
            <w:tcW w:w="1708" w:type="dxa"/>
            <w:tcBorders>
              <w:top w:val="single" w:color="auto" w:sz="4" w:space="0"/>
              <w:left w:val="nil"/>
              <w:bottom w:val="single" w:color="auto" w:sz="4" w:space="0"/>
              <w:right w:val="single" w:color="auto" w:sz="4" w:space="0"/>
            </w:tcBorders>
            <w:vAlign w:val="center"/>
          </w:tcPr>
          <w:p w14:paraId="4664D03E">
            <w:pPr>
              <w:rPr>
                <w:rFonts w:ascii="宋体" w:hAnsi="宋体" w:cs="宋体"/>
                <w:sz w:val="22"/>
                <w:szCs w:val="22"/>
              </w:rPr>
            </w:pPr>
            <w:r>
              <w:rPr>
                <w:rFonts w:hint="eastAsia" w:ascii="宋体" w:hAnsi="宋体" w:cs="宋体"/>
                <w:sz w:val="22"/>
                <w:szCs w:val="22"/>
              </w:rPr>
              <w:t>信用查询</w:t>
            </w:r>
          </w:p>
        </w:tc>
        <w:tc>
          <w:tcPr>
            <w:tcW w:w="6493" w:type="dxa"/>
            <w:tcBorders>
              <w:top w:val="single" w:color="auto" w:sz="4" w:space="0"/>
              <w:left w:val="nil"/>
              <w:bottom w:val="single" w:color="auto" w:sz="4" w:space="0"/>
              <w:right w:val="single" w:color="auto" w:sz="4" w:space="0"/>
            </w:tcBorders>
            <w:vAlign w:val="center"/>
          </w:tcPr>
          <w:p w14:paraId="067C95DA">
            <w:pPr>
              <w:rPr>
                <w:rFonts w:ascii="宋体" w:hAnsi="宋体" w:cs="宋体"/>
                <w:kern w:val="0"/>
                <w:sz w:val="22"/>
                <w:szCs w:val="22"/>
              </w:rPr>
            </w:pPr>
            <w:r>
              <w:rPr>
                <w:rFonts w:hint="eastAsia" w:ascii="宋体" w:hAnsi="宋体" w:cs="宋体"/>
                <w:kern w:val="0"/>
                <w:sz w:val="22"/>
                <w:szCs w:val="22"/>
              </w:rPr>
              <w:t>根据《财政部关于在政府采购活动中查询及使用信用记录有关问题的通知》（财库〔2016〕125 号）规定，投标截止时间后，采购人或采购代理机构将通过“信用中国”网站(www.creditchina.gov.cn)、中国政府采购网(www.ccgp.gov.cn)，对投标人截止到投标截止时间的信用记录进行审查，对列入失信被执行人、重大税收违法案件当事人名单、政府采购严重违法失信行为记录名单其投标将被拒绝。</w:t>
            </w:r>
          </w:p>
        </w:tc>
      </w:tr>
      <w:tr w14:paraId="7080E733">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00E28C2">
            <w:pPr>
              <w:rPr>
                <w:rFonts w:ascii="宋体" w:hAnsi="宋体" w:cs="宋体"/>
                <w:kern w:val="0"/>
                <w:sz w:val="22"/>
                <w:szCs w:val="22"/>
              </w:rPr>
            </w:pPr>
            <w:r>
              <w:rPr>
                <w:rFonts w:hint="eastAsia" w:ascii="宋体" w:hAnsi="宋体" w:cs="宋体"/>
                <w:kern w:val="0"/>
                <w:sz w:val="22"/>
                <w:szCs w:val="22"/>
              </w:rPr>
              <w:t>7</w:t>
            </w:r>
          </w:p>
        </w:tc>
        <w:tc>
          <w:tcPr>
            <w:tcW w:w="1708" w:type="dxa"/>
            <w:tcBorders>
              <w:top w:val="single" w:color="auto" w:sz="4" w:space="0"/>
              <w:left w:val="nil"/>
              <w:bottom w:val="single" w:color="auto" w:sz="4" w:space="0"/>
              <w:right w:val="single" w:color="auto" w:sz="4" w:space="0"/>
            </w:tcBorders>
            <w:vAlign w:val="center"/>
          </w:tcPr>
          <w:p w14:paraId="128C7463">
            <w:pPr>
              <w:rPr>
                <w:rFonts w:ascii="宋体" w:hAnsi="宋体" w:cs="宋体"/>
                <w:kern w:val="0"/>
                <w:sz w:val="22"/>
                <w:szCs w:val="22"/>
              </w:rPr>
            </w:pPr>
            <w:r>
              <w:rPr>
                <w:rFonts w:hint="eastAsia" w:ascii="宋体" w:hAnsi="宋体" w:cs="宋体"/>
                <w:kern w:val="0"/>
                <w:sz w:val="22"/>
                <w:szCs w:val="22"/>
              </w:rPr>
              <w:t>是否缴纳投标保证金</w:t>
            </w:r>
          </w:p>
        </w:tc>
        <w:tc>
          <w:tcPr>
            <w:tcW w:w="6493" w:type="dxa"/>
            <w:tcBorders>
              <w:top w:val="single" w:color="auto" w:sz="4" w:space="0"/>
              <w:left w:val="nil"/>
              <w:bottom w:val="single" w:color="auto" w:sz="4" w:space="0"/>
              <w:right w:val="single" w:color="auto" w:sz="4" w:space="0"/>
            </w:tcBorders>
            <w:vAlign w:val="center"/>
          </w:tcPr>
          <w:p w14:paraId="3251EDEC">
            <w:pPr>
              <w:rPr>
                <w:rFonts w:ascii="宋体" w:hAnsi="宋体" w:cs="宋体"/>
                <w:kern w:val="0"/>
                <w:sz w:val="22"/>
                <w:szCs w:val="22"/>
              </w:rPr>
            </w:pPr>
            <w:r>
              <w:rPr>
                <w:rFonts w:hint="eastAsia" w:ascii="宋体" w:hAnsi="宋体" w:cs="宋体"/>
                <w:kern w:val="0"/>
                <w:sz w:val="22"/>
                <w:szCs w:val="22"/>
              </w:rPr>
              <w:t>提供缴纳保证金凭证。</w:t>
            </w:r>
          </w:p>
        </w:tc>
      </w:tr>
      <w:tr w14:paraId="4362A3EC">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7FDA9E0">
            <w:pPr>
              <w:jc w:val="center"/>
              <w:rPr>
                <w:rFonts w:ascii="宋体" w:hAnsi="宋体" w:cs="宋体"/>
                <w:sz w:val="22"/>
                <w:szCs w:val="22"/>
              </w:rPr>
            </w:pPr>
            <w:r>
              <w:rPr>
                <w:rFonts w:hint="eastAsia" w:ascii="宋体" w:hAnsi="宋体" w:cs="宋体"/>
                <w:sz w:val="22"/>
                <w:szCs w:val="22"/>
              </w:rPr>
              <w:t>备注</w:t>
            </w:r>
          </w:p>
        </w:tc>
        <w:tc>
          <w:tcPr>
            <w:tcW w:w="8201" w:type="dxa"/>
            <w:gridSpan w:val="2"/>
            <w:tcBorders>
              <w:top w:val="single" w:color="auto" w:sz="4" w:space="0"/>
              <w:left w:val="nil"/>
              <w:bottom w:val="single" w:color="auto" w:sz="4" w:space="0"/>
              <w:right w:val="single" w:color="auto" w:sz="4" w:space="0"/>
            </w:tcBorders>
            <w:vAlign w:val="center"/>
          </w:tcPr>
          <w:p w14:paraId="628D8DC5">
            <w:pPr>
              <w:rPr>
                <w:rFonts w:ascii="宋体" w:hAnsi="宋体" w:cs="宋体"/>
                <w:sz w:val="22"/>
                <w:szCs w:val="22"/>
              </w:rPr>
            </w:pPr>
            <w:r>
              <w:rPr>
                <w:rFonts w:hint="eastAsia" w:ascii="宋体" w:hAnsi="宋体" w:cs="宋体"/>
                <w:sz w:val="22"/>
                <w:szCs w:val="22"/>
              </w:rPr>
              <w:t>再次重申：供应商请认真阅读和理解上述内容，避免资格审查中有违背上述审查标准之一的情况发生而造成废标。</w:t>
            </w:r>
          </w:p>
        </w:tc>
      </w:tr>
    </w:tbl>
    <w:p w14:paraId="0EF5AC58">
      <w:pPr>
        <w:pStyle w:val="20"/>
      </w:pPr>
    </w:p>
    <w:p w14:paraId="6650DF46">
      <w:pPr>
        <w:rPr>
          <w:rFonts w:ascii="宋体" w:hAnsi="宋体"/>
          <w:sz w:val="24"/>
        </w:rPr>
      </w:pPr>
      <w:r>
        <w:rPr>
          <w:rFonts w:hint="eastAsia" w:ascii="宋体" w:hAnsi="宋体"/>
          <w:sz w:val="24"/>
        </w:rPr>
        <w:t>1.资格审查合格的打“√”，不合格的打“×”。</w:t>
      </w:r>
    </w:p>
    <w:p w14:paraId="0F9542C5">
      <w:pPr>
        <w:rPr>
          <w:rFonts w:ascii="宋体" w:hAnsi="宋体"/>
          <w:sz w:val="24"/>
        </w:rPr>
      </w:pPr>
      <w:r>
        <w:rPr>
          <w:rFonts w:hint="eastAsia" w:ascii="宋体" w:hAnsi="宋体"/>
          <w:sz w:val="24"/>
        </w:rPr>
        <w:t>2.资格审查结果，通过打“√”，不通过的打“×”。</w:t>
      </w:r>
    </w:p>
    <w:p w14:paraId="500E9DA0">
      <w:pPr>
        <w:rPr>
          <w:rFonts w:ascii="宋体" w:hAnsi="宋体"/>
          <w:sz w:val="24"/>
        </w:rPr>
      </w:pPr>
      <w:r>
        <w:rPr>
          <w:rFonts w:hint="eastAsia" w:ascii="宋体" w:hAnsi="宋体"/>
          <w:sz w:val="24"/>
        </w:rPr>
        <w:t>3.请填写不通过资格审查的投标人的原因。</w:t>
      </w:r>
    </w:p>
    <w:p w14:paraId="073357E6">
      <w:pPr>
        <w:jc w:val="center"/>
        <w:outlineLvl w:val="1"/>
      </w:pPr>
      <w:bookmarkStart w:id="22" w:name="_Toc8072"/>
      <w:r>
        <w:rPr>
          <w:b/>
          <w:bCs/>
        </w:rPr>
        <w:br w:type="page"/>
      </w:r>
      <w:bookmarkStart w:id="23" w:name="_Toc131497492"/>
      <w:r>
        <w:rPr>
          <w:rFonts w:hint="eastAsia" w:ascii="宋体" w:hAnsi="宋体"/>
          <w:b/>
          <w:sz w:val="28"/>
          <w:szCs w:val="32"/>
        </w:rPr>
        <w:t>第六章 评　标</w:t>
      </w:r>
      <w:bookmarkEnd w:id="22"/>
      <w:bookmarkEnd w:id="23"/>
    </w:p>
    <w:p w14:paraId="724CDCE8">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8</w:t>
      </w:r>
      <w:r>
        <w:rPr>
          <w:rFonts w:ascii="宋体" w:hAnsi="宋体"/>
          <w:b/>
          <w:sz w:val="24"/>
          <w:szCs w:val="24"/>
        </w:rPr>
        <w:t xml:space="preserve">. </w:t>
      </w:r>
      <w:r>
        <w:rPr>
          <w:rFonts w:hint="eastAsia" w:ascii="宋体" w:hAnsi="宋体"/>
          <w:b/>
          <w:sz w:val="24"/>
          <w:szCs w:val="24"/>
        </w:rPr>
        <w:t>评标依据</w:t>
      </w:r>
    </w:p>
    <w:p w14:paraId="09261BC7">
      <w:pPr>
        <w:spacing w:line="4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8</w:t>
      </w:r>
      <w:r>
        <w:rPr>
          <w:rFonts w:ascii="宋体" w:hAnsi="宋体"/>
          <w:sz w:val="24"/>
          <w:szCs w:val="24"/>
        </w:rPr>
        <w:t>.1</w:t>
      </w:r>
      <w:r>
        <w:rPr>
          <w:rFonts w:hint="eastAsia" w:ascii="宋体" w:hAnsi="宋体"/>
          <w:sz w:val="24"/>
          <w:szCs w:val="24"/>
        </w:rPr>
        <w:t>　评标的依据为招标文件。</w:t>
      </w:r>
    </w:p>
    <w:p w14:paraId="3D53759E">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9</w:t>
      </w:r>
      <w:r>
        <w:rPr>
          <w:rFonts w:ascii="宋体" w:hAnsi="宋体"/>
          <w:b/>
          <w:sz w:val="24"/>
          <w:szCs w:val="24"/>
        </w:rPr>
        <w:t xml:space="preserve">. </w:t>
      </w:r>
      <w:r>
        <w:rPr>
          <w:rFonts w:hint="eastAsia" w:ascii="宋体" w:hAnsi="宋体"/>
          <w:b/>
          <w:sz w:val="24"/>
          <w:szCs w:val="24"/>
        </w:rPr>
        <w:t>投标文件的澄清</w:t>
      </w:r>
    </w:p>
    <w:p w14:paraId="30417858">
      <w:pPr>
        <w:spacing w:line="440" w:lineRule="exact"/>
        <w:ind w:firstLine="472" w:firstLineChars="200"/>
        <w:rPr>
          <w:rFonts w:ascii="宋体" w:hAnsi="宋体"/>
          <w:spacing w:val="-2"/>
          <w:sz w:val="24"/>
          <w:szCs w:val="24"/>
        </w:rPr>
      </w:pPr>
      <w:r>
        <w:rPr>
          <w:rFonts w:ascii="宋体" w:hAnsi="宋体"/>
          <w:spacing w:val="-2"/>
          <w:sz w:val="24"/>
          <w:szCs w:val="24"/>
        </w:rPr>
        <w:t>1</w:t>
      </w:r>
      <w:r>
        <w:rPr>
          <w:rFonts w:hint="eastAsia" w:ascii="宋体" w:hAnsi="宋体"/>
          <w:spacing w:val="-2"/>
          <w:sz w:val="24"/>
          <w:szCs w:val="24"/>
        </w:rPr>
        <w:t>9</w:t>
      </w:r>
      <w:r>
        <w:rPr>
          <w:rFonts w:ascii="宋体" w:hAnsi="宋体"/>
          <w:spacing w:val="-2"/>
          <w:sz w:val="24"/>
          <w:szCs w:val="24"/>
        </w:rPr>
        <w:t>.1</w:t>
      </w:r>
      <w:r>
        <w:rPr>
          <w:rFonts w:hint="eastAsia" w:ascii="宋体" w:hAnsi="宋体"/>
          <w:spacing w:val="-2"/>
          <w:sz w:val="24"/>
          <w:szCs w:val="24"/>
        </w:rPr>
        <w:t>　为有助于对投标文件进行审查、评估，评标委员会将对认为需要（不是每一个）的投标人进行询标，请投标人澄清其投标内容。投标人有责任按照招标方通知的时间、地点指派专人进行答疑和澄清。询标时投标人代表根据评标委员会要求作书面记录，并对答疑和澄清的内容做出书面答复。</w:t>
      </w:r>
    </w:p>
    <w:p w14:paraId="1E3D1FB9">
      <w:pPr>
        <w:spacing w:line="440" w:lineRule="exact"/>
        <w:ind w:firstLine="472" w:firstLineChars="200"/>
        <w:rPr>
          <w:rFonts w:ascii="宋体" w:hAnsi="宋体"/>
          <w:spacing w:val="-2"/>
          <w:sz w:val="24"/>
          <w:szCs w:val="24"/>
        </w:rPr>
      </w:pPr>
      <w:r>
        <w:rPr>
          <w:rFonts w:ascii="宋体" w:hAnsi="宋体"/>
          <w:spacing w:val="-2"/>
          <w:sz w:val="24"/>
          <w:szCs w:val="24"/>
        </w:rPr>
        <w:t>1</w:t>
      </w:r>
      <w:r>
        <w:rPr>
          <w:rFonts w:hint="eastAsia" w:ascii="宋体" w:hAnsi="宋体"/>
          <w:spacing w:val="-2"/>
          <w:sz w:val="24"/>
          <w:szCs w:val="24"/>
        </w:rPr>
        <w:t>9</w:t>
      </w:r>
      <w:r>
        <w:rPr>
          <w:rFonts w:ascii="宋体" w:hAnsi="宋体"/>
          <w:spacing w:val="-2"/>
          <w:sz w:val="24"/>
          <w:szCs w:val="24"/>
        </w:rPr>
        <w:t>.2</w:t>
      </w:r>
      <w:r>
        <w:rPr>
          <w:rFonts w:hint="eastAsia" w:ascii="宋体" w:hAnsi="宋体"/>
          <w:spacing w:val="-2"/>
          <w:sz w:val="24"/>
          <w:szCs w:val="24"/>
        </w:rPr>
        <w:t>　应当在招标文件要求提交投标文件截止时间至少十五日前,答疑和澄清的内容应是书面的，但不得对投标的价格、技术指标和参数等内容进行实质性修改。澄清文件须由投标人法定代表人或其授权代表签字或加盖投标人公章，并作为投标文件的组成部分。</w:t>
      </w:r>
    </w:p>
    <w:p w14:paraId="4F0825CF">
      <w:pPr>
        <w:spacing w:line="440" w:lineRule="exact"/>
        <w:ind w:firstLine="482" w:firstLineChars="200"/>
        <w:rPr>
          <w:rFonts w:ascii="宋体" w:hAnsi="宋体"/>
          <w:b/>
          <w:sz w:val="24"/>
          <w:szCs w:val="24"/>
        </w:rPr>
      </w:pPr>
      <w:r>
        <w:rPr>
          <w:rFonts w:ascii="宋体" w:hAnsi="宋体"/>
          <w:b/>
          <w:sz w:val="24"/>
          <w:szCs w:val="24"/>
        </w:rPr>
        <w:t xml:space="preserve">20. </w:t>
      </w:r>
      <w:r>
        <w:rPr>
          <w:rFonts w:hint="eastAsia" w:ascii="宋体" w:hAnsi="宋体"/>
          <w:b/>
          <w:sz w:val="24"/>
          <w:szCs w:val="24"/>
        </w:rPr>
        <w:t>评标过程的保密</w:t>
      </w:r>
    </w:p>
    <w:p w14:paraId="0AA49D00">
      <w:pPr>
        <w:spacing w:line="440" w:lineRule="exact"/>
        <w:ind w:firstLine="480" w:firstLineChars="200"/>
        <w:rPr>
          <w:rFonts w:ascii="宋体" w:hAnsi="宋体"/>
          <w:spacing w:val="-2"/>
          <w:sz w:val="24"/>
          <w:szCs w:val="24"/>
        </w:rPr>
      </w:pPr>
      <w:r>
        <w:rPr>
          <w:rFonts w:ascii="宋体" w:hAnsi="宋体"/>
          <w:sz w:val="24"/>
          <w:szCs w:val="24"/>
        </w:rPr>
        <w:t xml:space="preserve">20.1  </w:t>
      </w:r>
      <w:r>
        <w:rPr>
          <w:rFonts w:hint="eastAsia" w:ascii="宋体" w:hAnsi="宋体"/>
          <w:spacing w:val="-2"/>
          <w:sz w:val="24"/>
          <w:szCs w:val="24"/>
        </w:rPr>
        <w:t>开标后，凡是属于审查、澄清、评价的有关资料以及授标建议等，评标委员会成员或参与评标的有关工作人员均不得向投标人或其他无关的人员透露，违者给予警告、取消担任评标委员会成员的资格，不得再参加任何投标项目的评标。</w:t>
      </w:r>
    </w:p>
    <w:p w14:paraId="7FEB1019">
      <w:pPr>
        <w:spacing w:line="440" w:lineRule="exact"/>
        <w:ind w:firstLine="480" w:firstLineChars="200"/>
        <w:rPr>
          <w:rFonts w:ascii="宋体" w:hAnsi="宋体"/>
          <w:spacing w:val="-2"/>
          <w:sz w:val="24"/>
          <w:szCs w:val="24"/>
        </w:rPr>
      </w:pPr>
      <w:r>
        <w:rPr>
          <w:rFonts w:ascii="宋体" w:hAnsi="宋体"/>
          <w:sz w:val="24"/>
          <w:szCs w:val="24"/>
        </w:rPr>
        <w:t xml:space="preserve">20.2 </w:t>
      </w:r>
      <w:r>
        <w:rPr>
          <w:rFonts w:hint="eastAsia" w:ascii="宋体" w:hAnsi="宋体"/>
          <w:spacing w:val="-2"/>
          <w:sz w:val="24"/>
          <w:szCs w:val="24"/>
        </w:rPr>
        <w:t>投标人在评标过程中，所进行的试图影响评标结果的不符合《中华人民共和国政府采购法》</w:t>
      </w:r>
      <w:r>
        <w:rPr>
          <w:rFonts w:hint="eastAsia" w:ascii="宋体" w:hAnsi="宋体"/>
          <w:sz w:val="24"/>
          <w:szCs w:val="24"/>
        </w:rPr>
        <w:t>和相关法律法规</w:t>
      </w:r>
      <w:r>
        <w:rPr>
          <w:rFonts w:hint="eastAsia" w:ascii="宋体" w:hAnsi="宋体"/>
          <w:spacing w:val="-2"/>
          <w:sz w:val="24"/>
          <w:szCs w:val="24"/>
        </w:rPr>
        <w:t>及本次招标有关规定的活动，将被取消中标资格。</w:t>
      </w:r>
    </w:p>
    <w:p w14:paraId="73D6D6DA">
      <w:pPr>
        <w:spacing w:line="440" w:lineRule="exact"/>
        <w:ind w:firstLine="482" w:firstLineChars="200"/>
        <w:rPr>
          <w:rFonts w:ascii="宋体" w:hAnsi="宋体"/>
          <w:b/>
          <w:sz w:val="24"/>
          <w:szCs w:val="24"/>
        </w:rPr>
      </w:pPr>
      <w:r>
        <w:rPr>
          <w:rFonts w:ascii="宋体" w:hAnsi="宋体"/>
          <w:b/>
          <w:sz w:val="24"/>
          <w:szCs w:val="24"/>
        </w:rPr>
        <w:t xml:space="preserve">21. </w:t>
      </w:r>
      <w:r>
        <w:rPr>
          <w:rFonts w:hint="eastAsia" w:ascii="宋体" w:hAnsi="宋体"/>
          <w:b/>
          <w:sz w:val="24"/>
          <w:szCs w:val="24"/>
        </w:rPr>
        <w:t>符合性评审</w:t>
      </w:r>
    </w:p>
    <w:p w14:paraId="465D5058">
      <w:pPr>
        <w:spacing w:line="440" w:lineRule="exact"/>
        <w:ind w:firstLine="472" w:firstLineChars="200"/>
        <w:rPr>
          <w:rFonts w:ascii="宋体" w:hAnsi="宋体"/>
          <w:spacing w:val="-2"/>
          <w:sz w:val="24"/>
          <w:szCs w:val="24"/>
        </w:rPr>
      </w:pPr>
      <w:r>
        <w:rPr>
          <w:rFonts w:ascii="宋体" w:hAnsi="宋体"/>
          <w:spacing w:val="-2"/>
          <w:sz w:val="24"/>
          <w:szCs w:val="24"/>
        </w:rPr>
        <w:t xml:space="preserve">21.1  </w:t>
      </w:r>
      <w:r>
        <w:rPr>
          <w:rFonts w:hint="eastAsia" w:ascii="宋体" w:hAnsi="宋体"/>
          <w:spacing w:val="-2"/>
          <w:sz w:val="24"/>
          <w:szCs w:val="24"/>
        </w:rPr>
        <w:t>评标委员会可以以书面方式要求投标人对投标文件中含义不明确、对同类问题表述不一致或者有明显文字和计算错误的内容作必要的澄清、说明或补正。澄清、说明或补正应以书面方式进行</w:t>
      </w:r>
      <w:r>
        <w:rPr>
          <w:rFonts w:ascii="宋体" w:hAnsi="宋体"/>
          <w:spacing w:val="-2"/>
          <w:sz w:val="24"/>
          <w:szCs w:val="24"/>
        </w:rPr>
        <w:t>,</w:t>
      </w:r>
      <w:r>
        <w:rPr>
          <w:rFonts w:hint="eastAsia" w:ascii="宋体" w:hAnsi="宋体"/>
          <w:spacing w:val="-2"/>
          <w:sz w:val="24"/>
          <w:szCs w:val="24"/>
        </w:rPr>
        <w:t>且不得超出投标文件的范围或者改变投标文件的实质性内容。</w:t>
      </w:r>
    </w:p>
    <w:p w14:paraId="54A9046D">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2　招标方不接受不符合国家有关部门相关规定的投标报价或优惠方案。</w:t>
      </w:r>
    </w:p>
    <w:p w14:paraId="75980DA8">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3　在评标过程中，评标委员会发现投标人以他人名义投标、串通投标、以行贿手段谋取中标或者以其他弄虚作假方式投标的，该投标人的投标应作无效标处理。</w:t>
      </w:r>
    </w:p>
    <w:p w14:paraId="2E31E113">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4</w:t>
      </w:r>
      <w:r>
        <w:rPr>
          <w:rFonts w:ascii="宋体" w:hAnsi="宋体"/>
          <w:spacing w:val="-2"/>
          <w:sz w:val="24"/>
          <w:szCs w:val="24"/>
        </w:rPr>
        <w:t xml:space="preserve">  </w:t>
      </w:r>
      <w:r>
        <w:rPr>
          <w:rFonts w:hint="eastAsia" w:ascii="宋体" w:hAnsi="宋体"/>
          <w:spacing w:val="-2"/>
          <w:sz w:val="24"/>
          <w:szCs w:val="24"/>
        </w:rPr>
        <w:t>投标人拒不按照要求对投标文件进行澄清、说明或补正的，评标委员会可以否决其投标。</w:t>
      </w:r>
    </w:p>
    <w:p w14:paraId="01780FBD">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5</w:t>
      </w:r>
      <w:r>
        <w:rPr>
          <w:rFonts w:ascii="宋体" w:hAnsi="宋体"/>
          <w:spacing w:val="-2"/>
          <w:sz w:val="24"/>
          <w:szCs w:val="24"/>
        </w:rPr>
        <w:t xml:space="preserve">  </w:t>
      </w:r>
      <w:r>
        <w:rPr>
          <w:rFonts w:hint="eastAsia" w:ascii="宋体" w:hAnsi="宋体"/>
          <w:spacing w:val="-2"/>
          <w:sz w:val="24"/>
          <w:szCs w:val="24"/>
        </w:rPr>
        <w:t>评标委员会应当审查每一投标文件是否对招标文件提出的所有实质性要求和条件做出满足。未能在实质上满足的投标，应作无效标处理。</w:t>
      </w:r>
    </w:p>
    <w:p w14:paraId="1A0F6552">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6　投标人不得误导、干扰招标方的评标活动，否则将废除其投标。</w:t>
      </w:r>
    </w:p>
    <w:p w14:paraId="7BF66EA9">
      <w:pPr>
        <w:spacing w:line="440" w:lineRule="exact"/>
        <w:ind w:firstLine="472" w:firstLineChars="200"/>
        <w:rPr>
          <w:rFonts w:ascii="宋体" w:hAnsi="宋体"/>
          <w:spacing w:val="-2"/>
          <w:sz w:val="24"/>
          <w:szCs w:val="24"/>
        </w:rPr>
      </w:pPr>
      <w:r>
        <w:rPr>
          <w:rFonts w:ascii="宋体" w:hAnsi="宋体"/>
          <w:spacing w:val="-2"/>
          <w:sz w:val="24"/>
          <w:szCs w:val="24"/>
        </w:rPr>
        <w:t xml:space="preserve">21.7  </w:t>
      </w:r>
      <w:r>
        <w:rPr>
          <w:rFonts w:hint="eastAsia" w:ascii="宋体" w:hAnsi="宋体"/>
          <w:spacing w:val="-2"/>
          <w:sz w:val="24"/>
          <w:szCs w:val="24"/>
        </w:rPr>
        <w:t>对投标文件满足招标文件条款的审查：</w:t>
      </w:r>
    </w:p>
    <w:p w14:paraId="2344233D">
      <w:pPr>
        <w:spacing w:line="440" w:lineRule="exact"/>
        <w:ind w:firstLine="472" w:firstLineChars="200"/>
        <w:rPr>
          <w:rFonts w:ascii="宋体" w:hAnsi="宋体"/>
          <w:spacing w:val="-2"/>
          <w:sz w:val="24"/>
          <w:szCs w:val="24"/>
        </w:rPr>
      </w:pPr>
      <w:r>
        <w:rPr>
          <w:rFonts w:hint="eastAsia" w:ascii="宋体" w:hAnsi="宋体"/>
          <w:spacing w:val="-2"/>
          <w:sz w:val="24"/>
          <w:szCs w:val="24"/>
        </w:rPr>
        <w:t>（</w:t>
      </w:r>
      <w:r>
        <w:rPr>
          <w:rFonts w:ascii="宋体" w:hAnsi="宋体"/>
          <w:spacing w:val="-2"/>
          <w:sz w:val="24"/>
          <w:szCs w:val="24"/>
        </w:rPr>
        <w:t>1</w:t>
      </w:r>
      <w:r>
        <w:rPr>
          <w:rFonts w:hint="eastAsia" w:ascii="宋体" w:hAnsi="宋体"/>
          <w:spacing w:val="-2"/>
          <w:sz w:val="24"/>
          <w:szCs w:val="24"/>
        </w:rPr>
        <w:t>）开标后，评标委员会将组织对投标文件进行审查，检查投标文件是否完整，是否出现计算性错误，投标文件正本是否满足招标文件的格式要求；</w:t>
      </w:r>
    </w:p>
    <w:p w14:paraId="701621D5">
      <w:pPr>
        <w:spacing w:line="440" w:lineRule="exact"/>
        <w:ind w:firstLine="472" w:firstLineChars="200"/>
        <w:rPr>
          <w:rFonts w:ascii="宋体" w:hAnsi="宋体"/>
          <w:spacing w:val="-2"/>
          <w:sz w:val="24"/>
          <w:szCs w:val="24"/>
        </w:rPr>
      </w:pPr>
      <w:r>
        <w:rPr>
          <w:rFonts w:hint="eastAsia" w:ascii="宋体" w:hAnsi="宋体"/>
          <w:spacing w:val="-2"/>
          <w:sz w:val="24"/>
          <w:szCs w:val="24"/>
        </w:rPr>
        <w:t>（2）评标委员会将确定每一投标人是否对招标文件的要求做出了实质性满足。实质性满足的投标是指符合招标文件的所有条款、条件和规定且没有重大偏离的投标。重大偏离是指影响到招标文件规定的服务范围和质量，或限制了招标人的权力和投标人义务的规定，而纠正这些偏离将影响到其他提交实质性满足的投标人的公平竞争地位；</w:t>
      </w:r>
    </w:p>
    <w:p w14:paraId="7B02C448">
      <w:pPr>
        <w:spacing w:line="440" w:lineRule="exact"/>
        <w:ind w:firstLine="472" w:firstLineChars="200"/>
        <w:rPr>
          <w:rFonts w:ascii="宋体" w:hAnsi="宋体"/>
          <w:spacing w:val="-2"/>
          <w:sz w:val="24"/>
          <w:szCs w:val="24"/>
        </w:rPr>
      </w:pPr>
      <w:r>
        <w:rPr>
          <w:rFonts w:hint="eastAsia" w:ascii="宋体" w:hAnsi="宋体"/>
          <w:spacing w:val="-2"/>
          <w:sz w:val="24"/>
          <w:szCs w:val="24"/>
        </w:rPr>
        <w:t>（3）评标委员会判断投标文件的满足性仅基于投标文件本身而不靠外部证据；</w:t>
      </w:r>
    </w:p>
    <w:p w14:paraId="53306C59">
      <w:pPr>
        <w:spacing w:line="440" w:lineRule="exact"/>
        <w:ind w:firstLine="472" w:firstLineChars="200"/>
        <w:rPr>
          <w:rFonts w:ascii="宋体" w:hAnsi="宋体"/>
          <w:spacing w:val="-2"/>
          <w:sz w:val="24"/>
          <w:szCs w:val="24"/>
        </w:rPr>
      </w:pPr>
      <w:r>
        <w:rPr>
          <w:rFonts w:hint="eastAsia" w:ascii="宋体" w:hAnsi="宋体"/>
          <w:spacing w:val="-2"/>
          <w:sz w:val="24"/>
          <w:szCs w:val="24"/>
        </w:rPr>
        <w:t>（4）评标委员会将拒绝被确定为非实质性满足的投标。投标人不能通过修正或撤消不符合之处而使其投标成为实质性满足的投标。</w:t>
      </w:r>
    </w:p>
    <w:p w14:paraId="1E2DC8A8">
      <w:pPr>
        <w:spacing w:line="440" w:lineRule="exact"/>
        <w:jc w:val="center"/>
        <w:rPr>
          <w:rFonts w:ascii="宋体" w:hAnsi="宋体"/>
          <w:b/>
          <w:bCs/>
          <w:spacing w:val="-2"/>
          <w:sz w:val="24"/>
          <w:szCs w:val="24"/>
        </w:rPr>
      </w:pPr>
      <w:r>
        <w:rPr>
          <w:rFonts w:hint="eastAsia" w:ascii="宋体" w:hAnsi="宋体"/>
          <w:b/>
          <w:bCs/>
          <w:spacing w:val="-2"/>
          <w:sz w:val="24"/>
          <w:szCs w:val="24"/>
        </w:rPr>
        <w:t>符合性审查</w:t>
      </w:r>
    </w:p>
    <w:tbl>
      <w:tblPr>
        <w:tblStyle w:val="24"/>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19352F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6C332FA8">
            <w:pPr>
              <w:jc w:val="center"/>
              <w:rPr>
                <w:rFonts w:ascii="宋体" w:hAnsi="宋体"/>
                <w:b/>
                <w:bCs/>
                <w:sz w:val="24"/>
                <w:szCs w:val="24"/>
              </w:rPr>
            </w:pPr>
            <w:r>
              <w:rPr>
                <w:rFonts w:hint="eastAsia" w:ascii="宋体" w:hAnsi="宋体"/>
                <w:b/>
                <w:bCs/>
                <w:sz w:val="24"/>
                <w:szCs w:val="24"/>
              </w:rPr>
              <w:t>评审内容</w:t>
            </w:r>
          </w:p>
        </w:tc>
        <w:tc>
          <w:tcPr>
            <w:tcW w:w="2535" w:type="dxa"/>
            <w:gridSpan w:val="4"/>
            <w:tcBorders>
              <w:top w:val="single" w:color="auto" w:sz="12" w:space="0"/>
              <w:left w:val="single" w:color="auto" w:sz="4" w:space="0"/>
              <w:bottom w:val="single" w:color="auto" w:sz="4" w:space="0"/>
            </w:tcBorders>
            <w:vAlign w:val="center"/>
          </w:tcPr>
          <w:p w14:paraId="366B367D">
            <w:pPr>
              <w:jc w:val="center"/>
              <w:rPr>
                <w:rFonts w:ascii="宋体" w:hAnsi="宋体"/>
                <w:b/>
                <w:bCs/>
                <w:sz w:val="24"/>
                <w:szCs w:val="24"/>
              </w:rPr>
            </w:pPr>
            <w:r>
              <w:rPr>
                <w:rFonts w:hint="eastAsia" w:ascii="宋体" w:hAnsi="宋体"/>
                <w:b/>
                <w:bCs/>
                <w:sz w:val="24"/>
                <w:szCs w:val="24"/>
              </w:rPr>
              <w:t>投标企业名称</w:t>
            </w:r>
          </w:p>
        </w:tc>
      </w:tr>
      <w:tr w14:paraId="40B35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1634D1C0">
            <w:pPr>
              <w:jc w:val="center"/>
              <w:rPr>
                <w:rFonts w:ascii="宋体" w:hAnsi="宋体"/>
                <w:b/>
                <w:bCs/>
                <w:sz w:val="24"/>
                <w:szCs w:val="24"/>
              </w:rPr>
            </w:pPr>
          </w:p>
        </w:tc>
        <w:tc>
          <w:tcPr>
            <w:tcW w:w="646" w:type="dxa"/>
            <w:tcBorders>
              <w:top w:val="single" w:color="auto" w:sz="4" w:space="0"/>
              <w:left w:val="single" w:color="auto" w:sz="4" w:space="0"/>
              <w:right w:val="single" w:color="auto" w:sz="4" w:space="0"/>
            </w:tcBorders>
            <w:vAlign w:val="center"/>
          </w:tcPr>
          <w:p w14:paraId="4D44240D">
            <w:pPr>
              <w:jc w:val="center"/>
              <w:rPr>
                <w:rFonts w:ascii="宋体" w:hAnsi="宋体"/>
                <w:b/>
                <w:bCs/>
                <w:sz w:val="24"/>
                <w:szCs w:val="24"/>
              </w:rPr>
            </w:pPr>
            <w:r>
              <w:rPr>
                <w:rFonts w:ascii="宋体" w:hAnsi="宋体"/>
                <w:b/>
                <w:bCs/>
                <w:sz w:val="24"/>
                <w:szCs w:val="24"/>
              </w:rPr>
              <w:t>1</w:t>
            </w:r>
          </w:p>
        </w:tc>
        <w:tc>
          <w:tcPr>
            <w:tcW w:w="646" w:type="dxa"/>
            <w:tcBorders>
              <w:top w:val="single" w:color="auto" w:sz="4" w:space="0"/>
              <w:left w:val="single" w:color="auto" w:sz="4" w:space="0"/>
            </w:tcBorders>
            <w:vAlign w:val="center"/>
          </w:tcPr>
          <w:p w14:paraId="3A8D0DFB">
            <w:pPr>
              <w:jc w:val="center"/>
              <w:rPr>
                <w:rFonts w:ascii="宋体" w:hAnsi="宋体"/>
                <w:b/>
                <w:bCs/>
                <w:sz w:val="24"/>
                <w:szCs w:val="24"/>
              </w:rPr>
            </w:pPr>
            <w:r>
              <w:rPr>
                <w:rFonts w:ascii="宋体" w:hAnsi="宋体"/>
                <w:b/>
                <w:bCs/>
                <w:sz w:val="24"/>
                <w:szCs w:val="24"/>
              </w:rPr>
              <w:t>2</w:t>
            </w:r>
          </w:p>
        </w:tc>
        <w:tc>
          <w:tcPr>
            <w:tcW w:w="646" w:type="dxa"/>
            <w:vAlign w:val="center"/>
          </w:tcPr>
          <w:p w14:paraId="2E6DA4D7">
            <w:pPr>
              <w:jc w:val="center"/>
              <w:rPr>
                <w:rFonts w:ascii="宋体" w:hAnsi="宋体"/>
                <w:b/>
                <w:bCs/>
                <w:sz w:val="24"/>
                <w:szCs w:val="24"/>
              </w:rPr>
            </w:pPr>
            <w:r>
              <w:rPr>
                <w:rFonts w:ascii="宋体" w:hAnsi="宋体"/>
                <w:b/>
                <w:bCs/>
                <w:sz w:val="24"/>
                <w:szCs w:val="24"/>
              </w:rPr>
              <w:t>3</w:t>
            </w:r>
          </w:p>
        </w:tc>
        <w:tc>
          <w:tcPr>
            <w:tcW w:w="597" w:type="dxa"/>
            <w:vAlign w:val="center"/>
          </w:tcPr>
          <w:p w14:paraId="045E3C7C">
            <w:pPr>
              <w:jc w:val="center"/>
              <w:rPr>
                <w:rFonts w:ascii="宋体" w:hAnsi="宋体"/>
                <w:b/>
                <w:bCs/>
                <w:sz w:val="24"/>
                <w:szCs w:val="24"/>
              </w:rPr>
            </w:pPr>
            <w:r>
              <w:rPr>
                <w:rFonts w:hint="eastAsia" w:ascii="宋体" w:hAnsi="宋体"/>
                <w:b/>
                <w:bCs/>
                <w:sz w:val="24"/>
                <w:szCs w:val="24"/>
              </w:rPr>
              <w:t>…</w:t>
            </w:r>
          </w:p>
        </w:tc>
      </w:tr>
      <w:tr w14:paraId="26FCD1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3524E75D">
            <w:pPr>
              <w:jc w:val="center"/>
              <w:textAlignment w:val="center"/>
              <w:rPr>
                <w:rFonts w:ascii="宋体" w:hAnsi="宋体"/>
                <w:b/>
                <w:bCs/>
                <w:sz w:val="24"/>
                <w:szCs w:val="24"/>
              </w:rPr>
            </w:pPr>
            <w:r>
              <w:rPr>
                <w:rFonts w:hint="eastAsia" w:ascii="宋体" w:hAnsi="宋体"/>
                <w:b/>
                <w:bCs/>
                <w:sz w:val="24"/>
                <w:szCs w:val="24"/>
              </w:rPr>
              <w:t>1</w:t>
            </w:r>
          </w:p>
        </w:tc>
        <w:tc>
          <w:tcPr>
            <w:tcW w:w="6674" w:type="dxa"/>
            <w:tcBorders>
              <w:right w:val="single" w:color="auto" w:sz="4" w:space="0"/>
            </w:tcBorders>
            <w:vAlign w:val="center"/>
          </w:tcPr>
          <w:p w14:paraId="05686F44">
            <w:pPr>
              <w:rPr>
                <w:rFonts w:ascii="宋体" w:hAnsi="宋体"/>
                <w:b/>
                <w:bCs/>
                <w:sz w:val="24"/>
                <w:szCs w:val="24"/>
              </w:rPr>
            </w:pPr>
            <w:r>
              <w:rPr>
                <w:rFonts w:hint="eastAsia" w:ascii="宋体" w:hAnsi="宋体"/>
                <w:b/>
                <w:bCs/>
                <w:sz w:val="24"/>
                <w:szCs w:val="24"/>
              </w:rPr>
              <w:t>投标函有单位电子签章及法定代表人或法定代表人授权的代理人签名；</w:t>
            </w:r>
          </w:p>
        </w:tc>
        <w:tc>
          <w:tcPr>
            <w:tcW w:w="646" w:type="dxa"/>
            <w:tcBorders>
              <w:left w:val="single" w:color="auto" w:sz="4" w:space="0"/>
              <w:right w:val="single" w:color="auto" w:sz="4" w:space="0"/>
            </w:tcBorders>
            <w:vAlign w:val="center"/>
          </w:tcPr>
          <w:p w14:paraId="4044B85A">
            <w:pPr>
              <w:jc w:val="center"/>
              <w:rPr>
                <w:rFonts w:ascii="宋体" w:hAnsi="宋体"/>
                <w:b/>
                <w:bCs/>
                <w:sz w:val="24"/>
                <w:szCs w:val="24"/>
              </w:rPr>
            </w:pPr>
          </w:p>
        </w:tc>
        <w:tc>
          <w:tcPr>
            <w:tcW w:w="646" w:type="dxa"/>
            <w:tcBorders>
              <w:left w:val="single" w:color="auto" w:sz="4" w:space="0"/>
            </w:tcBorders>
            <w:vAlign w:val="center"/>
          </w:tcPr>
          <w:p w14:paraId="5E2C61CB">
            <w:pPr>
              <w:jc w:val="center"/>
              <w:rPr>
                <w:rFonts w:ascii="宋体" w:hAnsi="宋体"/>
                <w:b/>
                <w:bCs/>
                <w:sz w:val="24"/>
                <w:szCs w:val="24"/>
              </w:rPr>
            </w:pPr>
          </w:p>
        </w:tc>
        <w:tc>
          <w:tcPr>
            <w:tcW w:w="646" w:type="dxa"/>
            <w:tcBorders>
              <w:right w:val="single" w:color="auto" w:sz="4" w:space="0"/>
            </w:tcBorders>
            <w:vAlign w:val="center"/>
          </w:tcPr>
          <w:p w14:paraId="710ABE4D">
            <w:pPr>
              <w:jc w:val="center"/>
              <w:rPr>
                <w:rFonts w:ascii="宋体" w:hAnsi="宋体"/>
                <w:b/>
                <w:bCs/>
                <w:sz w:val="24"/>
                <w:szCs w:val="24"/>
              </w:rPr>
            </w:pPr>
          </w:p>
        </w:tc>
        <w:tc>
          <w:tcPr>
            <w:tcW w:w="597" w:type="dxa"/>
            <w:tcBorders>
              <w:left w:val="single" w:color="auto" w:sz="4" w:space="0"/>
            </w:tcBorders>
            <w:vAlign w:val="center"/>
          </w:tcPr>
          <w:p w14:paraId="0603D0F7">
            <w:pPr>
              <w:jc w:val="center"/>
              <w:rPr>
                <w:rFonts w:ascii="宋体" w:hAnsi="宋体"/>
                <w:b/>
                <w:bCs/>
                <w:sz w:val="24"/>
                <w:szCs w:val="24"/>
              </w:rPr>
            </w:pPr>
          </w:p>
        </w:tc>
      </w:tr>
      <w:tr w14:paraId="2B7C4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77E3050">
            <w:pPr>
              <w:jc w:val="center"/>
              <w:textAlignment w:val="center"/>
              <w:rPr>
                <w:rFonts w:ascii="宋体" w:hAnsi="宋体"/>
                <w:b/>
                <w:bCs/>
                <w:sz w:val="24"/>
                <w:szCs w:val="24"/>
              </w:rPr>
            </w:pPr>
            <w:r>
              <w:rPr>
                <w:rFonts w:hint="eastAsia" w:ascii="宋体" w:hAnsi="宋体"/>
                <w:b/>
                <w:bCs/>
                <w:sz w:val="24"/>
                <w:szCs w:val="24"/>
              </w:rPr>
              <w:t>2</w:t>
            </w:r>
          </w:p>
        </w:tc>
        <w:tc>
          <w:tcPr>
            <w:tcW w:w="6674" w:type="dxa"/>
            <w:tcBorders>
              <w:right w:val="single" w:color="auto" w:sz="4" w:space="0"/>
            </w:tcBorders>
            <w:vAlign w:val="center"/>
          </w:tcPr>
          <w:p w14:paraId="6B09FE4D">
            <w:pPr>
              <w:rPr>
                <w:rFonts w:ascii="宋体" w:hAnsi="宋体"/>
                <w:b/>
                <w:bCs/>
                <w:sz w:val="24"/>
                <w:szCs w:val="24"/>
              </w:rPr>
            </w:pPr>
            <w:r>
              <w:rPr>
                <w:rFonts w:hint="eastAsia" w:ascii="宋体" w:hAnsi="宋体"/>
                <w:b/>
                <w:bCs/>
                <w:sz w:val="24"/>
                <w:szCs w:val="24"/>
              </w:rPr>
              <w:t>投标有效期是否满足招标文件要求的；</w:t>
            </w:r>
          </w:p>
        </w:tc>
        <w:tc>
          <w:tcPr>
            <w:tcW w:w="646" w:type="dxa"/>
            <w:tcBorders>
              <w:left w:val="single" w:color="auto" w:sz="4" w:space="0"/>
              <w:right w:val="single" w:color="auto" w:sz="4" w:space="0"/>
            </w:tcBorders>
            <w:vAlign w:val="center"/>
          </w:tcPr>
          <w:p w14:paraId="310A08B0">
            <w:pPr>
              <w:jc w:val="center"/>
              <w:rPr>
                <w:rFonts w:ascii="宋体" w:hAnsi="宋体"/>
                <w:b/>
                <w:bCs/>
                <w:sz w:val="24"/>
                <w:szCs w:val="24"/>
              </w:rPr>
            </w:pPr>
          </w:p>
        </w:tc>
        <w:tc>
          <w:tcPr>
            <w:tcW w:w="646" w:type="dxa"/>
            <w:tcBorders>
              <w:left w:val="single" w:color="auto" w:sz="4" w:space="0"/>
            </w:tcBorders>
            <w:vAlign w:val="center"/>
          </w:tcPr>
          <w:p w14:paraId="54237BC8">
            <w:pPr>
              <w:jc w:val="center"/>
              <w:rPr>
                <w:rFonts w:ascii="宋体" w:hAnsi="宋体"/>
                <w:b/>
                <w:bCs/>
                <w:sz w:val="24"/>
                <w:szCs w:val="24"/>
              </w:rPr>
            </w:pPr>
          </w:p>
        </w:tc>
        <w:tc>
          <w:tcPr>
            <w:tcW w:w="646" w:type="dxa"/>
            <w:tcBorders>
              <w:right w:val="single" w:color="auto" w:sz="4" w:space="0"/>
            </w:tcBorders>
            <w:vAlign w:val="center"/>
          </w:tcPr>
          <w:p w14:paraId="5975A5A0">
            <w:pPr>
              <w:jc w:val="center"/>
              <w:rPr>
                <w:rFonts w:ascii="宋体" w:hAnsi="宋体"/>
                <w:b/>
                <w:bCs/>
                <w:sz w:val="24"/>
                <w:szCs w:val="24"/>
              </w:rPr>
            </w:pPr>
          </w:p>
        </w:tc>
        <w:tc>
          <w:tcPr>
            <w:tcW w:w="597" w:type="dxa"/>
            <w:tcBorders>
              <w:left w:val="single" w:color="auto" w:sz="4" w:space="0"/>
            </w:tcBorders>
            <w:vAlign w:val="center"/>
          </w:tcPr>
          <w:p w14:paraId="48DFD878">
            <w:pPr>
              <w:jc w:val="center"/>
              <w:rPr>
                <w:rFonts w:ascii="宋体" w:hAnsi="宋体"/>
                <w:b/>
                <w:bCs/>
                <w:sz w:val="24"/>
                <w:szCs w:val="24"/>
              </w:rPr>
            </w:pPr>
          </w:p>
        </w:tc>
      </w:tr>
      <w:tr w14:paraId="38D17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5335D3E5">
            <w:pPr>
              <w:jc w:val="center"/>
              <w:textAlignment w:val="center"/>
              <w:rPr>
                <w:rFonts w:ascii="宋体" w:hAnsi="宋体"/>
                <w:b/>
                <w:bCs/>
                <w:sz w:val="24"/>
                <w:szCs w:val="24"/>
              </w:rPr>
            </w:pPr>
            <w:r>
              <w:rPr>
                <w:rFonts w:hint="eastAsia" w:ascii="宋体" w:hAnsi="宋体"/>
                <w:b/>
                <w:bCs/>
                <w:sz w:val="24"/>
                <w:szCs w:val="24"/>
              </w:rPr>
              <w:t>3</w:t>
            </w:r>
          </w:p>
        </w:tc>
        <w:tc>
          <w:tcPr>
            <w:tcW w:w="6674" w:type="dxa"/>
            <w:tcBorders>
              <w:right w:val="single" w:color="auto" w:sz="4" w:space="0"/>
            </w:tcBorders>
            <w:vAlign w:val="center"/>
          </w:tcPr>
          <w:p w14:paraId="78EBF40B">
            <w:pPr>
              <w:rPr>
                <w:rFonts w:ascii="宋体" w:hAnsi="宋体"/>
                <w:b/>
                <w:bCs/>
                <w:sz w:val="24"/>
                <w:szCs w:val="24"/>
              </w:rPr>
            </w:pPr>
            <w:r>
              <w:rPr>
                <w:rFonts w:hint="eastAsia" w:ascii="宋体" w:hAnsi="宋体"/>
                <w:b/>
                <w:bCs/>
                <w:sz w:val="24"/>
                <w:szCs w:val="24"/>
              </w:rPr>
              <w:t>投标文件组成是否完整，主要内容是否按招标文件规定的内容、格式填写；</w:t>
            </w:r>
          </w:p>
        </w:tc>
        <w:tc>
          <w:tcPr>
            <w:tcW w:w="646" w:type="dxa"/>
            <w:tcBorders>
              <w:left w:val="single" w:color="auto" w:sz="4" w:space="0"/>
              <w:right w:val="single" w:color="auto" w:sz="4" w:space="0"/>
            </w:tcBorders>
            <w:vAlign w:val="center"/>
          </w:tcPr>
          <w:p w14:paraId="2A6BAF4C">
            <w:pPr>
              <w:jc w:val="center"/>
              <w:rPr>
                <w:rFonts w:ascii="宋体" w:hAnsi="宋体"/>
                <w:b/>
                <w:bCs/>
                <w:sz w:val="24"/>
                <w:szCs w:val="24"/>
              </w:rPr>
            </w:pPr>
          </w:p>
        </w:tc>
        <w:tc>
          <w:tcPr>
            <w:tcW w:w="646" w:type="dxa"/>
            <w:tcBorders>
              <w:left w:val="single" w:color="auto" w:sz="4" w:space="0"/>
            </w:tcBorders>
            <w:vAlign w:val="center"/>
          </w:tcPr>
          <w:p w14:paraId="0CA4AE64">
            <w:pPr>
              <w:jc w:val="center"/>
              <w:rPr>
                <w:rFonts w:ascii="宋体" w:hAnsi="宋体"/>
                <w:b/>
                <w:bCs/>
                <w:sz w:val="24"/>
                <w:szCs w:val="24"/>
              </w:rPr>
            </w:pPr>
          </w:p>
        </w:tc>
        <w:tc>
          <w:tcPr>
            <w:tcW w:w="646" w:type="dxa"/>
            <w:tcBorders>
              <w:right w:val="single" w:color="auto" w:sz="4" w:space="0"/>
            </w:tcBorders>
            <w:vAlign w:val="center"/>
          </w:tcPr>
          <w:p w14:paraId="07AA02EF">
            <w:pPr>
              <w:jc w:val="center"/>
              <w:rPr>
                <w:rFonts w:ascii="宋体" w:hAnsi="宋体"/>
                <w:b/>
                <w:bCs/>
                <w:sz w:val="24"/>
                <w:szCs w:val="24"/>
              </w:rPr>
            </w:pPr>
          </w:p>
        </w:tc>
        <w:tc>
          <w:tcPr>
            <w:tcW w:w="597" w:type="dxa"/>
            <w:tcBorders>
              <w:left w:val="single" w:color="auto" w:sz="4" w:space="0"/>
            </w:tcBorders>
            <w:vAlign w:val="center"/>
          </w:tcPr>
          <w:p w14:paraId="6126A73A">
            <w:pPr>
              <w:jc w:val="center"/>
              <w:rPr>
                <w:rFonts w:ascii="宋体" w:hAnsi="宋体"/>
                <w:b/>
                <w:bCs/>
                <w:sz w:val="24"/>
                <w:szCs w:val="24"/>
              </w:rPr>
            </w:pPr>
          </w:p>
        </w:tc>
      </w:tr>
      <w:tr w14:paraId="36BBD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7E4944EA">
            <w:pPr>
              <w:jc w:val="center"/>
              <w:textAlignment w:val="center"/>
              <w:rPr>
                <w:rFonts w:hint="eastAsia" w:ascii="宋体" w:hAnsi="宋体" w:eastAsia="宋体"/>
                <w:b/>
                <w:bCs/>
                <w:sz w:val="24"/>
                <w:szCs w:val="24"/>
                <w:lang w:eastAsia="zh-CN"/>
              </w:rPr>
            </w:pPr>
            <w:r>
              <w:rPr>
                <w:rFonts w:hint="eastAsia" w:ascii="宋体" w:hAnsi="宋体"/>
                <w:b/>
                <w:bCs/>
                <w:sz w:val="24"/>
                <w:szCs w:val="24"/>
                <w:lang w:val="en-US" w:eastAsia="zh-CN"/>
              </w:rPr>
              <w:t>4</w:t>
            </w:r>
          </w:p>
        </w:tc>
        <w:tc>
          <w:tcPr>
            <w:tcW w:w="6674" w:type="dxa"/>
            <w:tcBorders>
              <w:right w:val="single" w:color="auto" w:sz="4" w:space="0"/>
            </w:tcBorders>
            <w:vAlign w:val="center"/>
          </w:tcPr>
          <w:p w14:paraId="374D8553">
            <w:pPr>
              <w:textAlignment w:val="center"/>
              <w:rPr>
                <w:rFonts w:ascii="宋体" w:hAnsi="宋体"/>
                <w:b/>
                <w:bCs/>
                <w:sz w:val="24"/>
                <w:szCs w:val="24"/>
              </w:rPr>
            </w:pPr>
            <w:r>
              <w:rPr>
                <w:rFonts w:hint="eastAsia" w:ascii="宋体" w:hAnsi="宋体"/>
                <w:b/>
                <w:bCs/>
                <w:sz w:val="24"/>
                <w:szCs w:val="24"/>
              </w:rPr>
              <w:t>投标文件是否按照要求签署、盖章；</w:t>
            </w:r>
          </w:p>
        </w:tc>
        <w:tc>
          <w:tcPr>
            <w:tcW w:w="646" w:type="dxa"/>
            <w:tcBorders>
              <w:left w:val="single" w:color="auto" w:sz="4" w:space="0"/>
              <w:right w:val="single" w:color="auto" w:sz="4" w:space="0"/>
            </w:tcBorders>
            <w:vAlign w:val="center"/>
          </w:tcPr>
          <w:p w14:paraId="563BDFB3">
            <w:pPr>
              <w:jc w:val="center"/>
              <w:rPr>
                <w:rFonts w:ascii="宋体" w:hAnsi="宋体"/>
                <w:b/>
                <w:bCs/>
                <w:sz w:val="24"/>
                <w:szCs w:val="24"/>
              </w:rPr>
            </w:pPr>
          </w:p>
        </w:tc>
        <w:tc>
          <w:tcPr>
            <w:tcW w:w="646" w:type="dxa"/>
            <w:tcBorders>
              <w:left w:val="single" w:color="auto" w:sz="4" w:space="0"/>
            </w:tcBorders>
            <w:vAlign w:val="center"/>
          </w:tcPr>
          <w:p w14:paraId="7FF30EBF">
            <w:pPr>
              <w:jc w:val="center"/>
              <w:rPr>
                <w:rFonts w:ascii="宋体" w:hAnsi="宋体"/>
                <w:b/>
                <w:bCs/>
                <w:sz w:val="24"/>
                <w:szCs w:val="24"/>
              </w:rPr>
            </w:pPr>
          </w:p>
        </w:tc>
        <w:tc>
          <w:tcPr>
            <w:tcW w:w="646" w:type="dxa"/>
            <w:tcBorders>
              <w:right w:val="single" w:color="auto" w:sz="4" w:space="0"/>
            </w:tcBorders>
            <w:vAlign w:val="center"/>
          </w:tcPr>
          <w:p w14:paraId="2FA41187">
            <w:pPr>
              <w:jc w:val="center"/>
              <w:rPr>
                <w:rFonts w:ascii="宋体" w:hAnsi="宋体"/>
                <w:b/>
                <w:bCs/>
                <w:sz w:val="24"/>
                <w:szCs w:val="24"/>
              </w:rPr>
            </w:pPr>
          </w:p>
        </w:tc>
        <w:tc>
          <w:tcPr>
            <w:tcW w:w="597" w:type="dxa"/>
            <w:tcBorders>
              <w:left w:val="single" w:color="auto" w:sz="4" w:space="0"/>
            </w:tcBorders>
            <w:vAlign w:val="center"/>
          </w:tcPr>
          <w:p w14:paraId="4769902C">
            <w:pPr>
              <w:jc w:val="center"/>
              <w:rPr>
                <w:rFonts w:ascii="宋体" w:hAnsi="宋体"/>
                <w:b/>
                <w:bCs/>
                <w:sz w:val="24"/>
                <w:szCs w:val="24"/>
              </w:rPr>
            </w:pPr>
          </w:p>
        </w:tc>
      </w:tr>
      <w:tr w14:paraId="37D0B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54EFBCF0">
            <w:pPr>
              <w:jc w:val="center"/>
              <w:textAlignment w:val="center"/>
              <w:rPr>
                <w:rFonts w:hint="eastAsia" w:ascii="宋体" w:hAnsi="宋体" w:eastAsia="宋体"/>
                <w:b/>
                <w:bCs/>
                <w:sz w:val="24"/>
                <w:szCs w:val="24"/>
                <w:lang w:eastAsia="zh-CN"/>
              </w:rPr>
            </w:pPr>
            <w:r>
              <w:rPr>
                <w:rFonts w:hint="eastAsia" w:ascii="宋体" w:hAnsi="宋体"/>
                <w:b/>
                <w:bCs/>
                <w:sz w:val="24"/>
                <w:szCs w:val="24"/>
                <w:lang w:val="en-US" w:eastAsia="zh-CN"/>
              </w:rPr>
              <w:t>5</w:t>
            </w:r>
          </w:p>
        </w:tc>
        <w:tc>
          <w:tcPr>
            <w:tcW w:w="6674" w:type="dxa"/>
            <w:tcBorders>
              <w:right w:val="single" w:color="auto" w:sz="4" w:space="0"/>
            </w:tcBorders>
            <w:vAlign w:val="center"/>
          </w:tcPr>
          <w:p w14:paraId="3B5E9050">
            <w:pPr>
              <w:rPr>
                <w:rFonts w:ascii="宋体" w:hAnsi="宋体"/>
                <w:b/>
                <w:bCs/>
                <w:sz w:val="24"/>
                <w:szCs w:val="24"/>
              </w:rPr>
            </w:pPr>
            <w:r>
              <w:rPr>
                <w:rFonts w:hint="eastAsia" w:ascii="宋体" w:hAnsi="宋体"/>
                <w:b/>
                <w:bCs/>
                <w:sz w:val="24"/>
                <w:szCs w:val="24"/>
              </w:rPr>
              <w:t>投标报价是否在采购预算或最高限价以内；</w:t>
            </w:r>
          </w:p>
        </w:tc>
        <w:tc>
          <w:tcPr>
            <w:tcW w:w="646" w:type="dxa"/>
            <w:tcBorders>
              <w:left w:val="single" w:color="auto" w:sz="4" w:space="0"/>
              <w:right w:val="single" w:color="auto" w:sz="4" w:space="0"/>
            </w:tcBorders>
            <w:vAlign w:val="center"/>
          </w:tcPr>
          <w:p w14:paraId="138DF393">
            <w:pPr>
              <w:jc w:val="center"/>
              <w:rPr>
                <w:rFonts w:ascii="宋体" w:hAnsi="宋体"/>
                <w:b/>
                <w:bCs/>
                <w:sz w:val="24"/>
                <w:szCs w:val="24"/>
              </w:rPr>
            </w:pPr>
          </w:p>
        </w:tc>
        <w:tc>
          <w:tcPr>
            <w:tcW w:w="646" w:type="dxa"/>
            <w:tcBorders>
              <w:left w:val="single" w:color="auto" w:sz="4" w:space="0"/>
            </w:tcBorders>
            <w:vAlign w:val="center"/>
          </w:tcPr>
          <w:p w14:paraId="526816DA">
            <w:pPr>
              <w:jc w:val="center"/>
              <w:rPr>
                <w:rFonts w:ascii="宋体" w:hAnsi="宋体"/>
                <w:b/>
                <w:bCs/>
                <w:sz w:val="24"/>
                <w:szCs w:val="24"/>
              </w:rPr>
            </w:pPr>
          </w:p>
        </w:tc>
        <w:tc>
          <w:tcPr>
            <w:tcW w:w="646" w:type="dxa"/>
            <w:tcBorders>
              <w:right w:val="single" w:color="auto" w:sz="4" w:space="0"/>
            </w:tcBorders>
            <w:vAlign w:val="center"/>
          </w:tcPr>
          <w:p w14:paraId="1A29C542">
            <w:pPr>
              <w:jc w:val="center"/>
              <w:rPr>
                <w:rFonts w:ascii="宋体" w:hAnsi="宋体"/>
                <w:b/>
                <w:bCs/>
                <w:sz w:val="24"/>
                <w:szCs w:val="24"/>
              </w:rPr>
            </w:pPr>
          </w:p>
        </w:tc>
        <w:tc>
          <w:tcPr>
            <w:tcW w:w="597" w:type="dxa"/>
            <w:tcBorders>
              <w:left w:val="single" w:color="auto" w:sz="4" w:space="0"/>
            </w:tcBorders>
            <w:vAlign w:val="center"/>
          </w:tcPr>
          <w:p w14:paraId="7E568E7F">
            <w:pPr>
              <w:jc w:val="center"/>
              <w:rPr>
                <w:rFonts w:ascii="宋体" w:hAnsi="宋体"/>
                <w:b/>
                <w:bCs/>
                <w:sz w:val="24"/>
                <w:szCs w:val="24"/>
              </w:rPr>
            </w:pPr>
          </w:p>
        </w:tc>
      </w:tr>
      <w:tr w14:paraId="176E4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shd w:val="clear" w:color="auto" w:fill="auto"/>
            <w:vAlign w:val="center"/>
          </w:tcPr>
          <w:p w14:paraId="17D48691">
            <w:pPr>
              <w:jc w:val="center"/>
              <w:textAlignment w:val="center"/>
              <w:rPr>
                <w:rFonts w:hint="eastAsia" w:ascii="宋体" w:hAnsi="宋体" w:eastAsia="宋体"/>
                <w:b/>
                <w:bCs/>
                <w:sz w:val="24"/>
                <w:szCs w:val="24"/>
                <w:lang w:eastAsia="zh-CN"/>
              </w:rPr>
            </w:pPr>
            <w:r>
              <w:rPr>
                <w:rFonts w:hint="eastAsia" w:ascii="宋体" w:hAnsi="宋体"/>
                <w:b/>
                <w:bCs/>
                <w:sz w:val="24"/>
                <w:szCs w:val="24"/>
                <w:lang w:val="en-US" w:eastAsia="zh-CN"/>
              </w:rPr>
              <w:t>6</w:t>
            </w:r>
          </w:p>
        </w:tc>
        <w:tc>
          <w:tcPr>
            <w:tcW w:w="6674" w:type="dxa"/>
            <w:tcBorders>
              <w:right w:val="single" w:color="auto" w:sz="4" w:space="0"/>
            </w:tcBorders>
            <w:vAlign w:val="center"/>
          </w:tcPr>
          <w:p w14:paraId="7A1FC618">
            <w:pPr>
              <w:rPr>
                <w:rFonts w:ascii="宋体" w:hAnsi="宋体"/>
                <w:b/>
                <w:bCs/>
                <w:sz w:val="24"/>
                <w:szCs w:val="24"/>
              </w:rPr>
            </w:pPr>
            <w:r>
              <w:rPr>
                <w:rFonts w:hint="eastAsia" w:ascii="宋体" w:hAnsi="宋体"/>
                <w:b/>
                <w:bCs/>
                <w:sz w:val="24"/>
                <w:szCs w:val="24"/>
              </w:rPr>
              <w:t>投标文件针对同一种货物未出现了两个或两个以上的报价</w:t>
            </w:r>
          </w:p>
        </w:tc>
        <w:tc>
          <w:tcPr>
            <w:tcW w:w="646" w:type="dxa"/>
            <w:tcBorders>
              <w:left w:val="single" w:color="auto" w:sz="4" w:space="0"/>
              <w:right w:val="single" w:color="auto" w:sz="4" w:space="0"/>
            </w:tcBorders>
            <w:vAlign w:val="center"/>
          </w:tcPr>
          <w:p w14:paraId="6C91A042">
            <w:pPr>
              <w:shd w:val="clear" w:color="auto" w:fill="FAFAFA"/>
              <w:spacing w:line="360" w:lineRule="auto"/>
              <w:jc w:val="center"/>
              <w:rPr>
                <w:rFonts w:ascii="宋体" w:hAnsi="宋体"/>
                <w:b/>
                <w:bCs/>
                <w:sz w:val="24"/>
                <w:szCs w:val="24"/>
              </w:rPr>
            </w:pPr>
          </w:p>
        </w:tc>
        <w:tc>
          <w:tcPr>
            <w:tcW w:w="646" w:type="dxa"/>
            <w:tcBorders>
              <w:left w:val="single" w:color="auto" w:sz="4" w:space="0"/>
            </w:tcBorders>
            <w:vAlign w:val="center"/>
          </w:tcPr>
          <w:p w14:paraId="52102AC5">
            <w:pPr>
              <w:jc w:val="center"/>
              <w:rPr>
                <w:rFonts w:ascii="宋体" w:hAnsi="宋体"/>
                <w:b/>
                <w:bCs/>
                <w:sz w:val="24"/>
                <w:szCs w:val="24"/>
              </w:rPr>
            </w:pPr>
          </w:p>
        </w:tc>
        <w:tc>
          <w:tcPr>
            <w:tcW w:w="646" w:type="dxa"/>
            <w:tcBorders>
              <w:right w:val="single" w:color="auto" w:sz="4" w:space="0"/>
            </w:tcBorders>
            <w:vAlign w:val="center"/>
          </w:tcPr>
          <w:p w14:paraId="416B1334">
            <w:pPr>
              <w:jc w:val="center"/>
              <w:rPr>
                <w:rFonts w:ascii="宋体" w:hAnsi="宋体"/>
                <w:b/>
                <w:bCs/>
                <w:sz w:val="24"/>
                <w:szCs w:val="24"/>
              </w:rPr>
            </w:pPr>
          </w:p>
        </w:tc>
        <w:tc>
          <w:tcPr>
            <w:tcW w:w="597" w:type="dxa"/>
            <w:tcBorders>
              <w:left w:val="single" w:color="auto" w:sz="4" w:space="0"/>
            </w:tcBorders>
            <w:vAlign w:val="center"/>
          </w:tcPr>
          <w:p w14:paraId="5ECEB33E">
            <w:pPr>
              <w:jc w:val="center"/>
              <w:rPr>
                <w:rFonts w:ascii="宋体" w:hAnsi="宋体"/>
                <w:b/>
                <w:bCs/>
                <w:sz w:val="24"/>
                <w:szCs w:val="24"/>
              </w:rPr>
            </w:pPr>
          </w:p>
        </w:tc>
      </w:tr>
      <w:tr w14:paraId="51B48B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6D826400">
            <w:pPr>
              <w:jc w:val="center"/>
              <w:textAlignment w:val="center"/>
              <w:rPr>
                <w:rFonts w:hint="eastAsia" w:ascii="宋体" w:hAnsi="宋体" w:eastAsia="宋体"/>
                <w:b/>
                <w:bCs/>
                <w:sz w:val="24"/>
                <w:szCs w:val="24"/>
                <w:lang w:eastAsia="zh-CN"/>
              </w:rPr>
            </w:pPr>
            <w:r>
              <w:rPr>
                <w:rFonts w:hint="eastAsia" w:ascii="宋体" w:hAnsi="宋体"/>
                <w:b/>
                <w:bCs/>
                <w:sz w:val="24"/>
                <w:szCs w:val="24"/>
                <w:lang w:val="en-US" w:eastAsia="zh-CN"/>
              </w:rPr>
              <w:t>7</w:t>
            </w:r>
          </w:p>
        </w:tc>
        <w:tc>
          <w:tcPr>
            <w:tcW w:w="6674" w:type="dxa"/>
            <w:tcBorders>
              <w:right w:val="single" w:color="auto" w:sz="4" w:space="0"/>
            </w:tcBorders>
            <w:vAlign w:val="center"/>
          </w:tcPr>
          <w:p w14:paraId="7291E09C">
            <w:pPr>
              <w:rPr>
                <w:rFonts w:ascii="宋体" w:hAnsi="宋体"/>
                <w:b/>
                <w:bCs/>
                <w:sz w:val="24"/>
                <w:szCs w:val="24"/>
              </w:rPr>
            </w:pPr>
            <w:r>
              <w:rPr>
                <w:rFonts w:hint="eastAsia" w:ascii="宋体" w:hAnsi="宋体"/>
                <w:b/>
                <w:bCs/>
                <w:sz w:val="24"/>
                <w:szCs w:val="24"/>
              </w:rPr>
              <w:t>是否符合法律、法规和招标文件中规定的其他实质性要求</w:t>
            </w:r>
          </w:p>
        </w:tc>
        <w:tc>
          <w:tcPr>
            <w:tcW w:w="646" w:type="dxa"/>
            <w:tcBorders>
              <w:left w:val="single" w:color="auto" w:sz="4" w:space="0"/>
              <w:right w:val="single" w:color="auto" w:sz="4" w:space="0"/>
            </w:tcBorders>
            <w:vAlign w:val="center"/>
          </w:tcPr>
          <w:p w14:paraId="0184A317">
            <w:pPr>
              <w:shd w:val="clear" w:color="auto" w:fill="FAFAFA"/>
              <w:spacing w:line="360" w:lineRule="auto"/>
              <w:jc w:val="center"/>
              <w:rPr>
                <w:rFonts w:ascii="宋体" w:hAnsi="宋体"/>
                <w:b/>
                <w:bCs/>
                <w:sz w:val="24"/>
                <w:szCs w:val="24"/>
              </w:rPr>
            </w:pPr>
          </w:p>
        </w:tc>
        <w:tc>
          <w:tcPr>
            <w:tcW w:w="646" w:type="dxa"/>
            <w:tcBorders>
              <w:left w:val="single" w:color="auto" w:sz="4" w:space="0"/>
            </w:tcBorders>
            <w:vAlign w:val="center"/>
          </w:tcPr>
          <w:p w14:paraId="3C26F8C7">
            <w:pPr>
              <w:jc w:val="center"/>
              <w:rPr>
                <w:rFonts w:ascii="宋体" w:hAnsi="宋体"/>
                <w:b/>
                <w:bCs/>
                <w:sz w:val="24"/>
                <w:szCs w:val="24"/>
              </w:rPr>
            </w:pPr>
          </w:p>
        </w:tc>
        <w:tc>
          <w:tcPr>
            <w:tcW w:w="646" w:type="dxa"/>
            <w:tcBorders>
              <w:right w:val="single" w:color="auto" w:sz="4" w:space="0"/>
            </w:tcBorders>
            <w:vAlign w:val="center"/>
          </w:tcPr>
          <w:p w14:paraId="6E200449">
            <w:pPr>
              <w:jc w:val="center"/>
              <w:rPr>
                <w:rFonts w:ascii="宋体" w:hAnsi="宋体"/>
                <w:b/>
                <w:bCs/>
                <w:sz w:val="24"/>
                <w:szCs w:val="24"/>
              </w:rPr>
            </w:pPr>
          </w:p>
        </w:tc>
        <w:tc>
          <w:tcPr>
            <w:tcW w:w="597" w:type="dxa"/>
            <w:tcBorders>
              <w:left w:val="single" w:color="auto" w:sz="4" w:space="0"/>
            </w:tcBorders>
            <w:vAlign w:val="center"/>
          </w:tcPr>
          <w:p w14:paraId="64CE82A0">
            <w:pPr>
              <w:jc w:val="center"/>
              <w:rPr>
                <w:rFonts w:ascii="宋体" w:hAnsi="宋体"/>
                <w:b/>
                <w:bCs/>
                <w:sz w:val="24"/>
                <w:szCs w:val="24"/>
              </w:rPr>
            </w:pPr>
          </w:p>
        </w:tc>
      </w:tr>
      <w:tr w14:paraId="66972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7E91BFA8">
            <w:pPr>
              <w:jc w:val="center"/>
              <w:rPr>
                <w:rFonts w:ascii="宋体" w:hAnsi="宋体"/>
                <w:b/>
                <w:bCs/>
                <w:sz w:val="24"/>
                <w:szCs w:val="24"/>
              </w:rPr>
            </w:pPr>
            <w:r>
              <w:rPr>
                <w:rFonts w:hint="eastAsia" w:ascii="宋体" w:hAnsi="宋体"/>
                <w:b/>
                <w:bCs/>
                <w:sz w:val="24"/>
                <w:szCs w:val="24"/>
              </w:rPr>
              <w:t>审查结果</w:t>
            </w:r>
          </w:p>
        </w:tc>
        <w:tc>
          <w:tcPr>
            <w:tcW w:w="646" w:type="dxa"/>
            <w:tcBorders>
              <w:left w:val="single" w:color="auto" w:sz="4" w:space="0"/>
              <w:right w:val="single" w:color="auto" w:sz="4" w:space="0"/>
            </w:tcBorders>
            <w:vAlign w:val="center"/>
          </w:tcPr>
          <w:p w14:paraId="29267502">
            <w:pPr>
              <w:jc w:val="center"/>
              <w:rPr>
                <w:rFonts w:ascii="宋体" w:hAnsi="宋体"/>
                <w:b/>
                <w:bCs/>
                <w:sz w:val="24"/>
                <w:szCs w:val="24"/>
              </w:rPr>
            </w:pPr>
          </w:p>
        </w:tc>
        <w:tc>
          <w:tcPr>
            <w:tcW w:w="646" w:type="dxa"/>
            <w:tcBorders>
              <w:left w:val="single" w:color="auto" w:sz="4" w:space="0"/>
            </w:tcBorders>
            <w:vAlign w:val="center"/>
          </w:tcPr>
          <w:p w14:paraId="718D0780">
            <w:pPr>
              <w:jc w:val="center"/>
              <w:rPr>
                <w:rFonts w:ascii="宋体" w:hAnsi="宋体"/>
                <w:b/>
                <w:bCs/>
                <w:sz w:val="24"/>
                <w:szCs w:val="24"/>
              </w:rPr>
            </w:pPr>
          </w:p>
        </w:tc>
        <w:tc>
          <w:tcPr>
            <w:tcW w:w="646" w:type="dxa"/>
            <w:vAlign w:val="center"/>
          </w:tcPr>
          <w:p w14:paraId="1E8DFDC3">
            <w:pPr>
              <w:jc w:val="center"/>
              <w:rPr>
                <w:rFonts w:ascii="宋体" w:hAnsi="宋体"/>
                <w:b/>
                <w:bCs/>
                <w:sz w:val="24"/>
                <w:szCs w:val="24"/>
              </w:rPr>
            </w:pPr>
          </w:p>
        </w:tc>
        <w:tc>
          <w:tcPr>
            <w:tcW w:w="597" w:type="dxa"/>
            <w:vAlign w:val="center"/>
          </w:tcPr>
          <w:p w14:paraId="46FC6133">
            <w:pPr>
              <w:jc w:val="center"/>
              <w:rPr>
                <w:rFonts w:ascii="宋体" w:hAnsi="宋体"/>
                <w:b/>
                <w:bCs/>
                <w:sz w:val="24"/>
                <w:szCs w:val="24"/>
              </w:rPr>
            </w:pPr>
          </w:p>
        </w:tc>
      </w:tr>
      <w:tr w14:paraId="2BD80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7D360509">
            <w:pPr>
              <w:jc w:val="center"/>
              <w:rPr>
                <w:rFonts w:ascii="宋体" w:hAnsi="宋体"/>
                <w:b/>
                <w:bCs/>
                <w:sz w:val="24"/>
                <w:szCs w:val="24"/>
              </w:rPr>
            </w:pPr>
            <w:r>
              <w:rPr>
                <w:rFonts w:hint="eastAsia" w:ascii="宋体" w:hAnsi="宋体"/>
                <w:b/>
                <w:bCs/>
                <w:sz w:val="24"/>
                <w:szCs w:val="24"/>
              </w:rPr>
              <w:t>不通过理由说明</w:t>
            </w:r>
          </w:p>
        </w:tc>
        <w:tc>
          <w:tcPr>
            <w:tcW w:w="646" w:type="dxa"/>
            <w:tcBorders>
              <w:left w:val="single" w:color="auto" w:sz="4" w:space="0"/>
              <w:bottom w:val="single" w:color="auto" w:sz="12" w:space="0"/>
              <w:right w:val="single" w:color="auto" w:sz="4" w:space="0"/>
            </w:tcBorders>
            <w:vAlign w:val="center"/>
          </w:tcPr>
          <w:p w14:paraId="4455FCBE">
            <w:pPr>
              <w:jc w:val="center"/>
              <w:rPr>
                <w:rFonts w:ascii="宋体" w:hAnsi="宋体"/>
                <w:b/>
                <w:bCs/>
                <w:sz w:val="24"/>
                <w:szCs w:val="24"/>
              </w:rPr>
            </w:pPr>
          </w:p>
        </w:tc>
        <w:tc>
          <w:tcPr>
            <w:tcW w:w="646" w:type="dxa"/>
            <w:tcBorders>
              <w:left w:val="single" w:color="auto" w:sz="4" w:space="0"/>
              <w:bottom w:val="single" w:color="auto" w:sz="12" w:space="0"/>
            </w:tcBorders>
            <w:vAlign w:val="center"/>
          </w:tcPr>
          <w:p w14:paraId="1EBEA1F8">
            <w:pPr>
              <w:jc w:val="center"/>
              <w:rPr>
                <w:rFonts w:ascii="宋体" w:hAnsi="宋体"/>
                <w:b/>
                <w:bCs/>
                <w:sz w:val="24"/>
                <w:szCs w:val="24"/>
              </w:rPr>
            </w:pPr>
          </w:p>
        </w:tc>
        <w:tc>
          <w:tcPr>
            <w:tcW w:w="646" w:type="dxa"/>
            <w:tcBorders>
              <w:bottom w:val="single" w:color="auto" w:sz="12" w:space="0"/>
            </w:tcBorders>
            <w:vAlign w:val="center"/>
          </w:tcPr>
          <w:p w14:paraId="1EBE1994">
            <w:pPr>
              <w:jc w:val="center"/>
              <w:rPr>
                <w:rFonts w:ascii="宋体" w:hAnsi="宋体"/>
                <w:b/>
                <w:bCs/>
                <w:sz w:val="24"/>
                <w:szCs w:val="24"/>
              </w:rPr>
            </w:pPr>
          </w:p>
        </w:tc>
        <w:tc>
          <w:tcPr>
            <w:tcW w:w="597" w:type="dxa"/>
            <w:tcBorders>
              <w:bottom w:val="single" w:color="auto" w:sz="12" w:space="0"/>
            </w:tcBorders>
            <w:vAlign w:val="center"/>
          </w:tcPr>
          <w:p w14:paraId="0AA7C335">
            <w:pPr>
              <w:jc w:val="center"/>
              <w:rPr>
                <w:rFonts w:ascii="宋体" w:hAnsi="宋体"/>
                <w:b/>
                <w:bCs/>
                <w:sz w:val="24"/>
                <w:szCs w:val="24"/>
              </w:rPr>
            </w:pPr>
          </w:p>
        </w:tc>
      </w:tr>
    </w:tbl>
    <w:p w14:paraId="2D08E519">
      <w:pPr>
        <w:rPr>
          <w:rFonts w:ascii="宋体" w:hAnsi="宋体"/>
          <w:sz w:val="24"/>
          <w:szCs w:val="24"/>
        </w:rPr>
      </w:pPr>
      <w:r>
        <w:rPr>
          <w:rFonts w:hint="eastAsia" w:ascii="宋体" w:hAnsi="宋体"/>
          <w:sz w:val="24"/>
          <w:szCs w:val="24"/>
        </w:rPr>
        <w:t>1.符合性审查审查合格的打“√”，不合格的打“×”。</w:t>
      </w:r>
    </w:p>
    <w:p w14:paraId="61445A30">
      <w:pPr>
        <w:rPr>
          <w:rFonts w:ascii="宋体" w:hAnsi="宋体"/>
          <w:sz w:val="24"/>
          <w:szCs w:val="24"/>
        </w:rPr>
      </w:pPr>
      <w:r>
        <w:rPr>
          <w:rFonts w:hint="eastAsia" w:ascii="宋体" w:hAnsi="宋体"/>
          <w:sz w:val="24"/>
          <w:szCs w:val="24"/>
        </w:rPr>
        <w:t>2.符合性审查审查结果，通过打“√”，不通过的打“×”。</w:t>
      </w:r>
    </w:p>
    <w:p w14:paraId="05AE3A72">
      <w:pPr>
        <w:rPr>
          <w:rFonts w:ascii="宋体" w:hAnsi="宋体"/>
          <w:sz w:val="24"/>
          <w:szCs w:val="24"/>
        </w:rPr>
      </w:pPr>
      <w:r>
        <w:rPr>
          <w:rFonts w:hint="eastAsia" w:ascii="宋体" w:hAnsi="宋体"/>
          <w:sz w:val="24"/>
          <w:szCs w:val="24"/>
        </w:rPr>
        <w:t>3.请填写不通过符合性审查审查的</w:t>
      </w:r>
      <w:r>
        <w:rPr>
          <w:rFonts w:hint="eastAsia" w:ascii="宋体" w:hAnsi="宋体" w:cs="Arial"/>
          <w:kern w:val="0"/>
          <w:sz w:val="24"/>
          <w:szCs w:val="24"/>
        </w:rPr>
        <w:t>投标人</w:t>
      </w:r>
      <w:r>
        <w:rPr>
          <w:rFonts w:hint="eastAsia" w:ascii="宋体" w:hAnsi="宋体"/>
          <w:sz w:val="24"/>
          <w:szCs w:val="24"/>
        </w:rPr>
        <w:t>的原因。</w:t>
      </w:r>
    </w:p>
    <w:p w14:paraId="5BF1FD2B">
      <w:pPr>
        <w:spacing w:line="440" w:lineRule="exact"/>
        <w:ind w:firstLine="480" w:firstLineChars="200"/>
        <w:rPr>
          <w:rFonts w:ascii="宋体" w:hAnsi="宋体"/>
          <w:spacing w:val="-2"/>
          <w:sz w:val="24"/>
          <w:szCs w:val="24"/>
        </w:rPr>
      </w:pPr>
      <w:r>
        <w:rPr>
          <w:rFonts w:hint="eastAsia" w:ascii="宋体" w:hAnsi="宋体"/>
          <w:sz w:val="24"/>
          <w:szCs w:val="24"/>
        </w:rPr>
        <w:t>投标文件响应程度符合性审查通过的投标企业，进入下一步详细评审阶段，未通过投标文件响应程度符合性审查的企业，其投标作为无效标，不进入后期评审阶段。</w:t>
      </w:r>
    </w:p>
    <w:p w14:paraId="062D11BF">
      <w:pPr>
        <w:spacing w:line="440" w:lineRule="exact"/>
        <w:jc w:val="center"/>
        <w:rPr>
          <w:b/>
          <w:sz w:val="30"/>
          <w:szCs w:val="30"/>
        </w:rPr>
      </w:pPr>
      <w:r>
        <w:rPr>
          <w:rFonts w:hint="eastAsia"/>
          <w:b/>
          <w:sz w:val="30"/>
          <w:szCs w:val="30"/>
        </w:rPr>
        <w:br w:type="page"/>
      </w:r>
      <w:r>
        <w:rPr>
          <w:rFonts w:hint="eastAsia"/>
          <w:b/>
          <w:sz w:val="30"/>
          <w:szCs w:val="30"/>
        </w:rPr>
        <w:t>评分标准100%（以下得分保留小数点后2位）</w:t>
      </w:r>
    </w:p>
    <w:p w14:paraId="0F6794A0">
      <w:pPr>
        <w:rPr>
          <w:sz w:val="24"/>
          <w:szCs w:val="24"/>
        </w:rPr>
      </w:pPr>
    </w:p>
    <w:tbl>
      <w:tblPr>
        <w:tblStyle w:val="24"/>
        <w:tblW w:w="0" w:type="auto"/>
        <w:jc w:val="center"/>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2"/>
        <w:gridCol w:w="1425"/>
        <w:gridCol w:w="1517"/>
        <w:gridCol w:w="6410"/>
      </w:tblGrid>
      <w:tr w14:paraId="4AF9BDB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3B3604B5">
            <w:pPr>
              <w:pStyle w:val="95"/>
              <w:spacing w:before="0" w:after="0" w:line="240" w:lineRule="auto"/>
              <w:ind w:firstLine="0"/>
              <w:rPr>
                <w:rFonts w:ascii="宋体" w:hAnsi="宋体"/>
                <w:szCs w:val="24"/>
              </w:rPr>
            </w:pPr>
            <w:r>
              <w:rPr>
                <w:rFonts w:hint="eastAsia" w:ascii="宋体" w:hAnsi="宋体"/>
                <w:szCs w:val="24"/>
              </w:rPr>
              <w:t>序号</w:t>
            </w:r>
          </w:p>
        </w:tc>
        <w:tc>
          <w:tcPr>
            <w:tcW w:w="1425" w:type="dxa"/>
            <w:vAlign w:val="center"/>
          </w:tcPr>
          <w:p w14:paraId="40010A34">
            <w:pPr>
              <w:pStyle w:val="95"/>
              <w:spacing w:before="0" w:after="0" w:line="240" w:lineRule="auto"/>
              <w:ind w:firstLine="0"/>
              <w:jc w:val="center"/>
              <w:rPr>
                <w:rFonts w:ascii="宋体" w:hAnsi="宋体"/>
                <w:szCs w:val="24"/>
              </w:rPr>
            </w:pPr>
            <w:r>
              <w:rPr>
                <w:rFonts w:hint="eastAsia" w:ascii="宋体" w:hAnsi="宋体"/>
                <w:szCs w:val="24"/>
              </w:rPr>
              <w:t>评审项目</w:t>
            </w:r>
          </w:p>
        </w:tc>
        <w:tc>
          <w:tcPr>
            <w:tcW w:w="1517" w:type="dxa"/>
            <w:vAlign w:val="center"/>
          </w:tcPr>
          <w:p w14:paraId="09EFC5AE">
            <w:pPr>
              <w:pStyle w:val="95"/>
              <w:spacing w:before="0" w:after="0" w:line="240" w:lineRule="auto"/>
              <w:ind w:firstLine="0"/>
              <w:jc w:val="center"/>
              <w:rPr>
                <w:rFonts w:ascii="宋体" w:hAnsi="宋体"/>
                <w:szCs w:val="24"/>
              </w:rPr>
            </w:pPr>
            <w:r>
              <w:rPr>
                <w:rFonts w:hint="eastAsia" w:ascii="宋体" w:hAnsi="宋体"/>
                <w:szCs w:val="24"/>
              </w:rPr>
              <w:t>评分标准</w:t>
            </w:r>
          </w:p>
        </w:tc>
        <w:tc>
          <w:tcPr>
            <w:tcW w:w="6410" w:type="dxa"/>
            <w:vAlign w:val="center"/>
          </w:tcPr>
          <w:p w14:paraId="1A7DEB0F">
            <w:pPr>
              <w:pStyle w:val="95"/>
              <w:spacing w:before="0" w:after="0" w:line="240" w:lineRule="auto"/>
              <w:ind w:firstLine="0"/>
              <w:jc w:val="center"/>
              <w:rPr>
                <w:rFonts w:ascii="宋体" w:hAnsi="宋体"/>
                <w:szCs w:val="24"/>
              </w:rPr>
            </w:pPr>
            <w:r>
              <w:rPr>
                <w:rFonts w:hint="eastAsia" w:ascii="宋体" w:hAnsi="宋体"/>
                <w:szCs w:val="24"/>
              </w:rPr>
              <w:t>分值</w:t>
            </w:r>
          </w:p>
        </w:tc>
      </w:tr>
      <w:tr w14:paraId="4558A1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482" w:type="dxa"/>
            <w:tcBorders>
              <w:top w:val="single" w:color="auto" w:sz="4" w:space="0"/>
              <w:bottom w:val="single" w:color="auto" w:sz="4" w:space="0"/>
              <w:right w:val="single" w:color="auto" w:sz="4" w:space="0"/>
            </w:tcBorders>
            <w:vAlign w:val="center"/>
          </w:tcPr>
          <w:p w14:paraId="335064FD">
            <w:pPr>
              <w:jc w:val="center"/>
              <w:rPr>
                <w:sz w:val="24"/>
                <w:szCs w:val="22"/>
              </w:rPr>
            </w:pPr>
            <w:r>
              <w:rPr>
                <w:sz w:val="24"/>
                <w:szCs w:val="22"/>
              </w:rPr>
              <w:t>1</w:t>
            </w:r>
          </w:p>
        </w:tc>
        <w:tc>
          <w:tcPr>
            <w:tcW w:w="1425" w:type="dxa"/>
            <w:tcBorders>
              <w:top w:val="single" w:color="auto" w:sz="4" w:space="0"/>
              <w:left w:val="single" w:color="auto" w:sz="4" w:space="0"/>
              <w:bottom w:val="single" w:color="auto" w:sz="4" w:space="0"/>
              <w:right w:val="single" w:color="auto" w:sz="4" w:space="0"/>
            </w:tcBorders>
            <w:vAlign w:val="center"/>
          </w:tcPr>
          <w:p w14:paraId="584DD853">
            <w:pPr>
              <w:spacing w:line="360" w:lineRule="auto"/>
              <w:jc w:val="center"/>
              <w:rPr>
                <w:sz w:val="24"/>
                <w:szCs w:val="22"/>
              </w:rPr>
            </w:pPr>
            <w:r>
              <w:rPr>
                <w:rFonts w:hint="eastAsia"/>
                <w:sz w:val="24"/>
                <w:szCs w:val="22"/>
              </w:rPr>
              <w:t>投标人报价</w:t>
            </w:r>
          </w:p>
        </w:tc>
        <w:tc>
          <w:tcPr>
            <w:tcW w:w="1517" w:type="dxa"/>
            <w:tcBorders>
              <w:top w:val="single" w:color="auto" w:sz="4" w:space="0"/>
              <w:left w:val="single" w:color="auto" w:sz="4" w:space="0"/>
              <w:bottom w:val="single" w:color="auto" w:sz="4" w:space="0"/>
              <w:right w:val="single" w:color="auto" w:sz="4" w:space="0"/>
            </w:tcBorders>
            <w:vAlign w:val="center"/>
          </w:tcPr>
          <w:p w14:paraId="55805B20">
            <w:pPr>
              <w:spacing w:line="360" w:lineRule="auto"/>
              <w:jc w:val="center"/>
              <w:rPr>
                <w:sz w:val="24"/>
                <w:szCs w:val="22"/>
              </w:rPr>
            </w:pPr>
            <w:r>
              <w:rPr>
                <w:rFonts w:hint="eastAsia"/>
                <w:sz w:val="24"/>
                <w:szCs w:val="22"/>
                <w:lang w:val="en-US" w:eastAsia="zh-CN"/>
              </w:rPr>
              <w:t>3</w:t>
            </w:r>
            <w:r>
              <w:rPr>
                <w:sz w:val="24"/>
                <w:szCs w:val="22"/>
              </w:rPr>
              <w:t>0</w:t>
            </w:r>
            <w:r>
              <w:rPr>
                <w:rFonts w:hint="eastAsia"/>
                <w:sz w:val="24"/>
                <w:szCs w:val="22"/>
              </w:rPr>
              <w:t>分</w:t>
            </w:r>
          </w:p>
        </w:tc>
        <w:tc>
          <w:tcPr>
            <w:tcW w:w="6410" w:type="dxa"/>
            <w:tcBorders>
              <w:top w:val="single" w:color="auto" w:sz="4" w:space="0"/>
              <w:left w:val="single" w:color="auto" w:sz="4" w:space="0"/>
              <w:bottom w:val="single" w:color="auto" w:sz="4" w:space="0"/>
            </w:tcBorders>
            <w:vAlign w:val="center"/>
          </w:tcPr>
          <w:p w14:paraId="0EC50384">
            <w:pPr>
              <w:rPr>
                <w:sz w:val="24"/>
                <w:szCs w:val="22"/>
              </w:rPr>
            </w:pPr>
            <w:r>
              <w:rPr>
                <w:rFonts w:hint="eastAsia"/>
                <w:sz w:val="24"/>
                <w:szCs w:val="22"/>
              </w:rPr>
              <w:t>在满足招标文件要求的前提下，取各投标人有效报价的最低价作为评标基准价，满分为</w:t>
            </w:r>
            <w:r>
              <w:rPr>
                <w:sz w:val="24"/>
                <w:szCs w:val="22"/>
              </w:rPr>
              <w:t>30</w:t>
            </w:r>
            <w:r>
              <w:rPr>
                <w:rFonts w:hint="eastAsia"/>
                <w:sz w:val="24"/>
                <w:szCs w:val="22"/>
              </w:rPr>
              <w:t>分；价格分的计算投标报价得分</w:t>
            </w:r>
            <w:r>
              <w:rPr>
                <w:sz w:val="24"/>
                <w:szCs w:val="22"/>
              </w:rPr>
              <w:t>=(</w:t>
            </w:r>
            <w:r>
              <w:rPr>
                <w:rFonts w:hint="eastAsia"/>
                <w:sz w:val="24"/>
                <w:szCs w:val="22"/>
              </w:rPr>
              <w:t>评标基准价／投标报价</w:t>
            </w:r>
            <w:r>
              <w:rPr>
                <w:sz w:val="24"/>
                <w:szCs w:val="22"/>
              </w:rPr>
              <w:t>)</w:t>
            </w:r>
            <w:r>
              <w:rPr>
                <w:rFonts w:hint="eastAsia"/>
                <w:sz w:val="24"/>
                <w:szCs w:val="22"/>
              </w:rPr>
              <w:t>×</w:t>
            </w:r>
            <w:r>
              <w:rPr>
                <w:sz w:val="24"/>
                <w:szCs w:val="22"/>
              </w:rPr>
              <w:t>0.30</w:t>
            </w:r>
            <w:r>
              <w:rPr>
                <w:rFonts w:hint="eastAsia"/>
                <w:sz w:val="24"/>
                <w:szCs w:val="22"/>
              </w:rPr>
              <w:t>×</w:t>
            </w:r>
            <w:r>
              <w:rPr>
                <w:sz w:val="24"/>
                <w:szCs w:val="22"/>
              </w:rPr>
              <w:t>100</w:t>
            </w:r>
            <w:r>
              <w:rPr>
                <w:rFonts w:hint="eastAsia"/>
                <w:sz w:val="24"/>
                <w:szCs w:val="22"/>
              </w:rPr>
              <w:t>。（计算分值时，百分比按四舍五入原则，保留小数点后二位数）</w:t>
            </w:r>
          </w:p>
        </w:tc>
      </w:tr>
      <w:tr w14:paraId="5D0A28CE">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18B948BC">
            <w:pPr>
              <w:pStyle w:val="83"/>
              <w:jc w:val="center"/>
              <w:rPr>
                <w:sz w:val="24"/>
                <w:szCs w:val="24"/>
              </w:rPr>
            </w:pPr>
            <w:r>
              <w:rPr>
                <w:rFonts w:hint="eastAsia"/>
                <w:sz w:val="24"/>
                <w:szCs w:val="24"/>
              </w:rPr>
              <w:t>2</w:t>
            </w:r>
          </w:p>
        </w:tc>
        <w:tc>
          <w:tcPr>
            <w:tcW w:w="1425" w:type="dxa"/>
            <w:vAlign w:val="center"/>
          </w:tcPr>
          <w:p w14:paraId="2B74C934">
            <w:pPr>
              <w:pStyle w:val="95"/>
              <w:spacing w:before="0" w:after="0" w:line="240" w:lineRule="auto"/>
              <w:ind w:firstLine="0"/>
              <w:rPr>
                <w:rFonts w:ascii="宋体" w:hAnsi="宋体"/>
                <w:szCs w:val="24"/>
              </w:rPr>
            </w:pPr>
            <w:r>
              <w:rPr>
                <w:rFonts w:hint="eastAsia" w:ascii="宋体" w:hAnsi="宋体"/>
                <w:szCs w:val="24"/>
              </w:rPr>
              <w:t>配套产品配置及性能指标</w:t>
            </w:r>
          </w:p>
        </w:tc>
        <w:tc>
          <w:tcPr>
            <w:tcW w:w="1517" w:type="dxa"/>
            <w:vAlign w:val="center"/>
          </w:tcPr>
          <w:p w14:paraId="2D7016C1">
            <w:pPr>
              <w:pStyle w:val="95"/>
              <w:spacing w:before="0" w:after="0" w:line="240" w:lineRule="auto"/>
              <w:ind w:firstLine="0"/>
              <w:rPr>
                <w:rFonts w:ascii="宋体" w:hAnsi="宋体"/>
                <w:szCs w:val="24"/>
              </w:rPr>
            </w:pPr>
            <w:r>
              <w:rPr>
                <w:rFonts w:hint="eastAsia" w:ascii="宋体" w:hAnsi="宋体"/>
                <w:szCs w:val="24"/>
              </w:rPr>
              <w:t>配置及性能指标</w:t>
            </w:r>
            <w:r>
              <w:rPr>
                <w:rFonts w:hint="eastAsia" w:ascii="宋体" w:hAnsi="宋体"/>
                <w:szCs w:val="24"/>
                <w:lang w:val="en-US" w:eastAsia="zh-CN"/>
              </w:rPr>
              <w:t>45</w:t>
            </w:r>
            <w:r>
              <w:rPr>
                <w:rFonts w:hint="eastAsia" w:ascii="宋体" w:hAnsi="宋体"/>
                <w:szCs w:val="24"/>
              </w:rPr>
              <w:t>分</w:t>
            </w:r>
          </w:p>
        </w:tc>
        <w:tc>
          <w:tcPr>
            <w:tcW w:w="6410" w:type="dxa"/>
            <w:vAlign w:val="center"/>
          </w:tcPr>
          <w:p w14:paraId="624AC384">
            <w:pPr>
              <w:pStyle w:val="95"/>
              <w:spacing w:before="0" w:after="0" w:line="240" w:lineRule="auto"/>
              <w:ind w:firstLine="0"/>
              <w:rPr>
                <w:rFonts w:ascii="宋体" w:hAnsi="宋体"/>
                <w:szCs w:val="24"/>
              </w:rPr>
            </w:pPr>
            <w:bookmarkStart w:id="24" w:name="OLE_LINK8"/>
            <w:r>
              <w:rPr>
                <w:rFonts w:hint="eastAsia" w:ascii="宋体" w:hAnsi="宋体"/>
                <w:szCs w:val="24"/>
              </w:rPr>
              <w:t>根据投标文件对采购文件产品详细技术参数和性能指标的响应程度：优于或完全符合采购文件要求的得</w:t>
            </w:r>
            <w:r>
              <w:rPr>
                <w:rFonts w:ascii="宋体" w:hAnsi="宋体"/>
                <w:szCs w:val="24"/>
              </w:rPr>
              <w:t>45</w:t>
            </w:r>
            <w:r>
              <w:rPr>
                <w:rFonts w:hint="eastAsia" w:ascii="宋体" w:hAnsi="宋体"/>
                <w:szCs w:val="24"/>
              </w:rPr>
              <w:t>分。标记▲为重要参数，每负偏离1项扣</w:t>
            </w:r>
            <w:r>
              <w:rPr>
                <w:rFonts w:hint="eastAsia" w:ascii="宋体" w:hAnsi="宋体"/>
                <w:szCs w:val="24"/>
                <w:lang w:val="en-US" w:eastAsia="zh-CN"/>
              </w:rPr>
              <w:t>3</w:t>
            </w:r>
            <w:r>
              <w:rPr>
                <w:rFonts w:hint="eastAsia" w:ascii="宋体" w:hAnsi="宋体"/>
                <w:szCs w:val="24"/>
              </w:rPr>
              <w:t>分；不带▲号标识项为一般参数，每负偏1项，扣</w:t>
            </w:r>
            <w:r>
              <w:rPr>
                <w:rFonts w:hint="eastAsia" w:ascii="宋体" w:hAnsi="宋体"/>
                <w:szCs w:val="24"/>
                <w:lang w:val="en-US" w:eastAsia="zh-CN"/>
              </w:rPr>
              <w:t>1</w:t>
            </w:r>
            <w:r>
              <w:rPr>
                <w:rFonts w:hint="eastAsia" w:ascii="宋体" w:hAnsi="宋体"/>
                <w:szCs w:val="24"/>
              </w:rPr>
              <w:t>.5分。扣完为止。</w:t>
            </w:r>
          </w:p>
          <w:p w14:paraId="6DBC7CEC">
            <w:pPr>
              <w:pStyle w:val="95"/>
              <w:spacing w:before="0" w:after="0" w:line="240" w:lineRule="auto"/>
              <w:ind w:firstLine="0"/>
              <w:rPr>
                <w:rFonts w:ascii="宋体" w:hAnsi="宋体"/>
                <w:szCs w:val="24"/>
              </w:rPr>
            </w:pPr>
            <w:r>
              <w:rPr>
                <w:rFonts w:hint="eastAsia" w:ascii="宋体" w:hAnsi="宋体"/>
                <w:szCs w:val="24"/>
              </w:rPr>
              <w:t>注：</w:t>
            </w:r>
          </w:p>
          <w:p w14:paraId="0EB5AEAC">
            <w:pPr>
              <w:pStyle w:val="95"/>
              <w:spacing w:before="0" w:after="0" w:line="240" w:lineRule="auto"/>
              <w:ind w:firstLine="0"/>
              <w:rPr>
                <w:rFonts w:ascii="宋体" w:hAnsi="宋体"/>
                <w:szCs w:val="24"/>
              </w:rPr>
            </w:pPr>
            <w:r>
              <w:rPr>
                <w:rFonts w:hint="eastAsia" w:ascii="宋体" w:hAnsi="宋体"/>
                <w:szCs w:val="24"/>
              </w:rPr>
              <w:t>1.投标人须对本采购文件技术要求在技术偏离表中进行点对点应答，必须根据本采购文件的要求,结合所投产品的实际参数值，进行逐条逐项答复、说明和解释。</w:t>
            </w:r>
          </w:p>
          <w:p w14:paraId="3377EAD8">
            <w:pPr>
              <w:pStyle w:val="95"/>
              <w:spacing w:before="0" w:after="0" w:line="240" w:lineRule="auto"/>
              <w:ind w:firstLine="0"/>
              <w:rPr>
                <w:rFonts w:ascii="宋体" w:hAnsi="宋体"/>
                <w:szCs w:val="24"/>
              </w:rPr>
            </w:pPr>
            <w:r>
              <w:rPr>
                <w:rFonts w:hint="eastAsia" w:ascii="宋体" w:hAnsi="宋体"/>
                <w:szCs w:val="24"/>
              </w:rPr>
              <w:t>2．所投产品的实际参数值不符合或不满足招标参数要求的，视为负偏离。</w:t>
            </w:r>
          </w:p>
          <w:p w14:paraId="54F4191C">
            <w:pPr>
              <w:pStyle w:val="95"/>
              <w:spacing w:before="0" w:after="0" w:line="240" w:lineRule="auto"/>
              <w:ind w:firstLine="0"/>
              <w:rPr>
                <w:rFonts w:hint="eastAsia" w:ascii="宋体" w:hAnsi="宋体"/>
                <w:szCs w:val="24"/>
              </w:rPr>
            </w:pPr>
            <w:r>
              <w:rPr>
                <w:rFonts w:hint="eastAsia" w:ascii="宋体" w:hAnsi="宋体"/>
                <w:szCs w:val="24"/>
              </w:rPr>
              <w:t>3</w:t>
            </w:r>
            <w:r>
              <w:rPr>
                <w:rFonts w:ascii="宋体" w:hAnsi="宋体"/>
                <w:szCs w:val="24"/>
              </w:rPr>
              <w:t>.</w:t>
            </w:r>
            <w:r>
              <w:rPr>
                <w:rFonts w:hint="eastAsia" w:ascii="宋体" w:hAnsi="宋体"/>
                <w:szCs w:val="24"/>
              </w:rPr>
              <w:t>技术参数中要求提供相关证明材料，未提供或证明材料不符合要求的，视为负偏离。</w:t>
            </w:r>
            <w:bookmarkEnd w:id="24"/>
          </w:p>
        </w:tc>
      </w:tr>
      <w:tr w14:paraId="31678C75">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0AC6D53D">
            <w:pPr>
              <w:pStyle w:val="83"/>
              <w:jc w:val="center"/>
              <w:rPr>
                <w:rFonts w:hint="eastAsia" w:eastAsia="宋体"/>
                <w:sz w:val="24"/>
                <w:szCs w:val="24"/>
                <w:lang w:val="en-US" w:eastAsia="zh-CN"/>
              </w:rPr>
            </w:pPr>
            <w:r>
              <w:rPr>
                <w:rFonts w:hint="eastAsia"/>
                <w:sz w:val="24"/>
                <w:szCs w:val="24"/>
                <w:lang w:val="en-US" w:eastAsia="zh-CN"/>
              </w:rPr>
              <w:t>3</w:t>
            </w:r>
          </w:p>
        </w:tc>
        <w:tc>
          <w:tcPr>
            <w:tcW w:w="1425" w:type="dxa"/>
            <w:vAlign w:val="center"/>
          </w:tcPr>
          <w:p w14:paraId="38C491FA">
            <w:pPr>
              <w:pStyle w:val="95"/>
              <w:spacing w:before="0" w:after="0" w:line="240" w:lineRule="auto"/>
              <w:ind w:firstLine="0"/>
              <w:rPr>
                <w:rFonts w:hint="eastAsia" w:ascii="宋体" w:hAnsi="宋体"/>
                <w:szCs w:val="24"/>
              </w:rPr>
            </w:pPr>
            <w:r>
              <w:rPr>
                <w:rFonts w:hint="eastAsia" w:ascii="宋体" w:hAnsi="宋体"/>
                <w:szCs w:val="24"/>
                <w:lang w:val="en-US" w:eastAsia="zh-CN"/>
              </w:rPr>
              <w:t>企业实力</w:t>
            </w:r>
          </w:p>
        </w:tc>
        <w:tc>
          <w:tcPr>
            <w:tcW w:w="1517" w:type="dxa"/>
            <w:vAlign w:val="center"/>
          </w:tcPr>
          <w:p w14:paraId="07CA3A46">
            <w:pPr>
              <w:pStyle w:val="95"/>
              <w:spacing w:before="0" w:after="0" w:line="240" w:lineRule="auto"/>
              <w:ind w:firstLine="0"/>
              <w:rPr>
                <w:rFonts w:hint="default" w:ascii="宋体" w:hAnsi="宋体" w:eastAsia="宋体"/>
                <w:szCs w:val="24"/>
                <w:lang w:val="en-US" w:eastAsia="zh-CN"/>
              </w:rPr>
            </w:pPr>
            <w:r>
              <w:rPr>
                <w:rFonts w:hint="eastAsia" w:ascii="宋体" w:hAnsi="宋体"/>
                <w:szCs w:val="24"/>
                <w:lang w:val="en-US" w:eastAsia="zh-CN"/>
              </w:rPr>
              <w:t>企业实力2分</w:t>
            </w:r>
          </w:p>
        </w:tc>
        <w:tc>
          <w:tcPr>
            <w:tcW w:w="6410" w:type="dxa"/>
            <w:vAlign w:val="center"/>
          </w:tcPr>
          <w:p w14:paraId="0C1705E7">
            <w:pPr>
              <w:pStyle w:val="95"/>
              <w:spacing w:before="0" w:after="0" w:line="240" w:lineRule="auto"/>
              <w:ind w:firstLine="0"/>
              <w:rPr>
                <w:rFonts w:hint="eastAsia" w:ascii="宋体" w:hAnsi="宋体"/>
                <w:szCs w:val="24"/>
              </w:rPr>
            </w:pPr>
            <w:r>
              <w:rPr>
                <w:rFonts w:hint="eastAsia" w:ascii="宋体" w:hAnsi="宋体"/>
                <w:szCs w:val="24"/>
              </w:rPr>
              <w:t>投标人须具备信息技术服务标准（ITSS）证书或安防工程企业资质证书，提供有效期内证书扫描件作为评审依据：提供其中任一有效证书的，得 2 分；未提供任一上述有效证书的，得 0 分。</w:t>
            </w:r>
          </w:p>
        </w:tc>
      </w:tr>
      <w:tr w14:paraId="68F1D3B0">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58" w:hRule="atLeast"/>
          <w:jc w:val="center"/>
        </w:trPr>
        <w:tc>
          <w:tcPr>
            <w:tcW w:w="482" w:type="dxa"/>
            <w:vMerge w:val="restart"/>
            <w:vAlign w:val="center"/>
          </w:tcPr>
          <w:p w14:paraId="1D543ADD">
            <w:pPr>
              <w:pStyle w:val="95"/>
              <w:spacing w:line="240" w:lineRule="auto"/>
              <w:ind w:firstLine="0"/>
              <w:jc w:val="center"/>
              <w:rPr>
                <w:rFonts w:hint="eastAsia" w:ascii="宋体" w:hAnsi="宋体" w:eastAsia="宋体"/>
                <w:szCs w:val="24"/>
                <w:lang w:eastAsia="zh-CN"/>
              </w:rPr>
            </w:pPr>
            <w:r>
              <w:rPr>
                <w:rFonts w:hint="eastAsia" w:ascii="宋体" w:hAnsi="宋体"/>
                <w:szCs w:val="24"/>
                <w:lang w:val="en-US" w:eastAsia="zh-CN"/>
              </w:rPr>
              <w:t>4</w:t>
            </w:r>
          </w:p>
        </w:tc>
        <w:tc>
          <w:tcPr>
            <w:tcW w:w="1425" w:type="dxa"/>
            <w:vMerge w:val="restart"/>
            <w:vAlign w:val="center"/>
          </w:tcPr>
          <w:p w14:paraId="68662459">
            <w:pPr>
              <w:rPr>
                <w:rFonts w:ascii="宋体" w:hAnsi="宋体"/>
                <w:sz w:val="24"/>
                <w:szCs w:val="24"/>
                <w:highlight w:val="none"/>
              </w:rPr>
            </w:pPr>
            <w:r>
              <w:rPr>
                <w:rFonts w:hint="eastAsia" w:ascii="宋体" w:hAnsi="宋体"/>
                <w:sz w:val="24"/>
                <w:szCs w:val="24"/>
                <w:highlight w:val="none"/>
              </w:rPr>
              <w:t>质保承诺、售后服务体系及服务情况</w:t>
            </w:r>
          </w:p>
        </w:tc>
        <w:tc>
          <w:tcPr>
            <w:tcW w:w="1517" w:type="dxa"/>
            <w:tcBorders>
              <w:top w:val="single" w:color="auto" w:sz="4" w:space="0"/>
            </w:tcBorders>
            <w:vAlign w:val="center"/>
          </w:tcPr>
          <w:p w14:paraId="4F33A190">
            <w:pPr>
              <w:rPr>
                <w:rFonts w:ascii="宋体" w:hAnsi="宋体"/>
                <w:sz w:val="24"/>
                <w:szCs w:val="24"/>
              </w:rPr>
            </w:pPr>
            <w:r>
              <w:rPr>
                <w:rFonts w:ascii="宋体" w:hAnsi="宋体" w:cs="宋体"/>
                <w:sz w:val="24"/>
                <w:szCs w:val="24"/>
              </w:rPr>
              <w:t>售后服务响应时效</w:t>
            </w:r>
            <w:r>
              <w:rPr>
                <w:rFonts w:hint="eastAsia" w:ascii="宋体" w:hAnsi="宋体"/>
                <w:sz w:val="24"/>
                <w:szCs w:val="24"/>
              </w:rPr>
              <w:t>（</w:t>
            </w:r>
            <w:r>
              <w:rPr>
                <w:rFonts w:ascii="宋体" w:hAnsi="宋体"/>
                <w:sz w:val="24"/>
                <w:szCs w:val="24"/>
              </w:rPr>
              <w:t>4</w:t>
            </w:r>
            <w:r>
              <w:rPr>
                <w:rFonts w:hint="eastAsia" w:ascii="宋体" w:hAnsi="宋体"/>
                <w:sz w:val="24"/>
                <w:szCs w:val="24"/>
              </w:rPr>
              <w:t>分）</w:t>
            </w:r>
          </w:p>
        </w:tc>
        <w:tc>
          <w:tcPr>
            <w:tcW w:w="6410" w:type="dxa"/>
            <w:tcBorders>
              <w:top w:val="single" w:color="auto" w:sz="4" w:space="0"/>
              <w:bottom w:val="single" w:color="auto" w:sz="4" w:space="0"/>
            </w:tcBorders>
            <w:vAlign w:val="center"/>
          </w:tcPr>
          <w:p w14:paraId="5CBF8CCF">
            <w:pPr>
              <w:rPr>
                <w:rFonts w:ascii="宋体" w:hAnsi="宋体"/>
                <w:sz w:val="24"/>
                <w:szCs w:val="24"/>
              </w:rPr>
            </w:pPr>
            <w:r>
              <w:rPr>
                <w:rFonts w:hint="eastAsia" w:ascii="宋体" w:hAnsi="宋体"/>
                <w:sz w:val="24"/>
                <w:szCs w:val="24"/>
              </w:rPr>
              <w:t>投标人承诺售后服务故障响应时间：</w:t>
            </w:r>
          </w:p>
          <w:p w14:paraId="6AD4D5D7">
            <w:pPr>
              <w:rPr>
                <w:rFonts w:ascii="宋体" w:hAnsi="宋体"/>
                <w:sz w:val="24"/>
                <w:szCs w:val="24"/>
              </w:rPr>
            </w:pPr>
            <w:r>
              <w:rPr>
                <w:rFonts w:hint="eastAsia" w:ascii="宋体" w:hAnsi="宋体"/>
                <w:sz w:val="24"/>
                <w:szCs w:val="24"/>
              </w:rPr>
              <w:t xml:space="preserve">承诺接到报修后24 小时内响应并到场处置，得 </w:t>
            </w:r>
            <w:r>
              <w:rPr>
                <w:rFonts w:ascii="宋体" w:hAnsi="宋体"/>
                <w:sz w:val="24"/>
                <w:szCs w:val="24"/>
              </w:rPr>
              <w:t>4</w:t>
            </w:r>
            <w:r>
              <w:rPr>
                <w:rFonts w:hint="eastAsia" w:ascii="宋体" w:hAnsi="宋体"/>
                <w:sz w:val="24"/>
                <w:szCs w:val="24"/>
              </w:rPr>
              <w:t xml:space="preserve"> 分；</w:t>
            </w:r>
          </w:p>
          <w:p w14:paraId="7C6E3A8A">
            <w:pPr>
              <w:rPr>
                <w:rFonts w:ascii="宋体" w:hAnsi="宋体"/>
                <w:sz w:val="24"/>
                <w:szCs w:val="24"/>
              </w:rPr>
            </w:pPr>
            <w:r>
              <w:rPr>
                <w:rFonts w:hint="eastAsia" w:ascii="宋体" w:hAnsi="宋体"/>
                <w:sz w:val="24"/>
                <w:szCs w:val="24"/>
              </w:rPr>
              <w:t xml:space="preserve">承诺接到报修后36 小时内响应并到场处置，得 </w:t>
            </w:r>
            <w:r>
              <w:rPr>
                <w:rFonts w:ascii="宋体" w:hAnsi="宋体"/>
                <w:sz w:val="24"/>
                <w:szCs w:val="24"/>
              </w:rPr>
              <w:t>2</w:t>
            </w:r>
            <w:r>
              <w:rPr>
                <w:rFonts w:hint="eastAsia" w:ascii="宋体" w:hAnsi="宋体"/>
                <w:sz w:val="24"/>
                <w:szCs w:val="24"/>
              </w:rPr>
              <w:t xml:space="preserve"> 分；</w:t>
            </w:r>
          </w:p>
          <w:p w14:paraId="012B01DC">
            <w:pPr>
              <w:rPr>
                <w:rFonts w:ascii="宋体" w:hAnsi="宋体"/>
                <w:sz w:val="24"/>
                <w:szCs w:val="24"/>
              </w:rPr>
            </w:pPr>
            <w:r>
              <w:rPr>
                <w:rFonts w:hint="eastAsia" w:ascii="宋体" w:hAnsi="宋体"/>
                <w:sz w:val="24"/>
                <w:szCs w:val="24"/>
              </w:rPr>
              <w:t>响应时间超过 36 小时，不得分。</w:t>
            </w:r>
          </w:p>
        </w:tc>
      </w:tr>
      <w:tr w14:paraId="5FC3D66C">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7F0D6D87">
            <w:pPr>
              <w:pStyle w:val="79"/>
              <w:ind w:firstLine="72"/>
              <w:rPr>
                <w:rFonts w:ascii="宋体" w:hAnsi="宋体"/>
                <w:szCs w:val="24"/>
              </w:rPr>
            </w:pPr>
          </w:p>
        </w:tc>
        <w:tc>
          <w:tcPr>
            <w:tcW w:w="1425" w:type="dxa"/>
            <w:vMerge w:val="continue"/>
            <w:vAlign w:val="center"/>
          </w:tcPr>
          <w:p w14:paraId="104E12F7">
            <w:pPr>
              <w:rPr>
                <w:rFonts w:ascii="宋体" w:hAnsi="宋体"/>
                <w:sz w:val="24"/>
                <w:szCs w:val="24"/>
                <w:highlight w:val="none"/>
              </w:rPr>
            </w:pPr>
          </w:p>
        </w:tc>
        <w:tc>
          <w:tcPr>
            <w:tcW w:w="1517" w:type="dxa"/>
            <w:tcBorders>
              <w:top w:val="single" w:color="auto" w:sz="4" w:space="0"/>
              <w:bottom w:val="single" w:color="auto" w:sz="4" w:space="0"/>
            </w:tcBorders>
            <w:vAlign w:val="center"/>
          </w:tcPr>
          <w:p w14:paraId="4491963D">
            <w:pPr>
              <w:rPr>
                <w:rFonts w:ascii="宋体" w:hAnsi="宋体"/>
                <w:sz w:val="24"/>
                <w:szCs w:val="24"/>
                <w:highlight w:val="none"/>
              </w:rPr>
            </w:pPr>
            <w:r>
              <w:rPr>
                <w:rFonts w:ascii="宋体" w:hAnsi="宋体" w:cs="宋体"/>
                <w:sz w:val="24"/>
                <w:szCs w:val="24"/>
                <w:highlight w:val="none"/>
              </w:rPr>
              <w:t>售后服务保障体系</w:t>
            </w: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分）</w:t>
            </w:r>
          </w:p>
        </w:tc>
        <w:tc>
          <w:tcPr>
            <w:tcW w:w="6410" w:type="dxa"/>
            <w:tcBorders>
              <w:top w:val="single" w:color="auto" w:sz="4" w:space="0"/>
              <w:bottom w:val="single" w:color="auto" w:sz="4" w:space="0"/>
            </w:tcBorders>
            <w:vAlign w:val="center"/>
          </w:tcPr>
          <w:p w14:paraId="53274D8E">
            <w:pPr>
              <w:rPr>
                <w:rFonts w:ascii="宋体" w:hAnsi="宋体"/>
                <w:sz w:val="24"/>
                <w:szCs w:val="24"/>
                <w:highlight w:val="none"/>
              </w:rPr>
            </w:pPr>
            <w:r>
              <w:rPr>
                <w:rFonts w:hint="eastAsia" w:ascii="宋体" w:hAnsi="宋体"/>
                <w:sz w:val="24"/>
                <w:szCs w:val="24"/>
                <w:highlight w:val="none"/>
              </w:rPr>
              <w:t xml:space="preserve">1、投标人具备健全、完善的售后服务网络体系、充足的备品备件库存保障能力、成熟的服务团队，可为本项目提供长期稳定维修、备件更换、技术保障服务，提供完整售后服务方案、备件保障方案，得 </w:t>
            </w:r>
            <w:r>
              <w:rPr>
                <w:rFonts w:ascii="宋体" w:hAnsi="宋体"/>
                <w:sz w:val="24"/>
                <w:szCs w:val="24"/>
                <w:highlight w:val="none"/>
              </w:rPr>
              <w:t>4</w:t>
            </w:r>
            <w:r>
              <w:rPr>
                <w:rFonts w:hint="eastAsia" w:ascii="宋体" w:hAnsi="宋体"/>
                <w:sz w:val="24"/>
                <w:szCs w:val="24"/>
                <w:highlight w:val="none"/>
              </w:rPr>
              <w:t>分；</w:t>
            </w:r>
          </w:p>
          <w:p w14:paraId="30AEF633">
            <w:pPr>
              <w:rPr>
                <w:rFonts w:ascii="宋体" w:hAnsi="宋体"/>
                <w:sz w:val="24"/>
                <w:szCs w:val="24"/>
                <w:highlight w:val="none"/>
              </w:rPr>
            </w:pPr>
            <w:r>
              <w:rPr>
                <w:rFonts w:hint="eastAsia" w:ascii="宋体" w:hAnsi="宋体"/>
                <w:sz w:val="24"/>
                <w:szCs w:val="24"/>
                <w:highlight w:val="none"/>
              </w:rPr>
              <w:t xml:space="preserve">2、具备基本售后服务体系，可满足项目基础售后保障需求，得 </w:t>
            </w:r>
            <w:r>
              <w:rPr>
                <w:rFonts w:ascii="宋体" w:hAnsi="宋体"/>
                <w:sz w:val="24"/>
                <w:szCs w:val="24"/>
                <w:highlight w:val="none"/>
              </w:rPr>
              <w:t>2</w:t>
            </w:r>
            <w:r>
              <w:rPr>
                <w:rFonts w:hint="eastAsia" w:ascii="宋体" w:hAnsi="宋体"/>
                <w:sz w:val="24"/>
                <w:szCs w:val="24"/>
                <w:highlight w:val="none"/>
              </w:rPr>
              <w:t xml:space="preserve"> 分；</w:t>
            </w:r>
          </w:p>
          <w:p w14:paraId="255534D0">
            <w:pPr>
              <w:rPr>
                <w:rFonts w:ascii="宋体" w:hAnsi="宋体"/>
                <w:sz w:val="24"/>
                <w:szCs w:val="24"/>
                <w:highlight w:val="none"/>
              </w:rPr>
            </w:pPr>
            <w:r>
              <w:rPr>
                <w:rFonts w:hint="eastAsia" w:ascii="宋体" w:hAnsi="宋体"/>
                <w:sz w:val="24"/>
                <w:szCs w:val="24"/>
                <w:highlight w:val="none"/>
              </w:rPr>
              <w:t>3、未提供售后服务相关体系方案，得 0 分。</w:t>
            </w:r>
          </w:p>
        </w:tc>
      </w:tr>
      <w:tr w14:paraId="7CC8535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5A684387">
            <w:pPr>
              <w:pStyle w:val="79"/>
              <w:ind w:firstLine="72"/>
              <w:rPr>
                <w:rFonts w:ascii="宋体" w:hAnsi="宋体"/>
                <w:szCs w:val="24"/>
              </w:rPr>
            </w:pPr>
          </w:p>
        </w:tc>
        <w:tc>
          <w:tcPr>
            <w:tcW w:w="1425" w:type="dxa"/>
            <w:vMerge w:val="continue"/>
            <w:vAlign w:val="center"/>
          </w:tcPr>
          <w:p w14:paraId="7BE4FCE0">
            <w:pPr>
              <w:rPr>
                <w:rFonts w:ascii="宋体" w:hAnsi="宋体"/>
                <w:sz w:val="24"/>
                <w:szCs w:val="24"/>
                <w:highlight w:val="none"/>
              </w:rPr>
            </w:pPr>
          </w:p>
        </w:tc>
        <w:tc>
          <w:tcPr>
            <w:tcW w:w="1517" w:type="dxa"/>
            <w:tcBorders>
              <w:top w:val="single" w:color="auto" w:sz="4" w:space="0"/>
              <w:bottom w:val="single" w:color="auto" w:sz="4" w:space="0"/>
            </w:tcBorders>
            <w:vAlign w:val="center"/>
          </w:tcPr>
          <w:p w14:paraId="3372A1E9">
            <w:pPr>
              <w:rPr>
                <w:rFonts w:ascii="宋体" w:hAnsi="宋体"/>
                <w:sz w:val="24"/>
                <w:szCs w:val="24"/>
                <w:highlight w:val="none"/>
              </w:rPr>
            </w:pPr>
            <w:r>
              <w:rPr>
                <w:rFonts w:ascii="宋体" w:hAnsi="宋体" w:cs="宋体"/>
                <w:sz w:val="24"/>
                <w:szCs w:val="24"/>
                <w:highlight w:val="none"/>
              </w:rPr>
              <w:t>配送及安装实施方案</w:t>
            </w:r>
            <w:r>
              <w:rPr>
                <w:rFonts w:hint="eastAsia" w:ascii="宋体" w:hAnsi="宋体"/>
                <w:sz w:val="24"/>
                <w:szCs w:val="24"/>
                <w:highlight w:val="none"/>
              </w:rPr>
              <w:t>（5分）</w:t>
            </w:r>
          </w:p>
        </w:tc>
        <w:tc>
          <w:tcPr>
            <w:tcW w:w="6410" w:type="dxa"/>
            <w:tcBorders>
              <w:top w:val="single" w:color="auto" w:sz="4" w:space="0"/>
              <w:bottom w:val="single" w:color="auto" w:sz="4" w:space="0"/>
            </w:tcBorders>
            <w:vAlign w:val="center"/>
          </w:tcPr>
          <w:p w14:paraId="26A92071">
            <w:pPr>
              <w:rPr>
                <w:rFonts w:ascii="宋体" w:hAnsi="宋体"/>
                <w:sz w:val="24"/>
                <w:szCs w:val="24"/>
                <w:highlight w:val="none"/>
              </w:rPr>
            </w:pPr>
            <w:r>
              <w:rPr>
                <w:rFonts w:hint="eastAsia" w:ascii="宋体" w:hAnsi="宋体"/>
                <w:sz w:val="24"/>
                <w:szCs w:val="24"/>
                <w:highlight w:val="none"/>
              </w:rPr>
              <w:t>从配送组织计划、安装调试专项方案、测试与试运行保障、工期保障、质量保障、安全保障等维度综合评价：</w:t>
            </w:r>
          </w:p>
          <w:p w14:paraId="494825B0">
            <w:pPr>
              <w:rPr>
                <w:rFonts w:ascii="宋体" w:hAnsi="宋体"/>
                <w:sz w:val="24"/>
                <w:szCs w:val="24"/>
                <w:highlight w:val="none"/>
              </w:rPr>
            </w:pPr>
            <w:r>
              <w:rPr>
                <w:rFonts w:hint="eastAsia" w:ascii="宋体" w:hAnsi="宋体"/>
                <w:sz w:val="24"/>
                <w:szCs w:val="24"/>
                <w:highlight w:val="none"/>
              </w:rPr>
              <w:t>1、方案内容完整全面、贴合本项目实际需求、科学合理、针对性强、保障措施完善，得 5 分；</w:t>
            </w:r>
          </w:p>
          <w:p w14:paraId="02DD753C">
            <w:pPr>
              <w:rPr>
                <w:rFonts w:ascii="宋体" w:hAnsi="宋体"/>
                <w:sz w:val="24"/>
                <w:szCs w:val="24"/>
                <w:highlight w:val="none"/>
              </w:rPr>
            </w:pPr>
            <w:r>
              <w:rPr>
                <w:rFonts w:hint="eastAsia" w:ascii="宋体" w:hAnsi="宋体"/>
                <w:sz w:val="24"/>
                <w:szCs w:val="24"/>
                <w:highlight w:val="none"/>
              </w:rPr>
              <w:t>2、方案整体可行、基本满足项目需求、内容较为完善，得 3 分；</w:t>
            </w:r>
          </w:p>
          <w:p w14:paraId="4093FDA6">
            <w:pPr>
              <w:rPr>
                <w:rFonts w:ascii="宋体" w:hAnsi="宋体"/>
                <w:sz w:val="24"/>
                <w:szCs w:val="24"/>
                <w:highlight w:val="none"/>
              </w:rPr>
            </w:pPr>
            <w:r>
              <w:rPr>
                <w:rFonts w:hint="eastAsia" w:ascii="宋体" w:hAnsi="宋体"/>
                <w:sz w:val="24"/>
                <w:szCs w:val="24"/>
                <w:highlight w:val="none"/>
              </w:rPr>
              <w:t>3、方案内容单薄、针对性不足、存在较多缺项，得 1 分；4、未提供本项方案，本项不得分。</w:t>
            </w:r>
          </w:p>
        </w:tc>
      </w:tr>
      <w:tr w14:paraId="72A2842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26BFB585">
            <w:pPr>
              <w:pStyle w:val="79"/>
              <w:ind w:firstLine="72"/>
              <w:rPr>
                <w:rFonts w:ascii="宋体" w:hAnsi="宋体"/>
                <w:szCs w:val="24"/>
              </w:rPr>
            </w:pPr>
          </w:p>
        </w:tc>
        <w:tc>
          <w:tcPr>
            <w:tcW w:w="1425" w:type="dxa"/>
            <w:vMerge w:val="continue"/>
            <w:vAlign w:val="center"/>
          </w:tcPr>
          <w:p w14:paraId="5303FFE4">
            <w:pPr>
              <w:rPr>
                <w:rFonts w:ascii="宋体" w:hAnsi="宋体"/>
                <w:sz w:val="24"/>
                <w:szCs w:val="24"/>
                <w:highlight w:val="none"/>
              </w:rPr>
            </w:pPr>
          </w:p>
        </w:tc>
        <w:tc>
          <w:tcPr>
            <w:tcW w:w="1517" w:type="dxa"/>
            <w:tcBorders>
              <w:top w:val="single" w:color="auto" w:sz="4" w:space="0"/>
              <w:bottom w:val="single" w:color="auto" w:sz="4" w:space="0"/>
            </w:tcBorders>
            <w:vAlign w:val="center"/>
          </w:tcPr>
          <w:p w14:paraId="5E8D471D">
            <w:pPr>
              <w:rPr>
                <w:rFonts w:ascii="宋体" w:hAnsi="宋体"/>
                <w:sz w:val="24"/>
                <w:szCs w:val="24"/>
                <w:highlight w:val="none"/>
              </w:rPr>
            </w:pPr>
            <w:r>
              <w:rPr>
                <w:rFonts w:hint="eastAsia" w:ascii="宋体" w:hAnsi="宋体"/>
                <w:sz w:val="24"/>
                <w:szCs w:val="24"/>
                <w:highlight w:val="none"/>
              </w:rPr>
              <w:t>培训方案</w:t>
            </w:r>
          </w:p>
          <w:p w14:paraId="474CE7E2">
            <w:pPr>
              <w:rPr>
                <w:rFonts w:ascii="宋体" w:hAnsi="宋体"/>
                <w:sz w:val="24"/>
                <w:szCs w:val="24"/>
                <w:highlight w:val="none"/>
              </w:rPr>
            </w:pPr>
            <w:r>
              <w:rPr>
                <w:rFonts w:hint="eastAsia" w:ascii="宋体" w:hAnsi="宋体"/>
                <w:sz w:val="24"/>
                <w:szCs w:val="24"/>
                <w:highlight w:val="none"/>
              </w:rPr>
              <w:t>（5分）</w:t>
            </w:r>
          </w:p>
        </w:tc>
        <w:tc>
          <w:tcPr>
            <w:tcW w:w="6410" w:type="dxa"/>
            <w:tcBorders>
              <w:top w:val="single" w:color="auto" w:sz="4" w:space="0"/>
              <w:bottom w:val="single" w:color="auto" w:sz="4" w:space="0"/>
            </w:tcBorders>
            <w:vAlign w:val="center"/>
          </w:tcPr>
          <w:p w14:paraId="1A8DC042">
            <w:pPr>
              <w:rPr>
                <w:rFonts w:ascii="宋体" w:hAnsi="宋体"/>
                <w:sz w:val="24"/>
                <w:szCs w:val="24"/>
                <w:highlight w:val="none"/>
              </w:rPr>
            </w:pPr>
            <w:r>
              <w:rPr>
                <w:rFonts w:hint="eastAsia" w:ascii="宋体" w:hAnsi="宋体"/>
                <w:sz w:val="24"/>
                <w:szCs w:val="24"/>
                <w:highlight w:val="none"/>
              </w:rPr>
              <w:t>结合①培训内容设置、②培训组织与实施方式、③参训人员覆盖面、④培训考核与预期效果保障四大模块，对投标人培训方案综合评价：</w:t>
            </w:r>
          </w:p>
          <w:p w14:paraId="1A1382A6">
            <w:pPr>
              <w:rPr>
                <w:rFonts w:hint="eastAsia" w:ascii="宋体" w:hAnsi="宋体" w:eastAsia="宋体" w:cs="宋体"/>
                <w:sz w:val="24"/>
                <w:szCs w:val="24"/>
                <w:lang w:eastAsia="zh-CN"/>
              </w:rPr>
            </w:pPr>
            <w:r>
              <w:rPr>
                <w:rFonts w:hint="eastAsia" w:ascii="宋体" w:hAnsi="宋体"/>
                <w:sz w:val="24"/>
                <w:szCs w:val="24"/>
                <w:highlight w:val="none"/>
              </w:rPr>
              <w:t>1、培训方案架构完整系统，培训内容贴合本项目实际业务场景与岗位需求；</w:t>
            </w:r>
            <w:r>
              <w:rPr>
                <w:rFonts w:ascii="宋体" w:hAnsi="宋体" w:eastAsia="宋体" w:cs="宋体"/>
                <w:sz w:val="24"/>
                <w:szCs w:val="24"/>
              </w:rPr>
              <w:t>明确培训周期</w:t>
            </w:r>
            <w:r>
              <w:rPr>
                <w:rFonts w:hint="eastAsia" w:ascii="宋体" w:hAnsi="宋体" w:eastAsia="宋体" w:cs="宋体"/>
                <w:sz w:val="24"/>
                <w:szCs w:val="24"/>
                <w:lang w:eastAsia="zh-CN"/>
              </w:rPr>
              <w:t>、</w:t>
            </w:r>
            <w:r>
              <w:rPr>
                <w:rFonts w:ascii="宋体" w:hAnsi="宋体" w:eastAsia="宋体" w:cs="宋体"/>
                <w:sz w:val="24"/>
                <w:szCs w:val="24"/>
              </w:rPr>
              <w:t>师资配置、场地、教具、训前调研流程</w:t>
            </w:r>
            <w:r>
              <w:rPr>
                <w:rFonts w:hint="eastAsia" w:ascii="宋体" w:hAnsi="宋体"/>
                <w:sz w:val="24"/>
                <w:szCs w:val="24"/>
                <w:highlight w:val="none"/>
              </w:rPr>
              <w:t>；</w:t>
            </w:r>
            <w:r>
              <w:rPr>
                <w:rFonts w:ascii="宋体" w:hAnsi="宋体" w:eastAsia="宋体" w:cs="宋体"/>
                <w:sz w:val="24"/>
                <w:szCs w:val="24"/>
              </w:rPr>
              <w:t>列明全部需参训岗位、</w:t>
            </w:r>
            <w:r>
              <w:rPr>
                <w:rFonts w:hint="eastAsia" w:ascii="宋体" w:hAnsi="宋体"/>
                <w:sz w:val="24"/>
                <w:szCs w:val="24"/>
                <w:highlight w:val="none"/>
              </w:rPr>
              <w:t>人员全覆盖无遗漏；具备明确的培训考核</w:t>
            </w:r>
            <w:r>
              <w:rPr>
                <w:rFonts w:hint="eastAsia" w:ascii="宋体" w:hAnsi="宋体"/>
                <w:sz w:val="24"/>
                <w:szCs w:val="24"/>
                <w:highlight w:val="none"/>
                <w:lang w:eastAsia="zh-CN"/>
              </w:rPr>
              <w:t>，</w:t>
            </w:r>
            <w:r>
              <w:rPr>
                <w:rFonts w:ascii="宋体" w:hAnsi="宋体" w:eastAsia="宋体" w:cs="宋体"/>
                <w:sz w:val="24"/>
                <w:szCs w:val="24"/>
              </w:rPr>
              <w:t>包含训前摸底、课堂测评、实操考核、课后回访、问题整改</w:t>
            </w:r>
            <w:r>
              <w:rPr>
                <w:rFonts w:hint="eastAsia" w:ascii="宋体" w:hAnsi="宋体" w:eastAsia="宋体" w:cs="宋体"/>
                <w:sz w:val="24"/>
                <w:szCs w:val="24"/>
                <w:lang w:eastAsia="zh-CN"/>
              </w:rPr>
              <w:t>，</w:t>
            </w:r>
            <w:r>
              <w:rPr>
                <w:rFonts w:ascii="宋体" w:hAnsi="宋体" w:eastAsia="宋体" w:cs="宋体"/>
                <w:sz w:val="24"/>
                <w:szCs w:val="24"/>
              </w:rPr>
              <w:t>闭环全流程长效保障机制</w:t>
            </w:r>
            <w:r>
              <w:rPr>
                <w:rFonts w:hint="eastAsia" w:ascii="宋体" w:hAnsi="宋体" w:eastAsia="宋体" w:cs="宋体"/>
                <w:sz w:val="24"/>
                <w:szCs w:val="24"/>
                <w:lang w:eastAsia="zh-CN"/>
              </w:rPr>
              <w:t>；</w:t>
            </w:r>
          </w:p>
          <w:p w14:paraId="4C095B54">
            <w:pPr>
              <w:rPr>
                <w:rFonts w:ascii="宋体" w:hAnsi="宋体"/>
                <w:sz w:val="24"/>
                <w:szCs w:val="24"/>
                <w:highlight w:val="none"/>
              </w:rPr>
            </w:pPr>
            <w:r>
              <w:rPr>
                <w:rFonts w:hint="eastAsia" w:ascii="宋体" w:hAnsi="宋体"/>
                <w:sz w:val="24"/>
                <w:szCs w:val="24"/>
                <w:highlight w:val="none"/>
              </w:rPr>
              <w:t>整体针对性强、可行性高、完全满足项目全部培训要求，得4</w:t>
            </w:r>
            <w:r>
              <w:rPr>
                <w:rFonts w:ascii="宋体" w:hAnsi="宋体"/>
                <w:sz w:val="24"/>
                <w:szCs w:val="24"/>
                <w:highlight w:val="none"/>
              </w:rPr>
              <w:t>-</w:t>
            </w:r>
            <w:r>
              <w:rPr>
                <w:rFonts w:hint="eastAsia" w:ascii="宋体" w:hAnsi="宋体"/>
                <w:sz w:val="24"/>
                <w:szCs w:val="24"/>
                <w:highlight w:val="none"/>
              </w:rPr>
              <w:t>5分；</w:t>
            </w:r>
          </w:p>
          <w:p w14:paraId="73B28B5B">
            <w:pPr>
              <w:rPr>
                <w:rFonts w:ascii="宋体" w:hAnsi="宋体"/>
                <w:sz w:val="24"/>
                <w:szCs w:val="24"/>
                <w:highlight w:val="none"/>
              </w:rPr>
            </w:pPr>
            <w:r>
              <w:rPr>
                <w:rFonts w:hint="eastAsia" w:ascii="宋体" w:hAnsi="宋体"/>
                <w:sz w:val="24"/>
                <w:szCs w:val="24"/>
                <w:highlight w:val="none"/>
              </w:rPr>
              <w:t>2、培训方案整体框架齐全，培训内容、培训方式、人员覆盖、效果目标基本合理，能够满足项目基础培训需要，但深度、针对性、细节完善度一般</w:t>
            </w:r>
            <w:r>
              <w:rPr>
                <w:rFonts w:hint="eastAsia" w:ascii="宋体" w:hAnsi="宋体"/>
                <w:sz w:val="24"/>
                <w:szCs w:val="24"/>
                <w:highlight w:val="none"/>
                <w:lang w:eastAsia="zh-CN"/>
              </w:rPr>
              <w:t>，</w:t>
            </w:r>
            <w:r>
              <w:rPr>
                <w:rFonts w:hint="eastAsia" w:ascii="宋体" w:hAnsi="宋体"/>
                <w:sz w:val="24"/>
                <w:szCs w:val="24"/>
                <w:highlight w:val="none"/>
              </w:rPr>
              <w:t>存在不足，得2</w:t>
            </w:r>
            <w:r>
              <w:rPr>
                <w:rFonts w:ascii="宋体" w:hAnsi="宋体"/>
                <w:sz w:val="24"/>
                <w:szCs w:val="24"/>
                <w:highlight w:val="none"/>
              </w:rPr>
              <w:t>-</w:t>
            </w:r>
            <w:r>
              <w:rPr>
                <w:rFonts w:hint="eastAsia" w:ascii="宋体" w:hAnsi="宋体"/>
                <w:sz w:val="24"/>
                <w:szCs w:val="24"/>
                <w:highlight w:val="none"/>
              </w:rPr>
              <w:t>3 分；</w:t>
            </w:r>
          </w:p>
          <w:p w14:paraId="350D0F96">
            <w:pPr>
              <w:rPr>
                <w:rFonts w:ascii="宋体" w:hAnsi="宋体"/>
                <w:sz w:val="24"/>
                <w:szCs w:val="24"/>
                <w:highlight w:val="none"/>
              </w:rPr>
            </w:pPr>
            <w:r>
              <w:rPr>
                <w:rFonts w:hint="eastAsia" w:ascii="宋体" w:hAnsi="宋体"/>
                <w:sz w:val="24"/>
                <w:szCs w:val="24"/>
                <w:highlight w:val="none"/>
              </w:rPr>
              <w:t>3、培训方案内容缺项较多、表述笼统粗糙，培训安排不清晰、适配性不足，难以保障培训工作有效落地，得1 分；</w:t>
            </w:r>
          </w:p>
          <w:p w14:paraId="4A887B19">
            <w:pPr>
              <w:rPr>
                <w:rFonts w:ascii="宋体" w:hAnsi="宋体"/>
                <w:sz w:val="24"/>
                <w:szCs w:val="24"/>
                <w:highlight w:val="none"/>
              </w:rPr>
            </w:pPr>
            <w:r>
              <w:rPr>
                <w:rFonts w:hint="eastAsia" w:ascii="宋体" w:hAnsi="宋体"/>
                <w:sz w:val="24"/>
                <w:szCs w:val="24"/>
                <w:highlight w:val="none"/>
              </w:rPr>
              <w:t>4、未按要求提供完整专项培训方案的，本项不得分。</w:t>
            </w:r>
          </w:p>
        </w:tc>
      </w:tr>
      <w:tr w14:paraId="11C77E22">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06" w:hRule="atLeast"/>
          <w:jc w:val="center"/>
        </w:trPr>
        <w:tc>
          <w:tcPr>
            <w:tcW w:w="482" w:type="dxa"/>
            <w:vAlign w:val="center"/>
          </w:tcPr>
          <w:p w14:paraId="4FFC63FF">
            <w:pPr>
              <w:pStyle w:val="79"/>
              <w:ind w:firstLine="72"/>
              <w:rPr>
                <w:rFonts w:hint="eastAsia" w:ascii="宋体" w:hAnsi="宋体" w:eastAsia="宋体"/>
                <w:szCs w:val="24"/>
                <w:lang w:eastAsia="zh-CN"/>
              </w:rPr>
            </w:pPr>
            <w:r>
              <w:rPr>
                <w:rFonts w:hint="eastAsia" w:ascii="宋体" w:hAnsi="宋体"/>
                <w:szCs w:val="24"/>
                <w:lang w:val="en-US" w:eastAsia="zh-CN"/>
              </w:rPr>
              <w:t>5</w:t>
            </w:r>
          </w:p>
        </w:tc>
        <w:tc>
          <w:tcPr>
            <w:tcW w:w="1425" w:type="dxa"/>
            <w:vAlign w:val="center"/>
          </w:tcPr>
          <w:p w14:paraId="455E7298">
            <w:pPr>
              <w:rPr>
                <w:rFonts w:ascii="宋体" w:hAnsi="宋体"/>
                <w:sz w:val="24"/>
                <w:szCs w:val="24"/>
              </w:rPr>
            </w:pPr>
            <w:r>
              <w:rPr>
                <w:rFonts w:hint="eastAsia" w:ascii="宋体" w:hAnsi="宋体"/>
                <w:sz w:val="24"/>
                <w:szCs w:val="24"/>
              </w:rPr>
              <w:t>相关项目业绩</w:t>
            </w:r>
          </w:p>
        </w:tc>
        <w:tc>
          <w:tcPr>
            <w:tcW w:w="1517" w:type="dxa"/>
            <w:tcBorders>
              <w:top w:val="single" w:color="auto" w:sz="4" w:space="0"/>
              <w:bottom w:val="single" w:color="auto" w:sz="4" w:space="0"/>
            </w:tcBorders>
            <w:vAlign w:val="center"/>
          </w:tcPr>
          <w:p w14:paraId="6BD880C4">
            <w:pPr>
              <w:rPr>
                <w:rFonts w:ascii="宋体" w:hAnsi="宋体"/>
                <w:sz w:val="24"/>
                <w:szCs w:val="24"/>
              </w:rPr>
            </w:pPr>
            <w:r>
              <w:rPr>
                <w:rFonts w:hint="eastAsia" w:ascii="宋体" w:hAnsi="宋体"/>
                <w:sz w:val="24"/>
                <w:szCs w:val="24"/>
              </w:rPr>
              <w:t>相关项目业绩（5分）</w:t>
            </w:r>
          </w:p>
        </w:tc>
        <w:tc>
          <w:tcPr>
            <w:tcW w:w="6410" w:type="dxa"/>
            <w:tcBorders>
              <w:top w:val="single" w:color="auto" w:sz="4" w:space="0"/>
              <w:bottom w:val="single" w:color="auto" w:sz="4" w:space="0"/>
            </w:tcBorders>
            <w:vAlign w:val="center"/>
          </w:tcPr>
          <w:p w14:paraId="1602060E">
            <w:pPr>
              <w:rPr>
                <w:rFonts w:hint="eastAsia" w:ascii="宋体" w:hAnsi="宋体"/>
                <w:sz w:val="24"/>
                <w:szCs w:val="24"/>
              </w:rPr>
            </w:pPr>
            <w:bookmarkStart w:id="25" w:name="OLE_LINK13"/>
            <w:r>
              <w:rPr>
                <w:rFonts w:hint="eastAsia" w:ascii="宋体" w:hAnsi="宋体"/>
                <w:sz w:val="24"/>
                <w:szCs w:val="24"/>
              </w:rPr>
              <w:t>投标人或设备制造商提供近三年（响应截止日前三年）完成同类项目业绩情况，每提供一项得1分，满分5分。</w:t>
            </w:r>
          </w:p>
          <w:p w14:paraId="04519E5E">
            <w:pPr>
              <w:rPr>
                <w:spacing w:val="-3"/>
                <w:sz w:val="24"/>
                <w:szCs w:val="24"/>
              </w:rPr>
            </w:pPr>
            <w:r>
              <w:rPr>
                <w:rFonts w:hint="eastAsia" w:ascii="宋体" w:hAnsi="宋体"/>
                <w:sz w:val="24"/>
                <w:szCs w:val="24"/>
                <w:lang w:eastAsia="zh-Hans"/>
              </w:rPr>
              <w:t>注：业绩证明材料需符合以下要求，否则不予计分：①提供合同复印件</w:t>
            </w:r>
            <w:r>
              <w:rPr>
                <w:rFonts w:hint="eastAsia" w:ascii="宋体" w:hAnsi="宋体"/>
                <w:sz w:val="24"/>
                <w:szCs w:val="24"/>
              </w:rPr>
              <w:t>/扫描件；②</w:t>
            </w:r>
            <w:r>
              <w:rPr>
                <w:rFonts w:hint="eastAsia" w:ascii="宋体" w:hAnsi="宋体"/>
                <w:sz w:val="24"/>
                <w:szCs w:val="24"/>
                <w:lang w:eastAsia="zh-Hans"/>
              </w:rPr>
              <w:t>业绩时间以合同签订日期为准；</w:t>
            </w:r>
            <w:r>
              <w:rPr>
                <w:rFonts w:hint="eastAsia" w:ascii="宋体" w:hAnsi="宋体"/>
                <w:sz w:val="24"/>
                <w:szCs w:val="24"/>
              </w:rPr>
              <w:t>③</w:t>
            </w:r>
            <w:r>
              <w:rPr>
                <w:rFonts w:hint="eastAsia" w:ascii="宋体" w:hAnsi="宋体"/>
                <w:sz w:val="24"/>
                <w:szCs w:val="24"/>
                <w:lang w:eastAsia="zh-Hans"/>
              </w:rPr>
              <w:t>合同需完整体现签订双方信息、签订时间、服务内容及双方盖章等核心要素，缺失任一要素均不计分；</w:t>
            </w:r>
            <w:r>
              <w:rPr>
                <w:rFonts w:hint="eastAsia" w:ascii="宋体" w:hAnsi="宋体"/>
                <w:sz w:val="24"/>
                <w:szCs w:val="24"/>
              </w:rPr>
              <w:t>④</w:t>
            </w:r>
            <w:r>
              <w:rPr>
                <w:rFonts w:hint="eastAsia" w:ascii="宋体" w:hAnsi="宋体"/>
                <w:sz w:val="24"/>
                <w:szCs w:val="24"/>
                <w:lang w:eastAsia="zh-Hans"/>
              </w:rPr>
              <w:t>业绩关键信息存在模糊不清、无法辨识情形的，该业绩不予认可。</w:t>
            </w:r>
            <w:bookmarkEnd w:id="25"/>
          </w:p>
        </w:tc>
      </w:tr>
    </w:tbl>
    <w:p w14:paraId="47FF8564">
      <w:pPr>
        <w:spacing w:line="440" w:lineRule="exact"/>
        <w:ind w:firstLine="482" w:firstLineChars="200"/>
        <w:rPr>
          <w:rFonts w:ascii="宋体" w:hAnsi="宋体"/>
          <w:b/>
          <w:sz w:val="24"/>
        </w:rPr>
      </w:pPr>
    </w:p>
    <w:p w14:paraId="4378445A">
      <w:pPr>
        <w:spacing w:line="440" w:lineRule="exact"/>
        <w:ind w:firstLine="482" w:firstLineChars="200"/>
        <w:rPr>
          <w:rFonts w:ascii="宋体" w:hAnsi="宋体"/>
          <w:b/>
          <w:sz w:val="24"/>
        </w:rPr>
      </w:pPr>
      <w:r>
        <w:rPr>
          <w:rFonts w:ascii="宋体" w:hAnsi="宋体"/>
          <w:b/>
          <w:sz w:val="24"/>
        </w:rPr>
        <w:t xml:space="preserve">22. </w:t>
      </w:r>
      <w:r>
        <w:rPr>
          <w:rFonts w:hint="eastAsia" w:ascii="宋体" w:hAnsi="宋体"/>
          <w:b/>
          <w:sz w:val="24"/>
        </w:rPr>
        <w:t>详细评审</w:t>
      </w:r>
    </w:p>
    <w:p w14:paraId="497E322C">
      <w:pPr>
        <w:spacing w:line="440" w:lineRule="exact"/>
        <w:ind w:firstLine="472" w:firstLineChars="200"/>
        <w:rPr>
          <w:rFonts w:ascii="宋体" w:hAnsi="宋体"/>
          <w:sz w:val="24"/>
        </w:rPr>
      </w:pPr>
      <w:r>
        <w:rPr>
          <w:rFonts w:ascii="宋体" w:hAnsi="宋体"/>
          <w:spacing w:val="-2"/>
          <w:sz w:val="24"/>
        </w:rPr>
        <w:t>22.1</w:t>
      </w:r>
      <w:r>
        <w:rPr>
          <w:rFonts w:hint="eastAsia" w:ascii="宋体" w:hAnsi="宋体"/>
          <w:spacing w:val="-2"/>
          <w:sz w:val="24"/>
        </w:rPr>
        <w:t xml:space="preserve"> 经初步评审合格的投标文件，评标委员会应当根据招标文件确定的评标标准和方法，对</w:t>
      </w:r>
      <w:r>
        <w:rPr>
          <w:rFonts w:hint="eastAsia" w:ascii="宋体" w:hAnsi="宋体"/>
          <w:sz w:val="24"/>
        </w:rPr>
        <w:t>投标人所有投标产品的</w:t>
      </w:r>
      <w:r>
        <w:rPr>
          <w:rFonts w:hint="eastAsia" w:ascii="宋体" w:hAnsi="宋体"/>
          <w:spacing w:val="-2"/>
          <w:sz w:val="24"/>
        </w:rPr>
        <w:t>技术和商务部分进行详细评审</w:t>
      </w:r>
      <w:r>
        <w:rPr>
          <w:rFonts w:hint="eastAsia" w:ascii="宋体" w:hAnsi="宋体"/>
          <w:sz w:val="24"/>
        </w:rPr>
        <w:t>。</w:t>
      </w:r>
    </w:p>
    <w:p w14:paraId="7B036940">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2</w:t>
      </w:r>
      <w:r>
        <w:rPr>
          <w:rFonts w:ascii="宋体" w:hAnsi="宋体"/>
          <w:spacing w:val="-2"/>
          <w:sz w:val="24"/>
        </w:rPr>
        <w:t xml:space="preserve"> </w:t>
      </w:r>
      <w:r>
        <w:rPr>
          <w:rFonts w:hint="eastAsia" w:ascii="宋体" w:hAnsi="宋体"/>
          <w:spacing w:val="-2"/>
          <w:sz w:val="24"/>
        </w:rPr>
        <w:t>在评审过程中，为了有助于对投标文件进行审查、评估，投标人有责任按照招标方通知的时间、地点指派专人进行答疑和澄清。评标委员会可能要求投标人就投标文件中的内容进行答辩，投标人应按要求进行答辩。</w:t>
      </w:r>
    </w:p>
    <w:p w14:paraId="4F3CC8D2">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3 采用综合评分法衡量投标文件在是否最大限度地满足招标文件实质性要求前提下，按照招标文件中规定的各项因素进行综合评审后，依据得分高低，依次确定为中标候选人。</w:t>
      </w:r>
    </w:p>
    <w:p w14:paraId="57B7C70A">
      <w:pPr>
        <w:spacing w:line="440" w:lineRule="exact"/>
        <w:ind w:firstLine="472" w:firstLineChars="200"/>
        <w:rPr>
          <w:rFonts w:ascii="宋体" w:hAnsi="宋体"/>
          <w:spacing w:val="-2"/>
          <w:sz w:val="24"/>
        </w:rPr>
      </w:pPr>
      <w:r>
        <w:rPr>
          <w:rFonts w:hint="eastAsia" w:ascii="宋体" w:hAnsi="宋体"/>
          <w:spacing w:val="-2"/>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466406F">
      <w:pPr>
        <w:spacing w:line="440" w:lineRule="exact"/>
        <w:ind w:firstLine="472" w:firstLineChars="200"/>
        <w:rPr>
          <w:rFonts w:ascii="宋体" w:hAnsi="宋体"/>
          <w:spacing w:val="-2"/>
          <w:sz w:val="24"/>
        </w:rPr>
      </w:pPr>
      <w:r>
        <w:rPr>
          <w:rFonts w:hint="eastAsia" w:ascii="宋体" w:hAnsi="宋体"/>
          <w:spacing w:val="-2"/>
          <w:sz w:val="24"/>
        </w:rPr>
        <w:t>非单一产品采购项目，采购人应当根据采购项目技术构成、产品价格比重等合理确定核心产品，并在招标文件中载明。多家投标人提供的核心产品品牌相同的，按前款规定处理。</w:t>
      </w:r>
    </w:p>
    <w:p w14:paraId="51CB9E51">
      <w:pPr>
        <w:spacing w:line="440" w:lineRule="exact"/>
        <w:ind w:firstLine="472" w:firstLineChars="200"/>
        <w:rPr>
          <w:rFonts w:ascii="宋体" w:hAnsi="宋体"/>
          <w:spacing w:val="-2"/>
          <w:sz w:val="24"/>
        </w:rPr>
      </w:pPr>
      <w:r>
        <w:rPr>
          <w:rFonts w:hint="eastAsia" w:ascii="宋体" w:hAnsi="宋体"/>
          <w:spacing w:val="-2"/>
          <w:sz w:val="24"/>
        </w:rPr>
        <w:t>2</w:t>
      </w:r>
      <w:r>
        <w:rPr>
          <w:rFonts w:ascii="宋体" w:hAnsi="宋体"/>
          <w:spacing w:val="-2"/>
          <w:sz w:val="24"/>
        </w:rPr>
        <w:t>2</w:t>
      </w:r>
      <w:r>
        <w:rPr>
          <w:rFonts w:hint="eastAsia" w:ascii="宋体" w:hAnsi="宋体"/>
          <w:spacing w:val="-2"/>
          <w:sz w:val="24"/>
        </w:rPr>
        <w:t>.3.1 当投标人总得分相同时，以投标价格低者排位在前。</w:t>
      </w:r>
    </w:p>
    <w:p w14:paraId="121FCA2E">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4 根据综合评分法完成评标后，评标委员会应当拟定一份书面评标报告提交招标方。</w:t>
      </w:r>
    </w:p>
    <w:p w14:paraId="2A08855A">
      <w:pPr>
        <w:spacing w:line="440" w:lineRule="exact"/>
        <w:jc w:val="center"/>
        <w:rPr>
          <w:rFonts w:ascii="宋体" w:hAnsi="宋体"/>
          <w:spacing w:val="-2"/>
          <w:sz w:val="24"/>
        </w:rPr>
      </w:pPr>
    </w:p>
    <w:p w14:paraId="2AF4791D">
      <w:pPr>
        <w:spacing w:line="440" w:lineRule="exact"/>
        <w:jc w:val="center"/>
        <w:outlineLvl w:val="1"/>
        <w:rPr>
          <w:b/>
          <w:sz w:val="32"/>
          <w:szCs w:val="32"/>
        </w:rPr>
      </w:pPr>
      <w:bookmarkStart w:id="26" w:name="_Toc10059"/>
      <w:bookmarkStart w:id="27" w:name="_Toc5430"/>
      <w:r>
        <w:rPr>
          <w:rFonts w:hint="eastAsia"/>
          <w:b/>
          <w:sz w:val="32"/>
          <w:szCs w:val="32"/>
        </w:rPr>
        <w:t>第七章 定　标</w:t>
      </w:r>
      <w:bookmarkEnd w:id="26"/>
      <w:bookmarkEnd w:id="27"/>
    </w:p>
    <w:p w14:paraId="157D9301">
      <w:pPr>
        <w:spacing w:line="440" w:lineRule="exact"/>
        <w:ind w:firstLine="482" w:firstLineChars="200"/>
        <w:rPr>
          <w:rFonts w:ascii="宋体" w:hAnsi="宋体"/>
          <w:b/>
          <w:sz w:val="24"/>
        </w:rPr>
      </w:pPr>
      <w:r>
        <w:rPr>
          <w:rFonts w:ascii="宋体" w:hAnsi="宋体"/>
          <w:b/>
          <w:sz w:val="24"/>
        </w:rPr>
        <w:t xml:space="preserve">23. </w:t>
      </w:r>
      <w:r>
        <w:rPr>
          <w:rFonts w:hint="eastAsia" w:ascii="宋体" w:hAnsi="宋体"/>
          <w:b/>
          <w:sz w:val="24"/>
        </w:rPr>
        <w:t>定标标准</w:t>
      </w:r>
    </w:p>
    <w:p w14:paraId="1E05C736">
      <w:pPr>
        <w:spacing w:line="440" w:lineRule="exact"/>
        <w:ind w:firstLine="472" w:firstLineChars="200"/>
        <w:rPr>
          <w:rFonts w:ascii="宋体" w:hAnsi="宋体"/>
          <w:spacing w:val="-2"/>
          <w:sz w:val="24"/>
        </w:rPr>
      </w:pPr>
      <w:r>
        <w:rPr>
          <w:rFonts w:ascii="宋体" w:hAnsi="宋体"/>
          <w:spacing w:val="-2"/>
          <w:sz w:val="24"/>
        </w:rPr>
        <w:t>23.1</w:t>
      </w:r>
      <w:r>
        <w:rPr>
          <w:rFonts w:hint="eastAsia" w:ascii="宋体" w:hAnsi="宋体"/>
          <w:spacing w:val="-2"/>
          <w:sz w:val="24"/>
        </w:rPr>
        <w:t>　合同将授予被确定为实质性响应招标文件要求，经评定认为具备履行合同能力、报价合理、技术和商务条件都符合招标文件要求的，得分最高的投标人。</w:t>
      </w:r>
    </w:p>
    <w:p w14:paraId="735E1B1B">
      <w:pPr>
        <w:spacing w:line="440" w:lineRule="exact"/>
        <w:ind w:firstLine="472" w:firstLineChars="200"/>
        <w:rPr>
          <w:rFonts w:ascii="宋体" w:hAnsi="宋体"/>
          <w:spacing w:val="-2"/>
          <w:sz w:val="24"/>
        </w:rPr>
      </w:pPr>
      <w:r>
        <w:rPr>
          <w:rFonts w:ascii="宋体" w:hAnsi="宋体"/>
          <w:spacing w:val="-2"/>
          <w:sz w:val="24"/>
        </w:rPr>
        <w:t>23.</w:t>
      </w:r>
      <w:r>
        <w:rPr>
          <w:rFonts w:hint="eastAsia" w:ascii="宋体" w:hAnsi="宋体"/>
          <w:spacing w:val="-2"/>
          <w:sz w:val="24"/>
        </w:rPr>
        <w:t>2　如果确定中标人没有条件圆满履行合同，招标方有权按照投标人的得分高低把合同授予下一个中标候选人。</w:t>
      </w:r>
    </w:p>
    <w:p w14:paraId="6EED7C31">
      <w:pPr>
        <w:spacing w:line="440" w:lineRule="exact"/>
        <w:ind w:firstLine="482" w:firstLineChars="200"/>
        <w:rPr>
          <w:rFonts w:ascii="宋体" w:hAnsi="宋体"/>
          <w:b/>
          <w:sz w:val="24"/>
        </w:rPr>
      </w:pPr>
      <w:r>
        <w:rPr>
          <w:rFonts w:ascii="宋体" w:hAnsi="宋体"/>
          <w:b/>
          <w:sz w:val="24"/>
        </w:rPr>
        <w:t xml:space="preserve">24. </w:t>
      </w:r>
      <w:r>
        <w:rPr>
          <w:rFonts w:hint="eastAsia" w:ascii="宋体" w:hAnsi="宋体"/>
          <w:b/>
          <w:sz w:val="24"/>
        </w:rPr>
        <w:t>接受和拒绝任何或所有投标的权力</w:t>
      </w:r>
    </w:p>
    <w:p w14:paraId="1E182F4B">
      <w:pPr>
        <w:spacing w:line="440" w:lineRule="exact"/>
        <w:ind w:firstLine="472" w:firstLineChars="200"/>
        <w:rPr>
          <w:rFonts w:ascii="宋体" w:hAnsi="宋体"/>
          <w:spacing w:val="-2"/>
          <w:sz w:val="24"/>
        </w:rPr>
      </w:pPr>
      <w:r>
        <w:rPr>
          <w:rFonts w:ascii="宋体" w:hAnsi="宋体"/>
          <w:spacing w:val="-2"/>
          <w:sz w:val="24"/>
        </w:rPr>
        <w:t>24.1</w:t>
      </w:r>
      <w:r>
        <w:rPr>
          <w:rFonts w:hint="eastAsia" w:ascii="宋体" w:hAnsi="宋体"/>
          <w:spacing w:val="-2"/>
          <w:sz w:val="24"/>
        </w:rPr>
        <w:t>　为维护国家利益，招标方在授予合同之前仍有选择或拒绝任何全部投标的权力。</w:t>
      </w:r>
    </w:p>
    <w:p w14:paraId="2B263273">
      <w:pPr>
        <w:spacing w:line="440" w:lineRule="exact"/>
        <w:ind w:firstLine="482" w:firstLineChars="200"/>
        <w:rPr>
          <w:rFonts w:ascii="宋体" w:hAnsi="宋体"/>
          <w:b/>
          <w:sz w:val="24"/>
        </w:rPr>
      </w:pPr>
      <w:r>
        <w:rPr>
          <w:rFonts w:ascii="宋体" w:hAnsi="宋体"/>
          <w:b/>
          <w:sz w:val="24"/>
        </w:rPr>
        <w:t xml:space="preserve">25. </w:t>
      </w:r>
      <w:r>
        <w:rPr>
          <w:rFonts w:hint="eastAsia" w:ascii="宋体" w:hAnsi="宋体"/>
          <w:b/>
          <w:sz w:val="24"/>
        </w:rPr>
        <w:t>中标通知书</w:t>
      </w:r>
    </w:p>
    <w:p w14:paraId="0C295053">
      <w:pPr>
        <w:spacing w:line="440" w:lineRule="exact"/>
        <w:ind w:firstLine="472" w:firstLineChars="200"/>
        <w:rPr>
          <w:rFonts w:ascii="宋体" w:hAnsi="宋体"/>
          <w:spacing w:val="-2"/>
          <w:sz w:val="24"/>
        </w:rPr>
      </w:pPr>
      <w:r>
        <w:rPr>
          <w:rFonts w:ascii="宋体" w:hAnsi="宋体"/>
          <w:spacing w:val="-2"/>
          <w:sz w:val="24"/>
        </w:rPr>
        <w:t xml:space="preserve">25.1 </w:t>
      </w:r>
      <w:r>
        <w:rPr>
          <w:rFonts w:hint="eastAsia" w:ascii="宋体" w:hAnsi="宋体"/>
          <w:spacing w:val="-2"/>
          <w:sz w:val="24"/>
        </w:rPr>
        <w:t>中标结果确定后，招标方将以书面形式发出《中标通知书》，但发出时间不超过投标有效期，《中标通知书》一经发出即发生法律效力。</w:t>
      </w:r>
    </w:p>
    <w:p w14:paraId="3FB992E4">
      <w:pPr>
        <w:spacing w:line="440" w:lineRule="exact"/>
        <w:ind w:firstLine="472" w:firstLineChars="200"/>
        <w:rPr>
          <w:rFonts w:ascii="宋体" w:hAnsi="宋体"/>
          <w:spacing w:val="-2"/>
          <w:sz w:val="24"/>
        </w:rPr>
      </w:pPr>
      <w:r>
        <w:rPr>
          <w:rFonts w:ascii="宋体" w:hAnsi="宋体"/>
          <w:spacing w:val="-2"/>
          <w:sz w:val="24"/>
        </w:rPr>
        <w:t xml:space="preserve">25.2 </w:t>
      </w:r>
      <w:r>
        <w:rPr>
          <w:rFonts w:hint="eastAsia" w:ascii="宋体" w:hAnsi="宋体"/>
          <w:spacing w:val="-2"/>
          <w:sz w:val="24"/>
        </w:rPr>
        <w:t>《中标通知书》将作为签订合同的依据。</w:t>
      </w:r>
    </w:p>
    <w:p w14:paraId="0C6434FE">
      <w:pPr>
        <w:spacing w:line="440" w:lineRule="exact"/>
        <w:ind w:firstLine="472" w:firstLineChars="200"/>
        <w:rPr>
          <w:rFonts w:ascii="宋体" w:hAnsi="宋体"/>
          <w:spacing w:val="-2"/>
          <w:sz w:val="24"/>
        </w:rPr>
      </w:pPr>
      <w:r>
        <w:rPr>
          <w:rFonts w:ascii="宋体" w:hAnsi="宋体"/>
          <w:spacing w:val="-2"/>
          <w:sz w:val="24"/>
        </w:rPr>
        <w:t xml:space="preserve">25.3 </w:t>
      </w:r>
      <w:r>
        <w:rPr>
          <w:rFonts w:hint="eastAsia" w:ascii="宋体" w:hAnsi="宋体"/>
          <w:spacing w:val="-2"/>
          <w:sz w:val="24"/>
        </w:rPr>
        <w:t>中标人在领取《中标通知书》时，必须按招标文件规定向招标代理机构缴纳招标代理服务费。</w:t>
      </w:r>
    </w:p>
    <w:p w14:paraId="087E9E29">
      <w:pPr>
        <w:spacing w:line="440" w:lineRule="exact"/>
        <w:ind w:firstLine="370" w:firstLineChars="180"/>
        <w:rPr>
          <w:spacing w:val="-2"/>
        </w:rPr>
      </w:pPr>
    </w:p>
    <w:p w14:paraId="5245F063">
      <w:pPr>
        <w:spacing w:line="440" w:lineRule="exact"/>
        <w:ind w:firstLine="643" w:firstLineChars="200"/>
        <w:jc w:val="center"/>
        <w:outlineLvl w:val="1"/>
        <w:rPr>
          <w:b/>
          <w:sz w:val="32"/>
          <w:szCs w:val="32"/>
        </w:rPr>
      </w:pPr>
      <w:bookmarkStart w:id="28" w:name="_Toc507513106"/>
      <w:bookmarkStart w:id="29" w:name="_Toc8597"/>
      <w:bookmarkStart w:id="30" w:name="_Toc26243"/>
      <w:r>
        <w:rPr>
          <w:rFonts w:hint="eastAsia"/>
          <w:b/>
          <w:sz w:val="32"/>
          <w:szCs w:val="32"/>
        </w:rPr>
        <w:t>第八章 授予合同</w:t>
      </w:r>
      <w:bookmarkEnd w:id="28"/>
      <w:bookmarkEnd w:id="29"/>
      <w:bookmarkEnd w:id="30"/>
    </w:p>
    <w:p w14:paraId="7DC54988">
      <w:pPr>
        <w:spacing w:line="440" w:lineRule="exact"/>
        <w:ind w:firstLine="482" w:firstLineChars="200"/>
        <w:rPr>
          <w:rFonts w:ascii="宋体" w:hAnsi="宋体"/>
          <w:b/>
          <w:sz w:val="24"/>
        </w:rPr>
      </w:pPr>
      <w:r>
        <w:rPr>
          <w:rFonts w:ascii="宋体" w:hAnsi="宋体"/>
          <w:b/>
          <w:sz w:val="24"/>
        </w:rPr>
        <w:t xml:space="preserve">26. </w:t>
      </w:r>
      <w:r>
        <w:rPr>
          <w:rFonts w:hint="eastAsia" w:ascii="宋体" w:hAnsi="宋体"/>
          <w:b/>
          <w:sz w:val="24"/>
        </w:rPr>
        <w:t>签订合同</w:t>
      </w:r>
    </w:p>
    <w:p w14:paraId="4B4F0104">
      <w:pPr>
        <w:spacing w:line="440" w:lineRule="exact"/>
        <w:ind w:firstLine="472" w:firstLineChars="200"/>
        <w:rPr>
          <w:rFonts w:ascii="宋体" w:hAnsi="宋体"/>
          <w:spacing w:val="-2"/>
          <w:sz w:val="24"/>
        </w:rPr>
      </w:pPr>
      <w:r>
        <w:rPr>
          <w:rFonts w:ascii="宋体" w:hAnsi="宋体"/>
          <w:spacing w:val="-2"/>
          <w:sz w:val="24"/>
        </w:rPr>
        <w:t xml:space="preserve">26.1  </w:t>
      </w:r>
      <w:r>
        <w:rPr>
          <w:rFonts w:hint="eastAsia" w:ascii="宋体" w:hAnsi="宋体"/>
          <w:spacing w:val="-2"/>
          <w:sz w:val="24"/>
        </w:rPr>
        <w:t>中标人收到招标方的《中标通知书》后三十日内，按照招标文件和中标人投标文件中的约定与采购人签订书面合同，所签订的合同不得对招标文件和中标人的投标文件作实质性修改。</w:t>
      </w:r>
    </w:p>
    <w:p w14:paraId="6D8A8D7C">
      <w:pPr>
        <w:spacing w:line="440" w:lineRule="exact"/>
        <w:ind w:firstLine="472" w:firstLineChars="200"/>
        <w:rPr>
          <w:rFonts w:ascii="宋体" w:hAnsi="宋体"/>
          <w:spacing w:val="-2"/>
          <w:sz w:val="24"/>
        </w:rPr>
      </w:pPr>
      <w:r>
        <w:rPr>
          <w:rFonts w:ascii="宋体" w:hAnsi="宋体"/>
          <w:spacing w:val="-2"/>
          <w:sz w:val="24"/>
        </w:rPr>
        <w:t xml:space="preserve">26.2  </w:t>
      </w:r>
      <w:r>
        <w:rPr>
          <w:rFonts w:hint="eastAsia" w:ascii="宋体" w:hAnsi="宋体"/>
          <w:spacing w:val="-2"/>
          <w:sz w:val="24"/>
        </w:rPr>
        <w:t>招标方在授予合同时，有权对招标文件中规定的货物和服务的数量在</w:t>
      </w:r>
      <w:r>
        <w:rPr>
          <w:rFonts w:ascii="宋体" w:hAnsi="宋体"/>
          <w:spacing w:val="-2"/>
          <w:sz w:val="24"/>
        </w:rPr>
        <w:t>10%</w:t>
      </w:r>
      <w:r>
        <w:rPr>
          <w:rFonts w:hint="eastAsia" w:ascii="宋体" w:hAnsi="宋体"/>
          <w:spacing w:val="-2"/>
          <w:sz w:val="24"/>
        </w:rPr>
        <w:t>的幅度内予以增加。</w:t>
      </w:r>
    </w:p>
    <w:p w14:paraId="54A3560E">
      <w:pPr>
        <w:spacing w:line="440" w:lineRule="exact"/>
        <w:ind w:firstLine="472" w:firstLineChars="200"/>
        <w:rPr>
          <w:rFonts w:ascii="宋体" w:hAnsi="宋体"/>
          <w:spacing w:val="-2"/>
          <w:sz w:val="24"/>
        </w:rPr>
      </w:pPr>
      <w:r>
        <w:rPr>
          <w:rFonts w:ascii="宋体" w:hAnsi="宋体"/>
          <w:spacing w:val="-2"/>
          <w:sz w:val="24"/>
        </w:rPr>
        <w:t xml:space="preserve">26.3  </w:t>
      </w:r>
      <w:r>
        <w:rPr>
          <w:rFonts w:hint="eastAsia" w:ascii="宋体" w:hAnsi="宋体"/>
          <w:spacing w:val="-2"/>
          <w:sz w:val="24"/>
        </w:rPr>
        <w:t>如中标人拒签合同，则按违约处理。</w:t>
      </w:r>
    </w:p>
    <w:p w14:paraId="33B67674">
      <w:pPr>
        <w:spacing w:line="440" w:lineRule="exact"/>
        <w:ind w:firstLine="472" w:firstLineChars="200"/>
        <w:rPr>
          <w:rFonts w:ascii="宋体" w:hAnsi="宋体"/>
          <w:spacing w:val="-2"/>
          <w:sz w:val="24"/>
        </w:rPr>
      </w:pPr>
      <w:r>
        <w:rPr>
          <w:rFonts w:ascii="宋体" w:hAnsi="宋体"/>
          <w:spacing w:val="-2"/>
          <w:sz w:val="24"/>
        </w:rPr>
        <w:t xml:space="preserve">26.4  </w:t>
      </w:r>
      <w:r>
        <w:rPr>
          <w:rFonts w:hint="eastAsia" w:ascii="宋体" w:hAnsi="宋体"/>
          <w:spacing w:val="-2"/>
          <w:sz w:val="24"/>
        </w:rPr>
        <w:t>招标文件、中标人的投标文件及其澄清文件等，均为签订合同的依据。</w:t>
      </w:r>
    </w:p>
    <w:p w14:paraId="018A8561">
      <w:pPr>
        <w:spacing w:line="440" w:lineRule="exact"/>
        <w:ind w:firstLine="472" w:firstLineChars="200"/>
        <w:rPr>
          <w:rFonts w:ascii="宋体" w:hAnsi="宋体"/>
          <w:spacing w:val="-2"/>
          <w:sz w:val="24"/>
        </w:rPr>
      </w:pPr>
      <w:r>
        <w:rPr>
          <w:rFonts w:ascii="宋体" w:hAnsi="宋体"/>
          <w:spacing w:val="-2"/>
          <w:sz w:val="24"/>
        </w:rPr>
        <w:t xml:space="preserve">26.5  </w:t>
      </w:r>
      <w:r>
        <w:rPr>
          <w:rFonts w:hint="eastAsia" w:ascii="宋体" w:hAnsi="宋体"/>
          <w:spacing w:val="-2"/>
          <w:sz w:val="24"/>
        </w:rPr>
        <w:t>不允许中标人将中标项目分包或转交他人承担。</w:t>
      </w:r>
    </w:p>
    <w:p w14:paraId="6268724C">
      <w:pPr>
        <w:spacing w:line="440" w:lineRule="exact"/>
        <w:ind w:firstLine="472" w:firstLineChars="200"/>
        <w:rPr>
          <w:rFonts w:ascii="宋体" w:hAnsi="宋体"/>
          <w:spacing w:val="-2"/>
          <w:sz w:val="24"/>
        </w:rPr>
      </w:pPr>
      <w:r>
        <w:rPr>
          <w:rFonts w:hint="eastAsia" w:ascii="宋体" w:hAnsi="宋体"/>
          <w:spacing w:val="-2"/>
          <w:sz w:val="24"/>
        </w:rPr>
        <w:t>2</w:t>
      </w:r>
      <w:r>
        <w:rPr>
          <w:rFonts w:ascii="宋体" w:hAnsi="宋体"/>
          <w:spacing w:val="-2"/>
          <w:sz w:val="24"/>
        </w:rPr>
        <w:t>7</w:t>
      </w:r>
      <w:r>
        <w:rPr>
          <w:rFonts w:hint="eastAsia" w:ascii="宋体" w:hAnsi="宋体"/>
          <w:spacing w:val="-2"/>
          <w:sz w:val="24"/>
        </w:rPr>
        <w:t xml:space="preserve"> 投标人低价恶意中标不能按要求供货的，五年内禁止参加</w:t>
      </w:r>
      <w:r>
        <w:rPr>
          <w:rFonts w:hint="eastAsia" w:ascii="宋体" w:hAnsi="宋体"/>
          <w:spacing w:val="-2"/>
          <w:sz w:val="24"/>
          <w:lang w:eastAsia="zh-CN"/>
        </w:rPr>
        <w:t>新疆农业大学实习林场</w:t>
      </w:r>
      <w:r>
        <w:rPr>
          <w:rFonts w:hint="eastAsia" w:ascii="宋体" w:hAnsi="宋体"/>
          <w:spacing w:val="-2"/>
          <w:sz w:val="24"/>
        </w:rPr>
        <w:t>的任何招标活动。</w:t>
      </w:r>
    </w:p>
    <w:p w14:paraId="73C60A89">
      <w:pPr>
        <w:spacing w:line="440" w:lineRule="exact"/>
        <w:ind w:firstLine="472" w:firstLineChars="200"/>
        <w:rPr>
          <w:rFonts w:ascii="宋体" w:hAnsi="宋体"/>
          <w:bCs/>
          <w:spacing w:val="-2"/>
          <w:sz w:val="24"/>
        </w:rPr>
      </w:pPr>
      <w:r>
        <w:rPr>
          <w:rFonts w:hint="eastAsia" w:ascii="宋体" w:hAnsi="宋体"/>
          <w:bCs/>
          <w:spacing w:val="-2"/>
          <w:sz w:val="24"/>
        </w:rPr>
        <w:t>28  合同签订、货物（服务）交付采购人使用后，采购人将依据采购文件中采购需求及中标（成交）人投标（响应）文件中的响应内容组织项目履约验收。</w:t>
      </w:r>
    </w:p>
    <w:p w14:paraId="2F0E5297">
      <w:pPr>
        <w:spacing w:line="440" w:lineRule="exact"/>
        <w:ind w:firstLine="474" w:firstLineChars="200"/>
        <w:rPr>
          <w:rFonts w:ascii="宋体" w:hAnsi="宋体"/>
          <w:b/>
          <w:spacing w:val="-2"/>
          <w:sz w:val="24"/>
        </w:rPr>
        <w:sectPr>
          <w:headerReference r:id="rId7" w:type="first"/>
          <w:headerReference r:id="rId5" w:type="default"/>
          <w:headerReference r:id="rId6" w:type="even"/>
          <w:footerReference r:id="rId8" w:type="even"/>
          <w:pgSz w:w="11906" w:h="16838"/>
          <w:pgMar w:top="1134" w:right="1134" w:bottom="1134" w:left="1134" w:header="851" w:footer="992" w:gutter="0"/>
          <w:cols w:space="720" w:num="1"/>
          <w:docGrid w:type="lines" w:linePitch="333" w:charSpace="0"/>
        </w:sectPr>
      </w:pPr>
      <w:r>
        <w:rPr>
          <w:rFonts w:hint="eastAsia" w:ascii="宋体" w:hAnsi="宋体"/>
          <w:b/>
          <w:spacing w:val="-2"/>
          <w:sz w:val="24"/>
        </w:rPr>
        <w:t>29  中标人与采购人签订合同时，必须提供产品合法来源证明材料。</w:t>
      </w:r>
    </w:p>
    <w:p w14:paraId="4926FA32">
      <w:pPr>
        <w:spacing w:line="440" w:lineRule="exact"/>
        <w:jc w:val="center"/>
        <w:outlineLvl w:val="0"/>
        <w:rPr>
          <w:rFonts w:ascii="宋体" w:hAnsi="宋体"/>
          <w:b/>
          <w:sz w:val="32"/>
        </w:rPr>
      </w:pPr>
      <w:bookmarkStart w:id="31" w:name="_Toc12723"/>
      <w:bookmarkStart w:id="32" w:name="_Toc89792138"/>
      <w:r>
        <w:rPr>
          <w:rFonts w:hint="eastAsia" w:ascii="宋体" w:hAnsi="宋体"/>
          <w:b/>
          <w:sz w:val="32"/>
          <w:szCs w:val="32"/>
        </w:rPr>
        <w:t xml:space="preserve">第四部分 </w:t>
      </w:r>
      <w:r>
        <w:rPr>
          <w:rFonts w:hint="eastAsia" w:ascii="宋体" w:hAnsi="宋体"/>
          <w:b/>
          <w:sz w:val="32"/>
        </w:rPr>
        <w:t>采购需求</w:t>
      </w:r>
      <w:bookmarkEnd w:id="31"/>
      <w:bookmarkEnd w:id="32"/>
    </w:p>
    <w:p w14:paraId="6046960A">
      <w:pPr>
        <w:widowControl w:val="0"/>
        <w:spacing w:line="360" w:lineRule="auto"/>
        <w:ind w:firstLine="0" w:firstLineChars="0"/>
        <w:jc w:val="left"/>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项目名称：实习林场林区高空云台建设项目</w:t>
      </w:r>
    </w:p>
    <w:p w14:paraId="2AB5A289">
      <w:pPr>
        <w:widowControl w:val="0"/>
        <w:spacing w:line="360" w:lineRule="auto"/>
        <w:ind w:firstLine="0" w:firstLineChars="0"/>
        <w:jc w:val="left"/>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1、项目简要介绍</w:t>
      </w:r>
    </w:p>
    <w:p w14:paraId="4F7108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目前实习林场林区仅有一座高空云台，覆盖面积3万余亩，本次高空云台建设项目，立足实习林场林区管护任务需求，建设不少于2座高空云台，3座高空云台监控范围覆盖全场不少于</w:t>
      </w:r>
      <w:r>
        <w:rPr>
          <w:rFonts w:hint="eastAsia" w:cs="Times New Roman"/>
          <w:color w:val="auto"/>
          <w:kern w:val="2"/>
          <w:sz w:val="24"/>
          <w:szCs w:val="20"/>
          <w:lang w:val="en-US" w:eastAsia="zh-CN" w:bidi="ar-SA"/>
        </w:rPr>
        <w:t>85</w:t>
      </w:r>
      <w:r>
        <w:rPr>
          <w:rFonts w:hint="eastAsia" w:ascii="Times New Roman" w:hAnsi="Times New Roman" w:eastAsia="宋体" w:cs="Times New Roman"/>
          <w:color w:val="auto"/>
          <w:kern w:val="2"/>
          <w:sz w:val="24"/>
          <w:szCs w:val="20"/>
          <w:lang w:val="en-US" w:eastAsia="zh-CN" w:bidi="ar-SA"/>
        </w:rPr>
        <w:t>%区域。实现高空云台太阳能独立供电系统，构建集“前端智能感知、信号传输链路闭环、稳定能源供给、安全数据传输、后端智能分析”于一体的全流程林草智能化管护体系。</w:t>
      </w:r>
    </w:p>
    <w:p w14:paraId="7F3B35BF">
      <w:pPr>
        <w:spacing w:line="360" w:lineRule="auto"/>
        <w:ind w:left="0" w:leftChars="0" w:firstLine="0" w:firstLineChars="0"/>
        <w:jc w:val="left"/>
        <w:rPr>
          <w:rFonts w:hint="eastAsia" w:eastAsia="宋体"/>
          <w:b/>
          <w:bCs/>
          <w:color w:val="auto"/>
          <w:sz w:val="24"/>
          <w:szCs w:val="24"/>
          <w:lang w:val="en-US" w:eastAsia="zh-CN"/>
        </w:rPr>
      </w:pPr>
      <w:r>
        <w:rPr>
          <w:rFonts w:hint="eastAsia" w:ascii="Times New Roman" w:eastAsia="宋体"/>
          <w:b/>
          <w:bCs/>
          <w:color w:val="auto"/>
          <w:sz w:val="24"/>
          <w:szCs w:val="24"/>
          <w:lang w:val="en-US" w:eastAsia="zh-CN"/>
        </w:rPr>
        <w:t>2、建设规模</w:t>
      </w:r>
    </w:p>
    <w:p w14:paraId="3AA1D75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共建设3套高空云台及视频传输系统、2处新建及1处现有设备接入，监测设施设备配属的太阳能光伏供电系统、购置3套图像无线传输系统、1套视频存储设备。主体建设内容如下：</w:t>
      </w:r>
    </w:p>
    <w:p w14:paraId="7C9081EC">
      <w:pPr>
        <w:widowControl w:val="0"/>
        <w:spacing w:line="360" w:lineRule="auto"/>
        <w:ind w:left="0" w:leftChars="0" w:firstLine="0" w:firstLineChars="0"/>
        <w:jc w:val="center"/>
        <w:rPr>
          <w:rFonts w:hint="default" w:ascii="宋体" w:hAnsi="宋体" w:eastAsia="宋体" w:cs="Times New Roman"/>
          <w:i w:val="0"/>
          <w:iCs w:val="0"/>
          <w:kern w:val="2"/>
          <w:sz w:val="28"/>
          <w:szCs w:val="20"/>
          <w:lang w:val="en-US" w:eastAsia="zh-CN" w:bidi="ar-SA"/>
        </w:rPr>
      </w:pPr>
      <w:r>
        <w:rPr>
          <w:rFonts w:hint="eastAsia" w:ascii="宋体" w:hAnsi="宋体" w:eastAsia="宋体" w:cs="Times New Roman"/>
          <w:i w:val="0"/>
          <w:iCs w:val="0"/>
          <w:kern w:val="2"/>
          <w:sz w:val="28"/>
          <w:szCs w:val="20"/>
          <w:lang w:val="en-US" w:eastAsia="zh-CN" w:bidi="ar-SA"/>
        </w:rPr>
        <w:t>高空云台主体建设内容</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1849"/>
        <w:gridCol w:w="735"/>
        <w:gridCol w:w="765"/>
        <w:gridCol w:w="990"/>
        <w:gridCol w:w="990"/>
        <w:gridCol w:w="751"/>
        <w:gridCol w:w="959"/>
        <w:gridCol w:w="1754"/>
      </w:tblGrid>
      <w:tr w14:paraId="0903E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5247F7EA">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序号</w:t>
            </w:r>
          </w:p>
        </w:tc>
        <w:tc>
          <w:tcPr>
            <w:tcW w:w="1849" w:type="dxa"/>
            <w:vAlign w:val="center"/>
          </w:tcPr>
          <w:p w14:paraId="6233871D">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名称</w:t>
            </w:r>
          </w:p>
        </w:tc>
        <w:tc>
          <w:tcPr>
            <w:tcW w:w="735" w:type="dxa"/>
            <w:vAlign w:val="center"/>
          </w:tcPr>
          <w:p w14:paraId="00D72C2E">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新建塔</w:t>
            </w:r>
          </w:p>
        </w:tc>
        <w:tc>
          <w:tcPr>
            <w:tcW w:w="765" w:type="dxa"/>
            <w:vAlign w:val="center"/>
          </w:tcPr>
          <w:p w14:paraId="17DD1FF6">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改造塔</w:t>
            </w:r>
          </w:p>
        </w:tc>
        <w:tc>
          <w:tcPr>
            <w:tcW w:w="990" w:type="dxa"/>
            <w:vAlign w:val="center"/>
          </w:tcPr>
          <w:p w14:paraId="5262CA60">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新建太阳能</w:t>
            </w:r>
          </w:p>
        </w:tc>
        <w:tc>
          <w:tcPr>
            <w:tcW w:w="990" w:type="dxa"/>
            <w:vAlign w:val="center"/>
          </w:tcPr>
          <w:p w14:paraId="3B98F030">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升级太阳能</w:t>
            </w:r>
          </w:p>
        </w:tc>
        <w:tc>
          <w:tcPr>
            <w:tcW w:w="751" w:type="dxa"/>
            <w:vAlign w:val="center"/>
          </w:tcPr>
          <w:p w14:paraId="5B9B1C5C">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新建链路</w:t>
            </w:r>
          </w:p>
        </w:tc>
        <w:tc>
          <w:tcPr>
            <w:tcW w:w="959" w:type="dxa"/>
            <w:vAlign w:val="center"/>
          </w:tcPr>
          <w:p w14:paraId="03137AF1">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新建前端云台</w:t>
            </w:r>
          </w:p>
        </w:tc>
        <w:tc>
          <w:tcPr>
            <w:tcW w:w="1754" w:type="dxa"/>
            <w:vAlign w:val="center"/>
          </w:tcPr>
          <w:p w14:paraId="50197AE9">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备注</w:t>
            </w:r>
          </w:p>
        </w:tc>
      </w:tr>
      <w:tr w14:paraId="28F5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362BEAA8">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849" w:type="dxa"/>
            <w:vAlign w:val="center"/>
          </w:tcPr>
          <w:p w14:paraId="0BEE392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大草滩管护站</w:t>
            </w:r>
          </w:p>
        </w:tc>
        <w:tc>
          <w:tcPr>
            <w:tcW w:w="735" w:type="dxa"/>
            <w:vAlign w:val="center"/>
          </w:tcPr>
          <w:p w14:paraId="0D123709">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765" w:type="dxa"/>
            <w:vAlign w:val="center"/>
          </w:tcPr>
          <w:p w14:paraId="21F5ECCB">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90" w:type="dxa"/>
            <w:vAlign w:val="center"/>
          </w:tcPr>
          <w:p w14:paraId="02A8741E">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990" w:type="dxa"/>
            <w:vAlign w:val="center"/>
          </w:tcPr>
          <w:p w14:paraId="0D822A6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751" w:type="dxa"/>
            <w:vAlign w:val="center"/>
          </w:tcPr>
          <w:p w14:paraId="4358F0CB">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59" w:type="dxa"/>
            <w:vAlign w:val="center"/>
          </w:tcPr>
          <w:p w14:paraId="527441A8">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1754" w:type="dxa"/>
            <w:vAlign w:val="center"/>
          </w:tcPr>
          <w:p w14:paraId="438DB6E5">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r>
      <w:tr w14:paraId="50ED8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595457D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2</w:t>
            </w:r>
          </w:p>
        </w:tc>
        <w:tc>
          <w:tcPr>
            <w:tcW w:w="1849" w:type="dxa"/>
            <w:vAlign w:val="center"/>
          </w:tcPr>
          <w:p w14:paraId="30AD8579">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6-7林班线高点不小于10米高空云台</w:t>
            </w:r>
          </w:p>
        </w:tc>
        <w:tc>
          <w:tcPr>
            <w:tcW w:w="735" w:type="dxa"/>
            <w:vAlign w:val="center"/>
          </w:tcPr>
          <w:p w14:paraId="64031249">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765" w:type="dxa"/>
            <w:vAlign w:val="center"/>
          </w:tcPr>
          <w:p w14:paraId="3A521F93">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990" w:type="dxa"/>
            <w:vAlign w:val="center"/>
          </w:tcPr>
          <w:p w14:paraId="50B47DAB">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90" w:type="dxa"/>
            <w:vAlign w:val="center"/>
          </w:tcPr>
          <w:p w14:paraId="3AE4713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751" w:type="dxa"/>
            <w:vAlign w:val="center"/>
          </w:tcPr>
          <w:p w14:paraId="22A36B55">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59" w:type="dxa"/>
            <w:vAlign w:val="center"/>
          </w:tcPr>
          <w:p w14:paraId="1B200F86">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754" w:type="dxa"/>
            <w:vMerge w:val="restart"/>
            <w:vAlign w:val="center"/>
          </w:tcPr>
          <w:p w14:paraId="6C1D9BCF">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中标单位需选择不少于2座云台建设，具体建设点位需结合项目目标实地勘测后确认。可跳出预选六个点位，设计合理即可</w:t>
            </w:r>
          </w:p>
        </w:tc>
      </w:tr>
      <w:tr w14:paraId="20C57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0F0D5C33">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3</w:t>
            </w:r>
          </w:p>
        </w:tc>
        <w:tc>
          <w:tcPr>
            <w:tcW w:w="1849" w:type="dxa"/>
            <w:vAlign w:val="center"/>
          </w:tcPr>
          <w:p w14:paraId="261615CA">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9-12林班线高点不小于10米高空云台</w:t>
            </w:r>
          </w:p>
        </w:tc>
        <w:tc>
          <w:tcPr>
            <w:tcW w:w="735" w:type="dxa"/>
            <w:vAlign w:val="center"/>
          </w:tcPr>
          <w:p w14:paraId="19EA1B9F">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765" w:type="dxa"/>
            <w:vAlign w:val="center"/>
          </w:tcPr>
          <w:p w14:paraId="1FD811E1">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990" w:type="dxa"/>
            <w:vAlign w:val="center"/>
          </w:tcPr>
          <w:p w14:paraId="7B2EAEE1">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90" w:type="dxa"/>
            <w:vAlign w:val="center"/>
          </w:tcPr>
          <w:p w14:paraId="244F581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751" w:type="dxa"/>
            <w:vAlign w:val="center"/>
          </w:tcPr>
          <w:p w14:paraId="046798EA">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59" w:type="dxa"/>
            <w:vAlign w:val="center"/>
          </w:tcPr>
          <w:p w14:paraId="1A1F5B2D">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754" w:type="dxa"/>
            <w:vMerge w:val="continue"/>
            <w:vAlign w:val="center"/>
          </w:tcPr>
          <w:p w14:paraId="1BD5A49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color w:val="auto"/>
                <w:sz w:val="24"/>
                <w:szCs w:val="24"/>
                <w:vertAlign w:val="baseline"/>
                <w:lang w:val="en-US" w:eastAsia="zh-CN"/>
              </w:rPr>
            </w:pPr>
          </w:p>
        </w:tc>
      </w:tr>
      <w:tr w14:paraId="63D3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48182FA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4</w:t>
            </w:r>
          </w:p>
        </w:tc>
        <w:tc>
          <w:tcPr>
            <w:tcW w:w="1849" w:type="dxa"/>
            <w:vAlign w:val="center"/>
          </w:tcPr>
          <w:p w14:paraId="06A9904B">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10-11林班线高点不小于10米高空云台</w:t>
            </w:r>
          </w:p>
        </w:tc>
        <w:tc>
          <w:tcPr>
            <w:tcW w:w="735" w:type="dxa"/>
            <w:vAlign w:val="center"/>
          </w:tcPr>
          <w:p w14:paraId="65C003FC">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765" w:type="dxa"/>
            <w:vAlign w:val="center"/>
          </w:tcPr>
          <w:p w14:paraId="286F16BD">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990" w:type="dxa"/>
            <w:vAlign w:val="center"/>
          </w:tcPr>
          <w:p w14:paraId="3D235699">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90" w:type="dxa"/>
            <w:vAlign w:val="center"/>
          </w:tcPr>
          <w:p w14:paraId="175FDC6A">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751" w:type="dxa"/>
            <w:vAlign w:val="center"/>
          </w:tcPr>
          <w:p w14:paraId="3C0EA155">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59" w:type="dxa"/>
            <w:vAlign w:val="center"/>
          </w:tcPr>
          <w:p w14:paraId="1C553616">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754" w:type="dxa"/>
            <w:vMerge w:val="continue"/>
            <w:vAlign w:val="center"/>
          </w:tcPr>
          <w:p w14:paraId="330A9921">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color w:val="auto"/>
                <w:sz w:val="24"/>
                <w:szCs w:val="24"/>
                <w:vertAlign w:val="baseline"/>
                <w:lang w:val="en-US" w:eastAsia="zh-CN"/>
              </w:rPr>
            </w:pPr>
          </w:p>
        </w:tc>
      </w:tr>
      <w:tr w14:paraId="65F7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6CAABE5A">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5</w:t>
            </w:r>
          </w:p>
        </w:tc>
        <w:tc>
          <w:tcPr>
            <w:tcW w:w="1849" w:type="dxa"/>
            <w:vAlign w:val="center"/>
          </w:tcPr>
          <w:p w14:paraId="5F983C4C">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来木加普不小于10米高空云台</w:t>
            </w:r>
          </w:p>
        </w:tc>
        <w:tc>
          <w:tcPr>
            <w:tcW w:w="735" w:type="dxa"/>
            <w:vAlign w:val="center"/>
          </w:tcPr>
          <w:p w14:paraId="6DCF62F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765" w:type="dxa"/>
            <w:vAlign w:val="center"/>
          </w:tcPr>
          <w:p w14:paraId="40E8B3A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990" w:type="dxa"/>
            <w:vAlign w:val="center"/>
          </w:tcPr>
          <w:p w14:paraId="610D0526">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90" w:type="dxa"/>
            <w:vAlign w:val="center"/>
          </w:tcPr>
          <w:p w14:paraId="0447F8CD">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751" w:type="dxa"/>
            <w:vAlign w:val="center"/>
          </w:tcPr>
          <w:p w14:paraId="6E16843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59" w:type="dxa"/>
            <w:vAlign w:val="center"/>
          </w:tcPr>
          <w:p w14:paraId="227F4CF7">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754" w:type="dxa"/>
            <w:vMerge w:val="continue"/>
            <w:vAlign w:val="center"/>
          </w:tcPr>
          <w:p w14:paraId="56AB4066">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color w:val="auto"/>
                <w:sz w:val="24"/>
                <w:szCs w:val="24"/>
                <w:vertAlign w:val="baseline"/>
                <w:lang w:val="en-US" w:eastAsia="zh-CN"/>
              </w:rPr>
            </w:pPr>
          </w:p>
        </w:tc>
      </w:tr>
      <w:tr w14:paraId="474F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 w:type="dxa"/>
            <w:vAlign w:val="center"/>
          </w:tcPr>
          <w:p w14:paraId="38A756C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6</w:t>
            </w:r>
          </w:p>
        </w:tc>
        <w:tc>
          <w:tcPr>
            <w:tcW w:w="1849" w:type="dxa"/>
            <w:vAlign w:val="center"/>
          </w:tcPr>
          <w:p w14:paraId="71D64118">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加普沙萨拉村不小于10米高空云台</w:t>
            </w:r>
          </w:p>
        </w:tc>
        <w:tc>
          <w:tcPr>
            <w:tcW w:w="735" w:type="dxa"/>
            <w:vAlign w:val="center"/>
          </w:tcPr>
          <w:p w14:paraId="5FA5C7FC">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765" w:type="dxa"/>
            <w:vAlign w:val="center"/>
          </w:tcPr>
          <w:p w14:paraId="4A3DB710">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990" w:type="dxa"/>
            <w:vAlign w:val="center"/>
          </w:tcPr>
          <w:p w14:paraId="1C8CA610">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90" w:type="dxa"/>
            <w:vAlign w:val="center"/>
          </w:tcPr>
          <w:p w14:paraId="12F086F0">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color w:val="auto"/>
                <w:sz w:val="24"/>
                <w:szCs w:val="24"/>
                <w:vertAlign w:val="baseline"/>
              </w:rPr>
            </w:pPr>
          </w:p>
        </w:tc>
        <w:tc>
          <w:tcPr>
            <w:tcW w:w="751" w:type="dxa"/>
            <w:vAlign w:val="center"/>
          </w:tcPr>
          <w:p w14:paraId="4399AA9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959" w:type="dxa"/>
            <w:vAlign w:val="center"/>
          </w:tcPr>
          <w:p w14:paraId="32DB5EBA">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754" w:type="dxa"/>
            <w:vMerge w:val="continue"/>
            <w:vAlign w:val="center"/>
          </w:tcPr>
          <w:p w14:paraId="73FE908F">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color w:val="auto"/>
                <w:sz w:val="24"/>
                <w:szCs w:val="24"/>
                <w:vertAlign w:val="baseline"/>
                <w:lang w:val="en-US" w:eastAsia="zh-CN"/>
              </w:rPr>
            </w:pPr>
          </w:p>
        </w:tc>
      </w:tr>
    </w:tbl>
    <w:p w14:paraId="072F165E">
      <w:pPr>
        <w:widowControl w:val="0"/>
        <w:spacing w:line="360" w:lineRule="auto"/>
        <w:ind w:left="0" w:leftChars="0" w:firstLine="0" w:firstLineChars="0"/>
        <w:jc w:val="center"/>
        <w:rPr>
          <w:rFonts w:hint="default" w:ascii="宋体" w:hAnsi="宋体" w:eastAsia="宋体" w:cs="Times New Roman"/>
          <w:i w:val="0"/>
          <w:iCs w:val="0"/>
          <w:kern w:val="2"/>
          <w:sz w:val="28"/>
          <w:szCs w:val="20"/>
          <w:lang w:val="en-US" w:eastAsia="zh-CN" w:bidi="ar-SA"/>
        </w:rPr>
      </w:pPr>
      <w:r>
        <w:rPr>
          <w:rFonts w:hint="eastAsia" w:ascii="宋体" w:hAnsi="宋体" w:eastAsia="宋体" w:cs="Times New Roman"/>
          <w:i w:val="0"/>
          <w:iCs w:val="0"/>
          <w:kern w:val="2"/>
          <w:sz w:val="28"/>
          <w:szCs w:val="20"/>
          <w:lang w:val="en-US" w:eastAsia="zh-CN" w:bidi="ar-SA"/>
        </w:rPr>
        <w:t>后端及存储设备建设内容</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665"/>
        <w:gridCol w:w="810"/>
        <w:gridCol w:w="840"/>
        <w:gridCol w:w="4155"/>
      </w:tblGrid>
      <w:tr w14:paraId="3BB9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91" w:type="dxa"/>
            <w:vAlign w:val="center"/>
          </w:tcPr>
          <w:p w14:paraId="641918AD">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序号</w:t>
            </w:r>
          </w:p>
        </w:tc>
        <w:tc>
          <w:tcPr>
            <w:tcW w:w="1665" w:type="dxa"/>
            <w:vAlign w:val="center"/>
          </w:tcPr>
          <w:p w14:paraId="4E48E04E">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名称</w:t>
            </w:r>
          </w:p>
        </w:tc>
        <w:tc>
          <w:tcPr>
            <w:tcW w:w="810" w:type="dxa"/>
            <w:vAlign w:val="center"/>
          </w:tcPr>
          <w:p w14:paraId="4D95170B">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eastAsia="宋体"/>
                <w:color w:val="auto"/>
                <w:sz w:val="24"/>
                <w:szCs w:val="24"/>
                <w:vertAlign w:val="baseline"/>
                <w:lang w:val="en-US" w:eastAsia="zh-CN"/>
              </w:rPr>
              <w:t>单位</w:t>
            </w:r>
          </w:p>
        </w:tc>
        <w:tc>
          <w:tcPr>
            <w:tcW w:w="840" w:type="dxa"/>
            <w:vAlign w:val="center"/>
          </w:tcPr>
          <w:p w14:paraId="6EC40BB3">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eastAsia="宋体"/>
                <w:color w:val="auto"/>
                <w:sz w:val="24"/>
                <w:szCs w:val="24"/>
                <w:vertAlign w:val="baseline"/>
                <w:lang w:val="en-US" w:eastAsia="zh-CN"/>
              </w:rPr>
              <w:t>数量</w:t>
            </w:r>
          </w:p>
        </w:tc>
        <w:tc>
          <w:tcPr>
            <w:tcW w:w="4155" w:type="dxa"/>
            <w:vAlign w:val="center"/>
          </w:tcPr>
          <w:p w14:paraId="737FC29C">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eastAsia="宋体"/>
                <w:color w:val="auto"/>
                <w:sz w:val="24"/>
                <w:szCs w:val="24"/>
                <w:vertAlign w:val="baseline"/>
                <w:lang w:val="en-US" w:eastAsia="zh-CN"/>
              </w:rPr>
              <w:t>备注</w:t>
            </w:r>
          </w:p>
        </w:tc>
      </w:tr>
      <w:tr w14:paraId="1E94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05F9F972">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1</w:t>
            </w:r>
          </w:p>
        </w:tc>
        <w:tc>
          <w:tcPr>
            <w:tcW w:w="1665" w:type="dxa"/>
            <w:vAlign w:val="center"/>
          </w:tcPr>
          <w:p w14:paraId="0AF68F3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后端设备</w:t>
            </w:r>
          </w:p>
        </w:tc>
        <w:tc>
          <w:tcPr>
            <w:tcW w:w="810" w:type="dxa"/>
            <w:vAlign w:val="center"/>
          </w:tcPr>
          <w:p w14:paraId="7C892875">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eastAsia" w:eastAsia="宋体"/>
                <w:color w:val="auto"/>
                <w:sz w:val="24"/>
                <w:szCs w:val="24"/>
                <w:vertAlign w:val="baseline"/>
                <w:lang w:val="en-US" w:eastAsia="zh-CN"/>
              </w:rPr>
            </w:pPr>
            <w:r>
              <w:rPr>
                <w:rFonts w:hint="eastAsia" w:eastAsia="宋体"/>
                <w:color w:val="auto"/>
                <w:sz w:val="24"/>
                <w:szCs w:val="24"/>
                <w:vertAlign w:val="baseline"/>
                <w:lang w:val="en-US" w:eastAsia="zh-CN"/>
              </w:rPr>
              <w:t>1</w:t>
            </w:r>
          </w:p>
        </w:tc>
        <w:tc>
          <w:tcPr>
            <w:tcW w:w="840" w:type="dxa"/>
            <w:vAlign w:val="center"/>
          </w:tcPr>
          <w:p w14:paraId="7674D884">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套</w:t>
            </w:r>
          </w:p>
        </w:tc>
        <w:tc>
          <w:tcPr>
            <w:tcW w:w="4155" w:type="dxa"/>
            <w:vAlign w:val="center"/>
          </w:tcPr>
          <w:p w14:paraId="267CFBAE">
            <w:pPr>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eastAsia="宋体"/>
                <w:color w:val="auto"/>
                <w:sz w:val="24"/>
                <w:szCs w:val="24"/>
                <w:vertAlign w:val="baseline"/>
                <w:lang w:val="en-US" w:eastAsia="zh-CN"/>
              </w:rPr>
            </w:pPr>
            <w:r>
              <w:rPr>
                <w:rFonts w:hint="eastAsia" w:ascii="Times New Roman" w:eastAsia="宋体"/>
                <w:color w:val="auto"/>
                <w:sz w:val="24"/>
                <w:szCs w:val="24"/>
                <w:vertAlign w:val="baseline"/>
                <w:lang w:val="en-US" w:eastAsia="zh-CN"/>
              </w:rPr>
              <w:t>视频存储不小于</w:t>
            </w:r>
            <w:r>
              <w:rPr>
                <w:rFonts w:hint="eastAsia"/>
                <w:color w:val="auto"/>
                <w:sz w:val="24"/>
                <w:szCs w:val="24"/>
                <w:vertAlign w:val="baseline"/>
                <w:lang w:val="en-US" w:eastAsia="zh-CN"/>
              </w:rPr>
              <w:t>40</w:t>
            </w:r>
            <w:r>
              <w:rPr>
                <w:rFonts w:hint="eastAsia" w:ascii="Times New Roman" w:eastAsia="宋体"/>
                <w:color w:val="auto"/>
                <w:sz w:val="24"/>
                <w:szCs w:val="24"/>
                <w:vertAlign w:val="baseline"/>
                <w:lang w:val="en-US" w:eastAsia="zh-CN"/>
              </w:rPr>
              <w:t>天，画面回传至监看中心显示</w:t>
            </w:r>
          </w:p>
        </w:tc>
      </w:tr>
    </w:tbl>
    <w:p w14:paraId="637A1CBD">
      <w:pPr>
        <w:spacing w:line="360" w:lineRule="auto"/>
        <w:ind w:left="0" w:leftChars="0" w:firstLine="0" w:firstLineChars="0"/>
        <w:jc w:val="left"/>
        <w:rPr>
          <w:rFonts w:hint="eastAsia" w:eastAsia="宋体"/>
          <w:b/>
          <w:bCs/>
          <w:color w:val="auto"/>
          <w:sz w:val="24"/>
          <w:szCs w:val="24"/>
          <w:lang w:val="en-US" w:eastAsia="zh-CN"/>
        </w:rPr>
      </w:pPr>
      <w:r>
        <w:rPr>
          <w:rFonts w:hint="eastAsia" w:ascii="Times New Roman" w:eastAsia="宋体"/>
          <w:b/>
          <w:bCs/>
          <w:color w:val="auto"/>
          <w:sz w:val="24"/>
          <w:szCs w:val="24"/>
          <w:lang w:val="en-US" w:eastAsia="zh-CN"/>
        </w:rPr>
        <w:t>3、建设方案</w:t>
      </w:r>
    </w:p>
    <w:p w14:paraId="637EFF1E">
      <w:pPr>
        <w:spacing w:line="360" w:lineRule="auto"/>
        <w:ind w:left="0" w:leftChars="0" w:firstLine="0" w:firstLineChars="0"/>
        <w:jc w:val="left"/>
        <w:rPr>
          <w:rFonts w:hint="default"/>
          <w:b/>
          <w:bCs/>
          <w:color w:val="auto"/>
          <w:sz w:val="24"/>
          <w:szCs w:val="24"/>
          <w:lang w:val="en-US" w:eastAsia="zh-CN"/>
        </w:rPr>
      </w:pPr>
      <w:r>
        <w:rPr>
          <w:rFonts w:hint="eastAsia" w:ascii="Times New Roman" w:eastAsia="宋体"/>
          <w:b/>
          <w:bCs/>
          <w:color w:val="auto"/>
          <w:sz w:val="24"/>
          <w:szCs w:val="24"/>
          <w:lang w:val="en-US" w:eastAsia="zh-CN"/>
        </w:rPr>
        <w:t>3.1云台技术拓扑</w:t>
      </w:r>
    </w:p>
    <w:p w14:paraId="20535F8F">
      <w:pPr>
        <w:spacing w:line="360" w:lineRule="auto"/>
        <w:ind w:left="0" w:leftChars="0" w:firstLine="0" w:firstLineChars="0"/>
        <w:jc w:val="left"/>
        <w:rPr>
          <w:rFonts w:hint="eastAsia"/>
          <w:color w:val="auto"/>
          <w:sz w:val="24"/>
          <w:szCs w:val="24"/>
          <w:lang w:val="en-US" w:eastAsia="zh-CN"/>
        </w:rPr>
      </w:pPr>
      <w:r>
        <w:rPr>
          <w:rFonts w:hint="eastAsia"/>
          <w:color w:val="auto"/>
          <w:sz w:val="24"/>
          <w:szCs w:val="24"/>
          <w:lang w:val="en-US" w:eastAsia="zh-CN"/>
        </w:rPr>
        <w:drawing>
          <wp:inline distT="0" distB="0" distL="114300" distR="114300">
            <wp:extent cx="6115050" cy="3663950"/>
            <wp:effectExtent l="0" t="0" r="0" b="12700"/>
            <wp:docPr id="7" name="图片 7" descr="818989dded5a3dc9153ef02e8242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818989dded5a3dc9153ef02e82424128"/>
                    <pic:cNvPicPr>
                      <a:picLocks noChangeAspect="1"/>
                    </pic:cNvPicPr>
                  </pic:nvPicPr>
                  <pic:blipFill>
                    <a:blip r:embed="rId17"/>
                    <a:stretch>
                      <a:fillRect/>
                    </a:stretch>
                  </pic:blipFill>
                  <pic:spPr>
                    <a:xfrm>
                      <a:off x="0" y="0"/>
                      <a:ext cx="6115050" cy="3663950"/>
                    </a:xfrm>
                    <a:prstGeom prst="rect">
                      <a:avLst/>
                    </a:prstGeom>
                  </pic:spPr>
                </pic:pic>
              </a:graphicData>
            </a:graphic>
          </wp:inline>
        </w:drawing>
      </w:r>
    </w:p>
    <w:p w14:paraId="5C550778">
      <w:pPr>
        <w:spacing w:line="360" w:lineRule="auto"/>
        <w:ind w:left="0" w:leftChars="0" w:firstLine="0" w:firstLineChars="0"/>
        <w:jc w:val="left"/>
        <w:rPr>
          <w:rFonts w:hint="default"/>
          <w:b/>
          <w:bCs/>
          <w:color w:val="auto"/>
          <w:sz w:val="24"/>
          <w:szCs w:val="24"/>
          <w:lang w:val="en-US" w:eastAsia="zh-CN"/>
        </w:rPr>
      </w:pPr>
      <w:r>
        <w:rPr>
          <w:rFonts w:hint="eastAsia" w:ascii="Times New Roman" w:eastAsia="宋体"/>
          <w:b/>
          <w:bCs/>
          <w:color w:val="auto"/>
          <w:sz w:val="24"/>
          <w:szCs w:val="24"/>
          <w:lang w:val="en-US" w:eastAsia="zh-CN"/>
        </w:rPr>
        <w:t>3.2前端系统设计</w:t>
      </w:r>
    </w:p>
    <w:p w14:paraId="53CEDC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高空云台项目在整个智能管护体系建设中，前端设备稳定高效，是整个系统的重中之重，所以在该网络结构的设计中也充分地体现了这一原则。前端子系统主要由以下四个部分组成：</w:t>
      </w:r>
    </w:p>
    <w:p w14:paraId="4453228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imes New Roman" w:hAnsi="Times New Roman" w:eastAsia="宋体" w:cs="Times New Roman"/>
          <w:b w:val="0"/>
          <w:bCs w:val="0"/>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太阳能供电系统：</w:t>
      </w:r>
      <w:r>
        <w:rPr>
          <w:rFonts w:hint="eastAsia" w:ascii="Times New Roman" w:hAnsi="Times New Roman" w:eastAsia="宋体" w:cs="Times New Roman"/>
          <w:b w:val="0"/>
          <w:bCs w:val="0"/>
          <w:color w:val="auto"/>
          <w:kern w:val="2"/>
          <w:sz w:val="24"/>
          <w:szCs w:val="20"/>
          <w:lang w:val="en-US" w:eastAsia="zh-CN" w:bidi="ar-SA"/>
        </w:rPr>
        <w:t>该部分负责提供稳定的电力供应，确保整个系统的正常运行。通过电源管理系统将其电力储存到电池中。在夜间或阴雨天，电池中的电能会被释放出来供系统使用。这样既环保又可持续，可以保证长时间稳定的供电。</w:t>
      </w:r>
    </w:p>
    <w:p w14:paraId="5DDCF8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b w:val="0"/>
          <w:bCs w:val="0"/>
          <w:color w:val="auto"/>
          <w:kern w:val="2"/>
          <w:sz w:val="24"/>
          <w:szCs w:val="20"/>
          <w:lang w:val="en-US" w:eastAsia="zh-CN" w:bidi="ar-SA"/>
        </w:rPr>
        <w:t>通过现场实地考察，辖区内2处站点需新建太阳能光伏供电系统。根据前端监控系统组成，核算出单个新建站点前端设备所需总功率为不小于300W，太阳能供电系统要求不小于72小时备电。</w:t>
      </w:r>
    </w:p>
    <w:p w14:paraId="72785A5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监控系统：</w:t>
      </w:r>
      <w:r>
        <w:rPr>
          <w:rFonts w:hint="eastAsia" w:ascii="Times New Roman" w:hAnsi="Times New Roman" w:eastAsia="宋体" w:cs="Times New Roman"/>
          <w:b w:val="0"/>
          <w:bCs w:val="0"/>
          <w:color w:val="auto"/>
          <w:kern w:val="2"/>
          <w:sz w:val="24"/>
          <w:szCs w:val="20"/>
          <w:lang w:val="en-US" w:eastAsia="zh-CN" w:bidi="ar-SA"/>
        </w:rPr>
        <w:t>该部分负责对环境进行实时监测和记录。它包括红外探测器、声光报警器等设备。红外探测器用于检测动物活动，声光报警器则在发生异常情况时发出警报，引起人们的注意。此外，监控系统还包括摄像头、交换机，可以实时传输监测区域的图像，帮助人们更好地了解环境状况</w:t>
      </w:r>
      <w:r>
        <w:rPr>
          <w:rFonts w:hint="eastAsia" w:ascii="Times New Roman" w:hAnsi="Times New Roman" w:eastAsia="宋体" w:cs="Times New Roman"/>
          <w:color w:val="auto"/>
          <w:kern w:val="2"/>
          <w:sz w:val="24"/>
          <w:szCs w:val="20"/>
          <w:lang w:val="en-US" w:eastAsia="zh-CN" w:bidi="ar-SA"/>
        </w:rPr>
        <w:t>。</w:t>
      </w:r>
    </w:p>
    <w:p w14:paraId="66908D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cs="宋体"/>
          <w:color w:val="000000"/>
          <w:kern w:val="0"/>
          <w:sz w:val="24"/>
          <w:szCs w:val="24"/>
          <w:lang w:val="en-US" w:eastAsia="zh-CN" w:bidi="ar"/>
        </w:rPr>
      </w:pPr>
      <w:r>
        <w:rPr>
          <w:rFonts w:hint="eastAsia" w:ascii="Times New Roman" w:hAnsi="Times New Roman" w:eastAsia="宋体" w:cs="Times New Roman"/>
          <w:b/>
          <w:bCs/>
          <w:color w:val="auto"/>
          <w:kern w:val="2"/>
          <w:sz w:val="24"/>
          <w:szCs w:val="20"/>
          <w:lang w:val="en-US" w:eastAsia="zh-CN" w:bidi="ar-SA"/>
        </w:rPr>
        <w:t>监控存储系统：</w:t>
      </w:r>
      <w:r>
        <w:rPr>
          <w:rFonts w:ascii="宋体" w:hAnsi="宋体" w:eastAsia="宋体" w:cs="宋体"/>
          <w:color w:val="000000"/>
          <w:kern w:val="0"/>
          <w:sz w:val="24"/>
          <w:szCs w:val="24"/>
          <w:lang w:val="en-US" w:eastAsia="zh-CN" w:bidi="ar"/>
        </w:rPr>
        <w:t>全点位视频录像存储、火情取证归档，满足火灾调查、林业档案留存要求。</w:t>
      </w:r>
    </w:p>
    <w:p w14:paraId="6564A0A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监测塔：</w:t>
      </w:r>
      <w:r>
        <w:rPr>
          <w:rFonts w:hint="eastAsia" w:ascii="Times New Roman" w:hAnsi="Times New Roman" w:eastAsia="宋体" w:cs="Times New Roman"/>
          <w:b w:val="0"/>
          <w:bCs w:val="0"/>
          <w:color w:val="auto"/>
          <w:kern w:val="2"/>
          <w:sz w:val="24"/>
          <w:szCs w:val="20"/>
          <w:lang w:val="en-US" w:eastAsia="zh-CN" w:bidi="ar-SA"/>
        </w:rPr>
        <w:t>云台前端站点位于林区内，四周一般都有较高的森林，智能监测要求的视野广、无障碍、监测角度大，尽量少设监测点，并尽可能使得每个监测点监测覆盖的森林面积最大等特点，需要采用监测塔提升到一定的高度来满足智能监测的要求，监测塔高度是由四周的林木高度和监视范围要求以及智能烟火识别处理器的技术特点共同确定。理想的监测塔监测点高度应该是，高过四周的林木，摄像机水平位置能够监视到较大面积，摄像机俯仰角不易过大（±45°以内最好），因为过大的俯仰角容易导致智能烟火处理器无法正常识别到正常的烟火。监测塔为前端基站设备的运行提供必要地保障，为了使设备正常运行，在基础建设本着牢固可靠、坚固耐用的原则，生态监测塔设计遵循《高耸结构设计规范》GB135-90,满足无线通信要求。监测塔基建是一项十分重要的项目，质量决定监测塔的使用年限，本次监测塔采用：自立塔结构，塔形采用角钢塔，塔高根据实际情况结合资源监测的监测范围进行设计</w:t>
      </w:r>
      <w:r>
        <w:rPr>
          <w:rFonts w:hint="eastAsia" w:ascii="Times New Roman" w:hAnsi="Times New Roman" w:eastAsia="宋体" w:cs="Times New Roman"/>
          <w:color w:val="auto"/>
          <w:kern w:val="2"/>
          <w:sz w:val="24"/>
          <w:szCs w:val="20"/>
          <w:lang w:val="en-US" w:eastAsia="zh-CN" w:bidi="ar-SA"/>
        </w:rPr>
        <w:t>。</w:t>
      </w:r>
    </w:p>
    <w:p w14:paraId="68F6421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3.3前端系统详细配置及技术要求（所有参数均设置不少于不小于描述内容）</w:t>
      </w:r>
    </w:p>
    <w:p w14:paraId="2D4EE9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本项目新建2处高空云台监测站点，每个站点配置一套完整的前端监测系统，包含高空云台摄像机、太阳能供电系统、塔下安防系统、无线传输系统及配套基础设施。前端系统应满足7×24小时不间断运行要求，适应林区野外恶劣自然环境，具备防尘、防水、防雷、抗低温等能力。</w:t>
      </w:r>
    </w:p>
    <w:p w14:paraId="53E95FB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3.3.1高空云台摄像机</w:t>
      </w:r>
    </w:p>
    <w:p w14:paraId="2BD892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每个新建站点配置1台热成像双光谱重载云台（高空云台摄像机），安装于新建监控塔顶端，实现对林区火情、人员、车辆、野生动物的全天候监测。设备主要技术要求如下:</w:t>
      </w:r>
    </w:p>
    <w:p w14:paraId="1E56EB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（一）硬件架构</w:t>
      </w:r>
    </w:p>
    <w:p w14:paraId="51D7F9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热成像双光谱网络云台内置1个陀螺仪、1个温度传感器、1个水平仪传感器、≥1个氧化钒探测器、≥1个激光模组、≥1个可见光镜头≥1个RJ45网络接口、≥1个RS485接口、≥1个SD卡插槽、≥2个报警输入接口、≥2个报警输出接口、≥1个BNC接口、≥1个音频输入接口、≥1个音频输出接口。</w:t>
      </w:r>
    </w:p>
    <w:p w14:paraId="62BA60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（二）热成像参数</w:t>
      </w:r>
    </w:p>
    <w:p w14:paraId="1C00C3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采用氧化钒非制冷型探测器</w:t>
      </w:r>
    </w:p>
    <w:p w14:paraId="0547D0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▲红外探测器像元尺寸不小于12μm像元尺寸</w:t>
      </w:r>
    </w:p>
    <w:p w14:paraId="4797FD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响应波段：8~14 μm，Xing热成像分辨率：不小于640 × 512；噪声等效温差NETD：＜35 mk(@25 °C,F#=1.0)，焦距：75mm，最大光圈值：F1.0；视场角：3.5°（H）*2.6°（V）；支持15种伪彩色模式可调节、对比度调节、3D降噪及图像细节增强功能，火点最远报警距离（以2米*2米为准）：不小于6000m</w:t>
      </w:r>
    </w:p>
    <w:p w14:paraId="4E6891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（三）可见光</w:t>
      </w:r>
    </w:p>
    <w:p w14:paraId="4838CD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采用≥1/1.8"高性能CMOS，分辨率≥2688×1520（400万实时高清）；可见光数字变倍：×2，×4，×8，×16，焦距6 to 360 mm 60x ；最低照度0.002 Lux/F1.5(彩色),0.0002 Lux/F1.5(黑白) ,0 Lux with IR；支持光学透雾和算法透雾、ROI感兴趣区域增强。</w:t>
      </w:r>
    </w:p>
    <w:p w14:paraId="37395F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▲可见光镜头支持光学防抖；焦距6mm±5%～360mm±5%；光学变倍≥60倍；（提供有效检测报告）</w:t>
      </w:r>
    </w:p>
    <w:p w14:paraId="6F8814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▲通过可见光智能算法识别天际线，控制云台旋转一圈生成 360 度的天际线，再根据天际线自动生成水平旋转及其左右的边界；且天际线分割算法过滤能力等级可配置（提供有效检测报告）</w:t>
      </w:r>
    </w:p>
    <w:p w14:paraId="593545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（四）云台及控制</w:t>
      </w:r>
    </w:p>
    <w:p w14:paraId="00A67C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水平范围：0~360°连续旋转，俯仰角度：-85°~85°（可调）；旋转速度：0.1°~50°/s（可调）；控制方式：自动（预置位）或手动均可；预置位：300个（可调）；定位精度：±0.05°。</w:t>
      </w:r>
    </w:p>
    <w:p w14:paraId="2D8E7B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激光补光，有效补光距离≥2km，满足夜间及低照度环境监控需求；支持精密电机驱动，反应灵敏，运转平稳，精度偏差＜0.01度，任何速度下图像无抖动；支持3D定位功能，通过客户端/IE可实现点击放大；支持智能雨刷、光学透雾、镜像、数字变倍和本地视频输出功能。</w:t>
      </w:r>
    </w:p>
    <w:p w14:paraId="18B0EB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（五）探测及识别能力</w:t>
      </w:r>
    </w:p>
    <w:p w14:paraId="249046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热成像探测距离（人/车辆）：≥3125m/9583m/32083m；人员最远报警距离≥1125m，车辆最远报警距离≥2250m，火点最远报警距离≥6000m，支持烟火自动绘制屏蔽功能，可自动沿设置的巡航路径进行民房和工厂的监测及居中放大确认，并针对民房、工厂进行自动绘制生成屏蔽区域，对该区域热源进行自动屏蔽过滤。</w:t>
      </w:r>
    </w:p>
    <w:p w14:paraId="6F8F06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（六）环境适应性</w:t>
      </w:r>
    </w:p>
    <w:p w14:paraId="675108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支持系统双备份功能，确保数据断电不丢失；支持断电状态记忆功能，上电后自动恢复断电前的云台和镜头状态；支持热成像探测器防灼伤智能躲避、欠压和过压报警、远程掉电重启功能。</w:t>
      </w:r>
    </w:p>
    <w:p w14:paraId="1833DC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防护等级≥IP66；工作温度：-40°C～70°C；外壳防护应符合GB/T 4208-2017中IP66防护要求；电磁兼容符合GB/T17626.5四级标准；湿度＜90% RH；内置内部温度监控、定向工业除霜器、镜头除冰功能，适应极端环境。</w:t>
      </w:r>
    </w:p>
    <w:p w14:paraId="3986EC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材料：主体采用全铝合金材料，具备防水、防腐、防火；视窗：纳米自洁光学玻璃；智能温控系统：低于0℃±3℃自动加热至15℃±3℃，高于37℃±3℃自动开启风扇降温至25℃±2℃；确保护罩内电子设备全年全天候正常工作。</w:t>
      </w:r>
    </w:p>
    <w:p w14:paraId="0BC2448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3.3.2塔下安防系统</w:t>
      </w:r>
    </w:p>
    <w:p w14:paraId="40A9ED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每个新建站点配置1套塔下安防系统，对闯入警戒区域内的人员进行视频监控及联动语音提醒。</w:t>
      </w:r>
    </w:p>
    <w:p w14:paraId="764BEF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▲支持输出图像分辨率不小于1920×1080 。（提供有效检测报告）</w:t>
      </w:r>
    </w:p>
    <w:p w14:paraId="5B4731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▲光学变倍大于23倍，最大焦距110mm</w:t>
      </w:r>
    </w:p>
    <w:p w14:paraId="27C30B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▲内置GPU芯片（提供有效检测报告）</w:t>
      </w:r>
    </w:p>
    <w:p w14:paraId="455EC1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▲对人或车辆进入警戒区域后，设备可发出白光警示、声音警示，并启动智能跟踪功能（提供有效检测报告）</w:t>
      </w:r>
    </w:p>
    <w:p w14:paraId="52C703E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采用红外补光的球机：可识别距设备150m的人体轮廓（提供有效检测报告）</w:t>
      </w:r>
    </w:p>
    <w:p w14:paraId="6F8BB3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最低照度：红外灯关闭：彩色≤0.005Lux，黑白模式≤0.001Lux（提供有效检测报告）</w:t>
      </w:r>
    </w:p>
    <w:p w14:paraId="0F06FB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球机水平手控速度不小于160°/S，垂直速度不小于120°/S，云台定位精度为±0.1°（提供有效检测报告）</w:t>
      </w:r>
    </w:p>
    <w:p w14:paraId="271BA8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水平旋转范围为360°连续旋转，垂直旋转范围为-15°~90°</w:t>
      </w:r>
    </w:p>
    <w:p w14:paraId="0C5322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支持对镜头前盖玻璃加热，去除玻璃上的冰状和水状附着物。</w:t>
      </w:r>
    </w:p>
    <w:p w14:paraId="0FF17E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需具备智能分析抗干扰功能，当篮球、小狗、树叶等非人或车辆目标经过检测区域时，不会触发报警。（提供有效检测报告）</w:t>
      </w:r>
    </w:p>
    <w:p w14:paraId="42BAB1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支持快捷配置功能，可在预览画面开启/关闭“快捷配置”页面，对曝光参数、OSD、智能资源分配模式等参数进行配置，并可一键恢复为默认设置。（提供有效检测报告）</w:t>
      </w:r>
    </w:p>
    <w:p w14:paraId="7A59D9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应具有300个预置位，可按照所设置的预置位完成不小于8条巡航路径，可按照所设置轨迹完成4条模式路径，可实现RS485接口优先或RJ45网络接口优先控制功能（提供有效检测报告）</w:t>
      </w:r>
    </w:p>
    <w:p w14:paraId="7003AD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支持采用H.265、H.264视频编码标准，H.264编码支持Baseline/Main/High Profile，音频编码支持G.711ulaw/G.711alaw/G.726/G.722.1</w:t>
      </w:r>
    </w:p>
    <w:p w14:paraId="1BBA69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当智能行为分析设置为区域入侵，越界入侵，进入区域、离开区域时，可对行人、车、自行车、电瓶车、摩托车、三轮车等进行检测设备支持行为分析触发后联动聚焦、联动目标跟踪等多种报警触发方式（提供有效检测报告）</w:t>
      </w:r>
    </w:p>
    <w:p w14:paraId="47A86C2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3.3.3室外设备箱</w:t>
      </w:r>
    </w:p>
    <w:p w14:paraId="0D820F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每个新建站点配置1套室外设备箱：</w:t>
      </w:r>
    </w:p>
    <w:p w14:paraId="25FAAE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结构与材料：内胆为不锈钢结构，外壳为不锈钢表面采用聚氨酯静电喷涂，中间为保温材料结构设计，具有良好防腐性能、密闭性能和散热性能。</w:t>
      </w:r>
    </w:p>
    <w:p w14:paraId="61E01E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防护性能：具有防火、防雨、防风、防潮、防腐性能。</w:t>
      </w:r>
    </w:p>
    <w:p w14:paraId="63AB4B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防护等级：IP66。</w:t>
      </w:r>
    </w:p>
    <w:p w14:paraId="285F907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3.3.4新建监控塔/防雷接地</w:t>
      </w:r>
    </w:p>
    <w:p w14:paraId="21B35D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每个新建站点建设1座四柱角钢监控塔，高度≥10米；</w:t>
      </w:r>
    </w:p>
    <w:p w14:paraId="57D63E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主材材质为Q235钢，设外爬梯带护栏。</w:t>
      </w:r>
    </w:p>
    <w:p w14:paraId="14A2725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设计风速30m/s；抗震烈度：8级。</w:t>
      </w:r>
    </w:p>
    <w:p w14:paraId="0990F9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温度适应范围：-35°C~+55°C。</w:t>
      </w:r>
    </w:p>
    <w:p w14:paraId="51BBF3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垂直度≤1/1000；裹冰：5mm。</w:t>
      </w:r>
    </w:p>
    <w:p w14:paraId="015B3D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铁塔热镀锌处理。</w:t>
      </w:r>
    </w:p>
    <w:p w14:paraId="377C6D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含基坑开挖，塔基施工，底碎石垫层，浇筑C30混凝土；防雷接地施工。</w:t>
      </w:r>
    </w:p>
    <w:p w14:paraId="1DD233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塔顶配置一根不小于2米避雷针，并与预埋防雷接地组件可靠连接。</w:t>
      </w:r>
    </w:p>
    <w:p w14:paraId="7EF586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防雷接地网宜和基础一起施工。</w:t>
      </w:r>
    </w:p>
    <w:p w14:paraId="6FBBC0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接地网埋室外地平面以下且深度不小于500mm。</w:t>
      </w:r>
    </w:p>
    <w:p w14:paraId="2FE94A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避雷引下线沿塔柱或爬梯两侧引下，与1个塔脚和防雷网焊接连通。</w:t>
      </w:r>
    </w:p>
    <w:p w14:paraId="76814A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接地电阻不得大于10欧姆，如砂石土质不能满足要求时，应增加接地极数量或加降阻剂。</w:t>
      </w:r>
    </w:p>
    <w:p w14:paraId="5C742B3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3.4太阳能供电系统</w:t>
      </w:r>
    </w:p>
    <w:p w14:paraId="545FD3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通过现场实地考察，辖区内2处新建站点需新建太阳能光伏供电系统。根据前端监控系统组成，核算出单个新建站点前端设备所需总功率为不小于300W，太阳能供电系统要求不小于72小时备电。(满足该项要求同时需满足供应商提供设备供电需求)</w:t>
      </w:r>
    </w:p>
    <w:p w14:paraId="0864F5C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3.4.1系统总体要求</w:t>
      </w:r>
    </w:p>
    <w:p w14:paraId="462440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太阳能供电系统应满足AC220V额定200W、最大300W负载每日24小时工作，72小时以上阴雨天备电。</w:t>
      </w:r>
    </w:p>
    <w:p w14:paraId="0AD2B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系统对蓄电池组进行过充、过放电保护功能，同时具有用电过压、过载、短路、极性反接保护等功能。</w:t>
      </w:r>
    </w:p>
    <w:p w14:paraId="34E68A4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3.4.2太阳能光伏板</w:t>
      </w:r>
    </w:p>
    <w:p w14:paraId="7984FF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每个站点配置≥4块太阳能光伏板：</w:t>
      </w:r>
    </w:p>
    <w:p w14:paraId="4EBECF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单晶硅：≥580W</w:t>
      </w:r>
    </w:p>
    <w:p w14:paraId="348971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接线盒防护等级：IP68；最大系统电压（IEC）：1000VA</w:t>
      </w:r>
    </w:p>
    <w:p w14:paraId="12B7933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组件效率：≥21.09%；功率偏差（正）：+2%。</w:t>
      </w:r>
    </w:p>
    <w:p w14:paraId="69BB76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产品质保12年，使用寿命25年期84.8%输出功率保证；国际CE认证。</w:t>
      </w:r>
    </w:p>
    <w:p w14:paraId="06A9FFC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3.4.3蓄电池组（含配件、辅材）</w:t>
      </w:r>
    </w:p>
    <w:p w14:paraId="38C37D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每个站点配置1套蓄电池组，单套≥8块电池：</w:t>
      </w:r>
    </w:p>
    <w:p w14:paraId="73B0A7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2"/>
          <w:sz w:val="24"/>
          <w:szCs w:val="20"/>
          <w:lang w:val="en-US" w:eastAsia="zh-CN" w:bidi="ar-SA"/>
        </w:rPr>
      </w:pPr>
      <w:r>
        <w:rPr>
          <w:rFonts w:hint="eastAsia" w:ascii="宋体" w:hAnsi="宋体" w:eastAsia="宋体" w:cs="Times New Roman"/>
          <w:kern w:val="2"/>
          <w:sz w:val="24"/>
          <w:szCs w:val="24"/>
          <w:lang w:val="en-US" w:eastAsia="zh-CN" w:bidi="ar-SA"/>
        </w:rPr>
        <w:t>▲</w:t>
      </w:r>
      <w:r>
        <w:rPr>
          <w:rFonts w:hint="eastAsia" w:ascii="Times New Roman" w:hAnsi="Times New Roman" w:eastAsia="宋体" w:cs="Times New Roman"/>
          <w:color w:val="auto"/>
          <w:kern w:val="2"/>
          <w:sz w:val="24"/>
          <w:szCs w:val="20"/>
          <w:lang w:val="en-US" w:eastAsia="zh-CN" w:bidi="ar-SA"/>
        </w:rPr>
        <w:t>单蓄电池容量：不小于200AH/12V胶体储能电池，采用地埋形式组装。</w:t>
      </w:r>
    </w:p>
    <w:p w14:paraId="1D001E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使用寿命6-8年。</w:t>
      </w:r>
    </w:p>
    <w:p w14:paraId="1A88A4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使用环境温度：-40°C~55°C。</w:t>
      </w:r>
    </w:p>
    <w:p w14:paraId="36F432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电池容量一致性达到国家GB标准、JIS标准要求。</w:t>
      </w:r>
    </w:p>
    <w:p w14:paraId="762D54C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3.4.4控制器</w:t>
      </w:r>
    </w:p>
    <w:p w14:paraId="5A758B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每个站点配置1台充电控制器：</w:t>
      </w:r>
    </w:p>
    <w:p w14:paraId="70E753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最大光伏输入功率不少于1440W。</w:t>
      </w:r>
    </w:p>
    <w:p w14:paraId="65F5A4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MPPT工作范围@工作电压范围不小于65-150VDC。</w:t>
      </w:r>
    </w:p>
    <w:p w14:paraId="5DAA84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智能充电器设计，优化电池性能；风冷散热。</w:t>
      </w:r>
    </w:p>
    <w:p w14:paraId="43FEAE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可编程设置多种运行模式：离网、含并机通信模块及线缆。</w:t>
      </w:r>
    </w:p>
    <w:p w14:paraId="63A4642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3.4.5围栏</w:t>
      </w:r>
    </w:p>
    <w:p w14:paraId="053E59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每个站点配置1套整体围栏（围栏范围包括云台塔、太阳能供电组件）。</w:t>
      </w:r>
    </w:p>
    <w:p w14:paraId="5E2C1592">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3.4.6安装辅材</w:t>
      </w:r>
    </w:p>
    <w:p w14:paraId="2F4E57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每个站点配置1套安装辅材，包含光伏线材、电源线材、电工胶带、对接头、防水胶泥等。</w:t>
      </w:r>
    </w:p>
    <w:p w14:paraId="510D3C8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3.5无线传输系统/有线传输系统</w:t>
      </w:r>
    </w:p>
    <w:p w14:paraId="4F134F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本项目因预算金额有限，供应商若采用有线传输，需自行沟通运营商接入网络，因此本部分只对无线传输系统进行描述，具体内容如下：</w:t>
      </w:r>
    </w:p>
    <w:p w14:paraId="3488AB2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3.5.1系统总体要求</w:t>
      </w:r>
    </w:p>
    <w:p w14:paraId="7938E8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在整个高速专用网络的建设中，无线传输网络作为"最后一公里接入"的重要手段。其建设应满足以下标准：</w:t>
      </w:r>
    </w:p>
    <w:p w14:paraId="0208A1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可靠性：必须具备高可靠性，以确保在森林火灾发生时能够快速、准确地传递信息。</w:t>
      </w:r>
    </w:p>
    <w:p w14:paraId="627F1E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安全性：由于本项目自组网络涉及到重要信息传输，因此必须保证网络安全，防止信息被非法获取或篡改。</w:t>
      </w:r>
    </w:p>
    <w:p w14:paraId="612F14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高效性：必须具备高效的数据传输能力，以便快速传递图像、语音和数据等信息。</w:t>
      </w:r>
    </w:p>
    <w:p w14:paraId="785656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可扩展性：必须具备可扩展性，以便未来能够容纳更多的设备和用户，同时满足更多的应用需求。</w:t>
      </w:r>
    </w:p>
    <w:p w14:paraId="2D0E0A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易用性：必须具备简单易用的特点，以便用户能够快速掌握设备的操作和维护。</w:t>
      </w:r>
    </w:p>
    <w:p w14:paraId="6D1C7D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环保性：本项目的建设和运营必须符合环保要求，尽可能减少对环境的负面影响。</w:t>
      </w:r>
    </w:p>
    <w:p w14:paraId="1C24E9C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3.5.2无线微波设备</w:t>
      </w:r>
    </w:p>
    <w:p w14:paraId="331F7C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无线微波设备（因点位选择信号无法直线传输需增加中继点的情况下，需增加设备数量）：</w:t>
      </w:r>
    </w:p>
    <w:p w14:paraId="1662B4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100Mbps点对点无线设备，双外接天线接口。</w:t>
      </w:r>
    </w:p>
    <w:p w14:paraId="15560C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4.9-6GHz宽频段软件可调，支持OFDM，支持MIMO，支持802.1Q VLAN封装、解析。</w:t>
      </w:r>
    </w:p>
    <w:p w14:paraId="6664FB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支持 10MHz/20MHz/40MHz /80MHz 可调，内置ESD静电保护、以太网口防雷保护，最大视距传输距离16KM，满吞吐量条件下的视距传输距离10KM，双重端口防浪涌，24V-PoE，支持数据与供电同传，铝合金压铸外壳，散热一体化设计。</w:t>
      </w:r>
    </w:p>
    <w:p w14:paraId="1961ED51">
      <w:pPr>
        <w:spacing w:line="360" w:lineRule="auto"/>
        <w:ind w:firstLine="480" w:firstLineChars="200"/>
        <w:jc w:val="left"/>
        <w:rPr>
          <w:rFonts w:hint="eastAsia"/>
          <w:sz w:val="24"/>
          <w:szCs w:val="24"/>
          <w:lang w:val="en-US" w:eastAsia="zh-CN"/>
        </w:rPr>
      </w:pPr>
      <w:r>
        <w:rPr>
          <w:rFonts w:hint="eastAsia" w:ascii="Times New Roman" w:eastAsia="宋体"/>
          <w:sz w:val="24"/>
          <w:szCs w:val="24"/>
          <w:lang w:val="en-US" w:eastAsia="zh-CN"/>
        </w:rPr>
        <w:t>若选择中继点信号传输需满足以下要求：</w:t>
      </w:r>
    </w:p>
    <w:p w14:paraId="33F0BB8D">
      <w:pPr>
        <w:spacing w:line="360" w:lineRule="auto"/>
        <w:ind w:firstLine="480" w:firstLineChars="200"/>
        <w:jc w:val="left"/>
        <w:rPr>
          <w:rFonts w:hint="default"/>
          <w:sz w:val="24"/>
          <w:szCs w:val="24"/>
          <w:lang w:val="en-US" w:eastAsia="zh-CN"/>
        </w:rPr>
      </w:pPr>
      <w:r>
        <w:rPr>
          <w:rFonts w:hint="default"/>
          <w:sz w:val="24"/>
          <w:szCs w:val="24"/>
          <w:lang w:val="en-US" w:eastAsia="zh-CN"/>
        </w:rPr>
        <w:t>中继点位杆，高度≥6米</w:t>
      </w:r>
    </w:p>
    <w:p w14:paraId="1B9F87D8">
      <w:pPr>
        <w:spacing w:line="360" w:lineRule="auto"/>
        <w:ind w:firstLine="480" w:firstLineChars="200"/>
        <w:jc w:val="left"/>
        <w:rPr>
          <w:rFonts w:hint="default"/>
          <w:sz w:val="24"/>
          <w:szCs w:val="24"/>
          <w:lang w:val="en-US" w:eastAsia="zh-CN"/>
        </w:rPr>
      </w:pPr>
      <w:r>
        <w:rPr>
          <w:rFonts w:hint="default"/>
          <w:sz w:val="24"/>
          <w:szCs w:val="24"/>
          <w:lang w:val="en-US" w:eastAsia="zh-CN"/>
        </w:rPr>
        <w:t>主杆采用Q235B优质碳素结构钢，设外爬梯，壁厚≥6mm底部直径≥165mm，顶部直径≥114mm；</w:t>
      </w:r>
    </w:p>
    <w:p w14:paraId="481A7DED">
      <w:pPr>
        <w:spacing w:line="360" w:lineRule="auto"/>
        <w:ind w:firstLine="480" w:firstLineChars="200"/>
        <w:jc w:val="left"/>
        <w:rPr>
          <w:rFonts w:hint="default"/>
          <w:sz w:val="24"/>
          <w:szCs w:val="24"/>
          <w:lang w:val="en-US" w:eastAsia="zh-CN"/>
        </w:rPr>
      </w:pPr>
      <w:r>
        <w:rPr>
          <w:rFonts w:hint="default"/>
          <w:sz w:val="24"/>
          <w:szCs w:val="24"/>
          <w:lang w:val="en-US" w:eastAsia="zh-CN"/>
        </w:rPr>
        <w:t>标配1m-1.5m加强型支臂，承重性强，可搭载多台设备；</w:t>
      </w:r>
    </w:p>
    <w:p w14:paraId="7DF2992E">
      <w:pPr>
        <w:spacing w:line="360" w:lineRule="auto"/>
        <w:ind w:firstLine="480" w:firstLineChars="200"/>
        <w:jc w:val="left"/>
        <w:rPr>
          <w:rFonts w:hint="default"/>
          <w:sz w:val="24"/>
          <w:szCs w:val="24"/>
          <w:lang w:val="en-US" w:eastAsia="zh-CN"/>
        </w:rPr>
      </w:pPr>
      <w:r>
        <w:rPr>
          <w:rFonts w:hint="default"/>
          <w:sz w:val="24"/>
          <w:szCs w:val="24"/>
          <w:lang w:val="en-US" w:eastAsia="zh-CN"/>
        </w:rPr>
        <w:t>每个站点配置不少于2块太阳能光伏板：</w:t>
      </w:r>
    </w:p>
    <w:p w14:paraId="0EF64B91">
      <w:pPr>
        <w:spacing w:line="360" w:lineRule="auto"/>
        <w:ind w:firstLine="480" w:firstLineChars="200"/>
        <w:jc w:val="left"/>
        <w:rPr>
          <w:rFonts w:hint="default"/>
          <w:sz w:val="24"/>
          <w:szCs w:val="24"/>
          <w:lang w:val="en-US" w:eastAsia="zh-CN"/>
        </w:rPr>
      </w:pPr>
      <w:r>
        <w:rPr>
          <w:rFonts w:hint="default"/>
          <w:sz w:val="24"/>
          <w:szCs w:val="24"/>
          <w:lang w:val="en-US" w:eastAsia="zh-CN"/>
        </w:rPr>
        <w:t>单晶硅：≥580W</w:t>
      </w:r>
    </w:p>
    <w:p w14:paraId="55EDB2C0">
      <w:pPr>
        <w:spacing w:line="360" w:lineRule="auto"/>
        <w:ind w:firstLine="480" w:firstLineChars="200"/>
        <w:jc w:val="left"/>
        <w:rPr>
          <w:rFonts w:hint="default"/>
          <w:sz w:val="24"/>
          <w:szCs w:val="24"/>
          <w:lang w:val="en-US" w:eastAsia="zh-CN"/>
        </w:rPr>
      </w:pPr>
      <w:r>
        <w:rPr>
          <w:rFonts w:hint="default"/>
          <w:sz w:val="24"/>
          <w:szCs w:val="24"/>
          <w:lang w:val="en-US" w:eastAsia="zh-CN"/>
        </w:rPr>
        <w:t>配置1套蓄电池组，单套含4块胶体储能电池：</w:t>
      </w:r>
    </w:p>
    <w:p w14:paraId="24B9E1F5">
      <w:pPr>
        <w:spacing w:line="360" w:lineRule="auto"/>
        <w:ind w:firstLine="480" w:firstLineChars="200"/>
        <w:jc w:val="left"/>
        <w:rPr>
          <w:rFonts w:hint="default"/>
          <w:sz w:val="24"/>
          <w:szCs w:val="24"/>
          <w:lang w:val="en-US" w:eastAsia="zh-CN"/>
        </w:rPr>
      </w:pPr>
      <w:r>
        <w:rPr>
          <w:rFonts w:hint="default"/>
          <w:sz w:val="24"/>
          <w:szCs w:val="24"/>
          <w:lang w:val="en-US" w:eastAsia="zh-CN"/>
        </w:rPr>
        <w:t>单蓄电池容量：200AH/12V胶体储能电池。</w:t>
      </w:r>
    </w:p>
    <w:p w14:paraId="7A664940">
      <w:pPr>
        <w:spacing w:line="360" w:lineRule="auto"/>
        <w:ind w:firstLine="480" w:firstLineChars="200"/>
        <w:jc w:val="left"/>
        <w:rPr>
          <w:rFonts w:hint="default"/>
          <w:sz w:val="24"/>
          <w:szCs w:val="24"/>
          <w:lang w:val="en-US" w:eastAsia="zh-CN"/>
        </w:rPr>
      </w:pPr>
      <w:r>
        <w:rPr>
          <w:rFonts w:hint="default"/>
          <w:sz w:val="24"/>
          <w:szCs w:val="24"/>
          <w:lang w:val="en-US" w:eastAsia="zh-CN"/>
        </w:rPr>
        <w:t>太阳能供电系统应满足AC220V额定100W、最大200W负载每日24小时工作，72小时以上阴雨天备电。</w:t>
      </w:r>
    </w:p>
    <w:p w14:paraId="6D13259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3.5.3安装辅材</w:t>
      </w:r>
    </w:p>
    <w:p w14:paraId="49EC2C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无线安装辅材，含网线、电线、水晶头、胶泥、电工胶带、防水胶泥、模具、支架、基带电缆、转接器等安装附件。</w:t>
      </w:r>
    </w:p>
    <w:p w14:paraId="02525A0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3.6后端及存储设备</w:t>
      </w:r>
    </w:p>
    <w:p w14:paraId="2728F092">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3.6.1硬盘录像机</w:t>
      </w:r>
    </w:p>
    <w:p w14:paraId="0933A3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 w:val="0"/>
          <w:bCs w:val="0"/>
          <w:color w:val="auto"/>
          <w:kern w:val="2"/>
          <w:sz w:val="24"/>
          <w:szCs w:val="20"/>
          <w:lang w:val="en-US" w:eastAsia="zh-CN" w:bidi="ar-SA"/>
        </w:rPr>
      </w:pPr>
      <w:r>
        <w:rPr>
          <w:rFonts w:hint="eastAsia" w:ascii="Times New Roman" w:hAnsi="Times New Roman" w:eastAsia="宋体" w:cs="Times New Roman"/>
          <w:b w:val="0"/>
          <w:bCs w:val="0"/>
          <w:color w:val="auto"/>
          <w:kern w:val="2"/>
          <w:sz w:val="24"/>
          <w:szCs w:val="20"/>
          <w:lang w:val="en-US" w:eastAsia="zh-CN" w:bidi="ar-SA"/>
        </w:rPr>
        <w:t>具有≥2个HDMI接口、≥2个VGA接口、≥2个RJ45千兆网络接口；2≥个USB2.0接口、≥2个USB3.0接口、≥1个RS232接口、≥1个RS485接口（可接入RS485键盘）、≥1个eSata接口；≥具有1路音频输入接口≥、2路音频输出接口、≥16路报警输入接口、≥9路报警输出接口、≥具有1路直流12V输出接口（12V 1A）、≥可内置9块SATA接口硬盘。</w:t>
      </w:r>
    </w:p>
    <w:p w14:paraId="678444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 w:val="0"/>
          <w:bCs w:val="0"/>
          <w:color w:val="auto"/>
          <w:kern w:val="2"/>
          <w:sz w:val="24"/>
          <w:szCs w:val="20"/>
          <w:lang w:val="en-US" w:eastAsia="zh-CN" w:bidi="ar-SA"/>
        </w:rPr>
      </w:pPr>
      <w:bookmarkStart w:id="228" w:name="_GoBack"/>
      <w:bookmarkEnd w:id="228"/>
      <w:r>
        <w:rPr>
          <w:rFonts w:hint="eastAsia" w:ascii="Times New Roman" w:hAnsi="Times New Roman" w:eastAsia="宋体" w:cs="Times New Roman"/>
          <w:b w:val="0"/>
          <w:bCs w:val="0"/>
          <w:color w:val="auto"/>
          <w:kern w:val="2"/>
          <w:sz w:val="24"/>
          <w:szCs w:val="20"/>
          <w:lang w:val="en-US" w:eastAsia="zh-CN" w:bidi="ar-SA"/>
        </w:rPr>
        <w:t>HDMI1、HDMI2支持最大单路≥1080P（1920×1080）异源输出。（提供检测报告证明文件）</w:t>
      </w:r>
    </w:p>
    <w:p w14:paraId="56D839F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val="0"/>
          <w:bCs w:val="0"/>
          <w:color w:val="auto"/>
          <w:kern w:val="2"/>
          <w:sz w:val="24"/>
          <w:szCs w:val="20"/>
          <w:lang w:val="en-US" w:eastAsia="zh-CN" w:bidi="ar-SA"/>
        </w:rPr>
      </w:pPr>
      <w:r>
        <w:rPr>
          <w:rFonts w:hint="eastAsia" w:ascii="Times New Roman" w:hAnsi="Times New Roman" w:eastAsia="宋体" w:cs="Times New Roman"/>
          <w:b w:val="0"/>
          <w:bCs w:val="0"/>
          <w:color w:val="auto"/>
          <w:kern w:val="2"/>
          <w:sz w:val="24"/>
          <w:szCs w:val="20"/>
          <w:lang w:val="en-US" w:eastAsia="zh-CN" w:bidi="ar-SA"/>
        </w:rPr>
        <w:t>支持最大接入带宽320Mbps，最大存储带宽320Mbps，最大转发带宽256Mbps。（提供检测报告证明文件）</w:t>
      </w:r>
    </w:p>
    <w:p w14:paraId="742FC79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imes New Roman" w:hAnsi="Times New Roman" w:eastAsia="宋体" w:cs="Times New Roman"/>
          <w:b/>
          <w:bCs/>
          <w:color w:val="auto"/>
          <w:kern w:val="2"/>
          <w:sz w:val="24"/>
          <w:szCs w:val="20"/>
          <w:lang w:val="en-US" w:eastAsia="zh-CN" w:bidi="ar-SA"/>
        </w:rPr>
      </w:pPr>
      <w:r>
        <w:rPr>
          <w:rFonts w:hint="eastAsia" w:ascii="Times New Roman" w:hAnsi="Times New Roman" w:eastAsia="宋体" w:cs="Times New Roman"/>
          <w:b/>
          <w:bCs/>
          <w:color w:val="auto"/>
          <w:kern w:val="2"/>
          <w:sz w:val="24"/>
          <w:szCs w:val="20"/>
          <w:lang w:val="en-US" w:eastAsia="zh-CN" w:bidi="ar-SA"/>
        </w:rPr>
        <w:t>3.6.2监控级硬盘</w:t>
      </w:r>
    </w:p>
    <w:p w14:paraId="531BA1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配置不少于四十天存储监控级硬盘：</w:t>
      </w:r>
    </w:p>
    <w:p w14:paraId="713768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8TB容量，3.5英寸，SATA3.0接口，7200RPM；空气盘，CMR传统磁记录；传输速率245 MB/s，流畅存储视频有效防止丢帧；高级格式（AF）512e扇区技术，保障硬盘扇区4K对齐；满足数据严苛的7×24小时运行可靠性、安全性的需求；支持5年有限质保服务。</w:t>
      </w:r>
    </w:p>
    <w:p w14:paraId="69A8B595">
      <w:pPr>
        <w:jc w:val="left"/>
        <w:rPr>
          <w:rFonts w:ascii="宋体" w:hAnsi="宋体"/>
          <w:b/>
          <w:sz w:val="32"/>
        </w:rPr>
      </w:pPr>
    </w:p>
    <w:p w14:paraId="4ECA8542">
      <w:pPr>
        <w:jc w:val="left"/>
        <w:rPr>
          <w:rFonts w:ascii="宋体" w:hAnsi="宋体"/>
          <w:b/>
          <w:sz w:val="32"/>
        </w:rPr>
        <w:sectPr>
          <w:pgSz w:w="11906" w:h="16838"/>
          <w:pgMar w:top="1134" w:right="1134" w:bottom="1134" w:left="1134" w:header="851" w:footer="992" w:gutter="0"/>
          <w:cols w:space="0" w:num="1"/>
          <w:docGrid w:type="lines" w:linePitch="344" w:charSpace="0"/>
        </w:sectPr>
      </w:pPr>
    </w:p>
    <w:p w14:paraId="68ED5B00">
      <w:pPr>
        <w:jc w:val="left"/>
      </w:pPr>
    </w:p>
    <w:p w14:paraId="680DD7F4">
      <w:pPr>
        <w:spacing w:line="276" w:lineRule="auto"/>
        <w:jc w:val="center"/>
        <w:outlineLvl w:val="0"/>
        <w:rPr>
          <w:rFonts w:ascii="宋体" w:hAnsi="宋体"/>
          <w:b/>
          <w:sz w:val="36"/>
        </w:rPr>
      </w:pPr>
      <w:bookmarkStart w:id="33" w:name="_Toc26316"/>
      <w:r>
        <w:rPr>
          <w:rFonts w:hint="eastAsia" w:ascii="宋体" w:hAnsi="宋体"/>
          <w:b/>
          <w:sz w:val="32"/>
        </w:rPr>
        <w:t>第五部分</w:t>
      </w:r>
      <w:r>
        <w:rPr>
          <w:rFonts w:ascii="宋体" w:hAnsi="宋体"/>
          <w:b/>
          <w:sz w:val="32"/>
        </w:rPr>
        <w:t xml:space="preserve"> </w:t>
      </w:r>
      <w:r>
        <w:rPr>
          <w:rFonts w:hint="eastAsia" w:ascii="宋体" w:hAnsi="宋体"/>
          <w:b/>
          <w:sz w:val="32"/>
        </w:rPr>
        <w:t>合同部分</w:t>
      </w:r>
      <w:bookmarkEnd w:id="33"/>
    </w:p>
    <w:p w14:paraId="1DB0C5D4">
      <w:pPr>
        <w:jc w:val="center"/>
        <w:rPr>
          <w:rFonts w:ascii="仿宋" w:hAnsi="仿宋" w:eastAsia="仿宋" w:cs="仿宋"/>
          <w:b/>
          <w:sz w:val="20"/>
        </w:rPr>
      </w:pPr>
      <w:bookmarkStart w:id="34" w:name="_Toc89792139"/>
      <w:r>
        <w:rPr>
          <w:rFonts w:hint="eastAsia" w:ascii="仿宋" w:hAnsi="仿宋" w:eastAsia="仿宋" w:cs="仿宋"/>
          <w:b/>
          <w:sz w:val="20"/>
        </w:rPr>
        <w:t>【此合同为参考模板，以双方签订合同为准】</w:t>
      </w:r>
    </w:p>
    <w:p w14:paraId="57BDA9EE">
      <w:pPr>
        <w:jc w:val="center"/>
        <w:rPr>
          <w:rFonts w:ascii="仿宋" w:hAnsi="仿宋" w:eastAsia="仿宋" w:cs="仿宋"/>
          <w:b/>
          <w:sz w:val="72"/>
          <w:szCs w:val="72"/>
        </w:rPr>
      </w:pPr>
    </w:p>
    <w:p w14:paraId="318D886E">
      <w:pPr>
        <w:jc w:val="center"/>
        <w:rPr>
          <w:rFonts w:ascii="仿宋" w:hAnsi="仿宋" w:eastAsia="仿宋" w:cs="仿宋"/>
          <w:b/>
          <w:sz w:val="72"/>
          <w:szCs w:val="72"/>
        </w:rPr>
      </w:pPr>
      <w:r>
        <w:rPr>
          <w:rFonts w:hint="eastAsia" w:ascii="仿宋" w:hAnsi="仿宋" w:eastAsia="仿宋" w:cs="仿宋"/>
          <w:b/>
          <w:sz w:val="72"/>
          <w:szCs w:val="72"/>
        </w:rPr>
        <w:t>政府采购合同</w:t>
      </w:r>
    </w:p>
    <w:p w14:paraId="51D524C3">
      <w:pPr>
        <w:jc w:val="center"/>
        <w:rPr>
          <w:rFonts w:ascii="仿宋" w:hAnsi="仿宋" w:eastAsia="仿宋" w:cs="仿宋"/>
          <w:b/>
          <w:sz w:val="96"/>
          <w:szCs w:val="96"/>
        </w:rPr>
      </w:pPr>
    </w:p>
    <w:p w14:paraId="460A3E8D">
      <w:pPr>
        <w:jc w:val="center"/>
        <w:rPr>
          <w:rFonts w:ascii="仿宋" w:hAnsi="仿宋" w:eastAsia="仿宋" w:cs="仿宋"/>
          <w:b/>
          <w:sz w:val="96"/>
          <w:szCs w:val="96"/>
        </w:rPr>
      </w:pPr>
    </w:p>
    <w:p w14:paraId="23585A15">
      <w:pPr>
        <w:ind w:firstLine="420" w:firstLineChars="200"/>
        <w:rPr>
          <w:rFonts w:ascii="仿宋" w:hAnsi="仿宋" w:eastAsia="仿宋" w:cs="仿宋"/>
          <w:szCs w:val="21"/>
        </w:rPr>
      </w:pPr>
      <w:r>
        <w:rPr>
          <w:rFonts w:hint="eastAsia" w:ascii="仿宋" w:hAnsi="仿宋" w:eastAsia="仿宋" w:cs="仿宋"/>
          <w:szCs w:val="21"/>
        </w:rPr>
        <w:t>项目名称：</w:t>
      </w:r>
    </w:p>
    <w:p w14:paraId="5ECD715C">
      <w:pPr>
        <w:ind w:firstLine="420" w:firstLineChars="200"/>
        <w:rPr>
          <w:rFonts w:ascii="仿宋" w:hAnsi="仿宋" w:eastAsia="仿宋" w:cs="仿宋"/>
          <w:szCs w:val="21"/>
          <w:u w:val="single"/>
        </w:rPr>
      </w:pPr>
    </w:p>
    <w:p w14:paraId="16A0E421">
      <w:pPr>
        <w:ind w:firstLine="420" w:firstLineChars="200"/>
        <w:rPr>
          <w:rFonts w:ascii="仿宋" w:hAnsi="仿宋" w:eastAsia="仿宋" w:cs="仿宋"/>
          <w:szCs w:val="21"/>
        </w:rPr>
      </w:pPr>
      <w:r>
        <w:rPr>
          <w:rFonts w:hint="eastAsia" w:ascii="仿宋" w:hAnsi="仿宋" w:eastAsia="仿宋" w:cs="仿宋"/>
          <w:szCs w:val="21"/>
        </w:rPr>
        <w:t>甲方合同编号：</w:t>
      </w:r>
      <w:r>
        <w:rPr>
          <w:rFonts w:hint="eastAsia" w:ascii="仿宋" w:hAnsi="仿宋" w:eastAsia="仿宋" w:cs="仿宋"/>
          <w:szCs w:val="21"/>
          <w:u w:val="single"/>
        </w:rPr>
        <w:t xml:space="preserve">                               </w:t>
      </w:r>
    </w:p>
    <w:p w14:paraId="3FA4A9C2">
      <w:pPr>
        <w:ind w:firstLine="420" w:firstLineChars="200"/>
        <w:rPr>
          <w:rFonts w:ascii="仿宋" w:hAnsi="仿宋" w:eastAsia="仿宋" w:cs="仿宋"/>
          <w:szCs w:val="21"/>
          <w:u w:val="single"/>
        </w:rPr>
      </w:pPr>
      <w:r>
        <w:rPr>
          <w:rFonts w:hint="eastAsia" w:ascii="仿宋" w:hAnsi="仿宋" w:eastAsia="仿宋" w:cs="仿宋"/>
          <w:szCs w:val="21"/>
        </w:rPr>
        <w:t>甲 方：</w:t>
      </w:r>
      <w:r>
        <w:rPr>
          <w:rFonts w:hint="eastAsia" w:ascii="仿宋" w:hAnsi="仿宋" w:eastAsia="仿宋" w:cs="仿宋"/>
          <w:szCs w:val="21"/>
          <w:u w:val="single"/>
        </w:rPr>
        <w:t xml:space="preserve">                                      </w:t>
      </w:r>
    </w:p>
    <w:p w14:paraId="12A043EF">
      <w:pPr>
        <w:ind w:firstLine="420" w:firstLineChars="200"/>
        <w:rPr>
          <w:rFonts w:ascii="仿宋" w:hAnsi="仿宋" w:eastAsia="仿宋" w:cs="仿宋"/>
          <w:sz w:val="32"/>
          <w:szCs w:val="32"/>
        </w:rPr>
      </w:pPr>
      <w:r>
        <w:rPr>
          <w:rFonts w:hint="eastAsia" w:ascii="仿宋" w:hAnsi="仿宋" w:eastAsia="仿宋" w:cs="仿宋"/>
          <w:szCs w:val="21"/>
        </w:rPr>
        <w:t>乙 方：</w:t>
      </w:r>
      <w:r>
        <w:rPr>
          <w:rFonts w:hint="eastAsia" w:ascii="仿宋" w:hAnsi="仿宋" w:eastAsia="仿宋" w:cs="仿宋"/>
          <w:szCs w:val="21"/>
          <w:u w:val="single"/>
        </w:rPr>
        <w:t xml:space="preserve">                                       </w:t>
      </w:r>
    </w:p>
    <w:p w14:paraId="21F1F66A">
      <w:pPr>
        <w:rPr>
          <w:rFonts w:ascii="仿宋" w:hAnsi="仿宋" w:eastAsia="仿宋" w:cs="仿宋"/>
          <w:sz w:val="32"/>
          <w:szCs w:val="32"/>
        </w:rPr>
      </w:pPr>
    </w:p>
    <w:p w14:paraId="37C04A71">
      <w:pPr>
        <w:rPr>
          <w:rFonts w:ascii="仿宋" w:hAnsi="仿宋" w:eastAsia="仿宋" w:cs="仿宋"/>
          <w:sz w:val="32"/>
          <w:szCs w:val="32"/>
        </w:rPr>
      </w:pPr>
    </w:p>
    <w:p w14:paraId="1A4BEA94">
      <w:pPr>
        <w:rPr>
          <w:rFonts w:ascii="仿宋" w:hAnsi="仿宋" w:eastAsia="仿宋" w:cs="仿宋"/>
          <w:sz w:val="32"/>
          <w:szCs w:val="32"/>
        </w:rPr>
      </w:pPr>
    </w:p>
    <w:p w14:paraId="42088068">
      <w:pPr>
        <w:rPr>
          <w:rFonts w:ascii="仿宋" w:hAnsi="仿宋" w:eastAsia="仿宋" w:cs="仿宋"/>
          <w:sz w:val="32"/>
          <w:szCs w:val="32"/>
        </w:rPr>
      </w:pPr>
    </w:p>
    <w:p w14:paraId="5A183C9E">
      <w:pPr>
        <w:jc w:val="center"/>
        <w:rPr>
          <w:rFonts w:ascii="仿宋" w:hAnsi="仿宋" w:eastAsia="仿宋" w:cs="仿宋"/>
          <w:szCs w:val="21"/>
        </w:rPr>
      </w:pPr>
      <w:r>
        <w:rPr>
          <w:rFonts w:hint="eastAsia" w:ascii="仿宋" w:hAnsi="仿宋" w:eastAsia="仿宋" w:cs="仿宋"/>
          <w:szCs w:val="21"/>
        </w:rPr>
        <w:t>签订时间：      年    月    日</w:t>
      </w:r>
    </w:p>
    <w:p w14:paraId="4D3FB5BF">
      <w:pPr>
        <w:jc w:val="center"/>
        <w:rPr>
          <w:rFonts w:ascii="仿宋" w:hAnsi="仿宋" w:eastAsia="仿宋" w:cs="仿宋"/>
          <w:szCs w:val="21"/>
        </w:rPr>
      </w:pPr>
    </w:p>
    <w:p w14:paraId="002CF200">
      <w:pPr>
        <w:jc w:val="center"/>
        <w:rPr>
          <w:rFonts w:ascii="仿宋" w:hAnsi="仿宋" w:eastAsia="仿宋" w:cs="仿宋"/>
          <w:szCs w:val="21"/>
        </w:rPr>
      </w:pPr>
    </w:p>
    <w:p w14:paraId="2EEB534C">
      <w:pPr>
        <w:jc w:val="center"/>
        <w:rPr>
          <w:rFonts w:ascii="仿宋" w:hAnsi="仿宋" w:eastAsia="仿宋" w:cs="仿宋"/>
          <w:szCs w:val="21"/>
        </w:rPr>
      </w:pPr>
    </w:p>
    <w:p w14:paraId="4BE25C9E">
      <w:pPr>
        <w:snapToGrid w:val="0"/>
        <w:spacing w:line="360" w:lineRule="auto"/>
        <w:jc w:val="center"/>
        <w:rPr>
          <w:rFonts w:ascii="仿宋_GB2312" w:hAnsi="楷体" w:eastAsia="仿宋_GB2312"/>
          <w:b/>
          <w:sz w:val="24"/>
        </w:rPr>
      </w:pPr>
    </w:p>
    <w:p w14:paraId="31B29F67">
      <w:pPr>
        <w:snapToGrid w:val="0"/>
        <w:spacing w:line="360" w:lineRule="auto"/>
        <w:jc w:val="center"/>
        <w:rPr>
          <w:rFonts w:ascii="仿宋_GB2312" w:hAnsi="楷体" w:eastAsia="仿宋_GB2312"/>
          <w:b/>
          <w:sz w:val="24"/>
        </w:rPr>
      </w:pPr>
      <w:r>
        <w:rPr>
          <w:rFonts w:hint="eastAsia" w:ascii="仿宋_GB2312" w:hAnsi="楷体" w:eastAsia="仿宋_GB2312"/>
          <w:b/>
          <w:sz w:val="24"/>
        </w:rPr>
        <w:br w:type="page"/>
      </w:r>
      <w:r>
        <w:rPr>
          <w:rFonts w:hint="eastAsia" w:ascii="仿宋_GB2312" w:hAnsi="楷体" w:eastAsia="仿宋_GB2312"/>
          <w:b/>
          <w:sz w:val="24"/>
        </w:rPr>
        <w:t>合同目录</w:t>
      </w:r>
    </w:p>
    <w:p w14:paraId="50C50067">
      <w:pPr>
        <w:snapToGrid w:val="0"/>
        <w:spacing w:line="360" w:lineRule="auto"/>
        <w:jc w:val="center"/>
        <w:rPr>
          <w:rFonts w:ascii="宋体"/>
          <w:b/>
          <w:bCs/>
          <w:sz w:val="44"/>
        </w:rPr>
      </w:pPr>
    </w:p>
    <w:p w14:paraId="57FC0BBC">
      <w:pPr>
        <w:snapToGrid w:val="0"/>
        <w:spacing w:line="360" w:lineRule="auto"/>
        <w:rPr>
          <w:rFonts w:ascii="仿宋_GB2312" w:hAnsi="仿宋" w:eastAsia="仿宋_GB2312" w:cs="仿宋_GB2312"/>
          <w:kern w:val="0"/>
          <w:sz w:val="24"/>
        </w:rPr>
      </w:pPr>
      <w:r>
        <w:rPr>
          <w:rFonts w:hint="eastAsia" w:ascii="仿宋_GB2312" w:hAnsi="仿宋" w:eastAsia="仿宋_GB2312" w:cs="仿宋_GB2312"/>
          <w:kern w:val="0"/>
          <w:sz w:val="24"/>
        </w:rPr>
        <w:t>一、</w:t>
      </w:r>
      <w:r>
        <w:rPr>
          <w:rFonts w:hint="eastAsia" w:ascii="仿宋_GB2312" w:hAnsi="仿宋" w:eastAsia="仿宋_GB2312"/>
          <w:sz w:val="24"/>
        </w:rPr>
        <w:t>第一部分 合同书</w:t>
      </w:r>
      <w:r>
        <w:rPr>
          <w:rFonts w:hint="eastAsia" w:ascii="仿宋_GB2312" w:hAnsi="仿宋" w:eastAsia="仿宋_GB2312" w:cs="仿宋_GB2312"/>
          <w:kern w:val="0"/>
          <w:sz w:val="24"/>
        </w:rPr>
        <w:t>……………………………………………………………（页码）</w:t>
      </w:r>
    </w:p>
    <w:p w14:paraId="31FF0AE6">
      <w:pPr>
        <w:snapToGrid w:val="0"/>
        <w:spacing w:line="360" w:lineRule="auto"/>
        <w:rPr>
          <w:rFonts w:ascii="仿宋_GB2312" w:hAnsi="仿宋" w:eastAsia="仿宋_GB2312" w:cs="仿宋_GB2312"/>
          <w:kern w:val="0"/>
          <w:sz w:val="24"/>
        </w:rPr>
      </w:pPr>
      <w:r>
        <w:rPr>
          <w:rFonts w:hint="eastAsia" w:ascii="仿宋_GB2312" w:hAnsi="仿宋" w:eastAsia="仿宋_GB2312" w:cs="仿宋_GB2312"/>
          <w:kern w:val="0"/>
          <w:sz w:val="24"/>
        </w:rPr>
        <w:t>二、第二部分 合同一般条款……………………………………………………（页码）</w:t>
      </w:r>
    </w:p>
    <w:p w14:paraId="55CAFA85">
      <w:pPr>
        <w:pStyle w:val="10"/>
        <w:ind w:firstLine="1126"/>
        <w:rPr>
          <w:rFonts w:ascii="仿宋_GB2312" w:hAnsi="楷体" w:eastAsia="仿宋_GB2312"/>
          <w:b/>
          <w:sz w:val="28"/>
          <w:szCs w:val="28"/>
        </w:rPr>
      </w:pPr>
      <w:r>
        <w:br w:type="page"/>
      </w:r>
      <w:bookmarkStart w:id="35" w:name="_Toc80205944"/>
      <w:bookmarkStart w:id="36" w:name="_Toc80886948"/>
      <w:bookmarkStart w:id="37" w:name="_Toc24629"/>
      <w:r>
        <w:rPr>
          <w:rFonts w:hint="eastAsia" w:ascii="仿宋_GB2312" w:hAnsi="楷体" w:eastAsia="仿宋_GB2312"/>
          <w:b/>
          <w:sz w:val="28"/>
          <w:szCs w:val="28"/>
        </w:rPr>
        <w:t>第一部分 合同书</w:t>
      </w:r>
      <w:bookmarkEnd w:id="35"/>
      <w:bookmarkEnd w:id="36"/>
      <w:bookmarkEnd w:id="37"/>
    </w:p>
    <w:p w14:paraId="3BD7E378">
      <w:pPr>
        <w:spacing w:line="360" w:lineRule="auto"/>
        <w:ind w:firstLine="480" w:firstLineChars="200"/>
        <w:rPr>
          <w:rFonts w:ascii="仿宋_GB2312" w:hAnsi="楷体" w:eastAsia="仿宋_GB2312"/>
          <w:sz w:val="24"/>
        </w:rPr>
      </w:pPr>
      <w:r>
        <w:rPr>
          <w:rFonts w:hint="eastAsia" w:ascii="仿宋_GB2312" w:hAnsi="楷体" w:eastAsia="仿宋_GB2312"/>
          <w:sz w:val="24"/>
          <w:u w:val="single"/>
          <w:lang w:val="zh-CN"/>
        </w:rPr>
        <w:t xml:space="preserve">     </w:t>
      </w:r>
      <w:r>
        <w:rPr>
          <w:rFonts w:hint="eastAsia" w:ascii="仿宋_GB2312" w:hAnsi="楷体" w:eastAsia="仿宋_GB2312"/>
          <w:sz w:val="24"/>
          <w:lang w:val="zh-CN"/>
        </w:rPr>
        <w:t>年</w:t>
      </w:r>
      <w:r>
        <w:rPr>
          <w:rFonts w:hint="eastAsia" w:ascii="仿宋_GB2312" w:hAnsi="楷体" w:eastAsia="仿宋_GB2312"/>
          <w:sz w:val="24"/>
          <w:u w:val="single"/>
          <w:lang w:val="zh-CN"/>
        </w:rPr>
        <w:t xml:space="preserve">    </w:t>
      </w:r>
      <w:r>
        <w:rPr>
          <w:rFonts w:hint="eastAsia" w:ascii="仿宋_GB2312" w:hAnsi="楷体" w:eastAsia="仿宋_GB2312"/>
          <w:sz w:val="24"/>
          <w:lang w:val="zh-CN"/>
        </w:rPr>
        <w:t>月</w:t>
      </w:r>
      <w:r>
        <w:rPr>
          <w:rFonts w:hint="eastAsia" w:ascii="仿宋_GB2312" w:hAnsi="楷体" w:eastAsia="仿宋_GB2312"/>
          <w:sz w:val="24"/>
          <w:u w:val="single"/>
          <w:lang w:val="zh-CN"/>
        </w:rPr>
        <w:t xml:space="preserve">    </w:t>
      </w:r>
      <w:r>
        <w:rPr>
          <w:rFonts w:hint="eastAsia" w:ascii="仿宋_GB2312" w:hAnsi="楷体" w:eastAsia="仿宋_GB2312"/>
          <w:sz w:val="24"/>
          <w:lang w:val="zh-CN"/>
        </w:rPr>
        <w:t>日</w:t>
      </w:r>
      <w:r>
        <w:rPr>
          <w:rFonts w:hint="eastAsia" w:ascii="仿宋_GB2312" w:hAnsi="楷体" w:eastAsia="仿宋_GB2312"/>
          <w:sz w:val="24"/>
        </w:rPr>
        <w:t>，</w:t>
      </w:r>
      <w:r>
        <w:rPr>
          <w:rFonts w:hint="eastAsia" w:ascii="仿宋_GB2312" w:hAnsi="仿宋" w:eastAsia="仿宋_GB2312"/>
          <w:sz w:val="24"/>
          <w:u w:val="single"/>
        </w:rPr>
        <w:t xml:space="preserve">  </w:t>
      </w:r>
      <w:bookmarkStart w:id="38" w:name="PO_3000001869_PM026_3"/>
      <w:r>
        <w:rPr>
          <w:rFonts w:ascii="仿宋_GB2312" w:hAnsi="仿宋" w:eastAsia="仿宋_GB2312"/>
          <w:sz w:val="24"/>
          <w:u w:val="single"/>
        </w:rPr>
        <w:t>[项目采购-采购人]</w:t>
      </w:r>
      <w:bookmarkEnd w:id="38"/>
      <w:r>
        <w:rPr>
          <w:rFonts w:hint="eastAsia" w:ascii="仿宋_GB2312" w:hAnsi="仿宋" w:eastAsia="仿宋_GB2312"/>
          <w:sz w:val="24"/>
          <w:u w:val="single"/>
        </w:rPr>
        <w:t xml:space="preserve">  </w:t>
      </w:r>
      <w:r>
        <w:rPr>
          <w:rFonts w:ascii="仿宋_GB2312" w:hAnsi="仿宋" w:eastAsia="仿宋_GB2312"/>
          <w:sz w:val="24"/>
          <w:u w:val="single"/>
        </w:rPr>
        <w:t xml:space="preserve"> </w:t>
      </w:r>
      <w:r>
        <w:rPr>
          <w:rFonts w:hint="eastAsia" w:ascii="仿宋_GB2312" w:hAnsi="仿宋" w:eastAsia="仿宋_GB2312"/>
          <w:sz w:val="24"/>
        </w:rPr>
        <w:t>以</w:t>
      </w:r>
      <w:r>
        <w:rPr>
          <w:rFonts w:hint="eastAsia" w:ascii="仿宋_GB2312" w:hAnsi="仿宋" w:eastAsia="仿宋_GB2312"/>
          <w:sz w:val="24"/>
          <w:u w:val="single"/>
        </w:rPr>
        <w:t xml:space="preserve">  公开招标方式  </w:t>
      </w:r>
      <w:r>
        <w:rPr>
          <w:rFonts w:hint="eastAsia" w:ascii="仿宋_GB2312" w:hAnsi="仿宋" w:eastAsia="仿宋_GB2312"/>
          <w:sz w:val="24"/>
        </w:rPr>
        <w:t>对</w:t>
      </w:r>
      <w:r>
        <w:rPr>
          <w:rFonts w:hint="eastAsia" w:ascii="仿宋_GB2312" w:hAnsi="仿宋" w:eastAsia="仿宋_GB2312"/>
          <w:sz w:val="24"/>
          <w:u w:val="single"/>
        </w:rPr>
        <w:t xml:space="preserve">        </w:t>
      </w:r>
      <w:r>
        <w:rPr>
          <w:rFonts w:hint="eastAsia" w:ascii="仿宋_GB2312" w:hAnsi="楷体" w:eastAsia="仿宋_GB2312"/>
          <w:sz w:val="24"/>
        </w:rPr>
        <w:t>项目进行了采购。经</w:t>
      </w:r>
      <w:r>
        <w:rPr>
          <w:rFonts w:hint="eastAsia" w:ascii="仿宋_GB2312" w:hAnsi="楷体" w:eastAsia="仿宋_GB2312"/>
          <w:sz w:val="24"/>
          <w:u w:val="single"/>
        </w:rPr>
        <w:t xml:space="preserve">   （相关评定主体名称）   </w:t>
      </w:r>
      <w:r>
        <w:rPr>
          <w:rFonts w:hint="eastAsia" w:ascii="仿宋_GB2312" w:hAnsi="楷体" w:eastAsia="仿宋_GB2312"/>
          <w:sz w:val="24"/>
        </w:rPr>
        <w:t>评定，</w:t>
      </w:r>
      <w:r>
        <w:rPr>
          <w:rFonts w:hint="eastAsia" w:ascii="仿宋_GB2312" w:hAnsi="楷体" w:eastAsia="仿宋_GB2312"/>
          <w:sz w:val="24"/>
          <w:u w:val="single"/>
        </w:rPr>
        <w:t xml:space="preserve">   （供应商名称）</w:t>
      </w:r>
      <w:r>
        <w:rPr>
          <w:rFonts w:hint="eastAsia" w:ascii="仿宋_GB2312" w:hAnsi="楷体" w:eastAsia="仿宋_GB2312"/>
          <w:sz w:val="24"/>
        </w:rPr>
        <w:t>为该项目成交供应商。现于成交通知书发出之日起</w:t>
      </w:r>
      <w:r>
        <w:rPr>
          <w:rFonts w:hint="eastAsia" w:ascii="仿宋_GB2312" w:hAnsi="楷体" w:eastAsia="仿宋_GB2312"/>
          <w:sz w:val="24"/>
          <w:u w:val="single"/>
        </w:rPr>
        <w:t xml:space="preserve">    </w:t>
      </w:r>
      <w:r>
        <w:rPr>
          <w:rFonts w:hint="eastAsia" w:ascii="仿宋_GB2312" w:hAnsi="楷体" w:eastAsia="仿宋_GB2312"/>
          <w:sz w:val="24"/>
        </w:rPr>
        <w:t>日内，按照采购文件确定的事项签订本合同。</w:t>
      </w:r>
    </w:p>
    <w:p w14:paraId="3A5BD6F8">
      <w:pPr>
        <w:spacing w:line="360" w:lineRule="auto"/>
        <w:ind w:firstLine="480" w:firstLineChars="200"/>
        <w:rPr>
          <w:rFonts w:ascii="仿宋_GB2312" w:hAnsi="楷体" w:eastAsia="仿宋_GB2312"/>
          <w:sz w:val="24"/>
        </w:rPr>
      </w:pPr>
      <w:r>
        <w:rPr>
          <w:rFonts w:hint="eastAsia" w:ascii="仿宋_GB2312" w:hAnsi="楷体" w:eastAsia="仿宋_GB2312"/>
          <w:sz w:val="24"/>
          <w:lang w:val="zh-CN"/>
        </w:rPr>
        <w:t>根据《中华人民共和国民法典》、《中华人民共和国政府采购法》等相关法律法规之规定，按照平等、自愿、公平和诚实信用的原则，经</w:t>
      </w:r>
      <w:r>
        <w:rPr>
          <w:rFonts w:hint="eastAsia" w:ascii="仿宋_GB2312" w:hAnsi="楷体" w:eastAsia="仿宋_GB2312"/>
          <w:sz w:val="24"/>
          <w:u w:val="single"/>
        </w:rPr>
        <w:t xml:space="preserve">  </w:t>
      </w:r>
      <w:bookmarkStart w:id="39" w:name="PO_3000001869_PM026_4"/>
      <w:r>
        <w:rPr>
          <w:rFonts w:ascii="仿宋_GB2312" w:hAnsi="楷体" w:eastAsia="仿宋_GB2312"/>
          <w:sz w:val="24"/>
          <w:u w:val="single"/>
        </w:rPr>
        <w:t>[项目采购-采购人]</w:t>
      </w:r>
      <w:bookmarkEnd w:id="39"/>
      <w:r>
        <w:rPr>
          <w:rFonts w:hint="eastAsia" w:ascii="仿宋_GB2312" w:hAnsi="楷体" w:eastAsia="仿宋_GB2312"/>
          <w:sz w:val="24"/>
          <w:u w:val="single"/>
        </w:rPr>
        <w:t xml:space="preserve">  </w:t>
      </w:r>
      <w:r>
        <w:rPr>
          <w:rFonts w:hint="eastAsia" w:ascii="仿宋_GB2312" w:hAnsi="楷体" w:eastAsia="仿宋_GB2312"/>
          <w:sz w:val="24"/>
          <w:lang w:val="zh-CN"/>
        </w:rPr>
        <w:t>(以下简称：甲方)和</w:t>
      </w:r>
      <w:r>
        <w:rPr>
          <w:rFonts w:hint="eastAsia" w:ascii="仿宋_GB2312" w:hAnsi="楷体" w:eastAsia="仿宋_GB2312"/>
          <w:sz w:val="24"/>
          <w:u w:val="single"/>
        </w:rPr>
        <w:t xml:space="preserve">   （中标人名称）</w:t>
      </w:r>
      <w:r>
        <w:rPr>
          <w:rFonts w:hint="eastAsia" w:ascii="仿宋_GB2312" w:hAnsi="楷体" w:eastAsia="仿宋_GB2312"/>
          <w:sz w:val="24"/>
          <w:lang w:val="zh-CN"/>
        </w:rPr>
        <w:t>(以下简称：乙方)协商一致，约定以下合同</w:t>
      </w:r>
      <w:r>
        <w:rPr>
          <w:rFonts w:hint="eastAsia" w:ascii="仿宋_GB2312" w:hAnsi="楷体" w:eastAsia="仿宋_GB2312"/>
          <w:sz w:val="24"/>
        </w:rPr>
        <w:t>条款，以兹共同遵守、全面履行。</w:t>
      </w:r>
    </w:p>
    <w:p w14:paraId="1EC4A52D">
      <w:pPr>
        <w:spacing w:line="360" w:lineRule="auto"/>
        <w:ind w:firstLine="482" w:firstLineChars="200"/>
        <w:rPr>
          <w:rFonts w:ascii="仿宋_GB2312" w:hAnsi="楷体" w:eastAsia="仿宋_GB2312"/>
          <w:b/>
          <w:sz w:val="24"/>
        </w:rPr>
      </w:pPr>
      <w:bookmarkStart w:id="40" w:name="_Toc2232"/>
      <w:bookmarkStart w:id="41" w:name="_Toc3029"/>
      <w:bookmarkStart w:id="42" w:name="_Toc24059"/>
      <w:r>
        <w:rPr>
          <w:rFonts w:hint="eastAsia" w:ascii="仿宋_GB2312" w:hAnsi="楷体" w:eastAsia="仿宋_GB2312"/>
          <w:b/>
          <w:sz w:val="24"/>
        </w:rPr>
        <w:t>1.1 合同组成部分</w:t>
      </w:r>
      <w:bookmarkEnd w:id="40"/>
      <w:bookmarkEnd w:id="41"/>
      <w:bookmarkEnd w:id="42"/>
    </w:p>
    <w:p w14:paraId="57367A58">
      <w:pPr>
        <w:spacing w:line="360" w:lineRule="auto"/>
        <w:ind w:firstLine="480" w:firstLineChars="200"/>
        <w:rPr>
          <w:rFonts w:ascii="仿宋_GB2312" w:hAnsi="楷体" w:eastAsia="仿宋_GB2312"/>
          <w:sz w:val="24"/>
        </w:rPr>
      </w:pPr>
      <w:r>
        <w:rPr>
          <w:rFonts w:hint="eastAsia" w:ascii="仿宋_GB2312" w:hAnsi="楷体" w:eastAsia="仿宋_GB2312"/>
          <w:sz w:val="24"/>
        </w:rPr>
        <w:t>下列文件为本合同的组成部分，并构成一个整体，需综合解释、相互补充。如果下列文件内容出现不一致的情形，在保证按照采购文件确定的事项的前提下，组成本合同的多个文件的优先适用顺序如下：</w:t>
      </w:r>
    </w:p>
    <w:p w14:paraId="7C7F938A">
      <w:pPr>
        <w:spacing w:line="360" w:lineRule="auto"/>
        <w:ind w:firstLine="480" w:firstLineChars="200"/>
        <w:rPr>
          <w:rFonts w:ascii="仿宋_GB2312" w:hAnsi="楷体" w:eastAsia="仿宋_GB2312"/>
          <w:sz w:val="24"/>
        </w:rPr>
      </w:pPr>
      <w:r>
        <w:rPr>
          <w:rFonts w:hint="eastAsia" w:ascii="仿宋_GB2312" w:hAnsi="楷体" w:eastAsia="仿宋_GB2312"/>
          <w:sz w:val="24"/>
        </w:rPr>
        <w:t>1.1.1 本合同及其补充合同、变更协议；</w:t>
      </w:r>
    </w:p>
    <w:p w14:paraId="53A9DA6A">
      <w:pPr>
        <w:spacing w:line="360" w:lineRule="auto"/>
        <w:ind w:firstLine="480" w:firstLineChars="200"/>
        <w:rPr>
          <w:rFonts w:ascii="仿宋_GB2312" w:hAnsi="楷体" w:eastAsia="仿宋_GB2312"/>
          <w:sz w:val="24"/>
        </w:rPr>
      </w:pPr>
      <w:r>
        <w:rPr>
          <w:rFonts w:hint="eastAsia" w:ascii="仿宋_GB2312" w:hAnsi="楷体" w:eastAsia="仿宋_GB2312"/>
          <w:sz w:val="24"/>
        </w:rPr>
        <w:t>1.1.2 成交通知书；</w:t>
      </w:r>
    </w:p>
    <w:p w14:paraId="2CBBE431">
      <w:pPr>
        <w:spacing w:line="360" w:lineRule="auto"/>
        <w:ind w:firstLine="480" w:firstLineChars="200"/>
        <w:rPr>
          <w:rFonts w:ascii="仿宋_GB2312" w:hAnsi="楷体" w:eastAsia="仿宋_GB2312"/>
          <w:sz w:val="24"/>
        </w:rPr>
      </w:pPr>
      <w:r>
        <w:rPr>
          <w:rFonts w:hint="eastAsia" w:ascii="仿宋_GB2312" w:hAnsi="楷体" w:eastAsia="仿宋_GB2312"/>
          <w:sz w:val="24"/>
        </w:rPr>
        <w:t>1.1.3 采购文件及“响应报价”（含澄清或者说明文件）；</w:t>
      </w:r>
    </w:p>
    <w:p w14:paraId="692F37F0">
      <w:pPr>
        <w:spacing w:line="360" w:lineRule="auto"/>
        <w:ind w:firstLine="480" w:firstLineChars="200"/>
        <w:rPr>
          <w:rFonts w:ascii="仿宋_GB2312" w:hAnsi="楷体" w:eastAsia="仿宋_GB2312"/>
          <w:sz w:val="24"/>
        </w:rPr>
      </w:pPr>
      <w:r>
        <w:rPr>
          <w:rFonts w:hint="eastAsia" w:ascii="仿宋_GB2312" w:hAnsi="楷体" w:eastAsia="仿宋_GB2312"/>
          <w:sz w:val="24"/>
        </w:rPr>
        <w:t>1.1.4 采购文件（含澄清或者修改文件）；</w:t>
      </w:r>
    </w:p>
    <w:p w14:paraId="494B8E52">
      <w:pPr>
        <w:spacing w:line="360" w:lineRule="auto"/>
        <w:ind w:firstLine="480" w:firstLineChars="200"/>
        <w:rPr>
          <w:rFonts w:ascii="仿宋_GB2312" w:hAnsi="楷体" w:eastAsia="仿宋_GB2312"/>
          <w:sz w:val="24"/>
        </w:rPr>
      </w:pPr>
      <w:r>
        <w:rPr>
          <w:rFonts w:hint="eastAsia" w:ascii="仿宋_GB2312" w:hAnsi="楷体" w:eastAsia="仿宋_GB2312"/>
          <w:sz w:val="24"/>
        </w:rPr>
        <w:t>1.1.5 其他相关采购文件。</w:t>
      </w:r>
    </w:p>
    <w:p w14:paraId="13966FD0">
      <w:pPr>
        <w:spacing w:line="360" w:lineRule="auto"/>
        <w:ind w:firstLine="482" w:firstLineChars="200"/>
        <w:rPr>
          <w:rFonts w:ascii="仿宋_GB2312" w:hAnsi="楷体" w:eastAsia="仿宋_GB2312"/>
          <w:b/>
          <w:sz w:val="24"/>
        </w:rPr>
      </w:pPr>
      <w:bookmarkStart w:id="43" w:name="_Toc27126"/>
      <w:bookmarkStart w:id="44" w:name="_Toc21295"/>
      <w:bookmarkStart w:id="45" w:name="_Toc24300"/>
      <w:r>
        <w:rPr>
          <w:rFonts w:hint="eastAsia" w:ascii="仿宋_GB2312" w:hAnsi="楷体" w:eastAsia="仿宋_GB2312"/>
          <w:b/>
          <w:sz w:val="24"/>
        </w:rPr>
        <w:t>1.2 标的物</w:t>
      </w:r>
      <w:bookmarkEnd w:id="43"/>
      <w:bookmarkEnd w:id="44"/>
      <w:bookmarkEnd w:id="45"/>
    </w:p>
    <w:p w14:paraId="0E0CD120">
      <w:pPr>
        <w:spacing w:line="360" w:lineRule="auto"/>
        <w:ind w:firstLine="480" w:firstLineChars="200"/>
        <w:rPr>
          <w:rFonts w:ascii="仿宋_GB2312" w:hAnsi="楷体" w:eastAsia="仿宋_GB2312"/>
          <w:sz w:val="24"/>
        </w:rPr>
      </w:pPr>
      <w:r>
        <w:rPr>
          <w:rFonts w:hint="eastAsia" w:ascii="仿宋_GB2312" w:hAnsi="楷体" w:eastAsia="仿宋_GB2312"/>
          <w:sz w:val="24"/>
        </w:rPr>
        <w:t>1.2.1 标的物1信息</w:t>
      </w:r>
    </w:p>
    <w:p w14:paraId="4133007F">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1.2.1.1名称：</w:t>
      </w:r>
      <w:r>
        <w:rPr>
          <w:rFonts w:hint="eastAsia" w:ascii="仿宋_GB2312" w:hAnsi="楷体" w:eastAsia="仿宋_GB2312"/>
          <w:sz w:val="24"/>
          <w:u w:val="single"/>
        </w:rPr>
        <w:t xml:space="preserve">                                        </w:t>
      </w:r>
      <w:r>
        <w:rPr>
          <w:rFonts w:hint="eastAsia" w:ascii="仿宋_GB2312" w:hAnsi="楷体" w:eastAsia="仿宋_GB2312"/>
          <w:sz w:val="24"/>
        </w:rPr>
        <w:t>；</w:t>
      </w:r>
    </w:p>
    <w:p w14:paraId="10844B6C">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1.2.1.2数量：</w:t>
      </w:r>
      <w:r>
        <w:rPr>
          <w:rFonts w:hint="eastAsia" w:ascii="仿宋_GB2312" w:hAnsi="楷体" w:eastAsia="仿宋_GB2312"/>
          <w:sz w:val="24"/>
          <w:u w:val="single"/>
        </w:rPr>
        <w:t xml:space="preserve">                                        </w:t>
      </w:r>
      <w:r>
        <w:rPr>
          <w:rFonts w:hint="eastAsia" w:ascii="仿宋_GB2312" w:hAnsi="楷体" w:eastAsia="仿宋_GB2312"/>
          <w:sz w:val="24"/>
        </w:rPr>
        <w:t>；</w:t>
      </w:r>
    </w:p>
    <w:p w14:paraId="71006DC2">
      <w:pPr>
        <w:spacing w:line="360" w:lineRule="auto"/>
        <w:ind w:firstLine="480" w:firstLineChars="200"/>
        <w:rPr>
          <w:rFonts w:ascii="仿宋_GB2312" w:hAnsi="楷体" w:eastAsia="仿宋_GB2312"/>
          <w:sz w:val="24"/>
        </w:rPr>
      </w:pPr>
      <w:r>
        <w:rPr>
          <w:rFonts w:hint="eastAsia" w:ascii="仿宋_GB2312" w:hAnsi="楷体" w:eastAsia="仿宋_GB2312"/>
          <w:sz w:val="24"/>
        </w:rPr>
        <w:t>1.2.1.3质量：</w:t>
      </w:r>
      <w:r>
        <w:rPr>
          <w:rFonts w:hint="eastAsia" w:ascii="仿宋_GB2312" w:hAnsi="楷体" w:eastAsia="仿宋_GB2312"/>
          <w:sz w:val="24"/>
          <w:u w:val="single"/>
        </w:rPr>
        <w:t xml:space="preserve">　                                      </w:t>
      </w:r>
      <w:r>
        <w:rPr>
          <w:rFonts w:hint="eastAsia" w:ascii="仿宋_GB2312" w:hAnsi="楷体" w:eastAsia="仿宋_GB2312"/>
          <w:sz w:val="24"/>
        </w:rPr>
        <w:t>。</w:t>
      </w:r>
    </w:p>
    <w:p w14:paraId="3B2ED224">
      <w:pPr>
        <w:spacing w:line="360" w:lineRule="auto"/>
        <w:ind w:firstLine="480" w:firstLineChars="200"/>
        <w:rPr>
          <w:rFonts w:ascii="仿宋_GB2312" w:hAnsi="楷体" w:eastAsia="仿宋_GB2312"/>
          <w:sz w:val="24"/>
        </w:rPr>
      </w:pPr>
      <w:r>
        <w:rPr>
          <w:rFonts w:hint="eastAsia" w:ascii="仿宋_GB2312" w:hAnsi="楷体" w:eastAsia="仿宋_GB2312"/>
          <w:sz w:val="24"/>
        </w:rPr>
        <w:t>……</w:t>
      </w:r>
    </w:p>
    <w:p w14:paraId="341E904B">
      <w:pPr>
        <w:spacing w:line="360" w:lineRule="auto"/>
        <w:ind w:firstLine="482" w:firstLineChars="200"/>
        <w:rPr>
          <w:rFonts w:ascii="仿宋_GB2312" w:hAnsi="楷体" w:eastAsia="仿宋_GB2312"/>
          <w:b/>
          <w:sz w:val="24"/>
        </w:rPr>
      </w:pPr>
      <w:bookmarkStart w:id="46" w:name="_Toc21631"/>
      <w:bookmarkStart w:id="47" w:name="_Toc23292"/>
      <w:bookmarkStart w:id="48" w:name="_Toc21551"/>
      <w:r>
        <w:rPr>
          <w:rFonts w:hint="eastAsia" w:ascii="仿宋_GB2312" w:hAnsi="楷体" w:eastAsia="仿宋_GB2312"/>
          <w:b/>
          <w:sz w:val="24"/>
        </w:rPr>
        <w:t>1.3 价款</w:t>
      </w:r>
      <w:bookmarkEnd w:id="46"/>
      <w:bookmarkEnd w:id="47"/>
      <w:bookmarkEnd w:id="48"/>
    </w:p>
    <w:p w14:paraId="3C6C90F5">
      <w:pPr>
        <w:spacing w:line="360" w:lineRule="auto"/>
        <w:ind w:firstLine="480" w:firstLineChars="200"/>
        <w:rPr>
          <w:rFonts w:ascii="仿宋_GB2312" w:hAnsi="楷体" w:eastAsia="仿宋_GB2312"/>
          <w:sz w:val="24"/>
        </w:rPr>
      </w:pPr>
      <w:r>
        <w:rPr>
          <w:rFonts w:hint="eastAsia" w:ascii="仿宋_GB2312" w:hAnsi="楷体" w:eastAsia="仿宋_GB2312"/>
          <w:sz w:val="24"/>
        </w:rPr>
        <w:t>本合同总价为：人民币</w:t>
      </w:r>
      <w:r>
        <w:rPr>
          <w:rFonts w:hint="eastAsia" w:ascii="仿宋_GB2312" w:hAnsi="楷体" w:eastAsia="仿宋_GB2312"/>
          <w:sz w:val="24"/>
          <w:u w:val="single"/>
        </w:rPr>
        <w:t xml:space="preserve">           </w:t>
      </w:r>
      <w:r>
        <w:rPr>
          <w:rFonts w:hint="eastAsia" w:ascii="仿宋_GB2312" w:hAnsi="楷体" w:eastAsia="仿宋_GB2312"/>
          <w:sz w:val="24"/>
        </w:rPr>
        <w:t>元（大写：</w:t>
      </w:r>
      <w:r>
        <w:rPr>
          <w:rFonts w:hint="eastAsia" w:ascii="仿宋_GB2312" w:hAnsi="楷体" w:eastAsia="仿宋_GB2312"/>
          <w:sz w:val="24"/>
          <w:u w:val="single"/>
        </w:rPr>
        <w:t xml:space="preserve">                 </w:t>
      </w:r>
      <w:r>
        <w:rPr>
          <w:rFonts w:hint="eastAsia" w:ascii="仿宋_GB2312" w:hAnsi="楷体" w:eastAsia="仿宋_GB2312"/>
          <w:sz w:val="24"/>
        </w:rPr>
        <w:t>元人民币，含税）。</w:t>
      </w:r>
    </w:p>
    <w:p w14:paraId="51D1153D">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分项价格：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21F2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51DEB9F">
            <w:pPr>
              <w:spacing w:line="360" w:lineRule="auto"/>
              <w:ind w:firstLine="480" w:firstLineChars="200"/>
              <w:rPr>
                <w:rFonts w:ascii="仿宋_GB2312" w:hAnsi="楷体" w:eastAsia="仿宋_GB2312"/>
                <w:sz w:val="24"/>
              </w:rPr>
            </w:pPr>
            <w:r>
              <w:rPr>
                <w:rFonts w:hint="eastAsia" w:ascii="仿宋_GB2312" w:hAnsi="楷体" w:eastAsia="仿宋_GB2312"/>
                <w:sz w:val="24"/>
              </w:rPr>
              <w:t>序号</w:t>
            </w:r>
          </w:p>
        </w:tc>
        <w:tc>
          <w:tcPr>
            <w:tcW w:w="3402" w:type="dxa"/>
            <w:vAlign w:val="center"/>
          </w:tcPr>
          <w:p w14:paraId="7B9548D1">
            <w:pPr>
              <w:spacing w:line="360" w:lineRule="auto"/>
              <w:ind w:firstLine="480" w:firstLineChars="200"/>
              <w:rPr>
                <w:rFonts w:ascii="仿宋_GB2312" w:hAnsi="楷体" w:eastAsia="仿宋_GB2312"/>
                <w:sz w:val="24"/>
              </w:rPr>
            </w:pPr>
            <w:r>
              <w:rPr>
                <w:rFonts w:hint="eastAsia" w:ascii="仿宋_GB2312" w:hAnsi="楷体" w:eastAsia="仿宋_GB2312"/>
                <w:sz w:val="24"/>
              </w:rPr>
              <w:t>分项名称</w:t>
            </w:r>
          </w:p>
        </w:tc>
        <w:tc>
          <w:tcPr>
            <w:tcW w:w="2552" w:type="dxa"/>
            <w:vAlign w:val="center"/>
          </w:tcPr>
          <w:p w14:paraId="21A23010">
            <w:pPr>
              <w:spacing w:line="360" w:lineRule="auto"/>
              <w:ind w:firstLine="480" w:firstLineChars="200"/>
              <w:rPr>
                <w:rFonts w:ascii="仿宋_GB2312" w:hAnsi="楷体" w:eastAsia="仿宋_GB2312"/>
                <w:sz w:val="24"/>
              </w:rPr>
            </w:pPr>
            <w:r>
              <w:rPr>
                <w:rFonts w:hint="eastAsia" w:ascii="仿宋_GB2312" w:hAnsi="楷体" w:eastAsia="仿宋_GB2312"/>
                <w:sz w:val="24"/>
              </w:rPr>
              <w:t>分项价格</w:t>
            </w:r>
          </w:p>
        </w:tc>
      </w:tr>
      <w:tr w14:paraId="05A9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0CCB568">
            <w:pPr>
              <w:spacing w:line="360" w:lineRule="auto"/>
              <w:ind w:firstLine="480" w:firstLineChars="200"/>
              <w:rPr>
                <w:rFonts w:ascii="仿宋_GB2312" w:hAnsi="楷体" w:eastAsia="仿宋_GB2312"/>
                <w:sz w:val="24"/>
              </w:rPr>
            </w:pPr>
          </w:p>
        </w:tc>
        <w:tc>
          <w:tcPr>
            <w:tcW w:w="3402" w:type="dxa"/>
            <w:vAlign w:val="center"/>
          </w:tcPr>
          <w:p w14:paraId="249C55B0">
            <w:pPr>
              <w:spacing w:line="360" w:lineRule="auto"/>
              <w:ind w:firstLine="480" w:firstLineChars="200"/>
              <w:rPr>
                <w:rFonts w:ascii="仿宋_GB2312" w:hAnsi="楷体" w:eastAsia="仿宋_GB2312"/>
                <w:sz w:val="24"/>
              </w:rPr>
            </w:pPr>
          </w:p>
        </w:tc>
        <w:tc>
          <w:tcPr>
            <w:tcW w:w="2552" w:type="dxa"/>
            <w:vAlign w:val="center"/>
          </w:tcPr>
          <w:p w14:paraId="38D5E7B7">
            <w:pPr>
              <w:spacing w:line="360" w:lineRule="auto"/>
              <w:ind w:firstLine="480" w:firstLineChars="200"/>
              <w:rPr>
                <w:rFonts w:ascii="仿宋_GB2312" w:hAnsi="楷体" w:eastAsia="仿宋_GB2312"/>
                <w:sz w:val="24"/>
              </w:rPr>
            </w:pPr>
          </w:p>
        </w:tc>
      </w:tr>
      <w:tr w14:paraId="2152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3AB28D0">
            <w:pPr>
              <w:spacing w:line="360" w:lineRule="auto"/>
              <w:ind w:firstLine="480" w:firstLineChars="200"/>
              <w:rPr>
                <w:rFonts w:ascii="仿宋_GB2312" w:hAnsi="楷体" w:eastAsia="仿宋_GB2312"/>
                <w:sz w:val="24"/>
              </w:rPr>
            </w:pPr>
          </w:p>
        </w:tc>
        <w:tc>
          <w:tcPr>
            <w:tcW w:w="3402" w:type="dxa"/>
            <w:vAlign w:val="center"/>
          </w:tcPr>
          <w:p w14:paraId="3229EDF7">
            <w:pPr>
              <w:spacing w:line="360" w:lineRule="auto"/>
              <w:ind w:firstLine="480" w:firstLineChars="200"/>
              <w:rPr>
                <w:rFonts w:ascii="仿宋_GB2312" w:hAnsi="楷体" w:eastAsia="仿宋_GB2312"/>
                <w:sz w:val="24"/>
              </w:rPr>
            </w:pPr>
          </w:p>
        </w:tc>
        <w:tc>
          <w:tcPr>
            <w:tcW w:w="2552" w:type="dxa"/>
            <w:vAlign w:val="center"/>
          </w:tcPr>
          <w:p w14:paraId="6927BB56">
            <w:pPr>
              <w:spacing w:line="360" w:lineRule="auto"/>
              <w:ind w:firstLine="480" w:firstLineChars="200"/>
              <w:rPr>
                <w:rFonts w:ascii="仿宋_GB2312" w:hAnsi="楷体" w:eastAsia="仿宋_GB2312"/>
                <w:sz w:val="24"/>
              </w:rPr>
            </w:pPr>
          </w:p>
        </w:tc>
      </w:tr>
      <w:tr w14:paraId="0C14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F3B5792">
            <w:pPr>
              <w:spacing w:line="360" w:lineRule="auto"/>
              <w:ind w:firstLine="480" w:firstLineChars="200"/>
              <w:rPr>
                <w:rFonts w:ascii="仿宋_GB2312" w:hAnsi="楷体" w:eastAsia="仿宋_GB2312"/>
                <w:sz w:val="24"/>
              </w:rPr>
            </w:pPr>
          </w:p>
        </w:tc>
        <w:tc>
          <w:tcPr>
            <w:tcW w:w="3402" w:type="dxa"/>
            <w:vAlign w:val="center"/>
          </w:tcPr>
          <w:p w14:paraId="363BF424">
            <w:pPr>
              <w:spacing w:line="360" w:lineRule="auto"/>
              <w:ind w:firstLine="480" w:firstLineChars="200"/>
              <w:rPr>
                <w:rFonts w:ascii="仿宋_GB2312" w:hAnsi="楷体" w:eastAsia="仿宋_GB2312"/>
                <w:sz w:val="24"/>
              </w:rPr>
            </w:pPr>
          </w:p>
        </w:tc>
        <w:tc>
          <w:tcPr>
            <w:tcW w:w="2552" w:type="dxa"/>
            <w:vAlign w:val="center"/>
          </w:tcPr>
          <w:p w14:paraId="7D8729CA">
            <w:pPr>
              <w:spacing w:line="360" w:lineRule="auto"/>
              <w:ind w:firstLine="480" w:firstLineChars="200"/>
              <w:rPr>
                <w:rFonts w:ascii="仿宋_GB2312" w:hAnsi="楷体" w:eastAsia="仿宋_GB2312"/>
                <w:sz w:val="24"/>
              </w:rPr>
            </w:pPr>
          </w:p>
        </w:tc>
      </w:tr>
      <w:tr w14:paraId="699BE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43B90C23">
            <w:pPr>
              <w:spacing w:line="360" w:lineRule="auto"/>
              <w:ind w:firstLine="480" w:firstLineChars="200"/>
              <w:rPr>
                <w:rFonts w:ascii="仿宋_GB2312" w:hAnsi="楷体" w:eastAsia="仿宋_GB2312"/>
                <w:sz w:val="24"/>
              </w:rPr>
            </w:pPr>
            <w:r>
              <w:rPr>
                <w:rFonts w:hint="eastAsia" w:ascii="仿宋_GB2312" w:hAnsi="楷体" w:eastAsia="仿宋_GB2312"/>
                <w:sz w:val="24"/>
              </w:rPr>
              <w:t>总价</w:t>
            </w:r>
          </w:p>
        </w:tc>
        <w:tc>
          <w:tcPr>
            <w:tcW w:w="2552" w:type="dxa"/>
            <w:vAlign w:val="center"/>
          </w:tcPr>
          <w:p w14:paraId="224DB323">
            <w:pPr>
              <w:spacing w:line="360" w:lineRule="auto"/>
              <w:ind w:firstLine="480" w:firstLineChars="200"/>
              <w:rPr>
                <w:rFonts w:ascii="仿宋_GB2312" w:hAnsi="楷体" w:eastAsia="仿宋_GB2312"/>
                <w:sz w:val="24"/>
              </w:rPr>
            </w:pPr>
          </w:p>
        </w:tc>
      </w:tr>
    </w:tbl>
    <w:p w14:paraId="5A3F1958">
      <w:pPr>
        <w:spacing w:line="360" w:lineRule="auto"/>
        <w:ind w:firstLine="482" w:firstLineChars="200"/>
        <w:rPr>
          <w:rFonts w:ascii="仿宋_GB2312" w:hAnsi="楷体" w:eastAsia="仿宋_GB2312"/>
          <w:b/>
          <w:sz w:val="24"/>
        </w:rPr>
      </w:pPr>
      <w:bookmarkStart w:id="49" w:name="_Toc1814"/>
      <w:bookmarkStart w:id="50" w:name="_Toc22618"/>
      <w:bookmarkStart w:id="51" w:name="_Toc10340"/>
      <w:r>
        <w:rPr>
          <w:rFonts w:hint="eastAsia" w:ascii="仿宋_GB2312" w:hAnsi="楷体" w:eastAsia="仿宋_GB2312"/>
          <w:b/>
          <w:sz w:val="24"/>
        </w:rPr>
        <w:t>1.4 付款方式和发票开具方式</w:t>
      </w:r>
      <w:bookmarkEnd w:id="49"/>
      <w:bookmarkEnd w:id="50"/>
      <w:bookmarkEnd w:id="51"/>
    </w:p>
    <w:p w14:paraId="2317BE80">
      <w:pPr>
        <w:spacing w:line="360" w:lineRule="auto"/>
        <w:ind w:firstLine="480" w:firstLineChars="200"/>
        <w:rPr>
          <w:rFonts w:ascii="仿宋_GB2312" w:hAnsi="楷体" w:eastAsia="仿宋_GB2312"/>
          <w:sz w:val="24"/>
        </w:rPr>
      </w:pPr>
      <w:r>
        <w:rPr>
          <w:rFonts w:hint="eastAsia" w:ascii="仿宋_GB2312" w:hAnsi="楷体" w:eastAsia="仿宋_GB2312"/>
          <w:sz w:val="24"/>
        </w:rPr>
        <w:t>1.4.1 付款方式：</w:t>
      </w:r>
      <w:r>
        <w:rPr>
          <w:rFonts w:hint="eastAsia" w:ascii="仿宋_GB2312" w:hAnsi="楷体" w:eastAsia="仿宋_GB2312"/>
          <w:sz w:val="24"/>
          <w:u w:val="single"/>
        </w:rPr>
        <w:t xml:space="preserve">                                          </w:t>
      </w:r>
      <w:r>
        <w:rPr>
          <w:rFonts w:hint="eastAsia" w:ascii="仿宋_GB2312" w:hAnsi="楷体" w:eastAsia="仿宋_GB2312"/>
          <w:sz w:val="24"/>
        </w:rPr>
        <w:t>；</w:t>
      </w:r>
    </w:p>
    <w:p w14:paraId="145E344A">
      <w:pPr>
        <w:spacing w:line="360" w:lineRule="auto"/>
        <w:ind w:firstLine="480" w:firstLineChars="200"/>
        <w:rPr>
          <w:rFonts w:ascii="仿宋_GB2312" w:hAnsi="楷体" w:eastAsia="仿宋_GB2312"/>
          <w:sz w:val="24"/>
        </w:rPr>
      </w:pPr>
      <w:r>
        <w:rPr>
          <w:rFonts w:hint="eastAsia" w:ascii="仿宋_GB2312" w:hAnsi="楷体" w:eastAsia="仿宋_GB2312"/>
          <w:sz w:val="24"/>
        </w:rPr>
        <w:t>1.4.2 发票开具方式：</w:t>
      </w:r>
      <w:r>
        <w:rPr>
          <w:rFonts w:hint="eastAsia" w:ascii="仿宋_GB2312" w:hAnsi="楷体" w:eastAsia="仿宋_GB2312"/>
          <w:sz w:val="24"/>
          <w:u w:val="single"/>
        </w:rPr>
        <w:t xml:space="preserve">                                            </w:t>
      </w:r>
      <w:r>
        <w:rPr>
          <w:rFonts w:hint="eastAsia" w:ascii="仿宋_GB2312" w:hAnsi="楷体" w:eastAsia="仿宋_GB2312"/>
          <w:sz w:val="24"/>
        </w:rPr>
        <w:t>。</w:t>
      </w:r>
    </w:p>
    <w:p w14:paraId="1B8AD9C4">
      <w:pPr>
        <w:spacing w:line="360" w:lineRule="auto"/>
        <w:ind w:firstLine="482" w:firstLineChars="200"/>
        <w:rPr>
          <w:rFonts w:ascii="仿宋_GB2312" w:hAnsi="楷体" w:eastAsia="仿宋_GB2312"/>
          <w:b/>
          <w:sz w:val="24"/>
        </w:rPr>
      </w:pPr>
      <w:bookmarkStart w:id="52" w:name="_Toc2846"/>
      <w:bookmarkStart w:id="53" w:name="_Toc32071"/>
      <w:bookmarkStart w:id="54" w:name="_Toc19304"/>
      <w:r>
        <w:rPr>
          <w:rFonts w:hint="eastAsia" w:ascii="仿宋_GB2312" w:hAnsi="楷体" w:eastAsia="仿宋_GB2312"/>
          <w:b/>
          <w:sz w:val="24"/>
        </w:rPr>
        <w:t>1.5 标的物交付期限、地点、方式</w:t>
      </w:r>
      <w:bookmarkEnd w:id="52"/>
      <w:bookmarkEnd w:id="53"/>
      <w:bookmarkEnd w:id="54"/>
      <w:r>
        <w:rPr>
          <w:rFonts w:hint="eastAsia" w:ascii="仿宋_GB2312" w:hAnsi="楷体" w:eastAsia="仿宋_GB2312"/>
          <w:b/>
          <w:sz w:val="24"/>
        </w:rPr>
        <w:t>和服务期限</w:t>
      </w:r>
    </w:p>
    <w:p w14:paraId="4C73956B">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1.5.1 交付期限：</w:t>
      </w:r>
      <w:r>
        <w:rPr>
          <w:rFonts w:hint="eastAsia" w:ascii="仿宋_GB2312" w:hAnsi="楷体" w:eastAsia="仿宋_GB2312"/>
          <w:sz w:val="24"/>
          <w:u w:val="single"/>
        </w:rPr>
        <w:t xml:space="preserve">                                                 ；</w:t>
      </w:r>
    </w:p>
    <w:p w14:paraId="4AA89C95">
      <w:pPr>
        <w:spacing w:line="360" w:lineRule="auto"/>
        <w:ind w:firstLine="480" w:firstLineChars="200"/>
        <w:rPr>
          <w:rFonts w:ascii="仿宋_GB2312" w:hAnsi="楷体" w:eastAsia="仿宋_GB2312"/>
          <w:sz w:val="24"/>
        </w:rPr>
      </w:pPr>
      <w:r>
        <w:rPr>
          <w:rFonts w:hint="eastAsia" w:ascii="仿宋_GB2312" w:hAnsi="楷体" w:eastAsia="仿宋_GB2312"/>
          <w:sz w:val="24"/>
        </w:rPr>
        <w:t>1.5.2 交付地点：</w:t>
      </w:r>
      <w:r>
        <w:rPr>
          <w:rFonts w:hint="eastAsia" w:ascii="仿宋_GB2312" w:hAnsi="楷体" w:eastAsia="仿宋_GB2312"/>
          <w:sz w:val="24"/>
          <w:u w:val="single"/>
        </w:rPr>
        <w:t xml:space="preserve">                                                </w:t>
      </w:r>
      <w:r>
        <w:rPr>
          <w:rFonts w:hint="eastAsia" w:ascii="仿宋_GB2312" w:hAnsi="楷体" w:eastAsia="仿宋_GB2312"/>
          <w:sz w:val="24"/>
        </w:rPr>
        <w:t>；</w:t>
      </w:r>
    </w:p>
    <w:p w14:paraId="571FF42E">
      <w:pPr>
        <w:spacing w:line="360" w:lineRule="auto"/>
        <w:ind w:firstLine="480" w:firstLineChars="200"/>
        <w:rPr>
          <w:rFonts w:ascii="仿宋_GB2312" w:hAnsi="楷体" w:eastAsia="仿宋_GB2312"/>
          <w:sz w:val="24"/>
        </w:rPr>
      </w:pPr>
      <w:r>
        <w:rPr>
          <w:rFonts w:hint="eastAsia" w:ascii="仿宋_GB2312" w:hAnsi="楷体" w:eastAsia="仿宋_GB2312"/>
          <w:sz w:val="24"/>
        </w:rPr>
        <w:t>1.5.3 交付方式：</w:t>
      </w:r>
      <w:r>
        <w:rPr>
          <w:rFonts w:hint="eastAsia" w:ascii="仿宋_GB2312" w:hAnsi="楷体" w:eastAsia="仿宋_GB2312"/>
          <w:sz w:val="24"/>
          <w:u w:val="single"/>
        </w:rPr>
        <w:t xml:space="preserve">                                        　      </w:t>
      </w:r>
      <w:r>
        <w:rPr>
          <w:rFonts w:hint="eastAsia" w:ascii="仿宋_GB2312" w:hAnsi="楷体" w:eastAsia="仿宋_GB2312"/>
          <w:sz w:val="24"/>
        </w:rPr>
        <w:t>；</w:t>
      </w:r>
    </w:p>
    <w:p w14:paraId="3552438E">
      <w:pPr>
        <w:spacing w:line="360" w:lineRule="auto"/>
        <w:ind w:firstLine="480" w:firstLineChars="200"/>
        <w:rPr>
          <w:rFonts w:ascii="仿宋_GB2312" w:hAnsi="楷体" w:eastAsia="仿宋_GB2312"/>
          <w:sz w:val="24"/>
        </w:rPr>
      </w:pPr>
      <w:r>
        <w:rPr>
          <w:rFonts w:hint="eastAsia" w:ascii="仿宋_GB2312" w:hAnsi="楷体" w:eastAsia="仿宋_GB2312"/>
          <w:sz w:val="24"/>
        </w:rPr>
        <w:t>1.5.</w:t>
      </w:r>
      <w:r>
        <w:rPr>
          <w:rFonts w:ascii="仿宋_GB2312" w:hAnsi="楷体" w:eastAsia="仿宋_GB2312"/>
          <w:sz w:val="24"/>
        </w:rPr>
        <w:t>4</w:t>
      </w:r>
      <w:r>
        <w:rPr>
          <w:rFonts w:hint="eastAsia" w:ascii="仿宋_GB2312" w:hAnsi="楷体" w:eastAsia="仿宋_GB2312"/>
          <w:sz w:val="24"/>
        </w:rPr>
        <w:t xml:space="preserve"> 服务及质保期限：</w:t>
      </w:r>
      <w:r>
        <w:rPr>
          <w:rFonts w:hint="eastAsia" w:ascii="仿宋_GB2312" w:hAnsi="楷体" w:eastAsia="仿宋_GB2312"/>
          <w:sz w:val="24"/>
          <w:u w:val="single"/>
        </w:rPr>
        <w:t xml:space="preserve">                                           </w:t>
      </w:r>
      <w:r>
        <w:rPr>
          <w:rFonts w:hint="eastAsia" w:ascii="仿宋_GB2312" w:hAnsi="楷体" w:eastAsia="仿宋_GB2312"/>
          <w:sz w:val="24"/>
        </w:rPr>
        <w:t>。</w:t>
      </w:r>
    </w:p>
    <w:p w14:paraId="7353F978">
      <w:pPr>
        <w:spacing w:line="360" w:lineRule="auto"/>
        <w:ind w:firstLine="482" w:firstLineChars="200"/>
        <w:rPr>
          <w:rFonts w:ascii="仿宋_GB2312" w:hAnsi="楷体" w:eastAsia="仿宋_GB2312"/>
          <w:b/>
          <w:sz w:val="24"/>
        </w:rPr>
      </w:pPr>
      <w:bookmarkStart w:id="55" w:name="_Toc27250"/>
      <w:bookmarkStart w:id="56" w:name="_Toc19554"/>
      <w:bookmarkStart w:id="57" w:name="_Toc21423"/>
      <w:r>
        <w:rPr>
          <w:rFonts w:hint="eastAsia" w:ascii="仿宋_GB2312" w:hAnsi="楷体" w:eastAsia="仿宋_GB2312"/>
          <w:b/>
          <w:sz w:val="24"/>
        </w:rPr>
        <w:t>1.6 违约责任</w:t>
      </w:r>
      <w:bookmarkEnd w:id="55"/>
      <w:bookmarkEnd w:id="56"/>
      <w:bookmarkEnd w:id="57"/>
    </w:p>
    <w:p w14:paraId="59072990">
      <w:pPr>
        <w:spacing w:line="360" w:lineRule="auto"/>
        <w:ind w:firstLine="480" w:firstLineChars="200"/>
        <w:rPr>
          <w:rFonts w:ascii="仿宋_GB2312" w:hAnsi="楷体" w:eastAsia="仿宋_GB2312"/>
          <w:sz w:val="24"/>
        </w:rPr>
      </w:pPr>
      <w:r>
        <w:rPr>
          <w:rFonts w:hint="eastAsia" w:ascii="仿宋_GB2312" w:hAnsi="楷体" w:eastAsia="仿宋_GB2312"/>
          <w:sz w:val="24"/>
        </w:rPr>
        <w:t>1.6.1 除不可抗力外，如果乙方没有按照本合同约定的期限、地点和方式交付标的物，甲方可要求乙方支付违约金，违约金按每迟延交付标的物一日的应交付而未交付标的物价格的</w:t>
      </w:r>
      <w:r>
        <w:rPr>
          <w:rFonts w:hint="eastAsia" w:ascii="仿宋_GB2312" w:hAnsi="楷体" w:eastAsia="仿宋_GB2312"/>
          <w:sz w:val="24"/>
          <w:u w:val="single"/>
        </w:rPr>
        <w:t xml:space="preserve">    </w:t>
      </w:r>
      <w:r>
        <w:rPr>
          <w:rFonts w:hint="eastAsia" w:ascii="仿宋_GB2312" w:hAnsi="楷体" w:eastAsia="仿宋_GB2312"/>
          <w:sz w:val="24"/>
        </w:rPr>
        <w:t>计算，最高限额为本合同总价的</w:t>
      </w:r>
      <w:r>
        <w:rPr>
          <w:rFonts w:hint="eastAsia" w:ascii="仿宋_GB2312" w:hAnsi="楷体" w:eastAsia="仿宋_GB2312"/>
          <w:sz w:val="24"/>
          <w:u w:val="single"/>
        </w:rPr>
        <w:t xml:space="preserve">     </w:t>
      </w:r>
      <w:r>
        <w:rPr>
          <w:rFonts w:hint="eastAsia" w:ascii="仿宋_GB2312" w:hAnsi="楷体" w:eastAsia="仿宋_GB2312"/>
          <w:sz w:val="24"/>
        </w:rPr>
        <w:t xml:space="preserve">%；迟延超过【 </w:t>
      </w:r>
      <w:r>
        <w:rPr>
          <w:rFonts w:ascii="仿宋_GB2312" w:hAnsi="楷体" w:eastAsia="仿宋_GB2312"/>
          <w:sz w:val="24"/>
        </w:rPr>
        <w:t xml:space="preserve"> </w:t>
      </w:r>
      <w:r>
        <w:rPr>
          <w:rFonts w:hint="eastAsia" w:ascii="仿宋_GB2312" w:hAnsi="楷体" w:eastAsia="仿宋_GB2312"/>
          <w:sz w:val="24"/>
        </w:rPr>
        <w:t>】日的，甲方有权在要求乙方支付违约金的同时，书面通知乙方解除本合同，乙方应退回全部已收取的合同价款并按合同总金额的</w:t>
      </w:r>
      <w:r>
        <w:rPr>
          <w:rFonts w:hint="eastAsia" w:ascii="仿宋_GB2312" w:hAnsi="楷体" w:eastAsia="仿宋_GB2312"/>
          <w:sz w:val="24"/>
          <w:u w:val="single"/>
        </w:rPr>
        <w:t xml:space="preserve">     </w:t>
      </w:r>
      <w:r>
        <w:rPr>
          <w:rFonts w:hint="eastAsia" w:ascii="仿宋_GB2312" w:hAnsi="楷体" w:eastAsia="仿宋_GB2312"/>
          <w:sz w:val="24"/>
        </w:rPr>
        <w:t>%向甲方支付违约金；</w:t>
      </w:r>
    </w:p>
    <w:p w14:paraId="1813A435">
      <w:pPr>
        <w:spacing w:line="360" w:lineRule="auto"/>
        <w:ind w:firstLine="480" w:firstLineChars="200"/>
        <w:rPr>
          <w:rFonts w:ascii="仿宋_GB2312" w:hAnsi="楷体" w:eastAsia="仿宋_GB2312"/>
          <w:sz w:val="24"/>
        </w:rPr>
      </w:pPr>
      <w:r>
        <w:rPr>
          <w:rFonts w:hint="eastAsia" w:ascii="仿宋_GB2312" w:hAnsi="楷体" w:eastAsia="仿宋_GB2312"/>
          <w:sz w:val="24"/>
        </w:rPr>
        <w:t>1.6.2 除不可抗力外，如果甲方没有按照本合同约定的付款方式付款，乙方可要求甲方支付违约金，违约金按每迟延付款一日的应付而未付款的</w:t>
      </w:r>
      <w:r>
        <w:rPr>
          <w:rFonts w:hint="eastAsia" w:ascii="仿宋_GB2312" w:hAnsi="楷体" w:eastAsia="仿宋_GB2312"/>
          <w:sz w:val="24"/>
          <w:u w:val="single"/>
        </w:rPr>
        <w:t>万分之五</w:t>
      </w:r>
      <w:r>
        <w:rPr>
          <w:rFonts w:hint="eastAsia" w:ascii="仿宋_GB2312" w:hAnsi="楷体" w:eastAsia="仿宋_GB2312"/>
          <w:sz w:val="24"/>
        </w:rPr>
        <w:t>计算，最高限额为欠付金额的</w:t>
      </w:r>
      <w:r>
        <w:rPr>
          <w:rFonts w:hint="eastAsia" w:ascii="仿宋_GB2312" w:hAnsi="楷体" w:eastAsia="仿宋_GB2312"/>
          <w:sz w:val="24"/>
          <w:u w:val="single"/>
        </w:rPr>
        <w:t xml:space="preserve">      </w:t>
      </w:r>
      <w:r>
        <w:rPr>
          <w:rFonts w:hint="eastAsia" w:ascii="仿宋_GB2312" w:hAnsi="楷体" w:eastAsia="仿宋_GB2312"/>
          <w:sz w:val="24"/>
        </w:rPr>
        <w:t>%；迟延付款的违约金计算数额达到前述最高限额之日起，乙方有权在要求甲方支付违约金的同时，书面通知甲方解除本合同；</w:t>
      </w:r>
    </w:p>
    <w:p w14:paraId="0877D51F">
      <w:pPr>
        <w:spacing w:line="360" w:lineRule="auto"/>
        <w:ind w:firstLine="480" w:firstLineChars="200"/>
        <w:rPr>
          <w:rFonts w:ascii="仿宋_GB2312" w:hAnsi="楷体" w:eastAsia="仿宋_GB2312"/>
          <w:sz w:val="24"/>
        </w:rPr>
      </w:pPr>
      <w:r>
        <w:rPr>
          <w:rFonts w:hint="eastAsia" w:ascii="仿宋_GB2312" w:hAnsi="楷体" w:eastAsia="仿宋_GB2312"/>
          <w:sz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613307D7">
      <w:pPr>
        <w:spacing w:line="360" w:lineRule="auto"/>
        <w:ind w:left="239" w:leftChars="114" w:firstLine="240" w:firstLineChars="100"/>
        <w:rPr>
          <w:rFonts w:ascii="仿宋" w:hAnsi="仿宋" w:eastAsia="仿宋" w:cs="仿宋"/>
          <w:sz w:val="24"/>
        </w:rPr>
      </w:pPr>
      <w:r>
        <w:rPr>
          <w:rFonts w:hint="eastAsia" w:ascii="仿宋_GB2312" w:hAnsi="楷体" w:eastAsia="仿宋_GB2312"/>
          <w:sz w:val="24"/>
        </w:rPr>
        <w:t>1.6.4乙方在质保期内未按承诺提供售后等服务的，每发生一次向甲方支付</w:t>
      </w:r>
      <w:r>
        <w:rPr>
          <w:rFonts w:hint="eastAsia" w:ascii="仿宋" w:hAnsi="仿宋" w:eastAsia="仿宋" w:cs="仿宋"/>
          <w:sz w:val="24"/>
          <w:u w:val="single"/>
        </w:rPr>
        <w:t xml:space="preserve">  </w:t>
      </w:r>
      <w:r>
        <w:rPr>
          <w:rFonts w:hint="eastAsia" w:ascii="仿宋_GB2312" w:hAnsi="楷体" w:eastAsia="仿宋_GB2312"/>
          <w:sz w:val="24"/>
        </w:rPr>
        <w:t>元的违约金。</w:t>
      </w:r>
    </w:p>
    <w:p w14:paraId="258BC24F">
      <w:pPr>
        <w:spacing w:line="360" w:lineRule="auto"/>
        <w:ind w:firstLine="480" w:firstLineChars="200"/>
        <w:rPr>
          <w:rFonts w:ascii="仿宋_GB2312" w:hAnsi="楷体" w:eastAsia="仿宋_GB2312"/>
          <w:sz w:val="24"/>
        </w:rPr>
      </w:pPr>
      <w:r>
        <w:rPr>
          <w:rFonts w:hint="eastAsia" w:ascii="仿宋_GB2312" w:hAnsi="楷体" w:eastAsia="仿宋_GB2312"/>
          <w:sz w:val="24"/>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AEB3D35">
      <w:pPr>
        <w:spacing w:line="360" w:lineRule="auto"/>
        <w:ind w:firstLine="480" w:firstLineChars="200"/>
        <w:rPr>
          <w:rFonts w:ascii="仿宋_GB2312" w:hAnsi="楷体" w:eastAsia="仿宋_GB2312"/>
          <w:sz w:val="24"/>
        </w:rPr>
      </w:pPr>
      <w:r>
        <w:rPr>
          <w:rFonts w:hint="eastAsia" w:ascii="仿宋_GB2312" w:hAnsi="楷体" w:eastAsia="仿宋_GB2312"/>
          <w:sz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A884F0E">
      <w:pPr>
        <w:spacing w:line="360" w:lineRule="auto"/>
        <w:ind w:firstLine="480" w:firstLineChars="200"/>
        <w:rPr>
          <w:rFonts w:ascii="仿宋_GB2312" w:hAnsi="楷体" w:eastAsia="仿宋_GB2312"/>
          <w:sz w:val="24"/>
        </w:rPr>
      </w:pPr>
      <w:r>
        <w:rPr>
          <w:rFonts w:hint="eastAsia" w:ascii="仿宋_GB2312" w:hAnsi="楷体" w:eastAsia="仿宋_GB2312"/>
          <w:sz w:val="24"/>
        </w:rPr>
        <w:t>1.6.7 如果出现政府采购监督管理部门在处理投诉事项期间，书面通知甲方暂停采购活动的情形，或者询问或质疑事项可能影响中标结果的，导致甲方中止履行合同的情形，均不视为甲方违约。</w:t>
      </w:r>
    </w:p>
    <w:p w14:paraId="1C497680">
      <w:pPr>
        <w:spacing w:line="360" w:lineRule="auto"/>
        <w:ind w:firstLine="482" w:firstLineChars="200"/>
        <w:rPr>
          <w:rFonts w:ascii="仿宋_GB2312" w:hAnsi="楷体" w:eastAsia="仿宋_GB2312"/>
          <w:b/>
          <w:sz w:val="24"/>
        </w:rPr>
      </w:pPr>
      <w:bookmarkStart w:id="58" w:name="_Toc28375"/>
      <w:bookmarkStart w:id="59" w:name="_Toc15583"/>
      <w:bookmarkStart w:id="60" w:name="_Toc16021"/>
      <w:r>
        <w:rPr>
          <w:rFonts w:hint="eastAsia" w:ascii="仿宋_GB2312" w:hAnsi="楷体" w:eastAsia="仿宋_GB2312"/>
          <w:b/>
          <w:sz w:val="24"/>
        </w:rPr>
        <w:t>1.7 合同争议的解决</w:t>
      </w:r>
      <w:bookmarkEnd w:id="58"/>
      <w:bookmarkEnd w:id="59"/>
      <w:bookmarkEnd w:id="60"/>
    </w:p>
    <w:p w14:paraId="4AF79404">
      <w:pPr>
        <w:spacing w:line="360" w:lineRule="auto"/>
        <w:ind w:firstLine="480" w:firstLineChars="200"/>
        <w:rPr>
          <w:rFonts w:ascii="仿宋_GB2312" w:hAnsi="楷体" w:eastAsia="仿宋_GB2312"/>
          <w:sz w:val="24"/>
        </w:rPr>
      </w:pPr>
      <w:r>
        <w:rPr>
          <w:rFonts w:hint="eastAsia" w:ascii="仿宋_GB2312" w:hAnsi="楷体" w:eastAsia="仿宋_GB2312"/>
          <w:sz w:val="24"/>
        </w:rPr>
        <w:t>本合同履行过程中发生的任何争议，双方当事人均可通过和解或者调解解决；不愿和解、调解或者和解、调解不成的，可以选择下列第</w:t>
      </w:r>
      <w:r>
        <w:rPr>
          <w:rFonts w:hint="eastAsia" w:ascii="仿宋_GB2312" w:hAnsi="楷体" w:eastAsia="仿宋_GB2312"/>
          <w:sz w:val="24"/>
          <w:u w:val="single"/>
        </w:rPr>
        <w:t xml:space="preserve">     </w:t>
      </w:r>
      <w:r>
        <w:rPr>
          <w:rFonts w:hint="eastAsia" w:ascii="仿宋_GB2312" w:hAnsi="楷体" w:eastAsia="仿宋_GB2312"/>
          <w:sz w:val="24"/>
        </w:rPr>
        <w:t>种方式解决：</w:t>
      </w:r>
    </w:p>
    <w:p w14:paraId="188C9777">
      <w:pPr>
        <w:spacing w:line="360" w:lineRule="auto"/>
        <w:ind w:firstLine="480" w:firstLineChars="200"/>
        <w:rPr>
          <w:rFonts w:ascii="仿宋_GB2312" w:hAnsi="楷体" w:eastAsia="仿宋_GB2312"/>
          <w:sz w:val="24"/>
        </w:rPr>
      </w:pPr>
      <w:r>
        <w:rPr>
          <w:rFonts w:hint="eastAsia" w:ascii="仿宋_GB2312" w:hAnsi="楷体" w:eastAsia="仿宋_GB2312"/>
          <w:sz w:val="24"/>
        </w:rPr>
        <w:t>1.7.1 将争议提交</w:t>
      </w:r>
      <w:r>
        <w:rPr>
          <w:rFonts w:hint="eastAsia" w:ascii="仿宋_GB2312" w:hAnsi="楷体" w:eastAsia="仿宋_GB2312"/>
          <w:sz w:val="24"/>
          <w:u w:val="single"/>
        </w:rPr>
        <w:t>当地</w:t>
      </w:r>
      <w:r>
        <w:rPr>
          <w:rFonts w:hint="eastAsia" w:ascii="仿宋_GB2312" w:hAnsi="楷体" w:eastAsia="仿宋_GB2312"/>
          <w:sz w:val="24"/>
        </w:rPr>
        <w:t>仲裁委员会依申请仲裁时其现行有效的仲裁规则裁决；</w:t>
      </w:r>
    </w:p>
    <w:p w14:paraId="75AC8A57">
      <w:pPr>
        <w:spacing w:line="360" w:lineRule="auto"/>
        <w:ind w:firstLine="480" w:firstLineChars="200"/>
        <w:rPr>
          <w:rFonts w:ascii="仿宋_GB2312" w:hAnsi="楷体" w:eastAsia="仿宋_GB2312"/>
          <w:sz w:val="24"/>
        </w:rPr>
      </w:pPr>
      <w:r>
        <w:rPr>
          <w:rFonts w:hint="eastAsia" w:ascii="仿宋_GB2312" w:hAnsi="楷体" w:eastAsia="仿宋_GB2312"/>
          <w:sz w:val="24"/>
        </w:rPr>
        <w:t>1.7.2 向</w:t>
      </w:r>
      <w:r>
        <w:rPr>
          <w:rFonts w:hint="eastAsia" w:ascii="仿宋_GB2312" w:hAnsi="楷体" w:eastAsia="仿宋_GB2312"/>
          <w:sz w:val="24"/>
          <w:u w:val="single"/>
        </w:rPr>
        <w:t xml:space="preserve">   甲方所在地    </w:t>
      </w:r>
      <w:r>
        <w:rPr>
          <w:rFonts w:hint="eastAsia" w:ascii="仿宋_GB2312" w:hAnsi="楷体" w:eastAsia="仿宋_GB2312"/>
          <w:sz w:val="24"/>
        </w:rPr>
        <w:t>人民法院起诉。</w:t>
      </w:r>
    </w:p>
    <w:p w14:paraId="45C04C00">
      <w:pPr>
        <w:spacing w:line="360" w:lineRule="auto"/>
        <w:ind w:firstLine="482" w:firstLineChars="200"/>
        <w:rPr>
          <w:rFonts w:ascii="仿宋_GB2312" w:hAnsi="楷体" w:eastAsia="仿宋_GB2312"/>
          <w:b/>
          <w:sz w:val="24"/>
        </w:rPr>
      </w:pPr>
      <w:bookmarkStart w:id="61" w:name="_Toc7245"/>
      <w:bookmarkStart w:id="62" w:name="_Toc11173"/>
      <w:bookmarkStart w:id="63" w:name="_Toc15322"/>
      <w:r>
        <w:rPr>
          <w:rFonts w:hint="eastAsia" w:ascii="仿宋_GB2312" w:hAnsi="楷体" w:eastAsia="仿宋_GB2312"/>
          <w:b/>
          <w:sz w:val="24"/>
        </w:rPr>
        <w:t>1.8 合同生效</w:t>
      </w:r>
      <w:bookmarkEnd w:id="61"/>
      <w:bookmarkEnd w:id="62"/>
      <w:bookmarkEnd w:id="63"/>
    </w:p>
    <w:p w14:paraId="62727833">
      <w:pPr>
        <w:spacing w:line="360" w:lineRule="auto"/>
        <w:ind w:firstLine="480" w:firstLineChars="200"/>
        <w:rPr>
          <w:rFonts w:ascii="仿宋_GB2312" w:hAnsi="楷体" w:eastAsia="仿宋_GB2312"/>
          <w:b/>
          <w:sz w:val="24"/>
        </w:rPr>
      </w:pPr>
      <w:r>
        <w:rPr>
          <w:rFonts w:hint="eastAsia" w:ascii="仿宋_GB2312" w:hAnsi="楷体" w:eastAsia="仿宋_GB2312"/>
          <w:sz w:val="24"/>
        </w:rPr>
        <w:t>本合同自双方当事人加盖有效电子公章时生效。</w:t>
      </w:r>
    </w:p>
    <w:p w14:paraId="33EF2574">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甲方：                                   乙方：</w:t>
      </w:r>
    </w:p>
    <w:p w14:paraId="038DC61B">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统一社会信用代码：                        统一社会信用代码或身份证号码：</w:t>
      </w:r>
    </w:p>
    <w:p w14:paraId="39E65807">
      <w:pPr>
        <w:spacing w:line="360" w:lineRule="auto"/>
        <w:ind w:firstLine="200"/>
        <w:rPr>
          <w:rFonts w:ascii="仿宋_GB2312" w:hAnsi="楷体" w:eastAsia="仿宋_GB2312"/>
          <w:sz w:val="24"/>
          <w:lang w:val="zh-CN"/>
        </w:rPr>
      </w:pPr>
    </w:p>
    <w:p w14:paraId="490E164C">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住所：                                   住所：</w:t>
      </w:r>
    </w:p>
    <w:p w14:paraId="14404EEA">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法定代表人或                             法定代表人</w:t>
      </w:r>
    </w:p>
    <w:p w14:paraId="00BD1D21">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 xml:space="preserve">授权代表（签字或盖章）：                 或授权代表（签字或盖章）: </w:t>
      </w:r>
    </w:p>
    <w:p w14:paraId="4C108FEF">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联系人：                                 联系人：</w:t>
      </w:r>
    </w:p>
    <w:p w14:paraId="1F7DB98E">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约定送达地址：                           约定送达地址：</w:t>
      </w:r>
    </w:p>
    <w:p w14:paraId="37CFB01A">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邮政编码：                               邮政编码：</w:t>
      </w:r>
    </w:p>
    <w:p w14:paraId="3D2B6C92">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 xml:space="preserve">电话:                                    电话: </w:t>
      </w:r>
    </w:p>
    <w:p w14:paraId="7B38F8C0">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传真:                                    传真:</w:t>
      </w:r>
    </w:p>
    <w:p w14:paraId="6C8B4648">
      <w:pPr>
        <w:spacing w:line="360" w:lineRule="auto"/>
        <w:ind w:firstLine="200"/>
        <w:rPr>
          <w:rFonts w:ascii="仿宋_GB2312" w:hAnsi="楷体" w:eastAsia="仿宋_GB2312"/>
          <w:sz w:val="24"/>
        </w:rPr>
      </w:pPr>
      <w:r>
        <w:rPr>
          <w:rFonts w:hint="eastAsia" w:ascii="仿宋_GB2312" w:hAnsi="楷体" w:eastAsia="仿宋_GB2312"/>
          <w:sz w:val="24"/>
          <w:lang w:val="zh-CN"/>
        </w:rPr>
        <w:t>电子邮箱：                               电子邮箱：</w:t>
      </w:r>
    </w:p>
    <w:p w14:paraId="56C958F3">
      <w:pPr>
        <w:spacing w:line="360" w:lineRule="auto"/>
        <w:ind w:firstLine="200"/>
        <w:rPr>
          <w:rFonts w:ascii="仿宋_GB2312" w:hAnsi="楷体" w:eastAsia="仿宋_GB2312"/>
          <w:sz w:val="24"/>
        </w:rPr>
      </w:pPr>
      <w:r>
        <w:rPr>
          <w:rFonts w:hint="eastAsia" w:ascii="仿宋_GB2312" w:hAnsi="楷体" w:eastAsia="仿宋_GB2312"/>
          <w:sz w:val="24"/>
        </w:rPr>
        <w:t xml:space="preserve">开户银行：                               开户银行： </w:t>
      </w:r>
    </w:p>
    <w:p w14:paraId="0D2FBB51">
      <w:pPr>
        <w:spacing w:line="360" w:lineRule="auto"/>
        <w:ind w:firstLine="200"/>
        <w:rPr>
          <w:rFonts w:ascii="仿宋_GB2312" w:hAnsi="楷体" w:eastAsia="仿宋_GB2312"/>
          <w:sz w:val="24"/>
        </w:rPr>
      </w:pPr>
      <w:r>
        <w:rPr>
          <w:rFonts w:hint="eastAsia" w:ascii="仿宋_GB2312" w:hAnsi="楷体" w:eastAsia="仿宋_GB2312"/>
          <w:sz w:val="24"/>
        </w:rPr>
        <w:t xml:space="preserve">开户名称：                               开户名称： </w:t>
      </w:r>
    </w:p>
    <w:p w14:paraId="5673AE1C">
      <w:pPr>
        <w:spacing w:line="360" w:lineRule="auto"/>
        <w:ind w:firstLine="200"/>
        <w:rPr>
          <w:rFonts w:ascii="仿宋_GB2312" w:hAnsi="楷体" w:eastAsia="仿宋_GB2312"/>
          <w:sz w:val="24"/>
        </w:rPr>
      </w:pPr>
      <w:r>
        <w:rPr>
          <w:rFonts w:hint="eastAsia" w:ascii="仿宋_GB2312" w:hAnsi="楷体" w:eastAsia="仿宋_GB2312"/>
          <w:sz w:val="24"/>
        </w:rPr>
        <w:t>开户账号：</w:t>
      </w:r>
      <w:r>
        <w:rPr>
          <w:rFonts w:hint="eastAsia" w:ascii="仿宋_GB2312" w:hAnsi="楷体" w:eastAsia="仿宋_GB2312"/>
          <w:sz w:val="24"/>
          <w:lang w:val="zh-CN"/>
        </w:rPr>
        <w:t xml:space="preserve">                               </w:t>
      </w:r>
      <w:r>
        <w:rPr>
          <w:rFonts w:hint="eastAsia" w:ascii="仿宋_GB2312" w:hAnsi="楷体" w:eastAsia="仿宋_GB2312"/>
          <w:sz w:val="24"/>
        </w:rPr>
        <w:t>开户账号：</w:t>
      </w:r>
    </w:p>
    <w:p w14:paraId="0307634F">
      <w:pPr>
        <w:pStyle w:val="117"/>
        <w:spacing w:after="0"/>
        <w:ind w:firstLine="482"/>
        <w:jc w:val="center"/>
        <w:outlineLvl w:val="1"/>
        <w:rPr>
          <w:rFonts w:ascii="仿宋_GB2312" w:hAnsi="楷体" w:eastAsia="仿宋_GB2312"/>
          <w:b/>
          <w:sz w:val="28"/>
          <w:szCs w:val="28"/>
        </w:rPr>
      </w:pPr>
      <w:bookmarkStart w:id="64" w:name="_Toc331685783"/>
      <w:r>
        <w:rPr>
          <w:rFonts w:hint="eastAsia" w:ascii="仿宋_GB2312" w:hAnsi="楷体" w:eastAsia="仿宋_GB2312"/>
          <w:b/>
        </w:rPr>
        <w:br w:type="page"/>
      </w:r>
      <w:bookmarkStart w:id="65" w:name="_Toc20973"/>
      <w:bookmarkStart w:id="66" w:name="_Toc80886949"/>
      <w:bookmarkStart w:id="67" w:name="_Toc80205945"/>
      <w:r>
        <w:rPr>
          <w:rFonts w:hint="eastAsia" w:ascii="仿宋_GB2312" w:hAnsi="楷体" w:eastAsia="仿宋_GB2312"/>
          <w:b/>
          <w:sz w:val="28"/>
          <w:szCs w:val="28"/>
        </w:rPr>
        <w:t>第二部分 合同一般条款</w:t>
      </w:r>
      <w:bookmarkEnd w:id="64"/>
      <w:bookmarkEnd w:id="65"/>
      <w:bookmarkEnd w:id="66"/>
      <w:bookmarkEnd w:id="67"/>
    </w:p>
    <w:p w14:paraId="6984AEB6">
      <w:pPr>
        <w:spacing w:line="360" w:lineRule="auto"/>
        <w:ind w:firstLine="482" w:firstLineChars="200"/>
        <w:rPr>
          <w:rFonts w:ascii="仿宋_GB2312" w:hAnsi="楷体" w:eastAsia="仿宋_GB2312"/>
          <w:b/>
          <w:sz w:val="24"/>
        </w:rPr>
      </w:pPr>
      <w:bookmarkStart w:id="68" w:name="_Ref467379225"/>
      <w:bookmarkStart w:id="69" w:name="_Ref467379094"/>
      <w:bookmarkStart w:id="70" w:name="_Toc19614"/>
      <w:bookmarkStart w:id="71" w:name="_Ref467379101"/>
      <w:bookmarkStart w:id="72" w:name="_Toc259093669"/>
      <w:bookmarkStart w:id="73" w:name="_Ref467379195"/>
      <w:bookmarkStart w:id="74" w:name="_Ref467379109"/>
      <w:bookmarkStart w:id="75" w:name="_Ref467379214"/>
      <w:bookmarkStart w:id="76" w:name="_Ref467379205"/>
      <w:bookmarkStart w:id="77" w:name="_Ref467378499"/>
      <w:bookmarkStart w:id="78" w:name="_Toc28763"/>
      <w:bookmarkStart w:id="79" w:name="_Ref467378404"/>
      <w:bookmarkStart w:id="80" w:name="_Ref467378463"/>
      <w:bookmarkStart w:id="81" w:name="_Toc487900349"/>
      <w:bookmarkStart w:id="82" w:name="_Toc16917"/>
      <w:bookmarkStart w:id="83" w:name="_Toc279701240"/>
      <w:r>
        <w:rPr>
          <w:rFonts w:hint="eastAsia" w:ascii="仿宋_GB2312" w:hAnsi="楷体" w:eastAsia="仿宋_GB2312"/>
          <w:b/>
          <w:sz w:val="24"/>
        </w:rPr>
        <w:t>2.1 定义</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07A9074D">
      <w:pPr>
        <w:spacing w:line="360" w:lineRule="auto"/>
        <w:ind w:firstLine="480" w:firstLineChars="200"/>
        <w:rPr>
          <w:rFonts w:ascii="仿宋_GB2312" w:hAnsi="楷体" w:eastAsia="仿宋_GB2312"/>
          <w:sz w:val="24"/>
        </w:rPr>
      </w:pPr>
      <w:r>
        <w:rPr>
          <w:rFonts w:hint="eastAsia" w:ascii="仿宋_GB2312" w:hAnsi="楷体" w:eastAsia="仿宋_GB2312"/>
          <w:sz w:val="24"/>
        </w:rPr>
        <w:t>本合同中的下列词语应按以下内容进行解释：</w:t>
      </w:r>
    </w:p>
    <w:p w14:paraId="7A6C0936">
      <w:pPr>
        <w:spacing w:line="360" w:lineRule="auto"/>
        <w:ind w:firstLine="480" w:firstLineChars="200"/>
        <w:rPr>
          <w:rFonts w:ascii="仿宋_GB2312" w:hAnsi="楷体" w:eastAsia="仿宋_GB2312"/>
          <w:sz w:val="24"/>
        </w:rPr>
      </w:pPr>
      <w:r>
        <w:rPr>
          <w:rFonts w:hint="eastAsia" w:ascii="仿宋_GB2312" w:hAnsi="楷体" w:eastAsia="仿宋_GB2312"/>
          <w:sz w:val="24"/>
        </w:rPr>
        <w:t>2.1.1 “合同”系指采购人和中标人签订的载明双方当事人所达成的协议，并包括所有的附件、附录和构成合同的其他文件。</w:t>
      </w:r>
    </w:p>
    <w:p w14:paraId="507BC398">
      <w:pPr>
        <w:spacing w:line="360" w:lineRule="auto"/>
        <w:ind w:firstLine="480" w:firstLineChars="200"/>
        <w:rPr>
          <w:rFonts w:ascii="仿宋_GB2312" w:hAnsi="楷体" w:eastAsia="仿宋_GB2312"/>
          <w:sz w:val="24"/>
        </w:rPr>
      </w:pPr>
      <w:r>
        <w:rPr>
          <w:rFonts w:hint="eastAsia" w:ascii="仿宋_GB2312" w:hAnsi="楷体" w:eastAsia="仿宋_GB2312"/>
          <w:sz w:val="24"/>
        </w:rPr>
        <w:t>2.1.2 “合同价”系指根据合同约定，中标人在完全履行合同义务后，采购人应支付给中标人的价格。</w:t>
      </w:r>
    </w:p>
    <w:p w14:paraId="4CB266AB">
      <w:pPr>
        <w:spacing w:line="360" w:lineRule="auto"/>
        <w:ind w:firstLine="480" w:firstLineChars="200"/>
        <w:rPr>
          <w:rFonts w:ascii="仿宋_GB2312" w:hAnsi="楷体" w:eastAsia="仿宋_GB2312"/>
          <w:sz w:val="24"/>
        </w:rPr>
      </w:pPr>
      <w:r>
        <w:rPr>
          <w:rFonts w:hint="eastAsia" w:ascii="仿宋_GB2312" w:hAnsi="楷体" w:eastAsia="仿宋_GB2312"/>
          <w:sz w:val="24"/>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2C4A549E">
      <w:pPr>
        <w:spacing w:line="360" w:lineRule="auto"/>
        <w:ind w:firstLine="480" w:firstLineChars="200"/>
        <w:rPr>
          <w:rFonts w:ascii="仿宋_GB2312" w:hAnsi="楷体" w:eastAsia="仿宋_GB2312"/>
          <w:sz w:val="24"/>
        </w:rPr>
      </w:pPr>
      <w:bookmarkStart w:id="84" w:name="_Ref467378840"/>
      <w:r>
        <w:rPr>
          <w:rFonts w:hint="eastAsia" w:ascii="仿宋_GB2312" w:hAnsi="楷体" w:eastAsia="仿宋_GB2312"/>
          <w:sz w:val="24"/>
        </w:rPr>
        <w:t>2.1.4 “甲方”系指与中标人签署合同的采购人</w:t>
      </w:r>
      <w:bookmarkEnd w:id="84"/>
      <w:r>
        <w:rPr>
          <w:rFonts w:hint="eastAsia" w:ascii="仿宋_GB2312" w:hAnsi="楷体" w:eastAsia="仿宋_GB2312"/>
          <w:sz w:val="24"/>
        </w:rPr>
        <w:t>；采购人委托采购机构代表其与乙方签订合同的，采购人的授权委托书作为合同附件。</w:t>
      </w:r>
    </w:p>
    <w:p w14:paraId="2B8A4B19">
      <w:pPr>
        <w:spacing w:line="360" w:lineRule="auto"/>
        <w:ind w:firstLine="480" w:firstLineChars="200"/>
        <w:rPr>
          <w:rFonts w:ascii="仿宋_GB2312" w:hAnsi="楷体" w:eastAsia="仿宋_GB2312"/>
          <w:sz w:val="24"/>
        </w:rPr>
      </w:pPr>
      <w:bookmarkStart w:id="85" w:name="_Ref467379400"/>
      <w:r>
        <w:rPr>
          <w:rFonts w:hint="eastAsia" w:ascii="仿宋_GB2312" w:hAnsi="楷体" w:eastAsia="仿宋_GB2312"/>
          <w:sz w:val="24"/>
        </w:rPr>
        <w:t>2.1.5 “乙方”系指根据合同约定交付标的物的</w:t>
      </w:r>
      <w:bookmarkEnd w:id="85"/>
      <w:r>
        <w:rPr>
          <w:rFonts w:hint="eastAsia" w:ascii="仿宋_GB2312" w:hAnsi="楷体" w:eastAsia="仿宋_GB2312"/>
          <w:sz w:val="24"/>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559F14D0">
      <w:pPr>
        <w:spacing w:line="360" w:lineRule="auto"/>
        <w:ind w:firstLine="480" w:firstLineChars="200"/>
        <w:rPr>
          <w:rFonts w:ascii="仿宋_GB2312" w:hAnsi="楷体" w:eastAsia="仿宋_GB2312"/>
          <w:sz w:val="24"/>
        </w:rPr>
      </w:pPr>
      <w:bookmarkStart w:id="86" w:name="_Ref467379436"/>
      <w:r>
        <w:rPr>
          <w:rFonts w:hint="eastAsia" w:ascii="仿宋_GB2312" w:hAnsi="楷体" w:eastAsia="仿宋_GB2312"/>
          <w:sz w:val="24"/>
        </w:rPr>
        <w:t>2.1.6 “现场”系指合同约定标的物将要运至或者实施或者安装的地点。</w:t>
      </w:r>
      <w:bookmarkEnd w:id="86"/>
    </w:p>
    <w:p w14:paraId="59E9CE78">
      <w:pPr>
        <w:spacing w:line="360" w:lineRule="auto"/>
        <w:ind w:firstLine="482" w:firstLineChars="200"/>
        <w:rPr>
          <w:rFonts w:ascii="仿宋_GB2312" w:hAnsi="楷体" w:eastAsia="仿宋_GB2312"/>
          <w:b/>
          <w:sz w:val="24"/>
        </w:rPr>
      </w:pPr>
      <w:bookmarkStart w:id="87" w:name="_Toc13336"/>
      <w:bookmarkStart w:id="88" w:name="_Toc27635"/>
      <w:bookmarkStart w:id="89" w:name="_Toc487900350"/>
      <w:bookmarkStart w:id="90" w:name="_Toc32504"/>
      <w:bookmarkStart w:id="91" w:name="_Toc259093670"/>
      <w:bookmarkStart w:id="92" w:name="_Toc279701241"/>
      <w:r>
        <w:rPr>
          <w:rFonts w:hint="eastAsia" w:ascii="仿宋_GB2312" w:hAnsi="楷体" w:eastAsia="仿宋_GB2312"/>
          <w:b/>
          <w:sz w:val="24"/>
        </w:rPr>
        <w:t>2.2 技术规范</w:t>
      </w:r>
      <w:bookmarkEnd w:id="87"/>
      <w:bookmarkEnd w:id="88"/>
      <w:bookmarkEnd w:id="89"/>
      <w:bookmarkEnd w:id="90"/>
      <w:bookmarkEnd w:id="91"/>
      <w:bookmarkEnd w:id="92"/>
    </w:p>
    <w:p w14:paraId="73B35D4E">
      <w:pPr>
        <w:spacing w:line="360" w:lineRule="auto"/>
        <w:ind w:firstLine="480" w:firstLineChars="200"/>
        <w:rPr>
          <w:rFonts w:ascii="仿宋_GB2312" w:hAnsi="楷体" w:eastAsia="仿宋_GB2312"/>
          <w:sz w:val="24"/>
        </w:rPr>
      </w:pPr>
      <w:r>
        <w:rPr>
          <w:rFonts w:hint="eastAsia" w:ascii="仿宋_GB2312" w:hAnsi="楷体" w:eastAsia="仿宋_GB2312"/>
          <w:sz w:val="24"/>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110FA589">
      <w:pPr>
        <w:spacing w:line="360" w:lineRule="auto"/>
        <w:ind w:firstLine="482" w:firstLineChars="200"/>
        <w:rPr>
          <w:rFonts w:ascii="仿宋_GB2312" w:hAnsi="楷体" w:eastAsia="仿宋_GB2312"/>
          <w:b/>
          <w:sz w:val="24"/>
        </w:rPr>
      </w:pPr>
      <w:bookmarkStart w:id="93" w:name="_Toc259093671"/>
      <w:bookmarkStart w:id="94" w:name="_Toc279701242"/>
      <w:bookmarkStart w:id="95" w:name="_Toc487900351"/>
      <w:bookmarkStart w:id="96" w:name="_Toc9829"/>
      <w:bookmarkStart w:id="97" w:name="_Toc31634"/>
      <w:bookmarkStart w:id="98" w:name="_Toc27853"/>
      <w:r>
        <w:rPr>
          <w:rFonts w:hint="eastAsia" w:ascii="仿宋_GB2312" w:hAnsi="楷体" w:eastAsia="仿宋_GB2312"/>
          <w:b/>
          <w:sz w:val="24"/>
        </w:rPr>
        <w:t>2.3 知识产权</w:t>
      </w:r>
      <w:bookmarkEnd w:id="93"/>
      <w:bookmarkEnd w:id="94"/>
      <w:bookmarkEnd w:id="95"/>
      <w:bookmarkEnd w:id="96"/>
      <w:bookmarkEnd w:id="97"/>
      <w:bookmarkEnd w:id="98"/>
    </w:p>
    <w:p w14:paraId="386458CA">
      <w:pPr>
        <w:spacing w:line="360" w:lineRule="auto"/>
        <w:ind w:firstLine="480" w:firstLineChars="200"/>
        <w:rPr>
          <w:rFonts w:ascii="仿宋_GB2312" w:hAnsi="楷体" w:eastAsia="仿宋_GB2312"/>
          <w:sz w:val="24"/>
        </w:rPr>
      </w:pPr>
      <w:r>
        <w:rPr>
          <w:rFonts w:hint="eastAsia" w:ascii="仿宋_GB2312" w:hAnsi="楷体" w:eastAsia="仿宋_GB2312"/>
          <w:sz w:val="24"/>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167E8F35">
      <w:pPr>
        <w:spacing w:line="360" w:lineRule="auto"/>
        <w:ind w:firstLine="480" w:firstLineChars="200"/>
        <w:rPr>
          <w:rFonts w:ascii="仿宋_GB2312" w:hAnsi="楷体" w:eastAsia="仿宋_GB2312"/>
          <w:sz w:val="24"/>
        </w:rPr>
      </w:pPr>
      <w:r>
        <w:rPr>
          <w:rFonts w:hint="eastAsia" w:ascii="仿宋_GB2312" w:hAnsi="楷体" w:eastAsia="仿宋_GB2312"/>
          <w:sz w:val="24"/>
        </w:rPr>
        <w:t>2.3.2 具有知识产权的计算机软件等标的物的知识产权归属，详见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713BE03D">
      <w:pPr>
        <w:spacing w:line="360" w:lineRule="auto"/>
        <w:ind w:firstLine="482" w:firstLineChars="200"/>
        <w:rPr>
          <w:rFonts w:ascii="仿宋_GB2312" w:hAnsi="楷体" w:eastAsia="仿宋_GB2312"/>
          <w:b/>
          <w:sz w:val="24"/>
        </w:rPr>
      </w:pPr>
      <w:bookmarkStart w:id="99" w:name="_Toc29149"/>
      <w:bookmarkStart w:id="100" w:name="_Toc11932"/>
      <w:bookmarkStart w:id="101" w:name="_Toc4194"/>
      <w:r>
        <w:rPr>
          <w:rFonts w:hint="eastAsia" w:ascii="仿宋_GB2312" w:hAnsi="楷体" w:eastAsia="仿宋_GB2312"/>
          <w:b/>
          <w:sz w:val="24"/>
        </w:rPr>
        <w:t>2.4 包装和装运</w:t>
      </w:r>
      <w:bookmarkEnd w:id="99"/>
      <w:bookmarkEnd w:id="100"/>
      <w:bookmarkEnd w:id="101"/>
    </w:p>
    <w:p w14:paraId="5552B976">
      <w:pPr>
        <w:spacing w:line="360" w:lineRule="auto"/>
        <w:ind w:firstLine="480" w:firstLineChars="200"/>
        <w:rPr>
          <w:rFonts w:ascii="仿宋_GB2312" w:hAnsi="楷体" w:eastAsia="仿宋_GB2312"/>
          <w:sz w:val="24"/>
        </w:rPr>
      </w:pPr>
      <w:r>
        <w:rPr>
          <w:rFonts w:hint="eastAsia" w:ascii="仿宋_GB2312" w:hAnsi="楷体" w:eastAsia="仿宋_GB2312"/>
          <w:sz w:val="24"/>
        </w:rPr>
        <w:t>2.4.1 除</w:t>
      </w:r>
      <w:r>
        <w:rPr>
          <w:rFonts w:hint="eastAsia" w:ascii="仿宋_GB2312" w:hAnsi="楷体" w:eastAsia="仿宋_GB2312"/>
          <w:b/>
          <w:i/>
          <w:sz w:val="24"/>
          <w:u w:val="single"/>
        </w:rPr>
        <w:t>合同专用条款</w:t>
      </w:r>
      <w:r>
        <w:rPr>
          <w:rFonts w:hint="eastAsia" w:ascii="仿宋_GB2312" w:hAnsi="楷体" w:eastAsia="仿宋_GB2312"/>
          <w:sz w:val="24"/>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739F06D4">
      <w:pPr>
        <w:spacing w:line="360" w:lineRule="auto"/>
        <w:ind w:firstLine="480" w:firstLineChars="200"/>
        <w:rPr>
          <w:rFonts w:ascii="仿宋_GB2312" w:hAnsi="楷体" w:eastAsia="仿宋_GB2312"/>
          <w:sz w:val="24"/>
        </w:rPr>
      </w:pPr>
      <w:r>
        <w:rPr>
          <w:rFonts w:hint="eastAsia" w:ascii="仿宋_GB2312" w:hAnsi="楷体" w:eastAsia="仿宋_GB2312"/>
          <w:sz w:val="24"/>
        </w:rPr>
        <w:t>2.4.2 装运标的物的要求和通知，详见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7F5CA35B">
      <w:pPr>
        <w:spacing w:line="360" w:lineRule="auto"/>
        <w:ind w:firstLine="482" w:firstLineChars="200"/>
        <w:rPr>
          <w:rFonts w:ascii="仿宋_GB2312" w:hAnsi="楷体" w:eastAsia="仿宋_GB2312"/>
          <w:b/>
          <w:sz w:val="24"/>
        </w:rPr>
      </w:pPr>
      <w:bookmarkStart w:id="102" w:name="_Ref467379542"/>
      <w:bookmarkStart w:id="103" w:name="_Ref467378541"/>
      <w:bookmarkStart w:id="104" w:name="_Ref467378591"/>
      <w:bookmarkStart w:id="105" w:name="_Ref467379536"/>
      <w:bookmarkStart w:id="106" w:name="_Ref467379527"/>
      <w:bookmarkStart w:id="107" w:name="_Toc487900354"/>
      <w:bookmarkStart w:id="108" w:name="_Toc259093674"/>
      <w:bookmarkStart w:id="109" w:name="_Toc279701245"/>
      <w:bookmarkStart w:id="110" w:name="_Toc26182"/>
      <w:bookmarkStart w:id="111" w:name="_Toc19074"/>
      <w:bookmarkStart w:id="112" w:name="_Toc30272"/>
      <w:r>
        <w:rPr>
          <w:rFonts w:hint="eastAsia" w:ascii="仿宋_GB2312" w:hAnsi="楷体" w:eastAsia="仿宋_GB2312"/>
          <w:b/>
          <w:sz w:val="24"/>
        </w:rPr>
        <w:t>2.</w:t>
      </w:r>
      <w:bookmarkEnd w:id="102"/>
      <w:bookmarkEnd w:id="103"/>
      <w:bookmarkEnd w:id="104"/>
      <w:bookmarkEnd w:id="105"/>
      <w:bookmarkEnd w:id="106"/>
      <w:bookmarkEnd w:id="107"/>
      <w:bookmarkEnd w:id="108"/>
      <w:bookmarkEnd w:id="109"/>
      <w:r>
        <w:rPr>
          <w:rFonts w:hint="eastAsia" w:ascii="仿宋_GB2312" w:hAnsi="楷体" w:eastAsia="仿宋_GB2312"/>
          <w:b/>
          <w:sz w:val="24"/>
        </w:rPr>
        <w:t>5 履约检查和问题反馈</w:t>
      </w:r>
      <w:bookmarkEnd w:id="110"/>
      <w:bookmarkEnd w:id="111"/>
      <w:bookmarkEnd w:id="112"/>
    </w:p>
    <w:p w14:paraId="01CEB3DF">
      <w:pPr>
        <w:spacing w:line="360" w:lineRule="auto"/>
        <w:ind w:firstLine="480" w:firstLineChars="200"/>
        <w:rPr>
          <w:rFonts w:ascii="仿宋_GB2312" w:hAnsi="楷体" w:eastAsia="仿宋_GB2312"/>
          <w:sz w:val="24"/>
        </w:rPr>
      </w:pPr>
      <w:bookmarkStart w:id="113" w:name="_Ref467379657"/>
      <w:r>
        <w:rPr>
          <w:rFonts w:hint="eastAsia" w:ascii="仿宋_GB2312" w:hAnsi="楷体" w:eastAsia="仿宋_GB2312"/>
          <w:sz w:val="24"/>
        </w:rPr>
        <w:t>2.5.1</w:t>
      </w:r>
      <w:bookmarkEnd w:id="113"/>
      <w:bookmarkStart w:id="114" w:name="_Toc186431854"/>
      <w:bookmarkStart w:id="115" w:name="_Ref467379793"/>
      <w:bookmarkStart w:id="116" w:name="_Ref467379807"/>
      <w:bookmarkStart w:id="117" w:name="_Toc279701247"/>
      <w:bookmarkStart w:id="118" w:name="_Toc487900357"/>
      <w:bookmarkStart w:id="119" w:name="_Toc259093676"/>
      <w:r>
        <w:rPr>
          <w:rFonts w:hint="eastAsia" w:ascii="仿宋_GB2312" w:hAnsi="楷体" w:eastAsia="仿宋_GB2312"/>
          <w:sz w:val="24"/>
        </w:rPr>
        <w:t xml:space="preserve"> 甲方有权在其认为必要时，对乙方是否能够按照合同约定交付标的物进行履约检查，以确保乙方所交付的标的物能够依约满足甲方之项目需求，但不得因履约检查妨碍乙方的正常工作，乙方应予积极配合；</w:t>
      </w:r>
    </w:p>
    <w:p w14:paraId="26890DEE">
      <w:pPr>
        <w:spacing w:line="360" w:lineRule="auto"/>
        <w:ind w:firstLine="480" w:firstLineChars="200"/>
        <w:rPr>
          <w:rFonts w:ascii="仿宋_GB2312" w:hAnsi="楷体" w:eastAsia="仿宋_GB2312"/>
          <w:sz w:val="24"/>
        </w:rPr>
      </w:pPr>
      <w:r>
        <w:rPr>
          <w:rFonts w:hint="eastAsia" w:ascii="仿宋_GB2312" w:hAnsi="楷体" w:eastAsia="仿宋_GB2312"/>
          <w:sz w:val="24"/>
        </w:rPr>
        <w:t>2.5.2 合同履行期间，甲方有权将履行过程中出现的问题反馈给乙方，双方当事人应以书面形式约定需要完善和改进的内容</w:t>
      </w:r>
      <w:bookmarkEnd w:id="114"/>
      <w:bookmarkStart w:id="120" w:name="_Toc186431855"/>
      <w:r>
        <w:rPr>
          <w:rFonts w:hint="eastAsia" w:ascii="仿宋_GB2312" w:hAnsi="楷体" w:eastAsia="仿宋_GB2312"/>
          <w:sz w:val="24"/>
        </w:rPr>
        <w:t>。</w:t>
      </w:r>
    </w:p>
    <w:bookmarkEnd w:id="120"/>
    <w:p w14:paraId="584F94EC">
      <w:pPr>
        <w:spacing w:line="360" w:lineRule="auto"/>
        <w:ind w:firstLine="482" w:firstLineChars="200"/>
        <w:rPr>
          <w:rFonts w:ascii="仿宋_GB2312" w:hAnsi="楷体" w:eastAsia="仿宋_GB2312"/>
          <w:b/>
          <w:sz w:val="24"/>
        </w:rPr>
      </w:pPr>
      <w:bookmarkStart w:id="121" w:name="_Toc28451"/>
      <w:bookmarkStart w:id="122" w:name="_Toc19219"/>
      <w:bookmarkStart w:id="123" w:name="_Toc7836"/>
      <w:r>
        <w:rPr>
          <w:rFonts w:hint="eastAsia" w:ascii="仿宋_GB2312" w:hAnsi="楷体" w:eastAsia="仿宋_GB2312"/>
          <w:b/>
          <w:sz w:val="24"/>
        </w:rPr>
        <w:t>2.6 结算方式和付款条件</w:t>
      </w:r>
      <w:bookmarkEnd w:id="115"/>
      <w:bookmarkEnd w:id="116"/>
      <w:bookmarkEnd w:id="117"/>
      <w:bookmarkEnd w:id="118"/>
      <w:bookmarkEnd w:id="119"/>
      <w:bookmarkEnd w:id="121"/>
      <w:bookmarkEnd w:id="122"/>
      <w:bookmarkEnd w:id="123"/>
    </w:p>
    <w:p w14:paraId="1B9E952C">
      <w:pPr>
        <w:spacing w:line="360" w:lineRule="auto"/>
        <w:ind w:firstLine="480" w:firstLineChars="200"/>
        <w:rPr>
          <w:rFonts w:ascii="仿宋_GB2312" w:hAnsi="楷体" w:eastAsia="仿宋_GB2312"/>
          <w:sz w:val="24"/>
        </w:rPr>
      </w:pPr>
      <w:r>
        <w:rPr>
          <w:rFonts w:hint="eastAsia" w:ascii="仿宋_GB2312" w:hAnsi="楷体" w:eastAsia="仿宋_GB2312"/>
          <w:sz w:val="24"/>
        </w:rPr>
        <w:t>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647352AA">
      <w:pPr>
        <w:spacing w:line="360" w:lineRule="auto"/>
        <w:ind w:firstLine="482" w:firstLineChars="200"/>
        <w:rPr>
          <w:rFonts w:ascii="仿宋_GB2312" w:hAnsi="楷体" w:eastAsia="仿宋_GB2312"/>
          <w:b/>
          <w:sz w:val="24"/>
        </w:rPr>
      </w:pPr>
      <w:bookmarkStart w:id="124" w:name="_Toc259093677"/>
      <w:bookmarkStart w:id="125" w:name="_Ref467379852"/>
      <w:bookmarkStart w:id="126" w:name="_Ref467379923"/>
      <w:bookmarkStart w:id="127" w:name="_Toc487900358"/>
      <w:bookmarkStart w:id="128" w:name="_Ref467379863"/>
      <w:bookmarkStart w:id="129" w:name="_Toc279701248"/>
      <w:bookmarkStart w:id="130" w:name="_Toc774"/>
      <w:bookmarkStart w:id="131" w:name="_Toc16110"/>
      <w:bookmarkStart w:id="132" w:name="_Toc3225"/>
      <w:r>
        <w:rPr>
          <w:rFonts w:hint="eastAsia" w:ascii="仿宋_GB2312" w:hAnsi="楷体" w:eastAsia="仿宋_GB2312"/>
          <w:b/>
          <w:sz w:val="24"/>
        </w:rPr>
        <w:t>2.7 技术资料</w:t>
      </w:r>
      <w:bookmarkEnd w:id="124"/>
      <w:bookmarkEnd w:id="125"/>
      <w:bookmarkEnd w:id="126"/>
      <w:bookmarkEnd w:id="127"/>
      <w:bookmarkEnd w:id="128"/>
      <w:bookmarkEnd w:id="129"/>
      <w:r>
        <w:rPr>
          <w:rFonts w:hint="eastAsia" w:ascii="仿宋_GB2312" w:hAnsi="楷体" w:eastAsia="仿宋_GB2312"/>
          <w:b/>
          <w:sz w:val="24"/>
        </w:rPr>
        <w:t>和保密义务</w:t>
      </w:r>
      <w:bookmarkEnd w:id="130"/>
      <w:bookmarkEnd w:id="131"/>
      <w:bookmarkEnd w:id="132"/>
    </w:p>
    <w:p w14:paraId="38DEC492">
      <w:pPr>
        <w:spacing w:line="360" w:lineRule="auto"/>
        <w:ind w:firstLine="480" w:firstLineChars="200"/>
        <w:rPr>
          <w:rFonts w:ascii="仿宋_GB2312" w:hAnsi="楷体" w:eastAsia="仿宋_GB2312"/>
          <w:sz w:val="24"/>
        </w:rPr>
      </w:pPr>
      <w:r>
        <w:rPr>
          <w:rFonts w:hint="eastAsia" w:ascii="仿宋_GB2312" w:hAnsi="楷体" w:eastAsia="仿宋_GB2312"/>
          <w:sz w:val="24"/>
        </w:rPr>
        <w:t>2.7.1 乙方有权依据合同约定和项目需要，向甲方了解有关情况，调阅有关资料等，甲方应予积极配合；</w:t>
      </w:r>
    </w:p>
    <w:p w14:paraId="4BCABB7D">
      <w:pPr>
        <w:spacing w:line="360" w:lineRule="auto"/>
        <w:ind w:firstLine="480" w:firstLineChars="200"/>
        <w:rPr>
          <w:rFonts w:ascii="仿宋_GB2312" w:hAnsi="楷体" w:eastAsia="仿宋_GB2312"/>
          <w:sz w:val="24"/>
        </w:rPr>
      </w:pPr>
      <w:r>
        <w:rPr>
          <w:rFonts w:hint="eastAsia" w:ascii="仿宋_GB2312" w:hAnsi="楷体" w:eastAsia="仿宋_GB2312"/>
          <w:sz w:val="24"/>
        </w:rPr>
        <w:t>2.7.2 乙方有义务妥善保管和保护由甲方提供的前款信息和资料等；</w:t>
      </w:r>
    </w:p>
    <w:p w14:paraId="2AB2B78B">
      <w:pPr>
        <w:spacing w:line="360" w:lineRule="auto"/>
        <w:ind w:firstLine="480" w:firstLineChars="200"/>
        <w:rPr>
          <w:rFonts w:ascii="仿宋_GB2312" w:hAnsi="楷体" w:eastAsia="仿宋_GB2312"/>
          <w:sz w:val="24"/>
        </w:rPr>
      </w:pPr>
      <w:r>
        <w:rPr>
          <w:rFonts w:hint="eastAsia" w:ascii="仿宋_GB2312" w:hAnsi="楷体" w:eastAsia="仿宋_GB2312"/>
          <w:sz w:val="24"/>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41F21F0E">
      <w:pPr>
        <w:spacing w:line="360" w:lineRule="auto"/>
        <w:ind w:firstLine="482" w:firstLineChars="200"/>
        <w:rPr>
          <w:rFonts w:ascii="仿宋_GB2312" w:hAnsi="楷体" w:eastAsia="仿宋_GB2312"/>
          <w:b/>
          <w:sz w:val="24"/>
        </w:rPr>
      </w:pPr>
      <w:bookmarkStart w:id="133" w:name="_Toc7860"/>
      <w:r>
        <w:rPr>
          <w:rFonts w:hint="eastAsia" w:ascii="仿宋_GB2312" w:hAnsi="楷体" w:eastAsia="仿宋_GB2312"/>
          <w:b/>
          <w:sz w:val="24"/>
        </w:rPr>
        <w:t>2.8 质量保证</w:t>
      </w:r>
      <w:bookmarkEnd w:id="133"/>
    </w:p>
    <w:p w14:paraId="233E2D85">
      <w:pPr>
        <w:spacing w:line="360" w:lineRule="auto"/>
        <w:ind w:firstLine="480" w:firstLineChars="200"/>
        <w:rPr>
          <w:rFonts w:ascii="仿宋_GB2312" w:hAnsi="楷体" w:eastAsia="仿宋_GB2312"/>
          <w:sz w:val="24"/>
        </w:rPr>
      </w:pPr>
      <w:r>
        <w:rPr>
          <w:rFonts w:hint="eastAsia" w:ascii="仿宋_GB2312" w:hAnsi="楷体" w:eastAsia="仿宋_GB2312"/>
          <w:sz w:val="24"/>
        </w:rPr>
        <w:t>2.8.1 乙方应建立和完善履行合同的内部质量保证体系，并提供相关内部规章制度给甲方，以便甲方进行监督检查；</w:t>
      </w:r>
    </w:p>
    <w:p w14:paraId="3AA724A8">
      <w:pPr>
        <w:spacing w:line="360" w:lineRule="auto"/>
        <w:ind w:firstLine="480" w:firstLineChars="200"/>
        <w:rPr>
          <w:rFonts w:ascii="仿宋_GB2312" w:hAnsi="楷体" w:eastAsia="仿宋_GB2312"/>
          <w:sz w:val="24"/>
        </w:rPr>
      </w:pPr>
      <w:r>
        <w:rPr>
          <w:rFonts w:hint="eastAsia" w:ascii="仿宋_GB2312" w:hAnsi="楷体" w:eastAsia="仿宋_GB2312"/>
          <w:sz w:val="24"/>
        </w:rPr>
        <w:t>2.8.2 乙方应保证履行合同的人员数量和素质、软件和硬件设备的配置、场地、环境和设施等满足全面履行合同的要求，并应接受甲方的监督检查。</w:t>
      </w:r>
    </w:p>
    <w:p w14:paraId="455E5E64">
      <w:pPr>
        <w:spacing w:line="360" w:lineRule="auto"/>
        <w:ind w:firstLine="480" w:firstLineChars="200"/>
        <w:rPr>
          <w:rFonts w:ascii="仿宋_GB2312" w:hAnsi="仿宋" w:eastAsia="仿宋_GB2312" w:cs="仿宋_GB2312"/>
          <w:kern w:val="0"/>
          <w:sz w:val="24"/>
        </w:rPr>
      </w:pPr>
      <w:r>
        <w:rPr>
          <w:rFonts w:hint="eastAsia" w:ascii="仿宋_GB2312" w:hAnsi="仿宋" w:eastAsia="仿宋_GB2312"/>
          <w:sz w:val="24"/>
        </w:rPr>
        <w:t>2.8.3 乙方应确保项目技术人员的数量和水平与投标文件一致。未经甲方书面同意，乙方不得擅自更换投标文件中注明的项目经理和技术负责人。否则</w:t>
      </w:r>
      <w:r>
        <w:rPr>
          <w:rFonts w:hint="eastAsia" w:ascii="仿宋_GB2312" w:hAnsi="仿宋" w:eastAsia="仿宋_GB2312" w:cs="仿宋_GB2312"/>
          <w:kern w:val="0"/>
          <w:sz w:val="24"/>
        </w:rPr>
        <w:t>甲方有权放弃或终止合同。</w:t>
      </w:r>
    </w:p>
    <w:p w14:paraId="49A1A30C">
      <w:pPr>
        <w:spacing w:line="360" w:lineRule="auto"/>
        <w:ind w:firstLine="480" w:firstLineChars="200"/>
        <w:rPr>
          <w:rFonts w:ascii="仿宋_GB2312" w:hAnsi="楷体" w:eastAsia="仿宋_GB2312"/>
          <w:sz w:val="24"/>
        </w:rPr>
      </w:pPr>
      <w:r>
        <w:rPr>
          <w:rFonts w:hint="eastAsia" w:ascii="仿宋_GB2312" w:hAnsi="仿宋" w:eastAsia="仿宋_GB2312"/>
          <w:sz w:val="24"/>
        </w:rPr>
        <w:t>2.8.4 因乙方原因造成甲方其他系统不能正常运行，酿成重大事故（工作日系统中断一天以上）的，乙方应承担全部法律责任，并赔偿经济损失，赔偿金额为项目总价的</w:t>
      </w:r>
      <w:r>
        <w:rPr>
          <w:rFonts w:hint="eastAsia" w:ascii="仿宋_GB2312" w:hAnsi="仿宋" w:eastAsia="仿宋_GB2312"/>
          <w:sz w:val="24"/>
          <w:u w:val="single"/>
        </w:rPr>
        <w:t>30%</w:t>
      </w:r>
      <w:r>
        <w:rPr>
          <w:rFonts w:hint="eastAsia" w:ascii="仿宋_GB2312" w:hAnsi="仿宋" w:eastAsia="仿宋_GB2312"/>
          <w:sz w:val="24"/>
        </w:rPr>
        <w:t>。</w:t>
      </w:r>
    </w:p>
    <w:p w14:paraId="16890D1C">
      <w:pPr>
        <w:spacing w:line="360" w:lineRule="auto"/>
        <w:ind w:firstLine="482" w:firstLineChars="200"/>
        <w:rPr>
          <w:rFonts w:ascii="仿宋_GB2312" w:hAnsi="楷体" w:eastAsia="仿宋_GB2312"/>
          <w:b/>
          <w:sz w:val="24"/>
        </w:rPr>
      </w:pPr>
      <w:bookmarkStart w:id="134" w:name="_Toc17244"/>
      <w:bookmarkStart w:id="135" w:name="_Toc259093681"/>
      <w:bookmarkStart w:id="136" w:name="_Toc279701252"/>
      <w:bookmarkStart w:id="137" w:name="_Toc487900362"/>
      <w:r>
        <w:rPr>
          <w:rFonts w:hint="eastAsia" w:ascii="仿宋_GB2312" w:hAnsi="楷体" w:eastAsia="仿宋_GB2312"/>
          <w:b/>
          <w:sz w:val="24"/>
        </w:rPr>
        <w:t>2.9 标的物的风险负担</w:t>
      </w:r>
      <w:bookmarkEnd w:id="134"/>
    </w:p>
    <w:p w14:paraId="1B88B178">
      <w:pPr>
        <w:spacing w:line="360" w:lineRule="auto"/>
        <w:ind w:firstLine="480" w:firstLineChars="200"/>
        <w:rPr>
          <w:rFonts w:ascii="仿宋_GB2312" w:hAnsi="楷体" w:eastAsia="仿宋_GB2312"/>
          <w:b/>
          <w:sz w:val="24"/>
        </w:rPr>
      </w:pPr>
      <w:r>
        <w:rPr>
          <w:rFonts w:hint="eastAsia" w:ascii="仿宋_GB2312" w:hAnsi="楷体" w:eastAsia="仿宋_GB2312"/>
          <w:sz w:val="24"/>
        </w:rPr>
        <w:t>标的物或者在途标的物或者交付给第一承运人后的标的物毁损、灭失的风险负担详见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032484BE">
      <w:pPr>
        <w:spacing w:line="360" w:lineRule="auto"/>
        <w:ind w:firstLine="482" w:firstLineChars="200"/>
        <w:rPr>
          <w:rFonts w:ascii="仿宋_GB2312" w:hAnsi="楷体" w:eastAsia="仿宋_GB2312"/>
          <w:b/>
          <w:sz w:val="24"/>
        </w:rPr>
      </w:pPr>
      <w:bookmarkStart w:id="138" w:name="_Toc14055"/>
      <w:r>
        <w:rPr>
          <w:rFonts w:hint="eastAsia" w:ascii="仿宋_GB2312" w:hAnsi="楷体" w:eastAsia="仿宋_GB2312"/>
          <w:b/>
          <w:sz w:val="24"/>
        </w:rPr>
        <w:t>2.10 延迟交货</w:t>
      </w:r>
      <w:bookmarkEnd w:id="135"/>
      <w:bookmarkEnd w:id="136"/>
      <w:bookmarkEnd w:id="137"/>
      <w:bookmarkEnd w:id="138"/>
      <w:r>
        <w:rPr>
          <w:rFonts w:hint="eastAsia" w:ascii="仿宋_GB2312" w:hAnsi="楷体" w:eastAsia="仿宋_GB2312"/>
          <w:b/>
          <w:sz w:val="24"/>
        </w:rPr>
        <w:t>/交付</w:t>
      </w:r>
    </w:p>
    <w:p w14:paraId="4F24D007">
      <w:pPr>
        <w:spacing w:line="360" w:lineRule="auto"/>
        <w:ind w:firstLine="480" w:firstLineChars="200"/>
        <w:rPr>
          <w:rFonts w:ascii="仿宋_GB2312" w:hAnsi="楷体" w:eastAsia="仿宋_GB2312"/>
          <w:sz w:val="24"/>
        </w:rPr>
      </w:pPr>
      <w:r>
        <w:rPr>
          <w:rFonts w:hint="eastAsia" w:ascii="仿宋_GB2312" w:hAnsi="楷体" w:eastAsia="仿宋_GB2312"/>
          <w:sz w:val="24"/>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2D8F2609">
      <w:pPr>
        <w:spacing w:line="360" w:lineRule="auto"/>
        <w:ind w:firstLine="482" w:firstLineChars="200"/>
        <w:rPr>
          <w:rFonts w:ascii="仿宋_GB2312" w:hAnsi="楷体" w:eastAsia="仿宋_GB2312"/>
          <w:b/>
          <w:sz w:val="24"/>
        </w:rPr>
      </w:pPr>
      <w:bookmarkStart w:id="139" w:name="_Toc7502"/>
      <w:bookmarkStart w:id="140" w:name="_Toc259093683"/>
      <w:bookmarkStart w:id="141" w:name="_Ref467378121"/>
      <w:bookmarkStart w:id="142" w:name="_Toc487900364"/>
      <w:bookmarkStart w:id="143" w:name="_Toc279701254"/>
      <w:r>
        <w:rPr>
          <w:rFonts w:hint="eastAsia" w:ascii="仿宋_GB2312" w:hAnsi="楷体" w:eastAsia="仿宋_GB2312"/>
          <w:b/>
          <w:sz w:val="24"/>
        </w:rPr>
        <w:t>2.11 合同变更</w:t>
      </w:r>
      <w:bookmarkEnd w:id="139"/>
    </w:p>
    <w:p w14:paraId="2BAB8864">
      <w:pPr>
        <w:spacing w:line="360" w:lineRule="auto"/>
        <w:ind w:firstLine="480" w:firstLineChars="200"/>
        <w:rPr>
          <w:rFonts w:ascii="仿宋_GB2312" w:hAnsi="楷体" w:eastAsia="仿宋_GB2312"/>
          <w:sz w:val="24"/>
        </w:rPr>
      </w:pPr>
      <w:r>
        <w:rPr>
          <w:rFonts w:hint="eastAsia" w:ascii="仿宋_GB2312" w:hAnsi="楷体" w:eastAsia="仿宋_GB2312"/>
          <w:sz w:val="24"/>
        </w:rPr>
        <w:t>2.11.1 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064BAE49">
      <w:pPr>
        <w:spacing w:line="360" w:lineRule="auto"/>
        <w:ind w:firstLine="480" w:firstLineChars="200"/>
        <w:rPr>
          <w:rFonts w:ascii="仿宋_GB2312" w:hAnsi="楷体" w:eastAsia="仿宋_GB2312"/>
          <w:sz w:val="24"/>
        </w:rPr>
      </w:pPr>
      <w:r>
        <w:rPr>
          <w:rFonts w:hint="eastAsia" w:ascii="仿宋_GB2312" w:hAnsi="楷体" w:eastAsia="仿宋_GB2312"/>
          <w:sz w:val="24"/>
        </w:rPr>
        <w:t>2.11.2 合同继续履行将损害国家利益和社会公共利益的，双方当事人应当以书面形式变更合同。有过错的一方应当承担赔偿责任，双方当事人都有过错的，各自承担相应的责任。</w:t>
      </w:r>
      <w:bookmarkStart w:id="144" w:name="_Toc487900369"/>
      <w:bookmarkStart w:id="145" w:name="_Toc259093688"/>
      <w:bookmarkStart w:id="146" w:name="_Toc279701259"/>
    </w:p>
    <w:p w14:paraId="1A2E9524">
      <w:pPr>
        <w:spacing w:line="360" w:lineRule="auto"/>
        <w:ind w:firstLine="482" w:firstLineChars="200"/>
        <w:rPr>
          <w:rFonts w:ascii="仿宋_GB2312" w:hAnsi="楷体" w:eastAsia="仿宋_GB2312"/>
          <w:b/>
          <w:sz w:val="24"/>
        </w:rPr>
      </w:pPr>
      <w:bookmarkStart w:id="147" w:name="_Toc10366"/>
      <w:bookmarkStart w:id="148" w:name="_Toc15237"/>
      <w:bookmarkStart w:id="149" w:name="_Toc22955"/>
      <w:r>
        <w:rPr>
          <w:rFonts w:hint="eastAsia" w:ascii="仿宋_GB2312" w:hAnsi="楷体" w:eastAsia="仿宋_GB2312"/>
          <w:b/>
          <w:sz w:val="24"/>
        </w:rPr>
        <w:t>2.12 合同转让</w:t>
      </w:r>
      <w:bookmarkEnd w:id="144"/>
      <w:bookmarkEnd w:id="145"/>
      <w:bookmarkEnd w:id="146"/>
      <w:r>
        <w:rPr>
          <w:rFonts w:hint="eastAsia" w:ascii="仿宋_GB2312" w:hAnsi="楷体" w:eastAsia="仿宋_GB2312"/>
          <w:b/>
          <w:sz w:val="24"/>
        </w:rPr>
        <w:t>和分包</w:t>
      </w:r>
      <w:bookmarkEnd w:id="147"/>
      <w:bookmarkEnd w:id="148"/>
      <w:bookmarkEnd w:id="149"/>
    </w:p>
    <w:p w14:paraId="1C05CE7D">
      <w:pPr>
        <w:spacing w:line="360" w:lineRule="auto"/>
        <w:ind w:firstLine="480" w:firstLineChars="200"/>
        <w:rPr>
          <w:rFonts w:ascii="仿宋_GB2312" w:hAnsi="楷体" w:eastAsia="仿宋_GB2312"/>
          <w:sz w:val="24"/>
        </w:rPr>
      </w:pPr>
      <w:r>
        <w:rPr>
          <w:rFonts w:hint="eastAsia" w:ascii="仿宋_GB2312" w:hAnsi="楷体" w:eastAsia="仿宋_GB2312"/>
          <w:sz w:val="24"/>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4352B22E">
      <w:pPr>
        <w:spacing w:line="360" w:lineRule="auto"/>
        <w:ind w:firstLine="482" w:firstLineChars="200"/>
        <w:rPr>
          <w:rFonts w:ascii="仿宋_GB2312" w:hAnsi="楷体" w:eastAsia="仿宋_GB2312"/>
          <w:b/>
          <w:sz w:val="24"/>
        </w:rPr>
      </w:pPr>
      <w:bookmarkStart w:id="150" w:name="_Toc16508"/>
      <w:bookmarkStart w:id="151" w:name="_Toc14066"/>
      <w:bookmarkStart w:id="152" w:name="_Toc13566"/>
      <w:r>
        <w:rPr>
          <w:rFonts w:hint="eastAsia" w:ascii="仿宋_GB2312" w:hAnsi="楷体" w:eastAsia="仿宋_GB2312"/>
          <w:b/>
          <w:sz w:val="24"/>
        </w:rPr>
        <w:t>2.13 不可抗力</w:t>
      </w:r>
      <w:bookmarkEnd w:id="150"/>
      <w:bookmarkEnd w:id="151"/>
      <w:bookmarkEnd w:id="152"/>
    </w:p>
    <w:p w14:paraId="1C57BA74">
      <w:pPr>
        <w:spacing w:line="360" w:lineRule="auto"/>
        <w:ind w:firstLine="480" w:firstLineChars="200"/>
        <w:rPr>
          <w:rFonts w:ascii="仿宋_GB2312" w:hAnsi="楷体" w:eastAsia="仿宋_GB2312"/>
          <w:sz w:val="24"/>
        </w:rPr>
      </w:pPr>
      <w:r>
        <w:rPr>
          <w:rFonts w:hint="eastAsia" w:ascii="仿宋_GB2312" w:hAnsi="楷体" w:eastAsia="仿宋_GB2312"/>
          <w:sz w:val="24"/>
        </w:rPr>
        <w:t>2.13.1 如果任何一方遭遇法律规定的不可抗力，致使合同履行受阻时，履行合同的期限应予延长，延长的期限应相当于不可抗力所影响的时间；</w:t>
      </w:r>
    </w:p>
    <w:p w14:paraId="279ED0B3">
      <w:pPr>
        <w:spacing w:line="360" w:lineRule="auto"/>
        <w:ind w:firstLine="480" w:firstLineChars="200"/>
        <w:rPr>
          <w:rFonts w:ascii="仿宋_GB2312" w:hAnsi="楷体" w:eastAsia="仿宋_GB2312"/>
          <w:sz w:val="24"/>
        </w:rPr>
      </w:pPr>
      <w:r>
        <w:rPr>
          <w:rFonts w:hint="eastAsia" w:ascii="仿宋_GB2312" w:hAnsi="楷体" w:eastAsia="仿宋_GB2312"/>
          <w:sz w:val="24"/>
        </w:rPr>
        <w:t>2.13.2 受不可抗力影响的一方在不可抗力发生后，应在</w:t>
      </w:r>
      <w:r>
        <w:rPr>
          <w:rFonts w:hint="eastAsia" w:ascii="仿宋_GB2312" w:hAnsi="楷体" w:eastAsia="仿宋_GB2312"/>
          <w:b/>
          <w:i/>
          <w:sz w:val="24"/>
          <w:u w:val="single"/>
        </w:rPr>
        <w:t>合同专用条款</w:t>
      </w:r>
      <w:r>
        <w:rPr>
          <w:rFonts w:hint="eastAsia" w:ascii="仿宋_GB2312" w:hAnsi="楷体" w:eastAsia="仿宋_GB2312"/>
          <w:sz w:val="24"/>
        </w:rPr>
        <w:t>约定时间内以书面形式通知对方当事人，并在</w:t>
      </w:r>
      <w:r>
        <w:rPr>
          <w:rFonts w:hint="eastAsia" w:ascii="仿宋_GB2312" w:hAnsi="楷体" w:eastAsia="仿宋_GB2312"/>
          <w:b/>
          <w:i/>
          <w:sz w:val="24"/>
          <w:u w:val="single"/>
        </w:rPr>
        <w:t>合同专用条款</w:t>
      </w:r>
      <w:r>
        <w:rPr>
          <w:rFonts w:hint="eastAsia" w:ascii="仿宋_GB2312" w:hAnsi="楷体" w:eastAsia="仿宋_GB2312"/>
          <w:sz w:val="24"/>
        </w:rPr>
        <w:t>约定时间内，将有关部门出具的证明文件送达对方当事人。</w:t>
      </w:r>
    </w:p>
    <w:p w14:paraId="28264B2C">
      <w:pPr>
        <w:spacing w:line="360" w:lineRule="auto"/>
        <w:ind w:firstLine="480" w:firstLineChars="200"/>
        <w:rPr>
          <w:rFonts w:ascii="仿宋_GB2312" w:hAnsi="楷体" w:eastAsia="仿宋_GB2312"/>
          <w:sz w:val="24"/>
        </w:rPr>
      </w:pPr>
      <w:r>
        <w:rPr>
          <w:rFonts w:hint="eastAsia" w:ascii="仿宋_GB2312" w:hAnsi="楷体" w:eastAsia="仿宋_GB2312"/>
          <w:sz w:val="24"/>
        </w:rPr>
        <w:t>2.13.3 因不可抗力致使不能实现合同目的的，当事人可以解除合同；</w:t>
      </w:r>
    </w:p>
    <w:p w14:paraId="3BB61939">
      <w:pPr>
        <w:spacing w:line="360" w:lineRule="auto"/>
        <w:ind w:firstLine="480" w:firstLineChars="200"/>
        <w:rPr>
          <w:rFonts w:ascii="仿宋_GB2312" w:hAnsi="楷体" w:eastAsia="仿宋_GB2312"/>
          <w:sz w:val="24"/>
        </w:rPr>
      </w:pPr>
      <w:r>
        <w:rPr>
          <w:rFonts w:hint="eastAsia" w:ascii="仿宋_GB2312" w:hAnsi="楷体" w:eastAsia="仿宋_GB2312"/>
          <w:sz w:val="24"/>
        </w:rPr>
        <w:t>2.13.4 因不可抗力致使合同有变更必要的，双方当事人应在</w:t>
      </w:r>
      <w:r>
        <w:rPr>
          <w:rFonts w:hint="eastAsia" w:ascii="仿宋_GB2312" w:hAnsi="楷体" w:eastAsia="仿宋_GB2312"/>
          <w:b/>
          <w:i/>
          <w:sz w:val="24"/>
          <w:u w:val="single"/>
        </w:rPr>
        <w:t>合同专用条款</w:t>
      </w:r>
      <w:r>
        <w:rPr>
          <w:rFonts w:hint="eastAsia" w:ascii="仿宋_GB2312" w:hAnsi="楷体" w:eastAsia="仿宋_GB2312"/>
          <w:sz w:val="24"/>
        </w:rPr>
        <w:t>约定时间内以书面形式变更合同；</w:t>
      </w:r>
    </w:p>
    <w:p w14:paraId="55C084DA">
      <w:pPr>
        <w:spacing w:line="360" w:lineRule="auto"/>
        <w:ind w:firstLine="482" w:firstLineChars="200"/>
        <w:rPr>
          <w:rFonts w:ascii="仿宋_GB2312" w:hAnsi="楷体" w:eastAsia="仿宋_GB2312"/>
          <w:b/>
          <w:sz w:val="24"/>
        </w:rPr>
      </w:pPr>
      <w:bookmarkStart w:id="153" w:name="_Toc259093684"/>
      <w:bookmarkStart w:id="154" w:name="_Toc487900365"/>
      <w:bookmarkStart w:id="155" w:name="_Toc6969"/>
      <w:bookmarkStart w:id="156" w:name="_Toc689"/>
      <w:bookmarkStart w:id="157" w:name="_Toc279701255"/>
      <w:bookmarkStart w:id="158" w:name="_Toc30676"/>
      <w:r>
        <w:rPr>
          <w:rFonts w:hint="eastAsia" w:ascii="仿宋_GB2312" w:hAnsi="楷体" w:eastAsia="仿宋_GB2312"/>
          <w:b/>
          <w:sz w:val="24"/>
        </w:rPr>
        <w:t>2.14 税费</w:t>
      </w:r>
      <w:bookmarkEnd w:id="153"/>
      <w:bookmarkEnd w:id="154"/>
      <w:bookmarkEnd w:id="155"/>
      <w:bookmarkEnd w:id="156"/>
      <w:bookmarkEnd w:id="157"/>
      <w:bookmarkEnd w:id="158"/>
    </w:p>
    <w:p w14:paraId="16E8140E">
      <w:pPr>
        <w:spacing w:line="360" w:lineRule="auto"/>
        <w:ind w:firstLine="480" w:firstLineChars="200"/>
        <w:rPr>
          <w:rFonts w:ascii="仿宋_GB2312" w:hAnsi="楷体" w:eastAsia="仿宋_GB2312"/>
          <w:sz w:val="24"/>
        </w:rPr>
      </w:pPr>
      <w:r>
        <w:rPr>
          <w:rFonts w:hint="eastAsia" w:ascii="仿宋_GB2312" w:hAnsi="楷体" w:eastAsia="仿宋_GB2312"/>
          <w:sz w:val="24"/>
        </w:rPr>
        <w:t>与合同有关的一切税费，均按照中华人民共和国法律的相关规定执行。</w:t>
      </w:r>
    </w:p>
    <w:p w14:paraId="77A6585B">
      <w:pPr>
        <w:spacing w:line="360" w:lineRule="auto"/>
        <w:ind w:firstLine="482" w:firstLineChars="200"/>
        <w:rPr>
          <w:rFonts w:ascii="仿宋_GB2312" w:hAnsi="楷体" w:eastAsia="仿宋_GB2312"/>
          <w:b/>
          <w:sz w:val="24"/>
        </w:rPr>
      </w:pPr>
      <w:bookmarkStart w:id="159" w:name="_Toc487900368"/>
      <w:bookmarkStart w:id="160" w:name="_Toc279701258"/>
      <w:bookmarkStart w:id="161" w:name="_Toc16959"/>
      <w:bookmarkStart w:id="162" w:name="_Toc259093687"/>
      <w:bookmarkStart w:id="163" w:name="_Toc8298"/>
      <w:bookmarkStart w:id="164" w:name="_Toc7102"/>
      <w:r>
        <w:rPr>
          <w:rFonts w:hint="eastAsia" w:ascii="仿宋_GB2312" w:hAnsi="楷体" w:eastAsia="仿宋_GB2312"/>
          <w:b/>
          <w:sz w:val="24"/>
        </w:rPr>
        <w:t>2.15 乙方破产</w:t>
      </w:r>
      <w:bookmarkEnd w:id="159"/>
      <w:bookmarkEnd w:id="160"/>
      <w:bookmarkEnd w:id="161"/>
      <w:bookmarkEnd w:id="162"/>
      <w:bookmarkEnd w:id="163"/>
      <w:bookmarkEnd w:id="164"/>
    </w:p>
    <w:p w14:paraId="5F0BD1A6">
      <w:pPr>
        <w:spacing w:line="360" w:lineRule="auto"/>
        <w:ind w:firstLine="480" w:firstLineChars="200"/>
        <w:rPr>
          <w:rFonts w:ascii="仿宋_GB2312" w:hAnsi="楷体" w:eastAsia="仿宋_GB2312"/>
          <w:sz w:val="24"/>
        </w:rPr>
      </w:pPr>
      <w:r>
        <w:rPr>
          <w:rFonts w:hint="eastAsia" w:ascii="仿宋_GB2312" w:hAnsi="楷体" w:eastAsia="仿宋_GB2312"/>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6C45042">
      <w:pPr>
        <w:spacing w:line="360" w:lineRule="auto"/>
        <w:ind w:firstLine="482" w:firstLineChars="200"/>
        <w:rPr>
          <w:rFonts w:ascii="仿宋_GB2312" w:hAnsi="楷体" w:eastAsia="仿宋_GB2312"/>
          <w:b/>
          <w:sz w:val="24"/>
        </w:rPr>
      </w:pPr>
      <w:bookmarkStart w:id="165" w:name="_Toc29333"/>
      <w:bookmarkStart w:id="166" w:name="_Toc6134"/>
      <w:bookmarkStart w:id="167" w:name="_Toc15387"/>
      <w:r>
        <w:rPr>
          <w:rFonts w:hint="eastAsia" w:ascii="仿宋_GB2312" w:hAnsi="楷体" w:eastAsia="仿宋_GB2312"/>
          <w:b/>
          <w:sz w:val="24"/>
        </w:rPr>
        <w:t>2.16 合同中止、终止</w:t>
      </w:r>
      <w:bookmarkEnd w:id="165"/>
      <w:bookmarkEnd w:id="166"/>
      <w:bookmarkEnd w:id="167"/>
    </w:p>
    <w:p w14:paraId="53F84D52">
      <w:pPr>
        <w:spacing w:line="360" w:lineRule="auto"/>
        <w:ind w:firstLine="480" w:firstLineChars="200"/>
        <w:rPr>
          <w:rFonts w:ascii="仿宋_GB2312" w:hAnsi="楷体" w:eastAsia="仿宋_GB2312"/>
          <w:sz w:val="24"/>
        </w:rPr>
      </w:pPr>
      <w:r>
        <w:rPr>
          <w:rFonts w:hint="eastAsia" w:ascii="仿宋_GB2312" w:hAnsi="楷体" w:eastAsia="仿宋_GB2312"/>
          <w:sz w:val="24"/>
        </w:rPr>
        <w:t>2.16.1 双方当事人不得擅自中止或者终止合同；</w:t>
      </w:r>
    </w:p>
    <w:p w14:paraId="0A53BAA9">
      <w:pPr>
        <w:spacing w:line="360" w:lineRule="auto"/>
        <w:ind w:firstLine="480" w:firstLineChars="200"/>
        <w:rPr>
          <w:rFonts w:ascii="仿宋_GB2312" w:hAnsi="楷体" w:eastAsia="仿宋_GB2312"/>
          <w:sz w:val="24"/>
        </w:rPr>
      </w:pPr>
      <w:r>
        <w:rPr>
          <w:rFonts w:hint="eastAsia" w:ascii="仿宋_GB2312" w:hAnsi="楷体" w:eastAsia="仿宋_GB2312"/>
          <w:sz w:val="24"/>
        </w:rPr>
        <w:t>2.16.2 合同继续履行将损害国家利益和社会公共利益的，双方当事人应当中止或者终止合同。有过错的一方应当承担赔偿责任，双方当事人都有过错的，各自承担相应的责任。</w:t>
      </w:r>
    </w:p>
    <w:p w14:paraId="625D9E5B">
      <w:pPr>
        <w:spacing w:line="360" w:lineRule="auto"/>
        <w:ind w:firstLine="482" w:firstLineChars="200"/>
        <w:rPr>
          <w:rFonts w:ascii="仿宋_GB2312" w:hAnsi="楷体" w:eastAsia="仿宋_GB2312"/>
          <w:b/>
          <w:sz w:val="24"/>
        </w:rPr>
      </w:pPr>
      <w:bookmarkStart w:id="168" w:name="_Toc14563"/>
      <w:bookmarkStart w:id="169" w:name="_Toc6596"/>
      <w:bookmarkStart w:id="170" w:name="_Toc1125"/>
      <w:r>
        <w:rPr>
          <w:rFonts w:hint="eastAsia" w:ascii="仿宋_GB2312" w:hAnsi="楷体" w:eastAsia="仿宋_GB2312"/>
          <w:b/>
          <w:sz w:val="24"/>
        </w:rPr>
        <w:t>2.17 检验和验收</w:t>
      </w:r>
      <w:bookmarkEnd w:id="168"/>
      <w:bookmarkEnd w:id="169"/>
      <w:bookmarkEnd w:id="170"/>
    </w:p>
    <w:p w14:paraId="495A82E3">
      <w:pPr>
        <w:spacing w:line="360" w:lineRule="auto"/>
        <w:ind w:firstLine="480" w:firstLineChars="200"/>
        <w:rPr>
          <w:rFonts w:ascii="仿宋_GB2312" w:hAnsi="楷体" w:eastAsia="仿宋_GB2312"/>
          <w:sz w:val="24"/>
        </w:rPr>
      </w:pPr>
      <w:r>
        <w:rPr>
          <w:rFonts w:hint="eastAsia" w:ascii="仿宋_GB2312" w:hAnsi="楷体" w:eastAsia="仿宋_GB2312"/>
          <w:sz w:val="24"/>
        </w:rPr>
        <w:t>2.17.1 标的物交付前，乙方应对标的物的质量、数量等方面进行详细、全面的检验，并向甲方出具证明标的物符合合同约定的文件；标的物交付时，乙方在</w:t>
      </w:r>
      <w:r>
        <w:rPr>
          <w:rFonts w:hint="eastAsia" w:ascii="仿宋_GB2312" w:hAnsi="楷体" w:eastAsia="仿宋_GB2312"/>
          <w:b/>
          <w:i/>
          <w:sz w:val="24"/>
          <w:u w:val="single"/>
        </w:rPr>
        <w:t>合同专用条款</w:t>
      </w:r>
      <w:r>
        <w:rPr>
          <w:rFonts w:hint="eastAsia" w:ascii="仿宋_GB2312" w:hAnsi="楷体" w:eastAsia="仿宋_GB2312"/>
          <w:sz w:val="24"/>
        </w:rPr>
        <w:t>约定时间内组织验收，并可依法邀请相关方参加，验收应出具验收书。</w:t>
      </w:r>
    </w:p>
    <w:p w14:paraId="6C1DE798">
      <w:pPr>
        <w:spacing w:line="360" w:lineRule="auto"/>
        <w:ind w:firstLine="480" w:firstLineChars="200"/>
        <w:rPr>
          <w:rFonts w:ascii="仿宋_GB2312" w:hAnsi="楷体" w:eastAsia="仿宋_GB2312"/>
          <w:sz w:val="24"/>
        </w:rPr>
      </w:pPr>
      <w:r>
        <w:rPr>
          <w:rFonts w:hint="eastAsia" w:ascii="仿宋_GB2312" w:hAnsi="楷体" w:eastAsia="仿宋_GB2312"/>
          <w:sz w:val="24"/>
        </w:rPr>
        <w:t>2.17.2 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5736985C">
      <w:pPr>
        <w:spacing w:line="360" w:lineRule="auto"/>
        <w:ind w:firstLine="480" w:firstLineChars="200"/>
        <w:rPr>
          <w:rFonts w:ascii="仿宋_GB2312" w:hAnsi="楷体" w:eastAsia="仿宋_GB2312"/>
          <w:sz w:val="24"/>
        </w:rPr>
      </w:pPr>
      <w:r>
        <w:rPr>
          <w:rFonts w:hint="eastAsia" w:ascii="仿宋_GB2312" w:hAnsi="楷体" w:eastAsia="仿宋_GB2312"/>
          <w:sz w:val="24"/>
        </w:rPr>
        <w:t>2.17.3 检验和验收标准、程序等具体内容以及前述验收书的效力详见</w:t>
      </w:r>
      <w:r>
        <w:rPr>
          <w:rFonts w:hint="eastAsia" w:ascii="仿宋_GB2312" w:hAnsi="楷体" w:eastAsia="仿宋_GB2312"/>
          <w:b/>
          <w:i/>
          <w:sz w:val="24"/>
          <w:u w:val="single"/>
        </w:rPr>
        <w:t>合同专用条款</w:t>
      </w:r>
      <w:r>
        <w:rPr>
          <w:rFonts w:hint="eastAsia" w:ascii="仿宋_GB2312" w:hAnsi="楷体" w:eastAsia="仿宋_GB2312"/>
          <w:i/>
          <w:sz w:val="24"/>
        </w:rPr>
        <w:t>。</w:t>
      </w:r>
    </w:p>
    <w:bookmarkEnd w:id="140"/>
    <w:bookmarkEnd w:id="141"/>
    <w:bookmarkEnd w:id="142"/>
    <w:bookmarkEnd w:id="143"/>
    <w:p w14:paraId="340FFD0C">
      <w:pPr>
        <w:spacing w:line="360" w:lineRule="auto"/>
        <w:ind w:firstLine="482" w:firstLineChars="200"/>
        <w:rPr>
          <w:rFonts w:ascii="仿宋_GB2312" w:hAnsi="楷体" w:eastAsia="仿宋_GB2312"/>
          <w:b/>
          <w:sz w:val="24"/>
        </w:rPr>
      </w:pPr>
      <w:bookmarkStart w:id="171" w:name="_Toc279701261"/>
      <w:bookmarkStart w:id="172" w:name="_Toc487900371"/>
      <w:bookmarkStart w:id="173" w:name="_Toc259093690"/>
      <w:bookmarkStart w:id="174" w:name="_Toc25182"/>
      <w:bookmarkStart w:id="175" w:name="_Toc11284"/>
      <w:bookmarkStart w:id="176" w:name="_Toc19604"/>
      <w:r>
        <w:rPr>
          <w:rFonts w:hint="eastAsia" w:ascii="仿宋_GB2312" w:hAnsi="楷体" w:eastAsia="仿宋_GB2312"/>
          <w:b/>
          <w:sz w:val="24"/>
        </w:rPr>
        <w:t>2.18 通知</w:t>
      </w:r>
      <w:bookmarkEnd w:id="171"/>
      <w:bookmarkEnd w:id="172"/>
      <w:bookmarkEnd w:id="173"/>
      <w:r>
        <w:rPr>
          <w:rFonts w:hint="eastAsia" w:ascii="仿宋_GB2312" w:hAnsi="楷体" w:eastAsia="仿宋_GB2312"/>
          <w:b/>
          <w:sz w:val="24"/>
        </w:rPr>
        <w:t>和送达</w:t>
      </w:r>
      <w:bookmarkEnd w:id="174"/>
      <w:bookmarkEnd w:id="175"/>
      <w:bookmarkEnd w:id="176"/>
    </w:p>
    <w:p w14:paraId="08DCEF88">
      <w:pPr>
        <w:spacing w:line="360" w:lineRule="auto"/>
        <w:ind w:firstLine="480" w:firstLineChars="200"/>
        <w:rPr>
          <w:rFonts w:ascii="仿宋_GB2312" w:hAnsi="楷体" w:eastAsia="仿宋_GB2312"/>
          <w:sz w:val="24"/>
        </w:rPr>
      </w:pPr>
      <w:bookmarkStart w:id="177" w:name="_Toc3135"/>
      <w:bookmarkStart w:id="178" w:name="_Toc6698"/>
      <w:bookmarkStart w:id="179" w:name="_Toc487900372"/>
      <w:bookmarkStart w:id="180" w:name="_Toc279701262"/>
      <w:bookmarkStart w:id="181" w:name="_Toc259093691"/>
      <w:r>
        <w:rPr>
          <w:rFonts w:hint="eastAsia" w:ascii="仿宋_GB2312" w:hAnsi="楷体" w:eastAsia="仿宋_GB2312"/>
          <w:sz w:val="24"/>
        </w:rPr>
        <w:t>2.18.1 任何一方因履行合同而以合同第一部分尾部所列明的</w:t>
      </w:r>
      <w:r>
        <w:rPr>
          <w:rFonts w:hint="eastAsia" w:ascii="仿宋_GB2312" w:hAnsi="楷体" w:eastAsia="仿宋_GB2312"/>
          <w:sz w:val="24"/>
          <w:u w:val="single"/>
        </w:rPr>
        <w:t>“约定送达地址”</w:t>
      </w:r>
      <w:r>
        <w:rPr>
          <w:rFonts w:hint="eastAsia" w:ascii="仿宋_GB2312" w:hAnsi="楷体" w:eastAsia="仿宋_GB2312"/>
          <w:sz w:val="24"/>
        </w:rPr>
        <w:t>为收件地址的所有通知、文件、材料，均视为已向对方当事人送达；任何一方变更上述送达方式或者地址的，应于</w:t>
      </w:r>
      <w:r>
        <w:rPr>
          <w:rFonts w:hint="eastAsia" w:ascii="仿宋_GB2312" w:hAnsi="楷体" w:eastAsia="仿宋_GB2312"/>
          <w:sz w:val="24"/>
          <w:u w:val="single"/>
        </w:rPr>
        <w:t xml:space="preserve">    </w:t>
      </w:r>
      <w:r>
        <w:rPr>
          <w:rFonts w:hint="eastAsia" w:ascii="仿宋_GB2312" w:hAnsi="楷体" w:eastAsia="仿宋_GB2312"/>
          <w:sz w:val="24"/>
        </w:rPr>
        <w:t>个工作日内书面通知对方当事人，在对方当事人收到有关变更通知之前，变更前的约定送达方式或者地址仍视为有效。</w:t>
      </w:r>
      <w:bookmarkEnd w:id="177"/>
      <w:bookmarkEnd w:id="178"/>
    </w:p>
    <w:p w14:paraId="054579B6">
      <w:pPr>
        <w:spacing w:line="360" w:lineRule="auto"/>
        <w:ind w:firstLine="480" w:firstLineChars="200"/>
        <w:rPr>
          <w:rFonts w:ascii="仿宋_GB2312" w:hAnsi="楷体" w:eastAsia="仿宋_GB2312"/>
          <w:sz w:val="24"/>
        </w:rPr>
      </w:pPr>
      <w:bookmarkStart w:id="182" w:name="_Toc23294"/>
      <w:bookmarkStart w:id="183" w:name="_Toc23128"/>
      <w:r>
        <w:rPr>
          <w:rFonts w:hint="eastAsia" w:ascii="仿宋_GB2312" w:hAnsi="楷体" w:eastAsia="仿宋_GB2312"/>
          <w:sz w:val="24"/>
        </w:rPr>
        <w:t>2.18.2 以当面交付方式送达的，交付之时视为送达；以电子邮件方式送达的，发出电子邮件之时视为送达；以传真方式送达的，发出传真之时视为送达；以邮寄方式送达的，邮件挂号寄出或者交邮之日之次日视为送达。</w:t>
      </w:r>
      <w:bookmarkEnd w:id="182"/>
      <w:bookmarkEnd w:id="183"/>
    </w:p>
    <w:p w14:paraId="4A783991">
      <w:pPr>
        <w:spacing w:line="360" w:lineRule="auto"/>
        <w:ind w:firstLine="482" w:firstLineChars="200"/>
        <w:rPr>
          <w:rFonts w:ascii="仿宋_GB2312" w:hAnsi="楷体" w:eastAsia="仿宋_GB2312"/>
          <w:b/>
          <w:sz w:val="24"/>
        </w:rPr>
      </w:pPr>
      <w:bookmarkStart w:id="184" w:name="_Toc4355"/>
      <w:bookmarkStart w:id="185" w:name="_Toc30599"/>
      <w:bookmarkStart w:id="186" w:name="_Toc18540"/>
      <w:r>
        <w:rPr>
          <w:rFonts w:hint="eastAsia" w:ascii="仿宋_GB2312" w:hAnsi="楷体" w:eastAsia="仿宋_GB2312"/>
          <w:b/>
          <w:sz w:val="24"/>
        </w:rPr>
        <w:t>2.19 计量单位</w:t>
      </w:r>
      <w:bookmarkEnd w:id="179"/>
      <w:bookmarkEnd w:id="180"/>
      <w:bookmarkEnd w:id="181"/>
      <w:bookmarkEnd w:id="184"/>
      <w:bookmarkEnd w:id="185"/>
      <w:bookmarkEnd w:id="186"/>
    </w:p>
    <w:p w14:paraId="6309991A">
      <w:pPr>
        <w:spacing w:line="360" w:lineRule="auto"/>
        <w:ind w:firstLine="480" w:firstLineChars="200"/>
        <w:rPr>
          <w:rFonts w:ascii="仿宋_GB2312" w:hAnsi="楷体" w:eastAsia="仿宋_GB2312"/>
          <w:sz w:val="24"/>
        </w:rPr>
      </w:pPr>
      <w:r>
        <w:rPr>
          <w:rFonts w:hint="eastAsia" w:ascii="仿宋_GB2312" w:hAnsi="楷体" w:eastAsia="仿宋_GB2312"/>
          <w:sz w:val="24"/>
        </w:rPr>
        <w:t>除技术规范中另有规定外,合同的计量单位均使用国家法定计量单位。</w:t>
      </w:r>
    </w:p>
    <w:p w14:paraId="62F6639E">
      <w:pPr>
        <w:spacing w:line="360" w:lineRule="auto"/>
        <w:ind w:firstLine="482" w:firstLineChars="200"/>
        <w:rPr>
          <w:rFonts w:ascii="仿宋_GB2312" w:hAnsi="楷体" w:eastAsia="仿宋_GB2312"/>
          <w:b/>
          <w:sz w:val="24"/>
        </w:rPr>
      </w:pPr>
      <w:bookmarkStart w:id="187" w:name="_Toc12773"/>
      <w:bookmarkStart w:id="188" w:name="_Toc18567"/>
      <w:bookmarkStart w:id="189" w:name="_Toc10330"/>
      <w:bookmarkStart w:id="190" w:name="_Toc259093692"/>
      <w:bookmarkStart w:id="191" w:name="_Toc487900373"/>
      <w:bookmarkStart w:id="192" w:name="_Toc279701263"/>
      <w:r>
        <w:rPr>
          <w:rFonts w:hint="eastAsia" w:ascii="仿宋_GB2312" w:hAnsi="楷体" w:eastAsia="仿宋_GB2312"/>
          <w:b/>
          <w:sz w:val="24"/>
        </w:rPr>
        <w:t>2.20 合同使用的文字和适用的法律</w:t>
      </w:r>
      <w:bookmarkEnd w:id="187"/>
      <w:bookmarkEnd w:id="188"/>
      <w:bookmarkEnd w:id="189"/>
      <w:bookmarkEnd w:id="190"/>
      <w:bookmarkEnd w:id="191"/>
      <w:bookmarkEnd w:id="192"/>
    </w:p>
    <w:p w14:paraId="23C3260C">
      <w:pPr>
        <w:spacing w:line="360" w:lineRule="auto"/>
        <w:ind w:firstLine="480" w:firstLineChars="200"/>
        <w:rPr>
          <w:rFonts w:ascii="仿宋_GB2312" w:hAnsi="楷体" w:eastAsia="仿宋_GB2312"/>
          <w:sz w:val="24"/>
        </w:rPr>
      </w:pPr>
      <w:r>
        <w:rPr>
          <w:rFonts w:hint="eastAsia" w:ascii="仿宋_GB2312" w:hAnsi="楷体" w:eastAsia="仿宋_GB2312"/>
          <w:sz w:val="24"/>
        </w:rPr>
        <w:t>2.20.1 合同使用汉语书就、变更和解释；</w:t>
      </w:r>
    </w:p>
    <w:p w14:paraId="1A0B4D9E">
      <w:pPr>
        <w:spacing w:line="360" w:lineRule="auto"/>
        <w:ind w:firstLine="480" w:firstLineChars="200"/>
        <w:rPr>
          <w:rFonts w:ascii="仿宋_GB2312" w:hAnsi="楷体" w:eastAsia="仿宋_GB2312"/>
          <w:sz w:val="24"/>
        </w:rPr>
      </w:pPr>
      <w:r>
        <w:rPr>
          <w:rFonts w:hint="eastAsia" w:ascii="仿宋_GB2312" w:hAnsi="楷体" w:eastAsia="仿宋_GB2312"/>
          <w:sz w:val="24"/>
        </w:rPr>
        <w:t>2.20.2 合同适用中华人民共和国法律。</w:t>
      </w:r>
    </w:p>
    <w:p w14:paraId="3935F58F">
      <w:pPr>
        <w:spacing w:line="360" w:lineRule="auto"/>
        <w:ind w:firstLine="482" w:firstLineChars="200"/>
        <w:rPr>
          <w:rFonts w:ascii="仿宋_GB2312" w:hAnsi="楷体" w:eastAsia="仿宋_GB2312"/>
          <w:b/>
          <w:sz w:val="24"/>
        </w:rPr>
      </w:pPr>
      <w:bookmarkStart w:id="193" w:name="_Toc12004"/>
      <w:bookmarkStart w:id="194" w:name="_Toc3148"/>
      <w:bookmarkStart w:id="195" w:name="_Toc279701264"/>
      <w:bookmarkStart w:id="196" w:name="_Toc16673"/>
      <w:bookmarkStart w:id="197" w:name="_Toc259093693"/>
      <w:bookmarkStart w:id="198" w:name="_Toc487900374"/>
      <w:r>
        <w:rPr>
          <w:rFonts w:hint="eastAsia" w:ascii="仿宋_GB2312" w:hAnsi="楷体" w:eastAsia="仿宋_GB2312"/>
          <w:b/>
          <w:sz w:val="24"/>
        </w:rPr>
        <w:t>2.21 履约保证金</w:t>
      </w:r>
      <w:bookmarkEnd w:id="193"/>
      <w:bookmarkEnd w:id="194"/>
      <w:bookmarkEnd w:id="195"/>
      <w:bookmarkEnd w:id="196"/>
      <w:bookmarkEnd w:id="197"/>
    </w:p>
    <w:p w14:paraId="14EDA670">
      <w:pPr>
        <w:spacing w:line="360" w:lineRule="auto"/>
        <w:ind w:firstLine="480" w:firstLineChars="200"/>
        <w:rPr>
          <w:rFonts w:ascii="仿宋_GB2312" w:hAnsi="仿宋" w:eastAsia="仿宋_GB2312" w:cs="Arial"/>
          <w:snapToGrid w:val="0"/>
          <w:kern w:val="0"/>
          <w:sz w:val="24"/>
        </w:rPr>
      </w:pPr>
      <w:r>
        <w:rPr>
          <w:rFonts w:hint="eastAsia" w:ascii="仿宋_GB2312" w:hAnsi="楷体" w:eastAsia="仿宋_GB2312"/>
          <w:sz w:val="24"/>
        </w:rPr>
        <w:t>本项目不收取履约保证金</w:t>
      </w:r>
    </w:p>
    <w:p w14:paraId="2A5CA5A8">
      <w:pPr>
        <w:spacing w:line="360" w:lineRule="auto"/>
        <w:ind w:firstLine="482" w:firstLineChars="200"/>
        <w:rPr>
          <w:rFonts w:ascii="仿宋_GB2312" w:hAnsi="仿宋" w:eastAsia="仿宋_GB2312"/>
          <w:kern w:val="0"/>
          <w:sz w:val="24"/>
          <w:lang w:val="zh-CN"/>
        </w:rPr>
      </w:pPr>
      <w:r>
        <w:rPr>
          <w:rFonts w:hint="eastAsia" w:ascii="仿宋_GB2312" w:hAnsi="楷体" w:eastAsia="仿宋_GB2312"/>
          <w:b/>
          <w:sz w:val="24"/>
        </w:rPr>
        <w:t>2.22 中小企业政策</w:t>
      </w:r>
    </w:p>
    <w:p w14:paraId="31FBD67C">
      <w:pPr>
        <w:spacing w:line="360" w:lineRule="auto"/>
        <w:ind w:firstLine="480" w:firstLineChars="200"/>
        <w:rPr>
          <w:rFonts w:ascii="仿宋_GB2312" w:hAnsi="仿宋" w:eastAsia="仿宋_GB2312"/>
          <w:kern w:val="0"/>
          <w:sz w:val="24"/>
          <w:lang w:val="zh-CN"/>
        </w:rPr>
      </w:pPr>
      <w:r>
        <w:rPr>
          <w:rFonts w:hint="eastAsia" w:ascii="仿宋_GB2312" w:hAnsi="仿宋" w:eastAsia="仿宋_GB2312"/>
          <w:kern w:val="0"/>
          <w:sz w:val="24"/>
          <w:lang w:val="zh-CN"/>
        </w:rPr>
        <w:t>2.22.1本合同（□是  □否）为中小企业“政采贷”可融资合同，关于中小企业信用融资事项见采购文件“供应商须知正文”。</w:t>
      </w:r>
    </w:p>
    <w:p w14:paraId="3F1D2889">
      <w:pPr>
        <w:spacing w:line="360" w:lineRule="auto"/>
        <w:ind w:firstLine="480" w:firstLineChars="200"/>
        <w:rPr>
          <w:rFonts w:ascii="仿宋_GB2312" w:hAnsi="仿宋" w:eastAsia="仿宋_GB2312"/>
          <w:kern w:val="0"/>
          <w:sz w:val="24"/>
          <w:lang w:val="zh-CN"/>
        </w:rPr>
      </w:pPr>
      <w:r>
        <w:rPr>
          <w:rFonts w:hint="eastAsia" w:ascii="仿宋_GB2312" w:hAnsi="仿宋" w:eastAsia="仿宋_GB2312"/>
          <w:kern w:val="0"/>
          <w:sz w:val="24"/>
          <w:lang w:val="zh-CN"/>
        </w:rPr>
        <w:t>2.22.2</w:t>
      </w:r>
      <w:r>
        <w:rPr>
          <w:rFonts w:ascii="仿宋_GB2312" w:hAnsi="仿宋" w:eastAsia="仿宋_GB2312"/>
          <w:kern w:val="0"/>
          <w:sz w:val="24"/>
          <w:lang w:val="zh-CN"/>
        </w:rPr>
        <w:t xml:space="preserve">本合同（□是  </w:t>
      </w:r>
      <w:r>
        <w:rPr>
          <w:rFonts w:hint="eastAsia" w:ascii="仿宋_GB2312" w:hAnsi="仿宋" w:eastAsia="仿宋_GB2312"/>
          <w:kern w:val="0"/>
          <w:sz w:val="24"/>
          <w:lang w:val="zh-CN"/>
        </w:rPr>
        <w:t>□否）为中小企业预留合同。</w:t>
      </w:r>
    </w:p>
    <w:bookmarkEnd w:id="198"/>
    <w:p w14:paraId="007651E5">
      <w:pPr>
        <w:spacing w:line="360" w:lineRule="auto"/>
        <w:ind w:firstLine="482" w:firstLineChars="200"/>
        <w:rPr>
          <w:rFonts w:ascii="仿宋_GB2312" w:hAnsi="楷体" w:eastAsia="仿宋_GB2312"/>
          <w:b/>
          <w:sz w:val="24"/>
        </w:rPr>
      </w:pPr>
      <w:bookmarkStart w:id="199" w:name="_Toc19890"/>
      <w:bookmarkStart w:id="200" w:name="_Toc6885"/>
      <w:bookmarkStart w:id="201" w:name="_Toc14001"/>
      <w:r>
        <w:rPr>
          <w:rFonts w:hint="eastAsia" w:ascii="仿宋_GB2312" w:hAnsi="楷体" w:eastAsia="仿宋_GB2312"/>
          <w:b/>
          <w:sz w:val="24"/>
        </w:rPr>
        <w:t>2.23 合同份数</w:t>
      </w:r>
      <w:bookmarkEnd w:id="199"/>
      <w:bookmarkEnd w:id="200"/>
      <w:bookmarkEnd w:id="201"/>
    </w:p>
    <w:p w14:paraId="33F504D5">
      <w:pPr>
        <w:spacing w:line="360" w:lineRule="auto"/>
        <w:ind w:firstLine="480" w:firstLineChars="200"/>
        <w:rPr>
          <w:rFonts w:ascii="仿宋_GB2312" w:hAnsi="楷体" w:eastAsia="仿宋_GB2312"/>
          <w:sz w:val="24"/>
        </w:rPr>
      </w:pPr>
      <w:r>
        <w:rPr>
          <w:rFonts w:hint="eastAsia" w:ascii="仿宋_GB2312" w:hAnsi="宋体" w:eastAsia="仿宋_GB2312"/>
          <w:sz w:val="24"/>
        </w:rPr>
        <w:t>本合同壹式</w:t>
      </w:r>
      <w:r>
        <w:rPr>
          <w:rFonts w:hint="eastAsia" w:ascii="仿宋_GB2312" w:hAnsi="宋体" w:eastAsia="仿宋_GB2312"/>
          <w:sz w:val="24"/>
          <w:u w:val="single"/>
        </w:rPr>
        <w:t xml:space="preserve">  </w:t>
      </w:r>
      <w:r>
        <w:rPr>
          <w:rFonts w:hint="eastAsia" w:ascii="仿宋_GB2312" w:hAnsi="仿宋" w:eastAsia="仿宋_GB2312"/>
          <w:sz w:val="24"/>
          <w:u w:val="single"/>
        </w:rPr>
        <w:t xml:space="preserve"> </w:t>
      </w:r>
      <w:r>
        <w:rPr>
          <w:rFonts w:hint="eastAsia" w:ascii="仿宋_GB2312" w:hAnsi="宋体" w:eastAsia="仿宋_GB2312"/>
          <w:sz w:val="24"/>
        </w:rPr>
        <w:t>份，甲方执</w:t>
      </w:r>
      <w:r>
        <w:rPr>
          <w:rFonts w:hint="eastAsia" w:ascii="仿宋_GB2312" w:hAnsi="宋体" w:eastAsia="仿宋_GB2312"/>
          <w:sz w:val="24"/>
          <w:u w:val="single"/>
        </w:rPr>
        <w:t xml:space="preserve">  </w:t>
      </w:r>
      <w:r>
        <w:rPr>
          <w:rFonts w:hint="eastAsia" w:ascii="仿宋_GB2312" w:hAnsi="仿宋" w:eastAsia="仿宋_GB2312"/>
          <w:sz w:val="24"/>
          <w:u w:val="single"/>
        </w:rPr>
        <w:t xml:space="preserve"> </w:t>
      </w:r>
      <w:r>
        <w:rPr>
          <w:rFonts w:hint="eastAsia" w:ascii="仿宋_GB2312" w:hAnsi="宋体" w:eastAsia="仿宋_GB2312"/>
          <w:sz w:val="24"/>
        </w:rPr>
        <w:t>份，乙方执</w:t>
      </w:r>
      <w:r>
        <w:rPr>
          <w:rFonts w:hint="eastAsia" w:ascii="仿宋_GB2312" w:hAnsi="仿宋"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份。</w:t>
      </w:r>
      <w:r>
        <w:rPr>
          <w:rFonts w:hint="eastAsia" w:ascii="仿宋_GB2312" w:hAnsi="楷体" w:eastAsia="仿宋_GB2312"/>
          <w:sz w:val="24"/>
        </w:rPr>
        <w:t>每份均具有同等法律效力。</w:t>
      </w:r>
    </w:p>
    <w:p w14:paraId="2C124F55">
      <w:pPr>
        <w:spacing w:line="440" w:lineRule="exact"/>
        <w:jc w:val="center"/>
        <w:outlineLvl w:val="0"/>
        <w:rPr>
          <w:rFonts w:ascii="宋体" w:hAnsi="宋体"/>
          <w:b/>
          <w:sz w:val="36"/>
        </w:rPr>
      </w:pPr>
      <w:r>
        <w:rPr>
          <w:rFonts w:hAnsi="仿宋"/>
        </w:rPr>
        <w:br w:type="page"/>
      </w:r>
      <w:bookmarkStart w:id="202" w:name="_Toc18393"/>
      <w:r>
        <w:rPr>
          <w:rFonts w:hint="eastAsia" w:ascii="宋体" w:hAnsi="宋体"/>
          <w:b/>
          <w:sz w:val="32"/>
        </w:rPr>
        <w:t>第六部分 投标文件格式</w:t>
      </w:r>
      <w:bookmarkEnd w:id="34"/>
      <w:bookmarkEnd w:id="202"/>
    </w:p>
    <w:p w14:paraId="1B8BA616">
      <w:pPr>
        <w:pStyle w:val="117"/>
        <w:spacing w:after="0"/>
        <w:ind w:left="0" w:leftChars="0" w:firstLine="0" w:firstLineChars="0"/>
        <w:jc w:val="center"/>
        <w:outlineLvl w:val="1"/>
        <w:rPr>
          <w:rFonts w:ascii="宋体" w:hAnsi="宋体"/>
          <w:b/>
          <w:sz w:val="28"/>
          <w:szCs w:val="28"/>
        </w:rPr>
      </w:pPr>
      <w:r>
        <w:rPr>
          <w:rFonts w:hint="eastAsia" w:ascii="宋体" w:hAnsi="宋体"/>
          <w:b/>
          <w:sz w:val="28"/>
          <w:szCs w:val="28"/>
        </w:rPr>
        <w:t>目录</w:t>
      </w:r>
    </w:p>
    <w:p w14:paraId="30EDFB2E">
      <w:pPr>
        <w:spacing w:line="276" w:lineRule="auto"/>
        <w:rPr>
          <w:rFonts w:ascii="宋体" w:hAnsi="宋体"/>
          <w:sz w:val="24"/>
        </w:rPr>
      </w:pPr>
      <w:bookmarkStart w:id="203" w:name="_Toc18205"/>
      <w:bookmarkStart w:id="204" w:name="_Toc14936"/>
      <w:bookmarkStart w:id="205" w:name="_Toc15731"/>
      <w:bookmarkStart w:id="206" w:name="_Toc19503"/>
      <w:r>
        <w:rPr>
          <w:rFonts w:hint="eastAsia" w:ascii="宋体" w:hAnsi="宋体"/>
          <w:sz w:val="24"/>
        </w:rPr>
        <w:t>一、法定代表人身份证明复印件(法定代表人参加投标)（附件1-</w:t>
      </w:r>
      <w:r>
        <w:rPr>
          <w:rFonts w:ascii="宋体" w:hAnsi="宋体"/>
          <w:sz w:val="24"/>
        </w:rPr>
        <w:t>1</w:t>
      </w:r>
      <w:r>
        <w:rPr>
          <w:rFonts w:hint="eastAsia" w:ascii="宋体" w:hAnsi="宋体"/>
          <w:sz w:val="24"/>
        </w:rPr>
        <w:t>）</w:t>
      </w:r>
    </w:p>
    <w:p w14:paraId="54E09E9A">
      <w:pPr>
        <w:spacing w:line="276" w:lineRule="auto"/>
        <w:rPr>
          <w:rFonts w:ascii="宋体" w:hAnsi="宋体"/>
          <w:sz w:val="24"/>
        </w:rPr>
      </w:pPr>
      <w:bookmarkStart w:id="207" w:name="_Toc10741"/>
      <w:r>
        <w:rPr>
          <w:rFonts w:hint="eastAsia" w:ascii="宋体" w:hAnsi="宋体"/>
          <w:sz w:val="24"/>
        </w:rPr>
        <w:t>二、投标人代表身份证明</w:t>
      </w:r>
      <w:bookmarkEnd w:id="203"/>
      <w:bookmarkEnd w:id="204"/>
      <w:bookmarkEnd w:id="207"/>
    </w:p>
    <w:p w14:paraId="4AABD9C0">
      <w:pPr>
        <w:spacing w:line="276" w:lineRule="auto"/>
        <w:ind w:firstLine="420" w:firstLineChars="175"/>
        <w:rPr>
          <w:rFonts w:ascii="宋体" w:hAnsi="宋体"/>
          <w:sz w:val="24"/>
        </w:rPr>
      </w:pPr>
      <w:r>
        <w:rPr>
          <w:rFonts w:ascii="宋体" w:hAnsi="宋体"/>
          <w:sz w:val="24"/>
        </w:rPr>
        <w:t>1</w:t>
      </w:r>
      <w:r>
        <w:rPr>
          <w:rFonts w:hint="eastAsia" w:ascii="宋体" w:hAnsi="宋体"/>
          <w:sz w:val="24"/>
        </w:rPr>
        <w:t>法定代表人授权委托书(授权代表参加投标) （附件1-</w:t>
      </w:r>
      <w:r>
        <w:rPr>
          <w:rFonts w:ascii="宋体" w:hAnsi="宋体"/>
          <w:sz w:val="24"/>
        </w:rPr>
        <w:t>2</w:t>
      </w:r>
      <w:r>
        <w:rPr>
          <w:rFonts w:hint="eastAsia" w:ascii="宋体" w:hAnsi="宋体"/>
          <w:sz w:val="24"/>
        </w:rPr>
        <w:t>）</w:t>
      </w:r>
    </w:p>
    <w:bookmarkEnd w:id="205"/>
    <w:bookmarkEnd w:id="206"/>
    <w:p w14:paraId="19CE4D34">
      <w:pPr>
        <w:spacing w:line="276" w:lineRule="auto"/>
        <w:rPr>
          <w:rFonts w:hint="eastAsia" w:ascii="宋体" w:hAnsi="宋体" w:eastAsia="宋体"/>
          <w:sz w:val="24"/>
          <w:lang w:eastAsia="zh-CN"/>
        </w:rPr>
      </w:pPr>
      <w:bookmarkStart w:id="208" w:name="_Hlk132118260"/>
      <w:r>
        <w:rPr>
          <w:rFonts w:hint="eastAsia" w:ascii="宋体" w:hAnsi="宋体"/>
          <w:sz w:val="24"/>
        </w:rPr>
        <w:t>三、提供符合政府采购政策的证明材料</w:t>
      </w:r>
      <w:bookmarkEnd w:id="208"/>
      <w:r>
        <w:rPr>
          <w:rFonts w:hint="eastAsia" w:ascii="宋体" w:hAnsi="宋体"/>
          <w:sz w:val="24"/>
          <w:lang w:eastAsia="zh-CN"/>
        </w:rPr>
        <w:t>（</w:t>
      </w:r>
      <w:r>
        <w:rPr>
          <w:rFonts w:hint="eastAsia" w:ascii="宋体" w:hAnsi="宋体"/>
          <w:sz w:val="24"/>
          <w:lang w:val="en-US" w:eastAsia="zh-CN"/>
        </w:rPr>
        <w:t>如需</w:t>
      </w:r>
      <w:r>
        <w:rPr>
          <w:rFonts w:hint="eastAsia" w:ascii="宋体" w:hAnsi="宋体"/>
          <w:sz w:val="24"/>
          <w:lang w:eastAsia="zh-CN"/>
        </w:rPr>
        <w:t>）</w:t>
      </w:r>
    </w:p>
    <w:p w14:paraId="3110485F">
      <w:pPr>
        <w:spacing w:line="276" w:lineRule="auto"/>
        <w:ind w:firstLine="420"/>
        <w:rPr>
          <w:rFonts w:ascii="宋体" w:hAnsi="宋体"/>
          <w:sz w:val="24"/>
        </w:rPr>
      </w:pPr>
      <w:r>
        <w:rPr>
          <w:rFonts w:hint="eastAsia" w:ascii="宋体" w:hAnsi="宋体"/>
          <w:sz w:val="24"/>
        </w:rPr>
        <w:t>1中小企业声明函（附件1-4-1）</w:t>
      </w:r>
    </w:p>
    <w:p w14:paraId="79D629FF">
      <w:pPr>
        <w:spacing w:line="276" w:lineRule="auto"/>
        <w:ind w:firstLine="420"/>
        <w:rPr>
          <w:rFonts w:ascii="宋体" w:hAnsi="宋体"/>
          <w:sz w:val="24"/>
        </w:rPr>
      </w:pPr>
      <w:r>
        <w:rPr>
          <w:rFonts w:hint="eastAsia" w:ascii="宋体" w:hAnsi="宋体"/>
          <w:sz w:val="24"/>
        </w:rPr>
        <w:t>2监狱企业证明文件（附件1-4-2）</w:t>
      </w:r>
    </w:p>
    <w:p w14:paraId="3D7D4E1B">
      <w:pPr>
        <w:spacing w:line="276" w:lineRule="auto"/>
        <w:ind w:firstLine="420"/>
        <w:rPr>
          <w:rFonts w:ascii="宋体" w:hAnsi="宋体"/>
          <w:sz w:val="24"/>
        </w:rPr>
      </w:pPr>
      <w:r>
        <w:rPr>
          <w:rFonts w:hint="eastAsia" w:ascii="宋体" w:hAnsi="宋体"/>
          <w:sz w:val="24"/>
        </w:rPr>
        <w:t>3残疾人福利性单位声明函（附件1-4-3）</w:t>
      </w:r>
    </w:p>
    <w:p w14:paraId="3FADA349">
      <w:pPr>
        <w:spacing w:line="276" w:lineRule="auto"/>
        <w:ind w:firstLine="420"/>
        <w:rPr>
          <w:rFonts w:ascii="宋体" w:hAnsi="宋体"/>
          <w:sz w:val="24"/>
        </w:rPr>
      </w:pPr>
      <w:r>
        <w:rPr>
          <w:rFonts w:hint="eastAsia" w:ascii="宋体" w:hAnsi="宋体"/>
          <w:sz w:val="24"/>
        </w:rPr>
        <w:t>4关于符合本国产品标准的声明函（附件1-4-4）</w:t>
      </w:r>
    </w:p>
    <w:p w14:paraId="0DAFBA2F">
      <w:pPr>
        <w:spacing w:line="276" w:lineRule="auto"/>
        <w:ind w:firstLine="420"/>
        <w:rPr>
          <w:rFonts w:ascii="宋体" w:hAnsi="宋体"/>
          <w:sz w:val="24"/>
        </w:rPr>
      </w:pPr>
      <w:r>
        <w:rPr>
          <w:rFonts w:hint="eastAsia" w:ascii="宋体" w:hAnsi="宋体"/>
          <w:sz w:val="24"/>
        </w:rPr>
        <w:t>5分包意向协议（附件1-4-5）</w:t>
      </w:r>
    </w:p>
    <w:p w14:paraId="36DF7865">
      <w:pPr>
        <w:pStyle w:val="20"/>
        <w:spacing w:line="276" w:lineRule="auto"/>
        <w:rPr>
          <w:rFonts w:ascii="宋体" w:hAnsi="宋体"/>
          <w:sz w:val="24"/>
        </w:rPr>
      </w:pPr>
      <w:r>
        <w:rPr>
          <w:rFonts w:hint="eastAsia" w:ascii="宋体" w:hAnsi="宋体"/>
          <w:sz w:val="24"/>
        </w:rPr>
        <w:t>四、投标函（附件2-</w:t>
      </w:r>
      <w:r>
        <w:rPr>
          <w:rFonts w:ascii="宋体" w:hAnsi="宋体"/>
          <w:sz w:val="24"/>
        </w:rPr>
        <w:t>1</w:t>
      </w:r>
      <w:r>
        <w:rPr>
          <w:rFonts w:hint="eastAsia" w:ascii="宋体" w:hAnsi="宋体"/>
          <w:sz w:val="24"/>
        </w:rPr>
        <w:t>）</w:t>
      </w:r>
    </w:p>
    <w:p w14:paraId="47C29581">
      <w:pPr>
        <w:pStyle w:val="20"/>
        <w:spacing w:line="276" w:lineRule="auto"/>
        <w:rPr>
          <w:rFonts w:ascii="宋体" w:hAnsi="宋体"/>
          <w:sz w:val="24"/>
        </w:rPr>
      </w:pPr>
      <w:r>
        <w:rPr>
          <w:rFonts w:hint="eastAsia" w:ascii="宋体" w:hAnsi="宋体"/>
          <w:sz w:val="24"/>
        </w:rPr>
        <w:t>五、反商业贿赂承诺书；（附件2-2）</w:t>
      </w:r>
    </w:p>
    <w:p w14:paraId="5205AA61">
      <w:pPr>
        <w:pStyle w:val="20"/>
        <w:spacing w:line="276" w:lineRule="auto"/>
        <w:rPr>
          <w:rFonts w:ascii="宋体" w:hAnsi="宋体"/>
          <w:sz w:val="24"/>
        </w:rPr>
      </w:pPr>
      <w:r>
        <w:rPr>
          <w:rFonts w:hint="eastAsia" w:ascii="宋体" w:hAnsi="宋体"/>
          <w:sz w:val="24"/>
        </w:rPr>
        <w:t>六、投标报价</w:t>
      </w:r>
    </w:p>
    <w:p w14:paraId="0DB43748">
      <w:pPr>
        <w:pStyle w:val="20"/>
        <w:spacing w:line="276" w:lineRule="auto"/>
        <w:ind w:firstLine="420"/>
        <w:rPr>
          <w:rFonts w:ascii="宋体" w:hAnsi="宋体"/>
          <w:sz w:val="24"/>
        </w:rPr>
      </w:pPr>
      <w:r>
        <w:rPr>
          <w:rFonts w:hint="eastAsia" w:ascii="宋体" w:hAnsi="宋体"/>
          <w:sz w:val="24"/>
        </w:rPr>
        <w:t>1开标一览表（附件2-3-1）</w:t>
      </w:r>
    </w:p>
    <w:p w14:paraId="14E196FA">
      <w:pPr>
        <w:pStyle w:val="20"/>
        <w:spacing w:line="276" w:lineRule="auto"/>
        <w:ind w:firstLine="420"/>
        <w:rPr>
          <w:rFonts w:ascii="宋体" w:hAnsi="宋体"/>
          <w:sz w:val="24"/>
        </w:rPr>
      </w:pPr>
      <w:r>
        <w:rPr>
          <w:rFonts w:hint="eastAsia" w:ascii="宋体" w:hAnsi="宋体"/>
          <w:sz w:val="24"/>
        </w:rPr>
        <w:t>2明细报价表（附件2-3-2）</w:t>
      </w:r>
    </w:p>
    <w:p w14:paraId="56C682BC">
      <w:pPr>
        <w:pStyle w:val="20"/>
        <w:spacing w:line="276" w:lineRule="auto"/>
        <w:rPr>
          <w:rFonts w:ascii="宋体" w:hAnsi="宋体"/>
          <w:sz w:val="24"/>
        </w:rPr>
      </w:pPr>
      <w:r>
        <w:rPr>
          <w:rFonts w:hint="eastAsia" w:ascii="宋体" w:hAnsi="宋体"/>
          <w:sz w:val="24"/>
        </w:rPr>
        <w:t>七、商务条款偏离表（附件2-4）</w:t>
      </w:r>
    </w:p>
    <w:p w14:paraId="6C2998B1">
      <w:pPr>
        <w:pStyle w:val="20"/>
        <w:spacing w:line="276" w:lineRule="auto"/>
        <w:rPr>
          <w:rFonts w:ascii="宋体" w:hAnsi="宋体"/>
          <w:sz w:val="24"/>
        </w:rPr>
      </w:pPr>
      <w:r>
        <w:rPr>
          <w:rFonts w:hint="eastAsia" w:ascii="宋体" w:hAnsi="宋体"/>
          <w:sz w:val="24"/>
        </w:rPr>
        <w:t>八、产品简要说明一览表（附件2-</w:t>
      </w:r>
      <w:r>
        <w:rPr>
          <w:rFonts w:ascii="宋体" w:hAnsi="宋体"/>
          <w:sz w:val="24"/>
        </w:rPr>
        <w:t>5</w:t>
      </w:r>
      <w:r>
        <w:rPr>
          <w:rFonts w:hint="eastAsia" w:ascii="宋体" w:hAnsi="宋体"/>
          <w:sz w:val="24"/>
        </w:rPr>
        <w:t>）</w:t>
      </w:r>
    </w:p>
    <w:p w14:paraId="75720672">
      <w:pPr>
        <w:pStyle w:val="20"/>
        <w:spacing w:line="276" w:lineRule="auto"/>
        <w:rPr>
          <w:rFonts w:ascii="宋体" w:hAnsi="宋体"/>
          <w:sz w:val="24"/>
        </w:rPr>
      </w:pPr>
      <w:r>
        <w:rPr>
          <w:rFonts w:hint="eastAsia" w:ascii="宋体" w:hAnsi="宋体"/>
          <w:sz w:val="24"/>
        </w:rPr>
        <w:t>九、产品技术支持文件（包含但不限于产品检测报告、产品彩页或技术白皮书等）</w:t>
      </w:r>
    </w:p>
    <w:p w14:paraId="30EC698D">
      <w:pPr>
        <w:pStyle w:val="20"/>
        <w:spacing w:line="276" w:lineRule="auto"/>
        <w:rPr>
          <w:rFonts w:ascii="宋体" w:hAnsi="宋体"/>
          <w:sz w:val="24"/>
        </w:rPr>
      </w:pPr>
      <w:r>
        <w:rPr>
          <w:rFonts w:hint="eastAsia" w:ascii="宋体" w:hAnsi="宋体"/>
          <w:sz w:val="24"/>
        </w:rPr>
        <w:t>十、技术参数偏离表（附件2-</w:t>
      </w:r>
      <w:r>
        <w:rPr>
          <w:rFonts w:ascii="宋体" w:hAnsi="宋体"/>
          <w:sz w:val="24"/>
        </w:rPr>
        <w:t>6</w:t>
      </w:r>
      <w:r>
        <w:rPr>
          <w:rFonts w:hint="eastAsia" w:ascii="宋体" w:hAnsi="宋体"/>
          <w:sz w:val="24"/>
        </w:rPr>
        <w:t>）</w:t>
      </w:r>
    </w:p>
    <w:p w14:paraId="76749636">
      <w:pPr>
        <w:pStyle w:val="20"/>
        <w:spacing w:line="276" w:lineRule="auto"/>
        <w:rPr>
          <w:rFonts w:ascii="宋体" w:hAnsi="宋体"/>
          <w:sz w:val="24"/>
        </w:rPr>
      </w:pPr>
      <w:r>
        <w:rPr>
          <w:rFonts w:hint="eastAsia" w:ascii="宋体" w:hAnsi="宋体"/>
          <w:sz w:val="24"/>
        </w:rPr>
        <w:t>十一、售后服务</w:t>
      </w:r>
    </w:p>
    <w:p w14:paraId="0235E13F">
      <w:pPr>
        <w:pStyle w:val="20"/>
        <w:spacing w:line="276" w:lineRule="auto"/>
        <w:rPr>
          <w:rFonts w:ascii="宋体" w:hAnsi="宋体"/>
          <w:sz w:val="24"/>
        </w:rPr>
      </w:pPr>
      <w:r>
        <w:rPr>
          <w:rFonts w:hint="eastAsia" w:ascii="宋体" w:hAnsi="宋体"/>
          <w:sz w:val="24"/>
        </w:rPr>
        <w:t>十二、项目实施方案</w:t>
      </w:r>
    </w:p>
    <w:p w14:paraId="6316987D">
      <w:pPr>
        <w:spacing w:line="276" w:lineRule="auto"/>
        <w:rPr>
          <w:rFonts w:ascii="宋体" w:hAnsi="宋体"/>
          <w:sz w:val="24"/>
        </w:rPr>
      </w:pPr>
      <w:r>
        <w:rPr>
          <w:rFonts w:hint="eastAsia" w:ascii="宋体" w:hAnsi="宋体"/>
          <w:sz w:val="24"/>
        </w:rPr>
        <w:t>十三、业绩</w:t>
      </w:r>
    </w:p>
    <w:p w14:paraId="2F10AC57">
      <w:pPr>
        <w:spacing w:line="276" w:lineRule="auto"/>
        <w:rPr>
          <w:rFonts w:ascii="宋体" w:hAnsi="宋体"/>
          <w:sz w:val="24"/>
        </w:rPr>
      </w:pPr>
      <w:bookmarkStart w:id="209" w:name="_Toc28913"/>
      <w:bookmarkStart w:id="210" w:name="_Toc7039"/>
      <w:bookmarkStart w:id="211" w:name="_Toc25967"/>
      <w:r>
        <w:rPr>
          <w:rFonts w:hint="eastAsia" w:ascii="宋体" w:hAnsi="宋体"/>
          <w:sz w:val="24"/>
        </w:rPr>
        <w:t>十四、</w:t>
      </w:r>
      <w:bookmarkEnd w:id="209"/>
      <w:bookmarkEnd w:id="210"/>
      <w:bookmarkEnd w:id="211"/>
      <w:r>
        <w:rPr>
          <w:rFonts w:hint="eastAsia" w:ascii="宋体" w:hAnsi="宋体"/>
          <w:sz w:val="24"/>
        </w:rPr>
        <w:t>资格审查文件</w:t>
      </w:r>
    </w:p>
    <w:p w14:paraId="78408409">
      <w:pPr>
        <w:spacing w:line="276" w:lineRule="auto"/>
        <w:ind w:firstLine="420" w:firstLineChars="175"/>
        <w:rPr>
          <w:rFonts w:ascii="宋体" w:hAnsi="宋体"/>
          <w:sz w:val="24"/>
        </w:rPr>
      </w:pPr>
      <w:r>
        <w:rPr>
          <w:rFonts w:ascii="宋体" w:hAnsi="宋体"/>
          <w:sz w:val="24"/>
        </w:rPr>
        <w:tab/>
      </w:r>
    </w:p>
    <w:p w14:paraId="3D3FB684">
      <w:pPr>
        <w:spacing w:line="276" w:lineRule="auto"/>
        <w:ind w:firstLine="241" w:firstLineChars="100"/>
        <w:rPr>
          <w:rFonts w:ascii="宋体" w:hAnsi="宋体"/>
          <w:bCs/>
          <w:sz w:val="24"/>
        </w:rPr>
      </w:pPr>
      <w:r>
        <w:rPr>
          <w:rFonts w:hint="eastAsia" w:ascii="宋体" w:hAnsi="宋体"/>
          <w:b/>
          <w:sz w:val="24"/>
        </w:rPr>
        <w:t>注：1.投标人制作投标文件，应按照投标文件组成顺序制作，编好始末页码且在投标文件目录中一一列明并对应。</w:t>
      </w:r>
    </w:p>
    <w:p w14:paraId="70FB08D8">
      <w:pPr>
        <w:spacing w:line="276" w:lineRule="auto"/>
        <w:ind w:firstLine="420"/>
        <w:rPr>
          <w:b/>
        </w:rPr>
      </w:pPr>
      <w:r>
        <w:rPr>
          <w:rFonts w:hint="eastAsia" w:ascii="宋体" w:hAnsi="宋体"/>
          <w:b/>
          <w:sz w:val="24"/>
        </w:rPr>
        <w:t>2</w:t>
      </w:r>
      <w:r>
        <w:rPr>
          <w:rFonts w:ascii="宋体" w:hAnsi="宋体"/>
          <w:b/>
          <w:sz w:val="24"/>
        </w:rPr>
        <w:t>.</w:t>
      </w:r>
      <w:r>
        <w:rPr>
          <w:rFonts w:hint="eastAsia" w:ascii="宋体" w:hAnsi="宋体"/>
          <w:b/>
          <w:sz w:val="24"/>
        </w:rPr>
        <w:t>招标文件没有提供格式的，投标人可自行设置。</w:t>
      </w:r>
      <w:r>
        <w:rPr>
          <w:rFonts w:hint="eastAsia"/>
          <w:sz w:val="30"/>
          <w:szCs w:val="30"/>
        </w:rPr>
        <w:t xml:space="preserve"> </w:t>
      </w:r>
    </w:p>
    <w:p w14:paraId="712F9458">
      <w:pPr>
        <w:pStyle w:val="117"/>
        <w:spacing w:after="0"/>
        <w:ind w:left="0" w:leftChars="0" w:firstLine="3" w:firstLineChars="1"/>
        <w:jc w:val="center"/>
        <w:outlineLvl w:val="1"/>
        <w:rPr>
          <w:rFonts w:ascii="宋体" w:hAnsi="宋体"/>
          <w:b/>
          <w:sz w:val="28"/>
          <w:szCs w:val="28"/>
        </w:rPr>
      </w:pPr>
      <w:bookmarkStart w:id="212" w:name="_Toc17137"/>
      <w:bookmarkStart w:id="213" w:name="_Toc25801"/>
      <w:bookmarkStart w:id="214" w:name="_Toc3192"/>
      <w:r>
        <w:rPr>
          <w:b/>
          <w:sz w:val="30"/>
          <w:szCs w:val="30"/>
        </w:rPr>
        <w:br w:type="page"/>
      </w:r>
      <w:r>
        <w:rPr>
          <w:rFonts w:hint="eastAsia" w:ascii="宋体" w:hAnsi="宋体"/>
          <w:b/>
          <w:sz w:val="28"/>
          <w:szCs w:val="28"/>
        </w:rPr>
        <w:t>一、法定代表人资格证明书</w:t>
      </w:r>
      <w:bookmarkEnd w:id="212"/>
      <w:bookmarkEnd w:id="213"/>
      <w:bookmarkEnd w:id="214"/>
      <w:r>
        <w:rPr>
          <w:rFonts w:hint="eastAsia" w:ascii="宋体" w:hAnsi="宋体"/>
          <w:b/>
          <w:sz w:val="28"/>
          <w:szCs w:val="28"/>
        </w:rPr>
        <w:t>附件1-</w:t>
      </w:r>
      <w:r>
        <w:rPr>
          <w:rFonts w:ascii="宋体" w:hAnsi="宋体"/>
          <w:b/>
          <w:sz w:val="28"/>
          <w:szCs w:val="28"/>
        </w:rPr>
        <w:t>1</w:t>
      </w:r>
    </w:p>
    <w:p w14:paraId="2AA0FF25">
      <w:pPr>
        <w:spacing w:before="172" w:beforeLines="50" w:after="172" w:afterLines="50" w:line="360" w:lineRule="auto"/>
        <w:ind w:left="546" w:leftChars="260"/>
        <w:rPr>
          <w:rFonts w:ascii="宋体" w:hAnsi="宋体"/>
          <w:sz w:val="24"/>
          <w:u w:val="single"/>
        </w:rPr>
      </w:pPr>
      <w:r>
        <w:rPr>
          <w:rFonts w:hint="eastAsia" w:ascii="宋体" w:hAnsi="宋体"/>
          <w:sz w:val="24"/>
        </w:rPr>
        <w:t>单位名称：</w:t>
      </w:r>
    </w:p>
    <w:p w14:paraId="3DF7DAB3">
      <w:pPr>
        <w:spacing w:before="172" w:beforeLines="50" w:after="172" w:afterLines="50" w:line="360" w:lineRule="auto"/>
        <w:ind w:left="546" w:leftChars="260"/>
        <w:rPr>
          <w:rFonts w:ascii="宋体" w:hAnsi="宋体"/>
          <w:sz w:val="24"/>
          <w:u w:val="single"/>
        </w:rPr>
      </w:pPr>
      <w:r>
        <w:rPr>
          <w:rFonts w:hint="eastAsia" w:ascii="宋体" w:hAnsi="宋体"/>
          <w:sz w:val="24"/>
        </w:rPr>
        <w:t>单位性质：</w:t>
      </w:r>
    </w:p>
    <w:p w14:paraId="35A795F0">
      <w:pPr>
        <w:spacing w:before="172" w:beforeLines="50" w:after="172" w:afterLines="50" w:line="360" w:lineRule="auto"/>
        <w:ind w:left="546" w:leftChars="260"/>
        <w:rPr>
          <w:rFonts w:ascii="宋体" w:hAnsi="宋体"/>
          <w:sz w:val="24"/>
        </w:rPr>
      </w:pPr>
      <w:r>
        <w:rPr>
          <w:rFonts w:hint="eastAsia" w:ascii="宋体" w:hAnsi="宋体"/>
          <w:sz w:val="24"/>
        </w:rPr>
        <w:t>地址：</w:t>
      </w:r>
    </w:p>
    <w:p w14:paraId="471BF3C9">
      <w:pPr>
        <w:spacing w:before="172" w:beforeLines="50" w:after="172" w:afterLines="50" w:line="360" w:lineRule="auto"/>
        <w:ind w:left="546" w:leftChars="260"/>
        <w:rPr>
          <w:rFonts w:ascii="宋体" w:hAnsi="宋体"/>
          <w:sz w:val="24"/>
          <w:u w:val="single"/>
        </w:rPr>
      </w:pPr>
      <w:r>
        <w:rPr>
          <w:rFonts w:hint="eastAsia" w:ascii="宋体" w:hAnsi="宋体"/>
          <w:sz w:val="24"/>
        </w:rPr>
        <w:t>成立时间：</w:t>
      </w:r>
    </w:p>
    <w:p w14:paraId="19F6ADC0">
      <w:pPr>
        <w:spacing w:before="172" w:beforeLines="50" w:after="172" w:afterLines="50" w:line="360" w:lineRule="auto"/>
        <w:ind w:left="546" w:leftChars="260"/>
        <w:rPr>
          <w:rFonts w:ascii="宋体" w:hAnsi="宋体"/>
          <w:sz w:val="24"/>
        </w:rPr>
      </w:pPr>
      <w:r>
        <w:rPr>
          <w:rFonts w:hint="eastAsia" w:ascii="宋体" w:hAnsi="宋体"/>
          <w:sz w:val="24"/>
        </w:rPr>
        <w:t>经营期限：</w:t>
      </w:r>
    </w:p>
    <w:p w14:paraId="17728634">
      <w:pPr>
        <w:spacing w:before="172" w:beforeLines="50" w:after="172" w:afterLines="50" w:line="360" w:lineRule="auto"/>
        <w:ind w:left="546" w:leftChars="260"/>
        <w:rPr>
          <w:rFonts w:ascii="宋体" w:hAnsi="宋体"/>
          <w:sz w:val="24"/>
        </w:rPr>
      </w:pPr>
      <w:r>
        <w:rPr>
          <w:rFonts w:hint="eastAsia" w:ascii="宋体" w:hAnsi="宋体"/>
          <w:sz w:val="24"/>
        </w:rPr>
        <w:t>姓名：性别：年龄：职务：</w:t>
      </w:r>
    </w:p>
    <w:p w14:paraId="2408E468">
      <w:pPr>
        <w:spacing w:before="172" w:beforeLines="50" w:after="172" w:afterLines="50" w:line="360" w:lineRule="auto"/>
        <w:ind w:firstLine="480" w:firstLineChars="200"/>
        <w:rPr>
          <w:rFonts w:ascii="宋体" w:hAnsi="宋体"/>
          <w:sz w:val="24"/>
        </w:rPr>
      </w:pPr>
      <w:r>
        <w:rPr>
          <w:rFonts w:hint="eastAsia" w:ascii="宋体" w:hAnsi="宋体"/>
          <w:sz w:val="24"/>
        </w:rPr>
        <w:t>系</w:t>
      </w:r>
      <w:r>
        <w:rPr>
          <w:rFonts w:hint="eastAsia" w:ascii="宋体" w:hAnsi="宋体"/>
          <w:sz w:val="24"/>
          <w:u w:val="single"/>
        </w:rPr>
        <w:t>（投标人）</w:t>
      </w:r>
      <w:r>
        <w:rPr>
          <w:rFonts w:hint="eastAsia" w:ascii="宋体" w:hAnsi="宋体"/>
          <w:sz w:val="24"/>
        </w:rPr>
        <w:t>的法定代表人。</w:t>
      </w:r>
      <w:r>
        <w:rPr>
          <w:rFonts w:hint="eastAsia" w:ascii="宋体" w:hAnsi="宋体"/>
          <w:sz w:val="24"/>
        </w:rPr>
        <w:cr/>
      </w:r>
    </w:p>
    <w:p w14:paraId="5E626D9B">
      <w:pPr>
        <w:spacing w:before="172" w:beforeLines="50" w:after="172" w:afterLines="50" w:line="360" w:lineRule="auto"/>
        <w:ind w:firstLine="480" w:firstLineChars="200"/>
        <w:rPr>
          <w:rFonts w:ascii="宋体" w:hAnsi="宋体"/>
          <w:sz w:val="24"/>
        </w:rPr>
      </w:pPr>
      <w:r>
        <w:rPr>
          <w:rFonts w:hint="eastAsia" w:ascii="宋体" w:hAnsi="宋体"/>
          <w:sz w:val="24"/>
        </w:rPr>
        <w:t>特此证明。</w:t>
      </w:r>
    </w:p>
    <w:p w14:paraId="778F930D">
      <w:pPr>
        <w:spacing w:before="172" w:beforeLines="50" w:after="172" w:afterLines="50" w:line="360" w:lineRule="auto"/>
        <w:ind w:firstLine="480" w:firstLineChars="200"/>
        <w:rPr>
          <w:rFonts w:ascii="宋体" w:hAnsi="宋体"/>
          <w:sz w:val="24"/>
        </w:rPr>
      </w:pPr>
      <w:r>
        <w:rPr>
          <w:rFonts w:hint="eastAsia" w:ascii="宋体" w:hAnsi="宋体"/>
          <w:sz w:val="24"/>
        </w:rPr>
        <w:t>（附法定代表人身份证复印件）</w:t>
      </w:r>
    </w:p>
    <w:p w14:paraId="7BDBB514">
      <w:pPr>
        <w:spacing w:before="172" w:beforeLines="50" w:after="172" w:afterLines="50" w:line="360" w:lineRule="auto"/>
        <w:ind w:firstLine="480" w:firstLineChars="200"/>
        <w:rPr>
          <w:rFonts w:ascii="宋体" w:hAnsi="宋体"/>
          <w:sz w:val="24"/>
        </w:rPr>
      </w:pPr>
    </w:p>
    <w:p w14:paraId="6DD67AED">
      <w:pPr>
        <w:spacing w:before="172" w:beforeLines="50" w:after="172" w:afterLines="50" w:line="360" w:lineRule="auto"/>
        <w:ind w:firstLine="480" w:firstLineChars="200"/>
        <w:rPr>
          <w:rFonts w:ascii="宋体" w:hAnsi="宋体"/>
          <w:sz w:val="24"/>
        </w:rPr>
      </w:pPr>
      <w:r>
        <w:rPr>
          <w:rFonts w:hint="eastAsia" w:ascii="宋体" w:hAnsi="宋体"/>
          <w:sz w:val="24"/>
        </w:rPr>
        <w:t>投标人签章：[投标人签章]</w:t>
      </w:r>
    </w:p>
    <w:p w14:paraId="182A584F">
      <w:pPr>
        <w:spacing w:before="172" w:beforeLines="50" w:after="172" w:afterLines="50" w:line="360" w:lineRule="auto"/>
        <w:ind w:firstLine="496" w:firstLineChars="200"/>
        <w:rPr>
          <w:rFonts w:ascii="宋体" w:hAnsi="宋体"/>
          <w:sz w:val="24"/>
        </w:rPr>
      </w:pPr>
      <w:r>
        <w:rPr>
          <w:rFonts w:hint="eastAsia" w:ascii="宋体" w:hAnsi="宋体"/>
          <w:spacing w:val="4"/>
          <w:sz w:val="24"/>
        </w:rPr>
        <w:t xml:space="preserve">日期：  </w:t>
      </w:r>
      <w:r>
        <w:rPr>
          <w:rFonts w:hint="eastAsia" w:ascii="宋体" w:hAnsi="宋体"/>
          <w:sz w:val="24"/>
        </w:rPr>
        <w:t>年   月  日</w:t>
      </w:r>
    </w:p>
    <w:p w14:paraId="64DC1E4F">
      <w:pPr>
        <w:pStyle w:val="117"/>
        <w:spacing w:after="0"/>
        <w:ind w:left="0" w:leftChars="0" w:firstLine="3" w:firstLineChars="1"/>
        <w:jc w:val="center"/>
        <w:outlineLvl w:val="1"/>
        <w:rPr>
          <w:rFonts w:ascii="宋体" w:hAnsi="宋体"/>
          <w:b/>
          <w:sz w:val="28"/>
          <w:szCs w:val="28"/>
        </w:rPr>
      </w:pPr>
      <w:r>
        <w:rPr>
          <w:b/>
          <w:sz w:val="30"/>
          <w:szCs w:val="30"/>
        </w:rPr>
        <w:br w:type="page"/>
      </w:r>
      <w:bookmarkStart w:id="215" w:name="_Toc26741"/>
      <w:bookmarkStart w:id="216" w:name="_Toc27720"/>
      <w:bookmarkStart w:id="217" w:name="_Toc12725"/>
      <w:r>
        <w:rPr>
          <w:rFonts w:hint="eastAsia" w:ascii="宋体" w:hAnsi="宋体"/>
          <w:b/>
          <w:sz w:val="28"/>
          <w:szCs w:val="28"/>
        </w:rPr>
        <w:t>二、投标人代表身份证明</w:t>
      </w:r>
    </w:p>
    <w:p w14:paraId="65EDCEFE">
      <w:pPr>
        <w:spacing w:line="440" w:lineRule="exact"/>
        <w:jc w:val="center"/>
        <w:rPr>
          <w:b/>
          <w:sz w:val="32"/>
          <w:szCs w:val="32"/>
        </w:rPr>
      </w:pPr>
      <w:r>
        <w:rPr>
          <w:rFonts w:hint="eastAsia"/>
          <w:b/>
          <w:sz w:val="32"/>
          <w:szCs w:val="32"/>
        </w:rPr>
        <w:t>法定代表人授权委托书</w:t>
      </w:r>
      <w:bookmarkEnd w:id="215"/>
      <w:bookmarkEnd w:id="216"/>
      <w:bookmarkEnd w:id="217"/>
      <w:r>
        <w:rPr>
          <w:rFonts w:hint="eastAsia"/>
          <w:b/>
          <w:sz w:val="30"/>
          <w:szCs w:val="30"/>
        </w:rPr>
        <w:t>附件1-</w:t>
      </w:r>
      <w:r>
        <w:rPr>
          <w:b/>
          <w:sz w:val="30"/>
          <w:szCs w:val="30"/>
        </w:rPr>
        <w:t>2</w:t>
      </w:r>
    </w:p>
    <w:p w14:paraId="01C8E377">
      <w:pPr>
        <w:spacing w:line="440" w:lineRule="exact"/>
        <w:jc w:val="center"/>
        <w:rPr>
          <w:b/>
          <w:sz w:val="32"/>
          <w:szCs w:val="32"/>
        </w:rPr>
      </w:pPr>
    </w:p>
    <w:p w14:paraId="5A3F7417">
      <w:pPr>
        <w:autoSpaceDE w:val="0"/>
        <w:autoSpaceDN w:val="0"/>
        <w:adjustRightInd w:val="0"/>
        <w:spacing w:line="440" w:lineRule="exact"/>
        <w:ind w:firstLine="422"/>
        <w:rPr>
          <w:rFonts w:ascii="宋体" w:hAnsi="宋体"/>
          <w:sz w:val="24"/>
        </w:rPr>
      </w:pPr>
      <w:r>
        <w:rPr>
          <w:rFonts w:hint="eastAsia" w:ascii="宋体" w:hAnsi="宋体"/>
          <w:sz w:val="24"/>
        </w:rPr>
        <w:t>本授权声明：注册于中华人民共和国的</w:t>
      </w:r>
      <w:r>
        <w:rPr>
          <w:rFonts w:hint="eastAsia" w:ascii="宋体" w:hAnsi="宋体"/>
          <w:sz w:val="24"/>
          <w:u w:val="single"/>
        </w:rPr>
        <w:t>（投标人名称、住址）</w:t>
      </w:r>
      <w:r>
        <w:rPr>
          <w:rFonts w:hint="eastAsia" w:ascii="宋体" w:hAnsi="宋体"/>
          <w:sz w:val="24"/>
        </w:rPr>
        <w:t>的法人代表</w:t>
      </w:r>
      <w:r>
        <w:rPr>
          <w:rFonts w:hint="eastAsia" w:ascii="宋体" w:hAnsi="宋体"/>
          <w:sz w:val="24"/>
          <w:u w:val="single"/>
        </w:rPr>
        <w:t>（法定代表人姓名）</w:t>
      </w:r>
      <w:r>
        <w:rPr>
          <w:rFonts w:hint="eastAsia" w:ascii="宋体" w:hAnsi="宋体"/>
          <w:sz w:val="24"/>
        </w:rPr>
        <w:t>代表本公司授权在下面签字的</w:t>
      </w:r>
      <w:r>
        <w:rPr>
          <w:rFonts w:hint="eastAsia" w:ascii="宋体" w:hAnsi="宋体"/>
          <w:sz w:val="24"/>
          <w:u w:val="single"/>
        </w:rPr>
        <w:t>（授权代表姓名）</w:t>
      </w:r>
      <w:r>
        <w:rPr>
          <w:rFonts w:hint="eastAsia" w:ascii="宋体" w:hAnsi="宋体"/>
          <w:sz w:val="24"/>
        </w:rPr>
        <w:t>为本公司的合法代理人，就此次</w:t>
      </w:r>
      <w:r>
        <w:rPr>
          <w:rFonts w:hint="eastAsia" w:ascii="宋体" w:hAnsi="宋体"/>
          <w:sz w:val="24"/>
          <w:u w:val="single"/>
        </w:rPr>
        <w:t xml:space="preserve">   项目名称  </w:t>
      </w:r>
      <w:r>
        <w:rPr>
          <w:rFonts w:hint="eastAsia" w:ascii="宋体" w:hAnsi="宋体"/>
          <w:sz w:val="24"/>
        </w:rPr>
        <w:t>项目，项目编号为（</w:t>
      </w:r>
      <w:r>
        <w:rPr>
          <w:rFonts w:hint="eastAsia" w:ascii="宋体" w:hAnsi="宋体"/>
          <w:sz w:val="24"/>
          <w:u w:val="single"/>
        </w:rPr>
        <w:t xml:space="preserve">                </w:t>
      </w:r>
      <w:r>
        <w:rPr>
          <w:rFonts w:hint="eastAsia" w:ascii="宋体" w:hAnsi="宋体"/>
          <w:sz w:val="24"/>
        </w:rPr>
        <w:t>）的投标及相关事务代表本公司处理与之有关的一切事务。</w:t>
      </w:r>
    </w:p>
    <w:p w14:paraId="6D2DB3C7">
      <w:pPr>
        <w:autoSpaceDE w:val="0"/>
        <w:autoSpaceDN w:val="0"/>
        <w:adjustRightInd w:val="0"/>
        <w:spacing w:line="440" w:lineRule="exact"/>
        <w:ind w:firstLine="420" w:firstLineChars="175"/>
        <w:rPr>
          <w:rFonts w:ascii="宋体" w:hAnsi="宋体"/>
          <w:sz w:val="24"/>
        </w:rPr>
      </w:pPr>
      <w:r>
        <w:rPr>
          <w:rFonts w:hint="eastAsia" w:ascii="宋体" w:hAnsi="宋体"/>
          <w:sz w:val="24"/>
        </w:rPr>
        <w:t>本授权书于</w:t>
      </w:r>
      <w:r>
        <w:rPr>
          <w:rFonts w:hint="eastAsia" w:ascii="宋体" w:hAnsi="宋体"/>
          <w:sz w:val="24"/>
          <w:u w:val="single"/>
        </w:rPr>
        <w:t>年月日</w:t>
      </w:r>
      <w:r>
        <w:rPr>
          <w:rFonts w:hint="eastAsia" w:ascii="宋体" w:hAnsi="宋体"/>
          <w:sz w:val="24"/>
        </w:rPr>
        <w:t>签字生效，特此声明。</w:t>
      </w:r>
    </w:p>
    <w:p w14:paraId="0320D419">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法定代表人签字或盖章：</w:t>
      </w:r>
    </w:p>
    <w:p w14:paraId="7916F8E1">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授权代表签字或盖章：</w:t>
      </w:r>
    </w:p>
    <w:p w14:paraId="70B9362C">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单位名称：</w:t>
      </w:r>
    </w:p>
    <w:p w14:paraId="135C2398">
      <w:pPr>
        <w:spacing w:line="440" w:lineRule="exact"/>
        <w:ind w:firstLine="480"/>
        <w:rPr>
          <w:rFonts w:ascii="宋体" w:hAnsi="宋体"/>
          <w:sz w:val="24"/>
        </w:rPr>
      </w:pPr>
      <w:r>
        <w:rPr>
          <w:rFonts w:hint="eastAsia" w:ascii="宋体" w:hAnsi="宋体"/>
          <w:sz w:val="24"/>
        </w:rPr>
        <w:t>授权日期：</w:t>
      </w:r>
      <w:r>
        <w:rPr>
          <w:rFonts w:ascii="宋体" w:hAnsi="宋体"/>
          <w:sz w:val="24"/>
        </w:rPr>
        <w:t>20</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w:t>
      </w:r>
    </w:p>
    <w:p w14:paraId="725F8BE2">
      <w:pPr>
        <w:spacing w:line="440" w:lineRule="exact"/>
        <w:ind w:firstLine="480"/>
        <w:rPr>
          <w:rFonts w:ascii="宋体" w:hAnsi="宋体"/>
          <w:sz w:val="24"/>
        </w:rPr>
      </w:pPr>
    </w:p>
    <w:p w14:paraId="0FBBF8F2">
      <w:pPr>
        <w:spacing w:line="440" w:lineRule="exact"/>
        <w:ind w:firstLine="6240" w:firstLineChars="2600"/>
        <w:rPr>
          <w:rFonts w:ascii="宋体" w:hAnsi="宋体"/>
          <w:sz w:val="24"/>
        </w:rPr>
      </w:pPr>
      <w:r>
        <w:rPr>
          <w:rFonts w:hint="eastAsia" w:ascii="宋体" w:hAnsi="宋体"/>
          <w:sz w:val="24"/>
        </w:rPr>
        <w:t>（单位签章）</w:t>
      </w:r>
    </w:p>
    <w:p w14:paraId="5B7B8BC6">
      <w:pPr>
        <w:spacing w:line="440" w:lineRule="exact"/>
        <w:ind w:firstLine="6360" w:firstLineChars="2650"/>
        <w:rPr>
          <w:rFonts w:ascii="宋体" w:hAnsi="宋体"/>
          <w:sz w:val="24"/>
        </w:rPr>
      </w:pPr>
      <w:r>
        <w:rPr>
          <w:rFonts w:ascii="宋体" w:hAnsi="宋体"/>
          <w:sz w:val="24"/>
        </w:rPr>
        <w:t>20</w:t>
      </w:r>
      <w:r>
        <w:rPr>
          <w:rFonts w:hint="eastAsia" w:ascii="宋体" w:hAnsi="宋体"/>
          <w:sz w:val="24"/>
        </w:rPr>
        <w:t xml:space="preserve">    年    月   日</w:t>
      </w:r>
    </w:p>
    <w:p w14:paraId="2F9ECCAB">
      <w:pPr>
        <w:spacing w:line="440" w:lineRule="exact"/>
        <w:ind w:firstLine="422" w:firstLineChars="200"/>
        <w:rPr>
          <w:b/>
          <w:em w:val="dot"/>
        </w:rPr>
      </w:pPr>
    </w:p>
    <w:p w14:paraId="0F785EB2">
      <w:pPr>
        <w:spacing w:line="440" w:lineRule="exact"/>
        <w:rPr>
          <w:b/>
          <w:em w:val="dot"/>
        </w:rPr>
      </w:pPr>
    </w:p>
    <w:p w14:paraId="23E2AB8E">
      <w:pPr>
        <w:spacing w:line="440" w:lineRule="exact"/>
        <w:rPr>
          <w:b/>
          <w:em w:val="dot"/>
        </w:rPr>
      </w:pPr>
      <w:permStart w:id="0" w:edGrp="everyone"/>
      <w:permEnd w:id="0"/>
      <w: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106045</wp:posOffset>
                </wp:positionV>
                <wp:extent cx="5534660" cy="1584960"/>
                <wp:effectExtent l="4445" t="4445" r="825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5A57BD7A">
                            <w:pPr>
                              <w:jc w:val="center"/>
                            </w:pPr>
                            <w:permStart w:id="1" w:edGrp="everyone"/>
                            <w:permEnd w:id="1"/>
                          </w:p>
                          <w:p w14:paraId="45E33B31">
                            <w:pPr>
                              <w:jc w:val="center"/>
                              <w:rPr>
                                <w:b/>
                              </w:rPr>
                            </w:pPr>
                          </w:p>
                          <w:p w14:paraId="33E4270B">
                            <w:pPr>
                              <w:jc w:val="center"/>
                              <w:rPr>
                                <w:b/>
                              </w:rPr>
                            </w:pPr>
                          </w:p>
                          <w:p w14:paraId="00C7DB41">
                            <w:pPr>
                              <w:jc w:val="center"/>
                              <w:rPr>
                                <w:b/>
                              </w:rPr>
                            </w:pPr>
                            <w:r>
                              <w:rPr>
                                <w:rFonts w:hint="eastAsia"/>
                                <w:b/>
                              </w:rPr>
                              <w:t>此处附</w:t>
                            </w:r>
                            <w:r>
                              <w:rPr>
                                <w:rFonts w:hint="eastAsia"/>
                                <w:b/>
                                <w:em w:val="dot"/>
                              </w:rPr>
                              <w:t>法定代表人</w:t>
                            </w:r>
                            <w:r>
                              <w:rPr>
                                <w:rFonts w:hint="eastAsia"/>
                                <w:b/>
                              </w:rPr>
                              <w:t>身份证复印件正反面</w:t>
                            </w:r>
                          </w:p>
                          <w:p w14:paraId="6ECBE409">
                            <w:pPr>
                              <w:pStyle w:val="4"/>
                            </w:pPr>
                          </w:p>
                        </w:txbxContent>
                      </wps:txbx>
                      <wps:bodyPr upright="1"/>
                    </wps:wsp>
                  </a:graphicData>
                </a:graphic>
              </wp:anchor>
            </w:drawing>
          </mc:Choice>
          <mc:Fallback>
            <w:pict>
              <v:shape id="Text Box 7" o:spid="_x0000_s1026" o:spt="202" type="#_x0000_t202" style="position:absolute;left:0pt;margin-left:2.5pt;margin-top:8.35pt;height:124.8pt;width:435.8pt;z-index:251659264;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bV3mPXAAAACAEAAA8AAAAAAAAAAQAgAAAAIgAAAGRycy9kb3ducmV2&#10;LnhtbFBLAQIUABQAAAAIAIdO4kDJ1AD3/QEAADcEAAAOAAAAAAAAAAEAIAAAACYBAABkcnMvZTJv&#10;RG9jLnhtbFBLBQYAAAAABgAGAFkBAACVBQAAAAA=&#10;">
                <v:fill on="t" focussize="0,0"/>
                <v:stroke color="#000000" joinstyle="miter" dashstyle="1 1"/>
                <v:imagedata o:title=""/>
                <o:lock v:ext="edit" aspectratio="f"/>
                <v:textbox>
                  <w:txbxContent>
                    <w:p w14:paraId="5A57BD7A">
                      <w:pPr>
                        <w:jc w:val="center"/>
                      </w:pPr>
                      <w:permStart w:id="1" w:edGrp="everyone"/>
                      <w:permEnd w:id="1"/>
                    </w:p>
                    <w:p w14:paraId="45E33B31">
                      <w:pPr>
                        <w:jc w:val="center"/>
                        <w:rPr>
                          <w:b/>
                        </w:rPr>
                      </w:pPr>
                    </w:p>
                    <w:p w14:paraId="33E4270B">
                      <w:pPr>
                        <w:jc w:val="center"/>
                        <w:rPr>
                          <w:b/>
                        </w:rPr>
                      </w:pPr>
                    </w:p>
                    <w:p w14:paraId="00C7DB41">
                      <w:pPr>
                        <w:jc w:val="center"/>
                        <w:rPr>
                          <w:b/>
                        </w:rPr>
                      </w:pPr>
                      <w:r>
                        <w:rPr>
                          <w:rFonts w:hint="eastAsia"/>
                          <w:b/>
                        </w:rPr>
                        <w:t>此处附</w:t>
                      </w:r>
                      <w:r>
                        <w:rPr>
                          <w:rFonts w:hint="eastAsia"/>
                          <w:b/>
                          <w:em w:val="dot"/>
                        </w:rPr>
                        <w:t>法定代表人</w:t>
                      </w:r>
                      <w:r>
                        <w:rPr>
                          <w:rFonts w:hint="eastAsia"/>
                          <w:b/>
                        </w:rPr>
                        <w:t>身份证复印件正反面</w:t>
                      </w:r>
                    </w:p>
                    <w:p w14:paraId="6ECBE409">
                      <w:pPr>
                        <w:pStyle w:val="4"/>
                      </w:pPr>
                    </w:p>
                  </w:txbxContent>
                </v:textbox>
              </v:shape>
            </w:pict>
          </mc:Fallback>
        </mc:AlternateContent>
      </w:r>
    </w:p>
    <w:p w14:paraId="71575ADB">
      <w:pPr>
        <w:spacing w:line="440" w:lineRule="exact"/>
        <w:rPr>
          <w:b/>
          <w:em w:val="dot"/>
        </w:rPr>
      </w:pPr>
    </w:p>
    <w:p w14:paraId="73A35E71">
      <w:pPr>
        <w:spacing w:line="440" w:lineRule="exact"/>
        <w:rPr>
          <w:b/>
        </w:rPr>
      </w:pPr>
    </w:p>
    <w:p w14:paraId="2B4430BB">
      <w:pPr>
        <w:spacing w:line="440" w:lineRule="exact"/>
        <w:rPr>
          <w:b/>
        </w:rPr>
      </w:pPr>
    </w:p>
    <w:p w14:paraId="77AA9E4D">
      <w:pPr>
        <w:spacing w:line="440" w:lineRule="exact"/>
        <w:rPr>
          <w:b/>
          <w:sz w:val="30"/>
          <w:szCs w:val="30"/>
        </w:rPr>
      </w:pPr>
    </w:p>
    <w:p w14:paraId="796AE9F7">
      <w:pPr>
        <w:spacing w:line="440" w:lineRule="exact"/>
        <w:jc w:val="center"/>
        <w:rPr>
          <w:b/>
          <w:sz w:val="30"/>
          <w:szCs w:val="30"/>
        </w:rPr>
      </w:pPr>
    </w:p>
    <w:p w14:paraId="3C60D664">
      <w:pPr>
        <w:spacing w:line="276" w:lineRule="auto"/>
        <w:rPr>
          <w:rFonts w:ascii="宋体" w:hAnsi="宋体"/>
          <w:sz w:val="24"/>
        </w:rPr>
      </w:pPr>
      <w: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181610</wp:posOffset>
                </wp:positionV>
                <wp:extent cx="5572760" cy="1584960"/>
                <wp:effectExtent l="4445" t="4445" r="1587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0A666F95">
                            <w:permStart w:id="2" w:edGrp="everyone"/>
                            <w:permEnd w:id="2"/>
                          </w:p>
                          <w:p w14:paraId="31D91643"/>
                          <w:p w14:paraId="326EBC32">
                            <w:pPr>
                              <w:jc w:val="center"/>
                              <w:rPr>
                                <w:b/>
                              </w:rPr>
                            </w:pPr>
                            <w:r>
                              <w:rPr>
                                <w:rFonts w:hint="eastAsia"/>
                                <w:b/>
                              </w:rPr>
                              <w:t>此处附被授权人身份证复印件正反面</w:t>
                            </w:r>
                          </w:p>
                          <w:p w14:paraId="2920F1BD"/>
                        </w:txbxContent>
                      </wps:txbx>
                      <wps:bodyPr upright="1"/>
                    </wps:wsp>
                  </a:graphicData>
                </a:graphic>
              </wp:anchor>
            </w:drawing>
          </mc:Choice>
          <mc:Fallback>
            <w:pict>
              <v:shape id="Text Box 6" o:spid="_x0000_s1026" o:spt="202" type="#_x0000_t202" style="position:absolute;left:0pt;margin-left:-0.5pt;margin-top:14.3pt;height:124.8pt;width:438.8pt;z-index:251660288;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8h7v1wAAAAkBAAAPAAAAAAAAAAEAIAAAACIAAABkcnMvZG93bnJl&#10;di54bWxQSwECFAAUAAAACACHTuJA/uO03/4BAAA3BAAADgAAAAAAAAABACAAAAAmAQAAZHJzL2Uy&#10;b0RvYy54bWxQSwUGAAAAAAYABgBZAQAAlgUAAAAA&#10;">
                <v:fill on="t" focussize="0,0"/>
                <v:stroke color="#000000" joinstyle="miter" dashstyle="1 1"/>
                <v:imagedata o:title=""/>
                <o:lock v:ext="edit" aspectratio="f"/>
                <v:textbox>
                  <w:txbxContent>
                    <w:p w14:paraId="0A666F95">
                      <w:permStart w:id="2" w:edGrp="everyone"/>
                      <w:permEnd w:id="2"/>
                    </w:p>
                    <w:p w14:paraId="31D91643"/>
                    <w:p w14:paraId="326EBC32">
                      <w:pPr>
                        <w:jc w:val="center"/>
                        <w:rPr>
                          <w:b/>
                        </w:rPr>
                      </w:pPr>
                      <w:r>
                        <w:rPr>
                          <w:rFonts w:hint="eastAsia"/>
                          <w:b/>
                        </w:rPr>
                        <w:t>此处附被授权人身份证复印件正反面</w:t>
                      </w:r>
                    </w:p>
                    <w:p w14:paraId="2920F1BD"/>
                  </w:txbxContent>
                </v:textbox>
              </v:shape>
            </w:pict>
          </mc:Fallback>
        </mc:AlternateContent>
      </w:r>
    </w:p>
    <w:p w14:paraId="240EB4B0">
      <w:pPr>
        <w:pStyle w:val="3"/>
        <w:keepNext w:val="0"/>
        <w:keepLines w:val="0"/>
        <w:widowControl/>
        <w:shd w:val="clear" w:color="auto" w:fill="FFFFFF"/>
        <w:tabs>
          <w:tab w:val="left" w:pos="576"/>
          <w:tab w:val="left" w:pos="1296"/>
        </w:tabs>
        <w:spacing w:before="0" w:after="150"/>
        <w:jc w:val="center"/>
        <w:rPr>
          <w:b w:val="0"/>
          <w:sz w:val="30"/>
          <w:szCs w:val="30"/>
        </w:rPr>
        <w:sectPr>
          <w:pgSz w:w="11906" w:h="16838"/>
          <w:pgMar w:top="1134" w:right="1134" w:bottom="1134" w:left="1134" w:header="851" w:footer="992" w:gutter="0"/>
          <w:cols w:space="720" w:num="1"/>
          <w:docGrid w:type="lines" w:linePitch="344" w:charSpace="0"/>
        </w:sectPr>
      </w:pPr>
    </w:p>
    <w:p w14:paraId="27E25C81">
      <w:pPr>
        <w:pStyle w:val="117"/>
        <w:spacing w:after="0"/>
        <w:ind w:left="0" w:leftChars="0" w:firstLine="0" w:firstLineChars="0"/>
        <w:jc w:val="center"/>
        <w:outlineLvl w:val="1"/>
        <w:rPr>
          <w:rFonts w:ascii="宋体" w:hAnsi="宋体"/>
          <w:b/>
          <w:sz w:val="28"/>
          <w:szCs w:val="28"/>
        </w:rPr>
      </w:pPr>
      <w:r>
        <w:rPr>
          <w:rFonts w:hint="eastAsia" w:ascii="宋体" w:hAnsi="宋体"/>
          <w:b/>
          <w:sz w:val="28"/>
          <w:szCs w:val="28"/>
        </w:rPr>
        <w:t>三、提供符合政府采购政策的证明材料</w:t>
      </w:r>
    </w:p>
    <w:p w14:paraId="36B63AE1">
      <w:pPr>
        <w:spacing w:line="440" w:lineRule="exact"/>
        <w:jc w:val="center"/>
        <w:rPr>
          <w:rFonts w:ascii="宋体" w:hAnsi="宋体"/>
          <w:kern w:val="0"/>
          <w:sz w:val="24"/>
        </w:rPr>
      </w:pPr>
      <w:r>
        <w:rPr>
          <w:rFonts w:hint="eastAsia" w:ascii="宋体" w:hAnsi="宋体" w:cs="宋体"/>
          <w:b/>
          <w:kern w:val="0"/>
          <w:sz w:val="28"/>
          <w:szCs w:val="32"/>
        </w:rPr>
        <w:t>1中小微企业声明函</w:t>
      </w:r>
      <w:r>
        <w:rPr>
          <w:rFonts w:hint="eastAsia" w:ascii="宋体" w:hAnsi="宋体"/>
          <w:b/>
          <w:sz w:val="28"/>
          <w:szCs w:val="30"/>
        </w:rPr>
        <w:t>附件1-4-1</w:t>
      </w:r>
    </w:p>
    <w:p w14:paraId="435C3F8E">
      <w:pPr>
        <w:widowControl/>
        <w:jc w:val="center"/>
        <w:rPr>
          <w:rFonts w:ascii="宋体" w:hAnsi="宋体" w:cs="宋体"/>
          <w:kern w:val="0"/>
          <w:sz w:val="28"/>
          <w:szCs w:val="28"/>
        </w:rPr>
      </w:pPr>
      <w:r>
        <w:rPr>
          <w:rFonts w:ascii="宋体" w:hAnsi="宋体" w:cs="宋体"/>
          <w:kern w:val="0"/>
          <w:sz w:val="28"/>
          <w:szCs w:val="28"/>
        </w:rPr>
        <w:t>中小企业声明函（货物）</w:t>
      </w:r>
    </w:p>
    <w:p w14:paraId="05B9AAD7">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本公司（联合体） 郑重声明， 根据《政府采购促进中小企业发展管理办法》（财库﹝ 2020﹞ 46 号） 的规定， 本公司（联合体） 参加</w:t>
      </w:r>
      <w:r>
        <w:rPr>
          <w:rFonts w:ascii="宋体" w:hAnsi="宋体" w:cs="宋体"/>
          <w:kern w:val="0"/>
          <w:sz w:val="24"/>
          <w:szCs w:val="24"/>
          <w:u w:val="single"/>
        </w:rPr>
        <w:t>（单位名称）</w:t>
      </w:r>
      <w:r>
        <w:rPr>
          <w:rFonts w:ascii="宋体" w:hAnsi="宋体" w:cs="宋体"/>
          <w:kern w:val="0"/>
          <w:sz w:val="24"/>
          <w:szCs w:val="24"/>
        </w:rPr>
        <w:t xml:space="preserve"> 的</w:t>
      </w:r>
      <w:r>
        <w:rPr>
          <w:rFonts w:ascii="宋体" w:hAnsi="宋体" w:cs="宋体"/>
          <w:kern w:val="0"/>
          <w:sz w:val="24"/>
          <w:szCs w:val="24"/>
          <w:u w:val="single"/>
        </w:rPr>
        <w:t>（项目名称）</w:t>
      </w:r>
      <w:r>
        <w:rPr>
          <w:rFonts w:ascii="宋体" w:hAnsi="宋体" w:cs="宋体"/>
          <w:kern w:val="0"/>
          <w:sz w:val="24"/>
          <w:szCs w:val="24"/>
        </w:rPr>
        <w:t xml:space="preserve"> 采购活动， 提供的货物全部由符合政策要求的中小企业制造。 相关企业（含联合体中的中小企业、 签订分包意向协议的中小企业）的具体情况如下：</w:t>
      </w:r>
    </w:p>
    <w:p w14:paraId="5F2B4F03">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1.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（采购文件中明确的所属行业）行业</w:t>
      </w:r>
      <w:r>
        <w:rPr>
          <w:rFonts w:ascii="宋体" w:hAnsi="宋体" w:cs="宋体"/>
          <w:kern w:val="0"/>
          <w:sz w:val="24"/>
          <w:szCs w:val="24"/>
        </w:rPr>
        <w:t>； 制造商为</w:t>
      </w:r>
      <w:r>
        <w:rPr>
          <w:rFonts w:ascii="宋体" w:hAnsi="宋体" w:cs="宋体"/>
          <w:kern w:val="0"/>
          <w:sz w:val="24"/>
          <w:szCs w:val="24"/>
          <w:u w:val="single"/>
        </w:rPr>
        <w:t>（ 企业名称）</w:t>
      </w:r>
      <w:r>
        <w:rPr>
          <w:rFonts w:ascii="宋体" w:hAnsi="宋体" w:cs="宋体"/>
          <w:kern w:val="0"/>
          <w:sz w:val="24"/>
          <w:szCs w:val="24"/>
        </w:rPr>
        <w:t>， 从业人员</w:t>
      </w:r>
      <w:r>
        <w:rPr>
          <w:rFonts w:hint="eastAsia" w:ascii="宋体" w:hAnsi="宋体" w:cs="宋体"/>
          <w:kern w:val="0"/>
          <w:sz w:val="24"/>
          <w:szCs w:val="24"/>
          <w:u w:val="single"/>
        </w:rPr>
        <w:t xml:space="preserve">      </w:t>
      </w:r>
      <w:r>
        <w:rPr>
          <w:rFonts w:ascii="宋体" w:hAnsi="宋体" w:cs="宋体"/>
          <w:kern w:val="0"/>
          <w:sz w:val="24"/>
          <w:szCs w:val="24"/>
        </w:rPr>
        <w:t>人， 营业收入为</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hint="eastAsia" w:ascii="宋体" w:hAnsi="宋体" w:cs="宋体"/>
          <w:kern w:val="0"/>
          <w:sz w:val="24"/>
          <w:szCs w:val="24"/>
          <w:u w:val="single"/>
        </w:rPr>
        <w:t xml:space="preserve">      </w:t>
      </w:r>
      <w:r>
        <w:rPr>
          <w:rFonts w:ascii="宋体" w:hAnsi="宋体" w:cs="宋体"/>
          <w:kern w:val="0"/>
          <w:sz w:val="24"/>
          <w:szCs w:val="24"/>
        </w:rPr>
        <w:t>万元</w:t>
      </w:r>
      <w:r>
        <w:rPr>
          <w:rFonts w:ascii="宋体" w:hAnsi="宋体" w:cs="宋体"/>
          <w:kern w:val="0"/>
          <w:sz w:val="24"/>
          <w:szCs w:val="24"/>
          <w:vertAlign w:val="superscript"/>
        </w:rPr>
        <w:t>1</w:t>
      </w:r>
      <w:r>
        <w:rPr>
          <w:rFonts w:ascii="宋体" w:hAnsi="宋体" w:cs="宋体"/>
          <w:kern w:val="0"/>
          <w:sz w:val="24"/>
          <w:szCs w:val="24"/>
        </w:rPr>
        <w:t>， 属于（</w:t>
      </w:r>
      <w:r>
        <w:rPr>
          <w:rFonts w:ascii="宋体" w:hAnsi="宋体" w:cs="宋体"/>
          <w:kern w:val="0"/>
          <w:sz w:val="24"/>
          <w:szCs w:val="24"/>
          <w:u w:val="single"/>
        </w:rPr>
        <w:t>中型企业、 小型企业、 微型企业</w:t>
      </w:r>
      <w:r>
        <w:rPr>
          <w:rFonts w:ascii="宋体" w:hAnsi="宋体" w:cs="宋体"/>
          <w:kern w:val="0"/>
          <w:sz w:val="24"/>
          <w:szCs w:val="24"/>
        </w:rPr>
        <w:t>）；</w:t>
      </w:r>
    </w:p>
    <w:p w14:paraId="3E4FF881">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2.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w:t>
      </w:r>
      <w:r>
        <w:rPr>
          <w:rFonts w:ascii="宋体" w:hAnsi="宋体" w:cs="宋体"/>
          <w:kern w:val="0"/>
          <w:sz w:val="24"/>
          <w:szCs w:val="24"/>
        </w:rPr>
        <w:t>行业； 制造商为</w:t>
      </w:r>
      <w:r>
        <w:rPr>
          <w:rFonts w:ascii="宋体" w:hAnsi="宋体" w:cs="宋体"/>
          <w:kern w:val="0"/>
          <w:sz w:val="24"/>
          <w:szCs w:val="24"/>
          <w:u w:val="single"/>
        </w:rPr>
        <w:t>（ 企业名称）</w:t>
      </w:r>
      <w:r>
        <w:rPr>
          <w:rFonts w:ascii="宋体" w:hAnsi="宋体" w:cs="宋体"/>
          <w:kern w:val="0"/>
          <w:sz w:val="24"/>
          <w:szCs w:val="24"/>
        </w:rPr>
        <w:t>， 从业人员</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人， 营业收为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属于</w:t>
      </w:r>
      <w:r>
        <w:rPr>
          <w:rFonts w:ascii="宋体" w:hAnsi="宋体" w:cs="宋体"/>
          <w:kern w:val="0"/>
          <w:sz w:val="24"/>
          <w:szCs w:val="24"/>
          <w:u w:val="single"/>
        </w:rPr>
        <w:t>（中型企业、 小型企业、 微型企业）</w:t>
      </w:r>
      <w:r>
        <w:rPr>
          <w:rFonts w:ascii="宋体" w:hAnsi="宋体" w:cs="宋体"/>
          <w:kern w:val="0"/>
          <w:sz w:val="24"/>
          <w:szCs w:val="24"/>
        </w:rPr>
        <w:t>；</w:t>
      </w:r>
    </w:p>
    <w:p w14:paraId="6EB83D45">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w:t>
      </w:r>
    </w:p>
    <w:p w14:paraId="70196079">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以上企业， 不属于大企业的分支机构， 不存在控股股东为大企业的情形， 也不存在与大企业的负责人为同一人的情形。</w:t>
      </w:r>
    </w:p>
    <w:p w14:paraId="687E87AF">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本企业对上述声明内容的真实性负责。 如有虚假， 将依法承担相应责任。</w:t>
      </w:r>
    </w:p>
    <w:p w14:paraId="5FF02F7F">
      <w:pPr>
        <w:widowControl/>
        <w:spacing w:line="360" w:lineRule="auto"/>
        <w:ind w:firstLine="480" w:firstLineChars="200"/>
        <w:jc w:val="right"/>
        <w:rPr>
          <w:rFonts w:ascii="宋体" w:hAnsi="宋体" w:cs="宋体"/>
          <w:kern w:val="0"/>
          <w:sz w:val="24"/>
          <w:szCs w:val="24"/>
        </w:rPr>
      </w:pPr>
    </w:p>
    <w:p w14:paraId="0BED2DB0">
      <w:pPr>
        <w:widowControl/>
        <w:spacing w:line="360" w:lineRule="auto"/>
        <w:ind w:firstLine="480" w:firstLineChars="200"/>
        <w:jc w:val="right"/>
        <w:rPr>
          <w:rFonts w:ascii="宋体" w:hAnsi="宋体" w:cs="宋体"/>
          <w:kern w:val="0"/>
          <w:sz w:val="24"/>
          <w:szCs w:val="24"/>
        </w:rPr>
      </w:pPr>
      <w:r>
        <w:rPr>
          <w:rFonts w:ascii="宋体" w:hAnsi="宋体" w:cs="宋体"/>
          <w:kern w:val="0"/>
          <w:sz w:val="24"/>
          <w:szCs w:val="24"/>
        </w:rPr>
        <w:t>企业名称（</w:t>
      </w:r>
      <w:r>
        <w:rPr>
          <w:rFonts w:hint="eastAsia" w:ascii="宋体" w:hAnsi="宋体" w:cs="宋体"/>
          <w:kern w:val="0"/>
          <w:sz w:val="24"/>
          <w:szCs w:val="24"/>
        </w:rPr>
        <w:t>电子签章</w:t>
      </w:r>
      <w:r>
        <w:rPr>
          <w:rFonts w:ascii="宋体" w:hAnsi="宋体" w:cs="宋体"/>
          <w:kern w:val="0"/>
          <w:sz w:val="24"/>
          <w:szCs w:val="24"/>
        </w:rPr>
        <w:t>）：</w:t>
      </w:r>
      <w:r>
        <w:rPr>
          <w:rFonts w:hint="eastAsia" w:ascii="宋体" w:hAnsi="宋体" w:cs="宋体"/>
          <w:kern w:val="0"/>
          <w:sz w:val="24"/>
          <w:szCs w:val="24"/>
        </w:rPr>
        <w:t xml:space="preserve">        </w:t>
      </w:r>
    </w:p>
    <w:p w14:paraId="25029DD3">
      <w:pPr>
        <w:widowControl/>
        <w:spacing w:line="360" w:lineRule="auto"/>
        <w:ind w:right="480" w:firstLine="480" w:firstLineChars="200"/>
        <w:jc w:val="right"/>
        <w:rPr>
          <w:rFonts w:ascii="宋体" w:hAnsi="宋体" w:cs="宋体"/>
          <w:kern w:val="0"/>
          <w:sz w:val="24"/>
          <w:szCs w:val="24"/>
        </w:rPr>
      </w:pPr>
      <w:r>
        <w:rPr>
          <w:rFonts w:ascii="宋体" w:hAnsi="宋体" w:cs="宋体"/>
          <w:kern w:val="0"/>
          <w:sz w:val="24"/>
          <w:szCs w:val="24"/>
        </w:rPr>
        <w:t>日 期：</w:t>
      </w:r>
      <w:r>
        <w:rPr>
          <w:rFonts w:hint="eastAsia" w:ascii="宋体" w:hAnsi="宋体" w:cs="宋体"/>
          <w:kern w:val="0"/>
          <w:sz w:val="24"/>
          <w:szCs w:val="24"/>
        </w:rPr>
        <w:t xml:space="preserve">         </w:t>
      </w:r>
    </w:p>
    <w:p w14:paraId="049A229A">
      <w:pPr>
        <w:widowControl/>
        <w:spacing w:line="360" w:lineRule="auto"/>
        <w:ind w:right="480" w:firstLine="480" w:firstLineChars="200"/>
        <w:jc w:val="right"/>
        <w:rPr>
          <w:rFonts w:ascii="宋体" w:hAnsi="宋体" w:cs="宋体"/>
          <w:kern w:val="0"/>
          <w:sz w:val="24"/>
          <w:szCs w:val="24"/>
        </w:rPr>
      </w:pPr>
    </w:p>
    <w:p w14:paraId="74E97930">
      <w:pPr>
        <w:spacing w:line="360" w:lineRule="auto"/>
        <w:ind w:firstLine="480" w:firstLineChars="200"/>
        <w:rPr>
          <w:rFonts w:ascii="宋体" w:hAnsi="宋体"/>
          <w:kern w:val="0"/>
          <w:sz w:val="24"/>
          <w:szCs w:val="24"/>
        </w:rPr>
      </w:pPr>
      <w:r>
        <w:rPr>
          <w:rFonts w:ascii="宋体" w:hAnsi="宋体" w:cs="宋体"/>
          <w:kern w:val="0"/>
          <w:sz w:val="24"/>
          <w:szCs w:val="24"/>
          <w:vertAlign w:val="superscript"/>
        </w:rPr>
        <w:t>1</w:t>
      </w:r>
      <w:r>
        <w:rPr>
          <w:rFonts w:ascii="宋体" w:hAnsi="宋体" w:cs="宋体"/>
          <w:kern w:val="0"/>
          <w:sz w:val="24"/>
          <w:szCs w:val="24"/>
        </w:rPr>
        <w:t>从业人员、 营业收入、 资产总额填报上一年度数据， 无上一年度数据的新成立企业可不填报。</w:t>
      </w:r>
    </w:p>
    <w:p w14:paraId="3E683937">
      <w:pPr>
        <w:spacing w:line="360" w:lineRule="auto"/>
        <w:ind w:firstLine="480" w:firstLineChars="200"/>
        <w:rPr>
          <w:rFonts w:ascii="宋体" w:hAnsi="宋体"/>
          <w:kern w:val="0"/>
          <w:sz w:val="24"/>
        </w:rPr>
      </w:pPr>
      <w:r>
        <w:rPr>
          <w:rFonts w:hint="eastAsia" w:ascii="宋体" w:hAnsi="宋体"/>
          <w:kern w:val="0"/>
          <w:sz w:val="24"/>
        </w:rPr>
        <w:t>（若响应文件中无上述文件，则在评审时不考虑对该小、微企业的相关优惠。）</w:t>
      </w:r>
      <w:r>
        <w:rPr>
          <w:rFonts w:ascii="宋体" w:hAnsi="宋体"/>
          <w:kern w:val="0"/>
          <w:sz w:val="24"/>
        </w:rPr>
        <w:t xml:space="preserve"> </w:t>
      </w:r>
    </w:p>
    <w:p w14:paraId="55320F16">
      <w:pPr>
        <w:spacing w:line="360" w:lineRule="auto"/>
        <w:ind w:firstLine="480" w:firstLineChars="200"/>
        <w:rPr>
          <w:rFonts w:ascii="宋体" w:hAnsi="宋体"/>
          <w:kern w:val="0"/>
          <w:sz w:val="24"/>
        </w:rPr>
      </w:pPr>
    </w:p>
    <w:p w14:paraId="26A3F91C">
      <w:pPr>
        <w:spacing w:line="360" w:lineRule="auto"/>
        <w:ind w:firstLine="446" w:firstLineChars="200"/>
        <w:rPr>
          <w:rFonts w:ascii="宋体" w:hAnsi="宋体"/>
          <w:kern w:val="0"/>
          <w:sz w:val="24"/>
        </w:rPr>
      </w:pPr>
      <w:r>
        <w:rPr>
          <w:rFonts w:hint="eastAsia" w:cs="宋体"/>
          <w:b/>
          <w:bCs/>
          <w:spacing w:val="6"/>
          <w:szCs w:val="21"/>
        </w:rPr>
        <w:t>重要提示：供应商应仔细阅读本招标文件最后部分的附件1关于</w:t>
      </w:r>
      <w:r>
        <w:rPr>
          <w:rFonts w:hint="eastAsia" w:cs="宋体"/>
          <w:spacing w:val="-6"/>
          <w:kern w:val="0"/>
          <w:szCs w:val="21"/>
          <w:lang w:bidi="ar"/>
        </w:rPr>
        <w:t>“</w:t>
      </w:r>
      <w:r>
        <w:rPr>
          <w:rFonts w:hint="eastAsia" w:cs="宋体"/>
          <w:b/>
          <w:bCs/>
          <w:spacing w:val="6"/>
          <w:szCs w:val="21"/>
        </w:rPr>
        <w:t>中小企业声明函”的填写要求及提交要求，否则，因填写或提交等产生的一切不利后果，须自行承担。</w:t>
      </w:r>
    </w:p>
    <w:p w14:paraId="255192CC">
      <w:pPr>
        <w:tabs>
          <w:tab w:val="left" w:pos="3777"/>
          <w:tab w:val="center" w:pos="4819"/>
        </w:tabs>
        <w:spacing w:line="360" w:lineRule="auto"/>
        <w:jc w:val="center"/>
        <w:rPr>
          <w:rFonts w:ascii="宋体" w:hAnsi="宋体" w:cs="宋体"/>
          <w:b/>
          <w:kern w:val="0"/>
          <w:sz w:val="32"/>
          <w:szCs w:val="32"/>
        </w:rPr>
      </w:pPr>
      <w:r>
        <w:rPr>
          <w:rFonts w:hint="eastAsia" w:ascii="宋体" w:hAnsi="宋体"/>
          <w:b/>
          <w:sz w:val="32"/>
          <w:szCs w:val="32"/>
        </w:rPr>
        <w:br w:type="page"/>
      </w:r>
      <w:r>
        <w:rPr>
          <w:rFonts w:ascii="宋体" w:hAnsi="宋体"/>
          <w:b/>
          <w:sz w:val="32"/>
          <w:szCs w:val="32"/>
        </w:rPr>
        <w:t>2</w:t>
      </w:r>
      <w:r>
        <w:rPr>
          <w:rFonts w:hint="eastAsia" w:ascii="宋体" w:hAnsi="宋体" w:cs="宋体"/>
          <w:b/>
          <w:kern w:val="0"/>
          <w:sz w:val="28"/>
          <w:szCs w:val="32"/>
        </w:rPr>
        <w:t>监狱企业声明函附件1-4-2</w:t>
      </w:r>
    </w:p>
    <w:p w14:paraId="3E9C7A21">
      <w:pPr>
        <w:spacing w:line="360" w:lineRule="auto"/>
        <w:jc w:val="center"/>
        <w:rPr>
          <w:rFonts w:ascii="宋体" w:hAnsi="宋体"/>
          <w:kern w:val="0"/>
          <w:sz w:val="24"/>
        </w:rPr>
      </w:pPr>
      <w:r>
        <w:rPr>
          <w:rFonts w:hint="eastAsia" w:ascii="宋体" w:hAnsi="宋体"/>
          <w:kern w:val="0"/>
          <w:sz w:val="24"/>
        </w:rPr>
        <w:t>（监狱企业适用）</w:t>
      </w:r>
    </w:p>
    <w:p w14:paraId="6A274AD9">
      <w:pPr>
        <w:spacing w:line="360" w:lineRule="auto"/>
        <w:ind w:firstLine="540" w:firstLineChars="225"/>
        <w:rPr>
          <w:rFonts w:ascii="宋体" w:hAnsi="宋体"/>
          <w:kern w:val="0"/>
          <w:sz w:val="24"/>
        </w:rPr>
      </w:pPr>
      <w:r>
        <w:rPr>
          <w:rFonts w:hint="eastAsia" w:ascii="宋体" w:hAnsi="宋体"/>
          <w:kern w:val="0"/>
          <w:sz w:val="24"/>
        </w:rPr>
        <w:t>本公司郑重声明，根据《关于政府采购支持监狱企业发展有关问题的通知》（财库</w:t>
      </w:r>
      <w:r>
        <w:rPr>
          <w:rFonts w:ascii="宋体" w:hAnsi="宋体"/>
          <w:kern w:val="0"/>
          <w:sz w:val="24"/>
        </w:rPr>
        <w:t>[2014]68</w:t>
      </w:r>
      <w:r>
        <w:rPr>
          <w:rFonts w:hint="eastAsia" w:ascii="宋体" w:hAnsi="宋体"/>
          <w:kern w:val="0"/>
          <w:sz w:val="24"/>
        </w:rPr>
        <w:t>号）的规定，本公司为监狱企业。</w:t>
      </w:r>
    </w:p>
    <w:p w14:paraId="1F6A2C7E">
      <w:pPr>
        <w:spacing w:line="360" w:lineRule="auto"/>
        <w:ind w:firstLine="540" w:firstLineChars="225"/>
        <w:rPr>
          <w:rFonts w:ascii="宋体" w:hAnsi="宋体"/>
          <w:kern w:val="0"/>
          <w:sz w:val="24"/>
        </w:rPr>
      </w:pPr>
      <w:r>
        <w:rPr>
          <w:rFonts w:hint="eastAsia" w:ascii="宋体" w:hAnsi="宋体"/>
          <w:kern w:val="0"/>
          <w:sz w:val="24"/>
        </w:rPr>
        <w:t>本公司参加</w:t>
      </w:r>
      <w:r>
        <w:rPr>
          <w:rFonts w:ascii="宋体" w:hAnsi="宋体"/>
          <w:kern w:val="0"/>
          <w:sz w:val="24"/>
        </w:rPr>
        <w:t>______</w:t>
      </w:r>
      <w:r>
        <w:rPr>
          <w:rFonts w:hint="eastAsia" w:ascii="宋体" w:hAnsi="宋体"/>
          <w:kern w:val="0"/>
          <w:sz w:val="24"/>
        </w:rPr>
        <w:t>单位的</w:t>
      </w:r>
      <w:r>
        <w:rPr>
          <w:rFonts w:ascii="宋体" w:hAnsi="宋体"/>
          <w:kern w:val="0"/>
          <w:sz w:val="24"/>
        </w:rPr>
        <w:t>______</w:t>
      </w:r>
      <w:r>
        <w:rPr>
          <w:rFonts w:hint="eastAsia" w:ascii="宋体" w:hAnsi="宋体"/>
          <w:kern w:val="0"/>
          <w:sz w:val="24"/>
        </w:rPr>
        <w:t>项目采购活动，采购活动提供本企业（填写制造的货物，由本企业承担工程、提供服务）。</w:t>
      </w:r>
    </w:p>
    <w:p w14:paraId="1E53D6B9">
      <w:pPr>
        <w:spacing w:line="360" w:lineRule="auto"/>
        <w:ind w:firstLine="540" w:firstLineChars="225"/>
        <w:rPr>
          <w:rFonts w:ascii="宋体" w:hAnsi="宋体"/>
          <w:kern w:val="0"/>
          <w:sz w:val="24"/>
        </w:rPr>
      </w:pPr>
      <w:r>
        <w:rPr>
          <w:rFonts w:hint="eastAsia" w:ascii="宋体" w:hAnsi="宋体"/>
          <w:kern w:val="0"/>
          <w:sz w:val="24"/>
        </w:rPr>
        <w:t>本条所称货物不包括使用大型企业注册商标的货物和服务。</w:t>
      </w:r>
    </w:p>
    <w:p w14:paraId="71636027">
      <w:pPr>
        <w:spacing w:line="360" w:lineRule="auto"/>
        <w:ind w:firstLine="540" w:firstLineChars="225"/>
        <w:rPr>
          <w:rFonts w:ascii="宋体" w:hAnsi="宋体"/>
          <w:kern w:val="0"/>
          <w:sz w:val="24"/>
        </w:rPr>
      </w:pPr>
      <w:r>
        <w:rPr>
          <w:rFonts w:hint="eastAsia" w:ascii="宋体" w:hAnsi="宋体"/>
          <w:kern w:val="0"/>
          <w:sz w:val="24"/>
        </w:rPr>
        <w:t>本公司对上述声明的真实性负责。如有虚假，将依法承担相应责任。</w:t>
      </w:r>
    </w:p>
    <w:p w14:paraId="4842DE02">
      <w:pPr>
        <w:spacing w:line="360" w:lineRule="auto"/>
        <w:ind w:firstLine="4860" w:firstLineChars="2025"/>
        <w:rPr>
          <w:rFonts w:ascii="宋体" w:hAnsi="宋体"/>
          <w:kern w:val="0"/>
          <w:sz w:val="24"/>
        </w:rPr>
      </w:pPr>
    </w:p>
    <w:p w14:paraId="27E80FF9">
      <w:pPr>
        <w:spacing w:line="360" w:lineRule="auto"/>
        <w:ind w:firstLine="4860" w:firstLineChars="2025"/>
        <w:rPr>
          <w:rFonts w:ascii="宋体" w:hAnsi="宋体"/>
          <w:kern w:val="0"/>
          <w:sz w:val="24"/>
        </w:rPr>
      </w:pPr>
      <w:r>
        <w:rPr>
          <w:rFonts w:hint="eastAsia" w:ascii="宋体" w:hAnsi="宋体"/>
          <w:kern w:val="0"/>
          <w:sz w:val="24"/>
        </w:rPr>
        <w:t>企业名称（电子签章）：</w:t>
      </w:r>
    </w:p>
    <w:p w14:paraId="7710610C">
      <w:pPr>
        <w:spacing w:line="360" w:lineRule="auto"/>
        <w:jc w:val="right"/>
        <w:rPr>
          <w:rFonts w:ascii="宋体" w:hAnsi="宋体"/>
          <w:kern w:val="0"/>
          <w:sz w:val="24"/>
        </w:rPr>
      </w:pPr>
      <w:r>
        <w:rPr>
          <w:rFonts w:hint="eastAsia" w:ascii="宋体" w:hAnsi="宋体"/>
          <w:kern w:val="0"/>
          <w:sz w:val="24"/>
        </w:rPr>
        <w:t>法定代表人（负责人）或其授权代表</w:t>
      </w:r>
      <w:r>
        <w:rPr>
          <w:rFonts w:ascii="宋体" w:hAnsi="宋体"/>
          <w:kern w:val="0"/>
          <w:sz w:val="24"/>
        </w:rPr>
        <w:t>(</w:t>
      </w:r>
      <w:r>
        <w:rPr>
          <w:rFonts w:hint="eastAsia" w:ascii="宋体" w:hAnsi="宋体"/>
          <w:kern w:val="0"/>
          <w:sz w:val="24"/>
        </w:rPr>
        <w:t>电子签名</w:t>
      </w:r>
      <w:r>
        <w:rPr>
          <w:rFonts w:ascii="宋体" w:hAnsi="宋体"/>
          <w:kern w:val="0"/>
          <w:sz w:val="24"/>
        </w:rPr>
        <w:t>)</w:t>
      </w:r>
      <w:r>
        <w:rPr>
          <w:rFonts w:hint="eastAsia" w:ascii="宋体" w:hAnsi="宋体"/>
          <w:kern w:val="0"/>
          <w:sz w:val="24"/>
        </w:rPr>
        <w:t>：</w:t>
      </w:r>
    </w:p>
    <w:p w14:paraId="241887CC">
      <w:pPr>
        <w:tabs>
          <w:tab w:val="left" w:pos="2880"/>
        </w:tabs>
        <w:spacing w:line="460" w:lineRule="atLeast"/>
        <w:ind w:firstLine="4800" w:firstLineChars="2000"/>
        <w:rPr>
          <w:rFonts w:ascii="宋体" w:hAnsi="宋体"/>
          <w:sz w:val="24"/>
          <w:szCs w:val="24"/>
        </w:rPr>
      </w:pPr>
      <w:r>
        <w:rPr>
          <w:rFonts w:hint="eastAsia" w:ascii="宋体" w:hAnsi="宋体"/>
          <w:kern w:val="0"/>
          <w:sz w:val="24"/>
        </w:rPr>
        <w:t>日期：</w:t>
      </w:r>
    </w:p>
    <w:p w14:paraId="3E28326D">
      <w:pPr>
        <w:spacing w:line="360" w:lineRule="auto"/>
        <w:ind w:firstLine="480" w:firstLineChars="200"/>
        <w:rPr>
          <w:rFonts w:ascii="宋体" w:hAnsi="宋体"/>
          <w:kern w:val="0"/>
          <w:sz w:val="24"/>
        </w:rPr>
      </w:pPr>
      <w:r>
        <w:rPr>
          <w:rFonts w:hint="eastAsia" w:ascii="宋体" w:hAnsi="宋体"/>
          <w:kern w:val="0"/>
          <w:sz w:val="24"/>
        </w:rPr>
        <w:t>注：后附监狱企业资格证明文件</w:t>
      </w:r>
    </w:p>
    <w:p w14:paraId="2F7664EE">
      <w:pPr>
        <w:spacing w:line="440" w:lineRule="exact"/>
        <w:ind w:firstLine="567"/>
        <w:rPr>
          <w:rFonts w:ascii="宋体" w:hAnsi="宋体"/>
          <w:sz w:val="24"/>
        </w:rPr>
      </w:pPr>
      <w:r>
        <w:rPr>
          <w:rFonts w:hint="eastAsia" w:ascii="宋体" w:hAnsi="宋体"/>
          <w:sz w:val="24"/>
        </w:rPr>
        <w:t>1.</w:t>
      </w:r>
      <w:r>
        <w:rPr>
          <w:rFonts w:hint="eastAsia" w:ascii="宋体" w:hAnsi="宋体"/>
        </w:rPr>
        <w:t xml:space="preserve"> </w:t>
      </w:r>
      <w:r>
        <w:rPr>
          <w:rFonts w:hint="eastAsia" w:ascii="宋体" w:hAnsi="宋体"/>
          <w:sz w:val="24"/>
        </w:rPr>
        <w:t>省级以上监狱管理局、戒毒管理局（含新疆生产建设兵团）出具的属于监狱企业的证明文件；</w:t>
      </w:r>
    </w:p>
    <w:p w14:paraId="5B9F2BBF">
      <w:pPr>
        <w:tabs>
          <w:tab w:val="left" w:pos="2880"/>
        </w:tabs>
        <w:spacing w:line="460" w:lineRule="atLeast"/>
        <w:ind w:firstLine="566" w:firstLineChars="236"/>
        <w:jc w:val="left"/>
        <w:rPr>
          <w:rFonts w:ascii="宋体" w:hAnsi="宋体" w:cs="宋体"/>
          <w:b/>
          <w:kern w:val="0"/>
          <w:sz w:val="24"/>
        </w:rPr>
      </w:pPr>
      <w:r>
        <w:rPr>
          <w:rFonts w:hint="eastAsia" w:ascii="宋体" w:hAnsi="宋体"/>
          <w:sz w:val="24"/>
        </w:rPr>
        <w:t>2.证明材料加盖</w:t>
      </w:r>
      <w:r>
        <w:rPr>
          <w:rFonts w:hint="eastAsia" w:ascii="宋体" w:hAnsi="宋体" w:cs="Arial"/>
          <w:kern w:val="0"/>
          <w:sz w:val="24"/>
          <w:szCs w:val="24"/>
        </w:rPr>
        <w:t>投标人</w:t>
      </w:r>
      <w:r>
        <w:rPr>
          <w:rFonts w:hint="eastAsia" w:ascii="宋体" w:hAnsi="宋体"/>
          <w:sz w:val="24"/>
        </w:rPr>
        <w:t>公章。</w:t>
      </w:r>
    </w:p>
    <w:p w14:paraId="3DAC8D26">
      <w:pPr>
        <w:spacing w:line="360" w:lineRule="auto"/>
        <w:rPr>
          <w:rFonts w:ascii="宋体" w:hAnsi="宋体"/>
          <w:kern w:val="0"/>
          <w:sz w:val="24"/>
        </w:rPr>
      </w:pPr>
      <w:r>
        <w:rPr>
          <w:rFonts w:hint="eastAsia" w:ascii="宋体" w:hAnsi="宋体"/>
          <w:kern w:val="0"/>
          <w:sz w:val="24"/>
        </w:rPr>
        <w:t xml:space="preserve">（若响应性文件中无上述证明文件，则在评审时不考虑对该监狱企业的相关优惠。） </w:t>
      </w:r>
    </w:p>
    <w:p w14:paraId="4B86E02E">
      <w:pPr>
        <w:tabs>
          <w:tab w:val="left" w:pos="3600"/>
        </w:tabs>
        <w:adjustRightInd w:val="0"/>
        <w:snapToGrid w:val="0"/>
        <w:spacing w:line="440" w:lineRule="exact"/>
        <w:jc w:val="center"/>
        <w:rPr>
          <w:rFonts w:ascii="宋体" w:hAnsi="宋体"/>
          <w:sz w:val="24"/>
          <w:szCs w:val="24"/>
        </w:rPr>
      </w:pPr>
    </w:p>
    <w:p w14:paraId="409F416E">
      <w:pPr>
        <w:tabs>
          <w:tab w:val="left" w:pos="3600"/>
        </w:tabs>
        <w:adjustRightInd w:val="0"/>
        <w:snapToGrid w:val="0"/>
        <w:spacing w:line="440" w:lineRule="exact"/>
        <w:jc w:val="center"/>
        <w:rPr>
          <w:rFonts w:ascii="宋体" w:hAnsi="宋体" w:cs="??_GB2312"/>
          <w:b/>
          <w:bCs/>
          <w:spacing w:val="6"/>
          <w:kern w:val="0"/>
          <w:sz w:val="32"/>
          <w:szCs w:val="32"/>
        </w:rPr>
      </w:pPr>
      <w:r>
        <w:rPr>
          <w:rFonts w:ascii="宋体" w:hAnsi="宋体"/>
          <w:b/>
          <w:sz w:val="28"/>
          <w:szCs w:val="30"/>
        </w:rPr>
        <w:br w:type="page"/>
      </w:r>
      <w:r>
        <w:rPr>
          <w:rFonts w:ascii="宋体" w:hAnsi="宋体"/>
          <w:b/>
          <w:sz w:val="28"/>
          <w:szCs w:val="30"/>
        </w:rPr>
        <w:t>3</w:t>
      </w:r>
      <w:r>
        <w:rPr>
          <w:rFonts w:hint="eastAsia" w:ascii="宋体" w:hAnsi="宋体" w:cs="宋体"/>
          <w:b/>
          <w:bCs/>
          <w:spacing w:val="6"/>
          <w:kern w:val="0"/>
          <w:sz w:val="28"/>
          <w:szCs w:val="32"/>
        </w:rPr>
        <w:t>残疾人福利性单位声明函</w:t>
      </w:r>
      <w:r>
        <w:rPr>
          <w:rFonts w:hint="eastAsia" w:ascii="宋体" w:hAnsi="宋体"/>
          <w:b/>
          <w:sz w:val="28"/>
          <w:szCs w:val="30"/>
        </w:rPr>
        <w:t>附件1-4-3</w:t>
      </w:r>
    </w:p>
    <w:p w14:paraId="669B685A">
      <w:pPr>
        <w:autoSpaceDE w:val="0"/>
        <w:autoSpaceDN w:val="0"/>
        <w:adjustRightInd w:val="0"/>
        <w:spacing w:line="440" w:lineRule="exact"/>
        <w:rPr>
          <w:rFonts w:ascii="宋体" w:hAnsi="宋体" w:cs="??_GB2312"/>
          <w:b/>
          <w:bCs/>
          <w:spacing w:val="6"/>
          <w:kern w:val="0"/>
          <w:sz w:val="24"/>
          <w:szCs w:val="24"/>
        </w:rPr>
      </w:pPr>
    </w:p>
    <w:p w14:paraId="2145201F">
      <w:pPr>
        <w:widowControl/>
        <w:adjustRightInd w:val="0"/>
        <w:snapToGrid w:val="0"/>
        <w:spacing w:line="440" w:lineRule="exact"/>
        <w:ind w:firstLine="504" w:firstLineChars="200"/>
        <w:jc w:val="left"/>
        <w:rPr>
          <w:rFonts w:ascii="宋体" w:hAnsi="宋体" w:cs="宋体"/>
          <w:spacing w:val="6"/>
          <w:kern w:val="0"/>
          <w:sz w:val="24"/>
          <w:szCs w:val="24"/>
        </w:rPr>
      </w:pPr>
      <w:r>
        <w:rPr>
          <w:rFonts w:hint="eastAsia" w:ascii="宋体" w:hAnsi="宋体" w:cs="宋体"/>
          <w:spacing w:val="6"/>
          <w:kern w:val="0"/>
          <w:sz w:val="24"/>
          <w:szCs w:val="24"/>
        </w:rPr>
        <w:t>本单位郑重声明，根据《财政部</w:t>
      </w:r>
      <w:r>
        <w:rPr>
          <w:rFonts w:ascii="宋体" w:hAnsi="宋体" w:cs="宋体"/>
          <w:spacing w:val="6"/>
          <w:kern w:val="0"/>
          <w:sz w:val="24"/>
          <w:szCs w:val="24"/>
        </w:rPr>
        <w:t xml:space="preserve"> </w:t>
      </w:r>
      <w:r>
        <w:rPr>
          <w:rFonts w:hint="eastAsia" w:ascii="宋体" w:hAnsi="宋体" w:cs="宋体"/>
          <w:spacing w:val="6"/>
          <w:kern w:val="0"/>
          <w:sz w:val="24"/>
          <w:szCs w:val="24"/>
        </w:rPr>
        <w:t>民政部</w:t>
      </w:r>
      <w:r>
        <w:rPr>
          <w:rFonts w:ascii="宋体" w:hAnsi="宋体" w:cs="宋体"/>
          <w:spacing w:val="6"/>
          <w:kern w:val="0"/>
          <w:sz w:val="24"/>
          <w:szCs w:val="24"/>
        </w:rPr>
        <w:t xml:space="preserve"> </w:t>
      </w:r>
      <w:r>
        <w:rPr>
          <w:rFonts w:hint="eastAsia" w:ascii="宋体" w:hAnsi="宋体" w:cs="宋体"/>
          <w:spacing w:val="6"/>
          <w:kern w:val="0"/>
          <w:sz w:val="24"/>
          <w:szCs w:val="24"/>
        </w:rPr>
        <w:t>中国残疾人联合会关于促进残疾人就业政府采购政策的通知》（财库〔</w:t>
      </w:r>
      <w:r>
        <w:rPr>
          <w:rFonts w:ascii="宋体" w:hAnsi="宋体" w:cs="宋体"/>
          <w:spacing w:val="6"/>
          <w:kern w:val="0"/>
          <w:sz w:val="24"/>
          <w:szCs w:val="24"/>
        </w:rPr>
        <w:t>2017</w:t>
      </w:r>
      <w:r>
        <w:rPr>
          <w:rFonts w:hint="eastAsia" w:ascii="宋体" w:hAnsi="宋体" w:cs="宋体"/>
          <w:spacing w:val="6"/>
          <w:kern w:val="0"/>
          <w:sz w:val="24"/>
          <w:szCs w:val="24"/>
        </w:rPr>
        <w:t>〕</w:t>
      </w:r>
      <w:r>
        <w:rPr>
          <w:rFonts w:ascii="宋体" w:hAnsi="宋体" w:cs="宋体"/>
          <w:spacing w:val="6"/>
          <w:kern w:val="0"/>
          <w:sz w:val="24"/>
          <w:szCs w:val="24"/>
        </w:rPr>
        <w:t xml:space="preserve"> 141</w:t>
      </w:r>
      <w:r>
        <w:rPr>
          <w:rFonts w:hint="eastAsia" w:ascii="宋体" w:hAnsi="宋体" w:cs="宋体"/>
          <w:spacing w:val="6"/>
          <w:kern w:val="0"/>
          <w:sz w:val="24"/>
          <w:szCs w:val="24"/>
        </w:rPr>
        <w:t>号）的规定，本单位为符合条件的残疾人福利性单位，且本单位参加</w:t>
      </w:r>
      <w:r>
        <w:rPr>
          <w:rFonts w:ascii="宋体" w:hAnsi="宋体" w:cs="宋体"/>
          <w:spacing w:val="6"/>
          <w:kern w:val="0"/>
          <w:sz w:val="24"/>
          <w:szCs w:val="24"/>
        </w:rPr>
        <w:t>______</w:t>
      </w:r>
      <w:r>
        <w:rPr>
          <w:rFonts w:hint="eastAsia" w:ascii="宋体" w:hAnsi="宋体" w:cs="宋体"/>
          <w:spacing w:val="6"/>
          <w:kern w:val="0"/>
          <w:sz w:val="24"/>
          <w:szCs w:val="24"/>
        </w:rPr>
        <w:t>单位的</w:t>
      </w:r>
      <w:r>
        <w:rPr>
          <w:rFonts w:ascii="宋体" w:hAnsi="宋体" w:cs="宋体"/>
          <w:spacing w:val="6"/>
          <w:kern w:val="0"/>
          <w:sz w:val="24"/>
          <w:szCs w:val="24"/>
        </w:rPr>
        <w:t>______</w:t>
      </w:r>
      <w:r>
        <w:rPr>
          <w:rFonts w:hint="eastAsia" w:ascii="宋体" w:hAnsi="宋体" w:cs="宋体"/>
          <w:spacing w:val="6"/>
          <w:kern w:val="0"/>
          <w:sz w:val="24"/>
          <w:szCs w:val="24"/>
        </w:rPr>
        <w:t>项目采购活动提供本单位制造的货物（由本单位承担工程</w:t>
      </w:r>
      <w:r>
        <w:rPr>
          <w:rFonts w:ascii="宋体" w:hAnsi="宋体" w:cs="宋体"/>
          <w:spacing w:val="6"/>
          <w:kern w:val="0"/>
          <w:sz w:val="24"/>
          <w:szCs w:val="24"/>
        </w:rPr>
        <w:t>/</w:t>
      </w:r>
      <w:r>
        <w:rPr>
          <w:rFonts w:hint="eastAsia" w:ascii="宋体" w:hAnsi="宋体" w:cs="宋体"/>
          <w:spacing w:val="6"/>
          <w:kern w:val="0"/>
          <w:sz w:val="24"/>
          <w:szCs w:val="24"/>
        </w:rPr>
        <w:t>提供服务），或者提供其他残疾人福利性单位制造的货物（不包括使用非残疾人福利性单位注册商标的货物）。</w:t>
      </w:r>
    </w:p>
    <w:p w14:paraId="4CADCCEB">
      <w:pPr>
        <w:widowControl/>
        <w:adjustRightInd w:val="0"/>
        <w:snapToGrid w:val="0"/>
        <w:spacing w:line="440" w:lineRule="exact"/>
        <w:ind w:firstLine="504" w:firstLineChars="200"/>
        <w:jc w:val="left"/>
        <w:rPr>
          <w:rFonts w:ascii="宋体" w:hAnsi="宋体" w:cs="宋体"/>
          <w:spacing w:val="6"/>
          <w:kern w:val="0"/>
          <w:sz w:val="24"/>
          <w:szCs w:val="24"/>
        </w:rPr>
      </w:pPr>
      <w:r>
        <w:rPr>
          <w:rFonts w:hint="eastAsia" w:ascii="宋体" w:hAnsi="宋体" w:cs="宋体"/>
          <w:spacing w:val="6"/>
          <w:kern w:val="0"/>
          <w:sz w:val="24"/>
          <w:szCs w:val="24"/>
        </w:rPr>
        <w:t>本单位对上述声明的真实性负责。如有虚假，将依法承担相应责任。</w:t>
      </w:r>
      <w:r>
        <w:rPr>
          <w:rFonts w:ascii="宋体" w:hAnsi="宋体" w:cs="宋体"/>
          <w:spacing w:val="6"/>
          <w:kern w:val="0"/>
          <w:sz w:val="24"/>
          <w:szCs w:val="24"/>
        </w:rPr>
        <w:t xml:space="preserve"> </w:t>
      </w:r>
    </w:p>
    <w:p w14:paraId="62D4E116">
      <w:pPr>
        <w:widowControl/>
        <w:adjustRightInd w:val="0"/>
        <w:snapToGrid w:val="0"/>
        <w:spacing w:line="440" w:lineRule="exact"/>
        <w:ind w:firstLine="504" w:firstLineChars="200"/>
        <w:jc w:val="left"/>
        <w:rPr>
          <w:rFonts w:ascii="宋体" w:hAnsi="宋体" w:cs="宋体"/>
          <w:spacing w:val="6"/>
          <w:kern w:val="0"/>
          <w:sz w:val="24"/>
          <w:szCs w:val="24"/>
        </w:rPr>
      </w:pPr>
    </w:p>
    <w:p w14:paraId="4010E097">
      <w:pPr>
        <w:widowControl/>
        <w:adjustRightInd w:val="0"/>
        <w:snapToGrid w:val="0"/>
        <w:spacing w:line="440" w:lineRule="exact"/>
        <w:ind w:firstLine="5544" w:firstLineChars="2200"/>
        <w:jc w:val="left"/>
        <w:rPr>
          <w:rFonts w:ascii="宋体" w:hAnsi="宋体" w:cs="宋体"/>
          <w:spacing w:val="6"/>
          <w:kern w:val="0"/>
          <w:sz w:val="24"/>
          <w:szCs w:val="24"/>
        </w:rPr>
      </w:pPr>
      <w:r>
        <w:rPr>
          <w:rFonts w:hint="eastAsia" w:ascii="宋体" w:hAnsi="宋体" w:cs="宋体"/>
          <w:spacing w:val="6"/>
          <w:kern w:val="0"/>
          <w:sz w:val="24"/>
          <w:szCs w:val="24"/>
        </w:rPr>
        <w:t>单位名称（</w:t>
      </w:r>
      <w:r>
        <w:rPr>
          <w:rFonts w:hint="eastAsia" w:ascii="宋体" w:hAnsi="宋体"/>
          <w:kern w:val="0"/>
          <w:sz w:val="24"/>
        </w:rPr>
        <w:t>电子签章</w:t>
      </w:r>
      <w:r>
        <w:rPr>
          <w:rFonts w:hint="eastAsia" w:ascii="宋体" w:hAnsi="宋体" w:cs="宋体"/>
          <w:spacing w:val="6"/>
          <w:kern w:val="0"/>
          <w:sz w:val="24"/>
          <w:szCs w:val="24"/>
        </w:rPr>
        <w:t>）：</w:t>
      </w:r>
    </w:p>
    <w:p w14:paraId="063203B1">
      <w:pPr>
        <w:widowControl/>
        <w:adjustRightInd w:val="0"/>
        <w:snapToGrid w:val="0"/>
        <w:spacing w:line="440" w:lineRule="exact"/>
        <w:ind w:firstLine="504" w:firstLineChars="200"/>
        <w:jc w:val="left"/>
        <w:rPr>
          <w:rFonts w:ascii="宋体" w:hAnsi="宋体" w:cs="宋体"/>
          <w:spacing w:val="6"/>
          <w:kern w:val="0"/>
          <w:sz w:val="24"/>
          <w:szCs w:val="24"/>
        </w:rPr>
      </w:pPr>
      <w:r>
        <w:rPr>
          <w:rFonts w:ascii="宋体" w:hAnsi="宋体" w:cs="宋体"/>
          <w:spacing w:val="6"/>
          <w:kern w:val="0"/>
          <w:sz w:val="24"/>
          <w:szCs w:val="24"/>
        </w:rPr>
        <w:t xml:space="preserve">                                      </w:t>
      </w:r>
      <w:r>
        <w:rPr>
          <w:rFonts w:hint="eastAsia" w:ascii="宋体" w:hAnsi="宋体" w:cs="宋体"/>
          <w:spacing w:val="6"/>
          <w:kern w:val="0"/>
          <w:sz w:val="24"/>
          <w:szCs w:val="24"/>
        </w:rPr>
        <w:t>日期:</w:t>
      </w:r>
    </w:p>
    <w:p w14:paraId="351C98AC">
      <w:pPr>
        <w:rPr>
          <w:rFonts w:ascii="宋体" w:hAnsi="宋体" w:cs="宋体"/>
          <w:spacing w:val="6"/>
          <w:kern w:val="0"/>
          <w:sz w:val="24"/>
          <w:szCs w:val="24"/>
        </w:rPr>
      </w:pPr>
      <w:r>
        <w:rPr>
          <w:rFonts w:hint="eastAsia" w:ascii="宋体" w:hAnsi="宋体" w:cs="宋体"/>
          <w:spacing w:val="6"/>
          <w:kern w:val="0"/>
          <w:sz w:val="24"/>
          <w:szCs w:val="24"/>
        </w:rPr>
        <w:br w:type="page"/>
      </w:r>
    </w:p>
    <w:p w14:paraId="7B81ED02">
      <w:pPr>
        <w:tabs>
          <w:tab w:val="left" w:pos="3600"/>
        </w:tabs>
        <w:adjustRightInd w:val="0"/>
        <w:snapToGrid w:val="0"/>
        <w:spacing w:line="440" w:lineRule="exact"/>
        <w:jc w:val="center"/>
        <w:rPr>
          <w:rFonts w:ascii="宋体" w:hAnsi="宋体" w:cs="宋体"/>
          <w:color w:val="383838"/>
          <w:sz w:val="24"/>
          <w:szCs w:val="24"/>
        </w:rPr>
      </w:pPr>
      <w:r>
        <w:rPr>
          <w:rFonts w:hint="eastAsia" w:ascii="宋体" w:hAnsi="宋体" w:cs="宋体"/>
          <w:b/>
          <w:bCs/>
          <w:spacing w:val="6"/>
          <w:kern w:val="0"/>
          <w:sz w:val="28"/>
          <w:szCs w:val="32"/>
        </w:rPr>
        <w:t>4关于符合本国产品标准的声明函1-4-4</w:t>
      </w:r>
    </w:p>
    <w:p w14:paraId="2C009A8F">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 </w:t>
      </w:r>
    </w:p>
    <w:p w14:paraId="27E8B2DB">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DF68FC6">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1.（产品名称1）1，生产厂为（厂名）2，厂址为（生产厂址）。（产品名称1）的中国境内生产的组件成本占比≥（规定比例）3。（产品名称1）的（关键组件）4在中国境内生产。（产品名称1）的（关键工序）5在中国境内完成。</w:t>
      </w:r>
    </w:p>
    <w:p w14:paraId="65623BBA">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012E3BCD">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w:t>
      </w:r>
    </w:p>
    <w:p w14:paraId="070C382E">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本公司（单位）对上述声明内容的真实性负责。如有虚假，愿承担相应法律责任。</w:t>
      </w:r>
    </w:p>
    <w:p w14:paraId="761EF5FD">
      <w:pPr>
        <w:widowControl/>
        <w:shd w:val="clear" w:color="auto" w:fill="FFFFFF"/>
        <w:wordWrap w:val="0"/>
        <w:spacing w:before="30" w:after="3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 </w:t>
      </w:r>
    </w:p>
    <w:p w14:paraId="3726289E">
      <w:pPr>
        <w:widowControl/>
        <w:shd w:val="clear" w:color="auto" w:fill="FFFFFF"/>
        <w:wordWrap w:val="0"/>
        <w:spacing w:before="30" w:after="30"/>
        <w:jc w:val="right"/>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公司（单位）名称（盖章）：　        </w:t>
      </w:r>
    </w:p>
    <w:p w14:paraId="00BD065E">
      <w:pPr>
        <w:widowControl/>
        <w:shd w:val="clear" w:color="auto" w:fill="FFFFFF"/>
        <w:wordWrap w:val="0"/>
        <w:spacing w:before="30" w:after="30"/>
        <w:jc w:val="right"/>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日期：　     年　  月　  日         </w:t>
      </w:r>
    </w:p>
    <w:p w14:paraId="6CEB063A">
      <w:pPr>
        <w:widowControl/>
        <w:shd w:val="clear" w:color="auto" w:fill="FFFFFF"/>
        <w:wordWrap w:val="0"/>
        <w:spacing w:before="30" w:after="3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__________________</w:t>
      </w:r>
    </w:p>
    <w:p w14:paraId="391E1A3B">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1.产品如有型号，请在“产品名称”栏一并填写。</w:t>
      </w:r>
    </w:p>
    <w:p w14:paraId="03ED322A">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2.生产厂名与厂址应与生产厂营业执照载明的相关信息保持一致。</w:t>
      </w:r>
    </w:p>
    <w:p w14:paraId="29E8C99F">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3.该产品的中国境内生产的组件成本占比相关要求实施前，“规定比例”栏可不填，下同。</w:t>
      </w:r>
    </w:p>
    <w:p w14:paraId="3C504E07">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4.该产品的关键组件要求实施前，“关键组件”栏可不填，下同。</w:t>
      </w:r>
    </w:p>
    <w:p w14:paraId="48E80F01">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5.该产品的关键工序要求实施前，“关键工序”栏可不填，下同。</w:t>
      </w:r>
    </w:p>
    <w:p w14:paraId="26E8EBD1">
      <w:pPr>
        <w:widowControl/>
        <w:adjustRightInd w:val="0"/>
        <w:snapToGrid w:val="0"/>
        <w:spacing w:line="440" w:lineRule="exact"/>
        <w:ind w:firstLine="504" w:firstLineChars="200"/>
        <w:jc w:val="left"/>
        <w:rPr>
          <w:rFonts w:ascii="宋体" w:hAnsi="宋体" w:cs="宋体"/>
          <w:spacing w:val="6"/>
          <w:kern w:val="0"/>
          <w:sz w:val="24"/>
          <w:szCs w:val="24"/>
        </w:rPr>
      </w:pPr>
    </w:p>
    <w:p w14:paraId="0621C7E1">
      <w:pPr>
        <w:spacing w:line="440" w:lineRule="exact"/>
        <w:ind w:left="617" w:hanging="617" w:hangingChars="294"/>
        <w:rPr>
          <w:sz w:val="32"/>
          <w:szCs w:val="32"/>
        </w:rPr>
      </w:pPr>
      <w:r>
        <w:rPr>
          <w:rFonts w:hint="eastAsia"/>
        </w:rPr>
        <w:br w:type="page"/>
      </w:r>
    </w:p>
    <w:p w14:paraId="3E97F918">
      <w:pPr>
        <w:tabs>
          <w:tab w:val="left" w:pos="3600"/>
        </w:tabs>
        <w:adjustRightInd w:val="0"/>
        <w:snapToGrid w:val="0"/>
        <w:spacing w:line="440" w:lineRule="exact"/>
        <w:jc w:val="center"/>
        <w:rPr>
          <w:rFonts w:hint="default" w:ascii="宋体" w:hAnsi="宋体" w:eastAsia="宋体" w:cs="宋体"/>
          <w:b/>
          <w:bCs/>
          <w:spacing w:val="6"/>
          <w:kern w:val="0"/>
          <w:sz w:val="28"/>
          <w:szCs w:val="32"/>
          <w:highlight w:val="none"/>
          <w:lang w:val="en-US" w:eastAsia="zh-CN"/>
        </w:rPr>
      </w:pPr>
      <w:r>
        <w:rPr>
          <w:rFonts w:hint="eastAsia" w:ascii="宋体" w:hAnsi="宋体" w:eastAsia="宋体" w:cs="宋体"/>
          <w:b/>
          <w:bCs/>
          <w:spacing w:val="6"/>
          <w:kern w:val="0"/>
          <w:sz w:val="28"/>
          <w:szCs w:val="32"/>
          <w:highlight w:val="none"/>
          <w:lang w:val="en-US" w:eastAsia="zh-CN"/>
        </w:rPr>
        <w:t>5</w:t>
      </w:r>
      <w:r>
        <w:rPr>
          <w:rFonts w:hint="eastAsia" w:ascii="宋体" w:hAnsi="宋体" w:eastAsia="宋体" w:cs="宋体"/>
          <w:b/>
          <w:bCs/>
          <w:spacing w:val="6"/>
          <w:kern w:val="0"/>
          <w:sz w:val="28"/>
          <w:szCs w:val="32"/>
          <w:highlight w:val="none"/>
        </w:rPr>
        <w:t>分包意向协议</w:t>
      </w:r>
      <w:r>
        <w:rPr>
          <w:rFonts w:hint="eastAsia" w:ascii="宋体" w:hAnsi="宋体" w:eastAsia="宋体" w:cs="宋体"/>
          <w:b/>
          <w:bCs/>
          <w:spacing w:val="6"/>
          <w:kern w:val="0"/>
          <w:sz w:val="28"/>
          <w:szCs w:val="32"/>
          <w:highlight w:val="none"/>
          <w:lang w:val="en-US" w:eastAsia="zh-CN"/>
        </w:rPr>
        <w:t>1-4-5</w:t>
      </w:r>
    </w:p>
    <w:p w14:paraId="08EF1E6B">
      <w:pPr>
        <w:pStyle w:val="127"/>
        <w:spacing w:after="0" w:line="440" w:lineRule="exact"/>
        <w:ind w:firstLine="600"/>
        <w:rPr>
          <w:rFonts w:hint="eastAsia" w:cs="宋体"/>
          <w:sz w:val="24"/>
          <w:szCs w:val="24"/>
          <w:highlight w:val="none"/>
        </w:rPr>
      </w:pPr>
      <w:r>
        <w:rPr>
          <w:rFonts w:hint="eastAsia" w:cs="宋体"/>
          <w:color w:val="000000"/>
          <w:sz w:val="24"/>
          <w:szCs w:val="24"/>
          <w:highlight w:val="none"/>
          <w:u w:val="single"/>
        </w:rPr>
        <w:t>（投标人名称）</w:t>
      </w:r>
      <w:r>
        <w:rPr>
          <w:rFonts w:hint="eastAsia" w:cs="宋体"/>
          <w:color w:val="000000"/>
          <w:sz w:val="24"/>
          <w:szCs w:val="24"/>
          <w:highlight w:val="none"/>
        </w:rPr>
        <w:t>若成为</w:t>
      </w:r>
      <w:r>
        <w:rPr>
          <w:rFonts w:hint="eastAsia" w:cs="宋体"/>
          <w:color w:val="000000"/>
          <w:sz w:val="24"/>
          <w:szCs w:val="24"/>
          <w:highlight w:val="none"/>
          <w:u w:val="single"/>
          <w:lang w:val="en-US"/>
        </w:rPr>
        <w:t xml:space="preserve">       </w:t>
      </w:r>
      <w:r>
        <w:rPr>
          <w:rFonts w:hint="eastAsia" w:cs="宋体"/>
          <w:color w:val="000000"/>
          <w:sz w:val="24"/>
          <w:szCs w:val="24"/>
          <w:highlight w:val="none"/>
          <w:u w:val="single"/>
        </w:rPr>
        <w:t>（项目名称）</w:t>
      </w:r>
      <w:r>
        <w:rPr>
          <w:rFonts w:hint="eastAsia" w:cs="宋体"/>
          <w:color w:val="000000"/>
          <w:sz w:val="24"/>
          <w:szCs w:val="24"/>
          <w:highlight w:val="none"/>
        </w:rPr>
        <w:t>的中标</w:t>
      </w:r>
      <w:r>
        <w:rPr>
          <w:rFonts w:hint="eastAsia" w:cs="宋体"/>
          <w:color w:val="000000"/>
          <w:sz w:val="24"/>
          <w:szCs w:val="24"/>
          <w:highlight w:val="none"/>
          <w:lang w:val="en-US"/>
        </w:rPr>
        <w:t>单位，</w:t>
      </w:r>
      <w:r>
        <w:rPr>
          <w:rFonts w:hint="eastAsia" w:cs="宋体"/>
          <w:color w:val="000000"/>
          <w:sz w:val="24"/>
          <w:szCs w:val="24"/>
          <w:highlight w:val="none"/>
        </w:rPr>
        <w:t>将依法采取分包方式履行合同。</w:t>
      </w:r>
      <w:r>
        <w:rPr>
          <w:rFonts w:hint="eastAsia" w:cs="宋体"/>
          <w:color w:val="000000"/>
          <w:sz w:val="24"/>
          <w:szCs w:val="24"/>
          <w:highlight w:val="none"/>
          <w:u w:val="single"/>
        </w:rPr>
        <w:t>（投标人名称）</w:t>
      </w:r>
      <w:r>
        <w:rPr>
          <w:rFonts w:hint="eastAsia" w:cs="宋体"/>
          <w:color w:val="000000"/>
          <w:sz w:val="24"/>
          <w:szCs w:val="24"/>
          <w:highlight w:val="none"/>
        </w:rPr>
        <w:t>与</w:t>
      </w:r>
      <w:r>
        <w:rPr>
          <w:rFonts w:hint="eastAsia" w:cs="宋体"/>
          <w:color w:val="000000"/>
          <w:sz w:val="24"/>
          <w:szCs w:val="24"/>
          <w:highlight w:val="none"/>
          <w:u w:val="single"/>
        </w:rPr>
        <w:t>（所有分包供应商名称）</w:t>
      </w:r>
      <w:r>
        <w:rPr>
          <w:rFonts w:hint="eastAsia" w:cs="宋体"/>
          <w:color w:val="000000"/>
          <w:sz w:val="24"/>
          <w:szCs w:val="24"/>
          <w:highlight w:val="none"/>
        </w:rPr>
        <w:t>达成分包意向协议。</w:t>
      </w:r>
    </w:p>
    <w:p w14:paraId="7A0A2631">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一、分包意向各方关系</w:t>
      </w:r>
    </w:p>
    <w:p w14:paraId="6C322C2D">
      <w:pPr>
        <w:spacing w:line="440" w:lineRule="exact"/>
        <w:ind w:firstLine="480" w:firstLineChars="200"/>
        <w:rPr>
          <w:rFonts w:hint="eastAsia" w:ascii="宋体" w:hAnsi="宋体" w:cs="宋体"/>
          <w:sz w:val="24"/>
          <w:szCs w:val="24"/>
          <w:highlight w:val="none"/>
        </w:rPr>
      </w:pP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为</w:t>
      </w:r>
      <w:r>
        <w:rPr>
          <w:rFonts w:hint="eastAsia" w:ascii="宋体" w:hAnsi="宋体" w:cs="宋体"/>
          <w:sz w:val="24"/>
          <w:szCs w:val="24"/>
          <w:highlight w:val="none"/>
        </w:rPr>
        <w:t>投标供应商</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（乙公司全称）</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（……公司全称）</w:t>
      </w:r>
      <w:r>
        <w:rPr>
          <w:rFonts w:hint="eastAsia" w:ascii="宋体" w:hAnsi="宋体" w:cs="宋体"/>
          <w:sz w:val="24"/>
          <w:szCs w:val="24"/>
          <w:highlight w:val="none"/>
        </w:rPr>
        <w:t>为分包意向供应商，</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以投标供应商的身份参加本项目的</w:t>
      </w:r>
      <w:r>
        <w:rPr>
          <w:rFonts w:hint="eastAsia" w:ascii="宋体" w:hAnsi="宋体" w:cs="宋体"/>
          <w:kern w:val="0"/>
          <w:sz w:val="24"/>
          <w:szCs w:val="24"/>
          <w:highlight w:val="none"/>
        </w:rPr>
        <w:t>投标</w:t>
      </w:r>
      <w:r>
        <w:rPr>
          <w:rFonts w:hint="eastAsia" w:ascii="宋体" w:hAnsi="宋体" w:cs="宋体"/>
          <w:sz w:val="24"/>
          <w:szCs w:val="24"/>
          <w:highlight w:val="none"/>
        </w:rPr>
        <w:t>。若中标，</w:t>
      </w: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与</w:t>
      </w:r>
      <w:r>
        <w:rPr>
          <w:rFonts w:hint="eastAsia" w:ascii="宋体" w:hAnsi="宋体" w:cs="宋体"/>
          <w:sz w:val="24"/>
          <w:szCs w:val="24"/>
          <w:highlight w:val="none"/>
        </w:rPr>
        <w:t>采购人签订政府采购合同。承接分包意向的各供应商与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签订分包合同。</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就采购项目和分包项目向采购人负责，分包供应商就分包项目承担责任。</w:t>
      </w:r>
    </w:p>
    <w:p w14:paraId="040FCC8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二、有关事项约定如下：</w:t>
      </w:r>
    </w:p>
    <w:p w14:paraId="015C6FC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1.如中标，分包供应商分别与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签订合同书，并就中标项目分包部分向采购人负责有连带的和各自的法律责任；</w:t>
      </w:r>
    </w:p>
    <w:p w14:paraId="4F76E53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2.分包意向供应商1</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 xml:space="preserve"> （具体分包内容），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44A509B6">
      <w:pPr>
        <w:rPr>
          <w:rFonts w:hint="eastAsia" w:ascii="宋体" w:hAnsi="宋体" w:cs="宋体"/>
          <w:sz w:val="24"/>
          <w:szCs w:val="24"/>
          <w:highlight w:val="none"/>
        </w:rPr>
      </w:pPr>
      <w:r>
        <w:rPr>
          <w:rFonts w:hint="eastAsia" w:ascii="宋体" w:hAnsi="宋体" w:cs="宋体"/>
          <w:sz w:val="24"/>
          <w:szCs w:val="24"/>
          <w:highlight w:val="none"/>
        </w:rPr>
        <w:t>3.分包意向供应商2</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3DB43B1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4.分包意向供应商3</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36B64B0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p>
    <w:p w14:paraId="2B274B4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三、接受分包合同的中小企业与分包企业之间</w:t>
      </w:r>
      <w:r>
        <w:rPr>
          <w:rFonts w:hint="eastAsia" w:ascii="宋体" w:hAnsi="宋体" w:cs="宋体"/>
          <w:sz w:val="24"/>
          <w:szCs w:val="24"/>
          <w:highlight w:val="none"/>
          <w:u w:val="single"/>
        </w:rPr>
        <w:t>（请填写：是否存在）</w:t>
      </w:r>
      <w:r>
        <w:rPr>
          <w:rFonts w:hint="eastAsia" w:ascii="宋体" w:hAnsi="宋体" w:cs="宋体"/>
          <w:sz w:val="24"/>
          <w:szCs w:val="24"/>
          <w:highlight w:val="none"/>
        </w:rPr>
        <w:t>直接控股、管理关系的情形。</w:t>
      </w:r>
    </w:p>
    <w:p w14:paraId="2564BDED">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四、如因违约过失责任而导致采购人经济损失或被索赔时，</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kern w:val="0"/>
          <w:sz w:val="24"/>
          <w:szCs w:val="24"/>
          <w:highlight w:val="none"/>
        </w:rPr>
        <w:t>同意无条件优先清偿采购人的一切债务和经济赔偿。</w:t>
      </w:r>
    </w:p>
    <w:p w14:paraId="74076194">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五、中小企业合同金额为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，其中小微企业合同金额为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w:t>
      </w:r>
    </w:p>
    <w:p w14:paraId="277D7821">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p>
    <w:p w14:paraId="14E3C68A">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r>
        <w:rPr>
          <w:rFonts w:hint="eastAsia" w:ascii="宋体" w:hAnsi="宋体" w:cs="宋体"/>
          <w:kern w:val="0"/>
          <w:sz w:val="24"/>
          <w:szCs w:val="24"/>
          <w:highlight w:val="none"/>
        </w:rPr>
        <w:t xml:space="preserve">投标人：（盖章） </w:t>
      </w:r>
      <w:r>
        <w:rPr>
          <w:rFonts w:hint="eastAsia" w:ascii="宋体" w:hAnsi="宋体" w:cs="宋体"/>
          <w:kern w:val="0"/>
          <w:sz w:val="24"/>
          <w:szCs w:val="24"/>
          <w:highlight w:val="none"/>
        </w:rPr>
        <w:tab/>
      </w:r>
    </w:p>
    <w:p w14:paraId="33127156">
      <w:pPr>
        <w:widowControl/>
        <w:tabs>
          <w:tab w:val="left" w:pos="2977"/>
          <w:tab w:val="left" w:pos="5954"/>
        </w:tabs>
        <w:spacing w:line="440" w:lineRule="exact"/>
        <w:ind w:firstLine="4320" w:firstLineChars="1800"/>
        <w:jc w:val="left"/>
        <w:rPr>
          <w:rFonts w:hint="eastAsia" w:ascii="宋体" w:hAnsi="宋体" w:cs="宋体"/>
          <w:kern w:val="0"/>
          <w:sz w:val="24"/>
          <w:szCs w:val="24"/>
          <w:highlight w:val="none"/>
        </w:rPr>
      </w:pPr>
      <w:r>
        <w:rPr>
          <w:rFonts w:hint="eastAsia" w:ascii="宋体" w:hAnsi="宋体" w:cs="宋体"/>
          <w:kern w:val="0"/>
          <w:sz w:val="24"/>
          <w:szCs w:val="24"/>
          <w:highlight w:val="none"/>
        </w:rPr>
        <w:t>法定代表人（签字或</w:t>
      </w:r>
      <w:r>
        <w:rPr>
          <w:rFonts w:hint="eastAsia" w:ascii="宋体" w:hAnsi="宋体" w:cs="宋体"/>
          <w:sz w:val="24"/>
          <w:szCs w:val="24"/>
          <w:highlight w:val="none"/>
        </w:rPr>
        <w:t>盖章</w:t>
      </w:r>
      <w:r>
        <w:rPr>
          <w:rFonts w:hint="eastAsia" w:ascii="宋体" w:hAnsi="宋体" w:cs="宋体"/>
          <w:kern w:val="0"/>
          <w:sz w:val="24"/>
          <w:szCs w:val="24"/>
          <w:highlight w:val="none"/>
        </w:rPr>
        <w:t>）</w:t>
      </w:r>
    </w:p>
    <w:p w14:paraId="33536DF8">
      <w:pPr>
        <w:widowControl/>
        <w:tabs>
          <w:tab w:val="left" w:pos="2977"/>
          <w:tab w:val="left" w:pos="5954"/>
        </w:tabs>
        <w:spacing w:line="440" w:lineRule="exact"/>
        <w:jc w:val="left"/>
        <w:rPr>
          <w:rFonts w:hint="eastAsia" w:ascii="宋体" w:hAnsi="宋体" w:cs="宋体"/>
          <w:kern w:val="0"/>
          <w:sz w:val="24"/>
          <w:szCs w:val="24"/>
          <w:highlight w:val="none"/>
        </w:rPr>
      </w:pPr>
      <w:r>
        <w:rPr>
          <w:rFonts w:hint="eastAsia" w:ascii="宋体" w:hAnsi="宋体" w:cs="宋体"/>
          <w:kern w:val="0"/>
          <w:sz w:val="24"/>
          <w:szCs w:val="24"/>
          <w:highlight w:val="none"/>
        </w:rPr>
        <w:t>　　                                   年　　月　　日</w:t>
      </w:r>
      <w:r>
        <w:rPr>
          <w:rFonts w:hint="eastAsia" w:ascii="宋体" w:hAnsi="宋体" w:cs="宋体"/>
          <w:kern w:val="0"/>
          <w:sz w:val="24"/>
          <w:szCs w:val="24"/>
          <w:highlight w:val="none"/>
        </w:rPr>
        <w:tab/>
      </w:r>
    </w:p>
    <w:p w14:paraId="68BD9261">
      <w:pPr>
        <w:spacing w:line="440" w:lineRule="exact"/>
        <w:ind w:left="708" w:hanging="708" w:hangingChars="294"/>
        <w:rPr>
          <w:rFonts w:hint="eastAsia" w:ascii="宋体" w:hAnsi="宋体" w:cs="宋体"/>
          <w:b/>
          <w:sz w:val="24"/>
          <w:szCs w:val="24"/>
          <w:highlight w:val="none"/>
        </w:rPr>
      </w:pPr>
    </w:p>
    <w:p w14:paraId="22FAC4E3">
      <w:pPr>
        <w:spacing w:line="440" w:lineRule="exact"/>
        <w:ind w:left="708" w:hanging="708" w:hangingChars="294"/>
        <w:rPr>
          <w:rFonts w:hint="eastAsia" w:ascii="宋体" w:hAnsi="宋体" w:cs="宋体"/>
          <w:b/>
          <w:bCs/>
          <w:sz w:val="24"/>
          <w:szCs w:val="24"/>
          <w:highlight w:val="none"/>
        </w:rPr>
      </w:pPr>
      <w:r>
        <w:rPr>
          <w:rFonts w:hint="eastAsia" w:ascii="宋体" w:hAnsi="宋体" w:cs="宋体"/>
          <w:b/>
          <w:sz w:val="24"/>
          <w:szCs w:val="24"/>
          <w:highlight w:val="none"/>
        </w:rPr>
        <w:t>注：</w:t>
      </w:r>
      <w:r>
        <w:rPr>
          <w:rFonts w:hint="eastAsia" w:ascii="宋体" w:hAnsi="宋体" w:cs="宋体"/>
          <w:b/>
          <w:bCs/>
          <w:sz w:val="24"/>
          <w:szCs w:val="24"/>
          <w:highlight w:val="none"/>
        </w:rPr>
        <w:t>本分包意向协议内容将作为签订合同的附件之一。</w:t>
      </w:r>
    </w:p>
    <w:p w14:paraId="1910A616">
      <w:pPr>
        <w:widowControl/>
        <w:shd w:val="clear" w:color="auto" w:fill="FFFFFF"/>
        <w:wordWrap w:val="0"/>
        <w:spacing w:before="30" w:after="30"/>
        <w:ind w:firstLine="420"/>
        <w:textAlignment w:val="baseline"/>
        <w:rPr>
          <w:rFonts w:hint="eastAsia" w:ascii="宋体" w:hAnsi="宋体" w:cs="宋体"/>
          <w:color w:val="383838"/>
          <w:sz w:val="24"/>
          <w:szCs w:val="24"/>
          <w:highlight w:val="none"/>
          <w:shd w:val="clear" w:color="auto" w:fill="FFFFFF"/>
        </w:rPr>
      </w:pPr>
    </w:p>
    <w:p w14:paraId="5F587735">
      <w:pPr>
        <w:rPr>
          <w:rFonts w:hint="eastAsia" w:ascii="宋体" w:hAnsi="宋体"/>
          <w:b/>
          <w:sz w:val="28"/>
          <w:szCs w:val="28"/>
        </w:rPr>
      </w:pPr>
      <w:r>
        <w:rPr>
          <w:rFonts w:hint="eastAsia" w:ascii="宋体" w:hAnsi="宋体"/>
          <w:b/>
          <w:sz w:val="28"/>
          <w:szCs w:val="28"/>
        </w:rPr>
        <w:br w:type="page"/>
      </w:r>
    </w:p>
    <w:p w14:paraId="5748F511">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四、投标函附件2-</w:t>
      </w:r>
      <w:r>
        <w:rPr>
          <w:rFonts w:ascii="宋体" w:hAnsi="宋体"/>
          <w:b/>
          <w:sz w:val="28"/>
          <w:szCs w:val="28"/>
        </w:rPr>
        <w:t>1</w:t>
      </w:r>
    </w:p>
    <w:p w14:paraId="52D61E50">
      <w:pPr>
        <w:spacing w:line="440" w:lineRule="exact"/>
        <w:rPr>
          <w:rFonts w:ascii="宋体" w:hAnsi="宋体"/>
          <w:sz w:val="24"/>
        </w:rPr>
      </w:pPr>
      <w:r>
        <w:rPr>
          <w:rFonts w:hint="eastAsia" w:ascii="宋体" w:hAnsi="宋体"/>
          <w:sz w:val="24"/>
        </w:rPr>
        <w:t>致：新疆守正项目管理咨询有限公司</w:t>
      </w:r>
    </w:p>
    <w:p w14:paraId="065B6048">
      <w:pPr>
        <w:spacing w:line="440" w:lineRule="exact"/>
        <w:ind w:firstLine="555"/>
        <w:rPr>
          <w:rFonts w:ascii="宋体" w:hAnsi="宋体"/>
          <w:sz w:val="24"/>
        </w:rPr>
      </w:pPr>
      <w:r>
        <w:rPr>
          <w:rFonts w:hint="eastAsia" w:ascii="宋体" w:hAnsi="宋体"/>
          <w:sz w:val="24"/>
        </w:rPr>
        <w:t>根据贵方为项目招标的投标邀请</w:t>
      </w:r>
      <w:r>
        <w:rPr>
          <w:rFonts w:hint="eastAsia" w:ascii="宋体" w:hAnsi="宋体"/>
          <w:sz w:val="24"/>
          <w:u w:val="single"/>
        </w:rPr>
        <w:t xml:space="preserve"> 项目编号 </w:t>
      </w:r>
      <w:r>
        <w:rPr>
          <w:rFonts w:hint="eastAsia" w:ascii="宋体" w:hAnsi="宋体"/>
          <w:sz w:val="24"/>
        </w:rPr>
        <w:t>，签字代表</w:t>
      </w:r>
      <w:r>
        <w:rPr>
          <w:rFonts w:hint="eastAsia" w:ascii="宋体" w:hAnsi="宋体"/>
          <w:sz w:val="24"/>
          <w:u w:val="single"/>
        </w:rPr>
        <w:t>（姓名、职务）</w:t>
      </w:r>
      <w:r>
        <w:rPr>
          <w:rFonts w:hint="eastAsia" w:ascii="宋体" w:hAnsi="宋体"/>
          <w:sz w:val="24"/>
        </w:rPr>
        <w:t>经正式授权并代表投标人</w:t>
      </w:r>
      <w:r>
        <w:rPr>
          <w:rFonts w:hint="eastAsia" w:ascii="宋体" w:hAnsi="宋体"/>
          <w:sz w:val="24"/>
          <w:u w:val="single"/>
        </w:rPr>
        <w:t>（投标人名称、地址）</w:t>
      </w:r>
      <w:r>
        <w:rPr>
          <w:rFonts w:hint="eastAsia" w:ascii="宋体" w:hAnsi="宋体"/>
          <w:sz w:val="24"/>
        </w:rPr>
        <w:t>对此项目进行投标。据此函，签字代表宣布并同意如下：</w:t>
      </w:r>
    </w:p>
    <w:p w14:paraId="7741242D">
      <w:pPr>
        <w:spacing w:line="440" w:lineRule="exact"/>
        <w:ind w:firstLine="472" w:firstLineChars="200"/>
        <w:rPr>
          <w:rFonts w:ascii="宋体" w:hAnsi="宋体"/>
          <w:spacing w:val="-2"/>
          <w:sz w:val="24"/>
          <w:u w:val="single"/>
        </w:rPr>
      </w:pPr>
      <w:r>
        <w:rPr>
          <w:rFonts w:hint="eastAsia" w:ascii="宋体" w:hAnsi="宋体"/>
          <w:spacing w:val="-2"/>
          <w:sz w:val="24"/>
        </w:rPr>
        <w:t>⒈按照招标文件中的一切要求，提供投标货物、安装及技术服务，投标总价</w:t>
      </w:r>
      <w:r>
        <w:rPr>
          <w:rFonts w:hint="eastAsia" w:ascii="宋体" w:hAnsi="宋体"/>
          <w:spacing w:val="-2"/>
          <w:sz w:val="24"/>
          <w:u w:val="single"/>
        </w:rPr>
        <w:t xml:space="preserve">        </w:t>
      </w:r>
      <w:r>
        <w:rPr>
          <w:rFonts w:hint="eastAsia" w:ascii="宋体" w:hAnsi="宋体"/>
          <w:spacing w:val="-2"/>
          <w:sz w:val="24"/>
        </w:rPr>
        <w:t>元（人民币大写）￥：</w:t>
      </w:r>
      <w:r>
        <w:rPr>
          <w:rFonts w:hint="eastAsia" w:ascii="宋体" w:hAnsi="宋体"/>
          <w:spacing w:val="-2"/>
          <w:sz w:val="24"/>
          <w:u w:val="single"/>
        </w:rPr>
        <w:t xml:space="preserve">          </w:t>
      </w:r>
      <w:r>
        <w:rPr>
          <w:rFonts w:hint="eastAsia" w:ascii="宋体" w:hAnsi="宋体"/>
          <w:spacing w:val="-2"/>
          <w:sz w:val="24"/>
        </w:rPr>
        <w:t>元（用阿拉伯数字书写）人民币。明细见投标产品名称数量报价表。</w:t>
      </w:r>
    </w:p>
    <w:p w14:paraId="42F8B5D4">
      <w:pPr>
        <w:spacing w:line="440" w:lineRule="exact"/>
        <w:ind w:firstLine="472" w:firstLineChars="200"/>
        <w:rPr>
          <w:rFonts w:ascii="宋体" w:hAnsi="宋体"/>
          <w:sz w:val="24"/>
        </w:rPr>
      </w:pPr>
      <w:r>
        <w:rPr>
          <w:rFonts w:hint="eastAsia" w:ascii="宋体" w:hAnsi="宋体"/>
          <w:spacing w:val="-2"/>
          <w:sz w:val="24"/>
        </w:rPr>
        <w:t>1.我方同意在本项目招标文件中规定的开标日起九十日内遵守本投标文件中的承诺且在</w:t>
      </w:r>
      <w:r>
        <w:rPr>
          <w:rFonts w:hint="eastAsia" w:ascii="宋体" w:hAnsi="宋体"/>
          <w:sz w:val="24"/>
        </w:rPr>
        <w:t>此期限期满之前均具有约束力。</w:t>
      </w:r>
    </w:p>
    <w:p w14:paraId="2D7D9525">
      <w:pPr>
        <w:spacing w:line="440" w:lineRule="exact"/>
        <w:ind w:firstLine="480" w:firstLineChars="200"/>
        <w:rPr>
          <w:rFonts w:ascii="宋体" w:hAnsi="宋体"/>
          <w:spacing w:val="-2"/>
          <w:sz w:val="24"/>
        </w:rPr>
      </w:pPr>
      <w:r>
        <w:rPr>
          <w:rFonts w:ascii="宋体" w:hAnsi="宋体" w:cs="Arial"/>
          <w:sz w:val="24"/>
        </w:rPr>
        <w:t>2.</w:t>
      </w:r>
      <w:r>
        <w:rPr>
          <w:rFonts w:hint="eastAsia" w:ascii="宋体" w:hAnsi="宋体"/>
          <w:spacing w:val="-2"/>
          <w:sz w:val="24"/>
        </w:rPr>
        <w:t>若我方中标，我方承诺按投标产品规格向甲方提供供货服务。</w:t>
      </w:r>
    </w:p>
    <w:p w14:paraId="38AA4137">
      <w:pPr>
        <w:adjustRightInd w:val="0"/>
        <w:snapToGrid w:val="0"/>
        <w:spacing w:line="440" w:lineRule="exact"/>
        <w:ind w:firstLine="480" w:firstLineChars="200"/>
        <w:rPr>
          <w:rFonts w:ascii="宋体" w:hAnsi="宋体"/>
          <w:sz w:val="24"/>
        </w:rPr>
      </w:pPr>
      <w:r>
        <w:rPr>
          <w:rFonts w:ascii="宋体" w:hAnsi="宋体"/>
          <w:sz w:val="24"/>
        </w:rPr>
        <w:t>3</w:t>
      </w:r>
      <w:r>
        <w:rPr>
          <w:rFonts w:hint="eastAsia" w:ascii="宋体" w:hAnsi="宋体"/>
          <w:sz w:val="24"/>
        </w:rPr>
        <w:t>.已详细审阅全部招标文件(包括招标文件澄清函)，理解投标人须知的所有条款。</w:t>
      </w:r>
    </w:p>
    <w:p w14:paraId="0FCA3CEF">
      <w:pPr>
        <w:adjustRightInd w:val="0"/>
        <w:snapToGrid w:val="0"/>
        <w:spacing w:line="440" w:lineRule="exact"/>
        <w:ind w:firstLine="480" w:firstLineChars="200"/>
        <w:rPr>
          <w:rFonts w:ascii="宋体" w:hAnsi="宋体"/>
          <w:sz w:val="24"/>
        </w:rPr>
      </w:pPr>
      <w:r>
        <w:rPr>
          <w:rFonts w:ascii="宋体" w:hAnsi="宋体"/>
          <w:sz w:val="24"/>
        </w:rPr>
        <w:t>4</w:t>
      </w:r>
      <w:r>
        <w:rPr>
          <w:rFonts w:hint="eastAsia" w:ascii="宋体" w:hAnsi="宋体"/>
          <w:sz w:val="24"/>
        </w:rPr>
        <w:t>.完全理解贵方“最低报价不能作为中标的保证”的规定。</w:t>
      </w:r>
    </w:p>
    <w:p w14:paraId="2C463A5E">
      <w:pPr>
        <w:adjustRightInd w:val="0"/>
        <w:snapToGrid w:val="0"/>
        <w:spacing w:line="440" w:lineRule="exact"/>
        <w:ind w:firstLine="480" w:firstLineChars="200"/>
        <w:rPr>
          <w:rFonts w:ascii="宋体" w:hAnsi="宋体"/>
          <w:sz w:val="24"/>
        </w:rPr>
      </w:pPr>
      <w:r>
        <w:rPr>
          <w:rFonts w:ascii="宋体" w:hAnsi="宋体"/>
          <w:sz w:val="24"/>
        </w:rPr>
        <w:t>5.</w:t>
      </w:r>
      <w:r>
        <w:rPr>
          <w:rFonts w:hint="eastAsia" w:ascii="宋体" w:hAnsi="宋体"/>
          <w:sz w:val="24"/>
        </w:rPr>
        <w:t>接受招标文件中全部合同条款，且无任何异议；保证忠实地执行双方所签订的合同，并承担合同规定的责任和义务。</w:t>
      </w:r>
    </w:p>
    <w:p w14:paraId="5B3F88D7">
      <w:pPr>
        <w:adjustRightInd w:val="0"/>
        <w:snapToGrid w:val="0"/>
        <w:spacing w:line="440" w:lineRule="exact"/>
        <w:ind w:firstLine="480" w:firstLineChars="200"/>
        <w:rPr>
          <w:rFonts w:ascii="宋体" w:hAnsi="宋体"/>
          <w:sz w:val="24"/>
        </w:rPr>
      </w:pPr>
      <w:r>
        <w:rPr>
          <w:rFonts w:ascii="宋体" w:hAnsi="宋体"/>
          <w:sz w:val="24"/>
        </w:rPr>
        <w:t>6</w:t>
      </w:r>
      <w:r>
        <w:rPr>
          <w:rFonts w:hint="eastAsia" w:ascii="宋体" w:hAnsi="宋体"/>
          <w:sz w:val="24"/>
        </w:rPr>
        <w:t>.完全满足和响应招标文件中的各项商务和技术要求，若有偏差，已在投标文件中明确说明。</w:t>
      </w:r>
    </w:p>
    <w:p w14:paraId="6C8D4E3D">
      <w:pPr>
        <w:adjustRightInd w:val="0"/>
        <w:snapToGrid w:val="0"/>
        <w:spacing w:line="440" w:lineRule="exact"/>
        <w:ind w:firstLine="480" w:firstLineChars="200"/>
        <w:rPr>
          <w:rFonts w:ascii="宋体" w:hAnsi="宋体"/>
          <w:sz w:val="24"/>
        </w:rPr>
      </w:pPr>
      <w:r>
        <w:rPr>
          <w:rFonts w:ascii="宋体" w:hAnsi="宋体"/>
          <w:sz w:val="24"/>
        </w:rPr>
        <w:t>7</w:t>
      </w:r>
      <w:r>
        <w:rPr>
          <w:rFonts w:hint="eastAsia" w:ascii="宋体" w:hAnsi="宋体"/>
          <w:sz w:val="24"/>
        </w:rPr>
        <w:t>.愿意提供任何与投标有关的数据、情况和技术资料等。</w:t>
      </w:r>
    </w:p>
    <w:p w14:paraId="01277E26">
      <w:pPr>
        <w:adjustRightInd w:val="0"/>
        <w:snapToGrid w:val="0"/>
        <w:spacing w:line="440" w:lineRule="exact"/>
        <w:ind w:firstLine="480" w:firstLineChars="200"/>
        <w:rPr>
          <w:rFonts w:ascii="宋体" w:hAnsi="宋体"/>
          <w:sz w:val="24"/>
        </w:rPr>
      </w:pPr>
      <w:r>
        <w:rPr>
          <w:rFonts w:ascii="宋体" w:hAnsi="宋体"/>
          <w:sz w:val="24"/>
        </w:rPr>
        <w:t>8</w:t>
      </w:r>
      <w:r>
        <w:rPr>
          <w:rFonts w:hint="eastAsia" w:ascii="宋体" w:hAnsi="宋体"/>
          <w:sz w:val="24"/>
        </w:rPr>
        <w:t>.我方已详细审核全部投标文件、参考资料及有关附件，确认无误。</w:t>
      </w:r>
    </w:p>
    <w:p w14:paraId="3390F061">
      <w:pPr>
        <w:adjustRightInd w:val="0"/>
        <w:snapToGrid w:val="0"/>
        <w:spacing w:line="440" w:lineRule="exact"/>
        <w:ind w:firstLine="480" w:firstLineChars="200"/>
        <w:rPr>
          <w:rFonts w:ascii="宋体" w:hAnsi="宋体"/>
          <w:sz w:val="24"/>
        </w:rPr>
      </w:pPr>
      <w:r>
        <w:rPr>
          <w:rFonts w:ascii="宋体" w:hAnsi="宋体"/>
          <w:sz w:val="24"/>
        </w:rPr>
        <w:t>9</w:t>
      </w:r>
      <w:r>
        <w:rPr>
          <w:rFonts w:hint="eastAsia" w:ascii="宋体" w:hAnsi="宋体"/>
          <w:sz w:val="24"/>
        </w:rPr>
        <w:t>.对本次招标内容及与本项目有关的知识产权、技术资料、商业秘密及相关信息保密。</w:t>
      </w:r>
    </w:p>
    <w:p w14:paraId="20959757">
      <w:pPr>
        <w:adjustRightInd w:val="0"/>
        <w:snapToGrid w:val="0"/>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.与采购人和采购代理机构无任何的隶属关系或者其他利害关系。</w:t>
      </w:r>
    </w:p>
    <w:p w14:paraId="43DAE16A">
      <w:pPr>
        <w:adjustRightInd w:val="0"/>
        <w:snapToGrid w:val="0"/>
        <w:spacing w:line="440" w:lineRule="exact"/>
        <w:rPr>
          <w:rFonts w:ascii="宋体" w:hAnsi="宋体"/>
          <w:sz w:val="24"/>
        </w:rPr>
      </w:pPr>
    </w:p>
    <w:p w14:paraId="39AED5D8">
      <w:pPr>
        <w:spacing w:line="440" w:lineRule="exact"/>
        <w:ind w:firstLine="240" w:firstLineChars="100"/>
        <w:rPr>
          <w:rFonts w:ascii="宋体" w:hAnsi="宋体"/>
          <w:sz w:val="24"/>
        </w:rPr>
      </w:pPr>
      <w:r>
        <w:rPr>
          <w:rFonts w:hint="eastAsia" w:ascii="宋体" w:hAnsi="宋体"/>
          <w:sz w:val="24"/>
        </w:rPr>
        <w:t>与本投标有关的一切正式往来信函请寄：</w:t>
      </w:r>
    </w:p>
    <w:p w14:paraId="33B07181">
      <w:pPr>
        <w:spacing w:line="440" w:lineRule="exact"/>
        <w:ind w:firstLine="240" w:firstLineChars="100"/>
        <w:rPr>
          <w:rFonts w:ascii="宋体" w:hAnsi="宋体"/>
          <w:sz w:val="24"/>
          <w:u w:val="single"/>
        </w:rPr>
      </w:pPr>
      <w:r>
        <w:rPr>
          <w:rFonts w:hint="eastAsia" w:ascii="宋体" w:hAnsi="宋体"/>
          <w:sz w:val="24"/>
        </w:rPr>
        <w:t>地　　　　　址：</w:t>
      </w:r>
      <w:r>
        <w:rPr>
          <w:rFonts w:hint="eastAsia" w:ascii="宋体" w:hAnsi="宋体"/>
          <w:sz w:val="24"/>
          <w:u w:val="single"/>
        </w:rPr>
        <w:t>　　　　　　　　　　</w:t>
      </w:r>
      <w:r>
        <w:rPr>
          <w:rFonts w:hint="eastAsia" w:ascii="宋体" w:hAnsi="宋体"/>
          <w:sz w:val="24"/>
        </w:rPr>
        <w:t>邮编：</w:t>
      </w:r>
      <w:r>
        <w:rPr>
          <w:rFonts w:hint="eastAsia" w:ascii="宋体" w:hAnsi="宋体"/>
          <w:sz w:val="24"/>
          <w:u w:val="single"/>
        </w:rPr>
        <w:t>　　　　　　　　　</w:t>
      </w:r>
    </w:p>
    <w:p w14:paraId="4E804159">
      <w:pPr>
        <w:spacing w:line="440" w:lineRule="exact"/>
        <w:rPr>
          <w:rFonts w:ascii="宋体" w:hAnsi="宋体"/>
          <w:sz w:val="24"/>
        </w:rPr>
      </w:pPr>
      <w:r>
        <w:rPr>
          <w:rFonts w:hint="eastAsia" w:ascii="宋体" w:hAnsi="宋体"/>
          <w:sz w:val="24"/>
        </w:rPr>
        <w:t>　电　　　　　话：</w:t>
      </w:r>
      <w:r>
        <w:rPr>
          <w:rFonts w:hint="eastAsia" w:ascii="宋体" w:hAnsi="宋体"/>
          <w:sz w:val="24"/>
          <w:u w:val="single"/>
        </w:rPr>
        <w:t>　　　　　　　　　　</w:t>
      </w:r>
      <w:r>
        <w:rPr>
          <w:rFonts w:hint="eastAsia" w:ascii="宋体" w:hAnsi="宋体"/>
          <w:sz w:val="24"/>
        </w:rPr>
        <w:t>传真：</w:t>
      </w:r>
      <w:r>
        <w:rPr>
          <w:rFonts w:hint="eastAsia" w:ascii="宋体" w:hAnsi="宋体"/>
          <w:sz w:val="24"/>
          <w:u w:val="single"/>
        </w:rPr>
        <w:t>　　　　　　　　　</w:t>
      </w:r>
    </w:p>
    <w:p w14:paraId="6FCC104B">
      <w:pPr>
        <w:spacing w:line="440" w:lineRule="exact"/>
        <w:rPr>
          <w:rFonts w:ascii="宋体" w:hAnsi="宋体"/>
          <w:sz w:val="24"/>
        </w:rPr>
      </w:pPr>
      <w:r>
        <w:rPr>
          <w:rFonts w:hint="eastAsia" w:ascii="宋体" w:hAnsi="宋体"/>
          <w:sz w:val="24"/>
        </w:rPr>
        <w:t>　投标人代表签字：</w:t>
      </w:r>
      <w:r>
        <w:rPr>
          <w:rFonts w:hint="eastAsia" w:ascii="宋体" w:hAnsi="宋体"/>
          <w:sz w:val="24"/>
          <w:u w:val="single"/>
        </w:rPr>
        <w:t>　　　　　　　　　　　　　</w:t>
      </w:r>
    </w:p>
    <w:p w14:paraId="5F6750E5">
      <w:pPr>
        <w:spacing w:line="440" w:lineRule="exact"/>
        <w:rPr>
          <w:rFonts w:ascii="宋体" w:hAnsi="宋体"/>
          <w:sz w:val="24"/>
        </w:rPr>
      </w:pPr>
      <w:r>
        <w:rPr>
          <w:rFonts w:hint="eastAsia" w:ascii="宋体" w:hAnsi="宋体"/>
          <w:sz w:val="24"/>
        </w:rPr>
        <w:t>　投标人名称：</w:t>
      </w:r>
      <w:r>
        <w:rPr>
          <w:rFonts w:hint="eastAsia" w:ascii="宋体" w:hAnsi="宋体"/>
          <w:sz w:val="24"/>
          <w:u w:val="single"/>
        </w:rPr>
        <w:t>　　　　　　　　　　</w:t>
      </w:r>
    </w:p>
    <w:p w14:paraId="044CED08">
      <w:pPr>
        <w:spacing w:line="440" w:lineRule="exact"/>
        <w:ind w:firstLine="6240" w:firstLineChars="2600"/>
        <w:rPr>
          <w:rFonts w:ascii="宋体" w:hAnsi="宋体"/>
          <w:sz w:val="24"/>
        </w:rPr>
      </w:pPr>
      <w:r>
        <w:rPr>
          <w:rFonts w:hint="eastAsia" w:ascii="宋体" w:hAnsi="宋体"/>
          <w:sz w:val="24"/>
        </w:rPr>
        <w:t>（单位公章）</w:t>
      </w:r>
    </w:p>
    <w:p w14:paraId="79B93DC9">
      <w:pPr>
        <w:spacing w:line="440" w:lineRule="exact"/>
        <w:ind w:firstLine="5880" w:firstLineChars="2450"/>
        <w:rPr>
          <w:rFonts w:ascii="宋体" w:hAnsi="宋体"/>
          <w:sz w:val="24"/>
        </w:rPr>
      </w:pPr>
      <w:r>
        <w:rPr>
          <w:rFonts w:ascii="宋体" w:hAnsi="宋体"/>
          <w:sz w:val="24"/>
        </w:rPr>
        <w:t>20</w:t>
      </w:r>
      <w:r>
        <w:rPr>
          <w:rFonts w:hint="eastAsia" w:ascii="宋体" w:hAnsi="宋体"/>
          <w:sz w:val="24"/>
        </w:rPr>
        <w:t xml:space="preserve">  年  月  日</w:t>
      </w:r>
    </w:p>
    <w:p w14:paraId="7E85622D">
      <w:pPr>
        <w:adjustRightInd w:val="0"/>
        <w:snapToGrid w:val="0"/>
        <w:spacing w:line="440" w:lineRule="exact"/>
        <w:ind w:firstLine="482" w:firstLineChars="200"/>
        <w:rPr>
          <w:rFonts w:ascii="宋体" w:hAnsi="宋体"/>
          <w:b/>
          <w:sz w:val="24"/>
          <w:em w:val="dot"/>
        </w:rPr>
      </w:pPr>
      <w:r>
        <w:rPr>
          <w:rFonts w:hint="eastAsia" w:ascii="宋体" w:hAnsi="宋体"/>
          <w:b/>
          <w:sz w:val="24"/>
          <w:em w:val="dot"/>
        </w:rPr>
        <w:t>注：除可填报项目外，对本投标函的任何修改将被视为非实质性响应投标，从而导致该投标被拒绝。</w:t>
      </w:r>
    </w:p>
    <w:p w14:paraId="07307A44">
      <w:pPr>
        <w:pStyle w:val="117"/>
        <w:spacing w:after="0"/>
        <w:ind w:left="0" w:leftChars="0" w:firstLine="3" w:firstLineChars="1"/>
        <w:jc w:val="center"/>
        <w:outlineLvl w:val="1"/>
        <w:rPr>
          <w:rFonts w:ascii="宋体" w:hAnsi="宋体"/>
          <w:b/>
          <w:sz w:val="28"/>
          <w:szCs w:val="28"/>
        </w:rPr>
      </w:pPr>
      <w:r>
        <w:rPr>
          <w:b/>
          <w:sz w:val="30"/>
          <w:szCs w:val="30"/>
        </w:rPr>
        <w:br w:type="page"/>
      </w:r>
      <w:r>
        <w:rPr>
          <w:rFonts w:hint="eastAsia" w:ascii="宋体" w:hAnsi="宋体"/>
          <w:b/>
          <w:sz w:val="28"/>
          <w:szCs w:val="28"/>
        </w:rPr>
        <w:t>五、反商业贿赂承诺书附件2-2</w:t>
      </w:r>
    </w:p>
    <w:p w14:paraId="6468D7D3">
      <w:pPr>
        <w:pStyle w:val="10"/>
        <w:spacing w:line="440" w:lineRule="exact"/>
        <w:ind w:firstLine="482"/>
        <w:rPr>
          <w:rFonts w:ascii="宋体" w:hAnsi="宋体"/>
          <w:sz w:val="24"/>
        </w:rPr>
      </w:pPr>
      <w:r>
        <w:rPr>
          <w:rFonts w:hint="eastAsia" w:ascii="宋体" w:hAnsi="宋体"/>
          <w:sz w:val="24"/>
        </w:rPr>
        <w:t>我公司承诺在</w:t>
      </w:r>
      <w:r>
        <w:rPr>
          <w:rFonts w:hint="eastAsia" w:ascii="宋体" w:hAnsi="宋体"/>
          <w:sz w:val="24"/>
          <w:u w:val="single"/>
        </w:rPr>
        <w:t>（项目名称、项目编号）</w:t>
      </w:r>
      <w:r>
        <w:rPr>
          <w:rFonts w:hint="eastAsia" w:ascii="宋体" w:hAnsi="宋体"/>
          <w:sz w:val="24"/>
        </w:rPr>
        <w:t>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5E999A07">
      <w:pPr>
        <w:pStyle w:val="10"/>
        <w:spacing w:line="440" w:lineRule="exact"/>
        <w:ind w:firstLine="482"/>
        <w:rPr>
          <w:rFonts w:ascii="宋体" w:hAnsi="宋体"/>
          <w:sz w:val="24"/>
        </w:rPr>
      </w:pPr>
      <w:r>
        <w:rPr>
          <w:rFonts w:hint="eastAsia" w:ascii="宋体" w:hAnsi="宋体"/>
          <w:sz w:val="24"/>
        </w:rPr>
        <w:t>公司法定代表：</w:t>
      </w:r>
    </w:p>
    <w:p w14:paraId="30854320">
      <w:pPr>
        <w:pStyle w:val="10"/>
        <w:spacing w:line="440" w:lineRule="exact"/>
        <w:ind w:firstLine="482"/>
        <w:rPr>
          <w:rFonts w:ascii="宋体" w:hAnsi="宋体"/>
          <w:sz w:val="24"/>
        </w:rPr>
      </w:pPr>
      <w:r>
        <w:rPr>
          <w:rFonts w:hint="eastAsia" w:ascii="宋体" w:hAnsi="宋体"/>
          <w:sz w:val="24"/>
        </w:rPr>
        <w:t>法人授权代表：</w:t>
      </w:r>
    </w:p>
    <w:p w14:paraId="0C81193C">
      <w:pPr>
        <w:pStyle w:val="10"/>
        <w:spacing w:line="440" w:lineRule="exact"/>
        <w:ind w:firstLine="480" w:firstLineChars="200"/>
        <w:rPr>
          <w:rFonts w:ascii="宋体" w:hAnsi="宋体"/>
          <w:sz w:val="24"/>
        </w:rPr>
      </w:pPr>
      <w:r>
        <w:rPr>
          <w:rFonts w:hint="eastAsia" w:ascii="宋体" w:hAnsi="宋体"/>
          <w:sz w:val="24"/>
        </w:rPr>
        <w:t>日期：</w:t>
      </w:r>
    </w:p>
    <w:p w14:paraId="61662F5F">
      <w:pPr>
        <w:pStyle w:val="117"/>
        <w:spacing w:after="0"/>
        <w:ind w:left="0" w:leftChars="0" w:firstLine="2" w:firstLineChars="1"/>
        <w:jc w:val="center"/>
        <w:outlineLvl w:val="1"/>
        <w:rPr>
          <w:rFonts w:ascii="宋体" w:hAnsi="宋体"/>
          <w:b/>
          <w:sz w:val="28"/>
          <w:szCs w:val="28"/>
        </w:rPr>
      </w:pPr>
      <w:r>
        <w:br w:type="page"/>
      </w:r>
      <w:r>
        <w:rPr>
          <w:rFonts w:hint="eastAsia"/>
        </w:rPr>
        <w:t>六</w:t>
      </w:r>
      <w:r>
        <w:rPr>
          <w:rFonts w:hint="eastAsia" w:ascii="宋体" w:hAnsi="宋体"/>
          <w:b/>
          <w:sz w:val="28"/>
          <w:szCs w:val="28"/>
        </w:rPr>
        <w:t>、开标一览表附件2-3</w:t>
      </w:r>
      <w:r>
        <w:rPr>
          <w:rFonts w:ascii="宋体" w:hAnsi="宋体"/>
          <w:b/>
          <w:sz w:val="28"/>
          <w:szCs w:val="28"/>
        </w:rPr>
        <w:t>-1</w:t>
      </w:r>
    </w:p>
    <w:p w14:paraId="5CA993A4">
      <w:pPr>
        <w:pStyle w:val="87"/>
        <w:spacing w:line="440" w:lineRule="exact"/>
        <w:ind w:left="210" w:leftChars="-86" w:hanging="391" w:hangingChars="163"/>
        <w:jc w:val="both"/>
        <w:rPr>
          <w:rFonts w:ascii="宋体" w:hAnsi="宋体"/>
          <w:color w:val="auto"/>
        </w:rPr>
      </w:pPr>
      <w:r>
        <w:rPr>
          <w:rFonts w:hint="eastAsia" w:ascii="宋体" w:hAnsi="宋体"/>
          <w:color w:val="auto"/>
        </w:rPr>
        <w:t>招标项目名称：</w:t>
      </w:r>
      <w:r>
        <w:rPr>
          <w:rFonts w:ascii="宋体" w:hAnsi="宋体"/>
          <w:color w:val="auto"/>
        </w:rPr>
        <w:t xml:space="preserve">                          </w:t>
      </w:r>
      <w:r>
        <w:rPr>
          <w:rFonts w:hint="eastAsia" w:ascii="宋体" w:hAnsi="宋体"/>
          <w:color w:val="auto"/>
        </w:rPr>
        <w:t>投标单位名称：</w:t>
      </w:r>
      <w:r>
        <w:rPr>
          <w:rFonts w:ascii="宋体" w:hAnsi="宋体"/>
          <w:color w:val="auto"/>
        </w:rPr>
        <w:t xml:space="preserve">                            </w:t>
      </w:r>
    </w:p>
    <w:p w14:paraId="3C923F37">
      <w:pPr>
        <w:pStyle w:val="87"/>
        <w:spacing w:line="440" w:lineRule="exact"/>
        <w:ind w:left="210" w:leftChars="-86" w:hanging="391" w:hangingChars="163"/>
        <w:jc w:val="both"/>
        <w:rPr>
          <w:rFonts w:ascii="宋体" w:hAnsi="宋体"/>
          <w:color w:val="auto"/>
        </w:rPr>
      </w:pPr>
      <w:r>
        <w:rPr>
          <w:rFonts w:hint="eastAsia" w:ascii="宋体" w:hAnsi="宋体"/>
          <w:color w:val="auto"/>
        </w:rPr>
        <w:t>项目编号：</w:t>
      </w:r>
      <w:r>
        <w:rPr>
          <w:rFonts w:ascii="宋体" w:hAnsi="宋体"/>
          <w:color w:val="auto"/>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687"/>
      </w:tblGrid>
      <w:tr w14:paraId="11BB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vAlign w:val="center"/>
          </w:tcPr>
          <w:p w14:paraId="6D1DBAC0">
            <w:pPr>
              <w:spacing w:line="440" w:lineRule="exact"/>
              <w:jc w:val="center"/>
              <w:rPr>
                <w:bCs/>
                <w:sz w:val="24"/>
                <w:szCs w:val="24"/>
              </w:rPr>
            </w:pPr>
            <w:r>
              <w:rPr>
                <w:rFonts w:hint="eastAsia"/>
                <w:sz w:val="24"/>
                <w:szCs w:val="24"/>
              </w:rPr>
              <w:t>分包序号、名称</w:t>
            </w:r>
          </w:p>
        </w:tc>
        <w:tc>
          <w:tcPr>
            <w:tcW w:w="6687" w:type="dxa"/>
            <w:vAlign w:val="center"/>
          </w:tcPr>
          <w:p w14:paraId="333FBEFF">
            <w:pPr>
              <w:spacing w:line="440" w:lineRule="exact"/>
              <w:jc w:val="center"/>
              <w:rPr>
                <w:bCs/>
                <w:sz w:val="24"/>
                <w:szCs w:val="24"/>
              </w:rPr>
            </w:pPr>
            <w:r>
              <w:rPr>
                <w:rFonts w:hint="eastAsia"/>
                <w:bCs/>
                <w:sz w:val="24"/>
                <w:szCs w:val="24"/>
              </w:rPr>
              <w:t>投标总报价</w:t>
            </w:r>
          </w:p>
        </w:tc>
      </w:tr>
      <w:tr w14:paraId="5786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vAlign w:val="center"/>
          </w:tcPr>
          <w:p w14:paraId="1864ECAA">
            <w:pPr>
              <w:spacing w:line="440" w:lineRule="exact"/>
              <w:jc w:val="center"/>
              <w:rPr>
                <w:sz w:val="24"/>
                <w:szCs w:val="24"/>
              </w:rPr>
            </w:pPr>
          </w:p>
        </w:tc>
        <w:tc>
          <w:tcPr>
            <w:tcW w:w="6687" w:type="dxa"/>
            <w:vAlign w:val="center"/>
          </w:tcPr>
          <w:p w14:paraId="75F64B77">
            <w:pPr>
              <w:spacing w:line="440" w:lineRule="exact"/>
              <w:rPr>
                <w:sz w:val="24"/>
                <w:szCs w:val="24"/>
              </w:rPr>
            </w:pPr>
            <w:r>
              <w:rPr>
                <w:rFonts w:hint="eastAsia"/>
                <w:sz w:val="24"/>
                <w:szCs w:val="24"/>
              </w:rPr>
              <w:t>小写：￥</w:t>
            </w:r>
            <w:r>
              <w:rPr>
                <w:sz w:val="24"/>
                <w:szCs w:val="24"/>
              </w:rPr>
              <w:t xml:space="preserve">                                      </w:t>
            </w:r>
            <w:r>
              <w:rPr>
                <w:rFonts w:hint="eastAsia"/>
                <w:sz w:val="24"/>
                <w:szCs w:val="24"/>
              </w:rPr>
              <w:t>元</w:t>
            </w:r>
            <w:r>
              <w:rPr>
                <w:sz w:val="24"/>
                <w:szCs w:val="24"/>
              </w:rPr>
              <w:t xml:space="preserve">     </w:t>
            </w:r>
          </w:p>
        </w:tc>
      </w:tr>
      <w:tr w14:paraId="209C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vAlign w:val="center"/>
          </w:tcPr>
          <w:p w14:paraId="6B49D5B1">
            <w:pPr>
              <w:spacing w:line="440" w:lineRule="exact"/>
              <w:jc w:val="center"/>
              <w:rPr>
                <w:sz w:val="24"/>
                <w:szCs w:val="24"/>
              </w:rPr>
            </w:pPr>
          </w:p>
        </w:tc>
        <w:tc>
          <w:tcPr>
            <w:tcW w:w="6687" w:type="dxa"/>
            <w:vAlign w:val="center"/>
          </w:tcPr>
          <w:p w14:paraId="735E8195">
            <w:pPr>
              <w:spacing w:line="440" w:lineRule="exact"/>
              <w:rPr>
                <w:sz w:val="24"/>
                <w:szCs w:val="24"/>
              </w:rPr>
            </w:pPr>
            <w:r>
              <w:rPr>
                <w:rFonts w:hint="eastAsia"/>
                <w:sz w:val="24"/>
                <w:szCs w:val="24"/>
              </w:rPr>
              <w:t>大写：</w:t>
            </w:r>
          </w:p>
        </w:tc>
      </w:tr>
      <w:tr w14:paraId="01337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33D2439A">
            <w:pPr>
              <w:spacing w:line="440" w:lineRule="exact"/>
              <w:jc w:val="center"/>
              <w:rPr>
                <w:sz w:val="24"/>
                <w:szCs w:val="24"/>
              </w:rPr>
            </w:pPr>
            <w:r>
              <w:rPr>
                <w:rFonts w:hint="eastAsia"/>
                <w:sz w:val="24"/>
                <w:szCs w:val="24"/>
              </w:rPr>
              <w:t>质保期</w:t>
            </w:r>
          </w:p>
        </w:tc>
        <w:tc>
          <w:tcPr>
            <w:tcW w:w="6687" w:type="dxa"/>
            <w:vAlign w:val="center"/>
          </w:tcPr>
          <w:p w14:paraId="7D2205CA">
            <w:pPr>
              <w:spacing w:line="440" w:lineRule="exact"/>
              <w:rPr>
                <w:sz w:val="24"/>
                <w:szCs w:val="24"/>
              </w:rPr>
            </w:pPr>
          </w:p>
        </w:tc>
      </w:tr>
      <w:tr w14:paraId="12CD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1C815980">
            <w:pPr>
              <w:spacing w:line="440" w:lineRule="exact"/>
              <w:jc w:val="center"/>
              <w:rPr>
                <w:sz w:val="24"/>
                <w:szCs w:val="24"/>
              </w:rPr>
            </w:pPr>
            <w:r>
              <w:rPr>
                <w:rFonts w:hint="eastAsia"/>
                <w:sz w:val="24"/>
                <w:szCs w:val="24"/>
              </w:rPr>
              <w:t>供货周期</w:t>
            </w:r>
          </w:p>
        </w:tc>
        <w:tc>
          <w:tcPr>
            <w:tcW w:w="6687" w:type="dxa"/>
            <w:vAlign w:val="center"/>
          </w:tcPr>
          <w:p w14:paraId="4021B129">
            <w:pPr>
              <w:spacing w:line="440" w:lineRule="exact"/>
              <w:rPr>
                <w:sz w:val="24"/>
                <w:szCs w:val="24"/>
              </w:rPr>
            </w:pPr>
            <w:r>
              <w:rPr>
                <w:rFonts w:hint="eastAsia" w:ascii="宋体" w:hAnsi="宋体"/>
                <w:sz w:val="24"/>
              </w:rPr>
              <w:t xml:space="preserve">   </w:t>
            </w:r>
          </w:p>
        </w:tc>
      </w:tr>
      <w:tr w14:paraId="3A34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3D783EC5">
            <w:pPr>
              <w:spacing w:line="440" w:lineRule="exact"/>
              <w:jc w:val="center"/>
              <w:rPr>
                <w:sz w:val="24"/>
                <w:szCs w:val="24"/>
              </w:rPr>
            </w:pPr>
            <w:r>
              <w:rPr>
                <w:rFonts w:hint="eastAsia"/>
                <w:sz w:val="24"/>
                <w:szCs w:val="24"/>
              </w:rPr>
              <w:t>交货地点</w:t>
            </w:r>
          </w:p>
        </w:tc>
        <w:tc>
          <w:tcPr>
            <w:tcW w:w="6687" w:type="dxa"/>
            <w:vAlign w:val="center"/>
          </w:tcPr>
          <w:p w14:paraId="1F9C898E">
            <w:pPr>
              <w:spacing w:line="440" w:lineRule="exact"/>
              <w:rPr>
                <w:sz w:val="24"/>
                <w:szCs w:val="24"/>
              </w:rPr>
            </w:pPr>
            <w:r>
              <w:rPr>
                <w:rFonts w:hint="eastAsia" w:ascii="宋体" w:hAnsi="宋体"/>
                <w:sz w:val="24"/>
              </w:rPr>
              <w:t>最终按甲方指定地点验收、交货。</w:t>
            </w:r>
          </w:p>
        </w:tc>
      </w:tr>
    </w:tbl>
    <w:p w14:paraId="36920634">
      <w:pPr>
        <w:pStyle w:val="87"/>
        <w:spacing w:line="440" w:lineRule="exact"/>
        <w:rPr>
          <w:rFonts w:ascii="宋体" w:hAnsi="宋体"/>
          <w:color w:val="auto"/>
        </w:rPr>
      </w:pPr>
      <w:r>
        <w:rPr>
          <w:rFonts w:hint="eastAsia" w:ascii="宋体" w:hAnsi="宋体"/>
          <w:color w:val="auto"/>
        </w:rPr>
        <w:t>兹声明：以上投标报价在投标有效期内一直有效。</w:t>
      </w:r>
    </w:p>
    <w:p w14:paraId="17224479">
      <w:pPr>
        <w:spacing w:line="440" w:lineRule="exact"/>
        <w:rPr>
          <w:sz w:val="24"/>
          <w:szCs w:val="24"/>
        </w:rPr>
      </w:pPr>
      <w:r>
        <w:rPr>
          <w:rFonts w:hint="eastAsia"/>
          <w:sz w:val="24"/>
          <w:szCs w:val="24"/>
        </w:rPr>
        <w:t>投标人名称（</w:t>
      </w:r>
      <w:r>
        <w:rPr>
          <w:rFonts w:hint="eastAsia" w:ascii="宋体" w:hAnsi="宋体"/>
          <w:sz w:val="24"/>
          <w:szCs w:val="24"/>
        </w:rPr>
        <w:t>电子签章</w:t>
      </w:r>
      <w:r>
        <w:rPr>
          <w:rFonts w:hint="eastAsia"/>
          <w:sz w:val="24"/>
          <w:szCs w:val="24"/>
        </w:rPr>
        <w:t>）：</w:t>
      </w:r>
      <w:r>
        <w:rPr>
          <w:sz w:val="24"/>
          <w:szCs w:val="24"/>
          <w:u w:val="single"/>
        </w:rPr>
        <w:t xml:space="preserve">                               </w:t>
      </w:r>
    </w:p>
    <w:p w14:paraId="531B6761">
      <w:pPr>
        <w:pStyle w:val="91"/>
        <w:keepNext w:val="0"/>
        <w:keepLines w:val="0"/>
        <w:adjustRightInd/>
        <w:spacing w:before="0" w:line="440" w:lineRule="exact"/>
        <w:textAlignment w:val="auto"/>
        <w:outlineLvl w:val="9"/>
        <w:rPr>
          <w:b w:val="0"/>
          <w:kern w:val="2"/>
          <w:sz w:val="24"/>
          <w:szCs w:val="24"/>
        </w:rPr>
      </w:pPr>
      <w:bookmarkStart w:id="218" w:name="_Toc53318128"/>
      <w:bookmarkStart w:id="219" w:name="_Toc5531"/>
      <w:bookmarkStart w:id="220" w:name="_Toc53317980"/>
      <w:r>
        <w:rPr>
          <w:rFonts w:hint="eastAsia"/>
          <w:b w:val="0"/>
          <w:sz w:val="24"/>
          <w:szCs w:val="24"/>
        </w:rPr>
        <w:t>投标人代表（</w:t>
      </w:r>
      <w:r>
        <w:rPr>
          <w:rFonts w:hint="eastAsia"/>
          <w:b w:val="0"/>
          <w:bCs w:val="0"/>
          <w:sz w:val="24"/>
          <w:szCs w:val="24"/>
        </w:rPr>
        <w:t>电子签名</w:t>
      </w:r>
      <w:r>
        <w:rPr>
          <w:rFonts w:hint="eastAsia"/>
          <w:sz w:val="24"/>
          <w:szCs w:val="24"/>
        </w:rPr>
        <w:t>）</w:t>
      </w:r>
      <w:r>
        <w:rPr>
          <w:rFonts w:hint="eastAsia"/>
          <w:b w:val="0"/>
          <w:sz w:val="24"/>
          <w:szCs w:val="24"/>
        </w:rPr>
        <w:t>：</w:t>
      </w:r>
      <w:bookmarkEnd w:id="218"/>
      <w:bookmarkEnd w:id="219"/>
      <w:bookmarkEnd w:id="220"/>
      <w:r>
        <w:rPr>
          <w:b w:val="0"/>
          <w:sz w:val="24"/>
          <w:szCs w:val="24"/>
          <w:u w:val="single"/>
        </w:rPr>
        <w:t xml:space="preserve">                  </w:t>
      </w:r>
    </w:p>
    <w:p w14:paraId="344FFAE6">
      <w:pPr>
        <w:pStyle w:val="91"/>
        <w:keepNext w:val="0"/>
        <w:keepLines w:val="0"/>
        <w:adjustRightInd/>
        <w:spacing w:before="0" w:line="440" w:lineRule="exact"/>
        <w:textAlignment w:val="auto"/>
        <w:outlineLvl w:val="9"/>
        <w:rPr>
          <w:b w:val="0"/>
          <w:kern w:val="2"/>
          <w:sz w:val="24"/>
          <w:szCs w:val="24"/>
        </w:rPr>
      </w:pPr>
      <w:bookmarkStart w:id="221" w:name="_Toc10448"/>
      <w:bookmarkStart w:id="222" w:name="_Toc53318129"/>
      <w:bookmarkStart w:id="223" w:name="_Toc53317981"/>
      <w:r>
        <w:rPr>
          <w:rFonts w:hint="eastAsia"/>
          <w:b w:val="0"/>
          <w:spacing w:val="36"/>
          <w:kern w:val="2"/>
          <w:sz w:val="24"/>
          <w:szCs w:val="24"/>
        </w:rPr>
        <w:t>日期</w:t>
      </w:r>
      <w:r>
        <w:rPr>
          <w:rFonts w:hint="eastAsia"/>
          <w:b w:val="0"/>
          <w:kern w:val="2"/>
          <w:sz w:val="24"/>
          <w:szCs w:val="24"/>
        </w:rPr>
        <w:t>：</w:t>
      </w:r>
      <w:r>
        <w:rPr>
          <w:b w:val="0"/>
          <w:kern w:val="2"/>
          <w:sz w:val="24"/>
          <w:szCs w:val="24"/>
          <w:u w:val="single"/>
        </w:rPr>
        <w:t xml:space="preserve">       </w:t>
      </w:r>
      <w:r>
        <w:rPr>
          <w:rFonts w:hint="eastAsia"/>
          <w:b w:val="0"/>
          <w:kern w:val="2"/>
          <w:sz w:val="24"/>
          <w:szCs w:val="24"/>
        </w:rPr>
        <w:t>年</w:t>
      </w:r>
      <w:r>
        <w:rPr>
          <w:b w:val="0"/>
          <w:kern w:val="2"/>
          <w:sz w:val="24"/>
          <w:szCs w:val="24"/>
          <w:u w:val="single"/>
        </w:rPr>
        <w:t xml:space="preserve">     </w:t>
      </w:r>
      <w:r>
        <w:rPr>
          <w:rFonts w:hint="eastAsia"/>
          <w:b w:val="0"/>
          <w:kern w:val="2"/>
          <w:sz w:val="24"/>
          <w:szCs w:val="24"/>
        </w:rPr>
        <w:t>月</w:t>
      </w:r>
      <w:r>
        <w:rPr>
          <w:b w:val="0"/>
          <w:kern w:val="2"/>
          <w:sz w:val="24"/>
          <w:szCs w:val="24"/>
          <w:u w:val="single"/>
        </w:rPr>
        <w:t xml:space="preserve">    </w:t>
      </w:r>
      <w:r>
        <w:rPr>
          <w:rFonts w:hint="eastAsia"/>
          <w:b w:val="0"/>
          <w:kern w:val="2"/>
          <w:sz w:val="24"/>
          <w:szCs w:val="24"/>
        </w:rPr>
        <w:t>日</w:t>
      </w:r>
      <w:bookmarkEnd w:id="221"/>
      <w:bookmarkEnd w:id="222"/>
      <w:bookmarkEnd w:id="223"/>
    </w:p>
    <w:p w14:paraId="3717CEB6">
      <w:pPr>
        <w:pStyle w:val="91"/>
        <w:keepNext w:val="0"/>
        <w:keepLines w:val="0"/>
        <w:adjustRightInd/>
        <w:spacing w:before="0" w:line="440" w:lineRule="exact"/>
        <w:textAlignment w:val="auto"/>
        <w:outlineLvl w:val="9"/>
        <w:rPr>
          <w:kern w:val="2"/>
          <w:sz w:val="24"/>
          <w:szCs w:val="24"/>
        </w:rPr>
      </w:pPr>
      <w:bookmarkStart w:id="224" w:name="_Toc53317982"/>
      <w:bookmarkStart w:id="225" w:name="_Toc1047"/>
      <w:bookmarkStart w:id="226" w:name="_Toc53318130"/>
      <w:r>
        <w:rPr>
          <w:rFonts w:hint="eastAsia"/>
          <w:sz w:val="24"/>
          <w:szCs w:val="24"/>
        </w:rPr>
        <w:t>注：</w:t>
      </w:r>
      <w:bookmarkEnd w:id="224"/>
      <w:bookmarkEnd w:id="225"/>
      <w:bookmarkEnd w:id="226"/>
      <w:r>
        <w:rPr>
          <w:kern w:val="2"/>
        </w:rPr>
        <w:t>1</w:t>
      </w:r>
      <w:r>
        <w:rPr>
          <w:rFonts w:hint="eastAsia"/>
          <w:kern w:val="2"/>
        </w:rPr>
        <w:t>、本表格式不得更改，投标人只能按要求填报。</w:t>
      </w:r>
    </w:p>
    <w:p w14:paraId="4162FBF3">
      <w:pPr>
        <w:spacing w:line="460" w:lineRule="atLeast"/>
        <w:jc w:val="center"/>
        <w:rPr>
          <w:rFonts w:ascii="宋体" w:hAnsi="宋体"/>
          <w:sz w:val="24"/>
          <w:szCs w:val="24"/>
        </w:rPr>
      </w:pPr>
      <w:r>
        <w:br w:type="page"/>
      </w:r>
      <w:bookmarkStart w:id="227" w:name="_Toc11328"/>
      <w:r>
        <w:rPr>
          <w:rFonts w:hint="eastAsia" w:ascii="宋体" w:hAnsi="宋体"/>
          <w:b/>
          <w:sz w:val="30"/>
          <w:szCs w:val="30"/>
        </w:rPr>
        <w:t>附件2-3</w:t>
      </w:r>
      <w:r>
        <w:rPr>
          <w:rFonts w:ascii="宋体" w:hAnsi="宋体"/>
          <w:b/>
          <w:sz w:val="30"/>
          <w:szCs w:val="30"/>
        </w:rPr>
        <w:t>-2</w:t>
      </w:r>
      <w:r>
        <w:rPr>
          <w:rFonts w:hint="eastAsia" w:ascii="宋体" w:hAnsi="宋体"/>
          <w:b/>
          <w:sz w:val="30"/>
          <w:szCs w:val="30"/>
        </w:rPr>
        <w:t xml:space="preserve">  </w:t>
      </w:r>
      <w:bookmarkEnd w:id="227"/>
      <w:r>
        <w:rPr>
          <w:rFonts w:hint="eastAsia" w:ascii="宋体" w:hAnsi="宋体"/>
          <w:b/>
          <w:sz w:val="30"/>
          <w:szCs w:val="30"/>
        </w:rPr>
        <w:t>采购需求明细报价单</w:t>
      </w:r>
    </w:p>
    <w:p w14:paraId="1EFBFEB1">
      <w:pPr>
        <w:tabs>
          <w:tab w:val="left" w:pos="5100"/>
        </w:tabs>
        <w:spacing w:line="440" w:lineRule="exact"/>
        <w:ind w:firstLine="352" w:firstLineChars="147"/>
        <w:rPr>
          <w:rFonts w:ascii="宋体" w:hAnsi="宋体"/>
          <w:bCs/>
          <w:sz w:val="24"/>
          <w:szCs w:val="24"/>
        </w:rPr>
      </w:pPr>
      <w:r>
        <w:rPr>
          <w:rFonts w:hint="eastAsia" w:ascii="宋体" w:hAnsi="宋体"/>
          <w:bCs/>
          <w:sz w:val="24"/>
          <w:szCs w:val="24"/>
        </w:rPr>
        <w:t>项目名称：</w:t>
      </w:r>
      <w:r>
        <w:rPr>
          <w:rFonts w:ascii="宋体" w:hAnsi="宋体"/>
          <w:bCs/>
          <w:sz w:val="24"/>
          <w:szCs w:val="24"/>
        </w:rPr>
        <w:t xml:space="preserve">                              </w:t>
      </w:r>
      <w:r>
        <w:rPr>
          <w:rFonts w:hint="eastAsia" w:ascii="宋体" w:hAnsi="宋体"/>
          <w:sz w:val="24"/>
          <w:szCs w:val="24"/>
        </w:rPr>
        <w:t>投标单位名称：</w:t>
      </w:r>
      <w:r>
        <w:rPr>
          <w:rFonts w:ascii="宋体" w:hAnsi="宋体"/>
          <w:sz w:val="24"/>
          <w:szCs w:val="24"/>
        </w:rPr>
        <w:t xml:space="preserve">  </w:t>
      </w:r>
    </w:p>
    <w:p w14:paraId="371BDC51">
      <w:pPr>
        <w:pStyle w:val="87"/>
        <w:spacing w:line="440" w:lineRule="exact"/>
        <w:ind w:left="208" w:leftChars="99" w:firstLine="120" w:firstLineChars="50"/>
        <w:jc w:val="both"/>
        <w:rPr>
          <w:rFonts w:ascii="宋体" w:hAnsi="宋体"/>
          <w:bCs/>
          <w:color w:val="auto"/>
          <w:kern w:val="2"/>
        </w:rPr>
      </w:pPr>
      <w:r>
        <w:rPr>
          <w:rFonts w:hint="eastAsia" w:ascii="宋体" w:hAnsi="宋体"/>
          <w:bCs/>
          <w:color w:val="auto"/>
          <w:kern w:val="2"/>
        </w:rPr>
        <w:t>招标编号：</w:t>
      </w:r>
      <w:r>
        <w:rPr>
          <w:rFonts w:ascii="宋体" w:hAnsi="宋体"/>
          <w:bCs/>
          <w:color w:val="auto"/>
          <w:kern w:val="2"/>
        </w:rPr>
        <w:t xml:space="preserve">                            </w:t>
      </w:r>
      <w:r>
        <w:rPr>
          <w:rFonts w:hint="eastAsia" w:ascii="宋体" w:hAnsi="宋体"/>
          <w:bCs/>
          <w:color w:val="auto"/>
          <w:kern w:val="2"/>
        </w:rPr>
        <w:t xml:space="preserve">  </w:t>
      </w:r>
      <w:r>
        <w:rPr>
          <w:rFonts w:hint="eastAsia" w:ascii="宋体" w:hAnsi="宋体"/>
          <w:color w:val="auto"/>
        </w:rPr>
        <w:t>分包序号、名称：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64"/>
        <w:gridCol w:w="1650"/>
        <w:gridCol w:w="960"/>
        <w:gridCol w:w="1129"/>
        <w:gridCol w:w="1265"/>
        <w:gridCol w:w="991"/>
        <w:gridCol w:w="1127"/>
      </w:tblGrid>
      <w:tr w14:paraId="10C3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3D4EC4A8">
            <w:pPr>
              <w:spacing w:line="440" w:lineRule="exact"/>
              <w:jc w:val="center"/>
              <w:rPr>
                <w:rFonts w:ascii="宋体" w:hAnsi="宋体"/>
                <w:sz w:val="24"/>
                <w:szCs w:val="24"/>
              </w:rPr>
            </w:pPr>
            <w:r>
              <w:rPr>
                <w:rFonts w:hint="eastAsia" w:ascii="宋体" w:hAnsi="宋体"/>
                <w:sz w:val="24"/>
                <w:szCs w:val="24"/>
              </w:rPr>
              <w:t>序号</w:t>
            </w:r>
          </w:p>
        </w:tc>
        <w:tc>
          <w:tcPr>
            <w:tcW w:w="1864" w:type="dxa"/>
            <w:vAlign w:val="center"/>
          </w:tcPr>
          <w:p w14:paraId="1A40AE0A">
            <w:pPr>
              <w:spacing w:line="440" w:lineRule="exact"/>
              <w:jc w:val="center"/>
              <w:rPr>
                <w:rFonts w:ascii="宋体" w:hAnsi="宋体"/>
                <w:sz w:val="24"/>
                <w:szCs w:val="24"/>
              </w:rPr>
            </w:pPr>
            <w:r>
              <w:rPr>
                <w:rFonts w:hint="eastAsia" w:ascii="宋体" w:hAnsi="宋体"/>
                <w:sz w:val="24"/>
                <w:szCs w:val="24"/>
              </w:rPr>
              <w:t>设备名称</w:t>
            </w:r>
          </w:p>
        </w:tc>
        <w:tc>
          <w:tcPr>
            <w:tcW w:w="1650" w:type="dxa"/>
            <w:vAlign w:val="center"/>
          </w:tcPr>
          <w:p w14:paraId="13CE2D7D">
            <w:pPr>
              <w:spacing w:line="440" w:lineRule="exact"/>
              <w:jc w:val="center"/>
              <w:rPr>
                <w:rFonts w:ascii="宋体" w:hAnsi="宋体"/>
                <w:sz w:val="24"/>
                <w:szCs w:val="24"/>
              </w:rPr>
            </w:pPr>
            <w:r>
              <w:rPr>
                <w:rFonts w:hint="eastAsia" w:ascii="宋体" w:hAnsi="宋体"/>
                <w:sz w:val="24"/>
                <w:szCs w:val="24"/>
              </w:rPr>
              <w:t>规格及型号</w:t>
            </w:r>
          </w:p>
        </w:tc>
        <w:tc>
          <w:tcPr>
            <w:tcW w:w="960" w:type="dxa"/>
            <w:vAlign w:val="center"/>
          </w:tcPr>
          <w:p w14:paraId="5142D702">
            <w:pPr>
              <w:spacing w:line="440" w:lineRule="exact"/>
              <w:jc w:val="center"/>
              <w:rPr>
                <w:rFonts w:ascii="宋体" w:hAnsi="宋体"/>
                <w:sz w:val="24"/>
                <w:szCs w:val="24"/>
              </w:rPr>
            </w:pPr>
            <w:r>
              <w:rPr>
                <w:rFonts w:hint="eastAsia" w:ascii="宋体" w:hAnsi="宋体"/>
                <w:sz w:val="24"/>
                <w:szCs w:val="24"/>
              </w:rPr>
              <w:t>单位</w:t>
            </w:r>
          </w:p>
        </w:tc>
        <w:tc>
          <w:tcPr>
            <w:tcW w:w="1129" w:type="dxa"/>
            <w:vAlign w:val="center"/>
          </w:tcPr>
          <w:p w14:paraId="057C0ABA">
            <w:pPr>
              <w:spacing w:line="440" w:lineRule="exact"/>
              <w:jc w:val="center"/>
              <w:rPr>
                <w:rFonts w:ascii="宋体" w:hAnsi="宋体"/>
                <w:sz w:val="24"/>
                <w:szCs w:val="24"/>
              </w:rPr>
            </w:pPr>
            <w:r>
              <w:rPr>
                <w:rFonts w:hint="eastAsia" w:ascii="宋体" w:hAnsi="宋体"/>
                <w:sz w:val="24"/>
                <w:szCs w:val="24"/>
              </w:rPr>
              <w:t>数量</w:t>
            </w:r>
          </w:p>
        </w:tc>
        <w:tc>
          <w:tcPr>
            <w:tcW w:w="1265" w:type="dxa"/>
            <w:vAlign w:val="center"/>
          </w:tcPr>
          <w:p w14:paraId="5D19F2E0">
            <w:pPr>
              <w:spacing w:line="440" w:lineRule="exact"/>
              <w:jc w:val="center"/>
              <w:rPr>
                <w:rFonts w:ascii="宋体" w:hAnsi="宋体"/>
                <w:sz w:val="24"/>
                <w:szCs w:val="24"/>
              </w:rPr>
            </w:pPr>
            <w:r>
              <w:rPr>
                <w:rFonts w:hint="eastAsia" w:ascii="宋体" w:hAnsi="宋体"/>
                <w:sz w:val="24"/>
                <w:szCs w:val="24"/>
              </w:rPr>
              <w:t>综合单价（元）</w:t>
            </w:r>
          </w:p>
        </w:tc>
        <w:tc>
          <w:tcPr>
            <w:tcW w:w="991" w:type="dxa"/>
            <w:vAlign w:val="center"/>
          </w:tcPr>
          <w:p w14:paraId="13C5A3D0">
            <w:pPr>
              <w:spacing w:line="440" w:lineRule="exact"/>
              <w:jc w:val="center"/>
              <w:rPr>
                <w:rFonts w:ascii="宋体" w:hAnsi="宋体"/>
                <w:sz w:val="24"/>
                <w:szCs w:val="24"/>
              </w:rPr>
            </w:pPr>
            <w:r>
              <w:rPr>
                <w:rFonts w:hint="eastAsia" w:ascii="宋体" w:hAnsi="宋体"/>
                <w:sz w:val="24"/>
                <w:szCs w:val="24"/>
              </w:rPr>
              <w:t>总价（元）</w:t>
            </w:r>
          </w:p>
        </w:tc>
        <w:tc>
          <w:tcPr>
            <w:tcW w:w="1127" w:type="dxa"/>
            <w:vAlign w:val="center"/>
          </w:tcPr>
          <w:p w14:paraId="07F7868C">
            <w:pPr>
              <w:spacing w:line="440" w:lineRule="exact"/>
              <w:jc w:val="center"/>
              <w:rPr>
                <w:rFonts w:ascii="宋体" w:hAnsi="宋体"/>
                <w:sz w:val="24"/>
                <w:szCs w:val="24"/>
              </w:rPr>
            </w:pPr>
            <w:r>
              <w:rPr>
                <w:rFonts w:hint="eastAsia" w:ascii="宋体" w:hAnsi="宋体"/>
                <w:sz w:val="24"/>
                <w:szCs w:val="24"/>
              </w:rPr>
              <w:t>品牌及</w:t>
            </w:r>
          </w:p>
          <w:p w14:paraId="705A90D4">
            <w:pPr>
              <w:spacing w:line="440" w:lineRule="exact"/>
              <w:jc w:val="center"/>
              <w:rPr>
                <w:rFonts w:ascii="宋体" w:hAnsi="宋体"/>
                <w:sz w:val="24"/>
                <w:szCs w:val="24"/>
              </w:rPr>
            </w:pPr>
            <w:r>
              <w:rPr>
                <w:rFonts w:hint="eastAsia" w:ascii="宋体" w:hAnsi="宋体"/>
                <w:sz w:val="24"/>
                <w:szCs w:val="24"/>
              </w:rPr>
              <w:t>产地</w:t>
            </w:r>
          </w:p>
        </w:tc>
      </w:tr>
      <w:tr w14:paraId="72CE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06A56836">
            <w:pPr>
              <w:widowControl/>
              <w:textAlignment w:val="center"/>
              <w:rPr>
                <w:rFonts w:ascii="宋体" w:hAnsi="宋体"/>
                <w:sz w:val="24"/>
                <w:szCs w:val="24"/>
              </w:rPr>
            </w:pPr>
            <w:r>
              <w:rPr>
                <w:rFonts w:hint="eastAsia" w:ascii="宋体" w:hAnsi="宋体" w:cs="宋体"/>
                <w:color w:val="000000"/>
                <w:kern w:val="0"/>
                <w:sz w:val="24"/>
                <w:szCs w:val="24"/>
                <w:lang w:bidi="ar"/>
              </w:rPr>
              <w:t>1</w:t>
            </w:r>
          </w:p>
        </w:tc>
        <w:tc>
          <w:tcPr>
            <w:tcW w:w="1864" w:type="dxa"/>
            <w:shd w:val="clear" w:color="auto" w:fill="auto"/>
            <w:vAlign w:val="center"/>
          </w:tcPr>
          <w:p w14:paraId="338254E1">
            <w:pPr>
              <w:snapToGrid w:val="0"/>
              <w:jc w:val="center"/>
              <w:rPr>
                <w:rFonts w:hint="eastAsia" w:ascii="宋体" w:hAnsi="宋体" w:eastAsia="宋体" w:cs="宋体"/>
                <w:b w:val="0"/>
                <w:bCs w:val="0"/>
                <w:kern w:val="2"/>
                <w:sz w:val="24"/>
                <w:highlight w:val="yellow"/>
                <w:lang w:val="en-US" w:eastAsia="zh-CN" w:bidi="ar-SA"/>
              </w:rPr>
            </w:pPr>
            <w:r>
              <w:rPr>
                <w:rFonts w:hint="eastAsia" w:ascii="Times New Roman" w:hAnsi="Times New Roman" w:eastAsia="宋体" w:cs="Times New Roman"/>
                <w:b w:val="0"/>
                <w:bCs w:val="0"/>
                <w:color w:val="auto"/>
                <w:kern w:val="2"/>
                <w:sz w:val="24"/>
                <w:szCs w:val="20"/>
                <w:lang w:val="en-US" w:eastAsia="zh-CN" w:bidi="ar-SA"/>
              </w:rPr>
              <w:t>高空云台摄像机</w:t>
            </w:r>
          </w:p>
        </w:tc>
        <w:tc>
          <w:tcPr>
            <w:tcW w:w="1650" w:type="dxa"/>
            <w:vAlign w:val="center"/>
          </w:tcPr>
          <w:p w14:paraId="0376C556">
            <w:pPr>
              <w:rPr>
                <w:rFonts w:ascii="宋体" w:hAnsi="宋体"/>
                <w:sz w:val="24"/>
                <w:szCs w:val="24"/>
              </w:rPr>
            </w:pPr>
          </w:p>
        </w:tc>
        <w:tc>
          <w:tcPr>
            <w:tcW w:w="960" w:type="dxa"/>
            <w:vAlign w:val="center"/>
          </w:tcPr>
          <w:p w14:paraId="773D45BA">
            <w:pPr>
              <w:widowControl/>
              <w:textAlignment w:val="center"/>
              <w:rPr>
                <w:rFonts w:ascii="宋体" w:hAnsi="宋体"/>
                <w:sz w:val="24"/>
                <w:szCs w:val="24"/>
              </w:rPr>
            </w:pPr>
          </w:p>
        </w:tc>
        <w:tc>
          <w:tcPr>
            <w:tcW w:w="1129" w:type="dxa"/>
            <w:vAlign w:val="center"/>
          </w:tcPr>
          <w:p w14:paraId="11829DAF">
            <w:pPr>
              <w:widowControl/>
              <w:textAlignment w:val="center"/>
              <w:rPr>
                <w:rFonts w:ascii="宋体" w:hAnsi="宋体"/>
                <w:sz w:val="24"/>
                <w:szCs w:val="24"/>
              </w:rPr>
            </w:pPr>
          </w:p>
        </w:tc>
        <w:tc>
          <w:tcPr>
            <w:tcW w:w="1265" w:type="dxa"/>
            <w:vAlign w:val="center"/>
          </w:tcPr>
          <w:p w14:paraId="7C4FFA0F">
            <w:pPr>
              <w:spacing w:line="440" w:lineRule="exact"/>
              <w:rPr>
                <w:rFonts w:ascii="宋体" w:hAnsi="宋体"/>
                <w:sz w:val="24"/>
                <w:szCs w:val="24"/>
              </w:rPr>
            </w:pPr>
          </w:p>
        </w:tc>
        <w:tc>
          <w:tcPr>
            <w:tcW w:w="991" w:type="dxa"/>
            <w:vAlign w:val="center"/>
          </w:tcPr>
          <w:p w14:paraId="0B4AA9D2">
            <w:pPr>
              <w:spacing w:line="440" w:lineRule="exact"/>
              <w:rPr>
                <w:rFonts w:ascii="宋体" w:hAnsi="宋体"/>
                <w:sz w:val="24"/>
                <w:szCs w:val="24"/>
              </w:rPr>
            </w:pPr>
          </w:p>
        </w:tc>
        <w:tc>
          <w:tcPr>
            <w:tcW w:w="1127" w:type="dxa"/>
            <w:vAlign w:val="center"/>
          </w:tcPr>
          <w:p w14:paraId="010671B2">
            <w:pPr>
              <w:spacing w:line="440" w:lineRule="exact"/>
              <w:rPr>
                <w:rFonts w:ascii="宋体" w:hAnsi="宋体"/>
                <w:sz w:val="24"/>
                <w:szCs w:val="24"/>
              </w:rPr>
            </w:pPr>
          </w:p>
        </w:tc>
      </w:tr>
      <w:tr w14:paraId="4F78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0E123AC4">
            <w:pPr>
              <w:widowControl/>
              <w:textAlignment w:val="center"/>
              <w:rPr>
                <w:rFonts w:ascii="宋体" w:hAnsi="宋体"/>
                <w:sz w:val="24"/>
                <w:szCs w:val="24"/>
              </w:rPr>
            </w:pPr>
            <w:r>
              <w:rPr>
                <w:rFonts w:hint="eastAsia" w:ascii="宋体" w:hAnsi="宋体" w:cs="宋体"/>
                <w:color w:val="000000"/>
                <w:kern w:val="0"/>
                <w:sz w:val="24"/>
                <w:szCs w:val="24"/>
                <w:lang w:bidi="ar"/>
              </w:rPr>
              <w:t>2</w:t>
            </w:r>
          </w:p>
        </w:tc>
        <w:tc>
          <w:tcPr>
            <w:tcW w:w="1864" w:type="dxa"/>
            <w:shd w:val="clear" w:color="auto" w:fill="auto"/>
            <w:vAlign w:val="center"/>
          </w:tcPr>
          <w:p w14:paraId="34DE0FAB">
            <w:pPr>
              <w:snapToGrid w:val="0"/>
              <w:jc w:val="center"/>
              <w:rPr>
                <w:rFonts w:hint="eastAsia" w:ascii="宋体" w:hAnsi="宋体" w:eastAsia="宋体" w:cs="宋体"/>
                <w:b w:val="0"/>
                <w:bCs w:val="0"/>
                <w:kern w:val="2"/>
                <w:sz w:val="24"/>
                <w:highlight w:val="yellow"/>
                <w:lang w:val="en-US" w:eastAsia="zh-CN" w:bidi="ar-SA"/>
              </w:rPr>
            </w:pPr>
            <w:r>
              <w:rPr>
                <w:rFonts w:hint="eastAsia" w:ascii="Times New Roman" w:hAnsi="Times New Roman" w:eastAsia="宋体" w:cs="Times New Roman"/>
                <w:b w:val="0"/>
                <w:bCs w:val="0"/>
                <w:color w:val="auto"/>
                <w:kern w:val="2"/>
                <w:sz w:val="24"/>
                <w:szCs w:val="20"/>
                <w:lang w:val="en-US" w:eastAsia="zh-CN" w:bidi="ar-SA"/>
              </w:rPr>
              <w:t>塔下安防系统</w:t>
            </w:r>
          </w:p>
        </w:tc>
        <w:tc>
          <w:tcPr>
            <w:tcW w:w="1650" w:type="dxa"/>
            <w:vAlign w:val="center"/>
          </w:tcPr>
          <w:p w14:paraId="68422FA7">
            <w:pPr>
              <w:rPr>
                <w:rFonts w:ascii="宋体" w:hAnsi="宋体"/>
                <w:sz w:val="24"/>
                <w:szCs w:val="24"/>
              </w:rPr>
            </w:pPr>
          </w:p>
        </w:tc>
        <w:tc>
          <w:tcPr>
            <w:tcW w:w="960" w:type="dxa"/>
            <w:vAlign w:val="center"/>
          </w:tcPr>
          <w:p w14:paraId="502A382A">
            <w:pPr>
              <w:widowControl/>
              <w:textAlignment w:val="center"/>
              <w:rPr>
                <w:rFonts w:ascii="宋体" w:hAnsi="宋体"/>
                <w:sz w:val="24"/>
                <w:szCs w:val="24"/>
              </w:rPr>
            </w:pPr>
          </w:p>
        </w:tc>
        <w:tc>
          <w:tcPr>
            <w:tcW w:w="1129" w:type="dxa"/>
            <w:vAlign w:val="center"/>
          </w:tcPr>
          <w:p w14:paraId="10F6A434">
            <w:pPr>
              <w:widowControl/>
              <w:textAlignment w:val="center"/>
              <w:rPr>
                <w:rFonts w:ascii="宋体" w:hAnsi="宋体"/>
                <w:sz w:val="24"/>
                <w:szCs w:val="24"/>
              </w:rPr>
            </w:pPr>
          </w:p>
        </w:tc>
        <w:tc>
          <w:tcPr>
            <w:tcW w:w="1265" w:type="dxa"/>
            <w:vAlign w:val="center"/>
          </w:tcPr>
          <w:p w14:paraId="7127684E">
            <w:pPr>
              <w:spacing w:line="440" w:lineRule="exact"/>
              <w:rPr>
                <w:rFonts w:ascii="宋体" w:hAnsi="宋体"/>
                <w:sz w:val="24"/>
                <w:szCs w:val="24"/>
              </w:rPr>
            </w:pPr>
          </w:p>
        </w:tc>
        <w:tc>
          <w:tcPr>
            <w:tcW w:w="991" w:type="dxa"/>
            <w:vAlign w:val="center"/>
          </w:tcPr>
          <w:p w14:paraId="00659A67">
            <w:pPr>
              <w:spacing w:line="440" w:lineRule="exact"/>
              <w:rPr>
                <w:rFonts w:ascii="宋体" w:hAnsi="宋体"/>
                <w:sz w:val="24"/>
                <w:szCs w:val="24"/>
              </w:rPr>
            </w:pPr>
          </w:p>
        </w:tc>
        <w:tc>
          <w:tcPr>
            <w:tcW w:w="1127" w:type="dxa"/>
            <w:vAlign w:val="center"/>
          </w:tcPr>
          <w:p w14:paraId="6A40BDD1">
            <w:pPr>
              <w:spacing w:line="440" w:lineRule="exact"/>
              <w:rPr>
                <w:rFonts w:ascii="宋体" w:hAnsi="宋体"/>
                <w:sz w:val="24"/>
                <w:szCs w:val="24"/>
              </w:rPr>
            </w:pPr>
          </w:p>
        </w:tc>
      </w:tr>
      <w:tr w14:paraId="2C7F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7A51A867">
            <w:pPr>
              <w:widowControl/>
              <w:textAlignment w:val="center"/>
              <w:rPr>
                <w:rFonts w:ascii="宋体" w:hAnsi="宋体"/>
                <w:sz w:val="24"/>
                <w:szCs w:val="24"/>
              </w:rPr>
            </w:pPr>
            <w:r>
              <w:rPr>
                <w:rFonts w:hint="eastAsia" w:ascii="宋体" w:hAnsi="宋体" w:cs="宋体"/>
                <w:color w:val="000000"/>
                <w:kern w:val="0"/>
                <w:sz w:val="24"/>
                <w:szCs w:val="24"/>
                <w:lang w:bidi="ar"/>
              </w:rPr>
              <w:t>3</w:t>
            </w:r>
          </w:p>
        </w:tc>
        <w:tc>
          <w:tcPr>
            <w:tcW w:w="1864" w:type="dxa"/>
            <w:shd w:val="clear" w:color="auto" w:fill="auto"/>
            <w:vAlign w:val="center"/>
          </w:tcPr>
          <w:p w14:paraId="0CBB298A">
            <w:pPr>
              <w:snapToGrid w:val="0"/>
              <w:jc w:val="center"/>
              <w:rPr>
                <w:rFonts w:hint="eastAsia" w:ascii="宋体" w:hAnsi="宋体" w:eastAsia="宋体" w:cs="宋体"/>
                <w:b w:val="0"/>
                <w:bCs w:val="0"/>
                <w:kern w:val="2"/>
                <w:sz w:val="24"/>
                <w:highlight w:val="yellow"/>
                <w:lang w:val="en-US" w:eastAsia="zh-CN" w:bidi="ar-SA"/>
              </w:rPr>
            </w:pPr>
            <w:r>
              <w:rPr>
                <w:rFonts w:hint="eastAsia" w:ascii="Times New Roman" w:hAnsi="Times New Roman" w:eastAsia="宋体" w:cs="Times New Roman"/>
                <w:b w:val="0"/>
                <w:bCs w:val="0"/>
                <w:color w:val="auto"/>
                <w:kern w:val="2"/>
                <w:sz w:val="24"/>
                <w:szCs w:val="20"/>
                <w:lang w:val="en-US" w:eastAsia="zh-CN" w:bidi="ar-SA"/>
              </w:rPr>
              <w:t>室外设备箱</w:t>
            </w:r>
          </w:p>
        </w:tc>
        <w:tc>
          <w:tcPr>
            <w:tcW w:w="1650" w:type="dxa"/>
            <w:vAlign w:val="center"/>
          </w:tcPr>
          <w:p w14:paraId="4C18CC72">
            <w:pPr>
              <w:rPr>
                <w:rFonts w:ascii="宋体" w:hAnsi="宋体"/>
                <w:sz w:val="24"/>
                <w:szCs w:val="24"/>
              </w:rPr>
            </w:pPr>
          </w:p>
        </w:tc>
        <w:tc>
          <w:tcPr>
            <w:tcW w:w="960" w:type="dxa"/>
            <w:vAlign w:val="center"/>
          </w:tcPr>
          <w:p w14:paraId="5D1677AC">
            <w:pPr>
              <w:widowControl/>
              <w:textAlignment w:val="center"/>
              <w:rPr>
                <w:rFonts w:ascii="宋体" w:hAnsi="宋体"/>
                <w:sz w:val="24"/>
                <w:szCs w:val="24"/>
              </w:rPr>
            </w:pPr>
          </w:p>
        </w:tc>
        <w:tc>
          <w:tcPr>
            <w:tcW w:w="1129" w:type="dxa"/>
            <w:vAlign w:val="center"/>
          </w:tcPr>
          <w:p w14:paraId="6541959B">
            <w:pPr>
              <w:widowControl/>
              <w:textAlignment w:val="center"/>
              <w:rPr>
                <w:rFonts w:ascii="宋体" w:hAnsi="宋体"/>
                <w:sz w:val="24"/>
                <w:szCs w:val="24"/>
              </w:rPr>
            </w:pPr>
          </w:p>
        </w:tc>
        <w:tc>
          <w:tcPr>
            <w:tcW w:w="1265" w:type="dxa"/>
            <w:vAlign w:val="center"/>
          </w:tcPr>
          <w:p w14:paraId="5E509424">
            <w:pPr>
              <w:spacing w:line="440" w:lineRule="exact"/>
              <w:rPr>
                <w:rFonts w:ascii="宋体" w:hAnsi="宋体"/>
                <w:sz w:val="24"/>
                <w:szCs w:val="24"/>
              </w:rPr>
            </w:pPr>
          </w:p>
        </w:tc>
        <w:tc>
          <w:tcPr>
            <w:tcW w:w="991" w:type="dxa"/>
            <w:vAlign w:val="center"/>
          </w:tcPr>
          <w:p w14:paraId="1EDA0705">
            <w:pPr>
              <w:spacing w:line="440" w:lineRule="exact"/>
              <w:rPr>
                <w:rFonts w:ascii="宋体" w:hAnsi="宋体"/>
                <w:sz w:val="24"/>
                <w:szCs w:val="24"/>
              </w:rPr>
            </w:pPr>
          </w:p>
        </w:tc>
        <w:tc>
          <w:tcPr>
            <w:tcW w:w="1127" w:type="dxa"/>
            <w:vAlign w:val="center"/>
          </w:tcPr>
          <w:p w14:paraId="0756E77D">
            <w:pPr>
              <w:spacing w:line="440" w:lineRule="exact"/>
              <w:rPr>
                <w:rFonts w:ascii="宋体" w:hAnsi="宋体"/>
                <w:sz w:val="24"/>
                <w:szCs w:val="24"/>
              </w:rPr>
            </w:pPr>
          </w:p>
        </w:tc>
      </w:tr>
      <w:tr w14:paraId="7A2D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553218A5">
            <w:pPr>
              <w:widowControl/>
              <w:textAlignment w:val="center"/>
              <w:rPr>
                <w:rFonts w:ascii="宋体" w:hAnsi="宋体"/>
                <w:sz w:val="24"/>
                <w:szCs w:val="24"/>
              </w:rPr>
            </w:pPr>
            <w:r>
              <w:rPr>
                <w:rFonts w:hint="eastAsia" w:ascii="宋体" w:hAnsi="宋体" w:cs="宋体"/>
                <w:color w:val="000000"/>
                <w:kern w:val="0"/>
                <w:sz w:val="24"/>
                <w:szCs w:val="24"/>
                <w:lang w:bidi="ar"/>
              </w:rPr>
              <w:t>4</w:t>
            </w:r>
          </w:p>
        </w:tc>
        <w:tc>
          <w:tcPr>
            <w:tcW w:w="1864" w:type="dxa"/>
            <w:shd w:val="clear" w:color="auto" w:fill="auto"/>
            <w:vAlign w:val="center"/>
          </w:tcPr>
          <w:p w14:paraId="6A5E3800">
            <w:pPr>
              <w:snapToGrid w:val="0"/>
              <w:jc w:val="center"/>
              <w:rPr>
                <w:rFonts w:hint="eastAsia" w:ascii="宋体" w:hAnsi="宋体" w:eastAsia="宋体" w:cs="宋体"/>
                <w:b w:val="0"/>
                <w:bCs w:val="0"/>
                <w:kern w:val="2"/>
                <w:sz w:val="24"/>
                <w:highlight w:val="yellow"/>
                <w:lang w:val="en-US" w:eastAsia="zh-CN" w:bidi="ar-SA"/>
              </w:rPr>
            </w:pPr>
            <w:r>
              <w:rPr>
                <w:rFonts w:hint="eastAsia" w:ascii="Times New Roman" w:hAnsi="Times New Roman" w:eastAsia="宋体" w:cs="Times New Roman"/>
                <w:b w:val="0"/>
                <w:bCs w:val="0"/>
                <w:color w:val="auto"/>
                <w:kern w:val="2"/>
                <w:sz w:val="24"/>
                <w:szCs w:val="20"/>
                <w:lang w:val="en-US" w:eastAsia="zh-CN" w:bidi="ar-SA"/>
              </w:rPr>
              <w:t>新建监控塔/防雷接地</w:t>
            </w:r>
          </w:p>
        </w:tc>
        <w:tc>
          <w:tcPr>
            <w:tcW w:w="1650" w:type="dxa"/>
            <w:vAlign w:val="center"/>
          </w:tcPr>
          <w:p w14:paraId="0713E4EF">
            <w:pPr>
              <w:rPr>
                <w:rFonts w:ascii="宋体" w:hAnsi="宋体"/>
                <w:sz w:val="24"/>
                <w:szCs w:val="24"/>
              </w:rPr>
            </w:pPr>
          </w:p>
        </w:tc>
        <w:tc>
          <w:tcPr>
            <w:tcW w:w="960" w:type="dxa"/>
            <w:vAlign w:val="center"/>
          </w:tcPr>
          <w:p w14:paraId="5F68DCEA">
            <w:pPr>
              <w:widowControl/>
              <w:textAlignment w:val="center"/>
              <w:rPr>
                <w:rFonts w:ascii="宋体" w:hAnsi="宋体"/>
                <w:sz w:val="24"/>
                <w:szCs w:val="24"/>
              </w:rPr>
            </w:pPr>
          </w:p>
        </w:tc>
        <w:tc>
          <w:tcPr>
            <w:tcW w:w="1129" w:type="dxa"/>
            <w:vAlign w:val="center"/>
          </w:tcPr>
          <w:p w14:paraId="14BDE2F9">
            <w:pPr>
              <w:widowControl/>
              <w:textAlignment w:val="center"/>
              <w:rPr>
                <w:rFonts w:ascii="宋体" w:hAnsi="宋体"/>
                <w:sz w:val="24"/>
                <w:szCs w:val="24"/>
              </w:rPr>
            </w:pPr>
          </w:p>
        </w:tc>
        <w:tc>
          <w:tcPr>
            <w:tcW w:w="1265" w:type="dxa"/>
            <w:vAlign w:val="center"/>
          </w:tcPr>
          <w:p w14:paraId="1177B9B3">
            <w:pPr>
              <w:spacing w:line="440" w:lineRule="exact"/>
              <w:rPr>
                <w:rFonts w:ascii="宋体" w:hAnsi="宋体"/>
                <w:sz w:val="24"/>
                <w:szCs w:val="24"/>
              </w:rPr>
            </w:pPr>
          </w:p>
        </w:tc>
        <w:tc>
          <w:tcPr>
            <w:tcW w:w="991" w:type="dxa"/>
            <w:vAlign w:val="center"/>
          </w:tcPr>
          <w:p w14:paraId="6E7F677E">
            <w:pPr>
              <w:spacing w:line="440" w:lineRule="exact"/>
              <w:rPr>
                <w:rFonts w:ascii="宋体" w:hAnsi="宋体"/>
                <w:sz w:val="24"/>
                <w:szCs w:val="24"/>
              </w:rPr>
            </w:pPr>
          </w:p>
        </w:tc>
        <w:tc>
          <w:tcPr>
            <w:tcW w:w="1127" w:type="dxa"/>
            <w:vAlign w:val="center"/>
          </w:tcPr>
          <w:p w14:paraId="7770C26B">
            <w:pPr>
              <w:spacing w:line="440" w:lineRule="exact"/>
              <w:rPr>
                <w:rFonts w:ascii="宋体" w:hAnsi="宋体"/>
                <w:sz w:val="24"/>
                <w:szCs w:val="24"/>
              </w:rPr>
            </w:pPr>
          </w:p>
        </w:tc>
      </w:tr>
      <w:tr w14:paraId="6E69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3BB3283A">
            <w:pPr>
              <w:widowControl/>
              <w:textAlignment w:val="center"/>
              <w:rPr>
                <w:rFonts w:ascii="宋体" w:hAnsi="宋体"/>
                <w:sz w:val="24"/>
                <w:szCs w:val="24"/>
              </w:rPr>
            </w:pPr>
            <w:r>
              <w:rPr>
                <w:rFonts w:hint="eastAsia" w:ascii="宋体" w:hAnsi="宋体" w:cs="宋体"/>
                <w:color w:val="000000"/>
                <w:kern w:val="0"/>
                <w:sz w:val="24"/>
                <w:szCs w:val="24"/>
                <w:lang w:bidi="ar"/>
              </w:rPr>
              <w:t>5</w:t>
            </w:r>
          </w:p>
        </w:tc>
        <w:tc>
          <w:tcPr>
            <w:tcW w:w="1864" w:type="dxa"/>
            <w:shd w:val="clear" w:color="auto" w:fill="auto"/>
            <w:vAlign w:val="center"/>
          </w:tcPr>
          <w:p w14:paraId="05F8EE24">
            <w:pPr>
              <w:snapToGrid w:val="0"/>
              <w:jc w:val="center"/>
              <w:rPr>
                <w:rFonts w:hint="eastAsia" w:ascii="宋体" w:hAnsi="宋体" w:eastAsia="宋体" w:cs="宋体"/>
                <w:b w:val="0"/>
                <w:bCs w:val="0"/>
                <w:kern w:val="2"/>
                <w:sz w:val="24"/>
                <w:highlight w:val="yellow"/>
                <w:lang w:val="en-US" w:eastAsia="zh-CN" w:bidi="ar-SA"/>
              </w:rPr>
            </w:pPr>
            <w:r>
              <w:rPr>
                <w:rFonts w:hint="eastAsia" w:ascii="Times New Roman" w:hAnsi="Times New Roman" w:eastAsia="宋体" w:cs="Times New Roman"/>
                <w:b w:val="0"/>
                <w:bCs w:val="0"/>
                <w:color w:val="auto"/>
                <w:kern w:val="2"/>
                <w:sz w:val="24"/>
                <w:szCs w:val="20"/>
                <w:lang w:val="en-US" w:eastAsia="zh-CN" w:bidi="ar-SA"/>
              </w:rPr>
              <w:t>太阳能供电系统</w:t>
            </w:r>
          </w:p>
        </w:tc>
        <w:tc>
          <w:tcPr>
            <w:tcW w:w="1650" w:type="dxa"/>
            <w:vAlign w:val="center"/>
          </w:tcPr>
          <w:p w14:paraId="5E06FFB2">
            <w:pPr>
              <w:rPr>
                <w:rFonts w:ascii="宋体" w:hAnsi="宋体"/>
                <w:sz w:val="24"/>
                <w:szCs w:val="24"/>
              </w:rPr>
            </w:pPr>
          </w:p>
        </w:tc>
        <w:tc>
          <w:tcPr>
            <w:tcW w:w="960" w:type="dxa"/>
            <w:vAlign w:val="center"/>
          </w:tcPr>
          <w:p w14:paraId="41CA4C78">
            <w:pPr>
              <w:widowControl/>
              <w:textAlignment w:val="center"/>
              <w:rPr>
                <w:rFonts w:ascii="宋体" w:hAnsi="宋体"/>
                <w:sz w:val="24"/>
                <w:szCs w:val="24"/>
              </w:rPr>
            </w:pPr>
          </w:p>
        </w:tc>
        <w:tc>
          <w:tcPr>
            <w:tcW w:w="1129" w:type="dxa"/>
            <w:vAlign w:val="center"/>
          </w:tcPr>
          <w:p w14:paraId="37EDDBA9">
            <w:pPr>
              <w:widowControl/>
              <w:textAlignment w:val="center"/>
              <w:rPr>
                <w:rFonts w:ascii="宋体" w:hAnsi="宋体"/>
                <w:sz w:val="24"/>
                <w:szCs w:val="24"/>
              </w:rPr>
            </w:pPr>
          </w:p>
        </w:tc>
        <w:tc>
          <w:tcPr>
            <w:tcW w:w="1265" w:type="dxa"/>
            <w:vAlign w:val="center"/>
          </w:tcPr>
          <w:p w14:paraId="1037E9F3">
            <w:pPr>
              <w:spacing w:line="440" w:lineRule="exact"/>
              <w:rPr>
                <w:rFonts w:ascii="宋体" w:hAnsi="宋体"/>
                <w:sz w:val="24"/>
                <w:szCs w:val="24"/>
              </w:rPr>
            </w:pPr>
          </w:p>
        </w:tc>
        <w:tc>
          <w:tcPr>
            <w:tcW w:w="991" w:type="dxa"/>
            <w:vAlign w:val="center"/>
          </w:tcPr>
          <w:p w14:paraId="0A728B35">
            <w:pPr>
              <w:spacing w:line="440" w:lineRule="exact"/>
              <w:rPr>
                <w:rFonts w:ascii="宋体" w:hAnsi="宋体"/>
                <w:sz w:val="24"/>
                <w:szCs w:val="24"/>
              </w:rPr>
            </w:pPr>
          </w:p>
        </w:tc>
        <w:tc>
          <w:tcPr>
            <w:tcW w:w="1127" w:type="dxa"/>
            <w:vAlign w:val="center"/>
          </w:tcPr>
          <w:p w14:paraId="7DDE500C">
            <w:pPr>
              <w:spacing w:line="440" w:lineRule="exact"/>
              <w:rPr>
                <w:rFonts w:ascii="宋体" w:hAnsi="宋体"/>
                <w:sz w:val="24"/>
                <w:szCs w:val="24"/>
              </w:rPr>
            </w:pPr>
          </w:p>
        </w:tc>
      </w:tr>
      <w:tr w14:paraId="3205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1146C805">
            <w:pPr>
              <w:widowControl/>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p>
        </w:tc>
        <w:tc>
          <w:tcPr>
            <w:tcW w:w="1864" w:type="dxa"/>
            <w:shd w:val="clear" w:color="auto" w:fill="auto"/>
            <w:vAlign w:val="center"/>
          </w:tcPr>
          <w:p w14:paraId="39993326">
            <w:pPr>
              <w:snapToGrid w:val="0"/>
              <w:jc w:val="center"/>
              <w:rPr>
                <w:rFonts w:hint="eastAsia" w:ascii="宋体" w:hAnsi="宋体" w:eastAsia="宋体" w:cs="宋体"/>
                <w:b w:val="0"/>
                <w:bCs w:val="0"/>
                <w:kern w:val="2"/>
                <w:sz w:val="24"/>
                <w:highlight w:val="yellow"/>
                <w:lang w:val="en-US" w:eastAsia="zh-CN" w:bidi="ar-SA"/>
              </w:rPr>
            </w:pPr>
            <w:r>
              <w:rPr>
                <w:rFonts w:hint="eastAsia" w:ascii="Times New Roman" w:hAnsi="Times New Roman" w:eastAsia="宋体" w:cs="Times New Roman"/>
                <w:b w:val="0"/>
                <w:bCs w:val="0"/>
                <w:color w:val="auto"/>
                <w:kern w:val="2"/>
                <w:sz w:val="24"/>
                <w:szCs w:val="20"/>
                <w:lang w:val="en-US" w:eastAsia="zh-CN" w:bidi="ar-SA"/>
              </w:rPr>
              <w:t>无线传输系统/有线传输系统</w:t>
            </w:r>
          </w:p>
        </w:tc>
        <w:tc>
          <w:tcPr>
            <w:tcW w:w="1650" w:type="dxa"/>
            <w:vAlign w:val="center"/>
          </w:tcPr>
          <w:p w14:paraId="6AF7AA97">
            <w:pPr>
              <w:rPr>
                <w:rFonts w:ascii="宋体" w:hAnsi="宋体"/>
                <w:sz w:val="24"/>
                <w:szCs w:val="24"/>
              </w:rPr>
            </w:pPr>
          </w:p>
        </w:tc>
        <w:tc>
          <w:tcPr>
            <w:tcW w:w="960" w:type="dxa"/>
            <w:vAlign w:val="center"/>
          </w:tcPr>
          <w:p w14:paraId="638A8565">
            <w:pPr>
              <w:widowControl/>
              <w:textAlignment w:val="center"/>
              <w:rPr>
                <w:rFonts w:ascii="宋体" w:hAnsi="宋体"/>
                <w:sz w:val="24"/>
                <w:szCs w:val="24"/>
              </w:rPr>
            </w:pPr>
          </w:p>
        </w:tc>
        <w:tc>
          <w:tcPr>
            <w:tcW w:w="1129" w:type="dxa"/>
            <w:vAlign w:val="center"/>
          </w:tcPr>
          <w:p w14:paraId="495F1BAA">
            <w:pPr>
              <w:widowControl/>
              <w:textAlignment w:val="center"/>
              <w:rPr>
                <w:rFonts w:ascii="宋体" w:hAnsi="宋体"/>
                <w:sz w:val="24"/>
                <w:szCs w:val="24"/>
              </w:rPr>
            </w:pPr>
          </w:p>
        </w:tc>
        <w:tc>
          <w:tcPr>
            <w:tcW w:w="1265" w:type="dxa"/>
            <w:vAlign w:val="center"/>
          </w:tcPr>
          <w:p w14:paraId="0968C05A">
            <w:pPr>
              <w:spacing w:line="440" w:lineRule="exact"/>
              <w:rPr>
                <w:rFonts w:ascii="宋体" w:hAnsi="宋体"/>
                <w:sz w:val="24"/>
                <w:szCs w:val="24"/>
              </w:rPr>
            </w:pPr>
          </w:p>
        </w:tc>
        <w:tc>
          <w:tcPr>
            <w:tcW w:w="991" w:type="dxa"/>
            <w:vAlign w:val="center"/>
          </w:tcPr>
          <w:p w14:paraId="0517F909">
            <w:pPr>
              <w:spacing w:line="440" w:lineRule="exact"/>
              <w:rPr>
                <w:rFonts w:ascii="宋体" w:hAnsi="宋体"/>
                <w:sz w:val="24"/>
                <w:szCs w:val="24"/>
              </w:rPr>
            </w:pPr>
          </w:p>
        </w:tc>
        <w:tc>
          <w:tcPr>
            <w:tcW w:w="1127" w:type="dxa"/>
            <w:vAlign w:val="center"/>
          </w:tcPr>
          <w:p w14:paraId="1F78C3A7">
            <w:pPr>
              <w:spacing w:line="440" w:lineRule="exact"/>
              <w:rPr>
                <w:rFonts w:ascii="宋体" w:hAnsi="宋体"/>
                <w:sz w:val="24"/>
                <w:szCs w:val="24"/>
              </w:rPr>
            </w:pPr>
          </w:p>
        </w:tc>
      </w:tr>
      <w:tr w14:paraId="6242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50AE8E88">
            <w:pPr>
              <w:widowControl/>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7</w:t>
            </w:r>
          </w:p>
        </w:tc>
        <w:tc>
          <w:tcPr>
            <w:tcW w:w="1864" w:type="dxa"/>
            <w:shd w:val="clear" w:color="auto" w:fill="auto"/>
            <w:vAlign w:val="center"/>
          </w:tcPr>
          <w:p w14:paraId="3F1B76C0">
            <w:pPr>
              <w:snapToGrid w:val="0"/>
              <w:jc w:val="center"/>
              <w:rPr>
                <w:rFonts w:hint="eastAsia" w:ascii="Times New Roman" w:hAnsi="Times New Roman" w:eastAsia="宋体" w:cs="Times New Roman"/>
                <w:b w:val="0"/>
                <w:bCs w:val="0"/>
                <w:color w:val="auto"/>
                <w:kern w:val="2"/>
                <w:sz w:val="24"/>
                <w:szCs w:val="20"/>
                <w:lang w:val="en-US" w:eastAsia="zh-CN" w:bidi="ar-SA"/>
              </w:rPr>
            </w:pPr>
            <w:r>
              <w:rPr>
                <w:rFonts w:hint="eastAsia" w:ascii="Times New Roman" w:hAnsi="Times New Roman" w:eastAsia="宋体" w:cs="Times New Roman"/>
                <w:b w:val="0"/>
                <w:bCs w:val="0"/>
                <w:color w:val="auto"/>
                <w:kern w:val="2"/>
                <w:sz w:val="24"/>
                <w:szCs w:val="20"/>
                <w:lang w:val="en-US" w:eastAsia="zh-CN" w:bidi="ar-SA"/>
              </w:rPr>
              <w:t>后端及存储设备</w:t>
            </w:r>
          </w:p>
        </w:tc>
        <w:tc>
          <w:tcPr>
            <w:tcW w:w="1650" w:type="dxa"/>
            <w:vAlign w:val="center"/>
          </w:tcPr>
          <w:p w14:paraId="160D04CD">
            <w:pPr>
              <w:rPr>
                <w:rFonts w:ascii="宋体" w:hAnsi="宋体"/>
                <w:sz w:val="24"/>
                <w:szCs w:val="24"/>
              </w:rPr>
            </w:pPr>
          </w:p>
        </w:tc>
        <w:tc>
          <w:tcPr>
            <w:tcW w:w="960" w:type="dxa"/>
            <w:vAlign w:val="center"/>
          </w:tcPr>
          <w:p w14:paraId="27FE8C60">
            <w:pPr>
              <w:widowControl/>
              <w:textAlignment w:val="center"/>
              <w:rPr>
                <w:rFonts w:ascii="宋体" w:hAnsi="宋体"/>
                <w:sz w:val="24"/>
                <w:szCs w:val="24"/>
              </w:rPr>
            </w:pPr>
          </w:p>
        </w:tc>
        <w:tc>
          <w:tcPr>
            <w:tcW w:w="1129" w:type="dxa"/>
            <w:vAlign w:val="center"/>
          </w:tcPr>
          <w:p w14:paraId="7D8FF5D9">
            <w:pPr>
              <w:widowControl/>
              <w:textAlignment w:val="center"/>
              <w:rPr>
                <w:rFonts w:ascii="宋体" w:hAnsi="宋体"/>
                <w:sz w:val="24"/>
                <w:szCs w:val="24"/>
              </w:rPr>
            </w:pPr>
          </w:p>
        </w:tc>
        <w:tc>
          <w:tcPr>
            <w:tcW w:w="1265" w:type="dxa"/>
            <w:vAlign w:val="center"/>
          </w:tcPr>
          <w:p w14:paraId="443A734B">
            <w:pPr>
              <w:spacing w:line="440" w:lineRule="exact"/>
              <w:rPr>
                <w:rFonts w:ascii="宋体" w:hAnsi="宋体"/>
                <w:sz w:val="24"/>
                <w:szCs w:val="24"/>
              </w:rPr>
            </w:pPr>
          </w:p>
        </w:tc>
        <w:tc>
          <w:tcPr>
            <w:tcW w:w="991" w:type="dxa"/>
            <w:vAlign w:val="center"/>
          </w:tcPr>
          <w:p w14:paraId="1FC05F58">
            <w:pPr>
              <w:spacing w:line="440" w:lineRule="exact"/>
              <w:rPr>
                <w:rFonts w:ascii="宋体" w:hAnsi="宋体"/>
                <w:sz w:val="24"/>
                <w:szCs w:val="24"/>
              </w:rPr>
            </w:pPr>
          </w:p>
        </w:tc>
        <w:tc>
          <w:tcPr>
            <w:tcW w:w="1127" w:type="dxa"/>
            <w:vAlign w:val="center"/>
          </w:tcPr>
          <w:p w14:paraId="169C3F86">
            <w:pPr>
              <w:spacing w:line="440" w:lineRule="exact"/>
              <w:rPr>
                <w:rFonts w:ascii="宋体" w:hAnsi="宋体"/>
                <w:sz w:val="24"/>
                <w:szCs w:val="24"/>
              </w:rPr>
            </w:pPr>
          </w:p>
        </w:tc>
      </w:tr>
      <w:tr w14:paraId="44867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41815DF7">
            <w:pPr>
              <w:spacing w:line="440" w:lineRule="exact"/>
              <w:rPr>
                <w:rFonts w:ascii="宋体" w:hAnsi="宋体"/>
                <w:sz w:val="24"/>
                <w:szCs w:val="24"/>
              </w:rPr>
            </w:pPr>
            <w:r>
              <w:rPr>
                <w:rFonts w:hint="eastAsia" w:ascii="宋体" w:hAnsi="宋体"/>
                <w:sz w:val="24"/>
                <w:szCs w:val="24"/>
              </w:rPr>
              <w:t>合计金额（小写）</w:t>
            </w:r>
          </w:p>
        </w:tc>
        <w:tc>
          <w:tcPr>
            <w:tcW w:w="7122" w:type="dxa"/>
            <w:gridSpan w:val="6"/>
            <w:vAlign w:val="center"/>
          </w:tcPr>
          <w:p w14:paraId="4F9E7BCE">
            <w:pPr>
              <w:spacing w:line="440" w:lineRule="exact"/>
              <w:rPr>
                <w:rFonts w:ascii="宋体" w:hAnsi="宋体"/>
                <w:sz w:val="24"/>
                <w:szCs w:val="24"/>
              </w:rPr>
            </w:pPr>
          </w:p>
        </w:tc>
      </w:tr>
      <w:tr w14:paraId="5887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0FAFBBCA">
            <w:pPr>
              <w:spacing w:line="440" w:lineRule="exact"/>
              <w:rPr>
                <w:rFonts w:ascii="宋体" w:hAnsi="宋体"/>
                <w:sz w:val="24"/>
                <w:szCs w:val="24"/>
              </w:rPr>
            </w:pPr>
            <w:r>
              <w:rPr>
                <w:rFonts w:hint="eastAsia" w:ascii="宋体" w:hAnsi="宋体"/>
                <w:sz w:val="24"/>
                <w:szCs w:val="24"/>
              </w:rPr>
              <w:t>合计金额（大写）：</w:t>
            </w:r>
          </w:p>
        </w:tc>
        <w:tc>
          <w:tcPr>
            <w:tcW w:w="7122" w:type="dxa"/>
            <w:gridSpan w:val="6"/>
            <w:vAlign w:val="center"/>
          </w:tcPr>
          <w:p w14:paraId="1B3C8686">
            <w:pPr>
              <w:spacing w:line="440" w:lineRule="exact"/>
              <w:rPr>
                <w:rFonts w:ascii="宋体" w:hAnsi="宋体"/>
                <w:sz w:val="24"/>
                <w:szCs w:val="24"/>
              </w:rPr>
            </w:pPr>
          </w:p>
        </w:tc>
      </w:tr>
      <w:tr w14:paraId="1D5B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611106C7">
            <w:pPr>
              <w:spacing w:line="440" w:lineRule="exact"/>
              <w:rPr>
                <w:rFonts w:ascii="宋体" w:hAnsi="宋体"/>
                <w:sz w:val="24"/>
                <w:szCs w:val="24"/>
              </w:rPr>
            </w:pPr>
            <w:r>
              <w:rPr>
                <w:rFonts w:hint="eastAsia" w:ascii="宋体" w:hAnsi="宋体"/>
                <w:sz w:val="24"/>
                <w:szCs w:val="24"/>
              </w:rPr>
              <w:t>质保年限</w:t>
            </w:r>
          </w:p>
        </w:tc>
        <w:tc>
          <w:tcPr>
            <w:tcW w:w="7122" w:type="dxa"/>
            <w:gridSpan w:val="6"/>
            <w:vAlign w:val="center"/>
          </w:tcPr>
          <w:p w14:paraId="0ED421A1">
            <w:pPr>
              <w:spacing w:line="440" w:lineRule="exact"/>
              <w:rPr>
                <w:rFonts w:ascii="宋体" w:hAnsi="宋体"/>
                <w:sz w:val="24"/>
                <w:szCs w:val="24"/>
              </w:rPr>
            </w:pPr>
          </w:p>
        </w:tc>
      </w:tr>
    </w:tbl>
    <w:p w14:paraId="630F737A">
      <w:pPr>
        <w:spacing w:line="460" w:lineRule="atLeast"/>
        <w:rPr>
          <w:rFonts w:ascii="宋体" w:hAnsi="宋体"/>
          <w:sz w:val="24"/>
          <w:szCs w:val="24"/>
        </w:rPr>
      </w:pPr>
    </w:p>
    <w:p w14:paraId="01B67C49">
      <w:pPr>
        <w:spacing w:line="460" w:lineRule="atLeast"/>
        <w:rPr>
          <w:rFonts w:ascii="宋体" w:hAnsi="宋体"/>
          <w:sz w:val="24"/>
          <w:szCs w:val="24"/>
        </w:rPr>
      </w:pPr>
      <w:r>
        <w:rPr>
          <w:rFonts w:hint="eastAsia"/>
          <w:sz w:val="24"/>
          <w:szCs w:val="24"/>
        </w:rPr>
        <w:t>投标人代表（</w:t>
      </w:r>
      <w:r>
        <w:rPr>
          <w:rFonts w:hint="eastAsia" w:ascii="宋体" w:hAnsi="宋体"/>
          <w:sz w:val="24"/>
          <w:szCs w:val="24"/>
        </w:rPr>
        <w:t>电子签名）：</w:t>
      </w:r>
    </w:p>
    <w:p w14:paraId="672727F7">
      <w:pPr>
        <w:spacing w:line="460" w:lineRule="atLeast"/>
        <w:rPr>
          <w:rFonts w:ascii="宋体" w:hAnsi="宋体"/>
          <w:sz w:val="24"/>
          <w:szCs w:val="24"/>
        </w:rPr>
      </w:pPr>
      <w:r>
        <w:rPr>
          <w:rFonts w:hint="eastAsia" w:ascii="宋体" w:hAnsi="宋体"/>
          <w:sz w:val="24"/>
          <w:szCs w:val="24"/>
        </w:rPr>
        <w:t>日期：</w:t>
      </w:r>
    </w:p>
    <w:p w14:paraId="4C3ED161">
      <w:pPr>
        <w:pStyle w:val="91"/>
        <w:keepNext w:val="0"/>
        <w:keepLines w:val="0"/>
        <w:adjustRightInd/>
        <w:spacing w:before="0" w:line="440" w:lineRule="exact"/>
        <w:textAlignment w:val="auto"/>
        <w:outlineLvl w:val="9"/>
        <w:rPr>
          <w:sz w:val="24"/>
          <w:szCs w:val="24"/>
        </w:rPr>
      </w:pPr>
    </w:p>
    <w:p w14:paraId="74E93768">
      <w:pPr>
        <w:spacing w:line="440" w:lineRule="exact"/>
        <w:rPr>
          <w:rFonts w:ascii="宋体" w:hAnsi="宋体"/>
          <w:sz w:val="24"/>
          <w:szCs w:val="24"/>
        </w:rPr>
      </w:pPr>
      <w:r>
        <w:rPr>
          <w:rFonts w:hint="eastAsia" w:ascii="宋体" w:hAnsi="宋体"/>
          <w:sz w:val="24"/>
          <w:szCs w:val="24"/>
        </w:rPr>
        <w:t>注：</w:t>
      </w:r>
      <w:r>
        <w:rPr>
          <w:rFonts w:ascii="宋体" w:hAnsi="宋体"/>
          <w:sz w:val="24"/>
          <w:szCs w:val="24"/>
        </w:rPr>
        <w:t>1</w:t>
      </w:r>
      <w:r>
        <w:rPr>
          <w:rFonts w:hint="eastAsia" w:ascii="宋体" w:hAnsi="宋体"/>
          <w:sz w:val="24"/>
          <w:szCs w:val="24"/>
        </w:rPr>
        <w:t>、合计金额应为各分项价格之和。</w:t>
      </w:r>
    </w:p>
    <w:p w14:paraId="56FCDF41">
      <w:pPr>
        <w:spacing w:line="4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、上述报价包含一切由供方承担的费用。</w:t>
      </w:r>
    </w:p>
    <w:p w14:paraId="5E786EAE">
      <w:pPr>
        <w:spacing w:line="440" w:lineRule="exact"/>
        <w:ind w:firstLine="470" w:firstLineChars="196"/>
        <w:rPr>
          <w:rFonts w:ascii="宋体" w:hAnsi="宋体"/>
          <w:sz w:val="24"/>
          <w:szCs w:val="24"/>
        </w:rPr>
      </w:pPr>
      <w:r>
        <w:rPr>
          <w:rFonts w:hint="eastAsia" w:ascii="宋体" w:hAnsi="宋体"/>
          <w:sz w:val="24"/>
          <w:szCs w:val="24"/>
        </w:rPr>
        <w:t>3、请各投标人根据投标方案，在本表中详细写明所有产品型号规格、主要技术参数、数量、综合单价、总价及品牌和产地。</w:t>
      </w:r>
    </w:p>
    <w:p w14:paraId="14E0C6AB">
      <w:pPr>
        <w:spacing w:line="360" w:lineRule="auto"/>
        <w:ind w:firstLine="470" w:firstLineChars="196"/>
        <w:rPr>
          <w:rFonts w:ascii="宋体" w:hAnsi="宋体"/>
          <w:b/>
          <w:sz w:val="24"/>
          <w:szCs w:val="24"/>
        </w:rPr>
      </w:pPr>
      <w:r>
        <w:rPr>
          <w:rFonts w:hint="eastAsia" w:ascii="宋体" w:hAnsi="宋体"/>
          <w:sz w:val="24"/>
          <w:szCs w:val="24"/>
        </w:rPr>
        <w:t>4、综合单价必须包括货物、安装、调试、技术支持、运输、保险、售后服务、培训及其它必需服务的报价。</w:t>
      </w:r>
    </w:p>
    <w:p w14:paraId="06CC68D5">
      <w:pPr>
        <w:pStyle w:val="117"/>
        <w:spacing w:after="0"/>
        <w:ind w:left="0" w:leftChars="0" w:firstLine="2" w:firstLineChars="1"/>
        <w:jc w:val="center"/>
        <w:outlineLvl w:val="1"/>
        <w:rPr>
          <w:rFonts w:ascii="宋体" w:hAnsi="宋体"/>
          <w:b/>
          <w:sz w:val="28"/>
          <w:szCs w:val="28"/>
        </w:rPr>
      </w:pPr>
      <w:r>
        <w:rPr>
          <w:rFonts w:hint="eastAsia"/>
        </w:rPr>
        <w:br w:type="page"/>
      </w:r>
      <w:r>
        <w:rPr>
          <w:rFonts w:hint="eastAsia"/>
        </w:rPr>
        <w:t>七</w:t>
      </w:r>
      <w:r>
        <w:rPr>
          <w:rFonts w:hint="eastAsia" w:ascii="宋体" w:hAnsi="宋体"/>
          <w:b/>
          <w:sz w:val="28"/>
          <w:szCs w:val="28"/>
        </w:rPr>
        <w:t>、商务条款偏离表附件2-4</w:t>
      </w:r>
    </w:p>
    <w:p w14:paraId="599FE449">
      <w:pPr>
        <w:spacing w:line="440" w:lineRule="exact"/>
        <w:ind w:firstLine="120" w:firstLineChars="50"/>
        <w:rPr>
          <w:rFonts w:ascii="宋体" w:hAnsi="宋体"/>
          <w:sz w:val="24"/>
          <w:szCs w:val="24"/>
          <w:u w:val="single"/>
        </w:rPr>
      </w:pPr>
      <w:r>
        <w:rPr>
          <w:rFonts w:hint="eastAsia" w:ascii="宋体" w:hAnsi="宋体"/>
          <w:sz w:val="24"/>
          <w:szCs w:val="24"/>
        </w:rPr>
        <w:t>投标人名称（电子签章）：</w:t>
      </w:r>
      <w:r>
        <w:rPr>
          <w:rFonts w:hint="eastAsia" w:ascii="宋体" w:hAnsi="宋体"/>
          <w:sz w:val="24"/>
          <w:szCs w:val="24"/>
          <w:u w:val="single"/>
        </w:rPr>
        <w:t xml:space="preserve">　　　　　         </w:t>
      </w:r>
      <w:r>
        <w:rPr>
          <w:rFonts w:hint="eastAsia" w:ascii="宋体" w:hAnsi="宋体"/>
          <w:sz w:val="24"/>
          <w:szCs w:val="24"/>
        </w:rPr>
        <w:t>招标编号：</w:t>
      </w:r>
      <w:r>
        <w:rPr>
          <w:rFonts w:hint="eastAsia" w:ascii="宋体" w:hAnsi="宋体"/>
          <w:sz w:val="24"/>
          <w:szCs w:val="24"/>
          <w:u w:val="single"/>
        </w:rPr>
        <w:t xml:space="preserve">　　　　           </w:t>
      </w:r>
    </w:p>
    <w:p w14:paraId="52319D12">
      <w:pPr>
        <w:spacing w:line="440" w:lineRule="exact"/>
        <w:ind w:firstLine="120" w:firstLineChars="50"/>
        <w:rPr>
          <w:rFonts w:ascii="宋体" w:hAnsi="宋体"/>
          <w:sz w:val="24"/>
          <w:szCs w:val="24"/>
        </w:rPr>
      </w:pPr>
      <w:r>
        <w:rPr>
          <w:rFonts w:hint="eastAsia" w:ascii="宋体" w:hAnsi="宋体"/>
          <w:sz w:val="24"/>
          <w:szCs w:val="24"/>
        </w:rPr>
        <w:t>分包序号、名称：</w:t>
      </w:r>
      <w:r>
        <w:rPr>
          <w:rFonts w:hint="eastAsia" w:ascii="宋体" w:hAnsi="宋体"/>
          <w:sz w:val="24"/>
          <w:szCs w:val="24"/>
          <w:u w:val="single"/>
        </w:rPr>
        <w:t xml:space="preserve">　　　　           </w:t>
      </w:r>
      <w:r>
        <w:rPr>
          <w:rFonts w:hint="eastAsia" w:ascii="宋体" w:hAnsi="宋体"/>
          <w:sz w:val="24"/>
          <w:szCs w:val="24"/>
        </w:rPr>
        <w:t>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0B3D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7FB04030">
            <w:pPr>
              <w:spacing w:line="440" w:lineRule="exact"/>
              <w:rPr>
                <w:rFonts w:ascii="宋体" w:hAnsi="宋体"/>
                <w:sz w:val="24"/>
                <w:szCs w:val="24"/>
              </w:rPr>
            </w:pPr>
            <w:r>
              <w:rPr>
                <w:rFonts w:hint="eastAsia" w:ascii="宋体" w:hAnsi="宋体"/>
                <w:sz w:val="24"/>
                <w:szCs w:val="24"/>
              </w:rPr>
              <w:t>序号</w:t>
            </w:r>
          </w:p>
        </w:tc>
        <w:tc>
          <w:tcPr>
            <w:tcW w:w="1602" w:type="dxa"/>
            <w:vAlign w:val="center"/>
          </w:tcPr>
          <w:p w14:paraId="32137AB2">
            <w:pPr>
              <w:spacing w:line="440" w:lineRule="exact"/>
              <w:rPr>
                <w:rFonts w:ascii="宋体" w:hAnsi="宋体"/>
                <w:sz w:val="24"/>
                <w:szCs w:val="24"/>
              </w:rPr>
            </w:pPr>
            <w:r>
              <w:rPr>
                <w:rFonts w:hint="eastAsia" w:ascii="宋体" w:hAnsi="宋体"/>
                <w:sz w:val="24"/>
                <w:szCs w:val="24"/>
              </w:rPr>
              <w:t>招标文件</w:t>
            </w:r>
          </w:p>
          <w:p w14:paraId="29CA929D">
            <w:pPr>
              <w:spacing w:line="440" w:lineRule="exact"/>
              <w:rPr>
                <w:rFonts w:ascii="宋体" w:hAnsi="宋体"/>
                <w:sz w:val="24"/>
                <w:szCs w:val="24"/>
              </w:rPr>
            </w:pPr>
            <w:r>
              <w:rPr>
                <w:rFonts w:hint="eastAsia" w:ascii="宋体" w:hAnsi="宋体"/>
                <w:sz w:val="24"/>
                <w:szCs w:val="24"/>
              </w:rPr>
              <w:t>条目号</w:t>
            </w:r>
          </w:p>
        </w:tc>
        <w:tc>
          <w:tcPr>
            <w:tcW w:w="2458" w:type="dxa"/>
            <w:vAlign w:val="center"/>
          </w:tcPr>
          <w:p w14:paraId="3F79D906">
            <w:pPr>
              <w:spacing w:line="440" w:lineRule="exact"/>
              <w:rPr>
                <w:rFonts w:ascii="宋体" w:hAnsi="宋体"/>
                <w:sz w:val="24"/>
                <w:szCs w:val="24"/>
              </w:rPr>
            </w:pPr>
            <w:r>
              <w:rPr>
                <w:rFonts w:hint="eastAsia" w:ascii="宋体" w:hAnsi="宋体"/>
                <w:sz w:val="24"/>
                <w:szCs w:val="24"/>
              </w:rPr>
              <w:t>招标文件的商务条款</w:t>
            </w:r>
          </w:p>
        </w:tc>
        <w:tc>
          <w:tcPr>
            <w:tcW w:w="2885" w:type="dxa"/>
            <w:vAlign w:val="center"/>
          </w:tcPr>
          <w:p w14:paraId="63684E42">
            <w:pPr>
              <w:spacing w:line="440" w:lineRule="exact"/>
              <w:rPr>
                <w:rFonts w:ascii="宋体" w:hAnsi="宋体"/>
                <w:sz w:val="24"/>
                <w:szCs w:val="24"/>
              </w:rPr>
            </w:pPr>
            <w:r>
              <w:rPr>
                <w:rFonts w:hint="eastAsia" w:ascii="宋体" w:hAnsi="宋体"/>
                <w:sz w:val="24"/>
                <w:szCs w:val="24"/>
              </w:rPr>
              <w:t>投标文件的商务条款</w:t>
            </w:r>
          </w:p>
        </w:tc>
        <w:tc>
          <w:tcPr>
            <w:tcW w:w="2018" w:type="dxa"/>
            <w:vAlign w:val="center"/>
          </w:tcPr>
          <w:p w14:paraId="03E8D00B">
            <w:pPr>
              <w:spacing w:line="440" w:lineRule="exact"/>
              <w:rPr>
                <w:rFonts w:ascii="宋体" w:hAnsi="宋体"/>
                <w:sz w:val="24"/>
                <w:szCs w:val="24"/>
              </w:rPr>
            </w:pPr>
            <w:r>
              <w:rPr>
                <w:rFonts w:hint="eastAsia" w:ascii="宋体" w:hAnsi="宋体"/>
                <w:sz w:val="24"/>
                <w:szCs w:val="24"/>
              </w:rPr>
              <w:t>说明</w:t>
            </w:r>
          </w:p>
        </w:tc>
      </w:tr>
      <w:tr w14:paraId="3E595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6862A64B">
            <w:pPr>
              <w:jc w:val="center"/>
              <w:rPr>
                <w:rFonts w:ascii="宋体" w:hAnsi="宋体"/>
                <w:sz w:val="24"/>
                <w:szCs w:val="24"/>
              </w:rPr>
            </w:pPr>
            <w:r>
              <w:rPr>
                <w:rFonts w:hint="eastAsia" w:ascii="宋体" w:hAnsi="宋体"/>
                <w:sz w:val="24"/>
                <w:szCs w:val="24"/>
              </w:rPr>
              <w:t>1</w:t>
            </w:r>
          </w:p>
        </w:tc>
        <w:tc>
          <w:tcPr>
            <w:tcW w:w="1602" w:type="dxa"/>
          </w:tcPr>
          <w:p w14:paraId="1271D29D">
            <w:pPr>
              <w:spacing w:line="440" w:lineRule="exact"/>
              <w:jc w:val="center"/>
              <w:rPr>
                <w:rFonts w:ascii="宋体" w:hAnsi="宋体"/>
                <w:sz w:val="24"/>
                <w:szCs w:val="24"/>
              </w:rPr>
            </w:pPr>
          </w:p>
        </w:tc>
        <w:tc>
          <w:tcPr>
            <w:tcW w:w="2458" w:type="dxa"/>
          </w:tcPr>
          <w:p w14:paraId="07391B0C">
            <w:pPr>
              <w:spacing w:line="440" w:lineRule="exact"/>
              <w:rPr>
                <w:rFonts w:ascii="宋体" w:hAnsi="宋体"/>
                <w:sz w:val="24"/>
                <w:szCs w:val="24"/>
              </w:rPr>
            </w:pPr>
          </w:p>
        </w:tc>
        <w:tc>
          <w:tcPr>
            <w:tcW w:w="2885" w:type="dxa"/>
          </w:tcPr>
          <w:p w14:paraId="6A6FAC78">
            <w:pPr>
              <w:spacing w:line="440" w:lineRule="exact"/>
              <w:rPr>
                <w:rFonts w:ascii="宋体" w:hAnsi="宋体"/>
                <w:sz w:val="24"/>
                <w:szCs w:val="24"/>
              </w:rPr>
            </w:pPr>
          </w:p>
        </w:tc>
        <w:tc>
          <w:tcPr>
            <w:tcW w:w="2018" w:type="dxa"/>
          </w:tcPr>
          <w:p w14:paraId="7AA12B06">
            <w:pPr>
              <w:spacing w:line="440" w:lineRule="exact"/>
              <w:rPr>
                <w:rFonts w:ascii="宋体" w:hAnsi="宋体"/>
                <w:sz w:val="24"/>
                <w:szCs w:val="24"/>
              </w:rPr>
            </w:pPr>
          </w:p>
        </w:tc>
      </w:tr>
      <w:tr w14:paraId="2228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1A26AA47">
            <w:pPr>
              <w:jc w:val="center"/>
              <w:rPr>
                <w:rFonts w:ascii="宋体" w:hAnsi="宋体"/>
                <w:sz w:val="24"/>
                <w:szCs w:val="24"/>
              </w:rPr>
            </w:pPr>
            <w:r>
              <w:rPr>
                <w:rFonts w:hint="eastAsia" w:ascii="宋体" w:hAnsi="宋体"/>
                <w:sz w:val="24"/>
                <w:szCs w:val="24"/>
              </w:rPr>
              <w:t>2</w:t>
            </w:r>
          </w:p>
        </w:tc>
        <w:tc>
          <w:tcPr>
            <w:tcW w:w="1602" w:type="dxa"/>
          </w:tcPr>
          <w:p w14:paraId="4807F667">
            <w:pPr>
              <w:spacing w:line="440" w:lineRule="exact"/>
              <w:rPr>
                <w:rFonts w:ascii="宋体" w:hAnsi="宋体"/>
                <w:sz w:val="24"/>
                <w:szCs w:val="24"/>
              </w:rPr>
            </w:pPr>
          </w:p>
        </w:tc>
        <w:tc>
          <w:tcPr>
            <w:tcW w:w="2458" w:type="dxa"/>
          </w:tcPr>
          <w:p w14:paraId="38D491F6">
            <w:pPr>
              <w:spacing w:line="440" w:lineRule="exact"/>
              <w:rPr>
                <w:rFonts w:ascii="宋体" w:hAnsi="宋体"/>
                <w:sz w:val="24"/>
                <w:szCs w:val="24"/>
              </w:rPr>
            </w:pPr>
          </w:p>
        </w:tc>
        <w:tc>
          <w:tcPr>
            <w:tcW w:w="2885" w:type="dxa"/>
          </w:tcPr>
          <w:p w14:paraId="5371BD64">
            <w:pPr>
              <w:spacing w:line="440" w:lineRule="exact"/>
              <w:rPr>
                <w:rFonts w:ascii="宋体" w:hAnsi="宋体"/>
                <w:sz w:val="24"/>
                <w:szCs w:val="24"/>
              </w:rPr>
            </w:pPr>
          </w:p>
        </w:tc>
        <w:tc>
          <w:tcPr>
            <w:tcW w:w="2018" w:type="dxa"/>
          </w:tcPr>
          <w:p w14:paraId="141844BB">
            <w:pPr>
              <w:spacing w:line="440" w:lineRule="exact"/>
              <w:rPr>
                <w:rFonts w:ascii="宋体" w:hAnsi="宋体"/>
                <w:sz w:val="24"/>
                <w:szCs w:val="24"/>
              </w:rPr>
            </w:pPr>
          </w:p>
        </w:tc>
      </w:tr>
      <w:tr w14:paraId="5009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9047376">
            <w:pPr>
              <w:jc w:val="center"/>
              <w:rPr>
                <w:rFonts w:ascii="宋体" w:hAnsi="宋体"/>
                <w:sz w:val="24"/>
                <w:szCs w:val="24"/>
              </w:rPr>
            </w:pPr>
            <w:r>
              <w:rPr>
                <w:rFonts w:hint="eastAsia" w:ascii="宋体" w:hAnsi="宋体"/>
                <w:sz w:val="24"/>
                <w:szCs w:val="24"/>
              </w:rPr>
              <w:t>3</w:t>
            </w:r>
          </w:p>
        </w:tc>
        <w:tc>
          <w:tcPr>
            <w:tcW w:w="1602" w:type="dxa"/>
          </w:tcPr>
          <w:p w14:paraId="219A5BC8">
            <w:pPr>
              <w:spacing w:line="440" w:lineRule="exact"/>
              <w:rPr>
                <w:rFonts w:ascii="宋体" w:hAnsi="宋体"/>
                <w:sz w:val="24"/>
                <w:szCs w:val="24"/>
              </w:rPr>
            </w:pPr>
          </w:p>
        </w:tc>
        <w:tc>
          <w:tcPr>
            <w:tcW w:w="2458" w:type="dxa"/>
            <w:vAlign w:val="center"/>
          </w:tcPr>
          <w:p w14:paraId="46A45BFE">
            <w:pPr>
              <w:spacing w:line="440" w:lineRule="exact"/>
              <w:rPr>
                <w:rFonts w:ascii="宋体" w:hAnsi="宋体"/>
                <w:sz w:val="24"/>
                <w:szCs w:val="24"/>
              </w:rPr>
            </w:pPr>
          </w:p>
        </w:tc>
        <w:tc>
          <w:tcPr>
            <w:tcW w:w="2885" w:type="dxa"/>
          </w:tcPr>
          <w:p w14:paraId="40802EF3">
            <w:pPr>
              <w:spacing w:line="440" w:lineRule="exact"/>
              <w:rPr>
                <w:rFonts w:ascii="宋体" w:hAnsi="宋体"/>
                <w:sz w:val="24"/>
                <w:szCs w:val="24"/>
              </w:rPr>
            </w:pPr>
          </w:p>
        </w:tc>
        <w:tc>
          <w:tcPr>
            <w:tcW w:w="2018" w:type="dxa"/>
          </w:tcPr>
          <w:p w14:paraId="440CCC60">
            <w:pPr>
              <w:spacing w:line="440" w:lineRule="exact"/>
              <w:rPr>
                <w:rFonts w:ascii="宋体" w:hAnsi="宋体"/>
                <w:sz w:val="24"/>
                <w:szCs w:val="24"/>
              </w:rPr>
            </w:pPr>
          </w:p>
        </w:tc>
      </w:tr>
      <w:tr w14:paraId="3E61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6EBFDEAF">
            <w:pPr>
              <w:jc w:val="center"/>
              <w:rPr>
                <w:rFonts w:ascii="宋体" w:hAnsi="宋体"/>
                <w:sz w:val="24"/>
                <w:szCs w:val="24"/>
              </w:rPr>
            </w:pPr>
            <w:r>
              <w:rPr>
                <w:rFonts w:hint="eastAsia" w:ascii="宋体" w:hAnsi="宋体"/>
                <w:sz w:val="24"/>
                <w:szCs w:val="24"/>
              </w:rPr>
              <w:t>4</w:t>
            </w:r>
          </w:p>
        </w:tc>
        <w:tc>
          <w:tcPr>
            <w:tcW w:w="1602" w:type="dxa"/>
          </w:tcPr>
          <w:p w14:paraId="439F0AF2">
            <w:pPr>
              <w:spacing w:line="440" w:lineRule="exact"/>
              <w:rPr>
                <w:rFonts w:ascii="宋体" w:hAnsi="宋体"/>
                <w:sz w:val="24"/>
                <w:szCs w:val="24"/>
              </w:rPr>
            </w:pPr>
          </w:p>
        </w:tc>
        <w:tc>
          <w:tcPr>
            <w:tcW w:w="2458" w:type="dxa"/>
            <w:vAlign w:val="center"/>
          </w:tcPr>
          <w:p w14:paraId="1FCCCAD3">
            <w:pPr>
              <w:pStyle w:val="80"/>
              <w:spacing w:line="440" w:lineRule="exact"/>
              <w:rPr>
                <w:rFonts w:cs="Times New Roman"/>
                <w:kern w:val="2"/>
              </w:rPr>
            </w:pPr>
          </w:p>
        </w:tc>
        <w:tc>
          <w:tcPr>
            <w:tcW w:w="2885" w:type="dxa"/>
          </w:tcPr>
          <w:p w14:paraId="217D101D">
            <w:pPr>
              <w:spacing w:line="440" w:lineRule="exact"/>
              <w:rPr>
                <w:rFonts w:ascii="宋体" w:hAnsi="宋体"/>
                <w:sz w:val="24"/>
                <w:szCs w:val="24"/>
              </w:rPr>
            </w:pPr>
          </w:p>
        </w:tc>
        <w:tc>
          <w:tcPr>
            <w:tcW w:w="2018" w:type="dxa"/>
          </w:tcPr>
          <w:p w14:paraId="13A449E3">
            <w:pPr>
              <w:spacing w:line="440" w:lineRule="exact"/>
              <w:rPr>
                <w:rFonts w:ascii="宋体" w:hAnsi="宋体"/>
                <w:sz w:val="24"/>
                <w:szCs w:val="24"/>
              </w:rPr>
            </w:pPr>
          </w:p>
        </w:tc>
      </w:tr>
      <w:tr w14:paraId="2E53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DD63576">
            <w:pPr>
              <w:jc w:val="center"/>
              <w:rPr>
                <w:rFonts w:ascii="宋体" w:hAnsi="宋体"/>
                <w:sz w:val="24"/>
                <w:szCs w:val="24"/>
              </w:rPr>
            </w:pPr>
            <w:r>
              <w:rPr>
                <w:rFonts w:hint="eastAsia" w:ascii="宋体" w:hAnsi="宋体"/>
                <w:sz w:val="24"/>
                <w:szCs w:val="24"/>
              </w:rPr>
              <w:t>5</w:t>
            </w:r>
          </w:p>
        </w:tc>
        <w:tc>
          <w:tcPr>
            <w:tcW w:w="1602" w:type="dxa"/>
          </w:tcPr>
          <w:p w14:paraId="1CB012E9">
            <w:pPr>
              <w:spacing w:line="440" w:lineRule="exact"/>
              <w:rPr>
                <w:rFonts w:ascii="宋体" w:hAnsi="宋体"/>
                <w:sz w:val="24"/>
                <w:szCs w:val="24"/>
              </w:rPr>
            </w:pPr>
          </w:p>
        </w:tc>
        <w:tc>
          <w:tcPr>
            <w:tcW w:w="2458" w:type="dxa"/>
          </w:tcPr>
          <w:p w14:paraId="5D3B741C">
            <w:pPr>
              <w:spacing w:line="440" w:lineRule="exact"/>
              <w:rPr>
                <w:rFonts w:ascii="宋体" w:hAnsi="宋体"/>
                <w:sz w:val="24"/>
                <w:szCs w:val="24"/>
              </w:rPr>
            </w:pPr>
          </w:p>
        </w:tc>
        <w:tc>
          <w:tcPr>
            <w:tcW w:w="2885" w:type="dxa"/>
          </w:tcPr>
          <w:p w14:paraId="4EE51C36">
            <w:pPr>
              <w:spacing w:line="440" w:lineRule="exact"/>
              <w:rPr>
                <w:rFonts w:ascii="宋体" w:hAnsi="宋体"/>
                <w:sz w:val="24"/>
                <w:szCs w:val="24"/>
              </w:rPr>
            </w:pPr>
          </w:p>
        </w:tc>
        <w:tc>
          <w:tcPr>
            <w:tcW w:w="2018" w:type="dxa"/>
          </w:tcPr>
          <w:p w14:paraId="511D1F19">
            <w:pPr>
              <w:spacing w:line="440" w:lineRule="exact"/>
              <w:rPr>
                <w:rFonts w:ascii="宋体" w:hAnsi="宋体"/>
                <w:sz w:val="24"/>
                <w:szCs w:val="24"/>
              </w:rPr>
            </w:pPr>
          </w:p>
        </w:tc>
      </w:tr>
      <w:tr w14:paraId="2BF10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A13C802">
            <w:pPr>
              <w:jc w:val="center"/>
              <w:rPr>
                <w:rFonts w:ascii="宋体" w:hAnsi="宋体"/>
                <w:sz w:val="24"/>
                <w:szCs w:val="24"/>
              </w:rPr>
            </w:pPr>
            <w:r>
              <w:rPr>
                <w:rFonts w:hint="eastAsia" w:ascii="宋体" w:hAnsi="宋体"/>
                <w:sz w:val="24"/>
                <w:szCs w:val="24"/>
              </w:rPr>
              <w:t>6</w:t>
            </w:r>
          </w:p>
        </w:tc>
        <w:tc>
          <w:tcPr>
            <w:tcW w:w="1602" w:type="dxa"/>
          </w:tcPr>
          <w:p w14:paraId="22FA03E8">
            <w:pPr>
              <w:spacing w:line="440" w:lineRule="exact"/>
              <w:rPr>
                <w:rFonts w:ascii="宋体" w:hAnsi="宋体"/>
                <w:sz w:val="24"/>
                <w:szCs w:val="24"/>
              </w:rPr>
            </w:pPr>
          </w:p>
        </w:tc>
        <w:tc>
          <w:tcPr>
            <w:tcW w:w="2458" w:type="dxa"/>
          </w:tcPr>
          <w:p w14:paraId="48D32BC6">
            <w:pPr>
              <w:snapToGrid w:val="0"/>
              <w:spacing w:line="440" w:lineRule="exact"/>
              <w:ind w:firstLine="480" w:firstLineChars="200"/>
              <w:rPr>
                <w:rFonts w:ascii="宋体" w:hAnsi="宋体"/>
                <w:sz w:val="24"/>
                <w:szCs w:val="24"/>
              </w:rPr>
            </w:pPr>
          </w:p>
        </w:tc>
        <w:tc>
          <w:tcPr>
            <w:tcW w:w="2885" w:type="dxa"/>
          </w:tcPr>
          <w:p w14:paraId="462E0B97">
            <w:pPr>
              <w:spacing w:line="440" w:lineRule="exact"/>
              <w:rPr>
                <w:rFonts w:ascii="宋体" w:hAnsi="宋体"/>
                <w:sz w:val="24"/>
                <w:szCs w:val="24"/>
              </w:rPr>
            </w:pPr>
          </w:p>
        </w:tc>
        <w:tc>
          <w:tcPr>
            <w:tcW w:w="2018" w:type="dxa"/>
          </w:tcPr>
          <w:p w14:paraId="06EFABD1">
            <w:pPr>
              <w:spacing w:line="440" w:lineRule="exact"/>
              <w:rPr>
                <w:rFonts w:ascii="宋体" w:hAnsi="宋体"/>
                <w:sz w:val="24"/>
                <w:szCs w:val="24"/>
              </w:rPr>
            </w:pPr>
          </w:p>
        </w:tc>
      </w:tr>
      <w:tr w14:paraId="725F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743BD9E8">
            <w:pPr>
              <w:jc w:val="center"/>
              <w:rPr>
                <w:rFonts w:ascii="宋体" w:hAnsi="宋体"/>
                <w:sz w:val="24"/>
                <w:szCs w:val="24"/>
              </w:rPr>
            </w:pPr>
            <w:r>
              <w:rPr>
                <w:rFonts w:hint="eastAsia" w:ascii="宋体" w:hAnsi="宋体"/>
                <w:sz w:val="24"/>
                <w:szCs w:val="24"/>
              </w:rPr>
              <w:t>7</w:t>
            </w:r>
          </w:p>
        </w:tc>
        <w:tc>
          <w:tcPr>
            <w:tcW w:w="1602" w:type="dxa"/>
          </w:tcPr>
          <w:p w14:paraId="3438B083">
            <w:pPr>
              <w:spacing w:line="440" w:lineRule="exact"/>
              <w:rPr>
                <w:rFonts w:ascii="宋体" w:hAnsi="宋体"/>
                <w:sz w:val="24"/>
                <w:szCs w:val="24"/>
              </w:rPr>
            </w:pPr>
          </w:p>
        </w:tc>
        <w:tc>
          <w:tcPr>
            <w:tcW w:w="2458" w:type="dxa"/>
          </w:tcPr>
          <w:p w14:paraId="0EC80B1D">
            <w:pPr>
              <w:snapToGrid w:val="0"/>
              <w:spacing w:line="440" w:lineRule="exact"/>
              <w:rPr>
                <w:rFonts w:ascii="宋体" w:hAnsi="宋体" w:cs="仿宋"/>
                <w:sz w:val="24"/>
                <w:szCs w:val="24"/>
              </w:rPr>
            </w:pPr>
          </w:p>
        </w:tc>
        <w:tc>
          <w:tcPr>
            <w:tcW w:w="2885" w:type="dxa"/>
          </w:tcPr>
          <w:p w14:paraId="21343179">
            <w:pPr>
              <w:spacing w:line="440" w:lineRule="exact"/>
              <w:rPr>
                <w:rFonts w:ascii="宋体" w:hAnsi="宋体"/>
                <w:sz w:val="24"/>
                <w:szCs w:val="24"/>
              </w:rPr>
            </w:pPr>
          </w:p>
        </w:tc>
        <w:tc>
          <w:tcPr>
            <w:tcW w:w="2018" w:type="dxa"/>
          </w:tcPr>
          <w:p w14:paraId="79449C72">
            <w:pPr>
              <w:spacing w:line="440" w:lineRule="exact"/>
              <w:rPr>
                <w:rFonts w:ascii="宋体" w:hAnsi="宋体"/>
                <w:sz w:val="24"/>
                <w:szCs w:val="24"/>
              </w:rPr>
            </w:pPr>
          </w:p>
        </w:tc>
      </w:tr>
      <w:tr w14:paraId="35FC3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252283F">
            <w:pPr>
              <w:jc w:val="center"/>
              <w:rPr>
                <w:rFonts w:ascii="宋体" w:hAnsi="宋体"/>
                <w:sz w:val="24"/>
                <w:szCs w:val="24"/>
              </w:rPr>
            </w:pPr>
            <w:r>
              <w:rPr>
                <w:rFonts w:ascii="宋体" w:hAnsi="宋体"/>
                <w:sz w:val="24"/>
                <w:szCs w:val="24"/>
              </w:rPr>
              <w:t>…</w:t>
            </w:r>
          </w:p>
        </w:tc>
        <w:tc>
          <w:tcPr>
            <w:tcW w:w="1602" w:type="dxa"/>
          </w:tcPr>
          <w:p w14:paraId="1F09A2E5">
            <w:pPr>
              <w:spacing w:line="440" w:lineRule="exact"/>
              <w:rPr>
                <w:rFonts w:ascii="宋体" w:hAnsi="宋体"/>
                <w:sz w:val="24"/>
                <w:szCs w:val="24"/>
              </w:rPr>
            </w:pPr>
          </w:p>
        </w:tc>
        <w:tc>
          <w:tcPr>
            <w:tcW w:w="2458" w:type="dxa"/>
          </w:tcPr>
          <w:p w14:paraId="0D9D915F">
            <w:pPr>
              <w:spacing w:line="440" w:lineRule="exact"/>
              <w:rPr>
                <w:rFonts w:ascii="宋体" w:hAnsi="宋体"/>
                <w:sz w:val="24"/>
                <w:szCs w:val="24"/>
              </w:rPr>
            </w:pPr>
          </w:p>
        </w:tc>
        <w:tc>
          <w:tcPr>
            <w:tcW w:w="2885" w:type="dxa"/>
          </w:tcPr>
          <w:p w14:paraId="366CC98F">
            <w:pPr>
              <w:spacing w:line="440" w:lineRule="exact"/>
              <w:rPr>
                <w:rFonts w:ascii="宋体" w:hAnsi="宋体"/>
                <w:sz w:val="24"/>
                <w:szCs w:val="24"/>
              </w:rPr>
            </w:pPr>
          </w:p>
        </w:tc>
        <w:tc>
          <w:tcPr>
            <w:tcW w:w="2018" w:type="dxa"/>
          </w:tcPr>
          <w:p w14:paraId="2C108079">
            <w:pPr>
              <w:spacing w:line="440" w:lineRule="exact"/>
              <w:rPr>
                <w:rFonts w:ascii="宋体" w:hAnsi="宋体"/>
                <w:sz w:val="24"/>
                <w:szCs w:val="24"/>
              </w:rPr>
            </w:pPr>
          </w:p>
        </w:tc>
      </w:tr>
    </w:tbl>
    <w:p w14:paraId="335E2206">
      <w:pPr>
        <w:spacing w:line="440" w:lineRule="exact"/>
        <w:rPr>
          <w:rFonts w:ascii="宋体" w:hAnsi="宋体"/>
          <w:sz w:val="24"/>
          <w:szCs w:val="24"/>
        </w:rPr>
      </w:pPr>
      <w:r>
        <w:rPr>
          <w:rFonts w:hint="eastAsia"/>
          <w:sz w:val="24"/>
          <w:szCs w:val="24"/>
        </w:rPr>
        <w:t>投标人代表（</w:t>
      </w:r>
      <w:r>
        <w:rPr>
          <w:rFonts w:hint="eastAsia" w:ascii="宋体" w:hAnsi="宋体"/>
          <w:sz w:val="24"/>
          <w:szCs w:val="24"/>
        </w:rPr>
        <w:t>电子签名）：</w:t>
      </w:r>
    </w:p>
    <w:p w14:paraId="4CFCA698">
      <w:pPr>
        <w:spacing w:line="440" w:lineRule="exact"/>
        <w:rPr>
          <w:rFonts w:ascii="宋体" w:hAnsi="宋体"/>
          <w:sz w:val="24"/>
          <w:szCs w:val="24"/>
        </w:rPr>
      </w:pPr>
      <w:r>
        <w:rPr>
          <w:rFonts w:hint="eastAsia" w:ascii="宋体" w:hAnsi="宋体"/>
          <w:sz w:val="24"/>
          <w:szCs w:val="24"/>
        </w:rPr>
        <w:t>日期：</w:t>
      </w:r>
      <w:r>
        <w:rPr>
          <w:rFonts w:ascii="宋体" w:hAnsi="宋体"/>
          <w:sz w:val="24"/>
          <w:szCs w:val="24"/>
        </w:rPr>
        <w:t>20</w:t>
      </w:r>
      <w:r>
        <w:rPr>
          <w:rFonts w:hint="eastAsia" w:ascii="宋体" w:hAnsi="宋体"/>
          <w:sz w:val="24"/>
          <w:szCs w:val="24"/>
        </w:rPr>
        <w:t>年</w:t>
      </w:r>
      <w:r>
        <w:rPr>
          <w:rFonts w:hint="eastAsia" w:ascii="宋体" w:hAnsi="宋体"/>
          <w:sz w:val="24"/>
          <w:szCs w:val="24"/>
          <w:u w:val="single"/>
        </w:rPr>
        <w:t>　</w:t>
      </w:r>
      <w:r>
        <w:rPr>
          <w:rFonts w:hint="eastAsia" w:ascii="宋体" w:hAnsi="宋体"/>
          <w:sz w:val="24"/>
          <w:szCs w:val="24"/>
        </w:rPr>
        <w:t>月</w:t>
      </w:r>
      <w:r>
        <w:rPr>
          <w:rFonts w:hint="eastAsia" w:ascii="宋体" w:hAnsi="宋体"/>
          <w:sz w:val="24"/>
          <w:szCs w:val="24"/>
          <w:u w:val="single"/>
        </w:rPr>
        <w:t>　</w:t>
      </w:r>
      <w:r>
        <w:rPr>
          <w:rFonts w:hint="eastAsia" w:ascii="宋体" w:hAnsi="宋体"/>
          <w:sz w:val="24"/>
          <w:szCs w:val="24"/>
        </w:rPr>
        <w:t>日　</w:t>
      </w:r>
    </w:p>
    <w:p w14:paraId="7755B7A6">
      <w:pPr>
        <w:pStyle w:val="117"/>
        <w:spacing w:after="0"/>
        <w:ind w:left="0" w:leftChars="0" w:firstLine="0" w:firstLineChars="0"/>
        <w:jc w:val="center"/>
        <w:outlineLvl w:val="1"/>
        <w:rPr>
          <w:rFonts w:ascii="宋体" w:hAnsi="宋体"/>
          <w:b/>
          <w:sz w:val="28"/>
          <w:szCs w:val="28"/>
        </w:rPr>
      </w:pPr>
      <w:r>
        <w:br w:type="page"/>
      </w:r>
      <w:r>
        <w:rPr>
          <w:rFonts w:hint="eastAsia"/>
        </w:rPr>
        <w:t>八</w:t>
      </w:r>
      <w:r>
        <w:rPr>
          <w:rFonts w:hint="eastAsia" w:ascii="宋体" w:hAnsi="宋体"/>
          <w:b/>
          <w:sz w:val="28"/>
          <w:szCs w:val="28"/>
        </w:rPr>
        <w:t>、产品简要说明一览表附件2-</w:t>
      </w:r>
      <w:r>
        <w:rPr>
          <w:rFonts w:ascii="宋体" w:hAnsi="宋体"/>
          <w:b/>
          <w:sz w:val="28"/>
          <w:szCs w:val="28"/>
        </w:rPr>
        <w:t>5</w:t>
      </w:r>
    </w:p>
    <w:p w14:paraId="79B5592B">
      <w:pPr>
        <w:spacing w:line="440" w:lineRule="exact"/>
        <w:ind w:firstLine="360" w:firstLineChars="150"/>
        <w:rPr>
          <w:rFonts w:ascii="宋体" w:hAnsi="宋体"/>
          <w:sz w:val="24"/>
          <w:szCs w:val="24"/>
          <w:u w:val="single"/>
        </w:rPr>
      </w:pPr>
      <w:r>
        <w:rPr>
          <w:rFonts w:hint="eastAsia" w:ascii="宋体" w:hAnsi="宋体"/>
          <w:sz w:val="24"/>
          <w:szCs w:val="24"/>
        </w:rPr>
        <w:t>投标人名称（电子签章）：</w:t>
      </w:r>
      <w:r>
        <w:rPr>
          <w:rFonts w:hint="eastAsia" w:ascii="宋体" w:hAnsi="宋体"/>
          <w:sz w:val="24"/>
          <w:szCs w:val="24"/>
          <w:u w:val="single"/>
        </w:rPr>
        <w:t xml:space="preserve">　　　　　            </w:t>
      </w:r>
      <w:r>
        <w:rPr>
          <w:rFonts w:hint="eastAsia" w:ascii="宋体" w:hAnsi="宋体"/>
          <w:sz w:val="24"/>
          <w:szCs w:val="24"/>
        </w:rPr>
        <w:t>招标编号：</w:t>
      </w:r>
      <w:r>
        <w:rPr>
          <w:rFonts w:hint="eastAsia" w:ascii="宋体" w:hAnsi="宋体"/>
          <w:sz w:val="24"/>
          <w:szCs w:val="24"/>
          <w:u w:val="single"/>
        </w:rPr>
        <w:t xml:space="preserve">　                         </w:t>
      </w:r>
    </w:p>
    <w:p w14:paraId="42173A96">
      <w:pPr>
        <w:spacing w:line="440" w:lineRule="exact"/>
        <w:ind w:firstLine="360" w:firstLineChars="150"/>
        <w:rPr>
          <w:rFonts w:ascii="宋体" w:hAnsi="宋体"/>
          <w:sz w:val="24"/>
          <w:szCs w:val="24"/>
        </w:rPr>
      </w:pPr>
      <w:r>
        <w:rPr>
          <w:rFonts w:hint="eastAsia" w:ascii="宋体" w:hAnsi="宋体"/>
          <w:sz w:val="24"/>
          <w:szCs w:val="24"/>
        </w:rPr>
        <w:t>分包序号、名称：</w:t>
      </w:r>
      <w:r>
        <w:rPr>
          <w:rFonts w:hint="eastAsia" w:ascii="宋体" w:hAnsi="宋体"/>
          <w:sz w:val="24"/>
          <w:szCs w:val="24"/>
          <w:u w:val="single"/>
        </w:rPr>
        <w:t xml:space="preserve">　　　　　            </w:t>
      </w:r>
      <w:r>
        <w:rPr>
          <w:rFonts w:hint="eastAsia" w:ascii="宋体" w:hAnsi="宋体"/>
          <w:sz w:val="24"/>
          <w:szCs w:val="24"/>
        </w:rPr>
        <w:t>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464"/>
        <w:gridCol w:w="2783"/>
        <w:gridCol w:w="3082"/>
        <w:gridCol w:w="1579"/>
      </w:tblGrid>
      <w:tr w14:paraId="319B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46" w:type="dxa"/>
            <w:vAlign w:val="center"/>
          </w:tcPr>
          <w:p w14:paraId="6A881F71">
            <w:pPr>
              <w:spacing w:line="440" w:lineRule="exact"/>
              <w:jc w:val="center"/>
              <w:rPr>
                <w:rFonts w:ascii="宋体" w:hAnsi="宋体"/>
                <w:sz w:val="24"/>
                <w:szCs w:val="24"/>
              </w:rPr>
            </w:pPr>
            <w:r>
              <w:rPr>
                <w:rFonts w:hint="eastAsia" w:ascii="宋体" w:hAnsi="宋体"/>
                <w:sz w:val="24"/>
                <w:szCs w:val="24"/>
              </w:rPr>
              <w:t>序号</w:t>
            </w:r>
          </w:p>
        </w:tc>
        <w:tc>
          <w:tcPr>
            <w:tcW w:w="1464" w:type="dxa"/>
            <w:vAlign w:val="center"/>
          </w:tcPr>
          <w:p w14:paraId="707119E3">
            <w:pPr>
              <w:spacing w:line="440" w:lineRule="exact"/>
              <w:jc w:val="center"/>
              <w:rPr>
                <w:rFonts w:ascii="宋体" w:hAnsi="宋体"/>
                <w:sz w:val="24"/>
                <w:szCs w:val="24"/>
              </w:rPr>
            </w:pPr>
            <w:r>
              <w:rPr>
                <w:rFonts w:hint="eastAsia" w:ascii="宋体" w:hAnsi="宋体"/>
                <w:sz w:val="24"/>
                <w:szCs w:val="24"/>
              </w:rPr>
              <w:t>设备名称</w:t>
            </w:r>
          </w:p>
        </w:tc>
        <w:tc>
          <w:tcPr>
            <w:tcW w:w="2783" w:type="dxa"/>
            <w:vAlign w:val="center"/>
          </w:tcPr>
          <w:p w14:paraId="67918DF0">
            <w:pPr>
              <w:spacing w:line="440" w:lineRule="exact"/>
              <w:jc w:val="center"/>
              <w:rPr>
                <w:rFonts w:ascii="宋体" w:hAnsi="宋体"/>
                <w:sz w:val="24"/>
                <w:szCs w:val="24"/>
              </w:rPr>
            </w:pPr>
            <w:r>
              <w:rPr>
                <w:rFonts w:hint="eastAsia" w:ascii="宋体" w:hAnsi="宋体"/>
                <w:sz w:val="24"/>
                <w:szCs w:val="24"/>
              </w:rPr>
              <w:t>规格型号及主要技术参数</w:t>
            </w:r>
          </w:p>
        </w:tc>
        <w:tc>
          <w:tcPr>
            <w:tcW w:w="3082" w:type="dxa"/>
            <w:vAlign w:val="center"/>
          </w:tcPr>
          <w:p w14:paraId="09F9D0DE">
            <w:pPr>
              <w:spacing w:line="440" w:lineRule="exact"/>
              <w:jc w:val="center"/>
              <w:rPr>
                <w:rFonts w:ascii="宋体" w:hAnsi="宋体"/>
                <w:sz w:val="24"/>
                <w:szCs w:val="24"/>
              </w:rPr>
            </w:pPr>
            <w:r>
              <w:rPr>
                <w:rFonts w:hint="eastAsia" w:ascii="宋体" w:hAnsi="宋体"/>
                <w:sz w:val="24"/>
                <w:szCs w:val="24"/>
              </w:rPr>
              <w:t>性能说明</w:t>
            </w:r>
          </w:p>
        </w:tc>
        <w:tc>
          <w:tcPr>
            <w:tcW w:w="1579" w:type="dxa"/>
            <w:vAlign w:val="center"/>
          </w:tcPr>
          <w:p w14:paraId="0F26B313">
            <w:pPr>
              <w:spacing w:line="440" w:lineRule="exact"/>
              <w:jc w:val="center"/>
              <w:rPr>
                <w:rFonts w:ascii="宋体" w:hAnsi="宋体"/>
                <w:sz w:val="24"/>
                <w:szCs w:val="24"/>
              </w:rPr>
            </w:pPr>
            <w:r>
              <w:rPr>
                <w:rFonts w:hint="eastAsia" w:ascii="宋体" w:hAnsi="宋体"/>
                <w:sz w:val="24"/>
                <w:szCs w:val="24"/>
              </w:rPr>
              <w:t>供货厂（商）</w:t>
            </w:r>
          </w:p>
        </w:tc>
      </w:tr>
      <w:tr w14:paraId="58210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46" w:type="dxa"/>
            <w:vAlign w:val="center"/>
          </w:tcPr>
          <w:p w14:paraId="5478BF41">
            <w:pPr>
              <w:spacing w:line="440" w:lineRule="exact"/>
              <w:jc w:val="center"/>
              <w:rPr>
                <w:rFonts w:ascii="宋体" w:hAnsi="宋体"/>
                <w:sz w:val="24"/>
                <w:szCs w:val="24"/>
              </w:rPr>
            </w:pPr>
            <w:r>
              <w:rPr>
                <w:rFonts w:ascii="宋体" w:hAnsi="宋体"/>
                <w:sz w:val="24"/>
                <w:szCs w:val="24"/>
              </w:rPr>
              <w:t>1</w:t>
            </w:r>
          </w:p>
        </w:tc>
        <w:tc>
          <w:tcPr>
            <w:tcW w:w="1464" w:type="dxa"/>
            <w:vAlign w:val="center"/>
          </w:tcPr>
          <w:p w14:paraId="560FF04A">
            <w:pPr>
              <w:spacing w:line="440" w:lineRule="exact"/>
              <w:jc w:val="center"/>
              <w:rPr>
                <w:rFonts w:ascii="宋体" w:hAnsi="宋体"/>
                <w:sz w:val="24"/>
                <w:szCs w:val="24"/>
              </w:rPr>
            </w:pPr>
          </w:p>
        </w:tc>
        <w:tc>
          <w:tcPr>
            <w:tcW w:w="2783" w:type="dxa"/>
            <w:vAlign w:val="center"/>
          </w:tcPr>
          <w:p w14:paraId="08A158B0">
            <w:pPr>
              <w:spacing w:line="440" w:lineRule="exact"/>
              <w:jc w:val="center"/>
              <w:rPr>
                <w:rFonts w:ascii="宋体" w:hAnsi="宋体"/>
                <w:sz w:val="24"/>
                <w:szCs w:val="24"/>
              </w:rPr>
            </w:pPr>
          </w:p>
        </w:tc>
        <w:tc>
          <w:tcPr>
            <w:tcW w:w="3082" w:type="dxa"/>
            <w:vAlign w:val="center"/>
          </w:tcPr>
          <w:p w14:paraId="67A1E7A0">
            <w:pPr>
              <w:spacing w:line="440" w:lineRule="exact"/>
              <w:jc w:val="center"/>
              <w:rPr>
                <w:rFonts w:ascii="宋体" w:hAnsi="宋体"/>
                <w:sz w:val="24"/>
                <w:szCs w:val="24"/>
              </w:rPr>
            </w:pPr>
          </w:p>
        </w:tc>
        <w:tc>
          <w:tcPr>
            <w:tcW w:w="1579" w:type="dxa"/>
            <w:vAlign w:val="center"/>
          </w:tcPr>
          <w:p w14:paraId="1891C3A7">
            <w:pPr>
              <w:spacing w:line="440" w:lineRule="exact"/>
              <w:jc w:val="center"/>
              <w:rPr>
                <w:rFonts w:ascii="宋体" w:hAnsi="宋体"/>
                <w:sz w:val="24"/>
                <w:szCs w:val="24"/>
              </w:rPr>
            </w:pPr>
          </w:p>
        </w:tc>
      </w:tr>
      <w:tr w14:paraId="1922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946" w:type="dxa"/>
            <w:vAlign w:val="center"/>
          </w:tcPr>
          <w:p w14:paraId="467DE9B2">
            <w:pPr>
              <w:spacing w:line="440" w:lineRule="exact"/>
              <w:jc w:val="center"/>
              <w:rPr>
                <w:rFonts w:ascii="宋体" w:hAnsi="宋体"/>
                <w:sz w:val="24"/>
                <w:szCs w:val="24"/>
              </w:rPr>
            </w:pPr>
            <w:r>
              <w:rPr>
                <w:rFonts w:ascii="宋体" w:hAnsi="宋体"/>
                <w:sz w:val="24"/>
                <w:szCs w:val="24"/>
              </w:rPr>
              <w:t>2</w:t>
            </w:r>
          </w:p>
        </w:tc>
        <w:tc>
          <w:tcPr>
            <w:tcW w:w="1464" w:type="dxa"/>
            <w:vAlign w:val="center"/>
          </w:tcPr>
          <w:p w14:paraId="338A2016">
            <w:pPr>
              <w:spacing w:line="440" w:lineRule="exact"/>
              <w:jc w:val="center"/>
              <w:rPr>
                <w:rFonts w:ascii="宋体" w:hAnsi="宋体"/>
                <w:sz w:val="24"/>
                <w:szCs w:val="24"/>
              </w:rPr>
            </w:pPr>
          </w:p>
        </w:tc>
        <w:tc>
          <w:tcPr>
            <w:tcW w:w="2783" w:type="dxa"/>
            <w:vAlign w:val="center"/>
          </w:tcPr>
          <w:p w14:paraId="17A79B83">
            <w:pPr>
              <w:spacing w:line="440" w:lineRule="exact"/>
              <w:jc w:val="center"/>
              <w:rPr>
                <w:rFonts w:ascii="宋体" w:hAnsi="宋体"/>
                <w:sz w:val="24"/>
                <w:szCs w:val="24"/>
              </w:rPr>
            </w:pPr>
          </w:p>
        </w:tc>
        <w:tc>
          <w:tcPr>
            <w:tcW w:w="3082" w:type="dxa"/>
            <w:vAlign w:val="center"/>
          </w:tcPr>
          <w:p w14:paraId="4324FF2B">
            <w:pPr>
              <w:spacing w:line="440" w:lineRule="exact"/>
              <w:jc w:val="center"/>
              <w:rPr>
                <w:rFonts w:ascii="宋体" w:hAnsi="宋体"/>
                <w:sz w:val="24"/>
                <w:szCs w:val="24"/>
              </w:rPr>
            </w:pPr>
          </w:p>
        </w:tc>
        <w:tc>
          <w:tcPr>
            <w:tcW w:w="1579" w:type="dxa"/>
            <w:vAlign w:val="center"/>
          </w:tcPr>
          <w:p w14:paraId="3491EAC2">
            <w:pPr>
              <w:spacing w:line="440" w:lineRule="exact"/>
              <w:jc w:val="center"/>
              <w:rPr>
                <w:rFonts w:ascii="宋体" w:hAnsi="宋体"/>
                <w:sz w:val="24"/>
                <w:szCs w:val="24"/>
              </w:rPr>
            </w:pPr>
          </w:p>
        </w:tc>
      </w:tr>
      <w:tr w14:paraId="59D5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63B092E6">
            <w:pPr>
              <w:spacing w:line="440" w:lineRule="exact"/>
              <w:jc w:val="center"/>
              <w:rPr>
                <w:rFonts w:ascii="宋体" w:hAnsi="宋体"/>
                <w:sz w:val="24"/>
                <w:szCs w:val="24"/>
              </w:rPr>
            </w:pPr>
            <w:r>
              <w:rPr>
                <w:rFonts w:ascii="宋体" w:hAnsi="宋体"/>
                <w:sz w:val="24"/>
                <w:szCs w:val="24"/>
              </w:rPr>
              <w:t>3</w:t>
            </w:r>
          </w:p>
        </w:tc>
        <w:tc>
          <w:tcPr>
            <w:tcW w:w="1464" w:type="dxa"/>
            <w:vAlign w:val="center"/>
          </w:tcPr>
          <w:p w14:paraId="77ECEE0E">
            <w:pPr>
              <w:spacing w:line="440" w:lineRule="exact"/>
              <w:jc w:val="center"/>
              <w:rPr>
                <w:rFonts w:ascii="宋体" w:hAnsi="宋体"/>
                <w:sz w:val="24"/>
                <w:szCs w:val="24"/>
              </w:rPr>
            </w:pPr>
          </w:p>
        </w:tc>
        <w:tc>
          <w:tcPr>
            <w:tcW w:w="2783" w:type="dxa"/>
            <w:vAlign w:val="center"/>
          </w:tcPr>
          <w:p w14:paraId="037F7C34">
            <w:pPr>
              <w:spacing w:line="440" w:lineRule="exact"/>
              <w:jc w:val="center"/>
              <w:rPr>
                <w:rFonts w:ascii="宋体" w:hAnsi="宋体"/>
                <w:sz w:val="24"/>
                <w:szCs w:val="24"/>
              </w:rPr>
            </w:pPr>
          </w:p>
        </w:tc>
        <w:tc>
          <w:tcPr>
            <w:tcW w:w="3082" w:type="dxa"/>
            <w:vAlign w:val="center"/>
          </w:tcPr>
          <w:p w14:paraId="1F2966D9">
            <w:pPr>
              <w:spacing w:line="440" w:lineRule="exact"/>
              <w:jc w:val="center"/>
              <w:rPr>
                <w:rFonts w:ascii="宋体" w:hAnsi="宋体"/>
                <w:sz w:val="24"/>
                <w:szCs w:val="24"/>
              </w:rPr>
            </w:pPr>
          </w:p>
        </w:tc>
        <w:tc>
          <w:tcPr>
            <w:tcW w:w="1579" w:type="dxa"/>
            <w:vAlign w:val="center"/>
          </w:tcPr>
          <w:p w14:paraId="243A0401">
            <w:pPr>
              <w:spacing w:line="440" w:lineRule="exact"/>
              <w:jc w:val="center"/>
              <w:rPr>
                <w:rFonts w:ascii="宋体" w:hAnsi="宋体"/>
                <w:sz w:val="24"/>
                <w:szCs w:val="24"/>
              </w:rPr>
            </w:pPr>
          </w:p>
        </w:tc>
      </w:tr>
      <w:tr w14:paraId="20B45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6C5EC823">
            <w:pPr>
              <w:spacing w:line="440" w:lineRule="exact"/>
              <w:jc w:val="center"/>
              <w:rPr>
                <w:rFonts w:ascii="宋体" w:hAnsi="宋体"/>
                <w:sz w:val="24"/>
                <w:szCs w:val="24"/>
              </w:rPr>
            </w:pPr>
            <w:r>
              <w:rPr>
                <w:rFonts w:ascii="宋体" w:hAnsi="宋体"/>
                <w:sz w:val="24"/>
                <w:szCs w:val="24"/>
              </w:rPr>
              <w:t>4</w:t>
            </w:r>
          </w:p>
        </w:tc>
        <w:tc>
          <w:tcPr>
            <w:tcW w:w="1464" w:type="dxa"/>
            <w:vAlign w:val="center"/>
          </w:tcPr>
          <w:p w14:paraId="1E96C22A">
            <w:pPr>
              <w:spacing w:line="440" w:lineRule="exact"/>
              <w:jc w:val="center"/>
              <w:rPr>
                <w:rFonts w:ascii="宋体" w:hAnsi="宋体"/>
                <w:sz w:val="24"/>
                <w:szCs w:val="24"/>
              </w:rPr>
            </w:pPr>
          </w:p>
        </w:tc>
        <w:tc>
          <w:tcPr>
            <w:tcW w:w="2783" w:type="dxa"/>
            <w:vAlign w:val="center"/>
          </w:tcPr>
          <w:p w14:paraId="246BCE6E">
            <w:pPr>
              <w:spacing w:line="440" w:lineRule="exact"/>
              <w:jc w:val="center"/>
              <w:rPr>
                <w:rFonts w:ascii="宋体" w:hAnsi="宋体"/>
                <w:sz w:val="24"/>
                <w:szCs w:val="24"/>
              </w:rPr>
            </w:pPr>
          </w:p>
        </w:tc>
        <w:tc>
          <w:tcPr>
            <w:tcW w:w="3082" w:type="dxa"/>
            <w:vAlign w:val="center"/>
          </w:tcPr>
          <w:p w14:paraId="58A3786A">
            <w:pPr>
              <w:spacing w:line="440" w:lineRule="exact"/>
              <w:jc w:val="center"/>
              <w:rPr>
                <w:rFonts w:ascii="宋体" w:hAnsi="宋体"/>
                <w:sz w:val="24"/>
                <w:szCs w:val="24"/>
              </w:rPr>
            </w:pPr>
          </w:p>
        </w:tc>
        <w:tc>
          <w:tcPr>
            <w:tcW w:w="1579" w:type="dxa"/>
            <w:vAlign w:val="center"/>
          </w:tcPr>
          <w:p w14:paraId="4D3425D4">
            <w:pPr>
              <w:spacing w:line="440" w:lineRule="exact"/>
              <w:jc w:val="center"/>
              <w:rPr>
                <w:rFonts w:ascii="宋体" w:hAnsi="宋体"/>
                <w:sz w:val="24"/>
                <w:szCs w:val="24"/>
              </w:rPr>
            </w:pPr>
          </w:p>
        </w:tc>
      </w:tr>
      <w:tr w14:paraId="24EE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74F5BAC1">
            <w:pPr>
              <w:spacing w:line="440" w:lineRule="exact"/>
              <w:jc w:val="center"/>
              <w:rPr>
                <w:rFonts w:ascii="宋体" w:hAnsi="宋体"/>
                <w:sz w:val="24"/>
                <w:szCs w:val="24"/>
              </w:rPr>
            </w:pPr>
            <w:r>
              <w:rPr>
                <w:rFonts w:ascii="宋体" w:hAnsi="宋体"/>
                <w:sz w:val="24"/>
                <w:szCs w:val="24"/>
              </w:rPr>
              <w:t>5</w:t>
            </w:r>
          </w:p>
        </w:tc>
        <w:tc>
          <w:tcPr>
            <w:tcW w:w="1464" w:type="dxa"/>
            <w:vAlign w:val="center"/>
          </w:tcPr>
          <w:p w14:paraId="634B293A">
            <w:pPr>
              <w:spacing w:line="440" w:lineRule="exact"/>
              <w:jc w:val="center"/>
              <w:rPr>
                <w:rFonts w:ascii="宋体" w:hAnsi="宋体"/>
                <w:sz w:val="24"/>
                <w:szCs w:val="24"/>
              </w:rPr>
            </w:pPr>
          </w:p>
        </w:tc>
        <w:tc>
          <w:tcPr>
            <w:tcW w:w="2783" w:type="dxa"/>
            <w:vAlign w:val="center"/>
          </w:tcPr>
          <w:p w14:paraId="5CD974B4">
            <w:pPr>
              <w:spacing w:line="440" w:lineRule="exact"/>
              <w:jc w:val="center"/>
              <w:rPr>
                <w:rFonts w:ascii="宋体" w:hAnsi="宋体"/>
                <w:sz w:val="24"/>
                <w:szCs w:val="24"/>
              </w:rPr>
            </w:pPr>
          </w:p>
        </w:tc>
        <w:tc>
          <w:tcPr>
            <w:tcW w:w="3082" w:type="dxa"/>
            <w:vAlign w:val="center"/>
          </w:tcPr>
          <w:p w14:paraId="061B3D19">
            <w:pPr>
              <w:spacing w:line="440" w:lineRule="exact"/>
              <w:jc w:val="center"/>
              <w:rPr>
                <w:rFonts w:ascii="宋体" w:hAnsi="宋体"/>
                <w:sz w:val="24"/>
                <w:szCs w:val="24"/>
              </w:rPr>
            </w:pPr>
          </w:p>
        </w:tc>
        <w:tc>
          <w:tcPr>
            <w:tcW w:w="1579" w:type="dxa"/>
            <w:vAlign w:val="center"/>
          </w:tcPr>
          <w:p w14:paraId="2EEF2E3A">
            <w:pPr>
              <w:spacing w:line="440" w:lineRule="exact"/>
              <w:jc w:val="center"/>
              <w:rPr>
                <w:rFonts w:ascii="宋体" w:hAnsi="宋体"/>
                <w:sz w:val="24"/>
                <w:szCs w:val="24"/>
              </w:rPr>
            </w:pPr>
          </w:p>
        </w:tc>
      </w:tr>
      <w:tr w14:paraId="0C554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369E128">
            <w:pPr>
              <w:spacing w:line="440" w:lineRule="exact"/>
              <w:jc w:val="center"/>
              <w:rPr>
                <w:rFonts w:ascii="宋体" w:hAnsi="宋体"/>
                <w:sz w:val="24"/>
                <w:szCs w:val="24"/>
              </w:rPr>
            </w:pPr>
            <w:r>
              <w:rPr>
                <w:rFonts w:ascii="宋体" w:hAnsi="宋体"/>
                <w:sz w:val="24"/>
                <w:szCs w:val="24"/>
              </w:rPr>
              <w:t>6</w:t>
            </w:r>
          </w:p>
        </w:tc>
        <w:tc>
          <w:tcPr>
            <w:tcW w:w="1464" w:type="dxa"/>
            <w:vAlign w:val="center"/>
          </w:tcPr>
          <w:p w14:paraId="68B3484C">
            <w:pPr>
              <w:spacing w:line="440" w:lineRule="exact"/>
              <w:jc w:val="center"/>
              <w:rPr>
                <w:rFonts w:ascii="宋体" w:hAnsi="宋体"/>
                <w:sz w:val="24"/>
                <w:szCs w:val="24"/>
              </w:rPr>
            </w:pPr>
          </w:p>
        </w:tc>
        <w:tc>
          <w:tcPr>
            <w:tcW w:w="2783" w:type="dxa"/>
            <w:vAlign w:val="center"/>
          </w:tcPr>
          <w:p w14:paraId="31DA58A4">
            <w:pPr>
              <w:spacing w:line="440" w:lineRule="exact"/>
              <w:jc w:val="center"/>
              <w:rPr>
                <w:rFonts w:ascii="宋体" w:hAnsi="宋体"/>
                <w:sz w:val="24"/>
                <w:szCs w:val="24"/>
              </w:rPr>
            </w:pPr>
          </w:p>
        </w:tc>
        <w:tc>
          <w:tcPr>
            <w:tcW w:w="3082" w:type="dxa"/>
            <w:vAlign w:val="center"/>
          </w:tcPr>
          <w:p w14:paraId="3B61B529">
            <w:pPr>
              <w:spacing w:line="440" w:lineRule="exact"/>
              <w:jc w:val="center"/>
              <w:rPr>
                <w:rFonts w:ascii="宋体" w:hAnsi="宋体"/>
                <w:sz w:val="24"/>
                <w:szCs w:val="24"/>
              </w:rPr>
            </w:pPr>
          </w:p>
        </w:tc>
        <w:tc>
          <w:tcPr>
            <w:tcW w:w="1579" w:type="dxa"/>
            <w:vAlign w:val="center"/>
          </w:tcPr>
          <w:p w14:paraId="08A2D7FA">
            <w:pPr>
              <w:spacing w:line="440" w:lineRule="exact"/>
              <w:jc w:val="center"/>
              <w:rPr>
                <w:rFonts w:ascii="宋体" w:hAnsi="宋体"/>
                <w:sz w:val="24"/>
                <w:szCs w:val="24"/>
              </w:rPr>
            </w:pPr>
          </w:p>
        </w:tc>
      </w:tr>
      <w:tr w14:paraId="00384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B9C876E">
            <w:pPr>
              <w:spacing w:line="440" w:lineRule="exact"/>
              <w:jc w:val="center"/>
              <w:rPr>
                <w:rFonts w:ascii="宋体" w:hAnsi="宋体"/>
                <w:sz w:val="24"/>
                <w:szCs w:val="24"/>
              </w:rPr>
            </w:pPr>
            <w:r>
              <w:rPr>
                <w:rFonts w:hint="eastAsia" w:ascii="宋体" w:hAnsi="宋体"/>
                <w:sz w:val="24"/>
                <w:szCs w:val="24"/>
              </w:rPr>
              <w:t>…</w:t>
            </w:r>
          </w:p>
        </w:tc>
        <w:tc>
          <w:tcPr>
            <w:tcW w:w="1464" w:type="dxa"/>
            <w:vAlign w:val="center"/>
          </w:tcPr>
          <w:p w14:paraId="4AAA06CC">
            <w:pPr>
              <w:spacing w:line="440" w:lineRule="exact"/>
              <w:jc w:val="center"/>
              <w:rPr>
                <w:rFonts w:ascii="宋体" w:hAnsi="宋体"/>
                <w:sz w:val="24"/>
                <w:szCs w:val="24"/>
              </w:rPr>
            </w:pPr>
          </w:p>
        </w:tc>
        <w:tc>
          <w:tcPr>
            <w:tcW w:w="2783" w:type="dxa"/>
            <w:vAlign w:val="center"/>
          </w:tcPr>
          <w:p w14:paraId="6AD43F62">
            <w:pPr>
              <w:spacing w:line="440" w:lineRule="exact"/>
              <w:jc w:val="center"/>
              <w:rPr>
                <w:rFonts w:ascii="宋体" w:hAnsi="宋体"/>
                <w:sz w:val="24"/>
                <w:szCs w:val="24"/>
              </w:rPr>
            </w:pPr>
          </w:p>
        </w:tc>
        <w:tc>
          <w:tcPr>
            <w:tcW w:w="3082" w:type="dxa"/>
            <w:vAlign w:val="center"/>
          </w:tcPr>
          <w:p w14:paraId="5E44C05E">
            <w:pPr>
              <w:spacing w:line="440" w:lineRule="exact"/>
              <w:jc w:val="center"/>
              <w:rPr>
                <w:rFonts w:ascii="宋体" w:hAnsi="宋体"/>
                <w:sz w:val="24"/>
                <w:szCs w:val="24"/>
              </w:rPr>
            </w:pPr>
          </w:p>
        </w:tc>
        <w:tc>
          <w:tcPr>
            <w:tcW w:w="1579" w:type="dxa"/>
            <w:vAlign w:val="center"/>
          </w:tcPr>
          <w:p w14:paraId="283D06BB">
            <w:pPr>
              <w:spacing w:line="440" w:lineRule="exact"/>
              <w:jc w:val="center"/>
              <w:rPr>
                <w:rFonts w:ascii="宋体" w:hAnsi="宋体"/>
                <w:sz w:val="24"/>
                <w:szCs w:val="24"/>
              </w:rPr>
            </w:pPr>
          </w:p>
        </w:tc>
      </w:tr>
    </w:tbl>
    <w:p w14:paraId="58FB35CC">
      <w:pPr>
        <w:tabs>
          <w:tab w:val="left" w:pos="2880"/>
        </w:tabs>
        <w:spacing w:line="460" w:lineRule="atLeast"/>
        <w:rPr>
          <w:rFonts w:ascii="宋体" w:hAnsi="宋体"/>
          <w:sz w:val="24"/>
          <w:szCs w:val="24"/>
        </w:rPr>
      </w:pPr>
      <w:r>
        <w:rPr>
          <w:rFonts w:hint="eastAsia" w:ascii="宋体" w:hAnsi="宋体"/>
          <w:sz w:val="24"/>
          <w:szCs w:val="24"/>
        </w:rPr>
        <w:t>注：此表需详列投标的每种设备。</w:t>
      </w:r>
    </w:p>
    <w:p w14:paraId="40551704">
      <w:pPr>
        <w:pStyle w:val="87"/>
        <w:spacing w:line="440" w:lineRule="exact"/>
        <w:ind w:firstLine="470" w:firstLineChars="196"/>
        <w:rPr>
          <w:rFonts w:ascii="宋体" w:hAnsi="宋体"/>
          <w:bCs/>
          <w:color w:val="auto"/>
          <w:kern w:val="2"/>
        </w:rPr>
      </w:pPr>
    </w:p>
    <w:p w14:paraId="3FA956EE">
      <w:pPr>
        <w:spacing w:line="440" w:lineRule="exact"/>
        <w:rPr>
          <w:rFonts w:ascii="宋体" w:hAnsi="宋体"/>
          <w:sz w:val="24"/>
          <w:szCs w:val="24"/>
          <w:u w:val="single"/>
        </w:rPr>
      </w:pPr>
      <w:r>
        <w:rPr>
          <w:rFonts w:hint="eastAsia" w:ascii="宋体" w:hAnsi="宋体"/>
          <w:sz w:val="24"/>
          <w:szCs w:val="24"/>
        </w:rPr>
        <w:t>投标人代表（电子签名）：</w:t>
      </w:r>
      <w:r>
        <w:rPr>
          <w:rFonts w:hint="eastAsia" w:ascii="宋体" w:hAnsi="宋体"/>
          <w:sz w:val="24"/>
          <w:szCs w:val="24"/>
          <w:u w:val="single"/>
        </w:rPr>
        <w:t>　　　　　　　　　</w:t>
      </w:r>
    </w:p>
    <w:p w14:paraId="5D676E68">
      <w:pPr>
        <w:spacing w:line="440" w:lineRule="exact"/>
        <w:rPr>
          <w:rFonts w:ascii="宋体" w:hAnsi="宋体"/>
          <w:bCs/>
          <w:sz w:val="24"/>
          <w:szCs w:val="24"/>
        </w:rPr>
      </w:pPr>
      <w:r>
        <w:rPr>
          <w:rFonts w:hint="eastAsia" w:ascii="宋体" w:hAnsi="宋体"/>
          <w:sz w:val="24"/>
          <w:szCs w:val="24"/>
        </w:rPr>
        <w:t>日期：</w:t>
      </w:r>
      <w:r>
        <w:rPr>
          <w:rFonts w:ascii="宋体" w:hAnsi="宋体"/>
          <w:bCs/>
          <w:sz w:val="24"/>
          <w:szCs w:val="24"/>
        </w:rPr>
        <w:t>20</w:t>
      </w:r>
      <w:r>
        <w:rPr>
          <w:rFonts w:hint="eastAsia" w:ascii="宋体" w:hAnsi="宋体"/>
          <w:sz w:val="24"/>
          <w:szCs w:val="24"/>
          <w:u w:val="single"/>
        </w:rPr>
        <w:t xml:space="preserve">　 </w:t>
      </w:r>
      <w:r>
        <w:rPr>
          <w:rFonts w:hint="eastAsia" w:ascii="宋体" w:hAnsi="宋体"/>
          <w:bCs/>
          <w:sz w:val="24"/>
          <w:szCs w:val="24"/>
        </w:rPr>
        <w:t>年</w:t>
      </w:r>
      <w:r>
        <w:rPr>
          <w:rFonts w:hint="eastAsia" w:ascii="宋体" w:hAnsi="宋体"/>
          <w:bCs/>
          <w:sz w:val="24"/>
          <w:szCs w:val="24"/>
          <w:u w:val="single"/>
        </w:rPr>
        <w:t>　</w:t>
      </w:r>
      <w:r>
        <w:rPr>
          <w:rFonts w:hint="eastAsia" w:ascii="宋体" w:hAnsi="宋体"/>
          <w:bCs/>
          <w:sz w:val="24"/>
          <w:szCs w:val="24"/>
        </w:rPr>
        <w:t>月</w:t>
      </w:r>
      <w:r>
        <w:rPr>
          <w:rFonts w:hint="eastAsia" w:ascii="宋体" w:hAnsi="宋体"/>
          <w:bCs/>
          <w:sz w:val="24"/>
          <w:szCs w:val="24"/>
          <w:u w:val="single"/>
        </w:rPr>
        <w:t>　</w:t>
      </w:r>
      <w:r>
        <w:rPr>
          <w:rFonts w:hint="eastAsia" w:ascii="宋体" w:hAnsi="宋体"/>
          <w:bCs/>
          <w:sz w:val="24"/>
          <w:szCs w:val="24"/>
        </w:rPr>
        <w:t>日</w:t>
      </w:r>
    </w:p>
    <w:p w14:paraId="143B368A">
      <w:pPr>
        <w:spacing w:line="440" w:lineRule="exact"/>
        <w:rPr>
          <w:b/>
          <w:sz w:val="32"/>
          <w:szCs w:val="32"/>
        </w:rPr>
        <w:sectPr>
          <w:pgSz w:w="11906" w:h="16838"/>
          <w:pgMar w:top="1134" w:right="1134" w:bottom="1134" w:left="1134" w:header="851" w:footer="992" w:gutter="0"/>
          <w:cols w:space="720" w:num="1"/>
          <w:docGrid w:type="lines" w:linePitch="344" w:charSpace="0"/>
        </w:sectPr>
      </w:pPr>
    </w:p>
    <w:p w14:paraId="66EBC055">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九、产品技术支持文件（包含但不限于产品检测报告、产品彩页或技术白皮书等）</w:t>
      </w:r>
    </w:p>
    <w:p w14:paraId="4EF7E050">
      <w:pPr>
        <w:pStyle w:val="47"/>
        <w:rPr>
          <w:lang w:eastAsia="zh-CN"/>
        </w:rPr>
      </w:pPr>
    </w:p>
    <w:p w14:paraId="74CB29E6">
      <w:pPr>
        <w:pStyle w:val="47"/>
        <w:rPr>
          <w:b/>
          <w:bCs/>
          <w:lang w:eastAsia="zh-CN"/>
        </w:rPr>
        <w:sectPr>
          <w:pgSz w:w="11906" w:h="16838"/>
          <w:pgMar w:top="1134" w:right="1134" w:bottom="1134" w:left="1134" w:header="851" w:footer="992" w:gutter="0"/>
          <w:cols w:space="720" w:num="1"/>
          <w:docGrid w:type="lines" w:linePitch="344" w:charSpace="0"/>
        </w:sectPr>
      </w:pPr>
      <w:r>
        <w:rPr>
          <w:b/>
          <w:bCs/>
          <w:lang w:eastAsia="zh-CN"/>
        </w:rPr>
        <w:t>(</w:t>
      </w:r>
      <w:r>
        <w:rPr>
          <w:rFonts w:hint="eastAsia"/>
          <w:b/>
          <w:bCs/>
          <w:lang w:eastAsia="zh-CN"/>
        </w:rPr>
        <w:t>格式自拟)</w:t>
      </w:r>
    </w:p>
    <w:p w14:paraId="02E30F84">
      <w:pPr>
        <w:pStyle w:val="47"/>
        <w:rPr>
          <w:lang w:eastAsia="zh-CN"/>
        </w:rPr>
      </w:pPr>
    </w:p>
    <w:p w14:paraId="0D5EBF44">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十、技术参数偏离表附件2-</w:t>
      </w:r>
      <w:r>
        <w:rPr>
          <w:rFonts w:ascii="宋体" w:hAnsi="宋体"/>
          <w:b/>
          <w:sz w:val="28"/>
          <w:szCs w:val="28"/>
        </w:rPr>
        <w:t>6</w:t>
      </w:r>
    </w:p>
    <w:p w14:paraId="30410053">
      <w:pPr>
        <w:spacing w:line="440" w:lineRule="exact"/>
      </w:pPr>
    </w:p>
    <w:p w14:paraId="1B4C95A0">
      <w:pPr>
        <w:spacing w:line="440" w:lineRule="exact"/>
        <w:rPr>
          <w:rFonts w:ascii="宋体" w:hAnsi="宋体"/>
          <w:sz w:val="24"/>
          <w:u w:val="single"/>
        </w:rPr>
      </w:pPr>
      <w:r>
        <w:rPr>
          <w:rFonts w:hint="eastAsia" w:ascii="宋体" w:hAnsi="宋体"/>
          <w:sz w:val="24"/>
        </w:rPr>
        <w:t>投标人名称（</w:t>
      </w:r>
      <w:r>
        <w:rPr>
          <w:rFonts w:hint="eastAsia" w:ascii="宋体" w:hAnsi="宋体"/>
          <w:sz w:val="24"/>
          <w:szCs w:val="24"/>
        </w:rPr>
        <w:t>电子签</w:t>
      </w:r>
      <w:r>
        <w:rPr>
          <w:rFonts w:hint="eastAsia" w:ascii="宋体" w:hAnsi="宋体"/>
          <w:sz w:val="24"/>
        </w:rPr>
        <w:t>章）：</w:t>
      </w:r>
      <w:r>
        <w:rPr>
          <w:rFonts w:hint="eastAsia" w:ascii="宋体" w:hAnsi="宋体"/>
          <w:sz w:val="24"/>
          <w:u w:val="single"/>
        </w:rPr>
        <w:t xml:space="preserve">　　　　　             </w:t>
      </w:r>
      <w:r>
        <w:rPr>
          <w:rFonts w:hint="eastAsia" w:ascii="宋体" w:hAnsi="宋体"/>
          <w:sz w:val="24"/>
        </w:rPr>
        <w:t>招标编号：</w:t>
      </w:r>
      <w:r>
        <w:rPr>
          <w:rFonts w:hint="eastAsia" w:ascii="宋体" w:hAnsi="宋体"/>
          <w:sz w:val="24"/>
          <w:u w:val="single"/>
        </w:rPr>
        <w:t xml:space="preserve">　　　　           </w:t>
      </w:r>
    </w:p>
    <w:p w14:paraId="1EAB64C9">
      <w:pPr>
        <w:spacing w:line="440" w:lineRule="exact"/>
        <w:rPr>
          <w:rFonts w:ascii="宋体" w:hAnsi="宋体"/>
          <w:sz w:val="24"/>
          <w:u w:val="single"/>
        </w:rPr>
      </w:pPr>
      <w:r>
        <w:rPr>
          <w:rFonts w:hint="eastAsia" w:ascii="宋体" w:hAnsi="宋体"/>
          <w:sz w:val="24"/>
        </w:rPr>
        <w:t>分包序号、名称：</w:t>
      </w:r>
      <w:r>
        <w:rPr>
          <w:rFonts w:hint="eastAsia" w:ascii="宋体" w:hAnsi="宋体"/>
          <w:sz w:val="24"/>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40"/>
        <w:gridCol w:w="2056"/>
        <w:gridCol w:w="2393"/>
        <w:gridCol w:w="1721"/>
        <w:gridCol w:w="1218"/>
      </w:tblGrid>
      <w:tr w14:paraId="60A4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726" w:type="dxa"/>
            <w:vAlign w:val="center"/>
          </w:tcPr>
          <w:p w14:paraId="5BF222C9">
            <w:pPr>
              <w:spacing w:line="440" w:lineRule="exact"/>
              <w:jc w:val="center"/>
              <w:rPr>
                <w:rFonts w:ascii="宋体" w:hAnsi="宋体"/>
                <w:sz w:val="24"/>
              </w:rPr>
            </w:pPr>
            <w:r>
              <w:rPr>
                <w:rFonts w:hint="eastAsia" w:ascii="宋体" w:hAnsi="宋体"/>
                <w:sz w:val="24"/>
              </w:rPr>
              <w:t>序号</w:t>
            </w:r>
          </w:p>
        </w:tc>
        <w:tc>
          <w:tcPr>
            <w:tcW w:w="1740" w:type="dxa"/>
            <w:vAlign w:val="center"/>
          </w:tcPr>
          <w:p w14:paraId="2C7F5A33">
            <w:pPr>
              <w:spacing w:line="440" w:lineRule="exact"/>
              <w:jc w:val="center"/>
              <w:rPr>
                <w:rFonts w:ascii="宋体" w:hAnsi="宋体"/>
                <w:sz w:val="24"/>
              </w:rPr>
            </w:pPr>
            <w:r>
              <w:rPr>
                <w:rFonts w:hint="eastAsia" w:ascii="宋体" w:hAnsi="宋体"/>
                <w:sz w:val="24"/>
              </w:rPr>
              <w:t>招标文件规格条目号</w:t>
            </w:r>
          </w:p>
        </w:tc>
        <w:tc>
          <w:tcPr>
            <w:tcW w:w="2056" w:type="dxa"/>
            <w:vAlign w:val="center"/>
          </w:tcPr>
          <w:p w14:paraId="5B9D15F4">
            <w:pPr>
              <w:spacing w:line="440" w:lineRule="exact"/>
              <w:jc w:val="center"/>
              <w:rPr>
                <w:rFonts w:ascii="宋体" w:hAnsi="宋体"/>
                <w:sz w:val="24"/>
              </w:rPr>
            </w:pPr>
            <w:r>
              <w:rPr>
                <w:rFonts w:hint="eastAsia" w:ascii="宋体" w:hAnsi="宋体"/>
                <w:sz w:val="24"/>
              </w:rPr>
              <w:t>招标规格</w:t>
            </w:r>
          </w:p>
        </w:tc>
        <w:tc>
          <w:tcPr>
            <w:tcW w:w="2393" w:type="dxa"/>
            <w:vAlign w:val="center"/>
          </w:tcPr>
          <w:p w14:paraId="2A3EA198">
            <w:pPr>
              <w:spacing w:line="440" w:lineRule="exact"/>
              <w:jc w:val="center"/>
              <w:rPr>
                <w:rFonts w:ascii="宋体" w:hAnsi="宋体"/>
                <w:sz w:val="24"/>
              </w:rPr>
            </w:pPr>
            <w:r>
              <w:rPr>
                <w:rFonts w:hint="eastAsia" w:ascii="宋体" w:hAnsi="宋体"/>
                <w:sz w:val="24"/>
              </w:rPr>
              <w:t>投标规格</w:t>
            </w:r>
          </w:p>
        </w:tc>
        <w:tc>
          <w:tcPr>
            <w:tcW w:w="1721" w:type="dxa"/>
            <w:vAlign w:val="center"/>
          </w:tcPr>
          <w:p w14:paraId="2F5D7597">
            <w:pPr>
              <w:spacing w:line="440" w:lineRule="exact"/>
              <w:jc w:val="center"/>
              <w:rPr>
                <w:rFonts w:ascii="宋体" w:hAnsi="宋体"/>
                <w:sz w:val="24"/>
              </w:rPr>
            </w:pPr>
            <w:r>
              <w:rPr>
                <w:rFonts w:hint="eastAsia" w:ascii="宋体" w:hAnsi="宋体"/>
                <w:sz w:val="24"/>
              </w:rPr>
              <w:t>偏离</w:t>
            </w:r>
          </w:p>
        </w:tc>
        <w:tc>
          <w:tcPr>
            <w:tcW w:w="1218" w:type="dxa"/>
            <w:vAlign w:val="center"/>
          </w:tcPr>
          <w:p w14:paraId="0D8181F9">
            <w:pPr>
              <w:spacing w:line="440" w:lineRule="exact"/>
              <w:jc w:val="center"/>
              <w:rPr>
                <w:rFonts w:ascii="宋体" w:hAnsi="宋体"/>
                <w:sz w:val="24"/>
              </w:rPr>
            </w:pPr>
            <w:r>
              <w:rPr>
                <w:rFonts w:hint="eastAsia" w:ascii="宋体" w:hAnsi="宋体"/>
                <w:sz w:val="24"/>
              </w:rPr>
              <w:t>说明</w:t>
            </w:r>
          </w:p>
        </w:tc>
      </w:tr>
      <w:tr w14:paraId="2CE7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AD2EB68">
            <w:pPr>
              <w:spacing w:line="440" w:lineRule="exact"/>
              <w:rPr>
                <w:rFonts w:ascii="宋体" w:hAnsi="宋体"/>
                <w:sz w:val="24"/>
              </w:rPr>
            </w:pPr>
            <w:r>
              <w:rPr>
                <w:rFonts w:ascii="宋体" w:hAnsi="宋体"/>
                <w:sz w:val="24"/>
              </w:rPr>
              <w:t>1</w:t>
            </w:r>
          </w:p>
        </w:tc>
        <w:tc>
          <w:tcPr>
            <w:tcW w:w="1740" w:type="dxa"/>
          </w:tcPr>
          <w:p w14:paraId="7DF3DE8F">
            <w:pPr>
              <w:spacing w:line="440" w:lineRule="exact"/>
              <w:rPr>
                <w:rFonts w:ascii="宋体" w:hAnsi="宋体"/>
                <w:sz w:val="24"/>
              </w:rPr>
            </w:pPr>
          </w:p>
        </w:tc>
        <w:tc>
          <w:tcPr>
            <w:tcW w:w="2056" w:type="dxa"/>
          </w:tcPr>
          <w:p w14:paraId="209BC173">
            <w:pPr>
              <w:spacing w:line="440" w:lineRule="exact"/>
              <w:rPr>
                <w:rFonts w:ascii="宋体" w:hAnsi="宋体"/>
                <w:sz w:val="24"/>
              </w:rPr>
            </w:pPr>
          </w:p>
        </w:tc>
        <w:tc>
          <w:tcPr>
            <w:tcW w:w="2393" w:type="dxa"/>
          </w:tcPr>
          <w:p w14:paraId="75B5CC25">
            <w:pPr>
              <w:spacing w:line="440" w:lineRule="exact"/>
              <w:rPr>
                <w:rFonts w:ascii="宋体" w:hAnsi="宋体"/>
                <w:sz w:val="24"/>
              </w:rPr>
            </w:pPr>
          </w:p>
        </w:tc>
        <w:tc>
          <w:tcPr>
            <w:tcW w:w="1721" w:type="dxa"/>
          </w:tcPr>
          <w:p w14:paraId="39B25321">
            <w:pPr>
              <w:spacing w:line="440" w:lineRule="exact"/>
              <w:rPr>
                <w:rFonts w:ascii="宋体" w:hAnsi="宋体"/>
                <w:sz w:val="24"/>
              </w:rPr>
            </w:pPr>
          </w:p>
        </w:tc>
        <w:tc>
          <w:tcPr>
            <w:tcW w:w="1218" w:type="dxa"/>
          </w:tcPr>
          <w:p w14:paraId="40C63F33">
            <w:pPr>
              <w:spacing w:line="440" w:lineRule="exact"/>
              <w:rPr>
                <w:rFonts w:ascii="宋体" w:hAnsi="宋体"/>
                <w:sz w:val="24"/>
              </w:rPr>
            </w:pPr>
          </w:p>
        </w:tc>
      </w:tr>
      <w:tr w14:paraId="6B2B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2CA4A341">
            <w:pPr>
              <w:spacing w:line="440" w:lineRule="exact"/>
              <w:rPr>
                <w:rFonts w:ascii="宋体" w:hAnsi="宋体"/>
                <w:sz w:val="24"/>
              </w:rPr>
            </w:pPr>
            <w:r>
              <w:rPr>
                <w:rFonts w:ascii="宋体" w:hAnsi="宋体"/>
                <w:sz w:val="24"/>
              </w:rPr>
              <w:t>2</w:t>
            </w:r>
          </w:p>
        </w:tc>
        <w:tc>
          <w:tcPr>
            <w:tcW w:w="1740" w:type="dxa"/>
          </w:tcPr>
          <w:p w14:paraId="5E36D25E">
            <w:pPr>
              <w:spacing w:line="440" w:lineRule="exact"/>
              <w:rPr>
                <w:rFonts w:ascii="宋体" w:hAnsi="宋体"/>
                <w:sz w:val="24"/>
              </w:rPr>
            </w:pPr>
          </w:p>
        </w:tc>
        <w:tc>
          <w:tcPr>
            <w:tcW w:w="2056" w:type="dxa"/>
          </w:tcPr>
          <w:p w14:paraId="46D6188B">
            <w:pPr>
              <w:spacing w:line="440" w:lineRule="exact"/>
              <w:rPr>
                <w:rFonts w:ascii="宋体" w:hAnsi="宋体"/>
                <w:sz w:val="24"/>
              </w:rPr>
            </w:pPr>
          </w:p>
        </w:tc>
        <w:tc>
          <w:tcPr>
            <w:tcW w:w="2393" w:type="dxa"/>
          </w:tcPr>
          <w:p w14:paraId="1F62CDD2">
            <w:pPr>
              <w:spacing w:line="440" w:lineRule="exact"/>
              <w:rPr>
                <w:rFonts w:ascii="宋体" w:hAnsi="宋体"/>
                <w:sz w:val="24"/>
              </w:rPr>
            </w:pPr>
          </w:p>
        </w:tc>
        <w:tc>
          <w:tcPr>
            <w:tcW w:w="1721" w:type="dxa"/>
          </w:tcPr>
          <w:p w14:paraId="52DF9478">
            <w:pPr>
              <w:spacing w:line="440" w:lineRule="exact"/>
              <w:rPr>
                <w:rFonts w:ascii="宋体" w:hAnsi="宋体"/>
                <w:sz w:val="24"/>
              </w:rPr>
            </w:pPr>
          </w:p>
        </w:tc>
        <w:tc>
          <w:tcPr>
            <w:tcW w:w="1218" w:type="dxa"/>
          </w:tcPr>
          <w:p w14:paraId="74742FC3">
            <w:pPr>
              <w:spacing w:line="440" w:lineRule="exact"/>
              <w:rPr>
                <w:rFonts w:ascii="宋体" w:hAnsi="宋体"/>
                <w:sz w:val="24"/>
              </w:rPr>
            </w:pPr>
          </w:p>
        </w:tc>
      </w:tr>
      <w:tr w14:paraId="52DB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E80C3BD">
            <w:pPr>
              <w:spacing w:line="440" w:lineRule="exact"/>
              <w:rPr>
                <w:rFonts w:ascii="宋体" w:hAnsi="宋体"/>
                <w:sz w:val="24"/>
              </w:rPr>
            </w:pPr>
            <w:r>
              <w:rPr>
                <w:rFonts w:ascii="宋体" w:hAnsi="宋体"/>
                <w:sz w:val="24"/>
              </w:rPr>
              <w:t>3</w:t>
            </w:r>
          </w:p>
        </w:tc>
        <w:tc>
          <w:tcPr>
            <w:tcW w:w="1740" w:type="dxa"/>
          </w:tcPr>
          <w:p w14:paraId="18EBA5D4">
            <w:pPr>
              <w:spacing w:line="440" w:lineRule="exact"/>
              <w:rPr>
                <w:rFonts w:ascii="宋体" w:hAnsi="宋体"/>
                <w:sz w:val="24"/>
              </w:rPr>
            </w:pPr>
          </w:p>
        </w:tc>
        <w:tc>
          <w:tcPr>
            <w:tcW w:w="2056" w:type="dxa"/>
          </w:tcPr>
          <w:p w14:paraId="23E28DF5">
            <w:pPr>
              <w:spacing w:line="440" w:lineRule="exact"/>
              <w:rPr>
                <w:rFonts w:ascii="宋体" w:hAnsi="宋体"/>
                <w:sz w:val="24"/>
              </w:rPr>
            </w:pPr>
          </w:p>
        </w:tc>
        <w:tc>
          <w:tcPr>
            <w:tcW w:w="2393" w:type="dxa"/>
          </w:tcPr>
          <w:p w14:paraId="3D550CB1">
            <w:pPr>
              <w:spacing w:line="440" w:lineRule="exact"/>
              <w:rPr>
                <w:rFonts w:ascii="宋体" w:hAnsi="宋体"/>
                <w:sz w:val="24"/>
              </w:rPr>
            </w:pPr>
          </w:p>
        </w:tc>
        <w:tc>
          <w:tcPr>
            <w:tcW w:w="1721" w:type="dxa"/>
          </w:tcPr>
          <w:p w14:paraId="69EB814C">
            <w:pPr>
              <w:spacing w:line="440" w:lineRule="exact"/>
              <w:rPr>
                <w:rFonts w:ascii="宋体" w:hAnsi="宋体"/>
                <w:sz w:val="24"/>
              </w:rPr>
            </w:pPr>
          </w:p>
        </w:tc>
        <w:tc>
          <w:tcPr>
            <w:tcW w:w="1218" w:type="dxa"/>
          </w:tcPr>
          <w:p w14:paraId="5C9D8E3C">
            <w:pPr>
              <w:spacing w:line="440" w:lineRule="exact"/>
              <w:rPr>
                <w:rFonts w:ascii="宋体" w:hAnsi="宋体"/>
                <w:sz w:val="24"/>
              </w:rPr>
            </w:pPr>
          </w:p>
        </w:tc>
      </w:tr>
      <w:tr w14:paraId="134E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24221D1">
            <w:pPr>
              <w:spacing w:line="440" w:lineRule="exact"/>
              <w:rPr>
                <w:rFonts w:ascii="宋体" w:hAnsi="宋体"/>
                <w:sz w:val="24"/>
              </w:rPr>
            </w:pPr>
            <w:r>
              <w:rPr>
                <w:rFonts w:hint="eastAsia" w:ascii="宋体" w:hAnsi="宋体"/>
                <w:sz w:val="24"/>
              </w:rPr>
              <w:t>…</w:t>
            </w:r>
          </w:p>
        </w:tc>
        <w:tc>
          <w:tcPr>
            <w:tcW w:w="1740" w:type="dxa"/>
          </w:tcPr>
          <w:p w14:paraId="462328CB">
            <w:pPr>
              <w:spacing w:line="440" w:lineRule="exact"/>
              <w:rPr>
                <w:rFonts w:ascii="宋体" w:hAnsi="宋体"/>
                <w:sz w:val="24"/>
              </w:rPr>
            </w:pPr>
          </w:p>
        </w:tc>
        <w:tc>
          <w:tcPr>
            <w:tcW w:w="2056" w:type="dxa"/>
          </w:tcPr>
          <w:p w14:paraId="59BEE608">
            <w:pPr>
              <w:spacing w:line="440" w:lineRule="exact"/>
              <w:rPr>
                <w:rFonts w:ascii="宋体" w:hAnsi="宋体"/>
                <w:sz w:val="24"/>
              </w:rPr>
            </w:pPr>
          </w:p>
        </w:tc>
        <w:tc>
          <w:tcPr>
            <w:tcW w:w="2393" w:type="dxa"/>
          </w:tcPr>
          <w:p w14:paraId="60446DBF">
            <w:pPr>
              <w:spacing w:line="440" w:lineRule="exact"/>
              <w:rPr>
                <w:rFonts w:ascii="宋体" w:hAnsi="宋体"/>
                <w:sz w:val="24"/>
              </w:rPr>
            </w:pPr>
          </w:p>
        </w:tc>
        <w:tc>
          <w:tcPr>
            <w:tcW w:w="1721" w:type="dxa"/>
          </w:tcPr>
          <w:p w14:paraId="4A53EFB3">
            <w:pPr>
              <w:spacing w:line="440" w:lineRule="exact"/>
              <w:rPr>
                <w:rFonts w:ascii="宋体" w:hAnsi="宋体"/>
                <w:sz w:val="24"/>
              </w:rPr>
            </w:pPr>
          </w:p>
        </w:tc>
        <w:tc>
          <w:tcPr>
            <w:tcW w:w="1218" w:type="dxa"/>
          </w:tcPr>
          <w:p w14:paraId="199FFD66">
            <w:pPr>
              <w:spacing w:line="440" w:lineRule="exact"/>
              <w:rPr>
                <w:rFonts w:ascii="宋体" w:hAnsi="宋体"/>
                <w:sz w:val="24"/>
              </w:rPr>
            </w:pPr>
          </w:p>
        </w:tc>
      </w:tr>
    </w:tbl>
    <w:p w14:paraId="1597BCCD">
      <w:pPr>
        <w:spacing w:line="440" w:lineRule="exact"/>
        <w:rPr>
          <w:rFonts w:ascii="宋体" w:hAnsi="宋体"/>
          <w:sz w:val="24"/>
        </w:rPr>
      </w:pPr>
      <w:r>
        <w:rPr>
          <w:rFonts w:hint="eastAsia" w:ascii="宋体" w:hAnsi="宋体"/>
          <w:sz w:val="24"/>
        </w:rPr>
        <w:t>注：与招标文件要求逐条对应填写。</w:t>
      </w:r>
    </w:p>
    <w:p w14:paraId="7F59EC1F">
      <w:pPr>
        <w:spacing w:line="440" w:lineRule="exact"/>
        <w:rPr>
          <w:rFonts w:ascii="宋体" w:hAnsi="宋体"/>
          <w:sz w:val="24"/>
          <w:u w:val="single"/>
        </w:rPr>
      </w:pPr>
      <w:r>
        <w:rPr>
          <w:rFonts w:hint="eastAsia" w:ascii="宋体" w:hAnsi="宋体"/>
          <w:sz w:val="24"/>
        </w:rPr>
        <w:t>投标人代表</w:t>
      </w:r>
      <w:r>
        <w:rPr>
          <w:rFonts w:hint="eastAsia" w:ascii="宋体" w:hAnsi="宋体"/>
          <w:sz w:val="24"/>
          <w:szCs w:val="24"/>
        </w:rPr>
        <w:t>（电子签名）</w:t>
      </w:r>
      <w:r>
        <w:rPr>
          <w:rFonts w:hint="eastAsia" w:ascii="宋体" w:hAnsi="宋体"/>
          <w:sz w:val="24"/>
        </w:rPr>
        <w:t>：</w:t>
      </w:r>
    </w:p>
    <w:p w14:paraId="34F81252">
      <w:pPr>
        <w:spacing w:line="440" w:lineRule="exact"/>
        <w:rPr>
          <w:rFonts w:ascii="宋体" w:hAnsi="宋体"/>
          <w:b/>
          <w:sz w:val="24"/>
        </w:rPr>
      </w:pPr>
      <w:r>
        <w:rPr>
          <w:rFonts w:hint="eastAsia" w:ascii="宋体" w:hAnsi="宋体"/>
          <w:sz w:val="24"/>
        </w:rPr>
        <w:t>日期：</w:t>
      </w:r>
      <w:r>
        <w:rPr>
          <w:rFonts w:ascii="宋体" w:hAnsi="宋体"/>
          <w:bCs/>
          <w:sz w:val="24"/>
        </w:rPr>
        <w:t>20</w:t>
      </w:r>
      <w:r>
        <w:rPr>
          <w:rFonts w:hint="eastAsia" w:ascii="宋体" w:hAnsi="宋体"/>
          <w:sz w:val="24"/>
          <w:u w:val="single"/>
        </w:rPr>
        <w:t xml:space="preserve">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p w14:paraId="09026276">
      <w:pPr>
        <w:spacing w:line="440" w:lineRule="exact"/>
        <w:rPr>
          <w:rFonts w:ascii="宋体" w:hAnsi="宋体"/>
          <w:b/>
          <w:sz w:val="40"/>
          <w:szCs w:val="32"/>
        </w:rPr>
      </w:pPr>
    </w:p>
    <w:p w14:paraId="0FCA9ECF">
      <w:pPr>
        <w:pStyle w:val="117"/>
        <w:spacing w:after="0"/>
        <w:ind w:left="0" w:leftChars="0" w:firstLine="3" w:firstLineChars="1"/>
        <w:jc w:val="center"/>
        <w:outlineLvl w:val="1"/>
        <w:rPr>
          <w:rFonts w:ascii="宋体" w:hAnsi="宋体"/>
          <w:b/>
          <w:sz w:val="32"/>
          <w:szCs w:val="32"/>
        </w:rPr>
      </w:pPr>
      <w:r>
        <w:rPr>
          <w:rFonts w:ascii="宋体" w:hAnsi="宋体"/>
          <w:b/>
          <w:sz w:val="32"/>
          <w:szCs w:val="32"/>
        </w:rPr>
        <w:br w:type="page"/>
      </w:r>
    </w:p>
    <w:p w14:paraId="744BFB42">
      <w:pPr>
        <w:pStyle w:val="117"/>
        <w:spacing w:after="0"/>
        <w:ind w:left="0" w:leftChars="0" w:firstLine="3" w:firstLineChars="1"/>
        <w:jc w:val="center"/>
        <w:outlineLvl w:val="1"/>
        <w:rPr>
          <w:rFonts w:ascii="宋体" w:hAnsi="宋体"/>
          <w:b/>
          <w:sz w:val="32"/>
          <w:szCs w:val="32"/>
        </w:rPr>
      </w:pPr>
    </w:p>
    <w:p w14:paraId="3FC1EB0E">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十一、售后服务</w:t>
      </w:r>
    </w:p>
    <w:p w14:paraId="209AC40A"/>
    <w:p w14:paraId="37750466">
      <w:pPr>
        <w:pStyle w:val="11"/>
      </w:pPr>
      <w:r>
        <w:rPr>
          <w:rFonts w:hint="eastAsia"/>
          <w:b/>
          <w:bCs/>
          <w:sz w:val="24"/>
          <w:szCs w:val="24"/>
        </w:rPr>
        <w:t>（格式自拟）</w:t>
      </w:r>
    </w:p>
    <w:p w14:paraId="07D7C639">
      <w:pPr>
        <w:pStyle w:val="117"/>
        <w:spacing w:after="0"/>
        <w:ind w:left="0" w:leftChars="0" w:firstLine="3" w:firstLineChars="1"/>
        <w:jc w:val="center"/>
        <w:outlineLvl w:val="1"/>
        <w:rPr>
          <w:rFonts w:ascii="宋体" w:hAnsi="宋体"/>
          <w:b/>
          <w:sz w:val="28"/>
          <w:szCs w:val="28"/>
        </w:rPr>
      </w:pPr>
    </w:p>
    <w:p w14:paraId="11AF85E3">
      <w:pPr>
        <w:pStyle w:val="117"/>
        <w:spacing w:after="0"/>
        <w:ind w:left="0" w:leftChars="0" w:firstLine="3" w:firstLineChars="1"/>
        <w:jc w:val="center"/>
        <w:outlineLvl w:val="1"/>
        <w:rPr>
          <w:rFonts w:ascii="宋体" w:hAnsi="宋体"/>
          <w:b/>
          <w:sz w:val="28"/>
          <w:szCs w:val="28"/>
        </w:rPr>
      </w:pPr>
    </w:p>
    <w:p w14:paraId="6C3F442F">
      <w:pPr>
        <w:pStyle w:val="117"/>
        <w:spacing w:after="0"/>
        <w:ind w:left="0" w:leftChars="0" w:firstLine="3" w:firstLineChars="1"/>
        <w:jc w:val="center"/>
        <w:outlineLvl w:val="1"/>
        <w:rPr>
          <w:rFonts w:ascii="宋体" w:hAnsi="宋体"/>
          <w:b/>
          <w:sz w:val="28"/>
          <w:szCs w:val="28"/>
        </w:rPr>
      </w:pPr>
    </w:p>
    <w:p w14:paraId="7ACAAEAA">
      <w:pPr>
        <w:pStyle w:val="117"/>
        <w:spacing w:after="0"/>
        <w:ind w:left="0" w:leftChars="0" w:firstLine="3" w:firstLineChars="1"/>
        <w:jc w:val="center"/>
        <w:outlineLvl w:val="1"/>
        <w:rPr>
          <w:rFonts w:ascii="宋体" w:hAnsi="宋体"/>
          <w:b/>
          <w:sz w:val="28"/>
          <w:szCs w:val="28"/>
        </w:rPr>
      </w:pPr>
    </w:p>
    <w:p w14:paraId="2B693FFD">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十二、项目实施方案</w:t>
      </w:r>
    </w:p>
    <w:p w14:paraId="19A0C3A6">
      <w:pPr>
        <w:pStyle w:val="11"/>
        <w:rPr>
          <w:b/>
          <w:bCs/>
          <w:sz w:val="24"/>
          <w:szCs w:val="24"/>
        </w:rPr>
      </w:pPr>
      <w:r>
        <w:rPr>
          <w:rFonts w:hint="eastAsia"/>
          <w:b/>
          <w:bCs/>
          <w:sz w:val="24"/>
          <w:szCs w:val="24"/>
        </w:rPr>
        <w:t>（格式自拟）</w:t>
      </w:r>
    </w:p>
    <w:p w14:paraId="012454FB">
      <w:pPr>
        <w:pStyle w:val="11"/>
        <w:ind w:left="0" w:leftChars="0" w:firstLine="0"/>
        <w:jc w:val="center"/>
        <w:rPr>
          <w:b/>
          <w:bCs/>
          <w:sz w:val="24"/>
          <w:szCs w:val="24"/>
        </w:rPr>
      </w:pPr>
    </w:p>
    <w:p w14:paraId="083870C0">
      <w:pPr>
        <w:pStyle w:val="11"/>
        <w:ind w:left="0" w:leftChars="0" w:firstLine="0"/>
        <w:jc w:val="center"/>
        <w:rPr>
          <w:b/>
          <w:bCs/>
          <w:sz w:val="24"/>
          <w:szCs w:val="24"/>
        </w:rPr>
      </w:pPr>
    </w:p>
    <w:p w14:paraId="2D982ED5">
      <w:pPr>
        <w:pStyle w:val="11"/>
        <w:ind w:left="0" w:leftChars="0" w:firstLine="0"/>
        <w:jc w:val="center"/>
        <w:rPr>
          <w:b/>
          <w:bCs/>
          <w:sz w:val="24"/>
          <w:szCs w:val="24"/>
        </w:rPr>
      </w:pPr>
    </w:p>
    <w:p w14:paraId="6C90D77D">
      <w:pPr>
        <w:pStyle w:val="11"/>
        <w:ind w:left="0" w:leftChars="0" w:firstLine="0"/>
        <w:jc w:val="center"/>
        <w:rPr>
          <w:b/>
          <w:bCs/>
          <w:sz w:val="24"/>
          <w:szCs w:val="24"/>
        </w:rPr>
      </w:pPr>
    </w:p>
    <w:p w14:paraId="130D040F">
      <w:pPr>
        <w:pStyle w:val="11"/>
        <w:ind w:left="0" w:leftChars="0" w:firstLine="0"/>
        <w:jc w:val="center"/>
        <w:rPr>
          <w:b/>
          <w:bCs/>
          <w:sz w:val="24"/>
          <w:szCs w:val="24"/>
        </w:rPr>
      </w:pPr>
    </w:p>
    <w:p w14:paraId="4A96BA55">
      <w:pPr>
        <w:pStyle w:val="11"/>
        <w:ind w:left="0" w:leftChars="0" w:firstLine="0"/>
        <w:jc w:val="center"/>
        <w:rPr>
          <w:rFonts w:ascii="宋体" w:hAnsi="宋体"/>
          <w:b/>
          <w:sz w:val="28"/>
          <w:szCs w:val="28"/>
        </w:rPr>
      </w:pPr>
      <w:r>
        <w:rPr>
          <w:rFonts w:hint="eastAsia" w:ascii="宋体" w:hAnsi="宋体"/>
          <w:b/>
          <w:sz w:val="28"/>
          <w:szCs w:val="28"/>
        </w:rPr>
        <w:t>十三、业绩</w:t>
      </w:r>
    </w:p>
    <w:p w14:paraId="0BB09F54">
      <w:pPr>
        <w:pStyle w:val="10"/>
      </w:pPr>
    </w:p>
    <w:p w14:paraId="43729265">
      <w:pPr>
        <w:pStyle w:val="11"/>
        <w:rPr>
          <w:b/>
          <w:bCs/>
          <w:sz w:val="24"/>
          <w:szCs w:val="24"/>
        </w:rPr>
      </w:pPr>
      <w:r>
        <w:rPr>
          <w:rFonts w:hint="eastAsia"/>
          <w:b/>
          <w:bCs/>
          <w:sz w:val="24"/>
          <w:szCs w:val="24"/>
        </w:rPr>
        <w:t>（格式自拟）</w:t>
      </w:r>
    </w:p>
    <w:p w14:paraId="4ACB7A73">
      <w:pPr>
        <w:pStyle w:val="11"/>
        <w:ind w:left="0" w:leftChars="0" w:firstLine="0"/>
        <w:jc w:val="center"/>
        <w:rPr>
          <w:b/>
          <w:bCs/>
          <w:sz w:val="24"/>
          <w:szCs w:val="24"/>
        </w:rPr>
      </w:pPr>
    </w:p>
    <w:p w14:paraId="509FCB55">
      <w:pPr>
        <w:pStyle w:val="11"/>
        <w:ind w:left="0" w:leftChars="0" w:firstLine="0"/>
        <w:jc w:val="center"/>
        <w:rPr>
          <w:b/>
          <w:bCs/>
          <w:sz w:val="24"/>
          <w:szCs w:val="24"/>
        </w:rPr>
      </w:pPr>
    </w:p>
    <w:p w14:paraId="1DDE2978">
      <w:pPr>
        <w:pStyle w:val="11"/>
        <w:ind w:left="0" w:leftChars="0" w:firstLine="0"/>
        <w:jc w:val="center"/>
        <w:rPr>
          <w:b/>
          <w:bCs/>
          <w:sz w:val="24"/>
          <w:szCs w:val="24"/>
        </w:rPr>
      </w:pPr>
    </w:p>
    <w:p w14:paraId="4A932B54">
      <w:pPr>
        <w:pStyle w:val="11"/>
        <w:ind w:left="0" w:leftChars="0" w:firstLine="0"/>
        <w:jc w:val="center"/>
        <w:rPr>
          <w:b/>
          <w:bCs/>
          <w:sz w:val="24"/>
          <w:szCs w:val="24"/>
        </w:rPr>
      </w:pPr>
    </w:p>
    <w:p w14:paraId="33CF050F">
      <w:pPr>
        <w:pStyle w:val="11"/>
        <w:ind w:left="0" w:leftChars="0" w:firstLine="0"/>
        <w:jc w:val="center"/>
        <w:rPr>
          <w:rFonts w:ascii="宋体" w:hAnsi="宋体"/>
          <w:b/>
          <w:sz w:val="28"/>
          <w:szCs w:val="28"/>
        </w:rPr>
      </w:pPr>
      <w:r>
        <w:rPr>
          <w:rFonts w:hint="eastAsia" w:ascii="宋体" w:hAnsi="宋体"/>
          <w:b/>
          <w:sz w:val="28"/>
          <w:szCs w:val="28"/>
        </w:rPr>
        <w:t>十四、资格审查文件</w:t>
      </w:r>
    </w:p>
    <w:p w14:paraId="03057CF4">
      <w:pPr>
        <w:pStyle w:val="10"/>
        <w:ind w:left="0" w:leftChars="0"/>
        <w:rPr>
          <w:sz w:val="24"/>
          <w:szCs w:val="24"/>
        </w:rPr>
      </w:pPr>
      <w:r>
        <w:rPr>
          <w:rFonts w:hint="eastAsia"/>
          <w:sz w:val="24"/>
          <w:szCs w:val="24"/>
        </w:rPr>
        <w:t>供应商需按照资格审查要求提供资格审查文件。</w:t>
      </w:r>
    </w:p>
    <w:p w14:paraId="5E1C2517">
      <w:pPr>
        <w:spacing w:line="276" w:lineRule="auto"/>
        <w:ind w:firstLine="241" w:firstLineChars="100"/>
        <w:rPr>
          <w:rFonts w:ascii="宋体" w:hAnsi="宋体"/>
          <w:bCs/>
          <w:sz w:val="24"/>
        </w:rPr>
      </w:pPr>
      <w:r>
        <w:rPr>
          <w:rFonts w:hint="eastAsia" w:ascii="宋体" w:hAnsi="宋体"/>
          <w:b/>
          <w:sz w:val="24"/>
        </w:rPr>
        <w:t>注：1.投标人制作投标文件，应按照投标文件组成顺序制作，编好始末页码且在投标文件目录中一一列明并对应。</w:t>
      </w:r>
    </w:p>
    <w:p w14:paraId="1C3F6CAB">
      <w:pPr>
        <w:spacing w:line="276" w:lineRule="auto"/>
        <w:ind w:left="420"/>
        <w:rPr>
          <w:b/>
        </w:rPr>
      </w:pPr>
      <w:r>
        <w:rPr>
          <w:rFonts w:hint="eastAsia" w:ascii="宋体" w:hAnsi="宋体"/>
          <w:b/>
          <w:sz w:val="24"/>
        </w:rPr>
        <w:t>2</w:t>
      </w:r>
      <w:r>
        <w:rPr>
          <w:rFonts w:ascii="宋体" w:hAnsi="宋体"/>
          <w:b/>
          <w:sz w:val="24"/>
        </w:rPr>
        <w:t>.</w:t>
      </w:r>
      <w:r>
        <w:rPr>
          <w:rFonts w:hint="eastAsia" w:ascii="宋体" w:hAnsi="宋体"/>
          <w:b/>
          <w:sz w:val="24"/>
        </w:rPr>
        <w:t>招标文件没有提供格式的，投标人可自行设置。</w:t>
      </w:r>
    </w:p>
    <w:p w14:paraId="4663AEDF">
      <w:pPr>
        <w:pStyle w:val="20"/>
      </w:pPr>
    </w:p>
    <w:p w14:paraId="2A20EF2C">
      <w:pPr>
        <w:spacing w:line="360" w:lineRule="exact"/>
        <w:rPr>
          <w:b/>
          <w:bCs/>
        </w:rPr>
      </w:pPr>
      <w:r>
        <w:rPr>
          <w:rFonts w:hint="eastAsia"/>
        </w:rPr>
        <w:br w:type="page"/>
      </w:r>
      <w:r>
        <w:rPr>
          <w:rFonts w:hint="eastAsia"/>
          <w:b/>
          <w:bCs/>
        </w:rPr>
        <w:t xml:space="preserve">附件1 </w:t>
      </w:r>
    </w:p>
    <w:p w14:paraId="6EB15B10">
      <w:pPr>
        <w:widowControl/>
        <w:ind w:firstLine="562" w:firstLineChars="200"/>
        <w:jc w:val="left"/>
        <w:rPr>
          <w:rStyle w:val="27"/>
          <w:rFonts w:ascii="宋体" w:hAnsi="宋体" w:cs="宋体"/>
          <w:kern w:val="0"/>
          <w:sz w:val="28"/>
          <w:szCs w:val="28"/>
          <w:lang w:bidi="ar"/>
        </w:rPr>
      </w:pPr>
    </w:p>
    <w:p w14:paraId="18ECDA75">
      <w:pPr>
        <w:widowControl/>
        <w:ind w:firstLine="482" w:firstLineChars="200"/>
        <w:jc w:val="left"/>
        <w:rPr>
          <w:rStyle w:val="27"/>
          <w:rFonts w:ascii="宋体" w:hAnsi="宋体" w:cs="宋体"/>
          <w:kern w:val="0"/>
          <w:sz w:val="24"/>
          <w:szCs w:val="24"/>
          <w:lang w:bidi="ar"/>
        </w:rPr>
      </w:pPr>
      <w:r>
        <w:rPr>
          <w:rStyle w:val="27"/>
          <w:rFonts w:hint="eastAsia" w:ascii="宋体" w:hAnsi="宋体" w:cs="宋体"/>
          <w:kern w:val="0"/>
          <w:sz w:val="24"/>
          <w:szCs w:val="24"/>
          <w:lang w:bidi="ar"/>
        </w:rPr>
        <w:t>（一）关于</w:t>
      </w:r>
      <w:r>
        <w:rPr>
          <w:rStyle w:val="27"/>
          <w:rFonts w:hint="eastAsia" w:cs="宋体"/>
          <w:kern w:val="0"/>
          <w:sz w:val="24"/>
          <w:szCs w:val="24"/>
          <w:lang w:bidi="ar"/>
        </w:rPr>
        <w:t>“</w:t>
      </w:r>
      <w:r>
        <w:rPr>
          <w:rStyle w:val="27"/>
          <w:rFonts w:hint="eastAsia" w:ascii="宋体" w:hAnsi="宋体" w:cs="宋体"/>
          <w:kern w:val="0"/>
          <w:sz w:val="24"/>
          <w:szCs w:val="24"/>
          <w:lang w:bidi="ar"/>
        </w:rPr>
        <w:t>中小企业声明函</w:t>
      </w:r>
      <w:r>
        <w:rPr>
          <w:rStyle w:val="27"/>
          <w:rFonts w:hint="eastAsia" w:cs="宋体"/>
          <w:kern w:val="0"/>
          <w:sz w:val="24"/>
          <w:szCs w:val="24"/>
          <w:lang w:bidi="ar"/>
        </w:rPr>
        <w:t>”</w:t>
      </w:r>
      <w:r>
        <w:rPr>
          <w:rStyle w:val="27"/>
          <w:rFonts w:hint="eastAsia" w:ascii="宋体" w:hAnsi="宋体" w:cs="宋体"/>
          <w:kern w:val="0"/>
          <w:sz w:val="24"/>
          <w:szCs w:val="24"/>
          <w:lang w:bidi="ar"/>
        </w:rPr>
        <w:t>的填写要求</w:t>
      </w:r>
    </w:p>
    <w:p w14:paraId="5044546A">
      <w:pPr>
        <w:widowControl/>
        <w:spacing w:line="360" w:lineRule="auto"/>
        <w:ind w:firstLine="480" w:firstLineChars="200"/>
        <w:jc w:val="left"/>
        <w:rPr>
          <w:rFonts w:ascii="宋体" w:hAnsi="宋体" w:cs="宋体"/>
          <w:kern w:val="0"/>
          <w:sz w:val="24"/>
          <w:szCs w:val="24"/>
          <w:lang w:bidi="ar"/>
        </w:rPr>
      </w:pP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具体填写要求如下：</w:t>
      </w:r>
    </w:p>
    <w:p w14:paraId="7B8F30B4">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1.“单位名称”应填写采购人名称。</w:t>
      </w:r>
    </w:p>
    <w:p w14:paraId="7F5E657E">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6B3C2B4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7A5F45D">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4.“采购文件中明确的所属行业”应填写采购文件中明确的采购标的所属行业。</w:t>
      </w:r>
    </w:p>
    <w:p w14:paraId="468A3664">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对于分包方式面向中小企业采购的项目，“采购文件中明确的所属行业”应按照采购文件中注明的分包给中小企业的采购标的所属行业填写。</w:t>
      </w:r>
    </w:p>
    <w:p w14:paraId="4EE06867">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对于以联合体方式面向中小企业采购的项目，“采购文件中明确的所属行业”应按照采购文件中注明的联合体中中小企业承担的采购标的所属行业填写。</w:t>
      </w:r>
    </w:p>
    <w:p w14:paraId="31401F74">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5.“企业名称”应填写投标（响应）的货物制造商/服务承接商/工程承建商（根据项目属性确定）。</w:t>
      </w:r>
    </w:p>
    <w:p w14:paraId="4A4616EF">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对于分包方式面向中小企业采购的项目，“企业名称”应填写分包部分采购标的对应的货物制造商/服务承接商/工程承建商（根据项目属性确定）。</w:t>
      </w:r>
    </w:p>
    <w:p w14:paraId="451B385C">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对于以联合体方式面向中小企业采购的项目，“企业名称”应填写联合体中中小企业承担采购标的对应的货物制造商/服务承接商/工程承建商（根据项目属性确定）。</w:t>
      </w:r>
    </w:p>
    <w:p w14:paraId="455E229B">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6.从业人员、资产总额指标以上年度末数据为依据，营业收入指标以上年度累计数据为依据。无上年度数据的新成立企业可不填报。</w:t>
      </w:r>
    </w:p>
    <w:p w14:paraId="575F3685">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7.“中型企业/小型企业/微型企业”部分，供应商应依据企业上年度从业人员、营业收入、资产总额等指标，按照《中小企业划型标准规定》（工信部联企业〔2011〕300号），判断</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载明的货物制造商/服务承接商/工程承建商（根据项目属性确定）是否属于采购文件所属行业的中型企业/小型企业/微型企业。</w:t>
      </w:r>
    </w:p>
    <w:p w14:paraId="795817DA">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8. 从业人员、营业收入、资产总额应按照上年度末实际情况填报，并应确保在争议纠纷处理时，可提供相关数据的来源依据。</w:t>
      </w:r>
    </w:p>
    <w:p w14:paraId="6FD03DBB">
      <w:pPr>
        <w:widowControl/>
        <w:ind w:firstLine="482" w:firstLineChars="200"/>
        <w:jc w:val="left"/>
        <w:rPr>
          <w:rStyle w:val="27"/>
          <w:rFonts w:ascii="宋体" w:hAnsi="宋体" w:cs="宋体"/>
          <w:kern w:val="0"/>
          <w:sz w:val="24"/>
          <w:szCs w:val="24"/>
          <w:lang w:bidi="ar"/>
        </w:rPr>
      </w:pPr>
      <w:r>
        <w:rPr>
          <w:rStyle w:val="27"/>
          <w:rFonts w:hint="eastAsia" w:ascii="宋体" w:hAnsi="宋体" w:cs="宋体"/>
          <w:kern w:val="0"/>
          <w:sz w:val="24"/>
          <w:szCs w:val="24"/>
          <w:lang w:bidi="ar"/>
        </w:rPr>
        <w:t>（二）关于</w:t>
      </w:r>
      <w:r>
        <w:rPr>
          <w:rStyle w:val="27"/>
          <w:rFonts w:hint="eastAsia" w:cs="宋体"/>
          <w:kern w:val="0"/>
          <w:sz w:val="24"/>
          <w:szCs w:val="24"/>
          <w:lang w:bidi="ar"/>
        </w:rPr>
        <w:t>“</w:t>
      </w:r>
      <w:r>
        <w:rPr>
          <w:rStyle w:val="27"/>
          <w:rFonts w:hint="eastAsia" w:ascii="宋体" w:hAnsi="宋体" w:cs="宋体"/>
          <w:kern w:val="0"/>
          <w:sz w:val="24"/>
          <w:szCs w:val="24"/>
          <w:lang w:bidi="ar"/>
        </w:rPr>
        <w:t>中小企业声明函</w:t>
      </w:r>
      <w:r>
        <w:rPr>
          <w:rStyle w:val="27"/>
          <w:rFonts w:hint="eastAsia" w:cs="宋体"/>
          <w:kern w:val="0"/>
          <w:sz w:val="24"/>
          <w:szCs w:val="24"/>
          <w:lang w:bidi="ar"/>
        </w:rPr>
        <w:t>”</w:t>
      </w:r>
      <w:r>
        <w:rPr>
          <w:rStyle w:val="27"/>
          <w:rFonts w:hint="eastAsia" w:ascii="宋体" w:hAnsi="宋体" w:cs="宋体"/>
          <w:kern w:val="0"/>
          <w:sz w:val="24"/>
          <w:szCs w:val="24"/>
          <w:lang w:bidi="ar"/>
        </w:rPr>
        <w:t>的提交要求</w:t>
      </w:r>
    </w:p>
    <w:p w14:paraId="1FA983A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1.投标（响应）供应商对</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w:t>
      </w:r>
    </w:p>
    <w:p w14:paraId="3E28DCFE">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2.鼓励供应商在投标（响应）时一并提供对货物制造商、服务承接商、工程承建商相关信息的核实核验情况以及其他佐证材料。</w:t>
      </w:r>
    </w:p>
    <w:p w14:paraId="6B3E684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3.如供应商提供的</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A65CED2">
      <w:pPr>
        <w:rPr>
          <w:rFonts w:cs="宋体"/>
          <w:spacing w:val="6"/>
          <w:szCs w:val="21"/>
        </w:rPr>
      </w:pPr>
    </w:p>
    <w:p w14:paraId="22C6C283">
      <w:pPr>
        <w:spacing w:line="360" w:lineRule="exact"/>
        <w:rPr>
          <w:b/>
          <w:bCs/>
        </w:rPr>
      </w:pPr>
      <w:r>
        <w:rPr>
          <w:rFonts w:hint="eastAsia"/>
          <w:b/>
          <w:bCs/>
        </w:rPr>
        <w:br w:type="page"/>
      </w:r>
      <w:r>
        <w:rPr>
          <w:rFonts w:hint="eastAsia"/>
          <w:b/>
          <w:bCs/>
        </w:rPr>
        <w:t>附件2：</w:t>
      </w:r>
    </w:p>
    <w:p w14:paraId="4ADD6E35">
      <w:pPr>
        <w:pStyle w:val="13"/>
        <w:jc w:val="center"/>
        <w:rPr>
          <w:rFonts w:hAnsi="宋体" w:cs="宋体"/>
          <w:b/>
          <w:sz w:val="32"/>
          <w:szCs w:val="32"/>
        </w:rPr>
      </w:pPr>
      <w:r>
        <w:rPr>
          <w:rFonts w:hint="eastAsia" w:hAnsi="宋体" w:cs="宋体"/>
          <w:b/>
          <w:sz w:val="32"/>
          <w:szCs w:val="32"/>
        </w:rPr>
        <w:t>关于印发中小企业划型标准规定的通知</w:t>
      </w:r>
    </w:p>
    <w:p w14:paraId="5F5CC742">
      <w:pPr>
        <w:spacing w:line="360" w:lineRule="exact"/>
        <w:jc w:val="center"/>
        <w:rPr>
          <w:rStyle w:val="27"/>
          <w:rFonts w:ascii="宋体" w:hAnsi="宋体" w:cs="宋体"/>
          <w:b w:val="0"/>
          <w:sz w:val="24"/>
          <w:szCs w:val="24"/>
        </w:rPr>
      </w:pPr>
      <w:r>
        <w:rPr>
          <w:rStyle w:val="27"/>
          <w:rFonts w:hint="eastAsia" w:ascii="宋体" w:hAnsi="宋体" w:cs="宋体"/>
          <w:b w:val="0"/>
          <w:sz w:val="24"/>
          <w:szCs w:val="24"/>
        </w:rPr>
        <w:t>工信部联企业〔2011〕300号</w:t>
      </w:r>
    </w:p>
    <w:p w14:paraId="7528FA2B">
      <w:pPr>
        <w:spacing w:line="360" w:lineRule="exact"/>
        <w:jc w:val="center"/>
        <w:rPr>
          <w:rStyle w:val="27"/>
          <w:rFonts w:ascii="宋体" w:hAnsi="宋体" w:cs="宋体"/>
          <w:b w:val="0"/>
          <w:sz w:val="24"/>
          <w:szCs w:val="24"/>
        </w:rPr>
      </w:pPr>
    </w:p>
    <w:p w14:paraId="477C3929">
      <w:pPr>
        <w:spacing w:line="360" w:lineRule="exact"/>
        <w:rPr>
          <w:rStyle w:val="27"/>
          <w:rFonts w:ascii="宋体" w:hAnsi="宋体" w:cs="宋体"/>
          <w:b w:val="0"/>
          <w:sz w:val="24"/>
          <w:szCs w:val="24"/>
        </w:rPr>
      </w:pPr>
      <w:r>
        <w:rPr>
          <w:rStyle w:val="27"/>
          <w:rFonts w:hint="eastAsia" w:ascii="宋体" w:hAnsi="宋体" w:cs="宋体"/>
          <w:b w:val="0"/>
          <w:sz w:val="24"/>
          <w:szCs w:val="24"/>
        </w:rPr>
        <w:t>各省、自治区、直辖市人民政府，国务院各部委、各直属机构及有关单位：</w:t>
      </w:r>
    </w:p>
    <w:p w14:paraId="1EC81969">
      <w:pPr>
        <w:spacing w:line="360" w:lineRule="exact"/>
        <w:rPr>
          <w:rStyle w:val="27"/>
          <w:rFonts w:ascii="宋体" w:hAnsi="宋体" w:cs="宋体"/>
          <w:b w:val="0"/>
          <w:bCs w:val="0"/>
          <w:sz w:val="24"/>
          <w:szCs w:val="24"/>
        </w:rPr>
      </w:pPr>
      <w:r>
        <w:rPr>
          <w:rStyle w:val="27"/>
          <w:rFonts w:hint="eastAsia" w:ascii="宋体" w:hAnsi="宋体" w:cs="宋体"/>
          <w:b w:val="0"/>
          <w:bCs w:val="0"/>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EB63A20">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工业和信息化部　国家统计局</w:t>
      </w:r>
    </w:p>
    <w:p w14:paraId="0B825549">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国家发展和改革委员会　财政部</w:t>
      </w:r>
    </w:p>
    <w:p w14:paraId="1102B984">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二○一一年六月十八日</w:t>
      </w:r>
    </w:p>
    <w:p w14:paraId="3A267466">
      <w:pPr>
        <w:spacing w:line="360" w:lineRule="exact"/>
        <w:rPr>
          <w:rStyle w:val="27"/>
          <w:rFonts w:ascii="宋体" w:hAnsi="宋体" w:cs="宋体"/>
          <w:b w:val="0"/>
          <w:bCs w:val="0"/>
          <w:sz w:val="24"/>
          <w:szCs w:val="24"/>
        </w:rPr>
      </w:pPr>
      <w:r>
        <w:rPr>
          <w:rStyle w:val="27"/>
          <w:rFonts w:hint="eastAsia" w:ascii="宋体" w:hAnsi="宋体" w:cs="宋体"/>
          <w:b w:val="0"/>
          <w:bCs w:val="0"/>
          <w:sz w:val="24"/>
          <w:szCs w:val="24"/>
        </w:rPr>
        <w:t xml:space="preserve"> </w:t>
      </w:r>
    </w:p>
    <w:p w14:paraId="68B7162D">
      <w:pPr>
        <w:spacing w:line="400" w:lineRule="exact"/>
        <w:jc w:val="center"/>
        <w:rPr>
          <w:rStyle w:val="27"/>
          <w:rFonts w:ascii="宋体" w:hAnsi="宋体" w:cs="宋体"/>
          <w:bCs w:val="0"/>
          <w:sz w:val="28"/>
          <w:szCs w:val="28"/>
        </w:rPr>
      </w:pPr>
      <w:r>
        <w:rPr>
          <w:rStyle w:val="27"/>
          <w:rFonts w:hint="eastAsia" w:ascii="宋体" w:hAnsi="宋体" w:cs="宋体"/>
          <w:bCs w:val="0"/>
          <w:sz w:val="28"/>
          <w:szCs w:val="28"/>
        </w:rPr>
        <w:t>中小企业划型标准规定</w:t>
      </w:r>
    </w:p>
    <w:p w14:paraId="6DABE9AA">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一、根据《中华人民共和国中小企业促进法》和《国务院关于进一步促进中小企业发展的若干意见》(国发〔2009〕36号)，制定本规定。</w:t>
      </w:r>
    </w:p>
    <w:p w14:paraId="3213803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二、中小企业划分为中型、小型、微型三种类型，具体标准根据企业从业人员、营业收入、资产总额等指标，结合行业特点制定。</w:t>
      </w:r>
    </w:p>
    <w:p w14:paraId="1DDA96E7">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7CFD6E1">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四、各行业划型标准为：</w:t>
      </w:r>
    </w:p>
    <w:p w14:paraId="055971C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（一）农、林、牧、渔业。营业收入20000万元以下的为中小微型企业。其中，营业收入500万元及以上的为中型企业，营业收入50万元及以上的为小型企业，营业收入50万元以下的为微型企业。</w:t>
      </w:r>
    </w:p>
    <w:p w14:paraId="33C95C6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w:t>
      </w:r>
      <w:r>
        <w:rPr>
          <w:rStyle w:val="27"/>
          <w:rFonts w:hint="eastAsia" w:ascii="宋体" w:hAnsi="宋体" w:cs="宋体"/>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272A9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8DBE753">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93231BB">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F2F252D">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8D55C2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F18A2BE">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F2BA623">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0B0131">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B1254A">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A4CCECD">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5189E37">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7B5C9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869E49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A74EB34">
      <w:pPr>
        <w:spacing w:line="400" w:lineRule="exact"/>
        <w:ind w:firstLine="483"/>
        <w:rPr>
          <w:rStyle w:val="27"/>
          <w:rFonts w:ascii="宋体" w:hAnsi="宋体" w:cs="宋体"/>
          <w:b w:val="0"/>
          <w:bCs w:val="0"/>
          <w:sz w:val="24"/>
          <w:szCs w:val="24"/>
        </w:rPr>
      </w:pPr>
      <w:r>
        <w:rPr>
          <w:rStyle w:val="27"/>
          <w:rFonts w:hint="eastAsia" w:ascii="宋体" w:hAnsi="宋体" w:cs="宋体"/>
          <w:b w:val="0"/>
          <w:bCs w:val="0"/>
          <w:sz w:val="24"/>
          <w:szCs w:val="24"/>
        </w:rPr>
        <w:t>（十六）其他未列明行业。从业人员300人以下的为中小微型企业。其中，从业人员100人及以上的为中型企业；从业人员10人及以上的为小型企业；从业人员10人以下的为微型企业。　　</w:t>
      </w:r>
    </w:p>
    <w:p w14:paraId="078EEF7B">
      <w:pPr>
        <w:spacing w:line="400" w:lineRule="exact"/>
        <w:ind w:firstLine="483"/>
        <w:rPr>
          <w:rStyle w:val="27"/>
          <w:rFonts w:ascii="宋体" w:hAnsi="宋体" w:cs="宋体"/>
          <w:b w:val="0"/>
          <w:bCs w:val="0"/>
          <w:sz w:val="24"/>
          <w:szCs w:val="24"/>
        </w:rPr>
      </w:pPr>
      <w:r>
        <w:rPr>
          <w:rStyle w:val="27"/>
          <w:rFonts w:hint="eastAsia" w:ascii="宋体" w:hAnsi="宋体" w:cs="宋体"/>
          <w:b w:val="0"/>
          <w:bCs w:val="0"/>
          <w:sz w:val="24"/>
          <w:szCs w:val="24"/>
        </w:rPr>
        <w:t>五、企业类型的划分以统计部门的统计数据为依据。</w:t>
      </w:r>
    </w:p>
    <w:p w14:paraId="5D01B0A0">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六、本规定适用于在中华人民共和国境内依法设立的各类所有制和各种组织形式的企业。个体工商户和本规定以外的行业，参照本规定进行划型。</w:t>
      </w:r>
    </w:p>
    <w:p w14:paraId="0A65F3EC">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728DEF3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八、本规定由工业和信息化部、国家统计局会同有关部门根据《国民经济行业分类》修订情况和企业发展变化情况适时修订。</w:t>
      </w:r>
    </w:p>
    <w:p w14:paraId="5E8E675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九、本规定由工业和信息化部、国家统计局会同有关部门负责解释。</w:t>
      </w:r>
    </w:p>
    <w:p w14:paraId="4F78475A">
      <w:pPr>
        <w:spacing w:line="400" w:lineRule="exact"/>
        <w:rPr>
          <w:rFonts w:cs="宋体"/>
          <w:spacing w:val="6"/>
          <w:szCs w:val="21"/>
        </w:rPr>
      </w:pPr>
      <w:r>
        <w:rPr>
          <w:rStyle w:val="27"/>
          <w:rFonts w:hint="eastAsia" w:ascii="宋体" w:hAnsi="宋体" w:cs="宋体"/>
          <w:b w:val="0"/>
          <w:bCs w:val="0"/>
          <w:sz w:val="24"/>
          <w:szCs w:val="24"/>
        </w:rPr>
        <w:t>十、本规定自发布之日起执行，原国家经贸委、原国家计委、财政部和国家统计局2003年颁布的《中小企业标准暂行规定》同时废止。</w:t>
      </w:r>
    </w:p>
    <w:p w14:paraId="39EFC29F">
      <w:pPr>
        <w:widowControl/>
        <w:spacing w:line="480" w:lineRule="atLeast"/>
        <w:ind w:firstLine="480"/>
        <w:jc w:val="left"/>
        <w:rPr>
          <w:rFonts w:ascii="仿宋" w:hAnsi="仿宋" w:eastAsia="仿宋" w:cs="宋体"/>
          <w:kern w:val="0"/>
          <w:sz w:val="24"/>
        </w:rPr>
      </w:pPr>
    </w:p>
    <w:p w14:paraId="48A9C362">
      <w:pPr>
        <w:tabs>
          <w:tab w:val="left" w:pos="1929"/>
        </w:tabs>
      </w:pPr>
    </w:p>
    <w:sectPr>
      <w:headerReference r:id="rId11" w:type="first"/>
      <w:headerReference r:id="rId9" w:type="default"/>
      <w:footerReference r:id="rId12" w:type="default"/>
      <w:headerReference r:id="rId10" w:type="even"/>
      <w:footerReference r:id="rId13" w:type="even"/>
      <w:pgSz w:w="11906" w:h="16838"/>
      <w:pgMar w:top="1134" w:right="1134" w:bottom="1134" w:left="1134" w:header="851" w:footer="992" w:gutter="0"/>
      <w:pgNumType w:fmt="numberInDash"/>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7A310">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2D8FB75">
                          <w:pPr>
                            <w:pStyle w:val="1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z/jVDywEAAJcDAAAOAAAAAAAAAAEAIAAAACIBAABkcnMv&#10;ZTJvRG9jLnhtbFBLBQYAAAAABgAGAFkBAABfBQAAAAA=&#10;">
              <v:fill on="f" focussize="0,0"/>
              <v:stroke on="f" weight="1.25pt"/>
              <v:imagedata o:title=""/>
              <o:lock v:ext="edit" aspectratio="f"/>
              <v:textbox inset="0mm,0mm,0mm,0mm" style="mso-fit-shape-to-text:t;">
                <w:txbxContent>
                  <w:p w14:paraId="22D8FB75">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A29AF">
    <w:pPr>
      <w:pStyle w:val="17"/>
      <w:framePr w:wrap="around" w:vAnchor="text" w:hAnchor="margin" w:xAlign="center" w:y="1"/>
      <w:rPr>
        <w:rStyle w:val="28"/>
      </w:rPr>
    </w:pPr>
    <w:r>
      <w:fldChar w:fldCharType="begin"/>
    </w:r>
    <w:r>
      <w:rPr>
        <w:rStyle w:val="28"/>
      </w:rPr>
      <w:instrText xml:space="preserve">PAGE  </w:instrText>
    </w:r>
    <w:r>
      <w:fldChar w:fldCharType="end"/>
    </w:r>
  </w:p>
  <w:p w14:paraId="1E85738A">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2C4A0">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5BC3D9C">
                          <w:pPr>
                            <w:pStyle w:val="17"/>
                          </w:pPr>
                          <w:r>
                            <w:fldChar w:fldCharType="begin"/>
                          </w:r>
                          <w:r>
                            <w:instrText xml:space="preserve"> PAGE  \* MERGEFORMAT </w:instrText>
                          </w:r>
                          <w:r>
                            <w:fldChar w:fldCharType="separate"/>
                          </w:r>
                          <w:r>
                            <w:t>- 35 -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qou1ywEAAJcDAAAOAAAAAAAAAAEAIAAAACIBAABkcnMv&#10;ZTJvRG9jLnhtbFBLBQYAAAAABgAGAFkBAABfBQAAAAA=&#10;">
              <v:fill on="f" focussize="0,0"/>
              <v:stroke on="f" weight="1.25pt"/>
              <v:imagedata o:title=""/>
              <o:lock v:ext="edit" aspectratio="f"/>
              <v:textbox inset="0mm,0mm,0mm,0mm" style="mso-fit-shape-to-text:t;">
                <w:txbxContent>
                  <w:p w14:paraId="35BC3D9C">
                    <w:pPr>
                      <w:pStyle w:val="17"/>
                    </w:pPr>
                    <w:r>
                      <w:fldChar w:fldCharType="begin"/>
                    </w:r>
                    <w:r>
                      <w:instrText xml:space="preserve"> PAGE  \* MERGEFORMAT </w:instrText>
                    </w:r>
                    <w:r>
                      <w:fldChar w:fldCharType="separate"/>
                    </w:r>
                    <w:r>
                      <w:t>- 35 -</w:t>
                    </w:r>
                    <w:r>
                      <w:fldChar w:fldCharType="end"/>
                    </w:r>
                  </w:p>
                </w:txbxContent>
              </v:textbox>
            </v:shape>
          </w:pict>
        </mc:Fallback>
      </mc:AlternateContent>
    </w:r>
  </w:p>
  <w:p w14:paraId="78CBAFD6">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F69C">
    <w:pPr>
      <w:pStyle w:val="17"/>
      <w:framePr w:wrap="around" w:vAnchor="text" w:hAnchor="margin" w:xAlign="center" w:y="1"/>
      <w:rPr>
        <w:rStyle w:val="28"/>
      </w:rPr>
    </w:pPr>
    <w:r>
      <w:fldChar w:fldCharType="begin"/>
    </w:r>
    <w:r>
      <w:rPr>
        <w:rStyle w:val="28"/>
      </w:rPr>
      <w:instrText xml:space="preserve">PAGE  </w:instrText>
    </w:r>
    <w:r>
      <w:fldChar w:fldCharType="end"/>
    </w:r>
  </w:p>
  <w:p w14:paraId="528AC4A3">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E2492">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88E5E">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112D5">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5E1AD">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CC8EA">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1A6C5">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FCAD2">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86"/>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72"/>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4EF2"/>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6EE"/>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67BC6"/>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519"/>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AA0"/>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C2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4BB"/>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4DE"/>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5F25"/>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3C6"/>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0BE"/>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475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25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75D"/>
    <w:rsid w:val="003C0CC7"/>
    <w:rsid w:val="003C0D11"/>
    <w:rsid w:val="003C18E7"/>
    <w:rsid w:val="003C19BA"/>
    <w:rsid w:val="003C1F5F"/>
    <w:rsid w:val="003C1FC8"/>
    <w:rsid w:val="003C20EA"/>
    <w:rsid w:val="003C2301"/>
    <w:rsid w:val="003C2584"/>
    <w:rsid w:val="003C26AF"/>
    <w:rsid w:val="003C2CC4"/>
    <w:rsid w:val="003C306B"/>
    <w:rsid w:val="003C327C"/>
    <w:rsid w:val="003C3A26"/>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5704"/>
    <w:rsid w:val="003F5EB2"/>
    <w:rsid w:val="003F6B08"/>
    <w:rsid w:val="003F6B93"/>
    <w:rsid w:val="003F6E06"/>
    <w:rsid w:val="003F74CD"/>
    <w:rsid w:val="003F7840"/>
    <w:rsid w:val="003F7E7B"/>
    <w:rsid w:val="003F7ED0"/>
    <w:rsid w:val="003F7FB3"/>
    <w:rsid w:val="004000AE"/>
    <w:rsid w:val="00400D24"/>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3B7C"/>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396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173"/>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04"/>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6EC0"/>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6B1"/>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194"/>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452"/>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2808"/>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B7D"/>
    <w:rsid w:val="00680D02"/>
    <w:rsid w:val="00680DE3"/>
    <w:rsid w:val="00680E6D"/>
    <w:rsid w:val="00680ED9"/>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46"/>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3A8C"/>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6F4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5E2"/>
    <w:rsid w:val="00732DD1"/>
    <w:rsid w:val="00733434"/>
    <w:rsid w:val="00733A6D"/>
    <w:rsid w:val="00733B3B"/>
    <w:rsid w:val="00734657"/>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6DE"/>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7F7F60"/>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4FA"/>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79A"/>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13A"/>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3DF7"/>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4CD"/>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3A54"/>
    <w:rsid w:val="009E4000"/>
    <w:rsid w:val="009E483F"/>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5EA9"/>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D37"/>
    <w:rsid w:val="00A25E95"/>
    <w:rsid w:val="00A2625D"/>
    <w:rsid w:val="00A26BE1"/>
    <w:rsid w:val="00A26DDD"/>
    <w:rsid w:val="00A26FC7"/>
    <w:rsid w:val="00A27106"/>
    <w:rsid w:val="00A3077D"/>
    <w:rsid w:val="00A30EC5"/>
    <w:rsid w:val="00A31599"/>
    <w:rsid w:val="00A31680"/>
    <w:rsid w:val="00A31D68"/>
    <w:rsid w:val="00A329FC"/>
    <w:rsid w:val="00A32C1F"/>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36"/>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AB"/>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1DE"/>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8CF"/>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76E"/>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6720"/>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621C"/>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1B8"/>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5"/>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6A40"/>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BA3"/>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51"/>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114"/>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4992"/>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4A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0C2"/>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5E0"/>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B6"/>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C5B"/>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AF1"/>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935"/>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A01"/>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2C387E"/>
    <w:rsid w:val="01444D68"/>
    <w:rsid w:val="016521D3"/>
    <w:rsid w:val="01C936D4"/>
    <w:rsid w:val="021047DD"/>
    <w:rsid w:val="02302B58"/>
    <w:rsid w:val="0250441F"/>
    <w:rsid w:val="025C201D"/>
    <w:rsid w:val="02694276"/>
    <w:rsid w:val="02CD1F13"/>
    <w:rsid w:val="02F079B0"/>
    <w:rsid w:val="02F4124E"/>
    <w:rsid w:val="02F831F6"/>
    <w:rsid w:val="03056415"/>
    <w:rsid w:val="030E5384"/>
    <w:rsid w:val="03863E70"/>
    <w:rsid w:val="03C230FA"/>
    <w:rsid w:val="03D930DC"/>
    <w:rsid w:val="04271E23"/>
    <w:rsid w:val="04564960"/>
    <w:rsid w:val="048F7CF9"/>
    <w:rsid w:val="04C66C1A"/>
    <w:rsid w:val="04D255BF"/>
    <w:rsid w:val="04D96041"/>
    <w:rsid w:val="04DA67E3"/>
    <w:rsid w:val="04EC0E37"/>
    <w:rsid w:val="051F5D1E"/>
    <w:rsid w:val="05237BC9"/>
    <w:rsid w:val="053F2F4E"/>
    <w:rsid w:val="05504736"/>
    <w:rsid w:val="05B607CF"/>
    <w:rsid w:val="05DB66F5"/>
    <w:rsid w:val="062A31D9"/>
    <w:rsid w:val="062A4F87"/>
    <w:rsid w:val="06505C9D"/>
    <w:rsid w:val="06723038"/>
    <w:rsid w:val="06E93094"/>
    <w:rsid w:val="072B7BD7"/>
    <w:rsid w:val="0733249E"/>
    <w:rsid w:val="075524D7"/>
    <w:rsid w:val="07A03568"/>
    <w:rsid w:val="07BC60B3"/>
    <w:rsid w:val="07CE4A46"/>
    <w:rsid w:val="07DD49A7"/>
    <w:rsid w:val="07FE2B6F"/>
    <w:rsid w:val="08395955"/>
    <w:rsid w:val="086B2EB8"/>
    <w:rsid w:val="087F43B6"/>
    <w:rsid w:val="08844E22"/>
    <w:rsid w:val="09212671"/>
    <w:rsid w:val="092579F1"/>
    <w:rsid w:val="09336C26"/>
    <w:rsid w:val="09C676BC"/>
    <w:rsid w:val="09D43B87"/>
    <w:rsid w:val="09EB6E0F"/>
    <w:rsid w:val="09EF09C1"/>
    <w:rsid w:val="0A1B17B6"/>
    <w:rsid w:val="0A6C2012"/>
    <w:rsid w:val="0AB8072D"/>
    <w:rsid w:val="0B0A4D29"/>
    <w:rsid w:val="0B725406"/>
    <w:rsid w:val="0B762CC5"/>
    <w:rsid w:val="0B7E2125"/>
    <w:rsid w:val="0BA7412C"/>
    <w:rsid w:val="0BB6273C"/>
    <w:rsid w:val="0BC63207"/>
    <w:rsid w:val="0BDE3195"/>
    <w:rsid w:val="0C013E53"/>
    <w:rsid w:val="0C0372E5"/>
    <w:rsid w:val="0C0849EC"/>
    <w:rsid w:val="0C4452AF"/>
    <w:rsid w:val="0C4C20FB"/>
    <w:rsid w:val="0C545E99"/>
    <w:rsid w:val="0C722E6A"/>
    <w:rsid w:val="0C8B18B5"/>
    <w:rsid w:val="0C9646E6"/>
    <w:rsid w:val="0D162709"/>
    <w:rsid w:val="0D1B1ACD"/>
    <w:rsid w:val="0D492A74"/>
    <w:rsid w:val="0D5D5C42"/>
    <w:rsid w:val="0DC363ED"/>
    <w:rsid w:val="0DD3123D"/>
    <w:rsid w:val="0DD3583C"/>
    <w:rsid w:val="0DDA3736"/>
    <w:rsid w:val="0E1E7AC7"/>
    <w:rsid w:val="0E250E55"/>
    <w:rsid w:val="0E4D3F08"/>
    <w:rsid w:val="0E501D2F"/>
    <w:rsid w:val="0E6F29EF"/>
    <w:rsid w:val="0E7476E7"/>
    <w:rsid w:val="0EAF0F09"/>
    <w:rsid w:val="0EE84006"/>
    <w:rsid w:val="0F594F25"/>
    <w:rsid w:val="0FA579EC"/>
    <w:rsid w:val="0FC93A62"/>
    <w:rsid w:val="0FDC19E8"/>
    <w:rsid w:val="101F1ADF"/>
    <w:rsid w:val="10401F77"/>
    <w:rsid w:val="105800E6"/>
    <w:rsid w:val="110E7DC2"/>
    <w:rsid w:val="11146F5F"/>
    <w:rsid w:val="11230F50"/>
    <w:rsid w:val="11292A0B"/>
    <w:rsid w:val="11A00E6A"/>
    <w:rsid w:val="11BF25DA"/>
    <w:rsid w:val="11CC783A"/>
    <w:rsid w:val="121C60CC"/>
    <w:rsid w:val="122E0441"/>
    <w:rsid w:val="12607F5F"/>
    <w:rsid w:val="127801BF"/>
    <w:rsid w:val="128A572B"/>
    <w:rsid w:val="12E74675"/>
    <w:rsid w:val="12EA33B0"/>
    <w:rsid w:val="12FE5A4C"/>
    <w:rsid w:val="1318290F"/>
    <w:rsid w:val="13280AA0"/>
    <w:rsid w:val="13387C8F"/>
    <w:rsid w:val="13427DB4"/>
    <w:rsid w:val="13471AC2"/>
    <w:rsid w:val="134753CA"/>
    <w:rsid w:val="13626075"/>
    <w:rsid w:val="13857271"/>
    <w:rsid w:val="13C133CE"/>
    <w:rsid w:val="13E618E5"/>
    <w:rsid w:val="141F3619"/>
    <w:rsid w:val="14271084"/>
    <w:rsid w:val="143811B7"/>
    <w:rsid w:val="144C7774"/>
    <w:rsid w:val="148B18BC"/>
    <w:rsid w:val="14C64A14"/>
    <w:rsid w:val="152A4FA3"/>
    <w:rsid w:val="154E24EE"/>
    <w:rsid w:val="1593014F"/>
    <w:rsid w:val="15BF56EC"/>
    <w:rsid w:val="15C43586"/>
    <w:rsid w:val="15FD4CF1"/>
    <w:rsid w:val="15FF3D3A"/>
    <w:rsid w:val="161A0B74"/>
    <w:rsid w:val="163868AA"/>
    <w:rsid w:val="16BA5EB3"/>
    <w:rsid w:val="16C92788"/>
    <w:rsid w:val="16E318AE"/>
    <w:rsid w:val="16F455B8"/>
    <w:rsid w:val="17620A24"/>
    <w:rsid w:val="176A78D9"/>
    <w:rsid w:val="176C00A9"/>
    <w:rsid w:val="17836BED"/>
    <w:rsid w:val="17A50911"/>
    <w:rsid w:val="17C35302"/>
    <w:rsid w:val="17D4049A"/>
    <w:rsid w:val="17DE2FB7"/>
    <w:rsid w:val="17EB6C6C"/>
    <w:rsid w:val="18687698"/>
    <w:rsid w:val="187C3D68"/>
    <w:rsid w:val="188173BB"/>
    <w:rsid w:val="18F460C2"/>
    <w:rsid w:val="18FE477D"/>
    <w:rsid w:val="191E1227"/>
    <w:rsid w:val="19440AE2"/>
    <w:rsid w:val="194524AE"/>
    <w:rsid w:val="19AF3CC9"/>
    <w:rsid w:val="19BB20AC"/>
    <w:rsid w:val="19BB441C"/>
    <w:rsid w:val="1A0C4C78"/>
    <w:rsid w:val="1A1A4BE8"/>
    <w:rsid w:val="1A604FC3"/>
    <w:rsid w:val="1A620D3B"/>
    <w:rsid w:val="1A766595"/>
    <w:rsid w:val="1AD27C6F"/>
    <w:rsid w:val="1AE63A6C"/>
    <w:rsid w:val="1BB43819"/>
    <w:rsid w:val="1BCC5632"/>
    <w:rsid w:val="1BD712B5"/>
    <w:rsid w:val="1C542906"/>
    <w:rsid w:val="1C787101"/>
    <w:rsid w:val="1C7C5AEC"/>
    <w:rsid w:val="1C821221"/>
    <w:rsid w:val="1CB02232"/>
    <w:rsid w:val="1D506B65"/>
    <w:rsid w:val="1DB16262"/>
    <w:rsid w:val="1E330118"/>
    <w:rsid w:val="1EAA7B96"/>
    <w:rsid w:val="1EEB4FBD"/>
    <w:rsid w:val="1F0265C3"/>
    <w:rsid w:val="1F036342"/>
    <w:rsid w:val="1F664E2A"/>
    <w:rsid w:val="1FB17124"/>
    <w:rsid w:val="1FBE07C2"/>
    <w:rsid w:val="1FD56960"/>
    <w:rsid w:val="1FDE70B6"/>
    <w:rsid w:val="1FEA4231"/>
    <w:rsid w:val="200E6725"/>
    <w:rsid w:val="20142AD8"/>
    <w:rsid w:val="20392703"/>
    <w:rsid w:val="203B433A"/>
    <w:rsid w:val="20621F0A"/>
    <w:rsid w:val="20BB31CA"/>
    <w:rsid w:val="212D20A3"/>
    <w:rsid w:val="214E3B8E"/>
    <w:rsid w:val="21790498"/>
    <w:rsid w:val="21936CA6"/>
    <w:rsid w:val="21BF4BEF"/>
    <w:rsid w:val="21DD7016"/>
    <w:rsid w:val="21E604A4"/>
    <w:rsid w:val="21F6651A"/>
    <w:rsid w:val="220B1BC2"/>
    <w:rsid w:val="22342FBD"/>
    <w:rsid w:val="227640E7"/>
    <w:rsid w:val="22BD058C"/>
    <w:rsid w:val="22DF2115"/>
    <w:rsid w:val="22EF5136"/>
    <w:rsid w:val="22FD42C4"/>
    <w:rsid w:val="23040BE2"/>
    <w:rsid w:val="23137077"/>
    <w:rsid w:val="23452CC8"/>
    <w:rsid w:val="23486D36"/>
    <w:rsid w:val="235C0A1E"/>
    <w:rsid w:val="23607DE2"/>
    <w:rsid w:val="23921869"/>
    <w:rsid w:val="23B87254"/>
    <w:rsid w:val="24084702"/>
    <w:rsid w:val="24B146FC"/>
    <w:rsid w:val="24C06D8A"/>
    <w:rsid w:val="24E567F1"/>
    <w:rsid w:val="24F12B89"/>
    <w:rsid w:val="24F425B5"/>
    <w:rsid w:val="251F752E"/>
    <w:rsid w:val="2547125A"/>
    <w:rsid w:val="25557376"/>
    <w:rsid w:val="255B2F57"/>
    <w:rsid w:val="255E0351"/>
    <w:rsid w:val="256D11F2"/>
    <w:rsid w:val="257007B0"/>
    <w:rsid w:val="257A162F"/>
    <w:rsid w:val="25826C83"/>
    <w:rsid w:val="25DD2180"/>
    <w:rsid w:val="260929B3"/>
    <w:rsid w:val="263B32FF"/>
    <w:rsid w:val="263E265D"/>
    <w:rsid w:val="266A3CEA"/>
    <w:rsid w:val="26924756"/>
    <w:rsid w:val="26A30712"/>
    <w:rsid w:val="26C5799C"/>
    <w:rsid w:val="272517AC"/>
    <w:rsid w:val="274556D9"/>
    <w:rsid w:val="27AA5AD0"/>
    <w:rsid w:val="27B0416A"/>
    <w:rsid w:val="28651E8F"/>
    <w:rsid w:val="28AC5FA3"/>
    <w:rsid w:val="28CA0E3C"/>
    <w:rsid w:val="28CA642A"/>
    <w:rsid w:val="293E2974"/>
    <w:rsid w:val="29600466"/>
    <w:rsid w:val="297645D7"/>
    <w:rsid w:val="29787C34"/>
    <w:rsid w:val="29A44ECD"/>
    <w:rsid w:val="29B665AC"/>
    <w:rsid w:val="29BB0FAF"/>
    <w:rsid w:val="29DB01C2"/>
    <w:rsid w:val="2A1470AB"/>
    <w:rsid w:val="2A703001"/>
    <w:rsid w:val="2A790107"/>
    <w:rsid w:val="2A905451"/>
    <w:rsid w:val="2AD73080"/>
    <w:rsid w:val="2AF8509F"/>
    <w:rsid w:val="2B110340"/>
    <w:rsid w:val="2B517DEF"/>
    <w:rsid w:val="2B54022C"/>
    <w:rsid w:val="2BA56CDA"/>
    <w:rsid w:val="2BAE37AF"/>
    <w:rsid w:val="2C144DE1"/>
    <w:rsid w:val="2CBC29C6"/>
    <w:rsid w:val="2CC913E4"/>
    <w:rsid w:val="2CF73565"/>
    <w:rsid w:val="2CFA6929"/>
    <w:rsid w:val="2D035522"/>
    <w:rsid w:val="2D5B685D"/>
    <w:rsid w:val="2DD04A0F"/>
    <w:rsid w:val="2E0C4DEE"/>
    <w:rsid w:val="2E496043"/>
    <w:rsid w:val="2E4C34F7"/>
    <w:rsid w:val="2E8B665B"/>
    <w:rsid w:val="2EB4175F"/>
    <w:rsid w:val="2ED718A0"/>
    <w:rsid w:val="2EDE3201"/>
    <w:rsid w:val="2EED4C20"/>
    <w:rsid w:val="2F7A4C84"/>
    <w:rsid w:val="2F8C268B"/>
    <w:rsid w:val="2FB35292"/>
    <w:rsid w:val="2FCC2ADD"/>
    <w:rsid w:val="2FE23E63"/>
    <w:rsid w:val="2FFA3A98"/>
    <w:rsid w:val="301601A6"/>
    <w:rsid w:val="30760C45"/>
    <w:rsid w:val="308F0036"/>
    <w:rsid w:val="30BA4FD6"/>
    <w:rsid w:val="30D75B88"/>
    <w:rsid w:val="30DD2A72"/>
    <w:rsid w:val="30FF4524"/>
    <w:rsid w:val="310A72C9"/>
    <w:rsid w:val="310F3573"/>
    <w:rsid w:val="313B5C41"/>
    <w:rsid w:val="316513E5"/>
    <w:rsid w:val="31EC5663"/>
    <w:rsid w:val="320A67AD"/>
    <w:rsid w:val="32851872"/>
    <w:rsid w:val="328F681A"/>
    <w:rsid w:val="32A777DC"/>
    <w:rsid w:val="32C57C62"/>
    <w:rsid w:val="32E54217"/>
    <w:rsid w:val="32F553A9"/>
    <w:rsid w:val="32FE389F"/>
    <w:rsid w:val="33044755"/>
    <w:rsid w:val="33054010"/>
    <w:rsid w:val="333E257D"/>
    <w:rsid w:val="334E7C57"/>
    <w:rsid w:val="338C085C"/>
    <w:rsid w:val="33B51A84"/>
    <w:rsid w:val="33F3569D"/>
    <w:rsid w:val="3404068C"/>
    <w:rsid w:val="343045AA"/>
    <w:rsid w:val="348103C5"/>
    <w:rsid w:val="34811922"/>
    <w:rsid w:val="34934D35"/>
    <w:rsid w:val="34D815A9"/>
    <w:rsid w:val="352E5399"/>
    <w:rsid w:val="35636441"/>
    <w:rsid w:val="356E638F"/>
    <w:rsid w:val="35957994"/>
    <w:rsid w:val="36062A6B"/>
    <w:rsid w:val="36401AD9"/>
    <w:rsid w:val="36533A30"/>
    <w:rsid w:val="3667175C"/>
    <w:rsid w:val="36721EAF"/>
    <w:rsid w:val="368340BC"/>
    <w:rsid w:val="36A93B22"/>
    <w:rsid w:val="36B44A6A"/>
    <w:rsid w:val="36C26992"/>
    <w:rsid w:val="37166D54"/>
    <w:rsid w:val="37342019"/>
    <w:rsid w:val="375262CF"/>
    <w:rsid w:val="376B0DD8"/>
    <w:rsid w:val="3793032E"/>
    <w:rsid w:val="37983B97"/>
    <w:rsid w:val="37DF0336"/>
    <w:rsid w:val="37EB3CC7"/>
    <w:rsid w:val="38262F51"/>
    <w:rsid w:val="38286CC9"/>
    <w:rsid w:val="38957B7A"/>
    <w:rsid w:val="38AA3B82"/>
    <w:rsid w:val="38B05970"/>
    <w:rsid w:val="38C056C3"/>
    <w:rsid w:val="38D90F52"/>
    <w:rsid w:val="38E86458"/>
    <w:rsid w:val="38ED6BAA"/>
    <w:rsid w:val="394B3914"/>
    <w:rsid w:val="394C1291"/>
    <w:rsid w:val="39616936"/>
    <w:rsid w:val="397D0376"/>
    <w:rsid w:val="39A6412A"/>
    <w:rsid w:val="39DC420F"/>
    <w:rsid w:val="3A202852"/>
    <w:rsid w:val="3A3F02FA"/>
    <w:rsid w:val="3A683CF4"/>
    <w:rsid w:val="3AEE274E"/>
    <w:rsid w:val="3B4712F0"/>
    <w:rsid w:val="3B520EC2"/>
    <w:rsid w:val="3B5D137F"/>
    <w:rsid w:val="3B807F2A"/>
    <w:rsid w:val="3B826A16"/>
    <w:rsid w:val="3B936B4F"/>
    <w:rsid w:val="3BCB3171"/>
    <w:rsid w:val="3BD74C8E"/>
    <w:rsid w:val="3BE61375"/>
    <w:rsid w:val="3BF33A92"/>
    <w:rsid w:val="3C065573"/>
    <w:rsid w:val="3C073099"/>
    <w:rsid w:val="3C1F6635"/>
    <w:rsid w:val="3C4165AB"/>
    <w:rsid w:val="3C5207B8"/>
    <w:rsid w:val="3C7E15AD"/>
    <w:rsid w:val="3CBE19AA"/>
    <w:rsid w:val="3D184757"/>
    <w:rsid w:val="3D232155"/>
    <w:rsid w:val="3D670293"/>
    <w:rsid w:val="3D772BB6"/>
    <w:rsid w:val="3DB96542"/>
    <w:rsid w:val="3ED454B4"/>
    <w:rsid w:val="3EEC0340"/>
    <w:rsid w:val="3EEC30E5"/>
    <w:rsid w:val="3F051B12"/>
    <w:rsid w:val="3F231B73"/>
    <w:rsid w:val="3F375CE0"/>
    <w:rsid w:val="3F406FEE"/>
    <w:rsid w:val="3F4A39C9"/>
    <w:rsid w:val="3F8811D3"/>
    <w:rsid w:val="3FA72BC9"/>
    <w:rsid w:val="3FAA4467"/>
    <w:rsid w:val="3FF36BC9"/>
    <w:rsid w:val="3FF42B09"/>
    <w:rsid w:val="40387CC5"/>
    <w:rsid w:val="406960D0"/>
    <w:rsid w:val="40753892"/>
    <w:rsid w:val="408B6047"/>
    <w:rsid w:val="41431A3E"/>
    <w:rsid w:val="415E375B"/>
    <w:rsid w:val="41766E1D"/>
    <w:rsid w:val="41774B95"/>
    <w:rsid w:val="41923943"/>
    <w:rsid w:val="41A43E58"/>
    <w:rsid w:val="41A945C9"/>
    <w:rsid w:val="41B42324"/>
    <w:rsid w:val="42312C1E"/>
    <w:rsid w:val="42A338A7"/>
    <w:rsid w:val="42AD6748"/>
    <w:rsid w:val="43106CD7"/>
    <w:rsid w:val="433A3D54"/>
    <w:rsid w:val="439416B6"/>
    <w:rsid w:val="43960849"/>
    <w:rsid w:val="43AD262C"/>
    <w:rsid w:val="43E30E9C"/>
    <w:rsid w:val="43E91A02"/>
    <w:rsid w:val="44867251"/>
    <w:rsid w:val="448D19A9"/>
    <w:rsid w:val="44A26055"/>
    <w:rsid w:val="44DB4B1F"/>
    <w:rsid w:val="44E77751"/>
    <w:rsid w:val="452E136A"/>
    <w:rsid w:val="452E1696"/>
    <w:rsid w:val="45357759"/>
    <w:rsid w:val="453E5D7D"/>
    <w:rsid w:val="457E31A4"/>
    <w:rsid w:val="45813EBC"/>
    <w:rsid w:val="459909CE"/>
    <w:rsid w:val="45BA29E5"/>
    <w:rsid w:val="45EE5606"/>
    <w:rsid w:val="461E795D"/>
    <w:rsid w:val="46325936"/>
    <w:rsid w:val="46492C2C"/>
    <w:rsid w:val="46605A53"/>
    <w:rsid w:val="46845A12"/>
    <w:rsid w:val="46BC33FE"/>
    <w:rsid w:val="46BF4C9C"/>
    <w:rsid w:val="46C16C66"/>
    <w:rsid w:val="46C47C5A"/>
    <w:rsid w:val="472E6612"/>
    <w:rsid w:val="474D674C"/>
    <w:rsid w:val="47761748"/>
    <w:rsid w:val="477B33F6"/>
    <w:rsid w:val="4792415F"/>
    <w:rsid w:val="48050DD4"/>
    <w:rsid w:val="481B4154"/>
    <w:rsid w:val="4829252D"/>
    <w:rsid w:val="482C6361"/>
    <w:rsid w:val="48AF22C8"/>
    <w:rsid w:val="48B53457"/>
    <w:rsid w:val="48BA1BBF"/>
    <w:rsid w:val="48C4659A"/>
    <w:rsid w:val="48D163DC"/>
    <w:rsid w:val="49220CE4"/>
    <w:rsid w:val="49710F64"/>
    <w:rsid w:val="497847C6"/>
    <w:rsid w:val="498521CD"/>
    <w:rsid w:val="49906437"/>
    <w:rsid w:val="499F1A0D"/>
    <w:rsid w:val="49A3595D"/>
    <w:rsid w:val="49B36701"/>
    <w:rsid w:val="49B56DD7"/>
    <w:rsid w:val="4A176B9D"/>
    <w:rsid w:val="4A890996"/>
    <w:rsid w:val="4AAA6A80"/>
    <w:rsid w:val="4AD30D16"/>
    <w:rsid w:val="4AE922E8"/>
    <w:rsid w:val="4B044DE2"/>
    <w:rsid w:val="4B4C61C0"/>
    <w:rsid w:val="4B4E2A92"/>
    <w:rsid w:val="4B607F0F"/>
    <w:rsid w:val="4B7E0D23"/>
    <w:rsid w:val="4BB075EA"/>
    <w:rsid w:val="4BD016F9"/>
    <w:rsid w:val="4BDD5A2A"/>
    <w:rsid w:val="4BDF36EB"/>
    <w:rsid w:val="4C03387D"/>
    <w:rsid w:val="4C0C2706"/>
    <w:rsid w:val="4C4B2423"/>
    <w:rsid w:val="4C6F1289"/>
    <w:rsid w:val="4CCE5C39"/>
    <w:rsid w:val="4CD06E80"/>
    <w:rsid w:val="4CE92A73"/>
    <w:rsid w:val="4D3A1520"/>
    <w:rsid w:val="4D447CA9"/>
    <w:rsid w:val="4D5C1497"/>
    <w:rsid w:val="4D6A08C1"/>
    <w:rsid w:val="4DC86B2C"/>
    <w:rsid w:val="4DD3102D"/>
    <w:rsid w:val="4DEA5FE1"/>
    <w:rsid w:val="4E0B07C7"/>
    <w:rsid w:val="4E0D4B26"/>
    <w:rsid w:val="4E2875CB"/>
    <w:rsid w:val="4E2A58C3"/>
    <w:rsid w:val="4E2B460E"/>
    <w:rsid w:val="4E685C19"/>
    <w:rsid w:val="4E9E1967"/>
    <w:rsid w:val="4EB23B13"/>
    <w:rsid w:val="4EC217CD"/>
    <w:rsid w:val="4ECA2430"/>
    <w:rsid w:val="4EFF59B6"/>
    <w:rsid w:val="4F1149DD"/>
    <w:rsid w:val="4F29184C"/>
    <w:rsid w:val="4F2E462B"/>
    <w:rsid w:val="4F691C49"/>
    <w:rsid w:val="4F710AFD"/>
    <w:rsid w:val="4F860B05"/>
    <w:rsid w:val="4F9D333D"/>
    <w:rsid w:val="4FC02C53"/>
    <w:rsid w:val="4FC60E49"/>
    <w:rsid w:val="5015592D"/>
    <w:rsid w:val="501F67AB"/>
    <w:rsid w:val="50357D7D"/>
    <w:rsid w:val="50AD025B"/>
    <w:rsid w:val="50BB4726"/>
    <w:rsid w:val="50CE5E0A"/>
    <w:rsid w:val="50DA3146"/>
    <w:rsid w:val="50FE23F8"/>
    <w:rsid w:val="51043834"/>
    <w:rsid w:val="5121097E"/>
    <w:rsid w:val="512B1721"/>
    <w:rsid w:val="515802E8"/>
    <w:rsid w:val="51631648"/>
    <w:rsid w:val="517A634E"/>
    <w:rsid w:val="51C8534D"/>
    <w:rsid w:val="51D3292F"/>
    <w:rsid w:val="52085CC0"/>
    <w:rsid w:val="52124F1F"/>
    <w:rsid w:val="525C76C9"/>
    <w:rsid w:val="52741030"/>
    <w:rsid w:val="52BF43D9"/>
    <w:rsid w:val="52D946DE"/>
    <w:rsid w:val="52E06644"/>
    <w:rsid w:val="52F715B9"/>
    <w:rsid w:val="52FB4C31"/>
    <w:rsid w:val="530028C4"/>
    <w:rsid w:val="53023555"/>
    <w:rsid w:val="53195734"/>
    <w:rsid w:val="531F5A09"/>
    <w:rsid w:val="5335162E"/>
    <w:rsid w:val="53472AD9"/>
    <w:rsid w:val="53792D5F"/>
    <w:rsid w:val="537975F9"/>
    <w:rsid w:val="53FD32A8"/>
    <w:rsid w:val="54061DE5"/>
    <w:rsid w:val="54216F96"/>
    <w:rsid w:val="542D2C83"/>
    <w:rsid w:val="546D2E6B"/>
    <w:rsid w:val="54DE5EBD"/>
    <w:rsid w:val="54E310D2"/>
    <w:rsid w:val="54E337C4"/>
    <w:rsid w:val="54EE3D97"/>
    <w:rsid w:val="54F11878"/>
    <w:rsid w:val="55061CE8"/>
    <w:rsid w:val="55102E38"/>
    <w:rsid w:val="55480552"/>
    <w:rsid w:val="5551615B"/>
    <w:rsid w:val="55593010"/>
    <w:rsid w:val="55603431"/>
    <w:rsid w:val="55B46F97"/>
    <w:rsid w:val="55DB0099"/>
    <w:rsid w:val="564D4072"/>
    <w:rsid w:val="565847C5"/>
    <w:rsid w:val="5665387A"/>
    <w:rsid w:val="566F3D02"/>
    <w:rsid w:val="56786C15"/>
    <w:rsid w:val="56B714EC"/>
    <w:rsid w:val="573B036F"/>
    <w:rsid w:val="57476D14"/>
    <w:rsid w:val="57502121"/>
    <w:rsid w:val="57536CC6"/>
    <w:rsid w:val="57654CDB"/>
    <w:rsid w:val="57833AC4"/>
    <w:rsid w:val="5789732C"/>
    <w:rsid w:val="57A26B81"/>
    <w:rsid w:val="57B91294"/>
    <w:rsid w:val="57EC3A91"/>
    <w:rsid w:val="580F5357"/>
    <w:rsid w:val="583848AE"/>
    <w:rsid w:val="584451D7"/>
    <w:rsid w:val="587A09A5"/>
    <w:rsid w:val="587D6E68"/>
    <w:rsid w:val="58896EB8"/>
    <w:rsid w:val="58A1428B"/>
    <w:rsid w:val="58C04415"/>
    <w:rsid w:val="58C43C29"/>
    <w:rsid w:val="590824D3"/>
    <w:rsid w:val="590E4F6C"/>
    <w:rsid w:val="593815B6"/>
    <w:rsid w:val="593B6F6F"/>
    <w:rsid w:val="59837DAB"/>
    <w:rsid w:val="599C3A15"/>
    <w:rsid w:val="59AD6BD6"/>
    <w:rsid w:val="59CC39A6"/>
    <w:rsid w:val="59EA1BD8"/>
    <w:rsid w:val="59EE6755"/>
    <w:rsid w:val="59FB3DE5"/>
    <w:rsid w:val="59FC23B2"/>
    <w:rsid w:val="59FE1C9F"/>
    <w:rsid w:val="5A054C64"/>
    <w:rsid w:val="5A0F30B0"/>
    <w:rsid w:val="5A153C28"/>
    <w:rsid w:val="5A1F5D26"/>
    <w:rsid w:val="5A551748"/>
    <w:rsid w:val="5A84202D"/>
    <w:rsid w:val="5A8B13CB"/>
    <w:rsid w:val="5B013F5E"/>
    <w:rsid w:val="5B8B267A"/>
    <w:rsid w:val="5B920779"/>
    <w:rsid w:val="5B9B5880"/>
    <w:rsid w:val="5BCF70D5"/>
    <w:rsid w:val="5BDB4945"/>
    <w:rsid w:val="5BE663CF"/>
    <w:rsid w:val="5C05719D"/>
    <w:rsid w:val="5C430EF4"/>
    <w:rsid w:val="5C5617A7"/>
    <w:rsid w:val="5CDA1592"/>
    <w:rsid w:val="5CE15514"/>
    <w:rsid w:val="5D053352"/>
    <w:rsid w:val="5DDC7A8A"/>
    <w:rsid w:val="5DE00733"/>
    <w:rsid w:val="5DE731E4"/>
    <w:rsid w:val="5DEA03F9"/>
    <w:rsid w:val="5E2C10D5"/>
    <w:rsid w:val="5E40626B"/>
    <w:rsid w:val="5E482FBE"/>
    <w:rsid w:val="5E733A52"/>
    <w:rsid w:val="5E8B6D01"/>
    <w:rsid w:val="5EB17168"/>
    <w:rsid w:val="5ECE4B71"/>
    <w:rsid w:val="5F3B6F28"/>
    <w:rsid w:val="5F4366D9"/>
    <w:rsid w:val="5F58362A"/>
    <w:rsid w:val="5FAA6092"/>
    <w:rsid w:val="5FC26AA0"/>
    <w:rsid w:val="5FD82685"/>
    <w:rsid w:val="5FE550F4"/>
    <w:rsid w:val="5FF852DD"/>
    <w:rsid w:val="602A0293"/>
    <w:rsid w:val="60345DD1"/>
    <w:rsid w:val="60F577E0"/>
    <w:rsid w:val="610466BA"/>
    <w:rsid w:val="61443E46"/>
    <w:rsid w:val="61B65ADA"/>
    <w:rsid w:val="62197B54"/>
    <w:rsid w:val="625E643D"/>
    <w:rsid w:val="62B64D4D"/>
    <w:rsid w:val="62BD432E"/>
    <w:rsid w:val="62C950FF"/>
    <w:rsid w:val="62CD4A8E"/>
    <w:rsid w:val="62ED7E84"/>
    <w:rsid w:val="63046813"/>
    <w:rsid w:val="634467FD"/>
    <w:rsid w:val="63506F50"/>
    <w:rsid w:val="635E559B"/>
    <w:rsid w:val="63917771"/>
    <w:rsid w:val="639332E1"/>
    <w:rsid w:val="63972A16"/>
    <w:rsid w:val="639D0223"/>
    <w:rsid w:val="63B15515"/>
    <w:rsid w:val="63FF4024"/>
    <w:rsid w:val="643842D4"/>
    <w:rsid w:val="64630F05"/>
    <w:rsid w:val="647E2BF2"/>
    <w:rsid w:val="648D7D30"/>
    <w:rsid w:val="64920E2E"/>
    <w:rsid w:val="64A137DB"/>
    <w:rsid w:val="64DE67DD"/>
    <w:rsid w:val="64DF3C9A"/>
    <w:rsid w:val="650D5257"/>
    <w:rsid w:val="651346D9"/>
    <w:rsid w:val="65310E21"/>
    <w:rsid w:val="65314B5F"/>
    <w:rsid w:val="655B3561"/>
    <w:rsid w:val="655B398A"/>
    <w:rsid w:val="658B6DC7"/>
    <w:rsid w:val="659D1DBC"/>
    <w:rsid w:val="65AA7E46"/>
    <w:rsid w:val="65B337C6"/>
    <w:rsid w:val="65BF482E"/>
    <w:rsid w:val="65CA511A"/>
    <w:rsid w:val="65D8147F"/>
    <w:rsid w:val="660109D5"/>
    <w:rsid w:val="66187382"/>
    <w:rsid w:val="661A3903"/>
    <w:rsid w:val="663D12E2"/>
    <w:rsid w:val="66456B14"/>
    <w:rsid w:val="66863D8F"/>
    <w:rsid w:val="66BA201C"/>
    <w:rsid w:val="66F978FF"/>
    <w:rsid w:val="67135A65"/>
    <w:rsid w:val="671D04B7"/>
    <w:rsid w:val="677F5616"/>
    <w:rsid w:val="67BF12CC"/>
    <w:rsid w:val="67DE610B"/>
    <w:rsid w:val="681C38A5"/>
    <w:rsid w:val="684A4382"/>
    <w:rsid w:val="68694610"/>
    <w:rsid w:val="68A539F5"/>
    <w:rsid w:val="68D32820"/>
    <w:rsid w:val="69E93980"/>
    <w:rsid w:val="69F66377"/>
    <w:rsid w:val="69FA25A1"/>
    <w:rsid w:val="6A0B1E23"/>
    <w:rsid w:val="6A2F4BA4"/>
    <w:rsid w:val="6A334ED5"/>
    <w:rsid w:val="6A681023"/>
    <w:rsid w:val="6A6A16C5"/>
    <w:rsid w:val="6AA22798"/>
    <w:rsid w:val="6B23319C"/>
    <w:rsid w:val="6B3B477B"/>
    <w:rsid w:val="6B635476"/>
    <w:rsid w:val="6B9145AA"/>
    <w:rsid w:val="6BAC3191"/>
    <w:rsid w:val="6BF863D7"/>
    <w:rsid w:val="6C276CBC"/>
    <w:rsid w:val="6C2C6080"/>
    <w:rsid w:val="6C3C0563"/>
    <w:rsid w:val="6C3C2767"/>
    <w:rsid w:val="6C6B3F54"/>
    <w:rsid w:val="6C702411"/>
    <w:rsid w:val="6C8930B0"/>
    <w:rsid w:val="6CA914B7"/>
    <w:rsid w:val="6CCA7D73"/>
    <w:rsid w:val="6CDF1345"/>
    <w:rsid w:val="6CFC1EF7"/>
    <w:rsid w:val="6D3A657B"/>
    <w:rsid w:val="6D635AD2"/>
    <w:rsid w:val="6D7165A7"/>
    <w:rsid w:val="6D8B377D"/>
    <w:rsid w:val="6D8C32E7"/>
    <w:rsid w:val="6D9B5FF9"/>
    <w:rsid w:val="6DCF4F15"/>
    <w:rsid w:val="6DCF7BD6"/>
    <w:rsid w:val="6DD864C0"/>
    <w:rsid w:val="6DF332FA"/>
    <w:rsid w:val="6E0C74E9"/>
    <w:rsid w:val="6E3765B6"/>
    <w:rsid w:val="6E472F85"/>
    <w:rsid w:val="6E590230"/>
    <w:rsid w:val="6E681094"/>
    <w:rsid w:val="6F274FBB"/>
    <w:rsid w:val="6F314216"/>
    <w:rsid w:val="6F5C6C7D"/>
    <w:rsid w:val="6F8D3411"/>
    <w:rsid w:val="6F975436"/>
    <w:rsid w:val="6FA26D85"/>
    <w:rsid w:val="6FB47548"/>
    <w:rsid w:val="6FCC5BB0"/>
    <w:rsid w:val="6FCC6779"/>
    <w:rsid w:val="70105C56"/>
    <w:rsid w:val="70187047"/>
    <w:rsid w:val="70657DB3"/>
    <w:rsid w:val="707B6DF7"/>
    <w:rsid w:val="70AC7790"/>
    <w:rsid w:val="70BE10E3"/>
    <w:rsid w:val="70CB40BA"/>
    <w:rsid w:val="71145A61"/>
    <w:rsid w:val="71342848"/>
    <w:rsid w:val="71C06E4D"/>
    <w:rsid w:val="71D64DAB"/>
    <w:rsid w:val="71E9647C"/>
    <w:rsid w:val="724A3704"/>
    <w:rsid w:val="72914E8F"/>
    <w:rsid w:val="72E7530E"/>
    <w:rsid w:val="731568D6"/>
    <w:rsid w:val="731C29AB"/>
    <w:rsid w:val="733F48EB"/>
    <w:rsid w:val="734B14E2"/>
    <w:rsid w:val="735569A8"/>
    <w:rsid w:val="737D1DC4"/>
    <w:rsid w:val="73C05A2C"/>
    <w:rsid w:val="74147B26"/>
    <w:rsid w:val="74AC5FB0"/>
    <w:rsid w:val="74DD616A"/>
    <w:rsid w:val="74F61F18"/>
    <w:rsid w:val="7521074C"/>
    <w:rsid w:val="754206C3"/>
    <w:rsid w:val="75C17839"/>
    <w:rsid w:val="75D532E5"/>
    <w:rsid w:val="76053BCA"/>
    <w:rsid w:val="760D238E"/>
    <w:rsid w:val="766C3C49"/>
    <w:rsid w:val="76796366"/>
    <w:rsid w:val="768E0063"/>
    <w:rsid w:val="76CF5F86"/>
    <w:rsid w:val="76D8308D"/>
    <w:rsid w:val="77423369"/>
    <w:rsid w:val="77447586"/>
    <w:rsid w:val="77470212"/>
    <w:rsid w:val="779D6084"/>
    <w:rsid w:val="77B70EF4"/>
    <w:rsid w:val="77C03A05"/>
    <w:rsid w:val="781B05C0"/>
    <w:rsid w:val="785034EF"/>
    <w:rsid w:val="788D7EA7"/>
    <w:rsid w:val="78A31461"/>
    <w:rsid w:val="78B421EB"/>
    <w:rsid w:val="78FA4480"/>
    <w:rsid w:val="79256331"/>
    <w:rsid w:val="794744F9"/>
    <w:rsid w:val="79766B8D"/>
    <w:rsid w:val="79D8213D"/>
    <w:rsid w:val="79DA0F42"/>
    <w:rsid w:val="79DD61E6"/>
    <w:rsid w:val="7A006904"/>
    <w:rsid w:val="7A09667E"/>
    <w:rsid w:val="7A3456BF"/>
    <w:rsid w:val="7A8A3819"/>
    <w:rsid w:val="7AAC0949"/>
    <w:rsid w:val="7ADA3086"/>
    <w:rsid w:val="7ADB2C08"/>
    <w:rsid w:val="7B043031"/>
    <w:rsid w:val="7B52292A"/>
    <w:rsid w:val="7B5455AE"/>
    <w:rsid w:val="7BC63555"/>
    <w:rsid w:val="7C624616"/>
    <w:rsid w:val="7CE56503"/>
    <w:rsid w:val="7D4274B2"/>
    <w:rsid w:val="7D9121E7"/>
    <w:rsid w:val="7DB62A4C"/>
    <w:rsid w:val="7DCB53EE"/>
    <w:rsid w:val="7DEB3451"/>
    <w:rsid w:val="7E085C95"/>
    <w:rsid w:val="7E665422"/>
    <w:rsid w:val="7E7A3A8F"/>
    <w:rsid w:val="7ECF746B"/>
    <w:rsid w:val="7F091139"/>
    <w:rsid w:val="7F372393"/>
    <w:rsid w:val="7F387F18"/>
    <w:rsid w:val="7F49049D"/>
    <w:rsid w:val="7F5B2AAD"/>
    <w:rsid w:val="7F8E60E8"/>
    <w:rsid w:val="7FB76EE4"/>
    <w:rsid w:val="7FD05CF4"/>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qFormat/>
    <w:uiPriority w:val="0"/>
    <w:pPr>
      <w:keepNext/>
      <w:numPr>
        <w:ilvl w:val="0"/>
        <w:numId w:val="1"/>
      </w:numPr>
      <w:outlineLvl w:val="0"/>
    </w:pPr>
    <w:rPr>
      <w:b/>
      <w:kern w:val="44"/>
      <w:sz w:val="44"/>
    </w:rPr>
  </w:style>
  <w:style w:type="paragraph" w:styleId="3">
    <w:name w:val="heading 2"/>
    <w:basedOn w:val="1"/>
    <w:next w:val="1"/>
    <w:link w:val="35"/>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36"/>
    <w:qFormat/>
    <w:uiPriority w:val="0"/>
    <w:pPr>
      <w:keepNext/>
      <w:keepLines/>
      <w:spacing w:before="260" w:after="260" w:line="416" w:lineRule="auto"/>
      <w:outlineLvl w:val="2"/>
    </w:pPr>
    <w:rPr>
      <w:b/>
      <w:kern w:val="0"/>
      <w:sz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locked/>
    <w:uiPriority w:val="0"/>
    <w:pPr>
      <w:spacing w:before="60"/>
      <w:ind w:firstLine="420" w:firstLineChars="200"/>
    </w:pPr>
    <w:rPr>
      <w:szCs w:val="24"/>
    </w:rPr>
  </w:style>
  <w:style w:type="paragraph" w:styleId="6">
    <w:name w:val="Document Map"/>
    <w:basedOn w:val="1"/>
    <w:link w:val="37"/>
    <w:semiHidden/>
    <w:qFormat/>
    <w:uiPriority w:val="0"/>
    <w:pPr>
      <w:shd w:val="clear" w:color="auto" w:fill="000080"/>
    </w:pPr>
    <w:rPr>
      <w:kern w:val="0"/>
      <w:sz w:val="2"/>
    </w:rPr>
  </w:style>
  <w:style w:type="paragraph" w:styleId="7">
    <w:name w:val="toa heading"/>
    <w:basedOn w:val="1"/>
    <w:next w:val="1"/>
    <w:qFormat/>
    <w:locked/>
    <w:uiPriority w:val="99"/>
    <w:pPr>
      <w:spacing w:before="120"/>
    </w:pPr>
    <w:rPr>
      <w:rFonts w:ascii="Cambria" w:hAnsi="Cambria"/>
      <w:sz w:val="24"/>
    </w:rPr>
  </w:style>
  <w:style w:type="paragraph" w:styleId="8">
    <w:name w:val="annotation text"/>
    <w:basedOn w:val="1"/>
    <w:link w:val="38"/>
    <w:semiHidden/>
    <w:qFormat/>
    <w:uiPriority w:val="0"/>
    <w:pPr>
      <w:jc w:val="left"/>
    </w:pPr>
    <w:rPr>
      <w:sz w:val="28"/>
    </w:rPr>
  </w:style>
  <w:style w:type="paragraph" w:styleId="9">
    <w:name w:val="Body Text"/>
    <w:basedOn w:val="1"/>
    <w:link w:val="39"/>
    <w:semiHidden/>
    <w:qFormat/>
    <w:uiPriority w:val="0"/>
    <w:pPr>
      <w:spacing w:before="100" w:beforeAutospacing="1" w:after="100" w:afterAutospacing="1" w:line="600" w:lineRule="auto"/>
    </w:pPr>
    <w:rPr>
      <w:kern w:val="0"/>
      <w:sz w:val="20"/>
    </w:rPr>
  </w:style>
  <w:style w:type="paragraph" w:styleId="10">
    <w:name w:val="Body Text Indent"/>
    <w:basedOn w:val="1"/>
    <w:next w:val="11"/>
    <w:link w:val="40"/>
    <w:qFormat/>
    <w:uiPriority w:val="0"/>
    <w:pPr>
      <w:spacing w:after="120"/>
      <w:ind w:left="420" w:leftChars="200"/>
    </w:pPr>
    <w:rPr>
      <w:kern w:val="0"/>
      <w:sz w:val="20"/>
    </w:rPr>
  </w:style>
  <w:style w:type="paragraph" w:styleId="11">
    <w:name w:val="Body Text First Indent 2"/>
    <w:basedOn w:val="10"/>
    <w:qFormat/>
    <w:locked/>
    <w:uiPriority w:val="0"/>
    <w:pPr>
      <w:tabs>
        <w:tab w:val="left" w:pos="720"/>
      </w:tabs>
      <w:ind w:firstLine="420"/>
    </w:pPr>
    <w:rPr>
      <w:sz w:val="21"/>
    </w:rPr>
  </w:style>
  <w:style w:type="paragraph" w:styleId="12">
    <w:name w:val="toc 3"/>
    <w:basedOn w:val="1"/>
    <w:next w:val="1"/>
    <w:qFormat/>
    <w:locked/>
    <w:uiPriority w:val="39"/>
    <w:pPr>
      <w:ind w:left="840" w:leftChars="400"/>
    </w:pPr>
  </w:style>
  <w:style w:type="paragraph" w:styleId="13">
    <w:name w:val="Plain Text"/>
    <w:basedOn w:val="1"/>
    <w:link w:val="41"/>
    <w:qFormat/>
    <w:uiPriority w:val="99"/>
    <w:rPr>
      <w:rFonts w:ascii="宋体" w:hAnsi="Courier New"/>
    </w:rPr>
  </w:style>
  <w:style w:type="paragraph" w:styleId="14">
    <w:name w:val="Date"/>
    <w:basedOn w:val="1"/>
    <w:next w:val="1"/>
    <w:link w:val="42"/>
    <w:qFormat/>
    <w:uiPriority w:val="0"/>
    <w:pPr>
      <w:adjustRightInd w:val="0"/>
      <w:spacing w:line="360" w:lineRule="atLeast"/>
      <w:ind w:firstLine="454"/>
      <w:textAlignment w:val="baseline"/>
    </w:pPr>
    <w:rPr>
      <w:kern w:val="0"/>
      <w:sz w:val="20"/>
    </w:rPr>
  </w:style>
  <w:style w:type="paragraph" w:styleId="15">
    <w:name w:val="Body Text Indent 2"/>
    <w:basedOn w:val="1"/>
    <w:link w:val="43"/>
    <w:qFormat/>
    <w:uiPriority w:val="0"/>
    <w:pPr>
      <w:ind w:firstLine="480"/>
    </w:pPr>
    <w:rPr>
      <w:kern w:val="0"/>
      <w:sz w:val="20"/>
    </w:rPr>
  </w:style>
  <w:style w:type="paragraph" w:styleId="16">
    <w:name w:val="Balloon Text"/>
    <w:basedOn w:val="1"/>
    <w:semiHidden/>
    <w:qFormat/>
    <w:locked/>
    <w:uiPriority w:val="0"/>
    <w:rPr>
      <w:sz w:val="18"/>
      <w:szCs w:val="18"/>
    </w:rPr>
  </w:style>
  <w:style w:type="paragraph" w:styleId="17">
    <w:name w:val="footer"/>
    <w:basedOn w:val="1"/>
    <w:link w:val="44"/>
    <w:qFormat/>
    <w:uiPriority w:val="99"/>
    <w:pPr>
      <w:tabs>
        <w:tab w:val="center" w:pos="4153"/>
        <w:tab w:val="right" w:pos="8306"/>
      </w:tabs>
      <w:snapToGrid w:val="0"/>
      <w:jc w:val="left"/>
    </w:pPr>
    <w:rPr>
      <w:kern w:val="0"/>
      <w:sz w:val="18"/>
    </w:rPr>
  </w:style>
  <w:style w:type="paragraph" w:styleId="18">
    <w:name w:val="header"/>
    <w:basedOn w:val="1"/>
    <w:link w:val="45"/>
    <w:qFormat/>
    <w:uiPriority w:val="0"/>
    <w:pPr>
      <w:pBdr>
        <w:bottom w:val="single" w:color="auto" w:sz="6" w:space="1"/>
      </w:pBdr>
      <w:tabs>
        <w:tab w:val="center" w:pos="4153"/>
        <w:tab w:val="right" w:pos="8306"/>
      </w:tabs>
      <w:snapToGrid w:val="0"/>
      <w:jc w:val="center"/>
    </w:pPr>
    <w:rPr>
      <w:kern w:val="0"/>
      <w:sz w:val="18"/>
    </w:rPr>
  </w:style>
  <w:style w:type="paragraph" w:styleId="19">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0">
    <w:name w:val="footnote text"/>
    <w:basedOn w:val="1"/>
    <w:qFormat/>
    <w:locked/>
    <w:uiPriority w:val="0"/>
    <w:pPr>
      <w:snapToGrid w:val="0"/>
      <w:jc w:val="left"/>
    </w:pPr>
    <w:rPr>
      <w:sz w:val="18"/>
    </w:rPr>
  </w:style>
  <w:style w:type="paragraph" w:styleId="21">
    <w:name w:val="toc 2"/>
    <w:basedOn w:val="1"/>
    <w:next w:val="1"/>
    <w:qFormat/>
    <w:uiPriority w:val="39"/>
    <w:pPr>
      <w:tabs>
        <w:tab w:val="right" w:leader="dot" w:pos="9628"/>
      </w:tabs>
      <w:ind w:left="420" w:leftChars="200"/>
    </w:pPr>
  </w:style>
  <w:style w:type="paragraph" w:styleId="22">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3">
    <w:name w:val="annotation subject"/>
    <w:basedOn w:val="8"/>
    <w:next w:val="8"/>
    <w:semiHidden/>
    <w:qFormat/>
    <w:locked/>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22"/>
    <w:rPr>
      <w:b/>
      <w:bCs/>
    </w:rPr>
  </w:style>
  <w:style w:type="character" w:styleId="28">
    <w:name w:val="page number"/>
    <w:qFormat/>
    <w:uiPriority w:val="0"/>
    <w:rPr>
      <w:rFonts w:cs="Times New Roman"/>
    </w:rPr>
  </w:style>
  <w:style w:type="character" w:styleId="29">
    <w:name w:val="FollowedHyperlink"/>
    <w:qFormat/>
    <w:locked/>
    <w:uiPriority w:val="0"/>
    <w:rPr>
      <w:color w:val="800080"/>
      <w:u w:val="single"/>
    </w:rPr>
  </w:style>
  <w:style w:type="character" w:styleId="30">
    <w:name w:val="Emphasis"/>
    <w:qFormat/>
    <w:locked/>
    <w:uiPriority w:val="0"/>
    <w:rPr>
      <w:i/>
    </w:rPr>
  </w:style>
  <w:style w:type="character" w:styleId="31">
    <w:name w:val="Hyperlink"/>
    <w:qFormat/>
    <w:uiPriority w:val="99"/>
    <w:rPr>
      <w:rFonts w:cs="Times New Roman"/>
      <w:color w:val="0000FF"/>
      <w:u w:val="single"/>
    </w:rPr>
  </w:style>
  <w:style w:type="character" w:styleId="32">
    <w:name w:val="annotation reference"/>
    <w:semiHidden/>
    <w:qFormat/>
    <w:uiPriority w:val="0"/>
    <w:rPr>
      <w:rFonts w:cs="Times New Roman"/>
      <w:sz w:val="21"/>
      <w:szCs w:val="21"/>
    </w:rPr>
  </w:style>
  <w:style w:type="character" w:styleId="33">
    <w:name w:val="HTML Sample"/>
    <w:unhideWhenUsed/>
    <w:qFormat/>
    <w:locked/>
    <w:uiPriority w:val="99"/>
    <w:rPr>
      <w:rFonts w:ascii="宋体" w:hAnsi="宋体" w:eastAsia="宋体" w:cs="宋体"/>
    </w:rPr>
  </w:style>
  <w:style w:type="character" w:customStyle="1" w:styleId="34">
    <w:name w:val="标题 1 字符"/>
    <w:link w:val="2"/>
    <w:qFormat/>
    <w:locked/>
    <w:uiPriority w:val="0"/>
    <w:rPr>
      <w:b/>
      <w:kern w:val="44"/>
      <w:sz w:val="44"/>
    </w:rPr>
  </w:style>
  <w:style w:type="character" w:customStyle="1" w:styleId="35">
    <w:name w:val="标题 2 字符"/>
    <w:link w:val="3"/>
    <w:semiHidden/>
    <w:qFormat/>
    <w:locked/>
    <w:uiPriority w:val="0"/>
    <w:rPr>
      <w:rFonts w:ascii="Cambria" w:hAnsi="Cambria" w:eastAsia="宋体"/>
      <w:b/>
      <w:sz w:val="32"/>
    </w:rPr>
  </w:style>
  <w:style w:type="character" w:customStyle="1" w:styleId="36">
    <w:name w:val="标题 3 字符"/>
    <w:link w:val="4"/>
    <w:semiHidden/>
    <w:qFormat/>
    <w:locked/>
    <w:uiPriority w:val="0"/>
    <w:rPr>
      <w:b/>
      <w:sz w:val="32"/>
    </w:rPr>
  </w:style>
  <w:style w:type="character" w:customStyle="1" w:styleId="37">
    <w:name w:val="文档结构图 字符"/>
    <w:link w:val="6"/>
    <w:semiHidden/>
    <w:qFormat/>
    <w:locked/>
    <w:uiPriority w:val="0"/>
    <w:rPr>
      <w:sz w:val="2"/>
    </w:rPr>
  </w:style>
  <w:style w:type="character" w:customStyle="1" w:styleId="38">
    <w:name w:val="批注文字 字符"/>
    <w:link w:val="8"/>
    <w:semiHidden/>
    <w:qFormat/>
    <w:locked/>
    <w:uiPriority w:val="0"/>
    <w:rPr>
      <w:rFonts w:eastAsia="宋体" w:cs="Times New Roman"/>
      <w:kern w:val="2"/>
      <w:sz w:val="28"/>
      <w:lang w:val="en-US" w:eastAsia="zh-CN" w:bidi="ar-SA"/>
    </w:rPr>
  </w:style>
  <w:style w:type="character" w:customStyle="1" w:styleId="39">
    <w:name w:val="正文文本 字符"/>
    <w:link w:val="9"/>
    <w:semiHidden/>
    <w:qFormat/>
    <w:locked/>
    <w:uiPriority w:val="0"/>
    <w:rPr>
      <w:sz w:val="20"/>
    </w:rPr>
  </w:style>
  <w:style w:type="character" w:customStyle="1" w:styleId="40">
    <w:name w:val="正文文本缩进 字符"/>
    <w:link w:val="10"/>
    <w:semiHidden/>
    <w:qFormat/>
    <w:locked/>
    <w:uiPriority w:val="0"/>
    <w:rPr>
      <w:sz w:val="20"/>
    </w:rPr>
  </w:style>
  <w:style w:type="character" w:customStyle="1" w:styleId="41">
    <w:name w:val="纯文本 字符"/>
    <w:link w:val="13"/>
    <w:qFormat/>
    <w:locked/>
    <w:uiPriority w:val="0"/>
    <w:rPr>
      <w:rFonts w:ascii="宋体" w:hAnsi="Courier New" w:eastAsia="宋体"/>
      <w:kern w:val="2"/>
      <w:sz w:val="21"/>
      <w:lang w:val="en-US" w:eastAsia="zh-CN"/>
    </w:rPr>
  </w:style>
  <w:style w:type="character" w:customStyle="1" w:styleId="42">
    <w:name w:val="日期 字符"/>
    <w:link w:val="14"/>
    <w:semiHidden/>
    <w:qFormat/>
    <w:locked/>
    <w:uiPriority w:val="0"/>
    <w:rPr>
      <w:sz w:val="20"/>
    </w:rPr>
  </w:style>
  <w:style w:type="character" w:customStyle="1" w:styleId="43">
    <w:name w:val="正文文本缩进 2 字符"/>
    <w:link w:val="15"/>
    <w:semiHidden/>
    <w:qFormat/>
    <w:locked/>
    <w:uiPriority w:val="0"/>
    <w:rPr>
      <w:sz w:val="20"/>
    </w:rPr>
  </w:style>
  <w:style w:type="character" w:customStyle="1" w:styleId="44">
    <w:name w:val="页脚 字符"/>
    <w:link w:val="17"/>
    <w:qFormat/>
    <w:locked/>
    <w:uiPriority w:val="99"/>
    <w:rPr>
      <w:sz w:val="18"/>
    </w:rPr>
  </w:style>
  <w:style w:type="character" w:customStyle="1" w:styleId="45">
    <w:name w:val="页眉 字符"/>
    <w:link w:val="18"/>
    <w:semiHidden/>
    <w:qFormat/>
    <w:locked/>
    <w:uiPriority w:val="0"/>
    <w:rPr>
      <w:sz w:val="18"/>
    </w:rPr>
  </w:style>
  <w:style w:type="paragraph" w:customStyle="1" w:styleId="46">
    <w:name w:val="首行缩进"/>
    <w:basedOn w:val="1"/>
    <w:qFormat/>
    <w:uiPriority w:val="0"/>
    <w:pPr>
      <w:spacing w:line="360" w:lineRule="auto"/>
      <w:ind w:firstLine="480" w:firstLineChars="200"/>
    </w:pPr>
    <w:rPr>
      <w:rFonts w:ascii="宋体" w:hAnsi="宋体" w:cs="宋体"/>
      <w:kern w:val="0"/>
      <w:sz w:val="24"/>
    </w:rPr>
  </w:style>
  <w:style w:type="paragraph" w:customStyle="1" w:styleId="47">
    <w:name w:val="Style1"/>
    <w:basedOn w:val="1"/>
    <w:qFormat/>
    <w:uiPriority w:val="0"/>
    <w:pPr>
      <w:widowControl/>
      <w:tabs>
        <w:tab w:val="left" w:pos="-720"/>
      </w:tabs>
    </w:pPr>
    <w:rPr>
      <w:spacing w:val="-3"/>
      <w:kern w:val="0"/>
      <w:sz w:val="24"/>
      <w:lang w:val="en-AU" w:eastAsia="en-US"/>
    </w:rPr>
  </w:style>
  <w:style w:type="character" w:customStyle="1" w:styleId="48">
    <w:name w:val="bookmark-item uuid-1536114230642 code-00004"/>
    <w:qFormat/>
    <w:uiPriority w:val="0"/>
  </w:style>
  <w:style w:type="character" w:customStyle="1" w:styleId="49">
    <w:name w:val="bookmark-item uuid-1536114326115 code-23007"/>
    <w:qFormat/>
    <w:uiPriority w:val="0"/>
  </w:style>
  <w:style w:type="character" w:customStyle="1" w:styleId="50">
    <w:name w:val="fontstyle01"/>
    <w:qFormat/>
    <w:uiPriority w:val="0"/>
    <w:rPr>
      <w:rFonts w:hint="eastAsia" w:ascii="宋体" w:hAnsi="宋体" w:eastAsia="宋体" w:cs="宋体"/>
      <w:color w:val="000000"/>
      <w:sz w:val="44"/>
      <w:szCs w:val="44"/>
    </w:rPr>
  </w:style>
  <w:style w:type="character" w:customStyle="1" w:styleId="51">
    <w:name w:val="Char Char"/>
    <w:qFormat/>
    <w:uiPriority w:val="0"/>
    <w:rPr>
      <w:rFonts w:ascii="宋体" w:hAnsi="Courier New" w:eastAsia="宋体" w:cs="Times New Roman"/>
      <w:kern w:val="2"/>
      <w:sz w:val="21"/>
      <w:lang w:val="en-US" w:eastAsia="zh-CN" w:bidi="ar-SA"/>
    </w:rPr>
  </w:style>
  <w:style w:type="character" w:customStyle="1" w:styleId="52">
    <w:name w:val="sub"/>
    <w:qFormat/>
    <w:uiPriority w:val="0"/>
  </w:style>
  <w:style w:type="character" w:customStyle="1" w:styleId="53">
    <w:name w:val="wj"/>
    <w:qFormat/>
    <w:uiPriority w:val="0"/>
  </w:style>
  <w:style w:type="character" w:customStyle="1" w:styleId="54">
    <w:name w:val="tpc_content1"/>
    <w:qFormat/>
    <w:uiPriority w:val="0"/>
    <w:rPr>
      <w:sz w:val="20"/>
    </w:rPr>
  </w:style>
  <w:style w:type="character" w:customStyle="1" w:styleId="55">
    <w:name w:val="bookmark-item uuid-1536114715836 code-00014"/>
    <w:qFormat/>
    <w:uiPriority w:val="0"/>
  </w:style>
  <w:style w:type="character" w:customStyle="1" w:styleId="56">
    <w:name w:val="Char Char4"/>
    <w:qFormat/>
    <w:uiPriority w:val="0"/>
    <w:rPr>
      <w:rFonts w:eastAsia="宋体" w:cs="Times New Roman"/>
      <w:kern w:val="2"/>
      <w:sz w:val="18"/>
      <w:szCs w:val="18"/>
      <w:lang w:val="en-US" w:eastAsia="zh-CN" w:bidi="ar-SA"/>
    </w:rPr>
  </w:style>
  <w:style w:type="character" w:customStyle="1" w:styleId="57">
    <w:name w:val="apple-converted-space"/>
    <w:qFormat/>
    <w:uiPriority w:val="0"/>
    <w:rPr>
      <w:rFonts w:cs="Times New Roman"/>
    </w:rPr>
  </w:style>
  <w:style w:type="character" w:customStyle="1" w:styleId="58">
    <w:name w:val="bookmark-item uuid-1536114237662 code-00006"/>
    <w:qFormat/>
    <w:uiPriority w:val="0"/>
  </w:style>
  <w:style w:type="character" w:customStyle="1" w:styleId="59">
    <w:name w:val="bookmark-item uuid-1536114308002 code-23005"/>
    <w:qFormat/>
    <w:uiPriority w:val="0"/>
  </w:style>
  <w:style w:type="character" w:customStyle="1" w:styleId="60">
    <w:name w:val="bookmark-item uuid-1536325460878 code-23001"/>
    <w:qFormat/>
    <w:uiPriority w:val="0"/>
  </w:style>
  <w:style w:type="character" w:customStyle="1" w:styleId="61">
    <w:name w:val="bookmark-item uuid-1536114797846 code-23002"/>
    <w:qFormat/>
    <w:uiPriority w:val="0"/>
  </w:style>
  <w:style w:type="character" w:customStyle="1" w:styleId="62">
    <w:name w:val="bookmark-item uuid-1536114315631 code-23006"/>
    <w:qFormat/>
    <w:uiPriority w:val="0"/>
  </w:style>
  <w:style w:type="character" w:customStyle="1" w:styleId="63">
    <w:name w:val="bookmark-item uuid-1541657111286 code-23008"/>
    <w:qFormat/>
    <w:uiPriority w:val="0"/>
  </w:style>
  <w:style w:type="character" w:customStyle="1" w:styleId="64">
    <w:name w:val="bookmark-item uuid-1536114351935 code-23009"/>
    <w:qFormat/>
    <w:uiPriority w:val="0"/>
  </w:style>
  <w:style w:type="character" w:customStyle="1" w:styleId="65">
    <w:name w:val="bookmark-item uuid-1536114708792 code-00013"/>
    <w:qFormat/>
    <w:uiPriority w:val="0"/>
  </w:style>
  <w:style w:type="character" w:customStyle="1" w:styleId="66">
    <w:name w:val="bookmark-item uuid-1536114367028 code-23012"/>
    <w:qFormat/>
    <w:uiPriority w:val="0"/>
  </w:style>
  <w:style w:type="character" w:customStyle="1" w:styleId="67">
    <w:name w:val="bookmark-item uuid-1536114381259 code-23015"/>
    <w:qFormat/>
    <w:uiPriority w:val="0"/>
  </w:style>
  <w:style w:type="character" w:customStyle="1" w:styleId="68">
    <w:name w:val="bookmark-item uuid-1536114672385 code-23021"/>
    <w:qFormat/>
    <w:uiPriority w:val="0"/>
  </w:style>
  <w:style w:type="character" w:customStyle="1" w:styleId="69">
    <w:name w:val="bookmark-item uuid-1536114681261 code-00009"/>
    <w:qFormat/>
    <w:uiPriority w:val="0"/>
  </w:style>
  <w:style w:type="character" w:customStyle="1" w:styleId="70">
    <w:name w:val="bookmark-item uuid-1536114688571 code-00010"/>
    <w:qFormat/>
    <w:uiPriority w:val="0"/>
  </w:style>
  <w:style w:type="character" w:customStyle="1" w:styleId="71">
    <w:name w:val="bookmark-item uuid-1536114695490 code-00011"/>
    <w:qFormat/>
    <w:uiPriority w:val="0"/>
  </w:style>
  <w:style w:type="character" w:customStyle="1" w:styleId="72">
    <w:name w:val="bookmark-item uuid-1536114722887 code-00015"/>
    <w:qFormat/>
    <w:uiPriority w:val="0"/>
  </w:style>
  <w:style w:type="character" w:customStyle="1" w:styleId="73">
    <w:name w:val="bookmark-item uuid-1536114730799 code-00016"/>
    <w:qFormat/>
    <w:uiPriority w:val="0"/>
  </w:style>
  <w:style w:type="character" w:customStyle="1" w:styleId="74">
    <w:name w:val="bookmark-item uuid-1536114744629 code-00018"/>
    <w:qFormat/>
    <w:uiPriority w:val="0"/>
  </w:style>
  <w:style w:type="character" w:customStyle="1" w:styleId="75">
    <w:name w:val="bookmark-item uuid-1536114752958 code-00019"/>
    <w:qFormat/>
    <w:uiPriority w:val="0"/>
  </w:style>
  <w:style w:type="character" w:customStyle="1" w:styleId="76">
    <w:name w:val="bookmark-item uuid-1536114761735 code-00020"/>
    <w:qFormat/>
    <w:uiPriority w:val="0"/>
  </w:style>
  <w:style w:type="character" w:customStyle="1" w:styleId="77">
    <w:name w:val="bookmark-item uuid-1536114769643 code-00021"/>
    <w:qFormat/>
    <w:uiPriority w:val="0"/>
  </w:style>
  <w:style w:type="paragraph" w:customStyle="1" w:styleId="78">
    <w:name w:val="Char Char Char Char Char Char Char"/>
    <w:basedOn w:val="1"/>
    <w:qFormat/>
    <w:uiPriority w:val="0"/>
    <w:pPr>
      <w:tabs>
        <w:tab w:val="left" w:pos="432"/>
      </w:tabs>
      <w:ind w:left="432" w:hanging="432"/>
    </w:pPr>
    <w:rPr>
      <w:rFonts w:ascii="Tahoma" w:hAnsi="Tahoma"/>
      <w:sz w:val="24"/>
    </w:rPr>
  </w:style>
  <w:style w:type="paragraph" w:customStyle="1" w:styleId="79">
    <w:name w:val="Char1"/>
    <w:basedOn w:val="1"/>
    <w:qFormat/>
    <w:uiPriority w:val="0"/>
    <w:rPr>
      <w:rFonts w:ascii="Tahoma" w:hAnsi="Tahoma"/>
      <w:sz w:val="24"/>
    </w:rPr>
  </w:style>
  <w:style w:type="paragraph" w:customStyle="1" w:styleId="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1">
    <w:name w:val="List Paragraph1"/>
    <w:basedOn w:val="1"/>
    <w:qFormat/>
    <w:uiPriority w:val="0"/>
    <w:pPr>
      <w:ind w:firstLine="420" w:firstLineChars="200"/>
    </w:pPr>
    <w:rPr>
      <w:rFonts w:ascii="Calibri" w:hAnsi="Calibri"/>
      <w:szCs w:val="22"/>
    </w:rPr>
  </w:style>
  <w:style w:type="paragraph" w:customStyle="1" w:styleId="8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
    <w:name w:val="样式 宋体 五号 行距: 单倍行距"/>
    <w:basedOn w:val="1"/>
    <w:qFormat/>
    <w:uiPriority w:val="0"/>
    <w:pPr>
      <w:adjustRightInd w:val="0"/>
      <w:jc w:val="left"/>
      <w:textAlignment w:val="baseline"/>
    </w:pPr>
    <w:rPr>
      <w:rFonts w:ascii="宋体" w:hAnsi="宋体"/>
      <w:kern w:val="0"/>
    </w:rPr>
  </w:style>
  <w:style w:type="paragraph" w:customStyle="1" w:styleId="84">
    <w:name w:val="p15"/>
    <w:basedOn w:val="1"/>
    <w:qFormat/>
    <w:uiPriority w:val="0"/>
    <w:pPr>
      <w:widowControl/>
    </w:pPr>
    <w:rPr>
      <w:kern w:val="0"/>
      <w:szCs w:val="21"/>
    </w:rPr>
  </w:style>
  <w:style w:type="paragraph" w:customStyle="1" w:styleId="85">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86">
    <w:name w:val="三级标题"/>
    <w:basedOn w:val="1"/>
    <w:next w:val="1"/>
    <w:qFormat/>
    <w:uiPriority w:val="0"/>
    <w:pPr>
      <w:numPr>
        <w:ilvl w:val="2"/>
        <w:numId w:val="2"/>
      </w:numPr>
      <w:outlineLvl w:val="3"/>
    </w:pPr>
    <w:rPr>
      <w:b/>
    </w:rPr>
  </w:style>
  <w:style w:type="paragraph" w:customStyle="1" w:styleId="87">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8">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9">
    <w:name w:val="List Paragraph2"/>
    <w:basedOn w:val="1"/>
    <w:qFormat/>
    <w:uiPriority w:val="0"/>
    <w:pPr>
      <w:ind w:firstLine="420" w:firstLineChars="200"/>
    </w:pPr>
    <w:rPr>
      <w:rFonts w:ascii="Calibri" w:hAnsi="Calibri"/>
      <w:szCs w:val="22"/>
    </w:rPr>
  </w:style>
  <w:style w:type="paragraph" w:customStyle="1" w:styleId="90">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92">
    <w:name w:val="Definition Term"/>
    <w:basedOn w:val="1"/>
    <w:next w:val="1"/>
    <w:qFormat/>
    <w:uiPriority w:val="0"/>
    <w:pPr>
      <w:autoSpaceDE w:val="0"/>
      <w:autoSpaceDN w:val="0"/>
      <w:adjustRightInd w:val="0"/>
      <w:jc w:val="left"/>
    </w:pPr>
    <w:rPr>
      <w:kern w:val="0"/>
      <w:sz w:val="24"/>
    </w:rPr>
  </w:style>
  <w:style w:type="paragraph" w:customStyle="1" w:styleId="93">
    <w:name w:val="Char"/>
    <w:basedOn w:val="6"/>
    <w:semiHidden/>
    <w:qFormat/>
    <w:uiPriority w:val="0"/>
    <w:rPr>
      <w:rFonts w:ascii="Tahoma" w:hAnsi="Tahoma"/>
      <w:sz w:val="24"/>
      <w:szCs w:val="24"/>
    </w:rPr>
  </w:style>
  <w:style w:type="paragraph" w:customStyle="1" w:styleId="94">
    <w:name w:val="样式3"/>
    <w:basedOn w:val="13"/>
    <w:qFormat/>
    <w:uiPriority w:val="0"/>
    <w:pPr>
      <w:spacing w:line="240" w:lineRule="atLeast"/>
      <w:outlineLvl w:val="0"/>
    </w:pPr>
    <w:rPr>
      <w:sz w:val="28"/>
      <w:szCs w:val="24"/>
    </w:rPr>
  </w:style>
  <w:style w:type="paragraph" w:customStyle="1" w:styleId="95">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96">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样式 宋体 五号 两端对齐 行距: 单倍行距"/>
    <w:basedOn w:val="1"/>
    <w:qFormat/>
    <w:uiPriority w:val="0"/>
    <w:pPr>
      <w:adjustRightInd w:val="0"/>
      <w:textAlignment w:val="baseline"/>
    </w:pPr>
    <w:rPr>
      <w:rFonts w:ascii="宋体" w:hAnsi="宋体"/>
      <w:kern w:val="0"/>
    </w:rPr>
  </w:style>
  <w:style w:type="paragraph" w:customStyle="1" w:styleId="99">
    <w:name w:val="列出段落1"/>
    <w:basedOn w:val="1"/>
    <w:next w:val="1"/>
    <w:link w:val="100"/>
    <w:qFormat/>
    <w:uiPriority w:val="34"/>
    <w:pPr>
      <w:ind w:firstLine="420" w:firstLineChars="200"/>
    </w:pPr>
    <w:rPr>
      <w:rFonts w:ascii="Calibri" w:hAnsi="Calibri"/>
      <w:szCs w:val="22"/>
    </w:rPr>
  </w:style>
  <w:style w:type="character" w:customStyle="1" w:styleId="100">
    <w:name w:val="列出段落 Char Char"/>
    <w:link w:val="99"/>
    <w:qFormat/>
    <w:uiPriority w:val="34"/>
    <w:rPr>
      <w:rFonts w:ascii="Calibri" w:hAnsi="Calibri"/>
      <w:kern w:val="2"/>
      <w:sz w:val="21"/>
      <w:szCs w:val="22"/>
    </w:rPr>
  </w:style>
  <w:style w:type="character" w:customStyle="1" w:styleId="101">
    <w:name w:val="bookmark-item"/>
    <w:qFormat/>
    <w:uiPriority w:val="0"/>
  </w:style>
  <w:style w:type="paragraph" w:customStyle="1" w:styleId="102">
    <w:name w:val="_Style 1"/>
    <w:qFormat/>
    <w:uiPriority w:val="1"/>
    <w:pPr>
      <w:adjustRightInd w:val="0"/>
      <w:snapToGrid w:val="0"/>
    </w:pPr>
    <w:rPr>
      <w:rFonts w:ascii="Tahoma" w:hAnsi="Tahoma" w:eastAsia="宋体" w:cs="Times New Roman"/>
      <w:sz w:val="22"/>
      <w:szCs w:val="22"/>
      <w:lang w:val="en-US" w:eastAsia="zh-CN" w:bidi="ar-SA"/>
    </w:rPr>
  </w:style>
  <w:style w:type="character" w:customStyle="1" w:styleId="103">
    <w:name w:val="纯文本 Char1"/>
    <w:qFormat/>
    <w:locked/>
    <w:uiPriority w:val="99"/>
    <w:rPr>
      <w:rFonts w:ascii="宋体" w:hAnsi="Courier New" w:eastAsia="宋体"/>
      <w:kern w:val="2"/>
      <w:sz w:val="21"/>
      <w:lang w:val="en-US" w:eastAsia="zh-CN"/>
    </w:rPr>
  </w:style>
  <w:style w:type="paragraph" w:styleId="104">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105">
    <w:name w:val="p0"/>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06">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07">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108">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10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0">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111">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2">
    <w:name w:val="NormalCharacter"/>
    <w:qFormat/>
    <w:uiPriority w:val="0"/>
  </w:style>
  <w:style w:type="paragraph" w:customStyle="1" w:styleId="113">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114">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5">
    <w:name w:val="正文缩进_0"/>
    <w:basedOn w:val="116"/>
    <w:unhideWhenUsed/>
    <w:qFormat/>
    <w:uiPriority w:val="0"/>
    <w:pPr>
      <w:ind w:firstLine="420" w:firstLineChars="200"/>
    </w:pPr>
  </w:style>
  <w:style w:type="paragraph" w:customStyle="1" w:styleId="11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7">
    <w:name w:val="正文缩进1"/>
    <w:basedOn w:val="1"/>
    <w:next w:val="10"/>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18">
    <w:name w:val="5）标书正文 首行缩进2字符"/>
    <w:basedOn w:val="1"/>
    <w:qFormat/>
    <w:uiPriority w:val="0"/>
    <w:pPr>
      <w:spacing w:line="480" w:lineRule="exact"/>
      <w:ind w:firstLine="200" w:firstLineChars="200"/>
    </w:pPr>
    <w:rPr>
      <w:rFonts w:ascii="仿宋_GB2312" w:eastAsia="仿宋_GB2312"/>
      <w:sz w:val="28"/>
    </w:rPr>
  </w:style>
  <w:style w:type="character" w:customStyle="1" w:styleId="119">
    <w:name w:val="7）页眉页脚"/>
    <w:qFormat/>
    <w:uiPriority w:val="0"/>
    <w:rPr>
      <w:rFonts w:ascii="仿宋_GB2312" w:eastAsia="仿宋_GB2312"/>
      <w:b/>
      <w:i/>
      <w:sz w:val="18"/>
      <w:vertAlign w:val="baseline"/>
    </w:rPr>
  </w:style>
  <w:style w:type="character" w:customStyle="1" w:styleId="120">
    <w:name w:val="font41"/>
    <w:qFormat/>
    <w:uiPriority w:val="0"/>
    <w:rPr>
      <w:rFonts w:hint="eastAsia" w:ascii="宋体" w:hAnsi="宋体" w:eastAsia="宋体" w:cs="宋体"/>
      <w:color w:val="000000"/>
      <w:sz w:val="24"/>
      <w:szCs w:val="24"/>
      <w:u w:val="none"/>
    </w:rPr>
  </w:style>
  <w:style w:type="character" w:customStyle="1" w:styleId="121">
    <w:name w:val="font11"/>
    <w:qFormat/>
    <w:uiPriority w:val="0"/>
    <w:rPr>
      <w:rFonts w:hint="eastAsia" w:ascii="宋体" w:hAnsi="宋体" w:eastAsia="宋体" w:cs="宋体"/>
      <w:b/>
      <w:bCs/>
      <w:color w:val="000000"/>
      <w:sz w:val="24"/>
      <w:szCs w:val="24"/>
      <w:u w:val="none"/>
    </w:rPr>
  </w:style>
  <w:style w:type="character" w:customStyle="1" w:styleId="122">
    <w:name w:val="font31"/>
    <w:qFormat/>
    <w:uiPriority w:val="0"/>
    <w:rPr>
      <w:rFonts w:hint="eastAsia" w:ascii="宋体" w:hAnsi="宋体" w:eastAsia="宋体" w:cs="宋体"/>
      <w:color w:val="000000"/>
      <w:sz w:val="24"/>
      <w:szCs w:val="24"/>
      <w:u w:val="none"/>
    </w:rPr>
  </w:style>
  <w:style w:type="character" w:customStyle="1" w:styleId="123">
    <w:name w:val="font51"/>
    <w:qFormat/>
    <w:uiPriority w:val="0"/>
    <w:rPr>
      <w:rFonts w:hint="eastAsia" w:ascii="宋体" w:hAnsi="宋体" w:eastAsia="宋体" w:cs="宋体"/>
      <w:b/>
      <w:bCs/>
      <w:color w:val="000000"/>
      <w:sz w:val="24"/>
      <w:szCs w:val="24"/>
      <w:u w:val="none"/>
    </w:rPr>
  </w:style>
  <w:style w:type="character" w:customStyle="1" w:styleId="124">
    <w:name w:val="font21"/>
    <w:qFormat/>
    <w:uiPriority w:val="0"/>
    <w:rPr>
      <w:rFonts w:hint="eastAsia" w:ascii="宋体" w:hAnsi="宋体" w:eastAsia="宋体" w:cs="宋体"/>
      <w:b/>
      <w:bCs/>
      <w:color w:val="000000"/>
      <w:sz w:val="22"/>
      <w:szCs w:val="22"/>
      <w:u w:val="none"/>
    </w:rPr>
  </w:style>
  <w:style w:type="character" w:customStyle="1" w:styleId="125">
    <w:name w:val="font01"/>
    <w:qFormat/>
    <w:uiPriority w:val="0"/>
    <w:rPr>
      <w:rFonts w:hint="eastAsia" w:ascii="宋体" w:hAnsi="宋体" w:eastAsia="宋体" w:cs="宋体"/>
      <w:color w:val="000000"/>
      <w:sz w:val="22"/>
      <w:szCs w:val="22"/>
      <w:u w:val="none"/>
    </w:rPr>
  </w:style>
  <w:style w:type="paragraph" w:customStyle="1" w:styleId="126">
    <w:name w:val="Table Text"/>
    <w:basedOn w:val="1"/>
    <w:semiHidden/>
    <w:qFormat/>
    <w:uiPriority w:val="0"/>
    <w:rPr>
      <w:rFonts w:ascii="宋体" w:hAnsi="宋体" w:cs="宋体"/>
      <w:sz w:val="36"/>
      <w:szCs w:val="36"/>
      <w:lang w:eastAsia="en-US"/>
    </w:rPr>
  </w:style>
  <w:style w:type="paragraph" w:customStyle="1" w:styleId="127">
    <w:name w:val="正文文本1"/>
    <w:basedOn w:val="1"/>
    <w:qFormat/>
    <w:uiPriority w:val="0"/>
    <w:pPr>
      <w:spacing w:after="480" w:line="444" w:lineRule="auto"/>
      <w:ind w:firstLine="400"/>
    </w:pPr>
    <w:rPr>
      <w:rFonts w:ascii="宋体" w:hAnsi="宋体"/>
      <w:sz w:val="22"/>
      <w:lang w:val="zh-CN" w:bidi="zh-CN"/>
    </w:rPr>
  </w:style>
  <w:style w:type="paragraph" w:customStyle="1" w:styleId="128">
    <w:name w:val="Normal_8"/>
    <w:qFormat/>
    <w:uiPriority w:val="0"/>
    <w:rPr>
      <w:rFonts w:ascii="Times New Roman" w:hAnsi="Times New Roman" w:eastAsia="Times New Roman" w:cs="Times New Roman"/>
      <w:sz w:val="24"/>
      <w:szCs w:val="24"/>
      <w:lang w:val="en-US" w:eastAsia="zh-CN" w:bidi="ar-SA"/>
    </w:rPr>
  </w:style>
  <w:style w:type="paragraph" w:styleId="129">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130">
    <w:name w:val="font61"/>
    <w:basedOn w:val="26"/>
    <w:qFormat/>
    <w:uiPriority w:val="0"/>
    <w:rPr>
      <w:rFonts w:ascii="Calibri" w:hAnsi="Calibri" w:cs="Calibri"/>
      <w:color w:val="000000"/>
      <w:sz w:val="20"/>
      <w:szCs w:val="20"/>
      <w:u w:val="none"/>
    </w:rPr>
  </w:style>
  <w:style w:type="character" w:customStyle="1" w:styleId="131">
    <w:name w:val="font71"/>
    <w:basedOn w:val="26"/>
    <w:qFormat/>
    <w:uiPriority w:val="0"/>
    <w:rPr>
      <w:rFonts w:ascii="Cambria Math" w:hAnsi="Cambria Math" w:eastAsia="Cambria Math" w:cs="Cambria Math"/>
      <w:color w:val="000000"/>
      <w:sz w:val="20"/>
      <w:szCs w:val="20"/>
      <w:u w:val="none"/>
    </w:rPr>
  </w:style>
  <w:style w:type="character" w:customStyle="1" w:styleId="132">
    <w:name w:val="font81"/>
    <w:basedOn w:val="26"/>
    <w:qFormat/>
    <w:uiPriority w:val="0"/>
    <w:rPr>
      <w:rFonts w:hint="default" w:ascii="Calibri" w:hAnsi="Calibri" w:cs="Calibri"/>
      <w:color w:val="000000"/>
      <w:sz w:val="20"/>
      <w:szCs w:val="20"/>
      <w:u w:val="none"/>
    </w:rPr>
  </w:style>
  <w:style w:type="character" w:customStyle="1" w:styleId="133">
    <w:name w:val="10"/>
    <w:basedOn w:val="26"/>
    <w:qFormat/>
    <w:uiPriority w:val="0"/>
    <w:rPr>
      <w:rFonts w:hint="default" w:ascii="Times New Roman" w:hAnsi="Times New Roman" w:cs="Times New Roman"/>
    </w:rPr>
  </w:style>
  <w:style w:type="character" w:customStyle="1" w:styleId="134">
    <w:name w:val="15"/>
    <w:basedOn w:val="26"/>
    <w:qFormat/>
    <w:uiPriority w:val="0"/>
    <w:rPr>
      <w:rFonts w:hint="default" w:ascii="Times New Roman" w:hAnsi="Times New Roman" w:cs="Times New Roman"/>
      <w:sz w:val="21"/>
      <w:szCs w:val="21"/>
    </w:rPr>
  </w:style>
  <w:style w:type="paragraph" w:customStyle="1" w:styleId="135">
    <w:name w:val="修订1"/>
    <w:hidden/>
    <w:semiHidden/>
    <w:qFormat/>
    <w:uiPriority w:val="99"/>
    <w:rPr>
      <w:rFonts w:ascii="Times New Roman" w:hAnsi="Times New Roman" w:eastAsia="宋体" w:cs="Times New Roman"/>
      <w:kern w:val="2"/>
      <w:sz w:val="21"/>
      <w:lang w:val="en-US" w:eastAsia="zh-CN" w:bidi="ar-SA"/>
    </w:rPr>
  </w:style>
  <w:style w:type="paragraph" w:customStyle="1" w:styleId="136">
    <w:name w:val="正文缩进2"/>
    <w:basedOn w:val="1"/>
    <w:qFormat/>
    <w:uiPriority w:val="0"/>
    <w:pPr>
      <w:wordWrap w:val="0"/>
      <w:ind w:firstLine="480"/>
    </w:pPr>
    <w:rPr>
      <w:iCs/>
      <w:shd w:val="clear" w:color="auto" w:fill="FFFFFF" w:themeFill="background1"/>
      <w:lang w:val="zh-CN"/>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71</Pages>
  <Words>24003</Words>
  <Characters>26126</Characters>
  <Lines>1</Lines>
  <Paragraphs>1</Paragraphs>
  <TotalTime>0</TotalTime>
  <ScaleCrop>false</ScaleCrop>
  <LinksUpToDate>false</LinksUpToDate>
  <CharactersWithSpaces>26479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李霆</dc:creator>
  <cp:lastModifiedBy>LTSC</cp:lastModifiedBy>
  <cp:lastPrinted>2023-04-04T04:31:00Z</cp:lastPrinted>
  <dcterms:modified xsi:type="dcterms:W3CDTF">2026-07-29T10:27:42Z</dcterms:modified>
  <dc:title>新疆维吾尔自治区政府采购中心</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6F10CFA5BDB14F1CBD643F960FC10C04_13</vt:lpwstr>
  </property>
  <property fmtid="{D5CDD505-2E9C-101B-9397-08002B2CF9AE}" pid="4" name="KSOTemplateDocerSaveRecord">
    <vt:lpwstr>eyJoZGlkIjoiNjFhMzZiMTJlZDJhNzVjZjA3OWMwZjI1ZDkyMWIxOWIiLCJ1c2VySWQiOiI1NTU0OTg4In0=</vt:lpwstr>
  </property>
</Properties>
</file>