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0F96E">
      <w:pPr>
        <w:snapToGrid w:val="0"/>
        <w:spacing w:after="120" w:line="360" w:lineRule="auto"/>
        <w:jc w:val="left"/>
        <w:rPr>
          <w:rFonts w:hint="eastAsia" w:ascii="仿宋" w:hAnsi="仿宋" w:eastAsia="仿宋" w:cs="仿宋"/>
          <w:sz w:val="44"/>
          <w:highlight w:val="none"/>
        </w:rPr>
      </w:pPr>
    </w:p>
    <w:p w14:paraId="4C0FF3ED">
      <w:pPr>
        <w:snapToGrid w:val="0"/>
        <w:spacing w:line="360" w:lineRule="auto"/>
        <w:jc w:val="center"/>
        <w:rPr>
          <w:rFonts w:ascii="仿宋" w:hAnsi="仿宋" w:eastAsia="仿宋" w:cs="仿宋"/>
          <w:b/>
          <w:sz w:val="52"/>
          <w:szCs w:val="52"/>
          <w:highlight w:val="none"/>
        </w:rPr>
      </w:pPr>
      <w:r>
        <w:rPr>
          <w:rFonts w:hint="eastAsia" w:ascii="仿宋" w:hAnsi="仿宋" w:eastAsia="仿宋" w:cs="仿宋"/>
          <w:b/>
          <w:sz w:val="52"/>
          <w:szCs w:val="52"/>
          <w:highlight w:val="none"/>
        </w:rPr>
        <w:t>政 府 采 购 公 开 招 标</w:t>
      </w:r>
    </w:p>
    <w:p w14:paraId="3F688446">
      <w:pPr>
        <w:snapToGrid w:val="0"/>
        <w:spacing w:line="360" w:lineRule="auto"/>
        <w:jc w:val="center"/>
        <w:rPr>
          <w:rStyle w:val="44"/>
          <w:rFonts w:ascii="仿宋" w:hAnsi="仿宋" w:eastAsia="仿宋" w:cs="仿宋"/>
          <w:sz w:val="36"/>
          <w:szCs w:val="36"/>
          <w:highlight w:val="none"/>
        </w:rPr>
      </w:pPr>
      <w:r>
        <w:rPr>
          <w:rFonts w:hint="eastAsia" w:ascii="仿宋" w:hAnsi="仿宋" w:eastAsia="仿宋" w:cs="仿宋"/>
          <w:b/>
          <w:sz w:val="52"/>
          <w:szCs w:val="52"/>
          <w:highlight w:val="none"/>
        </w:rPr>
        <w:t>招 标 文 件</w:t>
      </w:r>
    </w:p>
    <w:p w14:paraId="2386B150">
      <w:pPr>
        <w:snapToGrid w:val="0"/>
        <w:spacing w:line="360" w:lineRule="auto"/>
        <w:jc w:val="center"/>
        <w:rPr>
          <w:rStyle w:val="44"/>
          <w:rFonts w:ascii="仿宋" w:hAnsi="仿宋" w:eastAsia="仿宋" w:cs="仿宋"/>
          <w:b w:val="0"/>
          <w:bCs/>
          <w:highlight w:val="none"/>
        </w:rPr>
      </w:pPr>
    </w:p>
    <w:p w14:paraId="3A826862">
      <w:pPr>
        <w:snapToGrid w:val="0"/>
        <w:spacing w:line="360" w:lineRule="auto"/>
        <w:ind w:firstLine="357"/>
        <w:rPr>
          <w:rStyle w:val="42"/>
          <w:rFonts w:ascii="仿宋" w:hAnsi="仿宋" w:eastAsia="仿宋" w:cs="仿宋"/>
          <w:bCs/>
          <w:sz w:val="28"/>
          <w:szCs w:val="28"/>
          <w:highlight w:val="none"/>
        </w:rPr>
      </w:pPr>
    </w:p>
    <w:p w14:paraId="6CCFBF95">
      <w:pPr>
        <w:snapToGrid w:val="0"/>
        <w:spacing w:line="360" w:lineRule="auto"/>
        <w:ind w:firstLine="357"/>
        <w:rPr>
          <w:rStyle w:val="42"/>
          <w:rFonts w:hint="eastAsia" w:ascii="仿宋" w:hAnsi="仿宋" w:eastAsia="仿宋" w:cs="仿宋"/>
          <w:bCs/>
          <w:sz w:val="28"/>
          <w:szCs w:val="28"/>
          <w:highlight w:val="none"/>
          <w:lang w:eastAsia="zh-CN"/>
        </w:rPr>
      </w:pPr>
      <w:r>
        <w:rPr>
          <w:rStyle w:val="42"/>
          <w:rFonts w:hint="eastAsia" w:ascii="仿宋" w:hAnsi="仿宋" w:eastAsia="仿宋" w:cs="仿宋"/>
          <w:bCs/>
          <w:sz w:val="28"/>
          <w:szCs w:val="28"/>
          <w:highlight w:val="none"/>
        </w:rPr>
        <w:t>项目名称：</w:t>
      </w:r>
      <w:r>
        <w:rPr>
          <w:rStyle w:val="42"/>
          <w:rFonts w:hint="eastAsia" w:ascii="仿宋" w:hAnsi="仿宋" w:eastAsia="仿宋" w:cs="仿宋"/>
          <w:bCs/>
          <w:sz w:val="28"/>
          <w:szCs w:val="28"/>
          <w:highlight w:val="none"/>
          <w:lang w:eastAsia="zh-CN"/>
        </w:rPr>
        <w:t>新疆农业大学三维可视化地下管网项目</w:t>
      </w:r>
    </w:p>
    <w:p w14:paraId="51A307DA">
      <w:pPr>
        <w:snapToGrid w:val="0"/>
        <w:spacing w:line="360" w:lineRule="auto"/>
        <w:ind w:firstLine="357"/>
        <w:rPr>
          <w:rStyle w:val="42"/>
          <w:rFonts w:hint="eastAsia" w:ascii="仿宋" w:hAnsi="仿宋" w:eastAsia="仿宋" w:cs="仿宋"/>
          <w:bCs/>
          <w:sz w:val="28"/>
          <w:szCs w:val="28"/>
          <w:highlight w:val="none"/>
          <w:lang w:eastAsia="zh-CN"/>
        </w:rPr>
      </w:pPr>
      <w:r>
        <w:rPr>
          <w:rStyle w:val="42"/>
          <w:rFonts w:hint="eastAsia" w:ascii="仿宋" w:hAnsi="仿宋" w:eastAsia="仿宋" w:cs="仿宋"/>
          <w:bCs/>
          <w:sz w:val="28"/>
          <w:szCs w:val="28"/>
          <w:highlight w:val="none"/>
        </w:rPr>
        <w:t>项目编号：</w:t>
      </w:r>
      <w:r>
        <w:rPr>
          <w:rStyle w:val="42"/>
          <w:rFonts w:hint="eastAsia" w:ascii="仿宋" w:hAnsi="仿宋" w:eastAsia="仿宋" w:cs="仿宋"/>
          <w:bCs/>
          <w:sz w:val="28"/>
          <w:szCs w:val="28"/>
          <w:highlight w:val="none"/>
          <w:lang w:eastAsia="zh-CN"/>
        </w:rPr>
        <w:t>[2026]8296号-1</w:t>
      </w:r>
    </w:p>
    <w:p w14:paraId="09F33796">
      <w:pPr>
        <w:snapToGrid w:val="0"/>
        <w:spacing w:line="360" w:lineRule="auto"/>
        <w:ind w:firstLine="357"/>
        <w:rPr>
          <w:rStyle w:val="42"/>
          <w:rFonts w:hint="eastAsia" w:ascii="仿宋" w:hAnsi="仿宋" w:eastAsia="仿宋" w:cs="仿宋"/>
          <w:bCs/>
          <w:sz w:val="28"/>
          <w:szCs w:val="28"/>
          <w:highlight w:val="none"/>
          <w:lang w:eastAsia="zh-CN"/>
        </w:rPr>
      </w:pPr>
      <w:r>
        <w:rPr>
          <w:rStyle w:val="42"/>
          <w:rFonts w:hint="eastAsia" w:ascii="仿宋" w:hAnsi="仿宋" w:eastAsia="仿宋" w:cs="仿宋"/>
          <w:bCs/>
          <w:sz w:val="28"/>
          <w:szCs w:val="28"/>
          <w:highlight w:val="none"/>
        </w:rPr>
        <w:t>采购人（盖章）:</w:t>
      </w:r>
      <w:r>
        <w:rPr>
          <w:rStyle w:val="42"/>
          <w:rFonts w:hint="eastAsia" w:ascii="仿宋" w:hAnsi="仿宋" w:eastAsia="仿宋" w:cs="仿宋"/>
          <w:bCs/>
          <w:sz w:val="28"/>
          <w:szCs w:val="28"/>
          <w:highlight w:val="none"/>
          <w:lang w:eastAsia="zh-CN"/>
        </w:rPr>
        <w:t>新疆农业大学</w:t>
      </w:r>
    </w:p>
    <w:p w14:paraId="04A8997D">
      <w:pPr>
        <w:snapToGrid w:val="0"/>
        <w:spacing w:line="360" w:lineRule="auto"/>
        <w:ind w:firstLine="357"/>
        <w:rPr>
          <w:rStyle w:val="42"/>
          <w:rFonts w:ascii="仿宋" w:hAnsi="仿宋" w:eastAsia="仿宋" w:cs="仿宋"/>
          <w:bCs/>
          <w:sz w:val="28"/>
          <w:szCs w:val="28"/>
          <w:highlight w:val="none"/>
        </w:rPr>
      </w:pPr>
      <w:r>
        <w:rPr>
          <w:rStyle w:val="42"/>
          <w:rFonts w:hint="eastAsia" w:ascii="仿宋" w:hAnsi="仿宋" w:eastAsia="仿宋" w:cs="仿宋"/>
          <w:bCs/>
          <w:sz w:val="28"/>
          <w:szCs w:val="28"/>
          <w:highlight w:val="none"/>
        </w:rPr>
        <w:t>法定代表人（签章）:/</w:t>
      </w:r>
    </w:p>
    <w:p w14:paraId="5AFAE3BF">
      <w:pPr>
        <w:snapToGrid w:val="0"/>
        <w:spacing w:line="360" w:lineRule="auto"/>
        <w:ind w:firstLine="357"/>
        <w:rPr>
          <w:rStyle w:val="42"/>
          <w:rFonts w:hint="eastAsia" w:ascii="仿宋" w:hAnsi="仿宋" w:eastAsia="仿宋" w:cs="仿宋"/>
          <w:bCs/>
          <w:sz w:val="28"/>
          <w:szCs w:val="28"/>
          <w:highlight w:val="none"/>
          <w:lang w:eastAsia="zh-CN"/>
        </w:rPr>
      </w:pPr>
      <w:r>
        <w:rPr>
          <w:rStyle w:val="42"/>
          <w:rFonts w:hint="eastAsia" w:ascii="仿宋" w:hAnsi="仿宋" w:eastAsia="仿宋" w:cs="仿宋"/>
          <w:bCs/>
          <w:sz w:val="28"/>
          <w:szCs w:val="28"/>
          <w:highlight w:val="none"/>
        </w:rPr>
        <w:t>联系人：</w:t>
      </w:r>
      <w:r>
        <w:rPr>
          <w:rStyle w:val="42"/>
          <w:rFonts w:hint="eastAsia" w:ascii="仿宋" w:hAnsi="仿宋" w:eastAsia="仿宋" w:cs="仿宋"/>
          <w:bCs/>
          <w:sz w:val="28"/>
          <w:szCs w:val="28"/>
          <w:highlight w:val="none"/>
          <w:lang w:val="en-US" w:eastAsia="zh-CN"/>
        </w:rPr>
        <w:t>马明</w:t>
      </w:r>
    </w:p>
    <w:p w14:paraId="0BC9FEFE">
      <w:pPr>
        <w:snapToGrid w:val="0"/>
        <w:spacing w:line="360" w:lineRule="auto"/>
        <w:ind w:firstLine="357"/>
        <w:rPr>
          <w:rStyle w:val="42"/>
          <w:rFonts w:hint="default" w:ascii="仿宋" w:hAnsi="仿宋" w:eastAsia="仿宋" w:cs="仿宋"/>
          <w:bCs/>
          <w:sz w:val="28"/>
          <w:szCs w:val="28"/>
          <w:highlight w:val="none"/>
          <w:lang w:val="en-US" w:eastAsia="zh-CN"/>
        </w:rPr>
      </w:pPr>
      <w:r>
        <w:rPr>
          <w:rStyle w:val="42"/>
          <w:rFonts w:hint="eastAsia" w:ascii="仿宋" w:hAnsi="仿宋" w:eastAsia="仿宋" w:cs="仿宋"/>
          <w:bCs/>
          <w:sz w:val="28"/>
          <w:szCs w:val="28"/>
          <w:highlight w:val="none"/>
        </w:rPr>
        <w:t>电话：</w:t>
      </w:r>
      <w:r>
        <w:rPr>
          <w:rStyle w:val="42"/>
          <w:rFonts w:hint="eastAsia" w:ascii="仿宋" w:hAnsi="仿宋" w:eastAsia="仿宋" w:cs="仿宋"/>
          <w:bCs/>
          <w:sz w:val="28"/>
          <w:szCs w:val="28"/>
          <w:highlight w:val="none"/>
          <w:lang w:val="en-US" w:eastAsia="zh-CN"/>
        </w:rPr>
        <w:t>18199870109</w:t>
      </w:r>
    </w:p>
    <w:p w14:paraId="3D0D2C6E">
      <w:pPr>
        <w:snapToGrid w:val="0"/>
        <w:spacing w:line="360" w:lineRule="auto"/>
        <w:ind w:firstLine="357"/>
        <w:rPr>
          <w:rStyle w:val="42"/>
          <w:rFonts w:hint="eastAsia" w:ascii="仿宋" w:hAnsi="仿宋" w:eastAsia="仿宋" w:cs="仿宋"/>
          <w:bCs/>
          <w:sz w:val="28"/>
          <w:szCs w:val="28"/>
          <w:highlight w:val="none"/>
          <w:lang w:val="en-US" w:eastAsia="zh-CN"/>
        </w:rPr>
      </w:pPr>
      <w:r>
        <w:rPr>
          <w:rStyle w:val="42"/>
          <w:rFonts w:hint="eastAsia" w:ascii="仿宋" w:hAnsi="仿宋" w:eastAsia="仿宋" w:cs="仿宋"/>
          <w:bCs/>
          <w:sz w:val="28"/>
          <w:szCs w:val="28"/>
          <w:highlight w:val="none"/>
        </w:rPr>
        <w:t>详细地址：</w:t>
      </w:r>
      <w:r>
        <w:rPr>
          <w:rStyle w:val="42"/>
          <w:rFonts w:hint="eastAsia" w:ascii="仿宋" w:hAnsi="仿宋" w:eastAsia="仿宋" w:cs="仿宋"/>
          <w:bCs/>
          <w:sz w:val="28"/>
          <w:szCs w:val="28"/>
          <w:highlight w:val="none"/>
          <w:lang w:eastAsia="zh-CN"/>
        </w:rPr>
        <w:t>乌鲁木齐市沙依巴克区农大东路311号</w:t>
      </w:r>
    </w:p>
    <w:p w14:paraId="4CDF0638">
      <w:pPr>
        <w:snapToGrid w:val="0"/>
        <w:spacing w:line="360" w:lineRule="auto"/>
        <w:ind w:firstLine="357"/>
        <w:rPr>
          <w:rStyle w:val="42"/>
          <w:rFonts w:ascii="仿宋" w:hAnsi="仿宋" w:eastAsia="仿宋" w:cs="仿宋"/>
          <w:bCs/>
          <w:sz w:val="28"/>
          <w:szCs w:val="28"/>
          <w:highlight w:val="none"/>
        </w:rPr>
      </w:pPr>
    </w:p>
    <w:p w14:paraId="0D8FDC23">
      <w:pPr>
        <w:snapToGrid w:val="0"/>
        <w:spacing w:line="360" w:lineRule="auto"/>
        <w:ind w:firstLine="357"/>
        <w:rPr>
          <w:rStyle w:val="42"/>
          <w:rFonts w:ascii="仿宋" w:hAnsi="仿宋" w:eastAsia="仿宋" w:cs="仿宋"/>
          <w:bCs/>
          <w:sz w:val="28"/>
          <w:szCs w:val="28"/>
          <w:highlight w:val="none"/>
        </w:rPr>
      </w:pPr>
      <w:r>
        <w:rPr>
          <w:rStyle w:val="42"/>
          <w:rFonts w:hint="eastAsia" w:ascii="仿宋" w:hAnsi="仿宋" w:eastAsia="仿宋" w:cs="仿宋"/>
          <w:bCs/>
          <w:sz w:val="28"/>
          <w:szCs w:val="28"/>
          <w:highlight w:val="none"/>
        </w:rPr>
        <w:t>采购代理机构（盖章）:新疆拓源工程管理咨询有限公司</w:t>
      </w:r>
    </w:p>
    <w:p w14:paraId="27E90F52">
      <w:pPr>
        <w:snapToGrid w:val="0"/>
        <w:spacing w:line="360" w:lineRule="auto"/>
        <w:ind w:firstLine="357"/>
        <w:rPr>
          <w:rFonts w:ascii="仿宋" w:hAnsi="仿宋" w:eastAsia="仿宋" w:cs="仿宋"/>
          <w:bCs/>
          <w:sz w:val="28"/>
          <w:szCs w:val="28"/>
          <w:highlight w:val="none"/>
        </w:rPr>
      </w:pPr>
      <w:r>
        <w:rPr>
          <w:rStyle w:val="42"/>
          <w:rFonts w:hint="eastAsia" w:ascii="仿宋" w:hAnsi="仿宋" w:eastAsia="仿宋" w:cs="仿宋"/>
          <w:bCs/>
          <w:spacing w:val="35"/>
          <w:kern w:val="0"/>
          <w:sz w:val="28"/>
          <w:szCs w:val="28"/>
          <w:highlight w:val="none"/>
        </w:rPr>
        <w:t>法定代表</w:t>
      </w:r>
      <w:r>
        <w:rPr>
          <w:rStyle w:val="42"/>
          <w:rFonts w:hint="eastAsia" w:ascii="仿宋" w:hAnsi="仿宋" w:eastAsia="仿宋" w:cs="仿宋"/>
          <w:bCs/>
          <w:spacing w:val="3"/>
          <w:kern w:val="0"/>
          <w:sz w:val="28"/>
          <w:szCs w:val="28"/>
          <w:highlight w:val="none"/>
        </w:rPr>
        <w:t>人</w:t>
      </w:r>
      <w:r>
        <w:rPr>
          <w:rStyle w:val="42"/>
          <w:rFonts w:hint="eastAsia" w:ascii="仿宋" w:hAnsi="仿宋" w:eastAsia="仿宋" w:cs="仿宋"/>
          <w:bCs/>
          <w:sz w:val="28"/>
          <w:szCs w:val="28"/>
          <w:highlight w:val="none"/>
        </w:rPr>
        <w:t>（盖章）:石崇华</w:t>
      </w:r>
    </w:p>
    <w:p w14:paraId="68131C3D">
      <w:pPr>
        <w:snapToGrid w:val="0"/>
        <w:spacing w:line="360" w:lineRule="auto"/>
        <w:ind w:firstLine="357"/>
        <w:rPr>
          <w:rStyle w:val="42"/>
          <w:rFonts w:ascii="仿宋" w:hAnsi="仿宋" w:eastAsia="仿宋" w:cs="仿宋"/>
          <w:bCs/>
          <w:sz w:val="28"/>
          <w:szCs w:val="28"/>
          <w:highlight w:val="none"/>
        </w:rPr>
      </w:pPr>
      <w:r>
        <w:rPr>
          <w:rStyle w:val="42"/>
          <w:rFonts w:hint="eastAsia" w:ascii="仿宋" w:hAnsi="仿宋" w:eastAsia="仿宋" w:cs="仿宋"/>
          <w:bCs/>
          <w:spacing w:val="35"/>
          <w:kern w:val="0"/>
          <w:sz w:val="28"/>
          <w:szCs w:val="28"/>
          <w:highlight w:val="none"/>
        </w:rPr>
        <w:t>项 目 联系人</w:t>
      </w:r>
      <w:r>
        <w:rPr>
          <w:rStyle w:val="42"/>
          <w:rFonts w:hint="eastAsia" w:ascii="仿宋" w:hAnsi="仿宋" w:eastAsia="仿宋" w:cs="仿宋"/>
          <w:bCs/>
          <w:sz w:val="28"/>
          <w:szCs w:val="28"/>
          <w:highlight w:val="none"/>
        </w:rPr>
        <w:t>：金山虎、黄莎莎</w:t>
      </w:r>
    </w:p>
    <w:p w14:paraId="700AB898">
      <w:pPr>
        <w:snapToGrid w:val="0"/>
        <w:spacing w:line="360" w:lineRule="auto"/>
        <w:ind w:firstLine="357"/>
        <w:rPr>
          <w:rStyle w:val="42"/>
          <w:rFonts w:ascii="仿宋" w:hAnsi="仿宋" w:eastAsia="仿宋" w:cs="仿宋"/>
          <w:bCs/>
          <w:sz w:val="28"/>
          <w:szCs w:val="28"/>
          <w:highlight w:val="none"/>
        </w:rPr>
      </w:pPr>
      <w:r>
        <w:rPr>
          <w:rStyle w:val="42"/>
          <w:rFonts w:hint="eastAsia" w:ascii="仿宋" w:hAnsi="仿宋" w:eastAsia="仿宋" w:cs="仿宋"/>
          <w:bCs/>
          <w:spacing w:val="560"/>
          <w:kern w:val="0"/>
          <w:sz w:val="28"/>
          <w:szCs w:val="28"/>
          <w:highlight w:val="none"/>
        </w:rPr>
        <w:t>电</w:t>
      </w:r>
      <w:r>
        <w:rPr>
          <w:rStyle w:val="42"/>
          <w:rFonts w:hint="eastAsia" w:ascii="仿宋" w:hAnsi="仿宋" w:eastAsia="仿宋" w:cs="仿宋"/>
          <w:bCs/>
          <w:kern w:val="0"/>
          <w:sz w:val="28"/>
          <w:szCs w:val="28"/>
          <w:highlight w:val="none"/>
        </w:rPr>
        <w:t>话</w:t>
      </w:r>
      <w:r>
        <w:rPr>
          <w:rStyle w:val="42"/>
          <w:rFonts w:hint="eastAsia" w:ascii="仿宋" w:hAnsi="仿宋" w:eastAsia="仿宋" w:cs="仿宋"/>
          <w:bCs/>
          <w:sz w:val="28"/>
          <w:szCs w:val="28"/>
          <w:highlight w:val="none"/>
        </w:rPr>
        <w:t>：13209920205、15099530785</w:t>
      </w:r>
    </w:p>
    <w:p w14:paraId="180DBB00">
      <w:pPr>
        <w:snapToGrid w:val="0"/>
        <w:spacing w:line="360" w:lineRule="auto"/>
        <w:ind w:firstLine="357"/>
        <w:rPr>
          <w:rStyle w:val="42"/>
          <w:rFonts w:ascii="仿宋" w:hAnsi="仿宋" w:eastAsia="仿宋" w:cs="仿宋"/>
          <w:bCs/>
          <w:sz w:val="28"/>
          <w:szCs w:val="28"/>
          <w:highlight w:val="none"/>
        </w:rPr>
      </w:pPr>
      <w:r>
        <w:rPr>
          <w:rStyle w:val="42"/>
          <w:rFonts w:hint="eastAsia" w:ascii="仿宋" w:hAnsi="仿宋" w:eastAsia="仿宋" w:cs="仿宋"/>
          <w:bCs/>
          <w:spacing w:val="93"/>
          <w:kern w:val="0"/>
          <w:sz w:val="28"/>
          <w:szCs w:val="28"/>
          <w:highlight w:val="none"/>
        </w:rPr>
        <w:t>详细地</w:t>
      </w:r>
      <w:r>
        <w:rPr>
          <w:rStyle w:val="42"/>
          <w:rFonts w:hint="eastAsia" w:ascii="仿宋" w:hAnsi="仿宋" w:eastAsia="仿宋" w:cs="仿宋"/>
          <w:bCs/>
          <w:spacing w:val="1"/>
          <w:kern w:val="0"/>
          <w:sz w:val="28"/>
          <w:szCs w:val="28"/>
          <w:highlight w:val="none"/>
        </w:rPr>
        <w:t>址：</w:t>
      </w:r>
      <w:r>
        <w:rPr>
          <w:rStyle w:val="42"/>
          <w:rFonts w:hint="eastAsia" w:ascii="仿宋" w:hAnsi="仿宋" w:eastAsia="仿宋" w:cs="仿宋"/>
          <w:bCs/>
          <w:sz w:val="28"/>
          <w:szCs w:val="28"/>
          <w:highlight w:val="none"/>
        </w:rPr>
        <w:t>乌鲁木齐市水磨沟区龙盛街898号万科中央公园S6栋5层</w:t>
      </w:r>
    </w:p>
    <w:p w14:paraId="39F4B3EB">
      <w:pPr>
        <w:pStyle w:val="11"/>
        <w:spacing w:line="360" w:lineRule="auto"/>
        <w:rPr>
          <w:rStyle w:val="42"/>
          <w:rFonts w:ascii="仿宋" w:hAnsi="仿宋" w:eastAsia="仿宋" w:cs="仿宋"/>
          <w:bCs/>
          <w:sz w:val="28"/>
          <w:szCs w:val="28"/>
          <w:highlight w:val="none"/>
        </w:rPr>
      </w:pPr>
    </w:p>
    <w:p w14:paraId="341354AE">
      <w:pPr>
        <w:snapToGrid w:val="0"/>
        <w:spacing w:after="120" w:line="360" w:lineRule="auto"/>
        <w:jc w:val="left"/>
        <w:rPr>
          <w:rFonts w:ascii="仿宋" w:hAnsi="仿宋" w:eastAsia="仿宋" w:cs="仿宋"/>
          <w:sz w:val="28"/>
          <w:szCs w:val="28"/>
          <w:highlight w:val="none"/>
        </w:rPr>
      </w:pPr>
    </w:p>
    <w:p w14:paraId="35818733">
      <w:pPr>
        <w:snapToGrid w:val="0"/>
        <w:spacing w:after="120" w:line="360" w:lineRule="auto"/>
        <w:jc w:val="left"/>
        <w:rPr>
          <w:rFonts w:ascii="仿宋" w:hAnsi="仿宋" w:eastAsia="仿宋" w:cs="仿宋"/>
          <w:sz w:val="28"/>
          <w:szCs w:val="28"/>
          <w:highlight w:val="none"/>
        </w:rPr>
      </w:pPr>
    </w:p>
    <w:p w14:paraId="70A675C5">
      <w:pPr>
        <w:snapToGrid w:val="0"/>
        <w:spacing w:after="120" w:line="360" w:lineRule="auto"/>
        <w:jc w:val="center"/>
        <w:rPr>
          <w:rFonts w:ascii="仿宋" w:hAnsi="仿宋" w:eastAsia="仿宋" w:cs="仿宋"/>
          <w:sz w:val="28"/>
          <w:szCs w:val="28"/>
          <w:highlight w:val="none"/>
        </w:rPr>
      </w:pPr>
    </w:p>
    <w:p w14:paraId="7127ABE8">
      <w:pPr>
        <w:snapToGrid w:val="0"/>
        <w:spacing w:after="120" w:line="360" w:lineRule="auto"/>
        <w:jc w:val="center"/>
        <w:rPr>
          <w:rFonts w:ascii="仿宋" w:hAnsi="仿宋" w:eastAsia="仿宋" w:cs="仿宋"/>
          <w:sz w:val="28"/>
          <w:szCs w:val="28"/>
          <w:highlight w:val="none"/>
        </w:rPr>
      </w:pPr>
    </w:p>
    <w:p w14:paraId="22FE052C">
      <w:pPr>
        <w:snapToGrid w:val="0"/>
        <w:spacing w:after="120" w:line="360" w:lineRule="auto"/>
        <w:jc w:val="center"/>
        <w:rPr>
          <w:rFonts w:ascii="仿宋" w:hAnsi="仿宋" w:eastAsia="仿宋" w:cs="仿宋"/>
          <w:sz w:val="28"/>
          <w:szCs w:val="28"/>
          <w:highlight w:val="none"/>
        </w:rPr>
      </w:pPr>
      <w:r>
        <w:rPr>
          <w:rFonts w:hint="eastAsia" w:ascii="仿宋" w:hAnsi="仿宋" w:eastAsia="仿宋" w:cs="仿宋"/>
          <w:sz w:val="28"/>
          <w:szCs w:val="28"/>
          <w:highlight w:val="none"/>
        </w:rPr>
        <w:t>文件编制:黄莎莎</w:t>
      </w:r>
    </w:p>
    <w:p w14:paraId="1A5EC4DD">
      <w:pPr>
        <w:snapToGrid w:val="0"/>
        <w:spacing w:after="120" w:line="360" w:lineRule="auto"/>
        <w:jc w:val="center"/>
        <w:rPr>
          <w:rFonts w:ascii="仿宋" w:hAnsi="仿宋" w:eastAsia="仿宋" w:cs="仿宋"/>
          <w:sz w:val="28"/>
          <w:szCs w:val="28"/>
          <w:highlight w:val="none"/>
        </w:rPr>
      </w:pPr>
      <w:r>
        <w:rPr>
          <w:rFonts w:hint="eastAsia" w:ascii="仿宋" w:hAnsi="仿宋" w:eastAsia="仿宋" w:cs="仿宋"/>
          <w:sz w:val="28"/>
          <w:szCs w:val="28"/>
          <w:highlight w:val="none"/>
        </w:rPr>
        <w:t>文件复核:金山虎</w:t>
      </w:r>
    </w:p>
    <w:p w14:paraId="32D62416">
      <w:pPr>
        <w:snapToGrid w:val="0"/>
        <w:spacing w:after="120" w:line="360" w:lineRule="auto"/>
        <w:jc w:val="center"/>
        <w:rPr>
          <w:rFonts w:ascii="仿宋" w:hAnsi="仿宋" w:eastAsia="仿宋" w:cs="仿宋"/>
          <w:sz w:val="28"/>
          <w:szCs w:val="28"/>
          <w:highlight w:val="none"/>
        </w:rPr>
      </w:pPr>
      <w:r>
        <w:rPr>
          <w:rFonts w:hint="eastAsia" w:ascii="仿宋" w:hAnsi="仿宋" w:eastAsia="仿宋" w:cs="仿宋"/>
          <w:sz w:val="28"/>
          <w:szCs w:val="28"/>
          <w:highlight w:val="none"/>
        </w:rPr>
        <w:t>文件终审:田释月</w:t>
      </w:r>
    </w:p>
    <w:p w14:paraId="1446F80A">
      <w:pPr>
        <w:snapToGrid w:val="0"/>
        <w:spacing w:after="120" w:line="360" w:lineRule="auto"/>
        <w:jc w:val="left"/>
        <w:rPr>
          <w:rFonts w:ascii="仿宋" w:hAnsi="仿宋" w:eastAsia="仿宋" w:cs="仿宋"/>
          <w:sz w:val="28"/>
          <w:szCs w:val="28"/>
          <w:highlight w:val="none"/>
        </w:rPr>
      </w:pPr>
    </w:p>
    <w:p w14:paraId="499711D0">
      <w:pPr>
        <w:snapToGrid w:val="0"/>
        <w:spacing w:after="120" w:line="360" w:lineRule="auto"/>
        <w:jc w:val="left"/>
        <w:rPr>
          <w:rFonts w:ascii="仿宋" w:hAnsi="仿宋" w:eastAsia="仿宋" w:cs="仿宋"/>
          <w:sz w:val="28"/>
          <w:szCs w:val="28"/>
          <w:highlight w:val="none"/>
        </w:rPr>
      </w:pPr>
    </w:p>
    <w:p w14:paraId="66E355AD">
      <w:pPr>
        <w:snapToGrid w:val="0"/>
        <w:spacing w:after="120" w:line="360" w:lineRule="auto"/>
        <w:jc w:val="left"/>
        <w:rPr>
          <w:rFonts w:ascii="仿宋" w:hAnsi="仿宋" w:eastAsia="仿宋" w:cs="仿宋"/>
          <w:sz w:val="28"/>
          <w:szCs w:val="28"/>
          <w:highlight w:val="none"/>
        </w:rPr>
      </w:pPr>
    </w:p>
    <w:p w14:paraId="096BD522">
      <w:pPr>
        <w:snapToGrid w:val="0"/>
        <w:spacing w:after="120" w:line="360" w:lineRule="auto"/>
        <w:jc w:val="left"/>
        <w:rPr>
          <w:rFonts w:ascii="仿宋" w:hAnsi="仿宋" w:eastAsia="仿宋" w:cs="仿宋"/>
          <w:sz w:val="28"/>
          <w:szCs w:val="28"/>
          <w:highlight w:val="none"/>
        </w:rPr>
      </w:pPr>
    </w:p>
    <w:p w14:paraId="2B4AF5A0">
      <w:pPr>
        <w:snapToGrid w:val="0"/>
        <w:spacing w:after="120" w:line="360" w:lineRule="auto"/>
        <w:jc w:val="left"/>
        <w:rPr>
          <w:rFonts w:ascii="仿宋" w:hAnsi="仿宋" w:eastAsia="仿宋" w:cs="仿宋"/>
          <w:sz w:val="28"/>
          <w:szCs w:val="28"/>
          <w:highlight w:val="none"/>
        </w:rPr>
      </w:pPr>
    </w:p>
    <w:p w14:paraId="65A61304">
      <w:pPr>
        <w:snapToGrid w:val="0"/>
        <w:spacing w:after="120" w:line="360" w:lineRule="auto"/>
        <w:jc w:val="left"/>
        <w:rPr>
          <w:rFonts w:ascii="仿宋" w:hAnsi="仿宋" w:eastAsia="仿宋" w:cs="仿宋"/>
          <w:sz w:val="44"/>
          <w:highlight w:val="none"/>
        </w:rPr>
      </w:pPr>
    </w:p>
    <w:p w14:paraId="2F670BBA">
      <w:pPr>
        <w:spacing w:line="360" w:lineRule="auto"/>
        <w:rPr>
          <w:rFonts w:ascii="仿宋" w:hAnsi="仿宋" w:eastAsia="仿宋" w:cs="仿宋"/>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cols w:space="425" w:num="1"/>
          <w:docGrid w:type="lines" w:linePitch="312" w:charSpace="0"/>
        </w:sectPr>
      </w:pPr>
    </w:p>
    <w:p w14:paraId="758A5235">
      <w:pPr>
        <w:spacing w:line="360" w:lineRule="auto"/>
        <w:jc w:val="center"/>
        <w:outlineLvl w:val="0"/>
        <w:rPr>
          <w:rFonts w:ascii="仿宋" w:hAnsi="仿宋" w:eastAsia="仿宋" w:cs="仿宋"/>
          <w:b/>
          <w:sz w:val="24"/>
          <w:highlight w:val="none"/>
        </w:rPr>
      </w:pPr>
      <w:bookmarkStart w:id="0" w:name="_Toc15086"/>
      <w:bookmarkStart w:id="1" w:name="_Toc31371"/>
      <w:bookmarkStart w:id="2" w:name="_Toc9822"/>
      <w:r>
        <w:rPr>
          <w:rFonts w:hint="eastAsia" w:ascii="仿宋" w:hAnsi="仿宋" w:eastAsia="仿宋" w:cs="仿宋"/>
          <w:b/>
          <w:sz w:val="24"/>
          <w:highlight w:val="none"/>
        </w:rPr>
        <w:t>目    录</w:t>
      </w:r>
      <w:bookmarkEnd w:id="0"/>
      <w:bookmarkEnd w:id="1"/>
      <w:bookmarkEnd w:id="2"/>
    </w:p>
    <w:sdt>
      <w:sdtPr>
        <w:rPr>
          <w:rFonts w:hint="eastAsia" w:ascii="仿宋" w:hAnsi="仿宋" w:eastAsia="仿宋" w:cs="仿宋"/>
          <w:kern w:val="44"/>
          <w:sz w:val="18"/>
          <w:szCs w:val="21"/>
          <w:highlight w:val="none"/>
        </w:rPr>
        <w:id w:val="147476755"/>
        <w15:color w:val="DBDBDB"/>
        <w:docPartObj>
          <w:docPartGallery w:val="Table of Contents"/>
          <w:docPartUnique/>
        </w:docPartObj>
      </w:sdtPr>
      <w:sdtEndPr>
        <w:rPr>
          <w:rFonts w:hint="eastAsia" w:ascii="仿宋" w:hAnsi="仿宋" w:eastAsia="仿宋" w:cs="仿宋"/>
          <w:kern w:val="44"/>
          <w:sz w:val="44"/>
          <w:szCs w:val="24"/>
          <w:highlight w:val="none"/>
        </w:rPr>
      </w:sdtEndPr>
      <w:sdtContent>
        <w:p w14:paraId="583321D3">
          <w:pPr>
            <w:spacing w:line="360" w:lineRule="auto"/>
            <w:jc w:val="center"/>
            <w:rPr>
              <w:rFonts w:ascii="仿宋" w:hAnsi="仿宋" w:eastAsia="仿宋" w:cs="仿宋"/>
              <w:sz w:val="18"/>
              <w:szCs w:val="21"/>
              <w:highlight w:val="none"/>
            </w:rPr>
          </w:pPr>
        </w:p>
        <w:p w14:paraId="172A9F52">
          <w:pPr>
            <w:pStyle w:val="20"/>
            <w:tabs>
              <w:tab w:val="right" w:leader="dot" w:pos="9747"/>
            </w:tabs>
            <w:rPr>
              <w:highlight w:val="none"/>
            </w:rPr>
          </w:pPr>
          <w:r>
            <w:rPr>
              <w:rFonts w:hint="eastAsia" w:ascii="仿宋" w:hAnsi="仿宋" w:eastAsia="仿宋" w:cs="仿宋"/>
              <w:sz w:val="40"/>
              <w:szCs w:val="40"/>
              <w:highlight w:val="none"/>
            </w:rPr>
            <w:fldChar w:fldCharType="begin"/>
          </w:r>
          <w:r>
            <w:rPr>
              <w:rFonts w:hint="eastAsia" w:ascii="仿宋" w:hAnsi="仿宋" w:eastAsia="仿宋" w:cs="仿宋"/>
              <w:sz w:val="40"/>
              <w:szCs w:val="40"/>
              <w:highlight w:val="none"/>
            </w:rPr>
            <w:instrText xml:space="preserve">TOC \o "1-1" \h \u </w:instrText>
          </w:r>
          <w:r>
            <w:rPr>
              <w:rFonts w:hint="eastAsia" w:ascii="仿宋" w:hAnsi="仿宋" w:eastAsia="仿宋" w:cs="仿宋"/>
              <w:sz w:val="40"/>
              <w:szCs w:val="40"/>
              <w:highlight w:val="none"/>
            </w:rPr>
            <w:fldChar w:fldCharType="separate"/>
          </w:r>
          <w:r>
            <w:rPr>
              <w:highlight w:val="none"/>
            </w:rPr>
            <w:fldChar w:fldCharType="begin"/>
          </w:r>
          <w:r>
            <w:rPr>
              <w:highlight w:val="none"/>
            </w:rPr>
            <w:instrText xml:space="preserve"> HYPERLINK \l "_Toc15187" </w:instrText>
          </w:r>
          <w:r>
            <w:rPr>
              <w:highlight w:val="none"/>
            </w:rPr>
            <w:fldChar w:fldCharType="separate"/>
          </w:r>
          <w:r>
            <w:rPr>
              <w:rFonts w:hint="eastAsia" w:ascii="仿宋" w:hAnsi="仿宋" w:eastAsia="仿宋" w:cs="仿宋"/>
              <w:highlight w:val="none"/>
            </w:rPr>
            <w:t>第一章  招标公告</w:t>
          </w:r>
          <w:r>
            <w:rPr>
              <w:highlight w:val="none"/>
            </w:rPr>
            <w:tab/>
          </w:r>
          <w:r>
            <w:rPr>
              <w:highlight w:val="none"/>
            </w:rPr>
            <w:fldChar w:fldCharType="begin"/>
          </w:r>
          <w:r>
            <w:rPr>
              <w:highlight w:val="none"/>
            </w:rPr>
            <w:instrText xml:space="preserve"> PAGEREF _Toc15187 \h </w:instrText>
          </w:r>
          <w:r>
            <w:rPr>
              <w:highlight w:val="none"/>
            </w:rPr>
            <w:fldChar w:fldCharType="separate"/>
          </w:r>
          <w:r>
            <w:rPr>
              <w:highlight w:val="none"/>
            </w:rPr>
            <w:t>1</w:t>
          </w:r>
          <w:r>
            <w:rPr>
              <w:highlight w:val="none"/>
            </w:rPr>
            <w:fldChar w:fldCharType="end"/>
          </w:r>
          <w:r>
            <w:rPr>
              <w:highlight w:val="none"/>
            </w:rPr>
            <w:fldChar w:fldCharType="end"/>
          </w:r>
        </w:p>
        <w:p w14:paraId="4C98B37E">
          <w:pPr>
            <w:pStyle w:val="20"/>
            <w:tabs>
              <w:tab w:val="right" w:leader="dot" w:pos="9747"/>
            </w:tabs>
            <w:rPr>
              <w:highlight w:val="none"/>
            </w:rPr>
          </w:pPr>
          <w:r>
            <w:rPr>
              <w:highlight w:val="none"/>
            </w:rPr>
            <w:fldChar w:fldCharType="begin"/>
          </w:r>
          <w:r>
            <w:rPr>
              <w:highlight w:val="none"/>
            </w:rPr>
            <w:instrText xml:space="preserve"> HYPERLINK \l "_Toc20968" </w:instrText>
          </w:r>
          <w:r>
            <w:rPr>
              <w:highlight w:val="none"/>
            </w:rPr>
            <w:fldChar w:fldCharType="separate"/>
          </w:r>
          <w:r>
            <w:rPr>
              <w:rFonts w:hint="eastAsia" w:ascii="仿宋" w:hAnsi="仿宋" w:eastAsia="仿宋" w:cs="仿宋"/>
              <w:highlight w:val="none"/>
            </w:rPr>
            <w:t>第二章  投标人须知</w:t>
          </w:r>
          <w:r>
            <w:rPr>
              <w:highlight w:val="none"/>
            </w:rPr>
            <w:tab/>
          </w:r>
          <w:r>
            <w:rPr>
              <w:highlight w:val="none"/>
            </w:rPr>
            <w:fldChar w:fldCharType="begin"/>
          </w:r>
          <w:r>
            <w:rPr>
              <w:highlight w:val="none"/>
            </w:rPr>
            <w:instrText xml:space="preserve"> PAGEREF _Toc20968 \h </w:instrText>
          </w:r>
          <w:r>
            <w:rPr>
              <w:highlight w:val="none"/>
            </w:rPr>
            <w:fldChar w:fldCharType="separate"/>
          </w:r>
          <w:r>
            <w:rPr>
              <w:highlight w:val="none"/>
            </w:rPr>
            <w:t>4</w:t>
          </w:r>
          <w:r>
            <w:rPr>
              <w:highlight w:val="none"/>
            </w:rPr>
            <w:fldChar w:fldCharType="end"/>
          </w:r>
          <w:r>
            <w:rPr>
              <w:highlight w:val="none"/>
            </w:rPr>
            <w:fldChar w:fldCharType="end"/>
          </w:r>
        </w:p>
        <w:p w14:paraId="63FDFC14">
          <w:pPr>
            <w:pStyle w:val="20"/>
            <w:tabs>
              <w:tab w:val="right" w:leader="dot" w:pos="9747"/>
            </w:tabs>
            <w:rPr>
              <w:highlight w:val="none"/>
            </w:rPr>
          </w:pPr>
          <w:r>
            <w:rPr>
              <w:highlight w:val="none"/>
            </w:rPr>
            <w:fldChar w:fldCharType="begin"/>
          </w:r>
          <w:r>
            <w:rPr>
              <w:highlight w:val="none"/>
            </w:rPr>
            <w:instrText xml:space="preserve"> HYPERLINK \l "_Toc19536" </w:instrText>
          </w:r>
          <w:r>
            <w:rPr>
              <w:highlight w:val="none"/>
            </w:rPr>
            <w:fldChar w:fldCharType="separate"/>
          </w:r>
          <w:r>
            <w:rPr>
              <w:rFonts w:hint="eastAsia" w:ascii="仿宋" w:hAnsi="仿宋" w:eastAsia="仿宋" w:cs="仿宋"/>
              <w:highlight w:val="none"/>
            </w:rPr>
            <w:t>第三章  投标文件格式</w:t>
          </w:r>
          <w:r>
            <w:rPr>
              <w:highlight w:val="none"/>
            </w:rPr>
            <w:tab/>
          </w:r>
          <w:r>
            <w:rPr>
              <w:highlight w:val="none"/>
            </w:rPr>
            <w:fldChar w:fldCharType="begin"/>
          </w:r>
          <w:r>
            <w:rPr>
              <w:highlight w:val="none"/>
            </w:rPr>
            <w:instrText xml:space="preserve"> PAGEREF _Toc19536 \h </w:instrText>
          </w:r>
          <w:r>
            <w:rPr>
              <w:highlight w:val="none"/>
            </w:rPr>
            <w:fldChar w:fldCharType="separate"/>
          </w:r>
          <w:r>
            <w:rPr>
              <w:highlight w:val="none"/>
            </w:rPr>
            <w:t>23</w:t>
          </w:r>
          <w:r>
            <w:rPr>
              <w:highlight w:val="none"/>
            </w:rPr>
            <w:fldChar w:fldCharType="end"/>
          </w:r>
          <w:r>
            <w:rPr>
              <w:highlight w:val="none"/>
            </w:rPr>
            <w:fldChar w:fldCharType="end"/>
          </w:r>
        </w:p>
        <w:p w14:paraId="69578D10">
          <w:pPr>
            <w:pStyle w:val="20"/>
            <w:tabs>
              <w:tab w:val="right" w:leader="dot" w:pos="9747"/>
            </w:tabs>
            <w:rPr>
              <w:highlight w:val="none"/>
            </w:rPr>
          </w:pPr>
          <w:r>
            <w:rPr>
              <w:highlight w:val="none"/>
            </w:rPr>
            <w:fldChar w:fldCharType="begin"/>
          </w:r>
          <w:r>
            <w:rPr>
              <w:highlight w:val="none"/>
            </w:rPr>
            <w:instrText xml:space="preserve"> HYPERLINK \l "_Toc21070" </w:instrText>
          </w:r>
          <w:r>
            <w:rPr>
              <w:highlight w:val="none"/>
            </w:rPr>
            <w:fldChar w:fldCharType="separate"/>
          </w:r>
          <w:r>
            <w:rPr>
              <w:rFonts w:hint="eastAsia" w:ascii="仿宋" w:hAnsi="仿宋" w:eastAsia="仿宋" w:cs="仿宋"/>
              <w:highlight w:val="none"/>
            </w:rPr>
            <w:t>第四章  招标项目技术要求</w:t>
          </w:r>
          <w:r>
            <w:rPr>
              <w:highlight w:val="none"/>
            </w:rPr>
            <w:tab/>
          </w:r>
          <w:r>
            <w:rPr>
              <w:highlight w:val="none"/>
            </w:rPr>
            <w:fldChar w:fldCharType="begin"/>
          </w:r>
          <w:r>
            <w:rPr>
              <w:highlight w:val="none"/>
            </w:rPr>
            <w:instrText xml:space="preserve"> PAGEREF _Toc21070 \h </w:instrText>
          </w:r>
          <w:r>
            <w:rPr>
              <w:highlight w:val="none"/>
            </w:rPr>
            <w:fldChar w:fldCharType="separate"/>
          </w:r>
          <w:r>
            <w:rPr>
              <w:highlight w:val="none"/>
            </w:rPr>
            <w:t>44</w:t>
          </w:r>
          <w:r>
            <w:rPr>
              <w:highlight w:val="none"/>
            </w:rPr>
            <w:fldChar w:fldCharType="end"/>
          </w:r>
          <w:r>
            <w:rPr>
              <w:highlight w:val="none"/>
            </w:rPr>
            <w:fldChar w:fldCharType="end"/>
          </w:r>
        </w:p>
        <w:p w14:paraId="7D4171CA">
          <w:pPr>
            <w:pStyle w:val="20"/>
            <w:tabs>
              <w:tab w:val="right" w:leader="dot" w:pos="9747"/>
            </w:tabs>
            <w:rPr>
              <w:highlight w:val="none"/>
            </w:rPr>
          </w:pPr>
          <w:r>
            <w:rPr>
              <w:highlight w:val="none"/>
            </w:rPr>
            <w:fldChar w:fldCharType="begin"/>
          </w:r>
          <w:r>
            <w:rPr>
              <w:highlight w:val="none"/>
            </w:rPr>
            <w:instrText xml:space="preserve"> HYPERLINK \l "_Toc4510" </w:instrText>
          </w:r>
          <w:r>
            <w:rPr>
              <w:highlight w:val="none"/>
            </w:rPr>
            <w:fldChar w:fldCharType="separate"/>
          </w:r>
          <w:r>
            <w:rPr>
              <w:rFonts w:hint="eastAsia" w:ascii="仿宋" w:hAnsi="仿宋" w:eastAsia="仿宋" w:cs="仿宋"/>
              <w:highlight w:val="none"/>
            </w:rPr>
            <w:t>第五章  评标办法</w:t>
          </w:r>
          <w:r>
            <w:rPr>
              <w:highlight w:val="none"/>
            </w:rPr>
            <w:tab/>
          </w:r>
          <w:r>
            <w:rPr>
              <w:highlight w:val="none"/>
            </w:rPr>
            <w:fldChar w:fldCharType="begin"/>
          </w:r>
          <w:r>
            <w:rPr>
              <w:highlight w:val="none"/>
            </w:rPr>
            <w:instrText xml:space="preserve"> PAGEREF _Toc4510 \h </w:instrText>
          </w:r>
          <w:r>
            <w:rPr>
              <w:highlight w:val="none"/>
            </w:rPr>
            <w:fldChar w:fldCharType="separate"/>
          </w:r>
          <w:r>
            <w:rPr>
              <w:highlight w:val="none"/>
            </w:rPr>
            <w:t>95</w:t>
          </w:r>
          <w:r>
            <w:rPr>
              <w:highlight w:val="none"/>
            </w:rPr>
            <w:fldChar w:fldCharType="end"/>
          </w:r>
          <w:r>
            <w:rPr>
              <w:highlight w:val="none"/>
            </w:rPr>
            <w:fldChar w:fldCharType="end"/>
          </w:r>
        </w:p>
        <w:p w14:paraId="67EEC7C9">
          <w:pPr>
            <w:pStyle w:val="20"/>
            <w:tabs>
              <w:tab w:val="right" w:leader="dot" w:pos="9747"/>
            </w:tabs>
            <w:rPr>
              <w:highlight w:val="none"/>
            </w:rPr>
          </w:pPr>
          <w:r>
            <w:rPr>
              <w:highlight w:val="none"/>
            </w:rPr>
            <w:fldChar w:fldCharType="begin"/>
          </w:r>
          <w:r>
            <w:rPr>
              <w:highlight w:val="none"/>
            </w:rPr>
            <w:instrText xml:space="preserve"> HYPERLINK \l "_Toc3329" </w:instrText>
          </w:r>
          <w:r>
            <w:rPr>
              <w:highlight w:val="none"/>
            </w:rPr>
            <w:fldChar w:fldCharType="separate"/>
          </w:r>
          <w:r>
            <w:rPr>
              <w:rFonts w:hint="eastAsia" w:ascii="仿宋" w:hAnsi="仿宋" w:eastAsia="仿宋" w:cs="仿宋"/>
              <w:highlight w:val="none"/>
            </w:rPr>
            <w:t>第六章  拟签订的合同文本</w:t>
          </w:r>
          <w:r>
            <w:rPr>
              <w:highlight w:val="none"/>
            </w:rPr>
            <w:tab/>
          </w:r>
          <w:r>
            <w:rPr>
              <w:highlight w:val="none"/>
            </w:rPr>
            <w:fldChar w:fldCharType="begin"/>
          </w:r>
          <w:r>
            <w:rPr>
              <w:highlight w:val="none"/>
            </w:rPr>
            <w:instrText xml:space="preserve"> PAGEREF _Toc3329 \h </w:instrText>
          </w:r>
          <w:r>
            <w:rPr>
              <w:highlight w:val="none"/>
            </w:rPr>
            <w:fldChar w:fldCharType="separate"/>
          </w:r>
          <w:r>
            <w:rPr>
              <w:highlight w:val="none"/>
            </w:rPr>
            <w:t>108</w:t>
          </w:r>
          <w:r>
            <w:rPr>
              <w:highlight w:val="none"/>
            </w:rPr>
            <w:fldChar w:fldCharType="end"/>
          </w:r>
          <w:r>
            <w:rPr>
              <w:highlight w:val="none"/>
            </w:rPr>
            <w:fldChar w:fldCharType="end"/>
          </w:r>
        </w:p>
        <w:p w14:paraId="77A6D75B">
          <w:pPr>
            <w:pStyle w:val="2"/>
            <w:spacing w:line="360" w:lineRule="auto"/>
            <w:rPr>
              <w:rFonts w:ascii="仿宋" w:hAnsi="仿宋" w:eastAsia="仿宋" w:cs="仿宋"/>
              <w:highlight w:val="none"/>
            </w:rPr>
            <w:sectPr>
              <w:headerReference r:id="rId8" w:type="default"/>
              <w:footerReference r:id="rId9" w:type="default"/>
              <w:pgSz w:w="11907" w:h="16840"/>
              <w:pgMar w:top="1440" w:right="1080" w:bottom="1440" w:left="1080" w:header="851" w:footer="992" w:gutter="0"/>
              <w:pgNumType w:start="1"/>
              <w:cols w:space="720" w:num="1"/>
              <w:docGrid w:linePitch="312" w:charSpace="0"/>
            </w:sectPr>
          </w:pPr>
          <w:r>
            <w:rPr>
              <w:rFonts w:hint="eastAsia" w:ascii="仿宋" w:hAnsi="仿宋" w:eastAsia="仿宋" w:cs="仿宋"/>
              <w:szCs w:val="40"/>
              <w:highlight w:val="none"/>
            </w:rPr>
            <w:fldChar w:fldCharType="end"/>
          </w:r>
        </w:p>
      </w:sdtContent>
    </w:sdt>
    <w:p w14:paraId="59999761">
      <w:pPr>
        <w:pStyle w:val="3"/>
        <w:rPr>
          <w:rFonts w:ascii="仿宋" w:hAnsi="仿宋" w:eastAsia="仿宋" w:cs="仿宋"/>
          <w:sz w:val="24"/>
          <w:szCs w:val="24"/>
          <w:highlight w:val="none"/>
        </w:rPr>
      </w:pPr>
      <w:bookmarkStart w:id="3" w:name="_Toc647_WPSOffice_Level1"/>
      <w:bookmarkStart w:id="4" w:name="_Toc3427"/>
      <w:bookmarkStart w:id="5" w:name="_Toc15187"/>
      <w:r>
        <w:rPr>
          <w:rFonts w:hint="eastAsia" w:ascii="仿宋" w:hAnsi="仿宋" w:eastAsia="仿宋" w:cs="仿宋"/>
          <w:sz w:val="24"/>
          <w:szCs w:val="24"/>
          <w:highlight w:val="none"/>
        </w:rPr>
        <w:t xml:space="preserve">第一章  </w:t>
      </w:r>
      <w:bookmarkEnd w:id="3"/>
      <w:r>
        <w:rPr>
          <w:rFonts w:hint="eastAsia" w:ascii="仿宋" w:hAnsi="仿宋" w:eastAsia="仿宋" w:cs="仿宋"/>
          <w:sz w:val="24"/>
          <w:szCs w:val="24"/>
          <w:highlight w:val="none"/>
        </w:rPr>
        <w:t>招标公告</w:t>
      </w:r>
      <w:bookmarkEnd w:id="4"/>
      <w:bookmarkEnd w:id="5"/>
    </w:p>
    <w:p w14:paraId="2FE002C2">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ascii="仿宋" w:hAnsi="仿宋" w:eastAsia="仿宋" w:cs="仿宋"/>
          <w:sz w:val="24"/>
          <w:highlight w:val="none"/>
        </w:rPr>
      </w:pPr>
      <w:bookmarkStart w:id="6" w:name="_Toc213396945"/>
      <w:bookmarkStart w:id="7" w:name="_Toc213397009"/>
      <w:bookmarkStart w:id="8" w:name="_Toc213496267"/>
      <w:bookmarkStart w:id="9" w:name="_Toc213396759"/>
      <w:bookmarkStart w:id="10" w:name="_Toc856_WPSOffice_Level1"/>
      <w:bookmarkStart w:id="11" w:name="_Toc217446031"/>
      <w:r>
        <w:rPr>
          <w:rFonts w:hint="eastAsia" w:ascii="仿宋" w:hAnsi="仿宋" w:eastAsia="仿宋" w:cs="仿宋"/>
          <w:sz w:val="24"/>
          <w:highlight w:val="none"/>
        </w:rPr>
        <w:t>项目概况</w:t>
      </w:r>
    </w:p>
    <w:p w14:paraId="59743161">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u w:val="single"/>
          <w:lang w:eastAsia="zh-CN"/>
        </w:rPr>
        <w:t>新疆农业大学三维可视化地下管网项目</w:t>
      </w:r>
      <w:r>
        <w:rPr>
          <w:rFonts w:hint="eastAsia" w:ascii="仿宋" w:hAnsi="仿宋" w:eastAsia="仿宋" w:cs="仿宋"/>
          <w:sz w:val="24"/>
          <w:highlight w:val="none"/>
        </w:rPr>
        <w:t>招标项目的潜在投标人应在</w:t>
      </w:r>
      <w:r>
        <w:rPr>
          <w:rFonts w:hint="eastAsia" w:ascii="仿宋" w:hAnsi="仿宋" w:eastAsia="仿宋" w:cs="仿宋"/>
          <w:bCs/>
          <w:sz w:val="24"/>
          <w:highlight w:val="none"/>
          <w:u w:val="single"/>
        </w:rPr>
        <w:t>新疆政府采购云平台https://www.zcygov.cn/</w:t>
      </w:r>
      <w:r>
        <w:rPr>
          <w:rFonts w:hint="eastAsia" w:ascii="仿宋" w:hAnsi="仿宋" w:eastAsia="仿宋" w:cs="仿宋"/>
          <w:sz w:val="24"/>
          <w:highlight w:val="none"/>
        </w:rPr>
        <w:t>获取招标文件，并于</w:t>
      </w:r>
      <w:r>
        <w:rPr>
          <w:rFonts w:hint="eastAsia" w:ascii="仿宋" w:hAnsi="仿宋" w:eastAsia="仿宋" w:cs="仿宋"/>
          <w:sz w:val="24"/>
          <w:highlight w:val="none"/>
          <w:u w:val="single"/>
        </w:rPr>
        <w:t>2026</w:t>
      </w:r>
      <w:r>
        <w:rPr>
          <w:rFonts w:hint="eastAsia" w:ascii="仿宋" w:hAnsi="仿宋" w:eastAsia="仿宋" w:cs="仿宋"/>
          <w:bCs/>
          <w:sz w:val="24"/>
          <w:highlight w:val="none"/>
          <w:u w:val="single"/>
        </w:rPr>
        <w:t>年</w:t>
      </w:r>
      <w:r>
        <w:rPr>
          <w:rFonts w:hint="eastAsia" w:ascii="仿宋" w:hAnsi="仿宋" w:eastAsia="仿宋" w:cs="仿宋"/>
          <w:bCs/>
          <w:sz w:val="24"/>
          <w:highlight w:val="none"/>
          <w:u w:val="single"/>
          <w:lang w:eastAsia="zh-CN"/>
        </w:rPr>
        <w:t>07月</w:t>
      </w:r>
      <w:r>
        <w:rPr>
          <w:rFonts w:hint="eastAsia" w:ascii="仿宋" w:hAnsi="仿宋" w:eastAsia="仿宋" w:cs="仿宋"/>
          <w:bCs/>
          <w:sz w:val="24"/>
          <w:highlight w:val="none"/>
          <w:u w:val="single"/>
          <w:lang w:val="en-US" w:eastAsia="zh-CN"/>
        </w:rPr>
        <w:t>23</w:t>
      </w:r>
      <w:r>
        <w:rPr>
          <w:rFonts w:hint="eastAsia" w:ascii="仿宋" w:hAnsi="仿宋" w:eastAsia="仿宋" w:cs="仿宋"/>
          <w:bCs/>
          <w:sz w:val="24"/>
          <w:highlight w:val="none"/>
          <w:u w:val="single"/>
          <w:lang w:eastAsia="zh-CN"/>
        </w:rPr>
        <w:t>日</w:t>
      </w:r>
      <w:r>
        <w:rPr>
          <w:rFonts w:hint="eastAsia" w:ascii="仿宋" w:hAnsi="仿宋" w:eastAsia="仿宋" w:cs="仿宋"/>
          <w:bCs/>
          <w:sz w:val="24"/>
          <w:highlight w:val="none"/>
          <w:u w:val="single"/>
        </w:rPr>
        <w:t>11点00分（</w:t>
      </w:r>
      <w:r>
        <w:rPr>
          <w:rFonts w:hint="eastAsia" w:ascii="仿宋" w:hAnsi="仿宋" w:eastAsia="仿宋" w:cs="仿宋"/>
          <w:bCs/>
          <w:sz w:val="24"/>
          <w:highlight w:val="none"/>
        </w:rPr>
        <w:t>北京时间）前上传投标文件</w:t>
      </w:r>
      <w:r>
        <w:rPr>
          <w:rFonts w:hint="eastAsia" w:ascii="仿宋" w:hAnsi="仿宋" w:eastAsia="仿宋" w:cs="仿宋"/>
          <w:sz w:val="24"/>
          <w:highlight w:val="none"/>
        </w:rPr>
        <w:t>。</w:t>
      </w:r>
    </w:p>
    <w:p w14:paraId="487F0DEA">
      <w:pPr>
        <w:pStyle w:val="64"/>
        <w:widowControl/>
        <w:adjustRightInd/>
        <w:spacing w:line="360" w:lineRule="auto"/>
        <w:jc w:val="left"/>
        <w:textAlignment w:val="auto"/>
        <w:rPr>
          <w:rFonts w:ascii="仿宋" w:hAnsi="仿宋" w:eastAsia="仿宋" w:cs="仿宋"/>
          <w:b/>
          <w:sz w:val="24"/>
          <w:szCs w:val="24"/>
          <w:highlight w:val="none"/>
        </w:rPr>
      </w:pPr>
      <w:bookmarkStart w:id="12" w:name="_Toc28359080"/>
      <w:bookmarkStart w:id="13" w:name="_Toc28359003"/>
      <w:bookmarkStart w:id="14" w:name="_Toc35393622"/>
      <w:bookmarkStart w:id="15" w:name="_Toc35393791"/>
      <w:r>
        <w:rPr>
          <w:rFonts w:hint="eastAsia" w:ascii="仿宋" w:hAnsi="仿宋" w:eastAsia="仿宋" w:cs="仿宋"/>
          <w:b/>
          <w:sz w:val="24"/>
          <w:szCs w:val="24"/>
          <w:highlight w:val="none"/>
        </w:rPr>
        <w:t>一、项目基本情况：</w:t>
      </w:r>
    </w:p>
    <w:p w14:paraId="269384BF">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项目编号：</w:t>
      </w:r>
      <w:r>
        <w:rPr>
          <w:rFonts w:hint="eastAsia" w:ascii="仿宋" w:hAnsi="仿宋" w:eastAsia="仿宋" w:cs="仿宋"/>
          <w:bCs/>
          <w:sz w:val="24"/>
          <w:szCs w:val="24"/>
          <w:highlight w:val="none"/>
          <w:lang w:eastAsia="zh-CN"/>
        </w:rPr>
        <w:t>[2026]8296号-1</w:t>
      </w:r>
    </w:p>
    <w:p w14:paraId="6E02A26A">
      <w:pPr>
        <w:pStyle w:val="64"/>
        <w:widowControl/>
        <w:adjustRightInd/>
        <w:spacing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bCs/>
          <w:sz w:val="24"/>
          <w:szCs w:val="24"/>
          <w:highlight w:val="none"/>
        </w:rPr>
        <w:t>项目名称：</w:t>
      </w:r>
      <w:r>
        <w:rPr>
          <w:rFonts w:hint="eastAsia" w:ascii="仿宋" w:hAnsi="仿宋" w:eastAsia="仿宋" w:cs="仿宋"/>
          <w:sz w:val="24"/>
          <w:szCs w:val="24"/>
          <w:highlight w:val="none"/>
          <w:lang w:eastAsia="zh-CN"/>
        </w:rPr>
        <w:t>新疆农业大学三维可视化地下管网项目</w:t>
      </w:r>
    </w:p>
    <w:p w14:paraId="44D27CDE">
      <w:pPr>
        <w:pStyle w:val="64"/>
        <w:widowControl/>
        <w:adjustRightInd/>
        <w:spacing w:line="360" w:lineRule="auto"/>
        <w:ind w:firstLine="480" w:firstLine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采购方式：公开招标</w:t>
      </w:r>
    </w:p>
    <w:p w14:paraId="51186408">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预算金额（元）：</w:t>
      </w:r>
      <w:r>
        <w:rPr>
          <w:rFonts w:hint="eastAsia" w:ascii="仿宋" w:hAnsi="仿宋" w:eastAsia="仿宋" w:cs="仿宋"/>
          <w:bCs/>
          <w:sz w:val="24"/>
          <w:szCs w:val="24"/>
          <w:highlight w:val="none"/>
          <w:lang w:eastAsia="zh-CN"/>
        </w:rPr>
        <w:t>2800000.00</w:t>
      </w:r>
    </w:p>
    <w:p w14:paraId="7B35DD2C">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最高限价（元）：</w:t>
      </w:r>
      <w:r>
        <w:rPr>
          <w:rFonts w:hint="eastAsia" w:ascii="仿宋" w:hAnsi="仿宋" w:eastAsia="仿宋" w:cs="仿宋"/>
          <w:bCs/>
          <w:sz w:val="24"/>
          <w:szCs w:val="24"/>
          <w:highlight w:val="none"/>
          <w:lang w:eastAsia="zh-CN"/>
        </w:rPr>
        <w:t>2800000.00</w:t>
      </w:r>
    </w:p>
    <w:p w14:paraId="61A3FA7A">
      <w:pPr>
        <w:pStyle w:val="64"/>
        <w:widowControl/>
        <w:adjustRightInd/>
        <w:spacing w:line="360" w:lineRule="auto"/>
        <w:ind w:firstLine="480" w:firstLine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采购需求：</w:t>
      </w:r>
    </w:p>
    <w:p w14:paraId="5B12182B">
      <w:pPr>
        <w:pStyle w:val="64"/>
        <w:widowControl/>
        <w:adjustRightInd/>
        <w:spacing w:line="360" w:lineRule="auto"/>
        <w:ind w:firstLine="480" w:firstLineChars="200"/>
        <w:jc w:val="left"/>
        <w:textAlignment w:val="auto"/>
        <w:rPr>
          <w:rFonts w:hint="eastAsia" w:ascii="仿宋" w:hAnsi="仿宋" w:eastAsia="仿宋" w:cs="仿宋"/>
          <w:sz w:val="24"/>
          <w:szCs w:val="24"/>
          <w:highlight w:val="none"/>
          <w:u w:val="single"/>
          <w:lang w:eastAsia="zh-CN"/>
        </w:rPr>
      </w:pPr>
      <w:r>
        <w:rPr>
          <w:rFonts w:hint="eastAsia" w:ascii="仿宋" w:hAnsi="仿宋" w:eastAsia="仿宋" w:cs="仿宋"/>
          <w:bCs/>
          <w:sz w:val="24"/>
          <w:szCs w:val="24"/>
          <w:highlight w:val="none"/>
        </w:rPr>
        <w:t xml:space="preserve">   标项名称:</w:t>
      </w:r>
      <w:r>
        <w:rPr>
          <w:rFonts w:hint="eastAsia" w:ascii="仿宋" w:hAnsi="仿宋" w:eastAsia="仿宋" w:cs="仿宋"/>
          <w:sz w:val="24"/>
          <w:szCs w:val="24"/>
          <w:highlight w:val="none"/>
          <w:lang w:eastAsia="zh-CN"/>
        </w:rPr>
        <w:t>新疆农业大学三维可视化地下管网项目</w:t>
      </w:r>
    </w:p>
    <w:p w14:paraId="449CFE0C">
      <w:pPr>
        <w:pStyle w:val="64"/>
        <w:widowControl/>
        <w:adjustRightInd/>
        <w:spacing w:line="360" w:lineRule="auto"/>
        <w:ind w:firstLine="480" w:firstLine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   数量:1</w:t>
      </w:r>
      <w:bookmarkStart w:id="240" w:name="_GoBack"/>
      <w:bookmarkEnd w:id="240"/>
    </w:p>
    <w:p w14:paraId="49AE8E35">
      <w:pPr>
        <w:pStyle w:val="64"/>
        <w:widowControl/>
        <w:adjustRightInd/>
        <w:spacing w:line="360" w:lineRule="auto"/>
        <w:ind w:firstLine="480" w:firstLine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   预算金额（元）：</w:t>
      </w:r>
      <w:r>
        <w:rPr>
          <w:rFonts w:hint="eastAsia" w:ascii="仿宋" w:hAnsi="仿宋" w:eastAsia="仿宋" w:cs="仿宋"/>
          <w:bCs/>
          <w:sz w:val="24"/>
          <w:szCs w:val="24"/>
          <w:highlight w:val="none"/>
          <w:lang w:eastAsia="zh-CN"/>
        </w:rPr>
        <w:t>2800000.00</w:t>
      </w:r>
      <w:r>
        <w:rPr>
          <w:rFonts w:hint="eastAsia" w:ascii="仿宋" w:hAnsi="仿宋" w:eastAsia="仿宋" w:cs="仿宋"/>
          <w:bCs/>
          <w:sz w:val="24"/>
          <w:szCs w:val="24"/>
          <w:highlight w:val="none"/>
        </w:rPr>
        <w:t>元</w:t>
      </w:r>
    </w:p>
    <w:p w14:paraId="58112BDF">
      <w:pPr>
        <w:pStyle w:val="3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   简要规格描述或项目基本概况介绍、用途：</w:t>
      </w:r>
      <w:r>
        <w:rPr>
          <w:rFonts w:hint="eastAsia" w:ascii="仿宋" w:hAnsi="仿宋" w:eastAsia="仿宋" w:cs="仿宋"/>
          <w:bCs/>
          <w:sz w:val="24"/>
          <w:szCs w:val="24"/>
          <w:highlight w:val="none"/>
          <w:lang w:eastAsia="zh-CN"/>
        </w:rPr>
        <w:t>新疆农业大学三维可视化地下管网项目</w:t>
      </w:r>
      <w:r>
        <w:rPr>
          <w:rFonts w:hint="eastAsia" w:ascii="仿宋" w:hAnsi="仿宋" w:eastAsia="仿宋" w:cs="仿宋"/>
          <w:sz w:val="24"/>
          <w:szCs w:val="24"/>
          <w:highlight w:val="none"/>
        </w:rPr>
        <w:t>，内容详见“</w:t>
      </w:r>
      <w:r>
        <w:rPr>
          <w:rFonts w:hint="eastAsia" w:ascii="仿宋" w:hAnsi="仿宋" w:eastAsia="仿宋" w:cs="仿宋"/>
          <w:bCs/>
          <w:sz w:val="24"/>
          <w:szCs w:val="24"/>
          <w:highlight w:val="none"/>
        </w:rPr>
        <w:t>第四章 招标项目技术要求</w:t>
      </w:r>
      <w:r>
        <w:rPr>
          <w:rFonts w:hint="eastAsia" w:ascii="仿宋" w:hAnsi="仿宋" w:eastAsia="仿宋" w:cs="仿宋"/>
          <w:sz w:val="24"/>
          <w:szCs w:val="24"/>
          <w:highlight w:val="none"/>
        </w:rPr>
        <w:t>”；</w:t>
      </w:r>
    </w:p>
    <w:p w14:paraId="5A9F07F1">
      <w:pPr>
        <w:pStyle w:val="39"/>
        <w:spacing w:line="360" w:lineRule="auto"/>
        <w:ind w:firstLine="480" w:firstLineChars="200"/>
        <w:rPr>
          <w:rFonts w:ascii="仿宋" w:hAnsi="仿宋" w:eastAsia="仿宋" w:cs="仿宋"/>
          <w:bCs/>
          <w:kern w:val="0"/>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bCs/>
          <w:kern w:val="0"/>
          <w:sz w:val="24"/>
          <w:szCs w:val="24"/>
          <w:highlight w:val="none"/>
        </w:rPr>
        <w:t>备注：/</w:t>
      </w:r>
    </w:p>
    <w:p w14:paraId="249B2B46">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sz w:val="24"/>
          <w:szCs w:val="24"/>
          <w:highlight w:val="none"/>
        </w:rPr>
        <w:t>合同履约期</w:t>
      </w:r>
      <w:r>
        <w:rPr>
          <w:rFonts w:hint="eastAsia" w:ascii="仿宋" w:hAnsi="仿宋" w:eastAsia="仿宋" w:cs="仿宋"/>
          <w:bCs/>
          <w:color w:val="auto"/>
          <w:sz w:val="24"/>
          <w:szCs w:val="24"/>
          <w:highlight w:val="none"/>
        </w:rPr>
        <w:t>限：本项目为交钥匙工程，项目建设周期为自合同签订起130天，完成信息测绘、平台部署、软硬件安装、集成对接等工作。</w:t>
      </w:r>
    </w:p>
    <w:p w14:paraId="29FB7922">
      <w:pPr>
        <w:pStyle w:val="64"/>
        <w:widowControl/>
        <w:adjustRightInd/>
        <w:spacing w:line="360" w:lineRule="auto"/>
        <w:ind w:firstLine="480" w:firstLineChars="200"/>
        <w:jc w:val="left"/>
        <w:textAlignment w:val="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本项目（否）接受联合体投标。</w:t>
      </w:r>
    </w:p>
    <w:p w14:paraId="013D1405">
      <w:pPr>
        <w:pStyle w:val="64"/>
        <w:widowControl/>
        <w:adjustRightInd/>
        <w:spacing w:line="360" w:lineRule="auto"/>
        <w:jc w:val="left"/>
        <w:textAlignment w:val="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二、申请人的资格要求：</w:t>
      </w:r>
      <w:bookmarkEnd w:id="12"/>
      <w:bookmarkEnd w:id="13"/>
      <w:bookmarkEnd w:id="14"/>
      <w:bookmarkEnd w:id="15"/>
    </w:p>
    <w:p w14:paraId="6AAAA2AE">
      <w:pPr>
        <w:spacing w:line="360" w:lineRule="auto"/>
        <w:ind w:firstLine="480" w:firstLineChars="200"/>
        <w:rPr>
          <w:rFonts w:ascii="仿宋" w:hAnsi="仿宋" w:eastAsia="仿宋" w:cs="仿宋"/>
          <w:sz w:val="24"/>
          <w:highlight w:val="none"/>
        </w:rPr>
      </w:pPr>
      <w:r>
        <w:rPr>
          <w:rFonts w:hint="eastAsia" w:ascii="仿宋" w:hAnsi="仿宋" w:eastAsia="仿宋" w:cs="仿宋"/>
          <w:color w:val="auto"/>
          <w:sz w:val="24"/>
          <w:highlight w:val="none"/>
        </w:rPr>
        <w:t>1.满足《中华人民共和国</w:t>
      </w:r>
      <w:r>
        <w:rPr>
          <w:rFonts w:hint="eastAsia" w:ascii="仿宋" w:hAnsi="仿宋" w:eastAsia="仿宋" w:cs="仿宋"/>
          <w:sz w:val="24"/>
          <w:highlight w:val="none"/>
        </w:rPr>
        <w:t>政府采购法》第二十二条规定；</w:t>
      </w:r>
    </w:p>
    <w:p w14:paraId="59733B5C">
      <w:pPr>
        <w:spacing w:line="360" w:lineRule="auto"/>
        <w:ind w:firstLine="480" w:firstLineChars="200"/>
        <w:rPr>
          <w:rFonts w:hint="eastAsia" w:ascii="仿宋" w:hAnsi="仿宋" w:eastAsia="仿宋" w:cs="仿宋"/>
          <w:sz w:val="24"/>
          <w:highlight w:val="none"/>
          <w:lang w:eastAsia="zh-CN"/>
        </w:rPr>
      </w:pPr>
      <w:bookmarkStart w:id="16" w:name="_Toc28359081"/>
      <w:bookmarkStart w:id="17" w:name="_Toc28359004"/>
      <w:r>
        <w:rPr>
          <w:rFonts w:hint="eastAsia" w:ascii="仿宋" w:hAnsi="仿宋" w:eastAsia="仿宋" w:cs="仿宋"/>
          <w:sz w:val="24"/>
          <w:highlight w:val="none"/>
        </w:rPr>
        <w:t>2.落实政府采购政策需满足的资格要求：</w:t>
      </w:r>
      <w:r>
        <w:rPr>
          <w:rFonts w:hint="eastAsia" w:ascii="仿宋" w:hAnsi="仿宋" w:eastAsia="仿宋" w:cs="仿宋"/>
          <w:sz w:val="24"/>
          <w:highlight w:val="none"/>
          <w:lang w:eastAsia="zh-CN"/>
        </w:rPr>
        <w:t>本项目为非专门面向中小企业（含中型、小型、微型企业）采购项目；</w:t>
      </w:r>
    </w:p>
    <w:p w14:paraId="461EB29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3.本项目的特定资格要求：</w:t>
      </w:r>
    </w:p>
    <w:p w14:paraId="34B0046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eastAsia="zh-CN"/>
        </w:rPr>
        <w:t>具有有效期内的测绘行政主管部门颁发的乙级（含）以上测绘资质证书</w:t>
      </w:r>
      <w:r>
        <w:rPr>
          <w:rFonts w:hint="eastAsia" w:ascii="仿宋" w:hAnsi="仿宋" w:eastAsia="仿宋" w:cs="仿宋"/>
          <w:sz w:val="24"/>
          <w:highlight w:val="none"/>
        </w:rPr>
        <w:t>；</w:t>
      </w:r>
    </w:p>
    <w:p w14:paraId="6998974D">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）除单一来源采购外，为采购项目提供整体设计、规范编制或者项目管理、监理、检测等服务的供应商，不得再参加该采购项目的其他采购活动；（</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）单位负责人为同一人或者存在直接控股、管理关系的不同供应商不得参加本项目同一包的采购活动。</w:t>
      </w:r>
    </w:p>
    <w:p w14:paraId="0E09E2DD">
      <w:pPr>
        <w:pStyle w:val="64"/>
        <w:widowControl/>
        <w:adjustRightInd/>
        <w:spacing w:line="360" w:lineRule="auto"/>
        <w:jc w:val="left"/>
        <w:textAlignment w:val="auto"/>
        <w:rPr>
          <w:rFonts w:ascii="仿宋" w:hAnsi="仿宋" w:eastAsia="仿宋" w:cs="仿宋"/>
          <w:b/>
          <w:sz w:val="24"/>
          <w:szCs w:val="24"/>
          <w:highlight w:val="none"/>
        </w:rPr>
      </w:pPr>
      <w:bookmarkStart w:id="18" w:name="_Toc35393792"/>
      <w:bookmarkStart w:id="19" w:name="_Toc35393623"/>
      <w:r>
        <w:rPr>
          <w:rFonts w:hint="eastAsia" w:ascii="仿宋" w:hAnsi="仿宋" w:eastAsia="仿宋" w:cs="仿宋"/>
          <w:b/>
          <w:sz w:val="24"/>
          <w:szCs w:val="24"/>
          <w:highlight w:val="none"/>
        </w:rPr>
        <w:t>三、获取招标文件</w:t>
      </w:r>
      <w:bookmarkEnd w:id="16"/>
      <w:bookmarkEnd w:id="17"/>
      <w:bookmarkEnd w:id="18"/>
      <w:bookmarkEnd w:id="19"/>
    </w:p>
    <w:p w14:paraId="22321DA4">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时间：2026年06月</w:t>
      </w:r>
      <w:r>
        <w:rPr>
          <w:rFonts w:hint="eastAsia" w:ascii="仿宋" w:hAnsi="仿宋" w:eastAsia="仿宋" w:cs="仿宋"/>
          <w:sz w:val="24"/>
          <w:highlight w:val="none"/>
          <w:lang w:val="en-US" w:eastAsia="zh-CN"/>
        </w:rPr>
        <w:t>30</w:t>
      </w:r>
      <w:r>
        <w:rPr>
          <w:rFonts w:hint="eastAsia" w:ascii="仿宋" w:hAnsi="仿宋" w:eastAsia="仿宋" w:cs="仿宋"/>
          <w:sz w:val="24"/>
          <w:highlight w:val="none"/>
        </w:rPr>
        <w:t>日至2026年0</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07</w:t>
      </w:r>
      <w:r>
        <w:rPr>
          <w:rFonts w:hint="eastAsia" w:ascii="仿宋" w:hAnsi="仿宋" w:eastAsia="仿宋" w:cs="仿宋"/>
          <w:sz w:val="24"/>
          <w:highlight w:val="none"/>
        </w:rPr>
        <w:t>日，每天上午00:00至14:00，下午14:00至23:59（北京时间，法定节假日除外）</w:t>
      </w:r>
    </w:p>
    <w:p w14:paraId="7AB7CDFB">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地点：政采云平台线上</w:t>
      </w:r>
    </w:p>
    <w:p w14:paraId="4EB9C4B3">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方式：投标人登录新疆政府采购云平台https://www.zcygov.cn/在线申请获取招标文件（登录政府采购云平台→项目采购→获取招标文件→申请，审核通过后可下载招标文件）。</w:t>
      </w:r>
    </w:p>
    <w:p w14:paraId="3B9E9172">
      <w:pPr>
        <w:spacing w:line="360" w:lineRule="auto"/>
        <w:ind w:firstLine="540"/>
        <w:rPr>
          <w:rFonts w:ascii="仿宋" w:hAnsi="仿宋" w:eastAsia="仿宋" w:cs="仿宋"/>
          <w:sz w:val="24"/>
          <w:highlight w:val="none"/>
        </w:rPr>
      </w:pPr>
      <w:r>
        <w:rPr>
          <w:rFonts w:hint="eastAsia" w:ascii="仿宋" w:hAnsi="仿宋" w:eastAsia="仿宋" w:cs="仿宋"/>
          <w:sz w:val="24"/>
          <w:highlight w:val="none"/>
        </w:rPr>
        <w:t>售价（元）：0</w:t>
      </w:r>
    </w:p>
    <w:p w14:paraId="645D4461">
      <w:pPr>
        <w:pStyle w:val="64"/>
        <w:widowControl/>
        <w:adjustRightInd/>
        <w:spacing w:line="360" w:lineRule="auto"/>
        <w:jc w:val="left"/>
        <w:textAlignment w:val="auto"/>
        <w:rPr>
          <w:rFonts w:ascii="仿宋" w:hAnsi="仿宋" w:eastAsia="仿宋" w:cs="仿宋"/>
          <w:b/>
          <w:sz w:val="24"/>
          <w:szCs w:val="24"/>
          <w:highlight w:val="none"/>
        </w:rPr>
      </w:pPr>
      <w:bookmarkStart w:id="20" w:name="_Toc28359082"/>
      <w:bookmarkStart w:id="21" w:name="_Toc28359005"/>
      <w:bookmarkStart w:id="22" w:name="_Toc35393793"/>
      <w:bookmarkStart w:id="23" w:name="_Toc35393624"/>
      <w:r>
        <w:rPr>
          <w:rFonts w:hint="eastAsia" w:ascii="仿宋" w:hAnsi="仿宋" w:eastAsia="仿宋" w:cs="仿宋"/>
          <w:b/>
          <w:sz w:val="24"/>
          <w:szCs w:val="24"/>
          <w:highlight w:val="none"/>
        </w:rPr>
        <w:t>四、提交投标文件</w:t>
      </w:r>
      <w:bookmarkEnd w:id="20"/>
      <w:bookmarkEnd w:id="21"/>
      <w:r>
        <w:rPr>
          <w:rFonts w:hint="eastAsia" w:ascii="仿宋" w:hAnsi="仿宋" w:eastAsia="仿宋" w:cs="仿宋"/>
          <w:b/>
          <w:sz w:val="24"/>
          <w:szCs w:val="24"/>
          <w:highlight w:val="none"/>
        </w:rPr>
        <w:t>截止时间、开标时间和地点</w:t>
      </w:r>
      <w:bookmarkEnd w:id="22"/>
      <w:bookmarkEnd w:id="23"/>
    </w:p>
    <w:p w14:paraId="6DD2D8E6">
      <w:pPr>
        <w:spacing w:line="360" w:lineRule="auto"/>
        <w:ind w:firstLine="540"/>
        <w:rPr>
          <w:rFonts w:hint="eastAsia" w:ascii="仿宋" w:hAnsi="仿宋" w:eastAsia="仿宋" w:cs="仿宋"/>
          <w:sz w:val="24"/>
          <w:highlight w:val="none"/>
        </w:rPr>
      </w:pPr>
      <w:bookmarkStart w:id="24" w:name="_Toc35393625"/>
      <w:bookmarkStart w:id="25" w:name="_Toc28359084"/>
      <w:bookmarkStart w:id="26" w:name="_Toc28359007"/>
      <w:bookmarkStart w:id="27" w:name="_Toc35393794"/>
      <w:r>
        <w:rPr>
          <w:rFonts w:hint="eastAsia" w:ascii="仿宋" w:hAnsi="仿宋" w:eastAsia="仿宋" w:cs="仿宋"/>
          <w:sz w:val="24"/>
          <w:highlight w:val="none"/>
        </w:rPr>
        <w:t>提交投标文件截止时间：</w:t>
      </w:r>
      <w:r>
        <w:rPr>
          <w:rFonts w:hint="eastAsia" w:ascii="仿宋" w:hAnsi="仿宋" w:eastAsia="仿宋" w:cs="仿宋"/>
          <w:sz w:val="24"/>
          <w:highlight w:val="none"/>
          <w:lang w:eastAsia="zh-CN"/>
        </w:rPr>
        <w:t>2026年07月23日</w:t>
      </w:r>
      <w:r>
        <w:rPr>
          <w:rFonts w:hint="eastAsia" w:ascii="仿宋" w:hAnsi="仿宋" w:eastAsia="仿宋" w:cs="仿宋"/>
          <w:sz w:val="24"/>
          <w:highlight w:val="none"/>
        </w:rPr>
        <w:t xml:space="preserve"> 11:00（北京时间）</w:t>
      </w:r>
    </w:p>
    <w:p w14:paraId="6F381CC2">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投标地点：请登录政采云投标客户端投标</w:t>
      </w:r>
    </w:p>
    <w:p w14:paraId="43B900F0">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开标时间：</w:t>
      </w:r>
      <w:r>
        <w:rPr>
          <w:rFonts w:hint="eastAsia" w:ascii="仿宋" w:hAnsi="仿宋" w:eastAsia="仿宋" w:cs="仿宋"/>
          <w:sz w:val="24"/>
          <w:highlight w:val="none"/>
          <w:lang w:eastAsia="zh-CN"/>
        </w:rPr>
        <w:t>2026年07月23日</w:t>
      </w:r>
      <w:r>
        <w:rPr>
          <w:rFonts w:hint="eastAsia" w:ascii="仿宋" w:hAnsi="仿宋" w:eastAsia="仿宋" w:cs="仿宋"/>
          <w:sz w:val="24"/>
          <w:highlight w:val="none"/>
        </w:rPr>
        <w:t xml:space="preserve"> 11:00（北京时间）</w:t>
      </w:r>
    </w:p>
    <w:p w14:paraId="6E3F6902">
      <w:pPr>
        <w:spacing w:line="360" w:lineRule="auto"/>
        <w:ind w:firstLine="540"/>
        <w:rPr>
          <w:rFonts w:ascii="仿宋" w:hAnsi="仿宋" w:eastAsia="仿宋" w:cs="仿宋"/>
          <w:sz w:val="24"/>
          <w:highlight w:val="none"/>
        </w:rPr>
      </w:pPr>
      <w:r>
        <w:rPr>
          <w:rFonts w:hint="eastAsia" w:ascii="仿宋" w:hAnsi="仿宋" w:eastAsia="仿宋" w:cs="仿宋"/>
          <w:sz w:val="24"/>
          <w:highlight w:val="none"/>
        </w:rPr>
        <w:t>开标地点：投标人登录政采云平台https://www.zcygov.cn/，进入“项目采购-开标评标-右边选择对应项目点击“进入项目”进入开标大厅。</w:t>
      </w:r>
    </w:p>
    <w:p w14:paraId="24D5A098">
      <w:pPr>
        <w:pStyle w:val="64"/>
        <w:widowControl/>
        <w:adjustRightInd/>
        <w:spacing w:line="360" w:lineRule="auto"/>
        <w:jc w:val="left"/>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五、公告期限</w:t>
      </w:r>
      <w:bookmarkEnd w:id="24"/>
      <w:bookmarkEnd w:id="25"/>
      <w:bookmarkEnd w:id="26"/>
      <w:bookmarkEnd w:id="27"/>
    </w:p>
    <w:p w14:paraId="00007B0C">
      <w:pPr>
        <w:spacing w:line="360" w:lineRule="auto"/>
        <w:ind w:firstLine="540"/>
        <w:rPr>
          <w:rFonts w:ascii="仿宋" w:hAnsi="仿宋" w:eastAsia="仿宋" w:cs="仿宋"/>
          <w:sz w:val="24"/>
          <w:highlight w:val="none"/>
        </w:rPr>
      </w:pPr>
      <w:r>
        <w:rPr>
          <w:rFonts w:hint="eastAsia" w:ascii="仿宋" w:hAnsi="仿宋" w:eastAsia="仿宋" w:cs="仿宋"/>
          <w:sz w:val="24"/>
          <w:highlight w:val="none"/>
        </w:rPr>
        <w:t>自本公告发布之日起5个工作日。</w:t>
      </w:r>
    </w:p>
    <w:p w14:paraId="5C9B2BD9">
      <w:pPr>
        <w:pStyle w:val="64"/>
        <w:widowControl/>
        <w:adjustRightInd/>
        <w:spacing w:line="360" w:lineRule="auto"/>
        <w:jc w:val="left"/>
        <w:textAlignment w:val="auto"/>
        <w:rPr>
          <w:rFonts w:ascii="仿宋" w:hAnsi="仿宋" w:eastAsia="仿宋" w:cs="仿宋"/>
          <w:b/>
          <w:sz w:val="24"/>
          <w:szCs w:val="24"/>
          <w:highlight w:val="none"/>
        </w:rPr>
      </w:pPr>
      <w:bookmarkStart w:id="28" w:name="_Toc35393626"/>
      <w:bookmarkStart w:id="29" w:name="_Toc35393795"/>
      <w:r>
        <w:rPr>
          <w:rFonts w:hint="eastAsia" w:ascii="仿宋" w:hAnsi="仿宋" w:eastAsia="仿宋" w:cs="仿宋"/>
          <w:b/>
          <w:sz w:val="24"/>
          <w:szCs w:val="24"/>
          <w:highlight w:val="none"/>
        </w:rPr>
        <w:t>六、其他补充事宜</w:t>
      </w:r>
      <w:bookmarkEnd w:id="28"/>
      <w:bookmarkEnd w:id="29"/>
    </w:p>
    <w:p w14:paraId="5586BC97">
      <w:pPr>
        <w:pStyle w:val="64"/>
        <w:widowControl/>
        <w:adjustRightInd/>
        <w:spacing w:line="360" w:lineRule="auto"/>
        <w:ind w:left="420" w:leftChars="200"/>
        <w:jc w:val="left"/>
        <w:textAlignment w:val="auto"/>
        <w:rPr>
          <w:rFonts w:ascii="仿宋" w:hAnsi="仿宋" w:eastAsia="仿宋" w:cs="仿宋"/>
          <w:bCs/>
          <w:sz w:val="24"/>
          <w:szCs w:val="24"/>
          <w:highlight w:val="none"/>
        </w:rPr>
      </w:pPr>
      <w:bookmarkStart w:id="30" w:name="_Toc28359008"/>
      <w:bookmarkStart w:id="31" w:name="_Toc35393796"/>
      <w:bookmarkStart w:id="32" w:name="_Toc35393627"/>
      <w:bookmarkStart w:id="33" w:name="_Toc28359085"/>
      <w:r>
        <w:rPr>
          <w:rFonts w:hint="eastAsia" w:ascii="仿宋" w:hAnsi="仿宋" w:eastAsia="仿宋" w:cs="仿宋"/>
          <w:bCs/>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14:paraId="238CFF5A">
      <w:pPr>
        <w:pStyle w:val="64"/>
        <w:widowControl/>
        <w:adjustRightInd/>
        <w:spacing w:line="360" w:lineRule="auto"/>
        <w:ind w:left="420" w:left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4A0F3B9D">
      <w:pPr>
        <w:pStyle w:val="64"/>
        <w:widowControl/>
        <w:adjustRightInd/>
        <w:spacing w:line="360" w:lineRule="auto"/>
        <w:ind w:left="420" w:left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3.供应商可前往新疆政府采购网（http://www.ccgp-xinjiang.gov.cn/）下载专区，下载政采云电子投标客户端，安装完成后，可通过账号密码或CA登录客户端进行投标文件制作。</w:t>
      </w:r>
    </w:p>
    <w:p w14:paraId="1E7A0246">
      <w:pPr>
        <w:pStyle w:val="64"/>
        <w:widowControl/>
        <w:adjustRightInd/>
        <w:spacing w:line="360" w:lineRule="auto"/>
        <w:ind w:left="420" w:left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4.供应商在开标时须携带制作加密电子投标文件所使用的CA锁，电脑须提前配置好浏览器，以便开标时在线解密。</w:t>
      </w:r>
    </w:p>
    <w:p w14:paraId="6F47FAB1">
      <w:pPr>
        <w:pStyle w:val="64"/>
        <w:widowControl/>
        <w:adjustRightInd/>
        <w:spacing w:line="360" w:lineRule="auto"/>
        <w:ind w:left="420" w:leftChars="200"/>
        <w:jc w:val="left"/>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5.投标供应商应当在投标截止时间前，将生成的“电子加密投标文件”上传递交至“政府采购云平台”，投标截止时间以后上传递交的投标文件将被“政府采购云平台”拒收。</w:t>
      </w:r>
    </w:p>
    <w:p w14:paraId="507E93C4">
      <w:pPr>
        <w:pStyle w:val="64"/>
        <w:widowControl/>
        <w:adjustRightInd/>
        <w:spacing w:line="360" w:lineRule="auto"/>
        <w:jc w:val="left"/>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七、对本次招标提出询问，请按以下方式联系</w:t>
      </w:r>
      <w:bookmarkEnd w:id="30"/>
      <w:bookmarkEnd w:id="31"/>
      <w:bookmarkEnd w:id="32"/>
      <w:bookmarkEnd w:id="33"/>
      <w:r>
        <w:rPr>
          <w:rFonts w:hint="eastAsia" w:ascii="仿宋" w:hAnsi="仿宋" w:eastAsia="仿宋" w:cs="仿宋"/>
          <w:b/>
          <w:sz w:val="24"/>
          <w:szCs w:val="24"/>
          <w:highlight w:val="none"/>
        </w:rPr>
        <w:t>：</w:t>
      </w:r>
    </w:p>
    <w:p w14:paraId="0D31F29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1.采购人信息</w:t>
      </w:r>
    </w:p>
    <w:p w14:paraId="69E8AA3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 称：新疆农业大学</w:t>
      </w:r>
    </w:p>
    <w:p w14:paraId="0AF9E60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 址：乌鲁木齐市沙依巴克区农大东路311号</w:t>
      </w:r>
    </w:p>
    <w:p w14:paraId="6C0C39F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联系方式：18199870109</w:t>
      </w:r>
    </w:p>
    <w:p w14:paraId="52E9A6B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2.采购代理机构信息</w:t>
      </w:r>
    </w:p>
    <w:p w14:paraId="1A64EA4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 称：新疆拓源工程管理咨询有限公司</w:t>
      </w:r>
    </w:p>
    <w:p w14:paraId="573E6FD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 址：乌鲁木齐市水磨沟区龙盛街898号万科中央公园S6栋5层</w:t>
      </w:r>
    </w:p>
    <w:p w14:paraId="29D4A67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联系方式：13209920205、15099530785</w:t>
      </w:r>
    </w:p>
    <w:p w14:paraId="4BE25A8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3.项目联系方式</w:t>
      </w:r>
    </w:p>
    <w:p w14:paraId="6D77CF6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项目联系人：金山虎、黄莎莎</w:t>
      </w:r>
    </w:p>
    <w:p w14:paraId="202696A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电 话：13209920205、15099530785</w:t>
      </w:r>
    </w:p>
    <w:p w14:paraId="7106B8E5">
      <w:pPr>
        <w:pStyle w:val="3"/>
        <w:rPr>
          <w:rFonts w:ascii="仿宋" w:hAnsi="仿宋" w:eastAsia="仿宋" w:cs="仿宋"/>
          <w:highlight w:val="none"/>
        </w:rPr>
      </w:pPr>
      <w:r>
        <w:rPr>
          <w:rFonts w:hint="eastAsia" w:ascii="仿宋" w:hAnsi="仿宋" w:eastAsia="仿宋" w:cs="仿宋"/>
          <w:szCs w:val="24"/>
          <w:highlight w:val="none"/>
        </w:rPr>
        <w:br w:type="page"/>
      </w:r>
      <w:bookmarkStart w:id="34" w:name="_Toc28983"/>
      <w:bookmarkStart w:id="35" w:name="_Toc20968"/>
      <w:r>
        <w:rPr>
          <w:rFonts w:hint="eastAsia" w:ascii="仿宋" w:hAnsi="仿宋" w:eastAsia="仿宋" w:cs="仿宋"/>
          <w:highlight w:val="none"/>
        </w:rPr>
        <w:t>第二章  投标人须知</w:t>
      </w:r>
      <w:bookmarkEnd w:id="6"/>
      <w:bookmarkEnd w:id="7"/>
      <w:bookmarkEnd w:id="8"/>
      <w:bookmarkEnd w:id="9"/>
      <w:bookmarkEnd w:id="10"/>
      <w:bookmarkEnd w:id="11"/>
      <w:bookmarkEnd w:id="34"/>
      <w:bookmarkEnd w:id="35"/>
    </w:p>
    <w:p w14:paraId="75C5428E">
      <w:pPr>
        <w:keepNext/>
        <w:keepLines/>
        <w:spacing w:line="360" w:lineRule="auto"/>
        <w:jc w:val="center"/>
        <w:outlineLvl w:val="1"/>
        <w:rPr>
          <w:rFonts w:ascii="仿宋" w:hAnsi="仿宋" w:eastAsia="仿宋" w:cs="仿宋"/>
          <w:b/>
          <w:bCs/>
          <w:sz w:val="24"/>
          <w:highlight w:val="none"/>
        </w:rPr>
      </w:pPr>
      <w:bookmarkStart w:id="36" w:name="_Toc189727030"/>
      <w:bookmarkStart w:id="37" w:name="_Toc213496268"/>
      <w:bookmarkStart w:id="38" w:name="_Toc213396946"/>
      <w:bookmarkStart w:id="39" w:name="_Toc217446032"/>
      <w:bookmarkStart w:id="40" w:name="_Toc213397010"/>
      <w:bookmarkStart w:id="41" w:name="_Toc213396760"/>
      <w:r>
        <w:rPr>
          <w:rFonts w:hint="eastAsia" w:ascii="仿宋" w:hAnsi="仿宋" w:eastAsia="仿宋" w:cs="仿宋"/>
          <w:b/>
          <w:bCs/>
          <w:sz w:val="24"/>
          <w:highlight w:val="none"/>
        </w:rPr>
        <w:t>一、投标人须知前附表</w:t>
      </w:r>
      <w:bookmarkEnd w:id="36"/>
      <w:bookmarkEnd w:id="37"/>
      <w:bookmarkEnd w:id="38"/>
      <w:bookmarkEnd w:id="39"/>
      <w:bookmarkEnd w:id="40"/>
      <w:bookmarkEnd w:id="41"/>
    </w:p>
    <w:tbl>
      <w:tblPr>
        <w:tblStyle w:val="31"/>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62FE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03140A59">
            <w:pPr>
              <w:snapToGrid w:val="0"/>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序号</w:t>
            </w:r>
          </w:p>
        </w:tc>
        <w:tc>
          <w:tcPr>
            <w:tcW w:w="1311" w:type="dxa"/>
            <w:vAlign w:val="center"/>
          </w:tcPr>
          <w:p w14:paraId="7129B80D">
            <w:pPr>
              <w:snapToGrid w:val="0"/>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名称</w:t>
            </w:r>
          </w:p>
        </w:tc>
        <w:tc>
          <w:tcPr>
            <w:tcW w:w="6645" w:type="dxa"/>
            <w:vAlign w:val="center"/>
          </w:tcPr>
          <w:p w14:paraId="79F03B81">
            <w:pPr>
              <w:snapToGrid w:val="0"/>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内容</w:t>
            </w:r>
          </w:p>
        </w:tc>
      </w:tr>
      <w:tr w14:paraId="3884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B642121">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w:t>
            </w:r>
          </w:p>
        </w:tc>
        <w:tc>
          <w:tcPr>
            <w:tcW w:w="1311" w:type="dxa"/>
            <w:vAlign w:val="center"/>
          </w:tcPr>
          <w:p w14:paraId="7A42E07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采购人</w:t>
            </w:r>
          </w:p>
        </w:tc>
        <w:tc>
          <w:tcPr>
            <w:tcW w:w="6645" w:type="dxa"/>
            <w:vAlign w:val="center"/>
          </w:tcPr>
          <w:p w14:paraId="0BDBBD58">
            <w:pPr>
              <w:snapToGrid w:val="0"/>
              <w:spacing w:line="360" w:lineRule="auto"/>
              <w:jc w:val="left"/>
              <w:rPr>
                <w:rFonts w:hint="eastAsia" w:ascii="仿宋" w:hAnsi="仿宋" w:eastAsia="仿宋" w:cs="仿宋"/>
                <w:sz w:val="24"/>
                <w:highlight w:val="none"/>
                <w:lang w:eastAsia="zh-CN"/>
              </w:rPr>
            </w:pPr>
            <w:r>
              <w:rPr>
                <w:rFonts w:hint="eastAsia" w:ascii="仿宋" w:hAnsi="仿宋" w:eastAsia="仿宋" w:cs="仿宋"/>
                <w:sz w:val="24"/>
                <w:highlight w:val="none"/>
              </w:rPr>
              <w:t>名  称：</w:t>
            </w:r>
            <w:r>
              <w:rPr>
                <w:rFonts w:hint="eastAsia" w:ascii="仿宋" w:hAnsi="仿宋" w:eastAsia="仿宋" w:cs="仿宋"/>
                <w:sz w:val="24"/>
                <w:highlight w:val="none"/>
                <w:lang w:eastAsia="zh-CN"/>
              </w:rPr>
              <w:t>新疆农业大学</w:t>
            </w:r>
          </w:p>
          <w:p w14:paraId="3B27E5E3">
            <w:pPr>
              <w:snapToGrid w:val="0"/>
              <w:spacing w:line="360" w:lineRule="auto"/>
              <w:jc w:val="left"/>
              <w:rPr>
                <w:rFonts w:hint="eastAsia" w:ascii="仿宋" w:hAnsi="仿宋" w:eastAsia="仿宋" w:cs="仿宋"/>
                <w:sz w:val="24"/>
                <w:highlight w:val="none"/>
                <w:lang w:eastAsia="zh-CN"/>
              </w:rPr>
            </w:pPr>
            <w:r>
              <w:rPr>
                <w:rFonts w:hint="eastAsia" w:ascii="仿宋" w:hAnsi="仿宋" w:eastAsia="仿宋" w:cs="仿宋"/>
                <w:sz w:val="24"/>
                <w:highlight w:val="none"/>
              </w:rPr>
              <w:t>地  址：</w:t>
            </w:r>
            <w:r>
              <w:rPr>
                <w:rFonts w:hint="eastAsia" w:ascii="仿宋" w:hAnsi="仿宋" w:eastAsia="仿宋" w:cs="仿宋"/>
                <w:sz w:val="24"/>
                <w:highlight w:val="none"/>
                <w:lang w:eastAsia="zh-CN"/>
              </w:rPr>
              <w:t>乌鲁木齐市沙依巴克区农大东路311号</w:t>
            </w:r>
          </w:p>
          <w:p w14:paraId="5DB03192">
            <w:pPr>
              <w:snapToGrid w:val="0"/>
              <w:spacing w:line="360" w:lineRule="auto"/>
              <w:jc w:val="left"/>
              <w:rPr>
                <w:rFonts w:hint="eastAsia" w:ascii="仿宋" w:hAnsi="仿宋" w:eastAsia="仿宋" w:cs="仿宋"/>
                <w:sz w:val="24"/>
                <w:highlight w:val="none"/>
                <w:lang w:eastAsia="zh-CN"/>
              </w:rPr>
            </w:pPr>
            <w:r>
              <w:rPr>
                <w:rFonts w:hint="eastAsia" w:ascii="仿宋" w:hAnsi="仿宋" w:eastAsia="仿宋" w:cs="仿宋"/>
                <w:sz w:val="24"/>
                <w:highlight w:val="none"/>
              </w:rPr>
              <w:t>联系人：</w:t>
            </w:r>
            <w:r>
              <w:rPr>
                <w:rFonts w:hint="eastAsia" w:ascii="仿宋" w:hAnsi="仿宋" w:eastAsia="仿宋" w:cs="仿宋"/>
                <w:sz w:val="24"/>
                <w:highlight w:val="none"/>
                <w:lang w:eastAsia="zh-CN"/>
              </w:rPr>
              <w:t>马明</w:t>
            </w:r>
          </w:p>
          <w:p w14:paraId="480B1C42">
            <w:pPr>
              <w:snapToGrid w:val="0"/>
              <w:spacing w:line="360" w:lineRule="auto"/>
              <w:jc w:val="left"/>
              <w:rPr>
                <w:rFonts w:hint="eastAsia" w:ascii="仿宋" w:hAnsi="仿宋" w:eastAsia="仿宋" w:cs="仿宋"/>
                <w:sz w:val="24"/>
                <w:highlight w:val="none"/>
                <w:lang w:eastAsia="zh-CN"/>
              </w:rPr>
            </w:pPr>
            <w:r>
              <w:rPr>
                <w:rFonts w:hint="eastAsia" w:ascii="仿宋" w:hAnsi="仿宋" w:eastAsia="仿宋" w:cs="仿宋"/>
                <w:sz w:val="24"/>
                <w:highlight w:val="none"/>
              </w:rPr>
              <w:t>电  话：</w:t>
            </w:r>
            <w:r>
              <w:rPr>
                <w:rFonts w:hint="eastAsia" w:ascii="仿宋" w:hAnsi="仿宋" w:eastAsia="仿宋" w:cs="仿宋"/>
                <w:sz w:val="24"/>
                <w:highlight w:val="none"/>
                <w:lang w:eastAsia="zh-CN"/>
              </w:rPr>
              <w:t>18199870109</w:t>
            </w:r>
          </w:p>
        </w:tc>
      </w:tr>
      <w:tr w14:paraId="0831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D8198F7">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w:t>
            </w:r>
          </w:p>
        </w:tc>
        <w:tc>
          <w:tcPr>
            <w:tcW w:w="1311" w:type="dxa"/>
            <w:vAlign w:val="center"/>
          </w:tcPr>
          <w:p w14:paraId="3D35E825">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采购代理机构</w:t>
            </w:r>
          </w:p>
        </w:tc>
        <w:tc>
          <w:tcPr>
            <w:tcW w:w="6645" w:type="dxa"/>
            <w:vAlign w:val="center"/>
          </w:tcPr>
          <w:p w14:paraId="75E02A7E">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名  称：新疆拓源工程管理咨询有限公司</w:t>
            </w:r>
          </w:p>
          <w:p w14:paraId="19CCE55A">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lang w:val="zh-CN"/>
              </w:rPr>
              <w:t>乌鲁木齐市水磨沟区龙盛街898号万科中央公园S6栋5层</w:t>
            </w:r>
          </w:p>
          <w:p w14:paraId="173EEA1C">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 xml:space="preserve">项目联系人：金山虎、黄莎莎 </w:t>
            </w:r>
          </w:p>
          <w:p w14:paraId="1FE4C137">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 xml:space="preserve">电  话：13209920205、15099530785 </w:t>
            </w:r>
          </w:p>
        </w:tc>
      </w:tr>
      <w:tr w14:paraId="2190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7ED8DD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3</w:t>
            </w:r>
          </w:p>
        </w:tc>
        <w:tc>
          <w:tcPr>
            <w:tcW w:w="1311" w:type="dxa"/>
            <w:vAlign w:val="center"/>
          </w:tcPr>
          <w:p w14:paraId="02E37D74">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项目名称</w:t>
            </w:r>
          </w:p>
        </w:tc>
        <w:tc>
          <w:tcPr>
            <w:tcW w:w="6645" w:type="dxa"/>
            <w:vAlign w:val="center"/>
          </w:tcPr>
          <w:p w14:paraId="1141455E">
            <w:pPr>
              <w:snapToGrid w:val="0"/>
              <w:spacing w:line="360" w:lineRule="auto"/>
              <w:jc w:val="lef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新疆农业大学三维可视化地下管网项目</w:t>
            </w:r>
          </w:p>
        </w:tc>
      </w:tr>
      <w:tr w14:paraId="656C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E883391">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4</w:t>
            </w:r>
          </w:p>
        </w:tc>
        <w:tc>
          <w:tcPr>
            <w:tcW w:w="1311" w:type="dxa"/>
            <w:vAlign w:val="center"/>
          </w:tcPr>
          <w:p w14:paraId="38EC7F3B">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项目编号</w:t>
            </w:r>
          </w:p>
        </w:tc>
        <w:tc>
          <w:tcPr>
            <w:tcW w:w="6645" w:type="dxa"/>
            <w:vAlign w:val="center"/>
          </w:tcPr>
          <w:p w14:paraId="31C09507">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[2026]8296号-1</w:t>
            </w:r>
          </w:p>
        </w:tc>
      </w:tr>
      <w:tr w14:paraId="0041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69A32C">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5</w:t>
            </w:r>
          </w:p>
        </w:tc>
        <w:tc>
          <w:tcPr>
            <w:tcW w:w="1311" w:type="dxa"/>
            <w:vAlign w:val="center"/>
          </w:tcPr>
          <w:p w14:paraId="5AC75951">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资金来源、预算金额及最高限价</w:t>
            </w:r>
          </w:p>
        </w:tc>
        <w:tc>
          <w:tcPr>
            <w:tcW w:w="6645" w:type="dxa"/>
            <w:vAlign w:val="center"/>
          </w:tcPr>
          <w:p w14:paraId="58397839">
            <w:pPr>
              <w:snapToGrid w:val="0"/>
              <w:spacing w:line="360" w:lineRule="auto"/>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资金来源：</w:t>
            </w:r>
            <w:r>
              <w:rPr>
                <w:rFonts w:hint="eastAsia" w:ascii="仿宋" w:hAnsi="仿宋" w:eastAsia="仿宋" w:cs="仿宋"/>
                <w:color w:val="auto"/>
                <w:sz w:val="24"/>
                <w:highlight w:val="none"/>
                <w:lang w:val="en-US" w:eastAsia="zh-CN"/>
              </w:rPr>
              <w:t>单位自筹</w:t>
            </w:r>
          </w:p>
          <w:p w14:paraId="65FD7878">
            <w:pPr>
              <w:pStyle w:val="39"/>
              <w:snapToGrid w:val="0"/>
              <w:spacing w:line="360" w:lineRule="auto"/>
              <w:jc w:val="lef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预算金额（最高限价）：</w:t>
            </w:r>
            <w:r>
              <w:rPr>
                <w:rFonts w:hint="eastAsia" w:ascii="仿宋" w:hAnsi="仿宋" w:eastAsia="仿宋" w:cs="仿宋"/>
                <w:bCs/>
                <w:color w:val="auto"/>
                <w:sz w:val="24"/>
                <w:szCs w:val="24"/>
                <w:highlight w:val="none"/>
                <w:lang w:eastAsia="zh-CN"/>
              </w:rPr>
              <w:t>2800000.00</w:t>
            </w:r>
            <w:r>
              <w:rPr>
                <w:rFonts w:hint="eastAsia" w:ascii="仿宋" w:hAnsi="仿宋" w:eastAsia="仿宋" w:cs="仿宋"/>
                <w:bCs/>
                <w:color w:val="auto"/>
                <w:sz w:val="24"/>
                <w:szCs w:val="24"/>
                <w:highlight w:val="none"/>
              </w:rPr>
              <w:t>元</w:t>
            </w:r>
          </w:p>
          <w:p w14:paraId="219A7553">
            <w:pPr>
              <w:snapToGrid w:val="0"/>
              <w:spacing w:line="360" w:lineRule="auto"/>
              <w:jc w:val="left"/>
              <w:rPr>
                <w:rFonts w:ascii="仿宋" w:hAnsi="仿宋" w:eastAsia="仿宋" w:cs="仿宋"/>
                <w:b/>
                <w:color w:val="auto"/>
                <w:sz w:val="24"/>
                <w:highlight w:val="none"/>
              </w:rPr>
            </w:pPr>
            <w:r>
              <w:rPr>
                <w:rFonts w:hint="eastAsia" w:ascii="仿宋" w:hAnsi="仿宋" w:eastAsia="仿宋" w:cs="仿宋"/>
                <w:b/>
                <w:bCs/>
                <w:color w:val="auto"/>
                <w:sz w:val="24"/>
                <w:highlight w:val="none"/>
              </w:rPr>
              <w:t>投标人报价不得高于最高投标限价，如超过上述最高投标限价的投标无效</w:t>
            </w:r>
            <w:r>
              <w:rPr>
                <w:rFonts w:hint="eastAsia" w:ascii="仿宋" w:hAnsi="仿宋" w:eastAsia="仿宋" w:cs="仿宋"/>
                <w:b/>
                <w:color w:val="auto"/>
                <w:sz w:val="24"/>
                <w:highlight w:val="none"/>
              </w:rPr>
              <w:t>。</w:t>
            </w:r>
          </w:p>
        </w:tc>
      </w:tr>
      <w:tr w14:paraId="40C2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108D078">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6</w:t>
            </w:r>
          </w:p>
        </w:tc>
        <w:tc>
          <w:tcPr>
            <w:tcW w:w="1311" w:type="dxa"/>
            <w:vAlign w:val="center"/>
          </w:tcPr>
          <w:p w14:paraId="2EDC291C">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采购需求</w:t>
            </w:r>
          </w:p>
        </w:tc>
        <w:tc>
          <w:tcPr>
            <w:tcW w:w="6645" w:type="dxa"/>
            <w:vAlign w:val="center"/>
          </w:tcPr>
          <w:p w14:paraId="5D8072C4">
            <w:pPr>
              <w:pStyle w:val="39"/>
              <w:snapToGrid w:val="0"/>
              <w:spacing w:line="360" w:lineRule="auto"/>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新疆农业大学三维可视化地下管网项目</w:t>
            </w:r>
            <w:r>
              <w:rPr>
                <w:rFonts w:hint="eastAsia" w:ascii="仿宋" w:hAnsi="仿宋" w:eastAsia="仿宋" w:cs="仿宋"/>
                <w:sz w:val="24"/>
                <w:szCs w:val="24"/>
                <w:highlight w:val="none"/>
              </w:rPr>
              <w:t>，内容详见“</w:t>
            </w:r>
            <w:r>
              <w:rPr>
                <w:rFonts w:hint="eastAsia" w:ascii="仿宋" w:hAnsi="仿宋" w:eastAsia="仿宋" w:cs="仿宋"/>
                <w:bCs/>
                <w:sz w:val="24"/>
                <w:szCs w:val="24"/>
                <w:highlight w:val="none"/>
              </w:rPr>
              <w:t>第四章 招标项目技术要求</w:t>
            </w:r>
            <w:r>
              <w:rPr>
                <w:rFonts w:hint="eastAsia" w:ascii="仿宋" w:hAnsi="仿宋" w:eastAsia="仿宋" w:cs="仿宋"/>
                <w:sz w:val="24"/>
                <w:szCs w:val="24"/>
                <w:highlight w:val="none"/>
              </w:rPr>
              <w:t>”；</w:t>
            </w:r>
          </w:p>
        </w:tc>
      </w:tr>
      <w:tr w14:paraId="7E092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87F1D7D">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7</w:t>
            </w:r>
          </w:p>
        </w:tc>
        <w:tc>
          <w:tcPr>
            <w:tcW w:w="1311" w:type="dxa"/>
            <w:vAlign w:val="center"/>
          </w:tcPr>
          <w:p w14:paraId="2BBD072E">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标段（包）划分</w:t>
            </w:r>
          </w:p>
        </w:tc>
        <w:tc>
          <w:tcPr>
            <w:tcW w:w="6645" w:type="dxa"/>
            <w:vAlign w:val="center"/>
          </w:tcPr>
          <w:p w14:paraId="335174F6">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w:t>
            </w:r>
          </w:p>
        </w:tc>
      </w:tr>
      <w:tr w14:paraId="4E98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2E249C4">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8</w:t>
            </w:r>
          </w:p>
        </w:tc>
        <w:tc>
          <w:tcPr>
            <w:tcW w:w="1311" w:type="dxa"/>
            <w:vAlign w:val="center"/>
          </w:tcPr>
          <w:p w14:paraId="6397F78F">
            <w:pPr>
              <w:snapToGrid w:val="0"/>
              <w:spacing w:line="360" w:lineRule="auto"/>
              <w:jc w:val="center"/>
              <w:rPr>
                <w:rFonts w:ascii="仿宋" w:hAnsi="仿宋" w:eastAsia="仿宋" w:cs="仿宋"/>
                <w:sz w:val="24"/>
                <w:highlight w:val="none"/>
              </w:rPr>
            </w:pPr>
            <w:r>
              <w:rPr>
                <w:rFonts w:hint="eastAsia" w:ascii="仿宋" w:hAnsi="仿宋" w:eastAsia="仿宋" w:cs="仿宋"/>
                <w:bCs/>
                <w:sz w:val="24"/>
                <w:highlight w:val="none"/>
              </w:rPr>
              <w:t>合同履约期限</w:t>
            </w:r>
          </w:p>
        </w:tc>
        <w:tc>
          <w:tcPr>
            <w:tcW w:w="6645" w:type="dxa"/>
            <w:vAlign w:val="center"/>
          </w:tcPr>
          <w:p w14:paraId="06D319F8">
            <w:pPr>
              <w:pStyle w:val="39"/>
              <w:snapToGrid w:val="0"/>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本项目为交钥匙工程，项目建设周期为自合同签订起</w:t>
            </w:r>
            <w:r>
              <w:rPr>
                <w:rFonts w:hint="eastAsia" w:ascii="仿宋" w:hAnsi="仿宋" w:eastAsia="仿宋" w:cs="仿宋"/>
                <w:color w:val="auto"/>
                <w:sz w:val="24"/>
                <w:szCs w:val="24"/>
                <w:highlight w:val="none"/>
                <w:lang w:val="en-US" w:eastAsia="zh-CN"/>
              </w:rPr>
              <w:t>130天</w:t>
            </w:r>
            <w:r>
              <w:rPr>
                <w:rFonts w:hint="eastAsia" w:ascii="仿宋" w:hAnsi="仿宋" w:eastAsia="仿宋" w:cs="仿宋"/>
                <w:color w:val="auto"/>
                <w:sz w:val="24"/>
                <w:szCs w:val="24"/>
                <w:highlight w:val="none"/>
                <w:lang w:eastAsia="zh-CN"/>
              </w:rPr>
              <w:t>，完成</w:t>
            </w:r>
            <w:r>
              <w:rPr>
                <w:rFonts w:hint="eastAsia" w:ascii="仿宋" w:hAnsi="仿宋" w:eastAsia="仿宋" w:cs="仿宋"/>
                <w:color w:val="auto"/>
                <w:sz w:val="24"/>
                <w:szCs w:val="24"/>
                <w:highlight w:val="none"/>
                <w:lang w:val="en-US" w:eastAsia="zh-CN"/>
              </w:rPr>
              <w:t>信息测绘、</w:t>
            </w:r>
            <w:r>
              <w:rPr>
                <w:rFonts w:hint="eastAsia" w:ascii="仿宋" w:hAnsi="仿宋" w:eastAsia="仿宋" w:cs="仿宋"/>
                <w:color w:val="auto"/>
                <w:sz w:val="24"/>
                <w:szCs w:val="24"/>
                <w:highlight w:val="none"/>
                <w:lang w:eastAsia="zh-CN"/>
              </w:rPr>
              <w:t>平台部署、</w:t>
            </w:r>
            <w:r>
              <w:rPr>
                <w:rFonts w:hint="eastAsia" w:ascii="仿宋" w:hAnsi="仿宋" w:eastAsia="仿宋" w:cs="仿宋"/>
                <w:color w:val="auto"/>
                <w:sz w:val="24"/>
                <w:szCs w:val="24"/>
                <w:highlight w:val="none"/>
                <w:lang w:val="en-US" w:eastAsia="zh-CN"/>
              </w:rPr>
              <w:t>软硬件安装、集成对接</w:t>
            </w:r>
            <w:r>
              <w:rPr>
                <w:rFonts w:hint="eastAsia" w:ascii="仿宋" w:hAnsi="仿宋" w:eastAsia="仿宋" w:cs="仿宋"/>
                <w:color w:val="auto"/>
                <w:sz w:val="24"/>
                <w:szCs w:val="24"/>
                <w:highlight w:val="none"/>
                <w:lang w:eastAsia="zh-CN"/>
              </w:rPr>
              <w:t>等工作。</w:t>
            </w:r>
          </w:p>
        </w:tc>
      </w:tr>
      <w:tr w14:paraId="686C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F3A25EF">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9</w:t>
            </w:r>
          </w:p>
        </w:tc>
        <w:tc>
          <w:tcPr>
            <w:tcW w:w="1311" w:type="dxa"/>
            <w:vAlign w:val="center"/>
          </w:tcPr>
          <w:p w14:paraId="72A04AB8">
            <w:pPr>
              <w:snapToGrid w:val="0"/>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质量要求</w:t>
            </w:r>
          </w:p>
        </w:tc>
        <w:tc>
          <w:tcPr>
            <w:tcW w:w="6645" w:type="dxa"/>
            <w:vAlign w:val="center"/>
          </w:tcPr>
          <w:p w14:paraId="4C6F015D">
            <w:pPr>
              <w:snapToGrid w:val="0"/>
              <w:spacing w:line="360" w:lineRule="auto"/>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合格</w:t>
            </w:r>
          </w:p>
        </w:tc>
      </w:tr>
      <w:tr w14:paraId="27059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3CA1F8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10</w:t>
            </w:r>
          </w:p>
        </w:tc>
        <w:tc>
          <w:tcPr>
            <w:tcW w:w="1311" w:type="dxa"/>
            <w:vAlign w:val="center"/>
          </w:tcPr>
          <w:p w14:paraId="785D2F1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落实的政府采购政策</w:t>
            </w:r>
          </w:p>
        </w:tc>
        <w:tc>
          <w:tcPr>
            <w:tcW w:w="6645" w:type="dxa"/>
            <w:vAlign w:val="center"/>
          </w:tcPr>
          <w:p w14:paraId="40271C1F">
            <w:pPr>
              <w:snapToGrid w:val="0"/>
              <w:spacing w:line="360" w:lineRule="auto"/>
              <w:jc w:val="left"/>
              <w:rPr>
                <w:rFonts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1、</w:t>
            </w:r>
            <w:r>
              <w:rPr>
                <w:rFonts w:hint="eastAsia" w:ascii="仿宋" w:hAnsi="仿宋" w:eastAsia="仿宋" w:cs="仿宋"/>
                <w:bCs/>
                <w:color w:val="auto"/>
                <w:kern w:val="0"/>
                <w:sz w:val="24"/>
                <w:highlight w:val="none"/>
                <w:lang w:eastAsia="zh-CN"/>
              </w:rPr>
              <w:t>本项目为非专门面向中小企业（含中型、小型、微型企业）采购项目；</w:t>
            </w:r>
            <w:r>
              <w:rPr>
                <w:rFonts w:hint="eastAsia" w:ascii="仿宋" w:hAnsi="仿宋" w:eastAsia="仿宋" w:cs="仿宋"/>
                <w:bCs/>
                <w:color w:val="auto"/>
                <w:kern w:val="0"/>
                <w:sz w:val="24"/>
                <w:highlight w:val="none"/>
              </w:rPr>
              <w:t>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w:t>
            </w:r>
            <w:r>
              <w:rPr>
                <w:rFonts w:hint="eastAsia" w:ascii="仿宋" w:hAnsi="仿宋" w:eastAsia="仿宋" w:cs="仿宋"/>
                <w:bCs/>
                <w:color w:val="auto"/>
                <w:kern w:val="0"/>
                <w:sz w:val="24"/>
                <w:highlight w:val="none"/>
                <w:lang w:val="en-US" w:eastAsia="zh-CN"/>
              </w:rPr>
              <w:t>了</w:t>
            </w:r>
            <w:r>
              <w:rPr>
                <w:rFonts w:hint="eastAsia" w:ascii="仿宋" w:hAnsi="仿宋" w:eastAsia="仿宋" w:cs="仿宋"/>
                <w:bCs/>
                <w:color w:val="auto"/>
                <w:kern w:val="0"/>
                <w:sz w:val="24"/>
                <w:highlight w:val="none"/>
              </w:rPr>
              <w:t>《中小企业声明函》、《残疾人福利性单位声明函》或省级以上监狱管理局、戒毒管理局（含新疆生产建设兵团）出具的属于监狱企业的证明文件，评标时将给予小微企业进行价格10%的优惠，用优惠后的价格参与评审。</w:t>
            </w:r>
          </w:p>
          <w:p w14:paraId="3F3467B0">
            <w:pPr>
              <w:snapToGrid w:val="0"/>
              <w:spacing w:line="360" w:lineRule="auto"/>
              <w:jc w:val="left"/>
              <w:rPr>
                <w:rFonts w:hint="eastAsia" w:ascii="仿宋" w:hAnsi="仿宋" w:eastAsia="仿宋" w:cs="仿宋"/>
                <w:bCs/>
                <w:color w:val="auto"/>
                <w:kern w:val="0"/>
                <w:sz w:val="24"/>
                <w:highlight w:val="none"/>
                <w:lang w:eastAsia="zh-CN"/>
              </w:rPr>
            </w:pPr>
            <w:r>
              <w:rPr>
                <w:rFonts w:hint="eastAsia" w:ascii="仿宋" w:hAnsi="仿宋" w:eastAsia="仿宋" w:cs="仿宋"/>
                <w:bCs/>
                <w:color w:val="auto"/>
                <w:kern w:val="0"/>
                <w:sz w:val="24"/>
                <w:highlight w:val="none"/>
              </w:rPr>
              <w:t>2、所属行业：软件和信息技术服务业</w:t>
            </w:r>
          </w:p>
          <w:p w14:paraId="7CACBB3C">
            <w:pPr>
              <w:snapToGrid w:val="0"/>
              <w:spacing w:line="360" w:lineRule="auto"/>
              <w:jc w:val="left"/>
              <w:rPr>
                <w:rFonts w:hint="default" w:ascii="仿宋" w:hAnsi="仿宋" w:eastAsia="仿宋" w:cs="仿宋"/>
                <w:bCs/>
                <w:color w:val="auto"/>
                <w:kern w:val="0"/>
                <w:sz w:val="24"/>
                <w:highlight w:val="none"/>
                <w:lang w:val="en-US" w:eastAsia="zh-CN"/>
              </w:rPr>
            </w:pPr>
            <w:r>
              <w:rPr>
                <w:rFonts w:hint="eastAsia" w:ascii="仿宋" w:hAnsi="仿宋" w:eastAsia="仿宋" w:cs="仿宋"/>
                <w:bCs/>
                <w:color w:val="auto"/>
                <w:kern w:val="0"/>
                <w:sz w:val="24"/>
                <w:highlight w:val="none"/>
                <w:lang w:val="en-US" w:eastAsia="zh-CN"/>
              </w:rPr>
              <w:t>3、项目属性：服务</w:t>
            </w:r>
          </w:p>
          <w:p w14:paraId="1DEC3BAC">
            <w:pPr>
              <w:snapToGrid w:val="0"/>
              <w:spacing w:line="360" w:lineRule="auto"/>
              <w:jc w:val="left"/>
              <w:rPr>
                <w:rFonts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《中小企业声明函》中所列行业与采购文件所明确的行业不一致但不改变划型结果的不影响声明有效性。</w:t>
            </w:r>
          </w:p>
        </w:tc>
      </w:tr>
      <w:tr w14:paraId="73992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036BB41">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11</w:t>
            </w:r>
          </w:p>
        </w:tc>
        <w:tc>
          <w:tcPr>
            <w:tcW w:w="1311" w:type="dxa"/>
            <w:vAlign w:val="center"/>
          </w:tcPr>
          <w:p w14:paraId="0B8F9CAF">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投标人资格要求</w:t>
            </w:r>
          </w:p>
        </w:tc>
        <w:tc>
          <w:tcPr>
            <w:tcW w:w="6645" w:type="dxa"/>
            <w:vAlign w:val="center"/>
          </w:tcPr>
          <w:p w14:paraId="60350246">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41C5F686">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2.落实政府采购政策需满足的资格要求：</w:t>
            </w:r>
            <w:r>
              <w:rPr>
                <w:rFonts w:hint="eastAsia" w:ascii="仿宋" w:hAnsi="仿宋" w:eastAsia="仿宋" w:cs="仿宋"/>
                <w:color w:val="auto"/>
                <w:sz w:val="24"/>
                <w:highlight w:val="none"/>
                <w:lang w:eastAsia="zh-CN"/>
              </w:rPr>
              <w:t>本项目为非专门面向中小企业（含中型、小型、微型企业）采购项目；</w:t>
            </w:r>
          </w:p>
          <w:p w14:paraId="403B69C0">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w:t>
            </w:r>
          </w:p>
          <w:p w14:paraId="27247A62">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具有有效期内的测绘行政主管部门颁发的乙级（含）以上测绘资质证书</w:t>
            </w:r>
            <w:r>
              <w:rPr>
                <w:rFonts w:hint="eastAsia" w:ascii="仿宋" w:hAnsi="仿宋" w:eastAsia="仿宋" w:cs="仿宋"/>
                <w:color w:val="auto"/>
                <w:sz w:val="24"/>
                <w:highlight w:val="none"/>
              </w:rPr>
              <w:t>；</w:t>
            </w:r>
          </w:p>
          <w:p w14:paraId="77323AD2">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2）除单一来源采购外，为采购项目提供整体设计、规范编制或者项目管理、监理、检测等服务的供应商，不得再参加该采购项目的其他采购活动；（3）单位负责人为同一人或者存在直接控股、管理关系的不同供应商不得参加本项目同一包的采购活动。</w:t>
            </w:r>
          </w:p>
        </w:tc>
      </w:tr>
      <w:tr w14:paraId="4480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8681F50">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12</w:t>
            </w:r>
          </w:p>
        </w:tc>
        <w:tc>
          <w:tcPr>
            <w:tcW w:w="1311" w:type="dxa"/>
            <w:vAlign w:val="center"/>
          </w:tcPr>
          <w:p w14:paraId="0064BF9F">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投标保证金</w:t>
            </w:r>
          </w:p>
        </w:tc>
        <w:tc>
          <w:tcPr>
            <w:tcW w:w="6645" w:type="dxa"/>
            <w:vAlign w:val="center"/>
          </w:tcPr>
          <w:p w14:paraId="38F3A220">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投标保证金的金额：</w:t>
            </w:r>
          </w:p>
          <w:p w14:paraId="70EC5D3B">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小写：</w:t>
            </w:r>
            <w:r>
              <w:rPr>
                <w:rFonts w:hint="eastAsia" w:ascii="仿宋" w:hAnsi="仿宋" w:eastAsia="仿宋" w:cs="仿宋"/>
                <w:sz w:val="24"/>
                <w:szCs w:val="24"/>
                <w:highlight w:val="none"/>
                <w:lang w:val="en-US" w:eastAsia="zh-CN"/>
              </w:rPr>
              <w:t>50000</w:t>
            </w:r>
            <w:r>
              <w:rPr>
                <w:rFonts w:hint="eastAsia" w:ascii="仿宋" w:hAnsi="仿宋" w:eastAsia="仿宋" w:cs="仿宋"/>
                <w:sz w:val="24"/>
                <w:szCs w:val="24"/>
                <w:highlight w:val="none"/>
              </w:rPr>
              <w:t>.00元（大写：</w:t>
            </w:r>
            <w:r>
              <w:rPr>
                <w:rFonts w:hint="eastAsia" w:ascii="仿宋" w:hAnsi="仿宋" w:eastAsia="仿宋" w:cs="仿宋"/>
                <w:sz w:val="24"/>
                <w:szCs w:val="24"/>
                <w:highlight w:val="none"/>
                <w:lang w:val="en-US" w:eastAsia="zh-CN"/>
              </w:rPr>
              <w:t>伍万元整</w:t>
            </w:r>
            <w:r>
              <w:rPr>
                <w:rFonts w:hint="eastAsia" w:ascii="仿宋" w:hAnsi="仿宋" w:eastAsia="仿宋" w:cs="仿宋"/>
                <w:sz w:val="24"/>
                <w:szCs w:val="24"/>
                <w:highlight w:val="none"/>
              </w:rPr>
              <w:t>）</w:t>
            </w:r>
          </w:p>
          <w:p w14:paraId="49575443">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投标保证金须在投标文件上传截止时间前确认到账。</w:t>
            </w:r>
          </w:p>
          <w:p w14:paraId="54DCEDB5">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一、投标保证金缴纳：</w:t>
            </w:r>
          </w:p>
          <w:p w14:paraId="63E270EB">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1.投标保证金应当以电汇、网银、保函等非现金形式提交；</w:t>
            </w:r>
          </w:p>
          <w:p w14:paraId="130E8994">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2.缴纳投标保证金时需备注项目名称；</w:t>
            </w:r>
          </w:p>
          <w:p w14:paraId="42005701">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3.投标保证金上传截止时间：与投标文件上传截止时间相同；</w:t>
            </w:r>
          </w:p>
          <w:p w14:paraId="69041485">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投标保证金缴纳账户：</w:t>
            </w:r>
          </w:p>
          <w:p w14:paraId="28F0D04B">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单位名称：新疆拓源工程管理咨询有限公司</w:t>
            </w:r>
          </w:p>
          <w:p w14:paraId="643A7C5E">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账号：107675470537</w:t>
            </w:r>
          </w:p>
          <w:p w14:paraId="113C50BA">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开户行名称：中国银行乌鲁木齐市银川路支行</w:t>
            </w:r>
          </w:p>
          <w:p w14:paraId="74CE185B">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行号：104881006135</w:t>
            </w:r>
          </w:p>
          <w:p w14:paraId="5321007E">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二、投标保证金退还：</w:t>
            </w:r>
          </w:p>
          <w:p w14:paraId="64FD2E16">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1.未中标人的投标保证金将在中标通知书发出后5个工作日内退还；</w:t>
            </w:r>
          </w:p>
          <w:p w14:paraId="753256C2">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2.中标人的投标保证金将在自采购合同签订之日起5个工作日内无息退还；</w:t>
            </w:r>
          </w:p>
          <w:p w14:paraId="12AF84E7">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3.有下列情形之一的，投标保证金不予退还：详见总则第15.5条。</w:t>
            </w:r>
          </w:p>
          <w:p w14:paraId="6CA0C540">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三、加盖公章的投标保证金缴纳凭证</w:t>
            </w:r>
            <w:r>
              <w:rPr>
                <w:rFonts w:hint="eastAsia" w:ascii="仿宋" w:hAnsi="仿宋" w:eastAsia="仿宋" w:cs="仿宋"/>
                <w:kern w:val="0"/>
                <w:sz w:val="24"/>
                <w:szCs w:val="24"/>
                <w:highlight w:val="none"/>
                <w:lang w:bidi="ar"/>
              </w:rPr>
              <w:t>扫描件</w:t>
            </w:r>
            <w:r>
              <w:rPr>
                <w:rFonts w:hint="eastAsia" w:ascii="仿宋" w:hAnsi="仿宋" w:eastAsia="仿宋" w:cs="仿宋"/>
                <w:sz w:val="24"/>
                <w:szCs w:val="24"/>
                <w:highlight w:val="none"/>
              </w:rPr>
              <w:t>需装订在投标文件中相应位置。</w:t>
            </w:r>
          </w:p>
          <w:p w14:paraId="5957FAAB">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注：投标人未按照招标文件的规定提交投标保证金的，将被视为</w:t>
            </w:r>
            <w:r>
              <w:rPr>
                <w:rFonts w:hint="eastAsia" w:ascii="仿宋" w:hAnsi="仿宋" w:eastAsia="仿宋" w:cs="仿宋"/>
                <w:b/>
                <w:bCs/>
                <w:sz w:val="24"/>
                <w:szCs w:val="24"/>
                <w:highlight w:val="none"/>
              </w:rPr>
              <w:t>投标无效</w:t>
            </w:r>
            <w:r>
              <w:rPr>
                <w:rFonts w:hint="eastAsia" w:ascii="仿宋" w:hAnsi="仿宋" w:eastAsia="仿宋" w:cs="仿宋"/>
                <w:sz w:val="24"/>
                <w:szCs w:val="24"/>
                <w:highlight w:val="none"/>
              </w:rPr>
              <w:t>。</w:t>
            </w:r>
          </w:p>
          <w:p w14:paraId="75A7BA9B">
            <w:pPr>
              <w:pStyle w:val="30"/>
              <w:snapToGrid w:val="0"/>
              <w:spacing w:line="360" w:lineRule="auto"/>
              <w:ind w:firstLine="0"/>
              <w:jc w:val="left"/>
              <w:rPr>
                <w:rFonts w:ascii="仿宋" w:hAnsi="仿宋" w:eastAsia="仿宋" w:cs="仿宋"/>
                <w:sz w:val="24"/>
                <w:szCs w:val="24"/>
                <w:highlight w:val="none"/>
              </w:rPr>
            </w:pPr>
            <w:r>
              <w:rPr>
                <w:rFonts w:hint="eastAsia" w:ascii="仿宋" w:hAnsi="仿宋" w:eastAsia="仿宋" w:cs="仿宋"/>
                <w:sz w:val="24"/>
                <w:szCs w:val="24"/>
                <w:highlight w:val="none"/>
              </w:rPr>
              <w:t>财务部联系电话：0991-2338817</w:t>
            </w:r>
          </w:p>
        </w:tc>
      </w:tr>
      <w:tr w14:paraId="6245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85103FE">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13</w:t>
            </w:r>
          </w:p>
        </w:tc>
        <w:tc>
          <w:tcPr>
            <w:tcW w:w="1311" w:type="dxa"/>
            <w:vAlign w:val="center"/>
          </w:tcPr>
          <w:p w14:paraId="5184A680">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是否接受联合体投标</w:t>
            </w:r>
          </w:p>
        </w:tc>
        <w:tc>
          <w:tcPr>
            <w:tcW w:w="6645" w:type="dxa"/>
            <w:vAlign w:val="center"/>
          </w:tcPr>
          <w:p w14:paraId="177BF4BC">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不接受/</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接受</w:t>
            </w:r>
          </w:p>
        </w:tc>
      </w:tr>
      <w:tr w14:paraId="001C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BA37700">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14</w:t>
            </w:r>
          </w:p>
        </w:tc>
        <w:tc>
          <w:tcPr>
            <w:tcW w:w="1311" w:type="dxa"/>
            <w:vAlign w:val="center"/>
          </w:tcPr>
          <w:p w14:paraId="0CC40E14">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分包</w:t>
            </w:r>
          </w:p>
        </w:tc>
        <w:tc>
          <w:tcPr>
            <w:tcW w:w="6645" w:type="dxa"/>
            <w:vAlign w:val="center"/>
          </w:tcPr>
          <w:p w14:paraId="07F0B7F5">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不允许/</w:t>
            </w: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允许</w:t>
            </w:r>
          </w:p>
          <w:p w14:paraId="38526B36">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lang w:eastAsia="zh-CN"/>
              </w:rPr>
              <w:t>本项目</w:t>
            </w:r>
            <w:r>
              <w:rPr>
                <w:rFonts w:hint="eastAsia" w:ascii="仿宋" w:hAnsi="仿宋" w:eastAsia="仿宋" w:cs="仿宋"/>
                <w:b/>
                <w:bCs/>
                <w:color w:val="auto"/>
                <w:sz w:val="24"/>
                <w:highlight w:val="none"/>
                <w:lang w:val="en-US" w:eastAsia="zh-CN"/>
              </w:rPr>
              <w:t>为</w:t>
            </w:r>
            <w:r>
              <w:rPr>
                <w:rFonts w:hint="eastAsia" w:ascii="仿宋" w:hAnsi="仿宋" w:eastAsia="仿宋" w:cs="仿宋"/>
                <w:b/>
                <w:bCs/>
                <w:color w:val="auto"/>
                <w:sz w:val="24"/>
                <w:highlight w:val="none"/>
                <w:lang w:eastAsia="zh-CN"/>
              </w:rPr>
              <w:t>非专门面向中小企业采购，根据《政府采购促进中小企业发展管理办法》（财库〔2020〕46号）要求，中标供应商须将项目非主体、非关键性工作，总合同金额</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lang w:eastAsia="zh-CN"/>
              </w:rPr>
              <w:t>分包给中小企业，分包意向协议中小微企业占分包份额比例不低于60%。投标文件须附分包意向协议（</w:t>
            </w:r>
            <w:r>
              <w:rPr>
                <w:rFonts w:hint="eastAsia" w:ascii="仿宋" w:hAnsi="仿宋" w:eastAsia="仿宋" w:cs="仿宋"/>
                <w:b/>
                <w:bCs/>
                <w:color w:val="auto"/>
                <w:sz w:val="24"/>
                <w:highlight w:val="none"/>
                <w:lang w:val="en-US" w:eastAsia="zh-CN"/>
              </w:rPr>
              <w:t>格式自拟</w:t>
            </w:r>
            <w:r>
              <w:rPr>
                <w:rFonts w:hint="eastAsia" w:ascii="仿宋" w:hAnsi="仿宋" w:eastAsia="仿宋" w:cs="仿宋"/>
                <w:b/>
                <w:bCs/>
                <w:color w:val="auto"/>
                <w:sz w:val="24"/>
                <w:highlight w:val="none"/>
                <w:lang w:eastAsia="zh-CN"/>
              </w:rPr>
              <w:t>），未按约定比例分包的，视为违约。</w:t>
            </w:r>
          </w:p>
        </w:tc>
      </w:tr>
      <w:tr w14:paraId="2B53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6566A38">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15</w:t>
            </w:r>
          </w:p>
        </w:tc>
        <w:tc>
          <w:tcPr>
            <w:tcW w:w="1311" w:type="dxa"/>
            <w:vAlign w:val="center"/>
          </w:tcPr>
          <w:p w14:paraId="2258BDEE">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投标文件上传截止时间及地点</w:t>
            </w:r>
          </w:p>
        </w:tc>
        <w:tc>
          <w:tcPr>
            <w:tcW w:w="6645" w:type="dxa"/>
            <w:vAlign w:val="center"/>
          </w:tcPr>
          <w:p w14:paraId="1CD84A33">
            <w:pPr>
              <w:snapToGrid w:val="0"/>
              <w:spacing w:line="360" w:lineRule="auto"/>
              <w:jc w:val="left"/>
              <w:rPr>
                <w:rFonts w:ascii="仿宋" w:hAnsi="仿宋" w:eastAsia="仿宋" w:cs="仿宋"/>
                <w:bCs/>
                <w:kern w:val="0"/>
                <w:sz w:val="24"/>
                <w:highlight w:val="none"/>
              </w:rPr>
            </w:pPr>
            <w:r>
              <w:rPr>
                <w:rFonts w:hint="eastAsia" w:ascii="仿宋" w:hAnsi="仿宋" w:eastAsia="仿宋" w:cs="仿宋"/>
                <w:bCs/>
                <w:sz w:val="24"/>
                <w:highlight w:val="none"/>
              </w:rPr>
              <w:t>投标文件上传截止时间：</w:t>
            </w:r>
            <w:r>
              <w:rPr>
                <w:rFonts w:hint="eastAsia" w:ascii="仿宋" w:hAnsi="仿宋" w:eastAsia="仿宋" w:cs="仿宋"/>
                <w:bCs/>
                <w:sz w:val="24"/>
                <w:highlight w:val="none"/>
                <w:lang w:eastAsia="zh-CN"/>
              </w:rPr>
              <w:t>2026年07月23日</w:t>
            </w:r>
            <w:r>
              <w:rPr>
                <w:rFonts w:hint="eastAsia" w:ascii="仿宋" w:hAnsi="仿宋" w:eastAsia="仿宋" w:cs="仿宋"/>
                <w:bCs/>
                <w:sz w:val="24"/>
                <w:highlight w:val="none"/>
              </w:rPr>
              <w:t>11时00分</w:t>
            </w:r>
            <w:r>
              <w:rPr>
                <w:rFonts w:hint="eastAsia" w:ascii="仿宋" w:hAnsi="仿宋" w:eastAsia="仿宋" w:cs="仿宋"/>
                <w:bCs/>
                <w:kern w:val="0"/>
                <w:sz w:val="24"/>
                <w:highlight w:val="none"/>
              </w:rPr>
              <w:t>（北京时间）；</w:t>
            </w:r>
          </w:p>
          <w:p w14:paraId="283F9E1C">
            <w:pPr>
              <w:widowControl/>
              <w:snapToGrid w:val="0"/>
              <w:spacing w:line="360" w:lineRule="auto"/>
              <w:jc w:val="left"/>
              <w:rPr>
                <w:rFonts w:ascii="仿宋" w:hAnsi="仿宋" w:eastAsia="仿宋" w:cs="仿宋"/>
                <w:kern w:val="0"/>
                <w:sz w:val="24"/>
                <w:highlight w:val="none"/>
              </w:rPr>
            </w:pPr>
            <w:r>
              <w:rPr>
                <w:rFonts w:hint="eastAsia" w:ascii="仿宋" w:hAnsi="仿宋" w:eastAsia="仿宋" w:cs="仿宋"/>
                <w:sz w:val="24"/>
                <w:highlight w:val="none"/>
              </w:rPr>
              <w:t>投标人应在投标截止时间前将“电子加密投标文件”成功上传至“政府采购云平台”，否则投标无效。</w:t>
            </w:r>
          </w:p>
        </w:tc>
      </w:tr>
      <w:tr w14:paraId="647B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3A3AF2B">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16</w:t>
            </w:r>
          </w:p>
        </w:tc>
        <w:tc>
          <w:tcPr>
            <w:tcW w:w="1311" w:type="dxa"/>
            <w:vAlign w:val="center"/>
          </w:tcPr>
          <w:p w14:paraId="26AE1201">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采用电子招标投标</w:t>
            </w:r>
          </w:p>
        </w:tc>
        <w:tc>
          <w:tcPr>
            <w:tcW w:w="6645" w:type="dxa"/>
            <w:vAlign w:val="center"/>
          </w:tcPr>
          <w:p w14:paraId="64C95D67">
            <w:pPr>
              <w:adjustRightInd w:val="0"/>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具体要求：</w:t>
            </w:r>
          </w:p>
          <w:p w14:paraId="56650DEA">
            <w:pPr>
              <w:adjustRightInd w:val="0"/>
              <w:snapToGrid w:val="0"/>
              <w:spacing w:line="360" w:lineRule="auto"/>
              <w:jc w:val="left"/>
              <w:rPr>
                <w:rFonts w:ascii="仿宋" w:hAnsi="仿宋" w:eastAsia="仿宋" w:cs="仿宋"/>
                <w:sz w:val="24"/>
                <w:highlight w:val="none"/>
              </w:rPr>
            </w:pPr>
            <w:r>
              <w:rPr>
                <w:rFonts w:hint="eastAsia" w:ascii="仿宋" w:hAnsi="仿宋" w:eastAsia="仿宋" w:cs="仿宋"/>
                <w:b/>
                <w:bCs/>
                <w:sz w:val="24"/>
                <w:highlight w:val="none"/>
              </w:rPr>
              <w:t>1、投标文件解密时间：</w:t>
            </w:r>
            <w:r>
              <w:rPr>
                <w:rFonts w:hint="eastAsia" w:ascii="仿宋" w:hAnsi="仿宋" w:eastAsia="仿宋" w:cs="仿宋"/>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696F13C1">
            <w:pPr>
              <w:adjustRightInd w:val="0"/>
              <w:snapToGrid w:val="0"/>
              <w:spacing w:line="360" w:lineRule="auto"/>
              <w:jc w:val="left"/>
              <w:rPr>
                <w:rFonts w:ascii="仿宋" w:hAnsi="仿宋" w:eastAsia="仿宋" w:cs="仿宋"/>
                <w:sz w:val="24"/>
                <w:highlight w:val="none"/>
              </w:rPr>
            </w:pPr>
            <w:r>
              <w:rPr>
                <w:rFonts w:hint="eastAsia" w:ascii="仿宋" w:hAnsi="仿宋" w:eastAsia="仿宋" w:cs="仿宋"/>
                <w:b/>
                <w:bCs/>
                <w:sz w:val="24"/>
                <w:highlight w:val="none"/>
              </w:rPr>
              <w:t>2、投标人报价CA签字确认：</w:t>
            </w:r>
            <w:r>
              <w:rPr>
                <w:rFonts w:hint="eastAsia" w:ascii="仿宋" w:hAnsi="仿宋" w:eastAsia="仿宋" w:cs="仿宋"/>
                <w:sz w:val="24"/>
                <w:highlight w:val="none"/>
              </w:rPr>
              <w:t>报价文件开启后将开启签字时段，投标人须在20分钟内用CA证书对报价进行签字确认。</w:t>
            </w:r>
          </w:p>
          <w:p w14:paraId="1B823532">
            <w:pPr>
              <w:adjustRightInd w:val="0"/>
              <w:snapToGrid w:val="0"/>
              <w:spacing w:line="360" w:lineRule="auto"/>
              <w:jc w:val="left"/>
              <w:rPr>
                <w:rFonts w:ascii="仿宋" w:hAnsi="仿宋" w:eastAsia="仿宋" w:cs="仿宋"/>
                <w:sz w:val="24"/>
                <w:highlight w:val="none"/>
              </w:rPr>
            </w:pPr>
            <w:r>
              <w:rPr>
                <w:rFonts w:hint="eastAsia" w:ascii="仿宋" w:hAnsi="仿宋" w:eastAsia="仿宋" w:cs="仿宋"/>
                <w:b/>
                <w:bCs/>
                <w:sz w:val="24"/>
                <w:highlight w:val="none"/>
              </w:rPr>
              <w:t>3、备注:</w:t>
            </w:r>
            <w:r>
              <w:rPr>
                <w:rFonts w:hint="eastAsia" w:ascii="仿宋" w:hAnsi="仿宋" w:eastAsia="仿宋" w:cs="仿宋"/>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p>
          <w:p w14:paraId="052839F9">
            <w:pPr>
              <w:adjustRightInd w:val="0"/>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38CC0DA2">
            <w:pPr>
              <w:adjustRightInd w:val="0"/>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（3）投标人应当在投标截止时间前，将“电子招投标投标人客户端”生成的“电子加密投标文件”上传电子交易平台。</w:t>
            </w:r>
          </w:p>
          <w:p w14:paraId="1BD5AD7E">
            <w:pPr>
              <w:snapToGrid w:val="0"/>
              <w:spacing w:line="360" w:lineRule="auto"/>
              <w:jc w:val="left"/>
              <w:rPr>
                <w:rFonts w:ascii="仿宋" w:hAnsi="仿宋" w:eastAsia="仿宋" w:cs="仿宋"/>
                <w:b/>
                <w:kern w:val="0"/>
                <w:sz w:val="24"/>
                <w:highlight w:val="none"/>
              </w:rPr>
            </w:pPr>
            <w:r>
              <w:rPr>
                <w:rFonts w:hint="eastAsia" w:ascii="仿宋" w:hAnsi="仿宋" w:eastAsia="仿宋" w:cs="仿宋"/>
                <w:sz w:val="24"/>
                <w:highlight w:val="none"/>
              </w:rPr>
              <w:t>（5）服务与支持。各政府采购代理机构（含集采机构）及投标人对不见面开评标系统的技术操作咨询，可通过</w:t>
            </w:r>
            <w:r>
              <w:rPr>
                <w:highlight w:val="none"/>
              </w:rPr>
              <w:fldChar w:fldCharType="begin"/>
            </w:r>
            <w:r>
              <w:rPr>
                <w:highlight w:val="none"/>
              </w:rPr>
              <w:instrText xml:space="preserve"> HYPERLINK "https://edu.zcygov.cn/luban/xinjiang-e-biding" </w:instrText>
            </w:r>
            <w:r>
              <w:rPr>
                <w:highlight w:val="none"/>
              </w:rPr>
              <w:fldChar w:fldCharType="separate"/>
            </w:r>
            <w:r>
              <w:rPr>
                <w:rFonts w:hint="eastAsia" w:ascii="仿宋" w:hAnsi="仿宋" w:eastAsia="仿宋" w:cs="仿宋"/>
                <w:sz w:val="24"/>
                <w:highlight w:val="none"/>
              </w:rPr>
              <w:t>https://edu.zcygov.cn/luban/xinjiang-e-biding</w:t>
            </w:r>
            <w:r>
              <w:rPr>
                <w:rFonts w:hint="eastAsia" w:ascii="仿宋" w:hAnsi="仿宋" w:eastAsia="仿宋" w:cs="仿宋"/>
                <w:sz w:val="24"/>
                <w:highlight w:val="none"/>
              </w:rPr>
              <w:fldChar w:fldCharType="end"/>
            </w:r>
            <w:r>
              <w:rPr>
                <w:rFonts w:hint="eastAsia" w:ascii="仿宋" w:hAnsi="仿宋" w:eastAsia="仿宋" w:cs="仿宋"/>
                <w:sz w:val="24"/>
                <w:highlight w:val="none"/>
              </w:rPr>
              <w:t>自助查询，也可在政采云帮助中心常见问题解答和操作流程讲解视频中自助查询，网址为：</w:t>
            </w:r>
            <w:r>
              <w:rPr>
                <w:highlight w:val="none"/>
              </w:rPr>
              <w:fldChar w:fldCharType="begin"/>
            </w:r>
            <w:r>
              <w:rPr>
                <w:highlight w:val="none"/>
              </w:rPr>
              <w:instrText xml:space="preserve"> HYPERLINK "https://service.zcygov.cn/" \l "/help" </w:instrText>
            </w:r>
            <w:r>
              <w:rPr>
                <w:highlight w:val="none"/>
              </w:rPr>
              <w:fldChar w:fldCharType="separate"/>
            </w:r>
            <w:r>
              <w:rPr>
                <w:rFonts w:hint="eastAsia" w:ascii="仿宋" w:hAnsi="仿宋" w:eastAsia="仿宋" w:cs="仿宋"/>
                <w:sz w:val="24"/>
                <w:highlight w:val="none"/>
              </w:rPr>
              <w:t>https://service.zcygov.cn/#/help</w:t>
            </w:r>
            <w:r>
              <w:rPr>
                <w:rFonts w:hint="eastAsia" w:ascii="仿宋" w:hAnsi="仿宋" w:eastAsia="仿宋" w:cs="仿宋"/>
                <w:sz w:val="24"/>
                <w:highlight w:val="none"/>
              </w:rPr>
              <w:fldChar w:fldCharType="end"/>
            </w:r>
            <w:r>
              <w:rPr>
                <w:rFonts w:hint="eastAsia" w:ascii="仿宋" w:hAnsi="仿宋" w:eastAsia="仿宋" w:cs="仿宋"/>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265A6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683A272">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17</w:t>
            </w:r>
          </w:p>
        </w:tc>
        <w:tc>
          <w:tcPr>
            <w:tcW w:w="1311" w:type="dxa"/>
            <w:vAlign w:val="center"/>
          </w:tcPr>
          <w:p w14:paraId="6A9D746B">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投标报价</w:t>
            </w:r>
          </w:p>
        </w:tc>
        <w:tc>
          <w:tcPr>
            <w:tcW w:w="6645" w:type="dxa"/>
            <w:vAlign w:val="center"/>
          </w:tcPr>
          <w:p w14:paraId="3FC1B465">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1、报价合理性：采购评审中出现下列情形之一的，评标委员会启动异常低价响应审查程序：</w:t>
            </w:r>
          </w:p>
          <w:p w14:paraId="76F9A3A9">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1.投标(响应)报价低于全部通过符合性审查供应商投标(响应)报价「平均值」50%的，即投标(响应)报价&lt;全部通过符合性审查供应商投标（响应）报价平均值×50%；</w:t>
            </w:r>
          </w:p>
          <w:p w14:paraId="61B3AD69">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2.投标(响应)报价低于通过符合性审查的「次低报价」供应商投标(响应)报价50%的，即投标(响应)报价&lt;通过符合性审查供应商投标(响应)报价×50%；</w:t>
            </w:r>
          </w:p>
          <w:p w14:paraId="5B23E135">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3.投标(响应)报价低于采购项目「最高限价」45%的，即投标(响应)报价&lt;采购项目最高限价×45%；</w:t>
            </w:r>
          </w:p>
          <w:p w14:paraId="3589B054">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4.评审委员会基于专业判断，认为供应商报价过低，有可能影响产品质量或者不能诚信履约的其他情形。</w:t>
            </w:r>
          </w:p>
          <w:p w14:paraId="6691D69B">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3C02358">
            <w:pPr>
              <w:snapToGrid w:val="0"/>
              <w:spacing w:line="360" w:lineRule="auto"/>
              <w:jc w:val="left"/>
              <w:rPr>
                <w:rFonts w:ascii="仿宋" w:hAnsi="仿宋" w:eastAsia="仿宋" w:cs="仿宋"/>
                <w:b/>
                <w:bCs/>
                <w:sz w:val="24"/>
                <w:highlight w:val="none"/>
              </w:rPr>
            </w:pPr>
            <w:r>
              <w:rPr>
                <w:rFonts w:hint="eastAsia" w:ascii="仿宋" w:hAnsi="仿宋" w:eastAsia="仿宋" w:cs="仿宋"/>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791EBE7">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2、投标人的报价包含提供的所有</w:t>
            </w:r>
            <w:r>
              <w:rPr>
                <w:rFonts w:hint="eastAsia" w:ascii="仿宋" w:hAnsi="仿宋" w:eastAsia="仿宋" w:cs="仿宋"/>
                <w:sz w:val="24"/>
                <w:highlight w:val="none"/>
                <w:lang w:val="en-US" w:eastAsia="zh-CN"/>
              </w:rPr>
              <w:t>服务</w:t>
            </w:r>
            <w:r>
              <w:rPr>
                <w:rFonts w:hint="eastAsia" w:ascii="仿宋" w:hAnsi="仿宋" w:eastAsia="仿宋" w:cs="仿宋"/>
                <w:sz w:val="24"/>
                <w:highlight w:val="none"/>
              </w:rPr>
              <w:t>及相关工作范围内所有费用的总价。</w:t>
            </w:r>
          </w:p>
        </w:tc>
      </w:tr>
      <w:tr w14:paraId="73324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30F3423">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18</w:t>
            </w:r>
          </w:p>
        </w:tc>
        <w:tc>
          <w:tcPr>
            <w:tcW w:w="1311" w:type="dxa"/>
            <w:vAlign w:val="center"/>
          </w:tcPr>
          <w:p w14:paraId="7D54A8E8">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踏勘现场</w:t>
            </w:r>
          </w:p>
        </w:tc>
        <w:tc>
          <w:tcPr>
            <w:tcW w:w="6645" w:type="dxa"/>
            <w:vAlign w:val="center"/>
          </w:tcPr>
          <w:p w14:paraId="143CBCE8">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sym w:font="Wingdings" w:char="F0FE"/>
            </w:r>
            <w:r>
              <w:rPr>
                <w:rFonts w:hint="eastAsia" w:ascii="仿宋" w:hAnsi="仿宋" w:eastAsia="仿宋" w:cs="仿宋"/>
                <w:sz w:val="24"/>
                <w:highlight w:val="none"/>
              </w:rPr>
              <w:t>不组织，投标人自行踏勘，无论投标人对现场考察与否，都将被视为熟悉履行合同有关的一切情况，投标人现场踏勘发生的费用自理。</w:t>
            </w:r>
          </w:p>
        </w:tc>
      </w:tr>
      <w:tr w14:paraId="6D09D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C7579F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19</w:t>
            </w:r>
          </w:p>
        </w:tc>
        <w:tc>
          <w:tcPr>
            <w:tcW w:w="1311" w:type="dxa"/>
            <w:vAlign w:val="center"/>
          </w:tcPr>
          <w:p w14:paraId="32038E61">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投标答疑会</w:t>
            </w:r>
          </w:p>
        </w:tc>
        <w:tc>
          <w:tcPr>
            <w:tcW w:w="6645" w:type="dxa"/>
            <w:vAlign w:val="center"/>
          </w:tcPr>
          <w:p w14:paraId="4AEF8B42">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sym w:font="Wingdings" w:char="F0FE"/>
            </w:r>
            <w:r>
              <w:rPr>
                <w:rFonts w:hint="eastAsia" w:ascii="仿宋" w:hAnsi="仿宋" w:eastAsia="仿宋" w:cs="仿宋"/>
                <w:sz w:val="24"/>
                <w:highlight w:val="none"/>
              </w:rPr>
              <w:t>不召开</w:t>
            </w:r>
          </w:p>
        </w:tc>
      </w:tr>
      <w:tr w14:paraId="288B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309956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20</w:t>
            </w:r>
          </w:p>
        </w:tc>
        <w:tc>
          <w:tcPr>
            <w:tcW w:w="1311" w:type="dxa"/>
            <w:vAlign w:val="center"/>
          </w:tcPr>
          <w:p w14:paraId="1FCB428C">
            <w:pPr>
              <w:snapToGrid w:val="0"/>
              <w:spacing w:line="360" w:lineRule="auto"/>
              <w:jc w:val="center"/>
              <w:rPr>
                <w:rFonts w:ascii="仿宋" w:hAnsi="仿宋" w:eastAsia="仿宋" w:cs="仿宋"/>
                <w:b/>
                <w:sz w:val="24"/>
                <w:highlight w:val="none"/>
              </w:rPr>
            </w:pPr>
            <w:r>
              <w:rPr>
                <w:rFonts w:hint="eastAsia" w:ascii="仿宋" w:hAnsi="仿宋" w:eastAsia="仿宋" w:cs="仿宋"/>
                <w:bCs/>
                <w:sz w:val="24"/>
                <w:highlight w:val="none"/>
              </w:rPr>
              <w:t>近年财务状况年份要求</w:t>
            </w:r>
          </w:p>
        </w:tc>
        <w:tc>
          <w:tcPr>
            <w:tcW w:w="6645" w:type="dxa"/>
            <w:vAlign w:val="center"/>
          </w:tcPr>
          <w:p w14:paraId="30D19457">
            <w:pPr>
              <w:pStyle w:val="25"/>
              <w:snapToGrid w:val="0"/>
              <w:spacing w:line="360" w:lineRule="auto"/>
              <w:ind w:left="0" w:firstLine="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银行出具的近1年内资信证明或2025年度经审计并赋码的财务审计报告</w:t>
            </w:r>
          </w:p>
        </w:tc>
      </w:tr>
      <w:tr w14:paraId="485E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3998BAE">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21</w:t>
            </w:r>
          </w:p>
        </w:tc>
        <w:tc>
          <w:tcPr>
            <w:tcW w:w="1311" w:type="dxa"/>
            <w:vAlign w:val="center"/>
          </w:tcPr>
          <w:p w14:paraId="2F9177E9">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投标有效期</w:t>
            </w:r>
          </w:p>
        </w:tc>
        <w:tc>
          <w:tcPr>
            <w:tcW w:w="6645" w:type="dxa"/>
            <w:vAlign w:val="center"/>
          </w:tcPr>
          <w:p w14:paraId="1A9F54CB">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从开标之日起60日历天</w:t>
            </w:r>
          </w:p>
        </w:tc>
      </w:tr>
      <w:tr w14:paraId="3BB8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F4473F2">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22</w:t>
            </w:r>
          </w:p>
        </w:tc>
        <w:tc>
          <w:tcPr>
            <w:tcW w:w="1311" w:type="dxa"/>
            <w:vAlign w:val="center"/>
          </w:tcPr>
          <w:p w14:paraId="7C746950">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6645" w:type="dxa"/>
            <w:vAlign w:val="center"/>
          </w:tcPr>
          <w:p w14:paraId="2FAFAC56">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评标委员会构成：5人；</w:t>
            </w:r>
          </w:p>
          <w:p w14:paraId="2EF6AB4A">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评标专家确定方式：经济、技术专家不少于评标委员会组成人员的三分之二，按相关规定从政府采购专家库中随机抽取。</w:t>
            </w:r>
          </w:p>
        </w:tc>
      </w:tr>
      <w:tr w14:paraId="4491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3C09BAB">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23</w:t>
            </w:r>
          </w:p>
        </w:tc>
        <w:tc>
          <w:tcPr>
            <w:tcW w:w="1311" w:type="dxa"/>
            <w:vAlign w:val="center"/>
          </w:tcPr>
          <w:p w14:paraId="7A854132">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评标办法</w:t>
            </w:r>
          </w:p>
        </w:tc>
        <w:tc>
          <w:tcPr>
            <w:tcW w:w="6645" w:type="dxa"/>
            <w:vAlign w:val="center"/>
          </w:tcPr>
          <w:p w14:paraId="02D76127">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综合评分法</w:t>
            </w:r>
          </w:p>
        </w:tc>
      </w:tr>
      <w:tr w14:paraId="191E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33EA102">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24</w:t>
            </w:r>
          </w:p>
        </w:tc>
        <w:tc>
          <w:tcPr>
            <w:tcW w:w="1311" w:type="dxa"/>
            <w:vAlign w:val="center"/>
          </w:tcPr>
          <w:p w14:paraId="7F6F244F">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是否授权评标委员会确定中标人</w:t>
            </w:r>
          </w:p>
        </w:tc>
        <w:tc>
          <w:tcPr>
            <w:tcW w:w="6645" w:type="dxa"/>
            <w:vAlign w:val="center"/>
          </w:tcPr>
          <w:p w14:paraId="0FDF7B79">
            <w:pPr>
              <w:snapToGrid w:val="0"/>
              <w:spacing w:line="360" w:lineRule="auto"/>
              <w:jc w:val="left"/>
              <w:rPr>
                <w:rFonts w:hint="eastAsia" w:ascii="仿宋" w:hAnsi="仿宋" w:eastAsia="仿宋" w:cs="仿宋"/>
                <w:sz w:val="24"/>
                <w:highlight w:val="none"/>
                <w:lang w:val="en-US" w:eastAsia="zh-CN"/>
              </w:rPr>
            </w:pPr>
            <w:r>
              <w:rPr>
                <w:rFonts w:hint="eastAsia" w:ascii="仿宋" w:hAnsi="仿宋" w:eastAsia="仿宋" w:cs="仿宋"/>
                <w:sz w:val="24"/>
                <w:highlight w:val="none"/>
              </w:rPr>
              <w:sym w:font="Wingdings" w:char="F0FE"/>
            </w:r>
            <w:r>
              <w:rPr>
                <w:rFonts w:hint="eastAsia" w:ascii="仿宋" w:hAnsi="仿宋" w:eastAsia="仿宋" w:cs="仿宋"/>
                <w:sz w:val="24"/>
                <w:highlight w:val="none"/>
              </w:rPr>
              <w:t>否，推荐3名中标候选人。</w:t>
            </w:r>
          </w:p>
        </w:tc>
      </w:tr>
      <w:tr w14:paraId="779A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1E8E46A">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25</w:t>
            </w:r>
          </w:p>
        </w:tc>
        <w:tc>
          <w:tcPr>
            <w:tcW w:w="1311" w:type="dxa"/>
            <w:vAlign w:val="center"/>
          </w:tcPr>
          <w:p w14:paraId="79E8C9CF">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履约保证金</w:t>
            </w:r>
          </w:p>
        </w:tc>
        <w:tc>
          <w:tcPr>
            <w:tcW w:w="6645" w:type="dxa"/>
            <w:vAlign w:val="center"/>
          </w:tcPr>
          <w:p w14:paraId="6DA8D7E8">
            <w:pPr>
              <w:snapToGrid w:val="0"/>
              <w:spacing w:line="360" w:lineRule="auto"/>
              <w:jc w:val="lef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不需要缴纳</w:t>
            </w:r>
          </w:p>
          <w:p w14:paraId="0E13F90C">
            <w:pPr>
              <w:snapToGrid w:val="0"/>
              <w:spacing w:line="360" w:lineRule="auto"/>
              <w:jc w:val="left"/>
              <w:rPr>
                <w:rFonts w:hint="default"/>
                <w:highlight w:val="none"/>
                <w:lang w:val="en-US" w:eastAsia="zh-CN"/>
              </w:rPr>
            </w:pPr>
            <w:r>
              <w:rPr>
                <w:rFonts w:hint="default" w:ascii="仿宋" w:hAnsi="仿宋" w:eastAsia="仿宋" w:cs="仿宋"/>
                <w:sz w:val="24"/>
                <w:highlight w:val="none"/>
                <w:lang w:val="en-US" w:eastAsia="zh-CN"/>
              </w:rPr>
              <w:t>履约保证金的</w:t>
            </w:r>
            <w:r>
              <w:rPr>
                <w:rFonts w:hint="eastAsia" w:ascii="仿宋" w:hAnsi="仿宋" w:eastAsia="仿宋" w:cs="仿宋"/>
                <w:sz w:val="24"/>
                <w:highlight w:val="none"/>
                <w:lang w:val="en-US" w:eastAsia="zh-CN"/>
              </w:rPr>
              <w:t>缴纳</w:t>
            </w:r>
            <w:r>
              <w:rPr>
                <w:rFonts w:hint="default" w:ascii="仿宋" w:hAnsi="仿宋" w:eastAsia="仿宋" w:cs="仿宋"/>
                <w:sz w:val="24"/>
                <w:highlight w:val="none"/>
                <w:lang w:val="en-US" w:eastAsia="zh-CN"/>
              </w:rPr>
              <w:t>时间：</w:t>
            </w:r>
            <w:r>
              <w:rPr>
                <w:rFonts w:hint="eastAsia" w:ascii="仿宋" w:hAnsi="仿宋" w:eastAsia="仿宋" w:cs="仿宋"/>
                <w:sz w:val="24"/>
                <w:highlight w:val="none"/>
                <w:lang w:val="en-US" w:eastAsia="zh-CN"/>
              </w:rPr>
              <w:t>/</w:t>
            </w:r>
            <w:r>
              <w:rPr>
                <w:rFonts w:hint="default" w:ascii="仿宋" w:hAnsi="仿宋" w:eastAsia="仿宋" w:cs="仿宋"/>
                <w:sz w:val="24"/>
                <w:highlight w:val="none"/>
                <w:lang w:val="en-US" w:eastAsia="zh-CN"/>
              </w:rPr>
              <w:t>；</w:t>
            </w:r>
          </w:p>
        </w:tc>
      </w:tr>
      <w:tr w14:paraId="5568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4831E37">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26</w:t>
            </w:r>
          </w:p>
        </w:tc>
        <w:tc>
          <w:tcPr>
            <w:tcW w:w="1311" w:type="dxa"/>
            <w:vAlign w:val="center"/>
          </w:tcPr>
          <w:p w14:paraId="030C08D4">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代理费用</w:t>
            </w:r>
          </w:p>
        </w:tc>
        <w:tc>
          <w:tcPr>
            <w:tcW w:w="6645" w:type="dxa"/>
            <w:vAlign w:val="center"/>
          </w:tcPr>
          <w:p w14:paraId="66C90425">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本次招标代理服务费参照发改价格[2011]534号及计价格[2002]1980号文件计算下浮</w:t>
            </w:r>
            <w:r>
              <w:rPr>
                <w:rFonts w:hint="eastAsia" w:ascii="仿宋" w:hAnsi="仿宋" w:eastAsia="仿宋" w:cs="仿宋"/>
                <w:sz w:val="24"/>
                <w:highlight w:val="none"/>
                <w:lang w:val="en-US" w:eastAsia="zh-CN"/>
              </w:rPr>
              <w:t>30</w:t>
            </w:r>
            <w:r>
              <w:rPr>
                <w:rFonts w:hint="eastAsia" w:ascii="仿宋" w:hAnsi="仿宋" w:eastAsia="仿宋" w:cs="仿宋"/>
                <w:sz w:val="24"/>
                <w:highlight w:val="none"/>
              </w:rPr>
              <w:t>%计取。由中标单位在中标通知书领取前一次性支付给招标代理公司。</w:t>
            </w:r>
          </w:p>
        </w:tc>
      </w:tr>
      <w:tr w14:paraId="547F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35291F0">
            <w:pPr>
              <w:snapToGrid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27</w:t>
            </w:r>
          </w:p>
        </w:tc>
        <w:tc>
          <w:tcPr>
            <w:tcW w:w="1311" w:type="dxa"/>
            <w:vAlign w:val="center"/>
          </w:tcPr>
          <w:p w14:paraId="04CB9F01">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6645" w:type="dxa"/>
            <w:vAlign w:val="center"/>
          </w:tcPr>
          <w:p w14:paraId="50563B49">
            <w:pPr>
              <w:pStyle w:val="61"/>
              <w:widowControl/>
              <w:snapToGrid w:val="0"/>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合同签订后,</w:t>
            </w:r>
            <w:r>
              <w:rPr>
                <w:rFonts w:hint="eastAsia" w:ascii="仿宋" w:hAnsi="仿宋" w:eastAsia="仿宋" w:cs="仿宋"/>
                <w:color w:val="auto"/>
                <w:highlight w:val="none"/>
                <w:lang w:val="en-US" w:eastAsia="zh-CN"/>
              </w:rPr>
              <w:t>支付预付款20%；</w:t>
            </w:r>
            <w:r>
              <w:rPr>
                <w:rFonts w:hint="eastAsia" w:ascii="仿宋" w:hAnsi="仿宋" w:eastAsia="仿宋" w:cs="仿宋"/>
                <w:color w:val="auto"/>
                <w:highlight w:val="none"/>
              </w:rPr>
              <w:t>项目完成</w:t>
            </w:r>
            <w:r>
              <w:rPr>
                <w:rFonts w:hint="eastAsia" w:ascii="仿宋" w:hAnsi="仿宋" w:eastAsia="仿宋" w:cs="仿宋"/>
                <w:color w:val="auto"/>
                <w:highlight w:val="none"/>
                <w:lang w:val="en-US" w:eastAsia="zh-CN"/>
              </w:rPr>
              <w:t>后支付至合同</w:t>
            </w:r>
            <w:r>
              <w:rPr>
                <w:rFonts w:hint="eastAsia" w:ascii="仿宋" w:hAnsi="仿宋" w:eastAsia="仿宋" w:cs="仿宋"/>
                <w:color w:val="auto"/>
                <w:highlight w:val="none"/>
              </w:rPr>
              <w:t>金额的</w:t>
            </w:r>
            <w:r>
              <w:rPr>
                <w:rFonts w:hint="eastAsia" w:ascii="仿宋" w:hAnsi="仿宋" w:eastAsia="仿宋" w:cs="仿宋"/>
                <w:color w:val="auto"/>
                <w:highlight w:val="none"/>
                <w:lang w:val="en-US" w:eastAsia="zh-CN"/>
              </w:rPr>
              <w:t>60%</w:t>
            </w:r>
            <w:r>
              <w:rPr>
                <w:rFonts w:hint="eastAsia" w:ascii="仿宋" w:hAnsi="仿宋" w:eastAsia="仿宋" w:cs="仿宋"/>
                <w:color w:val="auto"/>
                <w:highlight w:val="none"/>
              </w:rPr>
              <w:t>，经验收合格出具书面验收报告后，支付</w:t>
            </w:r>
            <w:r>
              <w:rPr>
                <w:rFonts w:hint="eastAsia" w:ascii="仿宋" w:hAnsi="仿宋" w:eastAsia="仿宋" w:cs="仿宋"/>
                <w:color w:val="auto"/>
                <w:highlight w:val="none"/>
                <w:lang w:val="en-US" w:eastAsia="zh-CN"/>
              </w:rPr>
              <w:t>至</w:t>
            </w:r>
            <w:r>
              <w:rPr>
                <w:rFonts w:hint="eastAsia" w:ascii="仿宋" w:hAnsi="仿宋" w:eastAsia="仿宋" w:cs="仿宋"/>
                <w:color w:val="auto"/>
                <w:highlight w:val="none"/>
              </w:rPr>
              <w:t>合同金额的95%，留合同金额的</w:t>
            </w:r>
            <w:r>
              <w:rPr>
                <w:rFonts w:hint="eastAsia" w:ascii="仿宋" w:hAnsi="仿宋" w:eastAsia="仿宋" w:cs="仿宋"/>
                <w:color w:val="auto"/>
                <w:highlight w:val="none"/>
              </w:rPr>
              <w:softHyphen/>
            </w:r>
            <w:r>
              <w:rPr>
                <w:rFonts w:hint="eastAsia" w:ascii="仿宋" w:hAnsi="仿宋" w:eastAsia="仿宋" w:cs="仿宋"/>
                <w:color w:val="auto"/>
                <w:highlight w:val="none"/>
              </w:rPr>
              <w:softHyphen/>
            </w:r>
            <w:r>
              <w:rPr>
                <w:rFonts w:hint="eastAsia" w:ascii="仿宋" w:hAnsi="仿宋" w:eastAsia="仿宋" w:cs="仿宋"/>
                <w:color w:val="auto"/>
                <w:highlight w:val="none"/>
              </w:rPr>
              <w:softHyphen/>
            </w:r>
            <w:r>
              <w:rPr>
                <w:rFonts w:hint="eastAsia" w:ascii="仿宋" w:hAnsi="仿宋" w:eastAsia="仿宋" w:cs="仿宋"/>
                <w:color w:val="auto"/>
                <w:highlight w:val="none"/>
              </w:rPr>
              <w:t>5%</w:t>
            </w:r>
            <w:r>
              <w:rPr>
                <w:rFonts w:hint="eastAsia" w:ascii="仿宋" w:hAnsi="仿宋" w:eastAsia="仿宋" w:cs="仿宋"/>
                <w:color w:val="auto"/>
                <w:highlight w:val="none"/>
                <w:lang w:val="en-US" w:eastAsia="zh-CN"/>
              </w:rPr>
              <w:t>在合同执行完毕后付清</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 xml:space="preserve"> </w:t>
            </w:r>
          </w:p>
        </w:tc>
      </w:tr>
      <w:tr w14:paraId="53E6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F71EBB">
            <w:pPr>
              <w:snapToGrid w:val="0"/>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28</w:t>
            </w:r>
          </w:p>
        </w:tc>
        <w:tc>
          <w:tcPr>
            <w:tcW w:w="1311" w:type="dxa"/>
            <w:vAlign w:val="center"/>
          </w:tcPr>
          <w:p w14:paraId="3989462D">
            <w:pPr>
              <w:widowControl/>
              <w:tabs>
                <w:tab w:val="left" w:pos="720"/>
                <w:tab w:val="left" w:pos="900"/>
                <w:tab w:val="left" w:pos="1080"/>
                <w:tab w:val="left" w:pos="1260"/>
                <w:tab w:val="left" w:pos="1440"/>
                <w:tab w:val="left" w:pos="1800"/>
              </w:tabs>
              <w:snapToGrid w:val="0"/>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其他</w:t>
            </w:r>
          </w:p>
        </w:tc>
        <w:tc>
          <w:tcPr>
            <w:tcW w:w="6645" w:type="dxa"/>
            <w:vAlign w:val="center"/>
          </w:tcPr>
          <w:p w14:paraId="31C3341D">
            <w:pPr>
              <w:pStyle w:val="7"/>
              <w:ind w:left="0" w:leftChars="0" w:firstLine="0" w:firstLineChars="0"/>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特别说明：</w:t>
            </w:r>
          </w:p>
          <w:p w14:paraId="705C2364">
            <w:pPr>
              <w:pStyle w:val="7"/>
              <w:ind w:left="0" w:leftChars="0" w:firstLine="0" w:firstLineChars="0"/>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rPr>
              <w:t>投标企业严格遵守国家的法律法规及招标纪律，无违法违纪及商业贿赂行为。</w:t>
            </w:r>
          </w:p>
          <w:p w14:paraId="2C499E0B">
            <w:pPr>
              <w:pStyle w:val="7"/>
              <w:ind w:left="0" w:leftChars="0" w:firstLine="0" w:firstLineChars="0"/>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rPr>
              <w:t>不管投标结果如何，</w:t>
            </w:r>
            <w:r>
              <w:rPr>
                <w:rFonts w:hint="eastAsia" w:ascii="仿宋" w:hAnsi="仿宋" w:eastAsia="仿宋" w:cs="仿宋"/>
                <w:color w:val="auto"/>
                <w:spacing w:val="-2"/>
                <w:sz w:val="24"/>
                <w:szCs w:val="24"/>
                <w:highlight w:val="none"/>
                <w:lang w:eastAsia="zh-CN"/>
              </w:rPr>
              <w:t>供应商</w:t>
            </w:r>
            <w:r>
              <w:rPr>
                <w:rFonts w:hint="eastAsia" w:ascii="仿宋" w:hAnsi="仿宋" w:eastAsia="仿宋" w:cs="仿宋"/>
                <w:color w:val="auto"/>
                <w:spacing w:val="-2"/>
                <w:sz w:val="24"/>
                <w:szCs w:val="24"/>
                <w:highlight w:val="none"/>
              </w:rPr>
              <w:t>均应自行承担投标所需一切费用(应包括：劳务、管理、材料、制作、安装、调试、维修、利润、税金及政策性文件规定的各项应有费用以及垃圾处理、环保费、保险费、检验费、仓储费等；现场安全措施、</w:t>
            </w:r>
            <w:r>
              <w:rPr>
                <w:rFonts w:hint="eastAsia" w:ascii="仿宋" w:hAnsi="仿宋" w:eastAsia="仿宋" w:cs="仿宋"/>
                <w:color w:val="auto"/>
                <w:spacing w:val="-2"/>
                <w:sz w:val="24"/>
                <w:szCs w:val="24"/>
                <w:highlight w:val="none"/>
                <w:lang w:val="en-US" w:eastAsia="zh-CN"/>
              </w:rPr>
              <w:t>服务</w:t>
            </w:r>
            <w:r>
              <w:rPr>
                <w:rFonts w:hint="eastAsia" w:ascii="仿宋" w:hAnsi="仿宋" w:eastAsia="仿宋" w:cs="仿宋"/>
                <w:color w:val="auto"/>
                <w:spacing w:val="-2"/>
                <w:sz w:val="24"/>
                <w:szCs w:val="24"/>
                <w:highlight w:val="none"/>
              </w:rPr>
              <w:t>期保证、质量保证、各种不利因素的影响产生的措施和风险费用以及设备的装卸费)。</w:t>
            </w:r>
          </w:p>
          <w:p w14:paraId="75BC9E55">
            <w:pPr>
              <w:pStyle w:val="7"/>
              <w:ind w:left="0" w:leftChars="0" w:firstLine="0" w:firstLineChars="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rPr>
              <w:t>为保证本项目产品质量，良好的售后服务；最低报价不作为中标的唯一依据。</w:t>
            </w:r>
          </w:p>
          <w:p w14:paraId="4C6855E6">
            <w:pPr>
              <w:pStyle w:val="7"/>
              <w:numPr>
                <w:ilvl w:val="0"/>
                <w:numId w:val="0"/>
              </w:numP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各</w:t>
            </w:r>
            <w:r>
              <w:rPr>
                <w:rFonts w:hint="eastAsia" w:ascii="仿宋" w:hAnsi="仿宋" w:eastAsia="仿宋" w:cs="仿宋"/>
                <w:color w:val="auto"/>
                <w:spacing w:val="-2"/>
                <w:sz w:val="24"/>
                <w:szCs w:val="24"/>
                <w:highlight w:val="none"/>
                <w:lang w:eastAsia="zh-CN"/>
              </w:rPr>
              <w:t>供应商</w:t>
            </w:r>
            <w:r>
              <w:rPr>
                <w:rFonts w:hint="eastAsia" w:ascii="仿宋" w:hAnsi="仿宋" w:eastAsia="仿宋" w:cs="仿宋"/>
                <w:color w:val="auto"/>
                <w:spacing w:val="-2"/>
                <w:sz w:val="24"/>
                <w:szCs w:val="24"/>
                <w:highlight w:val="none"/>
              </w:rPr>
              <w:t>的调研费、差旅费等费用自理。无论投标结果如何，</w:t>
            </w:r>
            <w:r>
              <w:rPr>
                <w:rFonts w:hint="eastAsia" w:ascii="仿宋" w:hAnsi="仿宋" w:eastAsia="仿宋" w:cs="仿宋"/>
                <w:color w:val="auto"/>
                <w:spacing w:val="-2"/>
                <w:sz w:val="24"/>
                <w:szCs w:val="24"/>
                <w:highlight w:val="none"/>
                <w:lang w:eastAsia="zh-CN"/>
              </w:rPr>
              <w:t>供应商</w:t>
            </w:r>
            <w:r>
              <w:rPr>
                <w:rFonts w:hint="eastAsia" w:ascii="仿宋" w:hAnsi="仿宋" w:eastAsia="仿宋" w:cs="仿宋"/>
                <w:color w:val="auto"/>
                <w:spacing w:val="-2"/>
                <w:sz w:val="24"/>
                <w:szCs w:val="24"/>
                <w:highlight w:val="none"/>
              </w:rPr>
              <w:t>均应自行承担投标所需一切费用。</w:t>
            </w:r>
          </w:p>
          <w:p w14:paraId="6C0C0632">
            <w:pPr>
              <w:pStyle w:val="7"/>
              <w:numPr>
                <w:ilvl w:val="0"/>
                <w:numId w:val="0"/>
              </w:numP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5</w:t>
            </w:r>
            <w:r>
              <w:rPr>
                <w:rFonts w:hint="eastAsia" w:ascii="仿宋" w:hAnsi="仿宋" w:eastAsia="仿宋" w:cs="仿宋"/>
                <w:color w:val="auto"/>
                <w:spacing w:val="-2"/>
                <w:sz w:val="24"/>
                <w:szCs w:val="24"/>
                <w:highlight w:val="none"/>
                <w:lang w:eastAsia="zh-CN"/>
              </w:rPr>
              <w:t>）采购文件</w:t>
            </w:r>
            <w:r>
              <w:rPr>
                <w:rFonts w:hint="eastAsia" w:ascii="仿宋" w:hAnsi="仿宋" w:eastAsia="仿宋" w:cs="仿宋"/>
                <w:color w:val="auto"/>
                <w:spacing w:val="-2"/>
                <w:sz w:val="24"/>
                <w:szCs w:val="24"/>
                <w:highlight w:val="none"/>
              </w:rPr>
              <w:t>中除（技术</w:t>
            </w:r>
            <w:r>
              <w:rPr>
                <w:rFonts w:hint="eastAsia" w:ascii="仿宋" w:hAnsi="仿宋" w:eastAsia="仿宋" w:cs="仿宋"/>
                <w:color w:val="auto"/>
                <w:spacing w:val="-2"/>
                <w:sz w:val="24"/>
                <w:szCs w:val="24"/>
                <w:highlight w:val="none"/>
                <w:lang w:val="en-US" w:eastAsia="zh-CN"/>
              </w:rPr>
              <w:t>要求</w:t>
            </w:r>
            <w:r>
              <w:rPr>
                <w:rFonts w:hint="eastAsia" w:ascii="仿宋" w:hAnsi="仿宋" w:eastAsia="仿宋" w:cs="仿宋"/>
                <w:color w:val="auto"/>
                <w:spacing w:val="-2"/>
                <w:sz w:val="24"/>
                <w:szCs w:val="24"/>
                <w:highlight w:val="none"/>
              </w:rPr>
              <w:t>外）部分加标“★”、加粗、加下划线、废标、无效标、投标被拒绝字样的条款，为招标的实质性要求和条件，着重提醒各</w:t>
            </w:r>
            <w:r>
              <w:rPr>
                <w:rFonts w:hint="eastAsia" w:ascii="仿宋" w:hAnsi="仿宋" w:eastAsia="仿宋" w:cs="仿宋"/>
                <w:color w:val="auto"/>
                <w:spacing w:val="-2"/>
                <w:sz w:val="24"/>
                <w:szCs w:val="24"/>
                <w:highlight w:val="none"/>
                <w:lang w:eastAsia="zh-CN"/>
              </w:rPr>
              <w:t>供应商</w:t>
            </w:r>
            <w:r>
              <w:rPr>
                <w:rFonts w:hint="eastAsia" w:ascii="仿宋" w:hAnsi="仿宋" w:eastAsia="仿宋" w:cs="仿宋"/>
                <w:color w:val="auto"/>
                <w:spacing w:val="-2"/>
                <w:sz w:val="24"/>
                <w:szCs w:val="24"/>
                <w:highlight w:val="none"/>
              </w:rPr>
              <w:t>注意，并认真查看</w:t>
            </w:r>
            <w:r>
              <w:rPr>
                <w:rFonts w:hint="eastAsia" w:ascii="仿宋" w:hAnsi="仿宋" w:eastAsia="仿宋" w:cs="仿宋"/>
                <w:color w:val="auto"/>
                <w:spacing w:val="-2"/>
                <w:sz w:val="24"/>
                <w:szCs w:val="24"/>
                <w:highlight w:val="none"/>
                <w:lang w:eastAsia="zh-CN"/>
              </w:rPr>
              <w:t>采购文件</w:t>
            </w:r>
            <w:r>
              <w:rPr>
                <w:rFonts w:hint="eastAsia" w:ascii="仿宋" w:hAnsi="仿宋" w:eastAsia="仿宋" w:cs="仿宋"/>
                <w:color w:val="auto"/>
                <w:spacing w:val="-2"/>
                <w:sz w:val="24"/>
                <w:szCs w:val="24"/>
                <w:highlight w:val="none"/>
              </w:rPr>
              <w:t>中的每一个条款及要求，因误读</w:t>
            </w:r>
            <w:r>
              <w:rPr>
                <w:rFonts w:hint="eastAsia" w:ascii="仿宋" w:hAnsi="仿宋" w:eastAsia="仿宋" w:cs="仿宋"/>
                <w:color w:val="auto"/>
                <w:spacing w:val="-2"/>
                <w:sz w:val="24"/>
                <w:szCs w:val="24"/>
                <w:highlight w:val="none"/>
                <w:lang w:eastAsia="zh-CN"/>
              </w:rPr>
              <w:t>采购文件</w:t>
            </w:r>
            <w:r>
              <w:rPr>
                <w:rFonts w:hint="eastAsia" w:ascii="仿宋" w:hAnsi="仿宋" w:eastAsia="仿宋" w:cs="仿宋"/>
                <w:color w:val="auto"/>
                <w:spacing w:val="-2"/>
                <w:sz w:val="24"/>
                <w:szCs w:val="24"/>
                <w:highlight w:val="none"/>
              </w:rPr>
              <w:t>而造成的后果，采购人概不负责。</w:t>
            </w:r>
          </w:p>
          <w:p w14:paraId="2E823997">
            <w:pPr>
              <w:pStyle w:val="7"/>
              <w:ind w:left="0" w:leftChars="0" w:firstLine="0" w:firstLineChars="0"/>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w:t>
            </w:r>
            <w:r>
              <w:rPr>
                <w:rFonts w:hint="eastAsia" w:ascii="仿宋" w:hAnsi="仿宋" w:eastAsia="仿宋" w:cs="仿宋"/>
                <w:b/>
                <w:bCs/>
                <w:color w:val="auto"/>
                <w:spacing w:val="-2"/>
                <w:sz w:val="24"/>
                <w:szCs w:val="24"/>
                <w:highlight w:val="none"/>
              </w:rPr>
              <w:t>投标文件中有弄虚作假的内容，</w:t>
            </w:r>
            <w:r>
              <w:rPr>
                <w:rFonts w:hint="eastAsia" w:ascii="仿宋" w:hAnsi="仿宋" w:eastAsia="仿宋" w:cs="仿宋"/>
                <w:b/>
                <w:bCs/>
                <w:color w:val="auto"/>
                <w:spacing w:val="-2"/>
                <w:sz w:val="24"/>
                <w:szCs w:val="24"/>
                <w:highlight w:val="none"/>
                <w:lang w:val="en-US" w:eastAsia="zh-CN"/>
              </w:rPr>
              <w:t>是指</w:t>
            </w:r>
            <w:r>
              <w:rPr>
                <w:rFonts w:hint="eastAsia" w:ascii="仿宋" w:hAnsi="仿宋" w:eastAsia="仿宋" w:cs="仿宋"/>
                <w:b/>
                <w:bCs/>
                <w:color w:val="auto"/>
                <w:sz w:val="24"/>
                <w:szCs w:val="24"/>
                <w:highlight w:val="none"/>
                <w:lang w:val="en-US" w:eastAsia="zh-CN"/>
              </w:rPr>
              <w:t>技术参数有负偏离的在偏离表中标注正偏离或无偏离的，</w:t>
            </w:r>
            <w:r>
              <w:rPr>
                <w:rFonts w:hint="eastAsia" w:ascii="仿宋" w:hAnsi="仿宋" w:eastAsia="仿宋" w:cs="仿宋"/>
                <w:b/>
                <w:bCs/>
                <w:color w:val="auto"/>
                <w:spacing w:val="-2"/>
                <w:sz w:val="24"/>
                <w:szCs w:val="24"/>
                <w:highlight w:val="none"/>
              </w:rPr>
              <w:t>其投标文件作废。</w:t>
            </w:r>
            <w:r>
              <w:rPr>
                <w:rFonts w:hint="eastAsia" w:ascii="仿宋" w:hAnsi="仿宋" w:eastAsia="仿宋" w:cs="仿宋"/>
                <w:color w:val="auto"/>
                <w:spacing w:val="-2"/>
                <w:sz w:val="24"/>
                <w:szCs w:val="24"/>
                <w:highlight w:val="none"/>
              </w:rPr>
              <w:t>在签订合同之前，采购人如发现</w:t>
            </w:r>
            <w:r>
              <w:rPr>
                <w:rFonts w:hint="eastAsia" w:ascii="仿宋" w:hAnsi="仿宋" w:eastAsia="仿宋" w:cs="仿宋"/>
                <w:color w:val="auto"/>
                <w:spacing w:val="-2"/>
                <w:sz w:val="24"/>
                <w:szCs w:val="24"/>
                <w:highlight w:val="none"/>
                <w:lang w:eastAsia="zh-CN"/>
              </w:rPr>
              <w:t>供应商</w:t>
            </w:r>
            <w:r>
              <w:rPr>
                <w:rFonts w:hint="eastAsia" w:ascii="仿宋" w:hAnsi="仿宋" w:eastAsia="仿宋" w:cs="仿宋"/>
                <w:color w:val="auto"/>
                <w:spacing w:val="-2"/>
                <w:sz w:val="24"/>
                <w:szCs w:val="24"/>
                <w:highlight w:val="none"/>
              </w:rPr>
              <w:t>的投标文件有弄虚作假内容，采购人可拒绝与其签订合同。</w:t>
            </w:r>
          </w:p>
          <w:p w14:paraId="6E7A31EE">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rPr>
              <w:t>（7）</w:t>
            </w:r>
            <w:r>
              <w:rPr>
                <w:rFonts w:hint="eastAsia" w:ascii="仿宋" w:hAnsi="仿宋" w:eastAsia="仿宋" w:cs="仿宋"/>
                <w:color w:val="auto"/>
                <w:spacing w:val="-2"/>
                <w:sz w:val="24"/>
                <w:szCs w:val="24"/>
                <w:highlight w:val="none"/>
                <w:lang w:eastAsia="zh-CN"/>
              </w:rPr>
              <w:t>采购文件</w:t>
            </w:r>
            <w:r>
              <w:rPr>
                <w:rFonts w:hint="eastAsia" w:ascii="仿宋" w:hAnsi="仿宋" w:eastAsia="仿宋" w:cs="仿宋"/>
                <w:color w:val="auto"/>
                <w:spacing w:val="-2"/>
                <w:sz w:val="24"/>
                <w:szCs w:val="24"/>
                <w:highlight w:val="none"/>
                <w:lang w:val="en-US" w:eastAsia="zh-CN"/>
              </w:rPr>
              <w:t>前后</w:t>
            </w:r>
            <w:r>
              <w:rPr>
                <w:rFonts w:hint="eastAsia" w:ascii="仿宋" w:hAnsi="仿宋" w:eastAsia="仿宋" w:cs="仿宋"/>
                <w:color w:val="auto"/>
                <w:spacing w:val="-2"/>
                <w:sz w:val="24"/>
                <w:szCs w:val="24"/>
                <w:highlight w:val="none"/>
              </w:rPr>
              <w:t>如出现不一致情况，以前附表为准。</w:t>
            </w:r>
          </w:p>
        </w:tc>
      </w:tr>
    </w:tbl>
    <w:p w14:paraId="2B4EBABE">
      <w:pPr>
        <w:pStyle w:val="3"/>
        <w:spacing w:before="156" w:after="156"/>
        <w:rPr>
          <w:rFonts w:ascii="仿宋" w:hAnsi="仿宋" w:eastAsia="仿宋" w:cs="仿宋"/>
          <w:bCs w:val="0"/>
          <w:sz w:val="24"/>
          <w:szCs w:val="24"/>
          <w:highlight w:val="none"/>
        </w:rPr>
      </w:pPr>
      <w:r>
        <w:rPr>
          <w:rFonts w:hint="eastAsia" w:ascii="仿宋" w:hAnsi="仿宋" w:eastAsia="仿宋" w:cs="仿宋"/>
          <w:bCs w:val="0"/>
          <w:sz w:val="24"/>
          <w:szCs w:val="24"/>
          <w:highlight w:val="none"/>
        </w:rPr>
        <w:br w:type="page"/>
      </w:r>
      <w:r>
        <w:rPr>
          <w:rFonts w:hint="eastAsia" w:ascii="仿宋" w:hAnsi="仿宋" w:eastAsia="仿宋" w:cs="仿宋"/>
          <w:bCs w:val="0"/>
          <w:sz w:val="24"/>
          <w:szCs w:val="24"/>
          <w:highlight w:val="none"/>
        </w:rPr>
        <w:t>二、总  则</w:t>
      </w:r>
    </w:p>
    <w:p w14:paraId="49E75366">
      <w:pPr>
        <w:spacing w:line="360" w:lineRule="auto"/>
        <w:ind w:firstLine="480" w:firstLineChars="200"/>
        <w:rPr>
          <w:rFonts w:ascii="仿宋" w:hAnsi="仿宋" w:eastAsia="仿宋" w:cs="仿宋"/>
          <w:sz w:val="24"/>
          <w:highlight w:val="none"/>
        </w:rPr>
      </w:pPr>
      <w:bookmarkStart w:id="42" w:name="_Toc183682342"/>
      <w:bookmarkStart w:id="43" w:name="_Toc183582205"/>
      <w:bookmarkStart w:id="44" w:name="_Toc217446034"/>
      <w:r>
        <w:rPr>
          <w:rFonts w:hint="eastAsia" w:ascii="仿宋" w:hAnsi="仿宋" w:eastAsia="仿宋" w:cs="仿宋"/>
          <w:sz w:val="24"/>
          <w:highlight w:val="none"/>
        </w:rPr>
        <w:t>1.</w:t>
      </w:r>
      <w:bookmarkEnd w:id="42"/>
      <w:bookmarkEnd w:id="43"/>
      <w:r>
        <w:rPr>
          <w:rFonts w:hint="eastAsia" w:ascii="仿宋" w:hAnsi="仿宋" w:eastAsia="仿宋" w:cs="仿宋"/>
          <w:sz w:val="24"/>
          <w:highlight w:val="none"/>
        </w:rPr>
        <w:t xml:space="preserve"> 适用范围</w:t>
      </w:r>
      <w:bookmarkEnd w:id="44"/>
    </w:p>
    <w:p w14:paraId="769E3CF4">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 本招标文件仅适用于本次招标项目。</w:t>
      </w:r>
    </w:p>
    <w:p w14:paraId="3029D264">
      <w:pPr>
        <w:spacing w:line="360" w:lineRule="auto"/>
        <w:ind w:firstLine="480" w:firstLineChars="200"/>
        <w:rPr>
          <w:rFonts w:ascii="仿宋" w:hAnsi="仿宋" w:eastAsia="仿宋" w:cs="仿宋"/>
          <w:sz w:val="24"/>
          <w:highlight w:val="none"/>
        </w:rPr>
      </w:pPr>
      <w:bookmarkStart w:id="45" w:name="_Toc183582206"/>
      <w:bookmarkStart w:id="46" w:name="_Toc183682343"/>
      <w:bookmarkStart w:id="47" w:name="_Toc217446035"/>
      <w:r>
        <w:rPr>
          <w:rFonts w:hint="eastAsia" w:ascii="仿宋" w:hAnsi="仿宋" w:eastAsia="仿宋" w:cs="仿宋"/>
          <w:sz w:val="24"/>
          <w:highlight w:val="none"/>
        </w:rPr>
        <w:t xml:space="preserve">2. </w:t>
      </w:r>
      <w:bookmarkEnd w:id="45"/>
      <w:bookmarkEnd w:id="46"/>
      <w:r>
        <w:rPr>
          <w:rFonts w:hint="eastAsia" w:ascii="仿宋" w:hAnsi="仿宋" w:eastAsia="仿宋" w:cs="仿宋"/>
          <w:sz w:val="24"/>
          <w:highlight w:val="none"/>
        </w:rPr>
        <w:t>有关定义</w:t>
      </w:r>
      <w:bookmarkEnd w:id="47"/>
    </w:p>
    <w:p w14:paraId="29455E2B">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 “采购人”系指依法进行政府采购的国家机关、事业单位、团体组织。本项目采购人是</w:t>
      </w:r>
      <w:r>
        <w:rPr>
          <w:rFonts w:hint="eastAsia" w:ascii="仿宋" w:hAnsi="仿宋" w:eastAsia="仿宋" w:cs="仿宋"/>
          <w:sz w:val="24"/>
          <w:highlight w:val="none"/>
          <w:u w:val="single"/>
          <w:lang w:eastAsia="zh-CN"/>
        </w:rPr>
        <w:t>新疆农业大学</w:t>
      </w:r>
      <w:r>
        <w:rPr>
          <w:rFonts w:hint="eastAsia" w:ascii="仿宋" w:hAnsi="仿宋" w:eastAsia="仿宋" w:cs="仿宋"/>
          <w:sz w:val="24"/>
          <w:highlight w:val="none"/>
        </w:rPr>
        <w:t>。</w:t>
      </w:r>
    </w:p>
    <w:p w14:paraId="7824965D">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2.2 “采购代理机构”系指根据采购人的委托依法办理招标事宜的采购机构。本次招标的采购代理机构是</w:t>
      </w:r>
      <w:r>
        <w:rPr>
          <w:rFonts w:hint="eastAsia" w:ascii="仿宋" w:hAnsi="仿宋" w:eastAsia="仿宋" w:cs="仿宋"/>
          <w:sz w:val="24"/>
          <w:highlight w:val="none"/>
          <w:u w:val="single"/>
        </w:rPr>
        <w:t>新疆拓源工程管理咨询有限公司</w:t>
      </w:r>
      <w:r>
        <w:rPr>
          <w:rFonts w:hint="eastAsia" w:ascii="仿宋" w:hAnsi="仿宋" w:eastAsia="仿宋" w:cs="仿宋"/>
          <w:sz w:val="24"/>
          <w:highlight w:val="none"/>
        </w:rPr>
        <w:t>。</w:t>
      </w:r>
    </w:p>
    <w:p w14:paraId="43BEAE64">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2.3 “采购单位”系指“采购人”和“采购代理机构”的统称。</w:t>
      </w:r>
    </w:p>
    <w:p w14:paraId="475F883D">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 “投标人”系指下载了招标文件拟参加投标和向采购人提供货物的投标人。</w:t>
      </w:r>
    </w:p>
    <w:p w14:paraId="319E6599">
      <w:pPr>
        <w:spacing w:line="360" w:lineRule="auto"/>
        <w:ind w:firstLine="480" w:firstLineChars="200"/>
        <w:rPr>
          <w:rFonts w:ascii="仿宋" w:hAnsi="仿宋" w:eastAsia="仿宋" w:cs="仿宋"/>
          <w:sz w:val="24"/>
          <w:highlight w:val="none"/>
        </w:rPr>
      </w:pPr>
      <w:bookmarkStart w:id="48" w:name="_Toc183582207"/>
      <w:bookmarkStart w:id="49" w:name="_Toc217446036"/>
      <w:bookmarkStart w:id="50" w:name="_Toc183682344"/>
      <w:bookmarkStart w:id="51" w:name="_Toc217390843"/>
      <w:r>
        <w:rPr>
          <w:rFonts w:hint="eastAsia" w:ascii="仿宋" w:hAnsi="仿宋" w:eastAsia="仿宋" w:cs="仿宋"/>
          <w:sz w:val="24"/>
          <w:highlight w:val="none"/>
        </w:rPr>
        <w:t>3. 合格的</w:t>
      </w:r>
      <w:bookmarkEnd w:id="48"/>
      <w:bookmarkEnd w:id="49"/>
      <w:bookmarkEnd w:id="50"/>
      <w:bookmarkEnd w:id="51"/>
      <w:r>
        <w:rPr>
          <w:rFonts w:hint="eastAsia" w:ascii="仿宋" w:hAnsi="仿宋" w:eastAsia="仿宋" w:cs="仿宋"/>
          <w:sz w:val="24"/>
          <w:highlight w:val="none"/>
        </w:rPr>
        <w:t>投标人</w:t>
      </w:r>
    </w:p>
    <w:p w14:paraId="58D5607E">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合格的投标人应具备以下条件：</w:t>
      </w:r>
    </w:p>
    <w:p w14:paraId="6194F918">
      <w:pPr>
        <w:tabs>
          <w:tab w:val="left" w:pos="7665"/>
        </w:tabs>
        <w:spacing w:line="360" w:lineRule="auto"/>
        <w:ind w:firstLine="480" w:firstLineChars="200"/>
        <w:rPr>
          <w:rFonts w:ascii="仿宋" w:hAnsi="仿宋" w:eastAsia="仿宋" w:cs="仿宋"/>
          <w:spacing w:val="-4"/>
          <w:sz w:val="24"/>
          <w:highlight w:val="none"/>
        </w:rPr>
      </w:pPr>
      <w:r>
        <w:rPr>
          <w:rFonts w:hint="eastAsia" w:ascii="仿宋" w:hAnsi="仿宋" w:eastAsia="仿宋" w:cs="仿宋"/>
          <w:sz w:val="24"/>
          <w:highlight w:val="none"/>
        </w:rPr>
        <w:t>（1）本招标文件“招标公告”第二条规定的条件</w:t>
      </w:r>
      <w:r>
        <w:rPr>
          <w:rFonts w:hint="eastAsia" w:ascii="仿宋" w:hAnsi="仿宋" w:eastAsia="仿宋" w:cs="仿宋"/>
          <w:spacing w:val="-4"/>
          <w:sz w:val="24"/>
          <w:highlight w:val="none"/>
        </w:rPr>
        <w:t>；</w:t>
      </w:r>
    </w:p>
    <w:p w14:paraId="36597C50">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（2）遵守国家有关的法律、法规、规章和其他政策规定；</w:t>
      </w:r>
    </w:p>
    <w:p w14:paraId="76F131A0">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（3）下载招标文件并参与竞争。</w:t>
      </w:r>
    </w:p>
    <w:p w14:paraId="293CB79E">
      <w:pPr>
        <w:spacing w:line="360" w:lineRule="auto"/>
        <w:ind w:firstLine="480" w:firstLineChars="200"/>
        <w:rPr>
          <w:rFonts w:ascii="仿宋" w:hAnsi="仿宋" w:eastAsia="仿宋" w:cs="仿宋"/>
          <w:sz w:val="24"/>
          <w:highlight w:val="none"/>
        </w:rPr>
      </w:pPr>
      <w:bookmarkStart w:id="52" w:name="_Toc183682345"/>
      <w:bookmarkStart w:id="53" w:name="_Toc183582208"/>
      <w:bookmarkStart w:id="54" w:name="_Toc217446037"/>
      <w:r>
        <w:rPr>
          <w:rFonts w:hint="eastAsia" w:ascii="仿宋" w:hAnsi="仿宋" w:eastAsia="仿宋" w:cs="仿宋"/>
          <w:sz w:val="24"/>
          <w:highlight w:val="none"/>
        </w:rPr>
        <w:t>4. 投标费用</w:t>
      </w:r>
      <w:bookmarkEnd w:id="52"/>
      <w:bookmarkEnd w:id="53"/>
      <w:bookmarkEnd w:id="54"/>
    </w:p>
    <w:p w14:paraId="2D5B6A76">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投标人参加投标的有关费用由投标人自行承担。</w:t>
      </w:r>
    </w:p>
    <w:p w14:paraId="5CC8238C">
      <w:pPr>
        <w:pStyle w:val="3"/>
        <w:spacing w:before="156" w:after="156"/>
        <w:ind w:firstLine="482" w:firstLineChars="200"/>
        <w:rPr>
          <w:rFonts w:ascii="仿宋" w:hAnsi="仿宋" w:eastAsia="仿宋" w:cs="仿宋"/>
          <w:bCs w:val="0"/>
          <w:sz w:val="24"/>
          <w:szCs w:val="24"/>
          <w:highlight w:val="none"/>
        </w:rPr>
      </w:pPr>
      <w:bookmarkStart w:id="55" w:name="_Toc217446038"/>
      <w:bookmarkStart w:id="56" w:name="_Toc183682346"/>
      <w:bookmarkStart w:id="57" w:name="_Toc89075875"/>
      <w:bookmarkStart w:id="58" w:name="_Toc77400779"/>
      <w:bookmarkStart w:id="59" w:name="_Toc183582209"/>
      <w:r>
        <w:rPr>
          <w:rFonts w:hint="eastAsia" w:ascii="仿宋" w:hAnsi="仿宋" w:eastAsia="仿宋" w:cs="仿宋"/>
          <w:bCs w:val="0"/>
          <w:sz w:val="24"/>
          <w:szCs w:val="24"/>
          <w:highlight w:val="none"/>
        </w:rPr>
        <w:t>三、</w:t>
      </w:r>
      <w:bookmarkEnd w:id="55"/>
      <w:bookmarkEnd w:id="56"/>
      <w:bookmarkEnd w:id="57"/>
      <w:bookmarkEnd w:id="58"/>
      <w:bookmarkEnd w:id="59"/>
      <w:r>
        <w:rPr>
          <w:rFonts w:hint="eastAsia" w:ascii="仿宋" w:hAnsi="仿宋" w:eastAsia="仿宋" w:cs="仿宋"/>
          <w:bCs w:val="0"/>
          <w:sz w:val="24"/>
          <w:szCs w:val="24"/>
          <w:highlight w:val="none"/>
        </w:rPr>
        <w:t>招标文件</w:t>
      </w:r>
    </w:p>
    <w:p w14:paraId="27EBE805">
      <w:pPr>
        <w:spacing w:line="360" w:lineRule="auto"/>
        <w:ind w:firstLine="480" w:firstLineChars="200"/>
        <w:rPr>
          <w:rFonts w:ascii="仿宋" w:hAnsi="仿宋" w:eastAsia="仿宋" w:cs="仿宋"/>
          <w:sz w:val="24"/>
          <w:highlight w:val="none"/>
        </w:rPr>
      </w:pPr>
      <w:bookmarkStart w:id="60" w:name="_Toc217446039"/>
      <w:bookmarkStart w:id="61" w:name="_Toc183682347"/>
      <w:bookmarkStart w:id="62" w:name="_Toc183582210"/>
      <w:r>
        <w:rPr>
          <w:rFonts w:hint="eastAsia" w:ascii="仿宋" w:hAnsi="仿宋" w:eastAsia="仿宋" w:cs="仿宋"/>
          <w:sz w:val="24"/>
          <w:highlight w:val="none"/>
        </w:rPr>
        <w:t>5．招标文件的构成</w:t>
      </w:r>
      <w:bookmarkEnd w:id="60"/>
      <w:bookmarkEnd w:id="61"/>
      <w:bookmarkEnd w:id="62"/>
    </w:p>
    <w:p w14:paraId="0FDA5924">
      <w:pPr>
        <w:tabs>
          <w:tab w:val="left" w:pos="72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b/>
          <w:bCs/>
          <w:sz w:val="24"/>
          <w:highlight w:val="none"/>
        </w:rPr>
        <w:t>.</w:t>
      </w:r>
      <w:r>
        <w:rPr>
          <w:rFonts w:hint="eastAsia" w:ascii="仿宋" w:hAnsi="仿宋" w:eastAsia="仿宋" w:cs="仿宋"/>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4B751805">
      <w:pPr>
        <w:tabs>
          <w:tab w:val="left" w:pos="0"/>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（1）招标公告</w:t>
      </w:r>
      <w:r>
        <w:rPr>
          <w:rFonts w:hint="eastAsia" w:ascii="仿宋" w:hAnsi="仿宋" w:eastAsia="仿宋" w:cs="仿宋"/>
          <w:sz w:val="24"/>
          <w:highlight w:val="none"/>
        </w:rPr>
        <w:tab/>
      </w:r>
    </w:p>
    <w:p w14:paraId="1764C72D">
      <w:pPr>
        <w:tabs>
          <w:tab w:val="left" w:pos="0"/>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（2）投标人须知</w:t>
      </w:r>
      <w:r>
        <w:rPr>
          <w:rFonts w:hint="eastAsia" w:ascii="仿宋" w:hAnsi="仿宋" w:eastAsia="仿宋" w:cs="仿宋"/>
          <w:sz w:val="24"/>
          <w:highlight w:val="none"/>
        </w:rPr>
        <w:tab/>
      </w:r>
    </w:p>
    <w:p w14:paraId="07B8F88F">
      <w:pPr>
        <w:tabs>
          <w:tab w:val="left" w:pos="0"/>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（3）投标文件格式</w:t>
      </w:r>
      <w:r>
        <w:rPr>
          <w:rFonts w:hint="eastAsia" w:ascii="仿宋" w:hAnsi="仿宋" w:eastAsia="仿宋" w:cs="仿宋"/>
          <w:sz w:val="24"/>
          <w:highlight w:val="none"/>
        </w:rPr>
        <w:tab/>
      </w:r>
    </w:p>
    <w:p w14:paraId="0E6B2C78">
      <w:pPr>
        <w:tabs>
          <w:tab w:val="left" w:pos="0"/>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（4）招标项目技术要求</w:t>
      </w:r>
      <w:r>
        <w:rPr>
          <w:rFonts w:hint="eastAsia" w:ascii="仿宋" w:hAnsi="仿宋" w:eastAsia="仿宋" w:cs="仿宋"/>
          <w:sz w:val="24"/>
          <w:highlight w:val="none"/>
        </w:rPr>
        <w:tab/>
      </w:r>
    </w:p>
    <w:p w14:paraId="0EC76F27">
      <w:pPr>
        <w:tabs>
          <w:tab w:val="left" w:pos="0"/>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（5）评标办法</w:t>
      </w:r>
      <w:r>
        <w:rPr>
          <w:rFonts w:hint="eastAsia" w:ascii="仿宋" w:hAnsi="仿宋" w:eastAsia="仿宋" w:cs="仿宋"/>
          <w:sz w:val="24"/>
          <w:highlight w:val="none"/>
        </w:rPr>
        <w:tab/>
      </w:r>
    </w:p>
    <w:p w14:paraId="1CD1B2E2">
      <w:pPr>
        <w:tabs>
          <w:tab w:val="left" w:pos="0"/>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（6）拟签订的合同文本</w:t>
      </w:r>
      <w:r>
        <w:rPr>
          <w:rFonts w:hint="eastAsia" w:ascii="仿宋" w:hAnsi="仿宋" w:eastAsia="仿宋" w:cs="仿宋"/>
          <w:sz w:val="24"/>
          <w:highlight w:val="none"/>
        </w:rPr>
        <w:tab/>
      </w:r>
    </w:p>
    <w:p w14:paraId="00DDA6ED">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b/>
          <w:bCs/>
          <w:sz w:val="24"/>
          <w:highlight w:val="none"/>
        </w:rPr>
        <w:t>.</w:t>
      </w:r>
      <w:r>
        <w:rPr>
          <w:rFonts w:hint="eastAsia" w:ascii="仿宋" w:hAnsi="仿宋" w:eastAsia="仿宋" w:cs="仿宋"/>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sz w:val="24"/>
          <w:highlight w:val="none"/>
        </w:rPr>
        <w:t>无效处理</w:t>
      </w:r>
      <w:r>
        <w:rPr>
          <w:rFonts w:hint="eastAsia" w:ascii="仿宋" w:hAnsi="仿宋" w:eastAsia="仿宋" w:cs="仿宋"/>
          <w:sz w:val="24"/>
          <w:highlight w:val="none"/>
        </w:rPr>
        <w:t>。</w:t>
      </w:r>
    </w:p>
    <w:p w14:paraId="315E4BD4">
      <w:pPr>
        <w:spacing w:line="360" w:lineRule="auto"/>
        <w:ind w:firstLine="480" w:firstLineChars="200"/>
        <w:rPr>
          <w:rFonts w:ascii="仿宋" w:hAnsi="仿宋" w:eastAsia="仿宋" w:cs="仿宋"/>
          <w:sz w:val="24"/>
          <w:highlight w:val="none"/>
        </w:rPr>
      </w:pPr>
      <w:bookmarkStart w:id="63" w:name="_Toc183582211"/>
      <w:bookmarkStart w:id="64" w:name="_Toc183682348"/>
      <w:bookmarkStart w:id="65" w:name="_Toc217446040"/>
      <w:r>
        <w:rPr>
          <w:rFonts w:hint="eastAsia" w:ascii="仿宋" w:hAnsi="仿宋" w:eastAsia="仿宋" w:cs="仿宋"/>
          <w:sz w:val="24"/>
          <w:highlight w:val="none"/>
        </w:rPr>
        <w:t>6. 招标文件的澄清</w:t>
      </w:r>
      <w:bookmarkEnd w:id="63"/>
      <w:bookmarkEnd w:id="64"/>
      <w:r>
        <w:rPr>
          <w:rFonts w:hint="eastAsia" w:ascii="仿宋" w:hAnsi="仿宋" w:eastAsia="仿宋" w:cs="仿宋"/>
          <w:sz w:val="24"/>
          <w:highlight w:val="none"/>
        </w:rPr>
        <w:t>和修改</w:t>
      </w:r>
      <w:bookmarkEnd w:id="65"/>
    </w:p>
    <w:p w14:paraId="167E213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6.1 </w:t>
      </w:r>
      <w:bookmarkStart w:id="66" w:name="_Toc217446041"/>
      <w:bookmarkStart w:id="67" w:name="_Toc208848971"/>
      <w:r>
        <w:rPr>
          <w:rFonts w:hint="eastAsia" w:ascii="仿宋" w:hAnsi="仿宋" w:eastAsia="仿宋" w:cs="仿宋"/>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2313F42">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F7AADC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 答疑会和现场考察</w:t>
      </w:r>
      <w:bookmarkEnd w:id="66"/>
      <w:bookmarkEnd w:id="67"/>
      <w:r>
        <w:rPr>
          <w:rFonts w:hint="eastAsia" w:ascii="仿宋" w:hAnsi="仿宋" w:eastAsia="仿宋" w:cs="仿宋"/>
          <w:sz w:val="24"/>
          <w:highlight w:val="none"/>
        </w:rPr>
        <w:t>。</w:t>
      </w:r>
    </w:p>
    <w:p w14:paraId="3AFAA796">
      <w:pPr>
        <w:spacing w:line="360" w:lineRule="auto"/>
        <w:ind w:firstLine="480" w:firstLineChars="200"/>
        <w:rPr>
          <w:rFonts w:ascii="仿宋" w:hAnsi="仿宋" w:eastAsia="仿宋" w:cs="仿宋"/>
          <w:sz w:val="24"/>
          <w:highlight w:val="none"/>
        </w:rPr>
      </w:pPr>
      <w:bookmarkStart w:id="68" w:name="_Toc183582214"/>
      <w:bookmarkStart w:id="69" w:name="_Toc217446042"/>
      <w:bookmarkStart w:id="70" w:name="_Toc77400780"/>
      <w:bookmarkStart w:id="71" w:name="_Toc89075876"/>
      <w:bookmarkStart w:id="72" w:name="_Toc183682351"/>
      <w:r>
        <w:rPr>
          <w:rFonts w:hint="eastAsia" w:ascii="仿宋" w:hAnsi="仿宋" w:eastAsia="仿宋" w:cs="仿宋"/>
          <w:sz w:val="24"/>
          <w:highlight w:val="none"/>
        </w:rPr>
        <w:t>7.1 本项目不组织答疑会和现场考察。</w:t>
      </w:r>
    </w:p>
    <w:p w14:paraId="50AFEF74">
      <w:pPr>
        <w:pStyle w:val="3"/>
        <w:spacing w:before="156" w:after="156"/>
        <w:ind w:firstLine="482" w:firstLineChars="200"/>
        <w:rPr>
          <w:rFonts w:ascii="仿宋" w:hAnsi="仿宋" w:eastAsia="仿宋" w:cs="仿宋"/>
          <w:bCs w:val="0"/>
          <w:sz w:val="24"/>
          <w:szCs w:val="24"/>
          <w:highlight w:val="none"/>
        </w:rPr>
      </w:pPr>
      <w:r>
        <w:rPr>
          <w:rFonts w:hint="eastAsia" w:ascii="仿宋" w:hAnsi="仿宋" w:eastAsia="仿宋" w:cs="仿宋"/>
          <w:bCs w:val="0"/>
          <w:sz w:val="24"/>
          <w:szCs w:val="24"/>
          <w:highlight w:val="none"/>
        </w:rPr>
        <w:t>四、</w:t>
      </w:r>
      <w:bookmarkEnd w:id="68"/>
      <w:bookmarkEnd w:id="69"/>
      <w:bookmarkEnd w:id="70"/>
      <w:bookmarkEnd w:id="71"/>
      <w:bookmarkEnd w:id="72"/>
      <w:r>
        <w:rPr>
          <w:rFonts w:hint="eastAsia" w:ascii="仿宋" w:hAnsi="仿宋" w:eastAsia="仿宋" w:cs="仿宋"/>
          <w:bCs w:val="0"/>
          <w:sz w:val="24"/>
          <w:szCs w:val="24"/>
          <w:highlight w:val="none"/>
        </w:rPr>
        <w:t>投标文件</w:t>
      </w:r>
    </w:p>
    <w:p w14:paraId="5FA2C763">
      <w:pPr>
        <w:spacing w:line="360" w:lineRule="auto"/>
        <w:ind w:firstLine="480" w:firstLineChars="200"/>
        <w:rPr>
          <w:rFonts w:ascii="仿宋" w:hAnsi="仿宋" w:eastAsia="仿宋" w:cs="仿宋"/>
          <w:sz w:val="24"/>
          <w:highlight w:val="none"/>
        </w:rPr>
      </w:pPr>
      <w:bookmarkStart w:id="73" w:name="_Toc217446043"/>
      <w:bookmarkStart w:id="74" w:name="_Toc183682352"/>
      <w:bookmarkStart w:id="75" w:name="_Toc183582215"/>
      <w:r>
        <w:rPr>
          <w:rFonts w:hint="eastAsia" w:ascii="仿宋" w:hAnsi="仿宋" w:eastAsia="仿宋" w:cs="仿宋"/>
          <w:sz w:val="24"/>
          <w:highlight w:val="none"/>
        </w:rPr>
        <w:t>8．投标文件的语言</w:t>
      </w:r>
      <w:bookmarkEnd w:id="73"/>
      <w:bookmarkEnd w:id="74"/>
      <w:bookmarkEnd w:id="75"/>
    </w:p>
    <w:p w14:paraId="0493DE8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sz w:val="24"/>
          <w:highlight w:val="none"/>
        </w:rPr>
        <w:t>无效投标处理</w:t>
      </w:r>
      <w:r>
        <w:rPr>
          <w:rFonts w:hint="eastAsia" w:ascii="仿宋" w:hAnsi="仿宋" w:eastAsia="仿宋" w:cs="仿宋"/>
          <w:sz w:val="24"/>
          <w:highlight w:val="none"/>
        </w:rPr>
        <w:t>。</w:t>
      </w:r>
    </w:p>
    <w:p w14:paraId="7332D07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8.2 翻译的中文资料与外文资料如果出现差异和矛盾时，以中文为准。但不能故意错误翻译，否则，投标人的投标文件将作为</w:t>
      </w:r>
      <w:r>
        <w:rPr>
          <w:rFonts w:hint="eastAsia" w:ascii="仿宋" w:hAnsi="仿宋" w:eastAsia="仿宋" w:cs="仿宋"/>
          <w:b/>
          <w:bCs/>
          <w:sz w:val="24"/>
          <w:highlight w:val="none"/>
        </w:rPr>
        <w:t>无效投标处理</w:t>
      </w:r>
      <w:r>
        <w:rPr>
          <w:rFonts w:hint="eastAsia" w:ascii="仿宋" w:hAnsi="仿宋" w:eastAsia="仿宋" w:cs="仿宋"/>
          <w:sz w:val="24"/>
          <w:highlight w:val="none"/>
        </w:rPr>
        <w:t>。</w:t>
      </w:r>
    </w:p>
    <w:p w14:paraId="4DBDBB43">
      <w:pPr>
        <w:spacing w:line="360" w:lineRule="auto"/>
        <w:ind w:firstLine="480" w:firstLineChars="200"/>
        <w:rPr>
          <w:rFonts w:ascii="仿宋" w:hAnsi="仿宋" w:eastAsia="仿宋" w:cs="仿宋"/>
          <w:sz w:val="24"/>
          <w:highlight w:val="none"/>
        </w:rPr>
      </w:pPr>
      <w:bookmarkStart w:id="76" w:name="_Toc183682353"/>
      <w:bookmarkStart w:id="77" w:name="_Toc217446044"/>
      <w:bookmarkStart w:id="78" w:name="_Toc183582216"/>
      <w:r>
        <w:rPr>
          <w:rFonts w:hint="eastAsia" w:ascii="仿宋" w:hAnsi="仿宋" w:eastAsia="仿宋" w:cs="仿宋"/>
          <w:sz w:val="24"/>
          <w:highlight w:val="none"/>
        </w:rPr>
        <w:t>9．计量单位</w:t>
      </w:r>
      <w:bookmarkEnd w:id="76"/>
      <w:bookmarkEnd w:id="77"/>
      <w:bookmarkEnd w:id="78"/>
    </w:p>
    <w:p w14:paraId="254E643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除招标文件中另有规定外，本招标项下的投标均采用国家法定的计量单位。</w:t>
      </w:r>
    </w:p>
    <w:p w14:paraId="32640CB5">
      <w:pPr>
        <w:spacing w:line="360" w:lineRule="auto"/>
        <w:ind w:firstLine="480" w:firstLineChars="200"/>
        <w:rPr>
          <w:rFonts w:ascii="仿宋" w:hAnsi="仿宋" w:eastAsia="仿宋" w:cs="仿宋"/>
          <w:sz w:val="24"/>
          <w:highlight w:val="none"/>
        </w:rPr>
      </w:pPr>
      <w:bookmarkStart w:id="79" w:name="_Toc217446045"/>
      <w:r>
        <w:rPr>
          <w:rFonts w:hint="eastAsia" w:ascii="仿宋" w:hAnsi="仿宋" w:eastAsia="仿宋" w:cs="仿宋"/>
          <w:sz w:val="24"/>
          <w:highlight w:val="none"/>
        </w:rPr>
        <w:t>10. 投标货币</w:t>
      </w:r>
      <w:bookmarkEnd w:id="79"/>
    </w:p>
    <w:p w14:paraId="75256EE2">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本次招标项目的投标均以人民币报价。</w:t>
      </w:r>
    </w:p>
    <w:p w14:paraId="42F56536">
      <w:pPr>
        <w:spacing w:line="360" w:lineRule="auto"/>
        <w:ind w:firstLine="480" w:firstLineChars="200"/>
        <w:rPr>
          <w:rFonts w:ascii="仿宋" w:hAnsi="仿宋" w:eastAsia="仿宋" w:cs="仿宋"/>
          <w:sz w:val="24"/>
          <w:highlight w:val="none"/>
        </w:rPr>
      </w:pPr>
      <w:bookmarkStart w:id="80" w:name="_Toc217446046"/>
      <w:r>
        <w:rPr>
          <w:rFonts w:hint="eastAsia" w:ascii="仿宋" w:hAnsi="仿宋" w:eastAsia="仿宋" w:cs="仿宋"/>
          <w:sz w:val="24"/>
          <w:highlight w:val="none"/>
        </w:rPr>
        <w:t>11. 联合体投标</w:t>
      </w:r>
      <w:bookmarkEnd w:id="80"/>
    </w:p>
    <w:p w14:paraId="3844528C">
      <w:pPr>
        <w:pStyle w:val="13"/>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详见“投标人须知前附表”第13条。</w:t>
      </w:r>
    </w:p>
    <w:p w14:paraId="2F6CB67C">
      <w:pPr>
        <w:spacing w:line="360" w:lineRule="auto"/>
        <w:ind w:firstLine="480" w:firstLineChars="200"/>
        <w:rPr>
          <w:rFonts w:ascii="仿宋" w:hAnsi="仿宋" w:eastAsia="仿宋" w:cs="仿宋"/>
          <w:sz w:val="24"/>
          <w:highlight w:val="none"/>
        </w:rPr>
      </w:pPr>
      <w:bookmarkStart w:id="81" w:name="_Toc217446047"/>
      <w:r>
        <w:rPr>
          <w:rFonts w:hint="eastAsia" w:ascii="仿宋" w:hAnsi="仿宋" w:eastAsia="仿宋" w:cs="仿宋"/>
          <w:sz w:val="24"/>
          <w:highlight w:val="none"/>
        </w:rPr>
        <w:t>12. 知识产权</w:t>
      </w:r>
      <w:bookmarkEnd w:id="81"/>
    </w:p>
    <w:p w14:paraId="020F3EBB">
      <w:pPr>
        <w:pStyle w:val="13"/>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317E96A9">
      <w:pPr>
        <w:pStyle w:val="13"/>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12.2 采购人享有本项目实施过程中产生的知识成果及知识产权。</w:t>
      </w:r>
    </w:p>
    <w:p w14:paraId="5A1AE08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4BB2578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12.4 如采用投标人所不拥有的知识产权，则在投标报价中必须包括合法获取该知识产权的相关费用。 </w:t>
      </w:r>
    </w:p>
    <w:p w14:paraId="2154E0E3">
      <w:pPr>
        <w:spacing w:line="360" w:lineRule="auto"/>
        <w:ind w:firstLine="480" w:firstLineChars="200"/>
        <w:rPr>
          <w:rFonts w:ascii="仿宋" w:hAnsi="仿宋" w:eastAsia="仿宋" w:cs="仿宋"/>
          <w:sz w:val="24"/>
          <w:highlight w:val="none"/>
        </w:rPr>
      </w:pPr>
      <w:bookmarkStart w:id="82" w:name="_Toc217446048"/>
      <w:bookmarkStart w:id="83" w:name="_Toc183582217"/>
      <w:bookmarkStart w:id="84" w:name="_Toc183682354"/>
      <w:r>
        <w:rPr>
          <w:rFonts w:hint="eastAsia" w:ascii="仿宋" w:hAnsi="仿宋" w:eastAsia="仿宋" w:cs="仿宋"/>
          <w:sz w:val="24"/>
          <w:highlight w:val="none"/>
        </w:rPr>
        <w:t>13．投标文件的组成</w:t>
      </w:r>
      <w:bookmarkEnd w:id="82"/>
      <w:bookmarkEnd w:id="83"/>
      <w:bookmarkEnd w:id="84"/>
    </w:p>
    <w:p w14:paraId="02DD1FB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14099842">
      <w:pPr>
        <w:tabs>
          <w:tab w:val="left" w:pos="3480"/>
        </w:tabs>
        <w:spacing w:line="360" w:lineRule="auto"/>
        <w:ind w:firstLine="480" w:firstLineChars="200"/>
        <w:rPr>
          <w:rFonts w:ascii="仿宋" w:hAnsi="仿宋" w:eastAsia="仿宋" w:cs="仿宋"/>
          <w:sz w:val="24"/>
          <w:highlight w:val="none"/>
        </w:rPr>
      </w:pPr>
      <w:bookmarkStart w:id="85" w:name="_Toc183682355"/>
      <w:bookmarkStart w:id="86" w:name="_Toc217446049"/>
      <w:bookmarkStart w:id="87" w:name="_Toc183582218"/>
      <w:r>
        <w:rPr>
          <w:rFonts w:hint="eastAsia" w:ascii="仿宋" w:hAnsi="仿宋" w:eastAsia="仿宋" w:cs="仿宋"/>
          <w:sz w:val="24"/>
          <w:highlight w:val="none"/>
        </w:rPr>
        <w:t>一、投标函</w:t>
      </w:r>
    </w:p>
    <w:p w14:paraId="46640497">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二、身份证明书及授权委托书</w:t>
      </w:r>
    </w:p>
    <w:p w14:paraId="5ADCB5E5">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三、投标报价明细表</w:t>
      </w:r>
    </w:p>
    <w:p w14:paraId="103A8C18">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四、投标人基本情况表</w:t>
      </w:r>
    </w:p>
    <w:p w14:paraId="59C37103">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五、投标人类似项目业绩一览表</w:t>
      </w:r>
    </w:p>
    <w:p w14:paraId="02A3CCE3">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六、商务、技术需求偏离表</w:t>
      </w:r>
    </w:p>
    <w:p w14:paraId="00D513F8">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七、拟配备人员情况</w:t>
      </w:r>
    </w:p>
    <w:p w14:paraId="05C81225">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八、实施方案</w:t>
      </w:r>
    </w:p>
    <w:p w14:paraId="491C6006">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九、投标人认为需要提供的其他文件和资料</w:t>
      </w:r>
    </w:p>
    <w:p w14:paraId="73EBC6B2">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14．投标文件格式</w:t>
      </w:r>
      <w:bookmarkEnd w:id="85"/>
      <w:bookmarkEnd w:id="86"/>
      <w:bookmarkEnd w:id="87"/>
    </w:p>
    <w:p w14:paraId="579275AF">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14.1 投标人应严格按照招标文件第三章中提供的“投标文件格式”填写相关内容。除明确允许投标人可以自行编写的外，投标人不得以“投标文件格式”规定之外的方式填写相关内容。</w:t>
      </w:r>
    </w:p>
    <w:p w14:paraId="5B78F1A9">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14.2 对于没有格式要求的投标文件由投标人自行编写。</w:t>
      </w:r>
    </w:p>
    <w:p w14:paraId="4BF03CD8">
      <w:pPr>
        <w:spacing w:line="360" w:lineRule="auto"/>
        <w:ind w:firstLine="480" w:firstLineChars="200"/>
        <w:rPr>
          <w:rFonts w:ascii="仿宋" w:hAnsi="仿宋" w:eastAsia="仿宋" w:cs="仿宋"/>
          <w:sz w:val="24"/>
          <w:highlight w:val="none"/>
        </w:rPr>
      </w:pPr>
      <w:bookmarkStart w:id="88" w:name="_Toc183582223"/>
      <w:bookmarkStart w:id="89" w:name="_Toc183682360"/>
      <w:bookmarkStart w:id="90" w:name="_Toc217446050"/>
      <w:r>
        <w:rPr>
          <w:rFonts w:hint="eastAsia" w:ascii="仿宋" w:hAnsi="仿宋" w:eastAsia="仿宋" w:cs="仿宋"/>
          <w:sz w:val="24"/>
          <w:highlight w:val="none"/>
        </w:rPr>
        <w:t>15．投标保证金</w:t>
      </w:r>
      <w:bookmarkEnd w:id="88"/>
      <w:bookmarkEnd w:id="89"/>
      <w:bookmarkEnd w:id="90"/>
    </w:p>
    <w:p w14:paraId="4CE3597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15.1 投标人投标时，必须按招标文件规定数额和形式缴纳投标保证金，并作为其投标文件的一部分。</w:t>
      </w:r>
    </w:p>
    <w:p w14:paraId="5D61924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15.2未按招标文件要求在规定时间前缴纳规定数额和形式的投标保证金，将被视为</w:t>
      </w:r>
      <w:r>
        <w:rPr>
          <w:rFonts w:hint="eastAsia" w:ascii="仿宋" w:hAnsi="仿宋" w:eastAsia="仿宋" w:cs="仿宋"/>
          <w:b/>
          <w:bCs/>
          <w:sz w:val="24"/>
          <w:highlight w:val="none"/>
        </w:rPr>
        <w:t>投标无效</w:t>
      </w:r>
      <w:r>
        <w:rPr>
          <w:rFonts w:hint="eastAsia" w:ascii="仿宋" w:hAnsi="仿宋" w:eastAsia="仿宋" w:cs="仿宋"/>
          <w:sz w:val="24"/>
          <w:highlight w:val="none"/>
        </w:rPr>
        <w:t>。</w:t>
      </w:r>
    </w:p>
    <w:p w14:paraId="394EFB0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15.3 投标人所缴纳的投标保证金不计利息。</w:t>
      </w:r>
    </w:p>
    <w:p w14:paraId="39152E02">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15.4未中标人的投标保证金，将在中标通知书发出后五个工作日内全额退还。中标人的投标保证金，自采购合同签订之日起5个工作日内退还中标人的投标保证金。</w:t>
      </w:r>
    </w:p>
    <w:p w14:paraId="7955BBB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15.5发生下列情形之一的，采购代理机构将不予退还投标人缴纳的投标保证金：</w:t>
      </w:r>
    </w:p>
    <w:p w14:paraId="75B00DD4">
      <w:pPr>
        <w:spacing w:line="360" w:lineRule="auto"/>
        <w:ind w:firstLine="480" w:firstLineChars="200"/>
        <w:rPr>
          <w:rFonts w:ascii="仿宋" w:hAnsi="仿宋" w:eastAsia="仿宋" w:cs="仿宋"/>
          <w:sz w:val="24"/>
          <w:highlight w:val="none"/>
        </w:rPr>
      </w:pPr>
      <w:bookmarkStart w:id="91" w:name="_Toc217446051"/>
      <w:bookmarkStart w:id="92" w:name="_Toc183582224"/>
      <w:bookmarkStart w:id="93" w:name="_Toc183682361"/>
      <w:r>
        <w:rPr>
          <w:rFonts w:hint="eastAsia" w:ascii="仿宋" w:hAnsi="仿宋" w:eastAsia="仿宋" w:cs="仿宋"/>
          <w:sz w:val="24"/>
          <w:highlight w:val="none"/>
        </w:rPr>
        <w:t>（1）投标人在提交投标文件截止时间后撤回投标文件的；</w:t>
      </w:r>
    </w:p>
    <w:p w14:paraId="46BE074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（2）投标人在投标文件中提供虚假材料的；</w:t>
      </w:r>
    </w:p>
    <w:p w14:paraId="37BA1AC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（3）投标人不接受按投标文件规定对其投标报价进行修正的；</w:t>
      </w:r>
    </w:p>
    <w:p w14:paraId="5FB41CB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（4）除因不可抗力或投标文件认可的情形以外，中标人不履行与采购人签订合同的，在签订合同时向采购人提出附加条件；</w:t>
      </w:r>
    </w:p>
    <w:p w14:paraId="2C61946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（5）中标人未能在规定期限内与采购人签署合同协议书或提交履约保证金的；</w:t>
      </w:r>
    </w:p>
    <w:p w14:paraId="6BC4A04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（6）投标人与采购人、其他投标人或者采购代理机构恶意串通的；</w:t>
      </w:r>
    </w:p>
    <w:p w14:paraId="6CEEE15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（7）招标文件规定的其他情形；</w:t>
      </w:r>
    </w:p>
    <w:p w14:paraId="64C0560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（8）符合法律、法规规定的其他情形的。 </w:t>
      </w:r>
    </w:p>
    <w:p w14:paraId="5219BB6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16．投标有效期</w:t>
      </w:r>
      <w:bookmarkEnd w:id="91"/>
      <w:bookmarkEnd w:id="92"/>
      <w:bookmarkEnd w:id="93"/>
    </w:p>
    <w:p w14:paraId="19055712">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16.1 投标有效期详见投标人须知前附表。投标有效期短于此规定期限的，</w:t>
      </w:r>
      <w:r>
        <w:rPr>
          <w:rFonts w:hint="eastAsia" w:ascii="仿宋" w:hAnsi="仿宋" w:eastAsia="仿宋" w:cs="仿宋"/>
          <w:b/>
          <w:bCs/>
          <w:sz w:val="24"/>
          <w:highlight w:val="none"/>
        </w:rPr>
        <w:t>投标无效</w:t>
      </w:r>
      <w:r>
        <w:rPr>
          <w:rFonts w:hint="eastAsia" w:ascii="仿宋" w:hAnsi="仿宋" w:eastAsia="仿宋" w:cs="仿宋"/>
          <w:sz w:val="24"/>
          <w:highlight w:val="none"/>
        </w:rPr>
        <w:t>。</w:t>
      </w:r>
    </w:p>
    <w:p w14:paraId="1292BAD2">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16.2 特殊情况下，采购人可于投标有效期满之前要求投标人同意延长有效期，要求与答复均应为书面形式。投标人可以拒绝上述要求，其投标保证金</w:t>
      </w:r>
      <w:r>
        <w:rPr>
          <w:rFonts w:hint="eastAsia" w:ascii="仿宋" w:hAnsi="仿宋" w:eastAsia="仿宋" w:cs="仿宋"/>
          <w:spacing w:val="8"/>
          <w:sz w:val="24"/>
          <w:highlight w:val="none"/>
        </w:rPr>
        <w:t>不被没收。</w:t>
      </w:r>
      <w:r>
        <w:rPr>
          <w:rFonts w:hint="eastAsia" w:ascii="仿宋" w:hAnsi="仿宋" w:eastAsia="仿宋" w:cs="仿宋"/>
          <w:sz w:val="24"/>
          <w:highlight w:val="none"/>
        </w:rPr>
        <w:t>拒绝延长投标有效期的投标人不得再参与该项目后续招标活动。同意延长投标有效期的投标人不能修改其投标文件，关于投标保证金的有关规定在延长的投标有效期内继续有效。</w:t>
      </w:r>
    </w:p>
    <w:p w14:paraId="1BAE4298">
      <w:pPr>
        <w:spacing w:line="360" w:lineRule="auto"/>
        <w:ind w:firstLine="480" w:firstLineChars="200"/>
        <w:rPr>
          <w:rFonts w:ascii="仿宋" w:hAnsi="仿宋" w:eastAsia="仿宋" w:cs="仿宋"/>
          <w:b/>
          <w:sz w:val="24"/>
          <w:highlight w:val="none"/>
        </w:rPr>
      </w:pPr>
      <w:bookmarkStart w:id="94" w:name="_Toc183682362"/>
      <w:bookmarkStart w:id="95" w:name="_Toc183582225"/>
      <w:bookmarkStart w:id="96" w:name="_Toc217446052"/>
      <w:bookmarkStart w:id="97" w:name="_Toc183582228"/>
      <w:bookmarkStart w:id="98" w:name="_Toc183682365"/>
      <w:bookmarkStart w:id="99" w:name="_Toc217446055"/>
      <w:r>
        <w:rPr>
          <w:rFonts w:hint="eastAsia" w:ascii="仿宋" w:hAnsi="仿宋" w:eastAsia="仿宋" w:cs="仿宋"/>
          <w:sz w:val="24"/>
          <w:highlight w:val="none"/>
        </w:rPr>
        <w:t>17．投标文件的印制和签署</w:t>
      </w:r>
      <w:bookmarkEnd w:id="94"/>
      <w:bookmarkEnd w:id="95"/>
      <w:bookmarkEnd w:id="96"/>
    </w:p>
    <w:p w14:paraId="2E469684">
      <w:pPr>
        <w:tabs>
          <w:tab w:val="left" w:pos="10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17.1 招标文件要求供应商法定代表人或者被授权代表签字处，均须加盖其 个人电子印章，并逐页加盖单位公章的电子印章。</w:t>
      </w:r>
    </w:p>
    <w:p w14:paraId="72834540">
      <w:pPr>
        <w:spacing w:line="360" w:lineRule="auto"/>
        <w:ind w:firstLine="480" w:firstLineChars="200"/>
        <w:rPr>
          <w:rFonts w:ascii="仿宋" w:hAnsi="仿宋" w:eastAsia="仿宋" w:cs="仿宋"/>
          <w:sz w:val="24"/>
          <w:highlight w:val="none"/>
        </w:rPr>
      </w:pPr>
      <w:bookmarkStart w:id="100" w:name="_Toc183582226"/>
      <w:bookmarkStart w:id="101" w:name="_Toc183682363"/>
      <w:bookmarkStart w:id="102" w:name="_Toc89075877"/>
      <w:bookmarkStart w:id="103" w:name="_Toc77400781"/>
      <w:bookmarkStart w:id="104" w:name="_Toc217446053"/>
      <w:r>
        <w:rPr>
          <w:rFonts w:hint="eastAsia" w:ascii="仿宋" w:hAnsi="仿宋" w:eastAsia="仿宋" w:cs="仿宋"/>
          <w:sz w:val="24"/>
          <w:highlight w:val="none"/>
        </w:rPr>
        <w:t>18. 投标文件的密封和标</w:t>
      </w:r>
      <w:bookmarkEnd w:id="100"/>
      <w:bookmarkEnd w:id="101"/>
      <w:bookmarkEnd w:id="102"/>
      <w:bookmarkEnd w:id="103"/>
      <w:r>
        <w:rPr>
          <w:rFonts w:hint="eastAsia" w:ascii="仿宋" w:hAnsi="仿宋" w:eastAsia="仿宋" w:cs="仿宋"/>
          <w:sz w:val="24"/>
          <w:highlight w:val="none"/>
        </w:rPr>
        <w:t>注</w:t>
      </w:r>
      <w:bookmarkEnd w:id="104"/>
    </w:p>
    <w:p w14:paraId="0534E4A1">
      <w:pPr>
        <w:tabs>
          <w:tab w:val="left" w:pos="10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本项目采用不见面开标，供应商须在投标截止时间前，将生成的“电子加密 响应文件”上传递交至“政府采购云平台”，投标截止时间以后上传递交的响应 文件将被“政府采购云平台”拒收。</w:t>
      </w:r>
    </w:p>
    <w:p w14:paraId="48566205">
      <w:pPr>
        <w:spacing w:line="360" w:lineRule="auto"/>
        <w:ind w:firstLine="480" w:firstLineChars="200"/>
        <w:rPr>
          <w:rFonts w:ascii="仿宋" w:hAnsi="仿宋" w:eastAsia="仿宋" w:cs="仿宋"/>
          <w:sz w:val="24"/>
          <w:highlight w:val="none"/>
        </w:rPr>
      </w:pPr>
      <w:bookmarkStart w:id="105" w:name="_Toc183682364"/>
      <w:bookmarkStart w:id="106" w:name="_Toc183582227"/>
      <w:bookmarkStart w:id="107" w:name="_Toc217446054"/>
      <w:r>
        <w:rPr>
          <w:rFonts w:hint="eastAsia" w:ascii="仿宋" w:hAnsi="仿宋" w:eastAsia="仿宋" w:cs="仿宋"/>
          <w:sz w:val="24"/>
          <w:highlight w:val="none"/>
        </w:rPr>
        <w:t>19．投标文件的</w:t>
      </w:r>
      <w:bookmarkEnd w:id="105"/>
      <w:bookmarkEnd w:id="106"/>
      <w:bookmarkEnd w:id="107"/>
      <w:r>
        <w:rPr>
          <w:rFonts w:hint="eastAsia" w:ascii="仿宋" w:hAnsi="仿宋" w:eastAsia="仿宋" w:cs="仿宋"/>
          <w:sz w:val="24"/>
          <w:highlight w:val="none"/>
        </w:rPr>
        <w:t>上传</w:t>
      </w:r>
    </w:p>
    <w:p w14:paraId="65F34454">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供应商应在招标文件规定的投标截止时间前，将响应文件按供应商须 知第15条规定加密上传，投标截止时间以后上传递交的响应文件将被“政府采购云平台”拒收。</w:t>
      </w:r>
    </w:p>
    <w:p w14:paraId="082EACD3">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20．投标文件的修改和撤</w:t>
      </w:r>
      <w:bookmarkEnd w:id="97"/>
      <w:bookmarkEnd w:id="98"/>
      <w:r>
        <w:rPr>
          <w:rFonts w:hint="eastAsia" w:ascii="仿宋" w:hAnsi="仿宋" w:eastAsia="仿宋" w:cs="仿宋"/>
          <w:sz w:val="24"/>
          <w:highlight w:val="none"/>
        </w:rPr>
        <w:t>回</w:t>
      </w:r>
      <w:bookmarkEnd w:id="99"/>
    </w:p>
    <w:p w14:paraId="0E86A5B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20.1 投标人在投标截止时间前，可以对所上传的投标文件进行补充、修改或者撤回。</w:t>
      </w:r>
    </w:p>
    <w:p w14:paraId="22D7AE0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20.2 在投标截止时间之后，投标人不得对其上传的投标文件做任何修改或撤回投标。</w:t>
      </w:r>
    </w:p>
    <w:p w14:paraId="598E8CC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20.3 投标文件中如果出现计算上或累加上的算术错误，可按以下原则进行修改：</w:t>
      </w:r>
    </w:p>
    <w:p w14:paraId="7AEC5ED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（1）投标文件中投标函内容与投标报价明细表不一致的，以投标函为准；</w:t>
      </w:r>
    </w:p>
    <w:p w14:paraId="65E32DD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（2）用小写金额和大写金额不一致，应以大写金额为准；</w:t>
      </w:r>
    </w:p>
    <w:p w14:paraId="4FA81922">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（3）总价金额与按单价汇总金额不一致的，以单价金额计算结果为准；</w:t>
      </w:r>
    </w:p>
    <w:p w14:paraId="4A545D3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（4）单价金额小数点或者百分比有明显错位的，以投标函的总价为准，并修改单价。</w:t>
      </w:r>
    </w:p>
    <w:p w14:paraId="06B2CE72">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同时出现两种以上不一致的，按照前款规定的顺序修正。修正后的投标报价经投标人确认后产生约束力，投标人不确认的，其</w:t>
      </w:r>
      <w:r>
        <w:rPr>
          <w:rFonts w:hint="eastAsia" w:ascii="仿宋" w:hAnsi="仿宋" w:eastAsia="仿宋" w:cs="仿宋"/>
          <w:b/>
          <w:bCs/>
          <w:sz w:val="24"/>
          <w:highlight w:val="none"/>
        </w:rPr>
        <w:t>投标无效</w:t>
      </w:r>
      <w:r>
        <w:rPr>
          <w:rFonts w:hint="eastAsia" w:ascii="仿宋" w:hAnsi="仿宋" w:eastAsia="仿宋" w:cs="仿宋"/>
          <w:sz w:val="24"/>
          <w:highlight w:val="none"/>
        </w:rPr>
        <w:t>。</w:t>
      </w:r>
    </w:p>
    <w:p w14:paraId="55527D5E">
      <w:pPr>
        <w:pStyle w:val="3"/>
        <w:spacing w:before="156" w:after="156"/>
        <w:ind w:firstLine="482" w:firstLineChars="200"/>
        <w:rPr>
          <w:rFonts w:ascii="仿宋" w:hAnsi="仿宋" w:eastAsia="仿宋" w:cs="仿宋"/>
          <w:sz w:val="24"/>
          <w:szCs w:val="24"/>
          <w:highlight w:val="none"/>
        </w:rPr>
      </w:pPr>
      <w:bookmarkStart w:id="108" w:name="_Toc183582231"/>
      <w:bookmarkStart w:id="109" w:name="_Toc77400782"/>
      <w:bookmarkStart w:id="110" w:name="_Toc217446056"/>
      <w:bookmarkStart w:id="111" w:name="_Toc183682368"/>
      <w:bookmarkStart w:id="112" w:name="_Toc89075878"/>
      <w:r>
        <w:rPr>
          <w:rFonts w:hint="eastAsia" w:ascii="仿宋" w:hAnsi="仿宋" w:eastAsia="仿宋" w:cs="仿宋"/>
          <w:sz w:val="24"/>
          <w:szCs w:val="24"/>
          <w:highlight w:val="none"/>
        </w:rPr>
        <w:t>五、开标和</w:t>
      </w:r>
      <w:bookmarkEnd w:id="108"/>
      <w:bookmarkEnd w:id="109"/>
      <w:bookmarkEnd w:id="110"/>
      <w:bookmarkEnd w:id="111"/>
      <w:bookmarkEnd w:id="112"/>
      <w:r>
        <w:rPr>
          <w:rFonts w:hint="eastAsia" w:ascii="仿宋" w:hAnsi="仿宋" w:eastAsia="仿宋" w:cs="仿宋"/>
          <w:sz w:val="24"/>
          <w:szCs w:val="24"/>
          <w:highlight w:val="none"/>
        </w:rPr>
        <w:t>中标</w:t>
      </w:r>
    </w:p>
    <w:p w14:paraId="73E86D4A">
      <w:pPr>
        <w:spacing w:line="360" w:lineRule="auto"/>
        <w:ind w:firstLine="480" w:firstLineChars="200"/>
        <w:rPr>
          <w:rFonts w:ascii="仿宋" w:hAnsi="仿宋" w:eastAsia="仿宋" w:cs="仿宋"/>
          <w:sz w:val="24"/>
          <w:highlight w:val="none"/>
        </w:rPr>
      </w:pPr>
      <w:bookmarkStart w:id="113" w:name="_Toc183582232"/>
      <w:bookmarkStart w:id="114" w:name="_Toc183682369"/>
      <w:bookmarkStart w:id="115" w:name="_Toc217446057"/>
      <w:r>
        <w:rPr>
          <w:rFonts w:hint="eastAsia" w:ascii="仿宋" w:hAnsi="仿宋" w:eastAsia="仿宋" w:cs="仿宋"/>
          <w:sz w:val="24"/>
          <w:highlight w:val="none"/>
        </w:rPr>
        <w:t>21．开标</w:t>
      </w:r>
      <w:bookmarkEnd w:id="113"/>
      <w:bookmarkEnd w:id="114"/>
      <w:bookmarkEnd w:id="115"/>
    </w:p>
    <w:p w14:paraId="0F39358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21.1 采购代理机构在招标文件规定的时间和地点组织招标活动，邀请下载招标文件并参与竞争的投标人参加开标，投标人未参加开标的，视同认可开标结果。</w:t>
      </w:r>
    </w:p>
    <w:p w14:paraId="56698D9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投标人不足3家的，不得开标。</w:t>
      </w:r>
    </w:p>
    <w:p w14:paraId="6D964EB2">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21.2 开标时，采购代理机构可以邀请有关监督管理部门对开标进行现场监督。</w:t>
      </w:r>
    </w:p>
    <w:p w14:paraId="18E4B14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14:paraId="053DCC1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21.4宣布会场纪律和有关注意事项。</w:t>
      </w:r>
    </w:p>
    <w:p w14:paraId="4DABDDD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21.5开标时，投标单位完成在线解密后，由工作人员开始唱标</w:t>
      </w:r>
    </w:p>
    <w:p w14:paraId="65E784E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21.6唱标完毕后，如果投标人对所唱“报价一览表”内容有异议，应当立即提出。经现场监标人员确认，认为有必要重新唱标的，由唱标人员重新唱标。</w:t>
      </w:r>
    </w:p>
    <w:p w14:paraId="7625B4A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22.资格审查及组建评标委员会</w:t>
      </w:r>
    </w:p>
    <w:p w14:paraId="53816BB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22.1公开招标采购项目开标结束后，采购人或者采购代理机构应当依法对投标人的资格进行审查。合格投标人不足3家的，不得评标。</w:t>
      </w:r>
    </w:p>
    <w:p w14:paraId="1E649C79">
      <w:pPr>
        <w:pStyle w:val="46"/>
        <w:rPr>
          <w:rFonts w:ascii="仿宋" w:hAnsi="仿宋" w:cs="仿宋"/>
          <w:highlight w:val="none"/>
        </w:rPr>
      </w:pPr>
      <w:r>
        <w:rPr>
          <w:rFonts w:hint="eastAsia" w:ascii="仿宋" w:hAnsi="仿宋" w:cs="仿宋"/>
          <w:highlight w:val="none"/>
        </w:rPr>
        <w:t>22.2符合性审查。符合性审查是指依据招标文件的规定，从商务和技术角度对投标文件的有效性和完整性进行审查，以确定是否对招标文件的实质性要求做出响应。</w:t>
      </w:r>
    </w:p>
    <w:p w14:paraId="429FB53F">
      <w:pPr>
        <w:pStyle w:val="46"/>
        <w:rPr>
          <w:rFonts w:ascii="仿宋" w:hAnsi="仿宋" w:cs="仿宋"/>
          <w:highlight w:val="none"/>
        </w:rPr>
      </w:pPr>
      <w:r>
        <w:rPr>
          <w:rFonts w:hint="eastAsia" w:ascii="仿宋" w:hAnsi="仿宋" w:cs="仿宋"/>
          <w:highlight w:val="none"/>
        </w:rPr>
        <w:t>22.3评标委员会采用综合评分法对满足招标文件全部实质性要求的投标文件和投标报价进行综合评分。</w:t>
      </w:r>
    </w:p>
    <w:p w14:paraId="58D3D74F">
      <w:pPr>
        <w:pStyle w:val="46"/>
        <w:rPr>
          <w:rFonts w:ascii="仿宋" w:hAnsi="仿宋" w:cs="仿宋"/>
          <w:highlight w:val="none"/>
        </w:rPr>
      </w:pPr>
      <w:r>
        <w:rPr>
          <w:rFonts w:hint="eastAsia" w:ascii="仿宋" w:hAnsi="仿宋" w:cs="仿宋"/>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14:paraId="71CEA7B3">
      <w:pPr>
        <w:pStyle w:val="46"/>
        <w:rPr>
          <w:rFonts w:ascii="仿宋" w:hAnsi="仿宋" w:cs="仿宋"/>
          <w:highlight w:val="none"/>
        </w:rPr>
      </w:pPr>
      <w:r>
        <w:rPr>
          <w:rFonts w:hint="eastAsia" w:ascii="仿宋" w:hAnsi="仿宋" w:cs="仿宋"/>
          <w:highlight w:val="none"/>
        </w:rPr>
        <w:t>22.5采购代理机构在评标结果后2个工作日内将评标报告送采购人确认。</w:t>
      </w:r>
    </w:p>
    <w:p w14:paraId="1B9FD4A5">
      <w:pPr>
        <w:spacing w:line="360" w:lineRule="auto"/>
        <w:ind w:firstLine="480" w:firstLineChars="200"/>
        <w:rPr>
          <w:rFonts w:ascii="仿宋" w:hAnsi="仿宋" w:eastAsia="仿宋" w:cs="仿宋"/>
          <w:sz w:val="24"/>
          <w:highlight w:val="none"/>
        </w:rPr>
      </w:pPr>
      <w:bookmarkStart w:id="116" w:name="_Toc183582238"/>
      <w:bookmarkStart w:id="117" w:name="_Toc183682375"/>
      <w:bookmarkStart w:id="118" w:name="_Toc217446063"/>
      <w:r>
        <w:rPr>
          <w:rFonts w:hint="eastAsia" w:ascii="仿宋" w:hAnsi="仿宋" w:eastAsia="仿宋" w:cs="仿宋"/>
          <w:sz w:val="24"/>
          <w:highlight w:val="none"/>
        </w:rPr>
        <w:t>23．中标通知</w:t>
      </w:r>
      <w:bookmarkEnd w:id="116"/>
      <w:bookmarkEnd w:id="117"/>
      <w:r>
        <w:rPr>
          <w:rFonts w:hint="eastAsia" w:ascii="仿宋" w:hAnsi="仿宋" w:eastAsia="仿宋" w:cs="仿宋"/>
          <w:sz w:val="24"/>
          <w:highlight w:val="none"/>
        </w:rPr>
        <w:t>书</w:t>
      </w:r>
      <w:bookmarkEnd w:id="118"/>
    </w:p>
    <w:p w14:paraId="3FD87AAC">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23</w:t>
      </w:r>
      <w:r>
        <w:rPr>
          <w:rFonts w:hint="eastAsia" w:ascii="仿宋" w:hAnsi="仿宋" w:eastAsia="仿宋" w:cs="仿宋"/>
          <w:b/>
          <w:bCs/>
          <w:sz w:val="24"/>
          <w:highlight w:val="none"/>
        </w:rPr>
        <w:t>.</w:t>
      </w:r>
      <w:r>
        <w:rPr>
          <w:rFonts w:hint="eastAsia" w:ascii="仿宋" w:hAnsi="仿宋" w:eastAsia="仿宋" w:cs="仿宋"/>
          <w:sz w:val="24"/>
          <w:highlight w:val="none"/>
        </w:rPr>
        <w:t>1 中标通知书为签订中标合同的依据，是合同的有效组成部分。</w:t>
      </w:r>
    </w:p>
    <w:p w14:paraId="1FA732D7">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23.2 中标通知书对采购人和中标人均具有法律效力。中标通知书发出后，采购人改变中标结果，或者中标人无正当理由放弃中标的，应当承担相应的法律责任。</w:t>
      </w:r>
    </w:p>
    <w:p w14:paraId="68D2226E">
      <w:pPr>
        <w:tabs>
          <w:tab w:val="left" w:pos="7665"/>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672255FD">
      <w:pPr>
        <w:pStyle w:val="3"/>
        <w:spacing w:before="156" w:after="156"/>
        <w:ind w:firstLine="482" w:firstLineChars="200"/>
        <w:rPr>
          <w:rFonts w:ascii="仿宋" w:hAnsi="仿宋" w:eastAsia="仿宋" w:cs="仿宋"/>
          <w:sz w:val="24"/>
          <w:szCs w:val="24"/>
          <w:highlight w:val="none"/>
        </w:rPr>
      </w:pPr>
      <w:bookmarkStart w:id="119" w:name="_Toc217446064"/>
      <w:bookmarkStart w:id="120" w:name="_Toc183582240"/>
      <w:bookmarkStart w:id="121" w:name="_Toc183682377"/>
      <w:r>
        <w:rPr>
          <w:rFonts w:hint="eastAsia" w:ascii="仿宋" w:hAnsi="仿宋" w:eastAsia="仿宋" w:cs="仿宋"/>
          <w:sz w:val="24"/>
          <w:szCs w:val="24"/>
          <w:highlight w:val="none"/>
        </w:rPr>
        <w:t>六、签订及履行合同和验收</w:t>
      </w:r>
      <w:bookmarkEnd w:id="119"/>
    </w:p>
    <w:p w14:paraId="7CD51DAB">
      <w:pPr>
        <w:spacing w:line="360" w:lineRule="auto"/>
        <w:ind w:firstLine="480" w:firstLineChars="200"/>
        <w:rPr>
          <w:rFonts w:ascii="仿宋" w:hAnsi="仿宋" w:eastAsia="仿宋" w:cs="仿宋"/>
          <w:sz w:val="24"/>
          <w:highlight w:val="none"/>
        </w:rPr>
      </w:pPr>
      <w:bookmarkStart w:id="122" w:name="_Toc217446065"/>
      <w:r>
        <w:rPr>
          <w:rFonts w:hint="eastAsia" w:ascii="仿宋" w:hAnsi="仿宋" w:eastAsia="仿宋" w:cs="仿宋"/>
          <w:sz w:val="24"/>
          <w:highlight w:val="none"/>
        </w:rPr>
        <w:t>24. 签订合同</w:t>
      </w:r>
      <w:bookmarkEnd w:id="122"/>
    </w:p>
    <w:p w14:paraId="2737AC1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26EF1CD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14:paraId="1A3040B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24.3 中标人因不可抗力原因不能履行招标合同或放弃中标的，采购人可以与排在中标人之后第一位的中标候选人签订采购合同，以此类推。</w:t>
      </w:r>
    </w:p>
    <w:p w14:paraId="64FB39F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24.4 中标人在合同签订之后三个工作日内，将签订的合同（扫描件）交至采购代理机构。</w:t>
      </w:r>
    </w:p>
    <w:p w14:paraId="5215CEAC">
      <w:pPr>
        <w:spacing w:line="360" w:lineRule="auto"/>
        <w:ind w:firstLine="480" w:firstLineChars="200"/>
        <w:rPr>
          <w:rFonts w:ascii="仿宋" w:hAnsi="仿宋" w:eastAsia="仿宋" w:cs="仿宋"/>
          <w:sz w:val="24"/>
          <w:highlight w:val="none"/>
        </w:rPr>
      </w:pPr>
      <w:bookmarkStart w:id="123" w:name="_Toc217446066"/>
      <w:r>
        <w:rPr>
          <w:rFonts w:hint="eastAsia" w:ascii="仿宋" w:hAnsi="仿宋" w:eastAsia="仿宋" w:cs="仿宋"/>
          <w:sz w:val="24"/>
          <w:highlight w:val="none"/>
        </w:rPr>
        <w:t>25. 合同分包</w:t>
      </w:r>
      <w:bookmarkEnd w:id="123"/>
      <w:r>
        <w:rPr>
          <w:rFonts w:hint="eastAsia" w:ascii="仿宋" w:hAnsi="仿宋" w:eastAsia="仿宋" w:cs="仿宋"/>
          <w:sz w:val="24"/>
          <w:highlight w:val="none"/>
        </w:rPr>
        <w:t>（如有）</w:t>
      </w:r>
    </w:p>
    <w:p w14:paraId="38AA530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14:paraId="18BB111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25.2 招标合同实行分包履行的，中标人就招标项目和分包项目向采购人负责，分包人就分包项目承担责任。</w:t>
      </w:r>
    </w:p>
    <w:p w14:paraId="74213A83">
      <w:pPr>
        <w:spacing w:line="360" w:lineRule="auto"/>
        <w:ind w:firstLine="480" w:firstLineChars="200"/>
        <w:rPr>
          <w:rFonts w:ascii="仿宋" w:hAnsi="仿宋" w:eastAsia="仿宋" w:cs="仿宋"/>
          <w:sz w:val="24"/>
          <w:highlight w:val="none"/>
        </w:rPr>
      </w:pPr>
      <w:bookmarkStart w:id="124" w:name="_Toc217446067"/>
      <w:r>
        <w:rPr>
          <w:rFonts w:hint="eastAsia" w:ascii="仿宋" w:hAnsi="仿宋" w:eastAsia="仿宋" w:cs="仿宋"/>
          <w:sz w:val="24"/>
          <w:highlight w:val="none"/>
        </w:rPr>
        <w:t>26. 采购人增加合同标的权</w:t>
      </w:r>
      <w:bookmarkEnd w:id="124"/>
      <w:r>
        <w:rPr>
          <w:rFonts w:hint="eastAsia" w:ascii="仿宋" w:hAnsi="仿宋" w:eastAsia="仿宋" w:cs="仿宋"/>
          <w:sz w:val="24"/>
          <w:highlight w:val="none"/>
        </w:rPr>
        <w:t>利</w:t>
      </w:r>
    </w:p>
    <w:p w14:paraId="7E9B946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76799CF3">
      <w:pPr>
        <w:spacing w:line="360" w:lineRule="auto"/>
        <w:ind w:firstLine="482" w:firstLineChars="200"/>
        <w:rPr>
          <w:rFonts w:ascii="仿宋" w:hAnsi="仿宋" w:eastAsia="仿宋" w:cs="仿宋"/>
          <w:b/>
          <w:bCs/>
          <w:sz w:val="24"/>
          <w:highlight w:val="none"/>
        </w:rPr>
      </w:pPr>
      <w:bookmarkStart w:id="125" w:name="_Toc217446068"/>
      <w:r>
        <w:rPr>
          <w:rFonts w:hint="eastAsia" w:ascii="仿宋" w:hAnsi="仿宋" w:eastAsia="仿宋" w:cs="仿宋"/>
          <w:b/>
          <w:bCs/>
          <w:sz w:val="24"/>
          <w:highlight w:val="none"/>
        </w:rPr>
        <w:t>27. 履约保证金</w:t>
      </w:r>
      <w:bookmarkEnd w:id="125"/>
    </w:p>
    <w:p w14:paraId="3FDCD90D">
      <w:pPr>
        <w:spacing w:line="360" w:lineRule="auto"/>
        <w:ind w:firstLine="482" w:firstLineChars="200"/>
        <w:rPr>
          <w:rFonts w:hint="default" w:ascii="仿宋" w:hAnsi="仿宋" w:eastAsia="仿宋" w:cs="仿宋"/>
          <w:b/>
          <w:bCs/>
          <w:sz w:val="24"/>
          <w:highlight w:val="none"/>
          <w:lang w:val="en-US" w:eastAsia="zh-CN"/>
        </w:rPr>
      </w:pPr>
      <w:r>
        <w:rPr>
          <w:rFonts w:hint="eastAsia" w:ascii="仿宋" w:hAnsi="仿宋" w:eastAsia="仿宋" w:cs="仿宋"/>
          <w:b/>
          <w:bCs/>
          <w:sz w:val="24"/>
          <w:highlight w:val="none"/>
        </w:rPr>
        <w:t>履约保证金金额：</w:t>
      </w:r>
      <w:r>
        <w:rPr>
          <w:rFonts w:hint="eastAsia" w:ascii="仿宋" w:hAnsi="仿宋" w:eastAsia="仿宋" w:cs="仿宋"/>
          <w:b/>
          <w:bCs/>
          <w:sz w:val="24"/>
          <w:highlight w:val="none"/>
          <w:lang w:val="en-US" w:eastAsia="zh-CN"/>
        </w:rPr>
        <w:t>不需要缴纳</w:t>
      </w:r>
    </w:p>
    <w:p w14:paraId="718CAF5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提交履约保证金的时间：中标人应于中标通知书发出之日起</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个工作日内；</w:t>
      </w:r>
    </w:p>
    <w:p w14:paraId="1908449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履约保证金有效期：自履约保证金交付之日至货物验收合格，合同约定的全部货物验收合格后，采购人应在</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个工作日内无息退还保证金；</w:t>
      </w:r>
    </w:p>
    <w:p w14:paraId="303EF6E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履约保证金提交方式：履约保证金应当以支票、汇票、本票或者金融机构、担保机构出具的保函等非现金形式提交。</w:t>
      </w:r>
    </w:p>
    <w:p w14:paraId="5B637F9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不予退还情形：</w:t>
      </w:r>
    </w:p>
    <w:p w14:paraId="41FABE9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中标人出现以下行为时，采购人有权没收全部或部分履约保证金：</w:t>
      </w:r>
    </w:p>
    <w:p w14:paraId="753C0EE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 无正当理由放弃中标/拒绝按照中标结果签订合同或不履行合同义务；</w:t>
      </w:r>
    </w:p>
    <w:p w14:paraId="176087B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 未按合同约定完成服务或交付标的，经整改仍不合格；</w:t>
      </w:r>
    </w:p>
    <w:p w14:paraId="025FDCC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 擅自转包、分包或改变合同实质性内容；</w:t>
      </w:r>
    </w:p>
    <w:p w14:paraId="345F01C5">
      <w:pPr>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rPr>
        <w:t xml:space="preserve">(4) 存在弄虚作假、围标串标等违法违规行为。 </w:t>
      </w:r>
    </w:p>
    <w:p w14:paraId="4904103B">
      <w:pPr>
        <w:spacing w:line="360" w:lineRule="auto"/>
        <w:ind w:firstLine="480" w:firstLineChars="200"/>
        <w:rPr>
          <w:rFonts w:ascii="仿宋" w:hAnsi="仿宋" w:eastAsia="仿宋" w:cs="仿宋"/>
          <w:sz w:val="24"/>
          <w:highlight w:val="none"/>
        </w:rPr>
      </w:pPr>
      <w:bookmarkStart w:id="126" w:name="_Toc217446069"/>
      <w:r>
        <w:rPr>
          <w:rFonts w:hint="eastAsia" w:ascii="仿宋" w:hAnsi="仿宋" w:eastAsia="仿宋" w:cs="仿宋"/>
          <w:sz w:val="24"/>
          <w:highlight w:val="none"/>
        </w:rPr>
        <w:t>28. 履行合同</w:t>
      </w:r>
      <w:bookmarkEnd w:id="126"/>
    </w:p>
    <w:p w14:paraId="706EA2C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28.1 中标人与采购人签订合同后，合同双方应严格执行合同条款，履行合同规定的义务，保证合同的顺利完成。</w:t>
      </w:r>
    </w:p>
    <w:p w14:paraId="2710709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28.2 在合同履行过程中，如发生合同纠纷，合同双方应按照《中华人民共和国民法典》的有关规定进行处理。</w:t>
      </w:r>
    </w:p>
    <w:p w14:paraId="63C006E2">
      <w:pPr>
        <w:spacing w:line="360" w:lineRule="auto"/>
        <w:ind w:firstLine="480" w:firstLineChars="200"/>
        <w:rPr>
          <w:rFonts w:ascii="仿宋" w:hAnsi="仿宋" w:eastAsia="仿宋" w:cs="仿宋"/>
          <w:sz w:val="24"/>
          <w:highlight w:val="none"/>
        </w:rPr>
      </w:pPr>
      <w:bookmarkStart w:id="127" w:name="_Toc217446070"/>
      <w:r>
        <w:rPr>
          <w:rFonts w:hint="eastAsia" w:ascii="仿宋" w:hAnsi="仿宋" w:eastAsia="仿宋" w:cs="仿宋"/>
          <w:sz w:val="24"/>
          <w:highlight w:val="none"/>
        </w:rPr>
        <w:t>29. 验收</w:t>
      </w:r>
      <w:bookmarkEnd w:id="127"/>
    </w:p>
    <w:p w14:paraId="2F9F9D82">
      <w:pPr>
        <w:pStyle w:val="7"/>
        <w:spacing w:line="360" w:lineRule="auto"/>
        <w:ind w:firstLine="480"/>
        <w:rPr>
          <w:rFonts w:ascii="仿宋" w:hAnsi="仿宋" w:eastAsia="仿宋" w:cs="仿宋"/>
          <w:sz w:val="24"/>
          <w:highlight w:val="none"/>
        </w:rPr>
      </w:pPr>
      <w:bookmarkStart w:id="128" w:name="_Toc217446071"/>
      <w:r>
        <w:rPr>
          <w:rFonts w:hint="eastAsia" w:ascii="仿宋" w:hAnsi="仿宋" w:eastAsia="仿宋" w:cs="仿宋"/>
          <w:sz w:val="24"/>
          <w:highlight w:val="none"/>
        </w:rPr>
        <w:t>中标人与采购人应严格按照国家财政部《关于进一步加强政府采购需求和履约验收管理的指导意见》（</w:t>
      </w:r>
      <w:r>
        <w:rPr>
          <w:rFonts w:hint="eastAsia" w:ascii="仿宋" w:hAnsi="仿宋" w:eastAsia="仿宋" w:cs="仿宋"/>
          <w:sz w:val="24"/>
          <w:highlight w:val="none"/>
          <w:shd w:val="clear" w:color="auto" w:fill="FFFFFF"/>
        </w:rPr>
        <w:t>财库〔2016〕205号</w:t>
      </w:r>
      <w:r>
        <w:rPr>
          <w:rFonts w:hint="eastAsia" w:ascii="仿宋" w:hAnsi="仿宋" w:eastAsia="仿宋" w:cs="仿宋"/>
          <w:sz w:val="24"/>
          <w:highlight w:val="none"/>
        </w:rPr>
        <w:t>）的要求进行验收。</w:t>
      </w:r>
    </w:p>
    <w:bookmarkEnd w:id="120"/>
    <w:bookmarkEnd w:id="121"/>
    <w:bookmarkEnd w:id="128"/>
    <w:p w14:paraId="39625E28">
      <w:pPr>
        <w:pStyle w:val="3"/>
        <w:spacing w:before="156" w:after="156"/>
        <w:ind w:firstLine="482" w:firstLineChars="200"/>
        <w:rPr>
          <w:rFonts w:ascii="仿宋" w:hAnsi="仿宋" w:eastAsia="仿宋" w:cs="仿宋"/>
          <w:sz w:val="24"/>
          <w:szCs w:val="24"/>
          <w:highlight w:val="none"/>
        </w:rPr>
      </w:pPr>
      <w:bookmarkStart w:id="129" w:name="_Toc217446074"/>
      <w:bookmarkStart w:id="130" w:name="_Toc183582243"/>
      <w:bookmarkStart w:id="131" w:name="_Toc183682380"/>
      <w:r>
        <w:rPr>
          <w:rFonts w:hint="eastAsia" w:ascii="仿宋" w:hAnsi="仿宋" w:eastAsia="仿宋" w:cs="仿宋"/>
          <w:sz w:val="24"/>
          <w:szCs w:val="24"/>
          <w:highlight w:val="none"/>
        </w:rPr>
        <w:t>七、投标纪律要求</w:t>
      </w:r>
      <w:bookmarkEnd w:id="129"/>
    </w:p>
    <w:p w14:paraId="46E217B1">
      <w:pPr>
        <w:spacing w:line="360" w:lineRule="auto"/>
        <w:ind w:firstLine="480" w:firstLineChars="200"/>
        <w:rPr>
          <w:rFonts w:ascii="仿宋" w:hAnsi="仿宋" w:eastAsia="仿宋" w:cs="仿宋"/>
          <w:sz w:val="24"/>
          <w:highlight w:val="none"/>
        </w:rPr>
      </w:pPr>
      <w:bookmarkStart w:id="132" w:name="_Toc217446075"/>
      <w:r>
        <w:rPr>
          <w:rFonts w:hint="eastAsia" w:ascii="仿宋" w:hAnsi="仿宋" w:eastAsia="仿宋" w:cs="仿宋"/>
          <w:sz w:val="24"/>
          <w:highlight w:val="none"/>
        </w:rPr>
        <w:t>30. 投标人不得具有的情形</w:t>
      </w:r>
      <w:bookmarkEnd w:id="132"/>
    </w:p>
    <w:p w14:paraId="719ECEE6">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投标人参加投标不得有下列情形：</w:t>
      </w:r>
    </w:p>
    <w:p w14:paraId="17C4FE5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（1）提供虚假材料谋取中标；</w:t>
      </w:r>
    </w:p>
    <w:p w14:paraId="3D38662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（2）采取不正当手段诋毁、排挤其他投标人；</w:t>
      </w:r>
    </w:p>
    <w:p w14:paraId="7792A72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（3）与采购人、其他投标人恶意串通；</w:t>
      </w:r>
    </w:p>
    <w:p w14:paraId="32085588">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（4）向采购人、评标委员会成员行贿或者提供其他不正当利益；</w:t>
      </w:r>
    </w:p>
    <w:p w14:paraId="32DBDB88">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（5）在招标过程中与采购人进行协商谈判；</w:t>
      </w:r>
    </w:p>
    <w:p w14:paraId="2FB6DEFA">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（6）拒绝有关部门的监督检查或者向监督检查部门提供虚假情况。</w:t>
      </w:r>
    </w:p>
    <w:p w14:paraId="5809D3C8">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有上述情形之一的投标人，属于不合格投标人，其投标或中标资格将被取消。</w:t>
      </w:r>
    </w:p>
    <w:p w14:paraId="37C489A4">
      <w:pPr>
        <w:pStyle w:val="3"/>
        <w:spacing w:before="156" w:after="156"/>
        <w:ind w:firstLine="482" w:firstLineChars="200"/>
        <w:rPr>
          <w:rFonts w:ascii="仿宋" w:hAnsi="仿宋" w:eastAsia="仿宋" w:cs="仿宋"/>
          <w:b w:val="0"/>
          <w:bCs w:val="0"/>
          <w:sz w:val="24"/>
          <w:szCs w:val="24"/>
          <w:highlight w:val="none"/>
        </w:rPr>
      </w:pPr>
      <w:bookmarkStart w:id="133" w:name="_Toc217446076"/>
      <w:r>
        <w:rPr>
          <w:rFonts w:hint="eastAsia" w:ascii="仿宋" w:hAnsi="仿宋" w:eastAsia="仿宋" w:cs="仿宋"/>
          <w:sz w:val="24"/>
          <w:szCs w:val="24"/>
          <w:highlight w:val="none"/>
        </w:rPr>
        <w:t>八、</w:t>
      </w:r>
      <w:bookmarkEnd w:id="133"/>
      <w:r>
        <w:rPr>
          <w:rFonts w:hint="eastAsia" w:ascii="仿宋" w:hAnsi="仿宋" w:eastAsia="仿宋" w:cs="仿宋"/>
          <w:sz w:val="24"/>
          <w:szCs w:val="24"/>
          <w:highlight w:val="none"/>
        </w:rPr>
        <w:t>合同价款支付</w:t>
      </w:r>
    </w:p>
    <w:p w14:paraId="346546E7">
      <w:pPr>
        <w:spacing w:line="360" w:lineRule="auto"/>
        <w:ind w:firstLine="480" w:firstLineChars="200"/>
        <w:rPr>
          <w:rFonts w:ascii="仿宋" w:hAnsi="仿宋" w:eastAsia="仿宋" w:cs="仿宋"/>
          <w:sz w:val="24"/>
          <w:highlight w:val="none"/>
        </w:rPr>
      </w:pPr>
      <w:bookmarkStart w:id="134" w:name="_Toc217446077"/>
      <w:r>
        <w:rPr>
          <w:rFonts w:hint="eastAsia" w:ascii="仿宋" w:hAnsi="仿宋" w:eastAsia="仿宋" w:cs="仿宋"/>
          <w:sz w:val="24"/>
          <w:highlight w:val="none"/>
        </w:rPr>
        <w:t>31. 申请支付</w:t>
      </w:r>
      <w:bookmarkEnd w:id="134"/>
    </w:p>
    <w:p w14:paraId="3AB0C882">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31.1招标项目验收合格，采购人签署《验收结算书》后，向财政部门提出支付申请。采购人的自有资金，由采购人直接支付给中标人或者按照有关合同规定执行。</w:t>
      </w:r>
    </w:p>
    <w:p w14:paraId="248577FD">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31.2 财政部门根据采购人的支付申请，并对采购合同进行审核后，直接支付给中标人。</w:t>
      </w:r>
      <w:bookmarkStart w:id="135" w:name="_Toc217446078"/>
    </w:p>
    <w:p w14:paraId="5968CD64">
      <w:pPr>
        <w:pStyle w:val="3"/>
        <w:spacing w:before="156" w:after="156"/>
        <w:ind w:firstLine="482" w:firstLineChars="200"/>
        <w:rPr>
          <w:rFonts w:ascii="仿宋" w:hAnsi="仿宋" w:eastAsia="仿宋" w:cs="仿宋"/>
          <w:sz w:val="24"/>
          <w:szCs w:val="24"/>
          <w:highlight w:val="none"/>
        </w:rPr>
      </w:pPr>
      <w:r>
        <w:rPr>
          <w:rFonts w:hint="eastAsia" w:ascii="仿宋" w:hAnsi="仿宋" w:eastAsia="仿宋" w:cs="仿宋"/>
          <w:sz w:val="24"/>
          <w:szCs w:val="24"/>
          <w:highlight w:val="none"/>
        </w:rPr>
        <w:t>九、质疑和投诉</w:t>
      </w:r>
      <w:bookmarkEnd w:id="135"/>
      <w:bookmarkStart w:id="136" w:name="_Toc217446079"/>
    </w:p>
    <w:p w14:paraId="6EB9B366">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w:t>
      </w:r>
      <w:bookmarkEnd w:id="136"/>
      <w:r>
        <w:rPr>
          <w:rFonts w:hint="eastAsia" w:ascii="仿宋" w:hAnsi="仿宋" w:eastAsia="仿宋" w:cs="仿宋"/>
          <w:sz w:val="24"/>
          <w:highlight w:val="none"/>
        </w:rPr>
        <w:t>2．质疑、投诉的接收和处理严格按照《中华人共和国政府采购法</w:t>
      </w:r>
      <w:bookmarkEnd w:id="130"/>
      <w:bookmarkEnd w:id="131"/>
      <w:r>
        <w:rPr>
          <w:rFonts w:hint="eastAsia" w:ascii="仿宋" w:hAnsi="仿宋" w:eastAsia="仿宋" w:cs="仿宋"/>
          <w:sz w:val="24"/>
          <w:highlight w:val="none"/>
        </w:rPr>
        <w:t>》、《政府采购质疑和投诉办法》、《财政部关于加强政府采购投标人投诉受理审查工作的通知》的规定办理。</w:t>
      </w:r>
    </w:p>
    <w:p w14:paraId="2582AEF5">
      <w:pPr>
        <w:pStyle w:val="15"/>
        <w:spacing w:after="0" w:line="360" w:lineRule="auto"/>
        <w:ind w:left="0" w:leftChars="0" w:firstLine="480" w:firstLineChars="200"/>
        <w:rPr>
          <w:rFonts w:ascii="仿宋" w:hAnsi="仿宋" w:eastAsia="仿宋" w:cs="仿宋"/>
          <w:sz w:val="24"/>
          <w:highlight w:val="none"/>
          <w:shd w:val="clear" w:color="auto" w:fill="FFFFFF"/>
        </w:rPr>
      </w:pPr>
      <w:r>
        <w:rPr>
          <w:rFonts w:hint="eastAsia" w:ascii="仿宋" w:hAnsi="仿宋" w:eastAsia="仿宋" w:cs="仿宋"/>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1753D4A5">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32.2潜在投标人已依法获取其可质疑的招标文件的，可以对该文件提出质疑。对招标文件提出质疑的，应当在获取招标文件或者招标文件公告期限届满之日起7个工作日内提出。</w:t>
      </w:r>
    </w:p>
    <w:p w14:paraId="661D7411">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A7992F0">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代理人提出质疑和投诉，应当提交投标人签署的授权委托书。</w:t>
      </w:r>
    </w:p>
    <w:p w14:paraId="1437779F">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32.4投标人提出质疑应当提交质疑函和必要的证明材料。质疑函应当包括下列内容：</w:t>
      </w:r>
    </w:p>
    <w:p w14:paraId="314AE290">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（一）投标人的姓名或者名称、地址、邮编、联系人及联系电话；</w:t>
      </w:r>
    </w:p>
    <w:p w14:paraId="18CC51C2">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（二）质疑项目的名称、编号；</w:t>
      </w:r>
    </w:p>
    <w:p w14:paraId="112EFBA5">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（三）具体、明确的质疑事项和与质疑事项相关的请求；</w:t>
      </w:r>
    </w:p>
    <w:p w14:paraId="27D37134">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（四）事实依据；</w:t>
      </w:r>
    </w:p>
    <w:p w14:paraId="273AA6B6">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（五）必要的法律依据；</w:t>
      </w:r>
    </w:p>
    <w:p w14:paraId="2CA1A47C">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（六）提出质疑的日期。</w:t>
      </w:r>
    </w:p>
    <w:p w14:paraId="70E5EF83">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投标人为自然人的，应当由本人签字；投标人为法人或者其他组织的，应当由法定代表人、主要负责人或者其被授权人签字或盖章，并加盖公章。</w:t>
      </w:r>
    </w:p>
    <w:p w14:paraId="2F55470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接收质疑函的方式：书面形式</w:t>
      </w:r>
    </w:p>
    <w:p w14:paraId="146EE32F">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联系部门：新疆拓源工程管理咨询有限公司招标部</w:t>
      </w:r>
    </w:p>
    <w:p w14:paraId="4E65B2BC">
      <w:pPr>
        <w:pStyle w:val="7"/>
        <w:spacing w:line="360" w:lineRule="auto"/>
        <w:ind w:firstLine="480"/>
        <w:rPr>
          <w:rStyle w:val="42"/>
          <w:rFonts w:ascii="仿宋" w:hAnsi="仿宋" w:eastAsia="仿宋" w:cs="仿宋"/>
          <w:bCs/>
          <w:sz w:val="24"/>
          <w:highlight w:val="none"/>
        </w:rPr>
      </w:pPr>
      <w:r>
        <w:rPr>
          <w:rFonts w:hint="eastAsia" w:ascii="仿宋" w:hAnsi="仿宋" w:eastAsia="仿宋" w:cs="仿宋"/>
          <w:sz w:val="24"/>
          <w:highlight w:val="none"/>
        </w:rPr>
        <w:t>联系人及联系电话：金山虎、黄莎莎</w:t>
      </w:r>
      <w:r>
        <w:rPr>
          <w:rStyle w:val="42"/>
          <w:rFonts w:hint="eastAsia" w:ascii="仿宋" w:hAnsi="仿宋" w:eastAsia="仿宋" w:cs="仿宋"/>
          <w:bCs/>
          <w:sz w:val="24"/>
          <w:highlight w:val="none"/>
        </w:rPr>
        <w:t>13209920205、15099530785</w:t>
      </w:r>
    </w:p>
    <w:p w14:paraId="469C077F">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通讯地址：乌鲁木齐市水磨沟区龙盛街898号万科中央公园S6栋5层</w:t>
      </w:r>
    </w:p>
    <w:p w14:paraId="4B14BD47">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14:paraId="624850EE">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14:paraId="7DC45E8A">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（一）投诉人和被投诉人的姓名或者名称、通讯地址、邮编、联系人及联系电话；</w:t>
      </w:r>
    </w:p>
    <w:p w14:paraId="18D4A795">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（二）质疑和质疑答复情况说明及相关证明材料；</w:t>
      </w:r>
    </w:p>
    <w:p w14:paraId="6B1C13D5">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（三）具体、明确的投诉事项和与投诉事项相关的投诉请求；</w:t>
      </w:r>
    </w:p>
    <w:p w14:paraId="14459E3A">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（四）事实依据；</w:t>
      </w:r>
    </w:p>
    <w:p w14:paraId="025376A0">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（五）法律依据；</w:t>
      </w:r>
    </w:p>
    <w:p w14:paraId="0ADE0E77">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（六）提起投诉的日期。</w:t>
      </w:r>
    </w:p>
    <w:p w14:paraId="1D9F5F5B">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投诉人为自然人的，应当由本人签字；投诉人为法人或者其他组织的，应当由法定代表人、主要负责人，或者其授权代表签字或者盖章，并加盖公章。</w:t>
      </w:r>
    </w:p>
    <w:p w14:paraId="7C39D05F">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32.7投诉人应当根据《政府采购质疑和投诉办法》第七条第二款规定的信息内容，并按照其规定的方式提起投诉。</w:t>
      </w:r>
    </w:p>
    <w:p w14:paraId="3FE7FC03">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投诉人提起投诉应当符合下列条件：</w:t>
      </w:r>
    </w:p>
    <w:p w14:paraId="4311E452">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（一）提起投诉前已依法进行质疑；</w:t>
      </w:r>
    </w:p>
    <w:p w14:paraId="1ABE1ACD">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（二）投诉书内容符合本办法的规定；</w:t>
      </w:r>
    </w:p>
    <w:p w14:paraId="21E75F8A">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（三）在投诉有效期限内提起投诉；</w:t>
      </w:r>
    </w:p>
    <w:p w14:paraId="698D7CAB">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（四）同一投诉事项未经财政部门投诉处理；</w:t>
      </w:r>
    </w:p>
    <w:p w14:paraId="0527A2BA">
      <w:pPr>
        <w:pStyle w:val="15"/>
        <w:spacing w:after="0"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（五）财政部规定的其他条件。</w:t>
      </w:r>
    </w:p>
    <w:p w14:paraId="36F98BA5">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4"/>
          <w:highlight w:val="none"/>
        </w:rPr>
        <w:t>质疑函范本</w:t>
      </w:r>
    </w:p>
    <w:p w14:paraId="285A5FDE">
      <w:pPr>
        <w:adjustRightInd w:val="0"/>
        <w:snapToGrid w:val="0"/>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一、质疑</w:t>
      </w:r>
      <w:r>
        <w:rPr>
          <w:rFonts w:hint="eastAsia" w:ascii="仿宋" w:hAnsi="仿宋" w:eastAsia="仿宋" w:cs="仿宋"/>
          <w:sz w:val="24"/>
          <w:highlight w:val="none"/>
          <w:shd w:val="clear" w:color="auto" w:fill="FFFFFF"/>
        </w:rPr>
        <w:t>投标人</w:t>
      </w:r>
      <w:r>
        <w:rPr>
          <w:rFonts w:hint="eastAsia" w:ascii="仿宋" w:hAnsi="仿宋" w:eastAsia="仿宋" w:cs="仿宋"/>
          <w:bCs/>
          <w:sz w:val="24"/>
          <w:highlight w:val="none"/>
        </w:rPr>
        <w:t>基本信息</w:t>
      </w:r>
    </w:p>
    <w:p w14:paraId="54DB0A59">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w:t>
      </w:r>
      <w:r>
        <w:rPr>
          <w:rFonts w:hint="eastAsia" w:ascii="仿宋" w:hAnsi="仿宋" w:eastAsia="仿宋" w:cs="仿宋"/>
          <w:sz w:val="24"/>
          <w:highlight w:val="none"/>
          <w:u w:val="dotted"/>
        </w:rPr>
        <w:t xml:space="preserve">                                        </w:t>
      </w:r>
    </w:p>
    <w:p w14:paraId="55FFAFE4">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地址：</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邮编：</w:t>
      </w:r>
      <w:r>
        <w:rPr>
          <w:rFonts w:hint="eastAsia" w:ascii="仿宋" w:hAnsi="仿宋" w:eastAsia="仿宋" w:cs="仿宋"/>
          <w:sz w:val="24"/>
          <w:highlight w:val="none"/>
          <w:u w:val="dotted"/>
        </w:rPr>
        <w:t xml:space="preserve">                                                   </w:t>
      </w:r>
    </w:p>
    <w:p w14:paraId="7F76A11E">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联系人：</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dotted"/>
        </w:rPr>
        <w:t xml:space="preserve">                              </w:t>
      </w:r>
    </w:p>
    <w:p w14:paraId="05A0F890">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被授权人：</w:t>
      </w:r>
      <w:r>
        <w:rPr>
          <w:rFonts w:hint="eastAsia" w:ascii="仿宋" w:hAnsi="仿宋" w:eastAsia="仿宋" w:cs="仿宋"/>
          <w:sz w:val="24"/>
          <w:highlight w:val="none"/>
          <w:u w:val="dotted"/>
        </w:rPr>
        <w:t xml:space="preserve">                                          </w:t>
      </w:r>
    </w:p>
    <w:p w14:paraId="2B23E879">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 xml:space="preserve"> </w:t>
      </w:r>
    </w:p>
    <w:p w14:paraId="79A22B02">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地址： </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邮编：</w:t>
      </w:r>
      <w:r>
        <w:rPr>
          <w:rFonts w:hint="eastAsia" w:ascii="仿宋" w:hAnsi="仿宋" w:eastAsia="仿宋" w:cs="仿宋"/>
          <w:sz w:val="24"/>
          <w:highlight w:val="none"/>
          <w:u w:val="dotted"/>
        </w:rPr>
        <w:t xml:space="preserve">                                                </w:t>
      </w:r>
    </w:p>
    <w:p w14:paraId="73CD591E">
      <w:pPr>
        <w:adjustRightInd w:val="0"/>
        <w:snapToGrid w:val="0"/>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二、质疑项目基本情况</w:t>
      </w:r>
    </w:p>
    <w:p w14:paraId="42E78A3D">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质疑项目的名称：</w:t>
      </w:r>
      <w:r>
        <w:rPr>
          <w:rFonts w:hint="eastAsia" w:ascii="仿宋" w:hAnsi="仿宋" w:eastAsia="仿宋" w:cs="仿宋"/>
          <w:sz w:val="24"/>
          <w:highlight w:val="none"/>
          <w:u w:val="dotted"/>
        </w:rPr>
        <w:t xml:space="preserve">                                      </w:t>
      </w:r>
    </w:p>
    <w:p w14:paraId="6FE26E26">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质疑项目的编号：</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包号：</w:t>
      </w:r>
      <w:r>
        <w:rPr>
          <w:rFonts w:hint="eastAsia" w:ascii="仿宋" w:hAnsi="仿宋" w:eastAsia="仿宋" w:cs="仿宋"/>
          <w:sz w:val="24"/>
          <w:highlight w:val="none"/>
          <w:u w:val="dotted"/>
        </w:rPr>
        <w:t xml:space="preserve">                 </w:t>
      </w:r>
    </w:p>
    <w:p w14:paraId="28914B93">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采购人名称：</w:t>
      </w:r>
      <w:r>
        <w:rPr>
          <w:rFonts w:hint="eastAsia" w:ascii="仿宋" w:hAnsi="仿宋" w:eastAsia="仿宋" w:cs="仿宋"/>
          <w:sz w:val="24"/>
          <w:highlight w:val="none"/>
          <w:u w:val="dotted"/>
        </w:rPr>
        <w:t xml:space="preserve">                                         </w:t>
      </w:r>
    </w:p>
    <w:p w14:paraId="09F39504">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招标文件获取日期：</w:t>
      </w:r>
      <w:r>
        <w:rPr>
          <w:rFonts w:hint="eastAsia" w:ascii="仿宋" w:hAnsi="仿宋" w:eastAsia="仿宋" w:cs="仿宋"/>
          <w:sz w:val="24"/>
          <w:highlight w:val="none"/>
          <w:u w:val="dotted"/>
        </w:rPr>
        <w:t xml:space="preserve">                                           </w:t>
      </w:r>
    </w:p>
    <w:p w14:paraId="5E19D0D4">
      <w:pPr>
        <w:adjustRightInd w:val="0"/>
        <w:snapToGrid w:val="0"/>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三、质疑事项具体内容</w:t>
      </w:r>
    </w:p>
    <w:p w14:paraId="435D640F">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质疑事项1：</w:t>
      </w:r>
      <w:r>
        <w:rPr>
          <w:rFonts w:hint="eastAsia" w:ascii="仿宋" w:hAnsi="仿宋" w:eastAsia="仿宋" w:cs="仿宋"/>
          <w:sz w:val="24"/>
          <w:highlight w:val="none"/>
          <w:u w:val="dotted"/>
        </w:rPr>
        <w:t xml:space="preserve">                                         </w:t>
      </w:r>
    </w:p>
    <w:p w14:paraId="3494D0D7">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事实依据：</w:t>
      </w:r>
      <w:r>
        <w:rPr>
          <w:rFonts w:hint="eastAsia" w:ascii="仿宋" w:hAnsi="仿宋" w:eastAsia="仿宋" w:cs="仿宋"/>
          <w:sz w:val="24"/>
          <w:highlight w:val="none"/>
          <w:u w:val="dotted"/>
        </w:rPr>
        <w:t xml:space="preserve">                                          </w:t>
      </w:r>
    </w:p>
    <w:p w14:paraId="57818E5A">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u w:val="dotted"/>
        </w:rPr>
        <w:t xml:space="preserve">                                                       </w:t>
      </w:r>
    </w:p>
    <w:p w14:paraId="2C1E6423">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法律依据：</w:t>
      </w:r>
      <w:r>
        <w:rPr>
          <w:rFonts w:hint="eastAsia" w:ascii="仿宋" w:hAnsi="仿宋" w:eastAsia="仿宋" w:cs="仿宋"/>
          <w:sz w:val="24"/>
          <w:highlight w:val="none"/>
          <w:u w:val="dotted"/>
        </w:rPr>
        <w:t xml:space="preserve">                                          </w:t>
      </w:r>
    </w:p>
    <w:p w14:paraId="47B981FD">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u w:val="dotted"/>
        </w:rPr>
        <w:t xml:space="preserve">                                                     </w:t>
      </w:r>
    </w:p>
    <w:p w14:paraId="6FFE9F84">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质疑事项2</w:t>
      </w:r>
    </w:p>
    <w:p w14:paraId="28390C58">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w:t>
      </w:r>
    </w:p>
    <w:p w14:paraId="1B50F4FF">
      <w:pPr>
        <w:adjustRightInd w:val="0"/>
        <w:snapToGrid w:val="0"/>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四、与质疑事项相关的质疑请求</w:t>
      </w:r>
    </w:p>
    <w:p w14:paraId="74C5FEDC">
      <w:pPr>
        <w:adjustRightInd w:val="0"/>
        <w:snapToGrid w:val="0"/>
        <w:spacing w:line="360" w:lineRule="auto"/>
        <w:ind w:firstLine="480" w:firstLineChars="200"/>
        <w:rPr>
          <w:rFonts w:ascii="仿宋" w:hAnsi="仿宋" w:eastAsia="仿宋" w:cs="仿宋"/>
          <w:sz w:val="24"/>
          <w:highlight w:val="none"/>
          <w:u w:val="dotted"/>
        </w:rPr>
      </w:pPr>
      <w:r>
        <w:rPr>
          <w:rFonts w:hint="eastAsia" w:ascii="仿宋" w:hAnsi="仿宋" w:eastAsia="仿宋" w:cs="仿宋"/>
          <w:sz w:val="24"/>
          <w:highlight w:val="none"/>
        </w:rPr>
        <w:t>请求：</w:t>
      </w:r>
      <w:r>
        <w:rPr>
          <w:rFonts w:hint="eastAsia" w:ascii="仿宋" w:hAnsi="仿宋" w:eastAsia="仿宋" w:cs="仿宋"/>
          <w:sz w:val="24"/>
          <w:highlight w:val="none"/>
          <w:u w:val="dotted"/>
        </w:rPr>
        <w:t xml:space="preserve">                                               </w:t>
      </w:r>
    </w:p>
    <w:p w14:paraId="6CA9754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签字(签章)：                   公章：                      </w:t>
      </w:r>
    </w:p>
    <w:p w14:paraId="4A0EBC8D">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日期：    </w:t>
      </w:r>
    </w:p>
    <w:p w14:paraId="2BAF90F5">
      <w:pPr>
        <w:adjustRightInd w:val="0"/>
        <w:snapToGrid w:val="0"/>
        <w:spacing w:line="360" w:lineRule="auto"/>
        <w:ind w:firstLine="480" w:firstLineChars="200"/>
        <w:rPr>
          <w:rFonts w:ascii="仿宋" w:hAnsi="仿宋" w:eastAsia="仿宋" w:cs="仿宋"/>
          <w:sz w:val="24"/>
          <w:highlight w:val="none"/>
        </w:rPr>
      </w:pPr>
    </w:p>
    <w:p w14:paraId="77E3BE36">
      <w:pPr>
        <w:spacing w:line="360" w:lineRule="auto"/>
        <w:ind w:firstLine="482" w:firstLineChars="200"/>
        <w:jc w:val="center"/>
        <w:rPr>
          <w:rFonts w:ascii="仿宋" w:hAnsi="仿宋" w:eastAsia="仿宋" w:cs="仿宋"/>
          <w:b/>
          <w:bCs/>
          <w:sz w:val="24"/>
          <w:highlight w:val="none"/>
        </w:rPr>
      </w:pPr>
    </w:p>
    <w:p w14:paraId="63945AD2">
      <w:pPr>
        <w:rPr>
          <w:rFonts w:hint="eastAsia" w:ascii="仿宋" w:hAnsi="仿宋" w:eastAsia="仿宋" w:cs="仿宋"/>
          <w:b/>
          <w:sz w:val="24"/>
          <w:highlight w:val="none"/>
        </w:rPr>
      </w:pPr>
      <w:r>
        <w:rPr>
          <w:rFonts w:hint="eastAsia" w:ascii="仿宋" w:hAnsi="仿宋" w:eastAsia="仿宋" w:cs="仿宋"/>
          <w:b/>
          <w:sz w:val="24"/>
          <w:highlight w:val="none"/>
        </w:rPr>
        <w:br w:type="page"/>
      </w:r>
    </w:p>
    <w:p w14:paraId="0476BE95">
      <w:pPr>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质疑函制作说明：</w:t>
      </w:r>
    </w:p>
    <w:p w14:paraId="082CE6C6">
      <w:pPr>
        <w:widowControl/>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提出质疑时，应提交质疑函和必要的证明材料。</w:t>
      </w:r>
    </w:p>
    <w:p w14:paraId="2CAAE886">
      <w:pPr>
        <w:widowControl/>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2.质疑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若委托代理人进行质疑的，质疑函应按要求列明“被授权人”的有关内容，并在附件中提交由质疑</w:t>
      </w:r>
      <w:r>
        <w:rPr>
          <w:rFonts w:hint="eastAsia" w:ascii="仿宋" w:hAnsi="仿宋" w:eastAsia="仿宋" w:cs="仿宋"/>
          <w:kern w:val="0"/>
          <w:sz w:val="24"/>
          <w:highlight w:val="none"/>
        </w:rPr>
        <w:t>投标人签署的授权委托书。授权委托书应载明代理人的姓名或者名称、代理事项、具体权限、期限和相关事项。</w:t>
      </w:r>
    </w:p>
    <w:p w14:paraId="418ADCE4">
      <w:pPr>
        <w:widowControl/>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3.质疑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若对项目的某一分包进行质疑，质疑函中应列明具体分包号。</w:t>
      </w:r>
    </w:p>
    <w:p w14:paraId="739DB3E6">
      <w:pPr>
        <w:widowControl/>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4.质疑函的质疑事项应具体、明确，并有必要的事实依据和法律依据。</w:t>
      </w:r>
    </w:p>
    <w:p w14:paraId="668C5515">
      <w:pPr>
        <w:widowControl/>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5.质疑函的质疑请求应与质疑事项相关。</w:t>
      </w:r>
    </w:p>
    <w:p w14:paraId="512FA1B1">
      <w:pPr>
        <w:widowControl/>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6.质疑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为自然人的，质疑函应由本人签字；质疑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为法人或者其他组织的，质疑函应由法定代表人、主要负责人或者其被授权人签字或者盖章，并加盖公章。</w:t>
      </w:r>
    </w:p>
    <w:p w14:paraId="517255A6">
      <w:pPr>
        <w:pStyle w:val="30"/>
        <w:spacing w:line="360" w:lineRule="auto"/>
        <w:rPr>
          <w:rFonts w:ascii="仿宋" w:hAnsi="仿宋" w:eastAsia="仿宋" w:cs="仿宋"/>
          <w:sz w:val="24"/>
          <w:szCs w:val="24"/>
          <w:highlight w:val="none"/>
        </w:rPr>
      </w:pPr>
    </w:p>
    <w:p w14:paraId="3A48FEC4">
      <w:pPr>
        <w:pStyle w:val="30"/>
        <w:spacing w:line="360" w:lineRule="auto"/>
        <w:rPr>
          <w:rFonts w:ascii="仿宋" w:hAnsi="仿宋" w:eastAsia="仿宋" w:cs="仿宋"/>
          <w:sz w:val="24"/>
          <w:szCs w:val="24"/>
          <w:highlight w:val="none"/>
        </w:rPr>
      </w:pPr>
    </w:p>
    <w:p w14:paraId="52E681A3">
      <w:pPr>
        <w:pStyle w:val="7"/>
        <w:spacing w:line="360" w:lineRule="auto"/>
        <w:ind w:firstLine="480"/>
        <w:rPr>
          <w:rFonts w:ascii="仿宋" w:hAnsi="仿宋" w:eastAsia="仿宋" w:cs="仿宋"/>
          <w:sz w:val="24"/>
          <w:highlight w:val="none"/>
        </w:rPr>
      </w:pPr>
    </w:p>
    <w:p w14:paraId="62DEBA2D">
      <w:pPr>
        <w:pStyle w:val="3"/>
        <w:rPr>
          <w:rFonts w:ascii="仿宋" w:hAnsi="仿宋" w:eastAsia="仿宋" w:cs="仿宋"/>
          <w:highlight w:val="none"/>
        </w:rPr>
      </w:pPr>
      <w:r>
        <w:rPr>
          <w:rFonts w:hint="eastAsia" w:ascii="仿宋" w:hAnsi="仿宋" w:eastAsia="仿宋" w:cs="仿宋"/>
          <w:szCs w:val="24"/>
          <w:highlight w:val="none"/>
        </w:rPr>
        <w:br w:type="page"/>
      </w:r>
      <w:bookmarkStart w:id="137" w:name="_Toc19536"/>
      <w:bookmarkStart w:id="138" w:name="_Toc5850_WPSOffice_Level1"/>
      <w:bookmarkStart w:id="139" w:name="_Toc21780"/>
      <w:r>
        <w:rPr>
          <w:rFonts w:hint="eastAsia" w:ascii="仿宋" w:hAnsi="仿宋" w:eastAsia="仿宋" w:cs="仿宋"/>
          <w:highlight w:val="none"/>
        </w:rPr>
        <w:t>第三章  投标文件格式</w:t>
      </w:r>
      <w:bookmarkEnd w:id="137"/>
      <w:bookmarkEnd w:id="138"/>
      <w:bookmarkEnd w:id="139"/>
    </w:p>
    <w:p w14:paraId="4FE7B039">
      <w:pPr>
        <w:spacing w:line="360" w:lineRule="auto"/>
        <w:rPr>
          <w:rFonts w:ascii="仿宋" w:hAnsi="仿宋" w:eastAsia="仿宋" w:cs="仿宋"/>
          <w:sz w:val="24"/>
          <w:highlight w:val="none"/>
          <w:u w:val="single"/>
        </w:rPr>
      </w:pPr>
      <w:r>
        <w:rPr>
          <w:rFonts w:hint="eastAsia" w:ascii="仿宋" w:hAnsi="仿宋" w:eastAsia="仿宋" w:cs="仿宋"/>
          <w:sz w:val="24"/>
          <w:highlight w:val="none"/>
          <w:u w:val="single"/>
        </w:rPr>
        <w:t>投标文件封面示例</w:t>
      </w:r>
    </w:p>
    <w:p w14:paraId="45505B7E">
      <w:pPr>
        <w:spacing w:line="360" w:lineRule="auto"/>
        <w:rPr>
          <w:rFonts w:ascii="仿宋" w:hAnsi="仿宋" w:eastAsia="仿宋" w:cs="仿宋"/>
          <w:b/>
          <w:sz w:val="24"/>
          <w:highlight w:val="none"/>
        </w:rPr>
      </w:pPr>
    </w:p>
    <w:p w14:paraId="32CF0BF8">
      <w:pPr>
        <w:spacing w:line="360" w:lineRule="auto"/>
        <w:jc w:val="center"/>
        <w:rPr>
          <w:rFonts w:ascii="仿宋" w:hAnsi="仿宋" w:eastAsia="仿宋" w:cs="仿宋"/>
          <w:b/>
          <w:sz w:val="24"/>
          <w:highlight w:val="none"/>
        </w:rPr>
      </w:pPr>
    </w:p>
    <w:p w14:paraId="3A55C28C">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投标文件</w:t>
      </w:r>
    </w:p>
    <w:p w14:paraId="29022C13">
      <w:pPr>
        <w:spacing w:line="360" w:lineRule="auto"/>
        <w:rPr>
          <w:rFonts w:ascii="仿宋" w:hAnsi="仿宋" w:eastAsia="仿宋" w:cs="仿宋"/>
          <w:b/>
          <w:sz w:val="24"/>
          <w:highlight w:val="none"/>
        </w:rPr>
      </w:pPr>
    </w:p>
    <w:p w14:paraId="650BEA76">
      <w:pPr>
        <w:spacing w:line="360" w:lineRule="auto"/>
        <w:ind w:firstLine="504"/>
        <w:rPr>
          <w:rFonts w:ascii="仿宋" w:hAnsi="仿宋" w:eastAsia="仿宋" w:cs="仿宋"/>
          <w:b/>
          <w:sz w:val="24"/>
          <w:highlight w:val="none"/>
        </w:rPr>
      </w:pPr>
    </w:p>
    <w:p w14:paraId="175B9562">
      <w:pPr>
        <w:spacing w:line="360" w:lineRule="auto"/>
        <w:ind w:firstLine="504"/>
        <w:rPr>
          <w:rFonts w:ascii="仿宋" w:hAnsi="仿宋" w:eastAsia="仿宋" w:cs="仿宋"/>
          <w:b/>
          <w:sz w:val="24"/>
          <w:highlight w:val="none"/>
        </w:rPr>
      </w:pPr>
    </w:p>
    <w:p w14:paraId="167ECB5E">
      <w:pPr>
        <w:spacing w:line="360" w:lineRule="auto"/>
        <w:ind w:firstLine="504"/>
        <w:rPr>
          <w:rFonts w:ascii="仿宋" w:hAnsi="仿宋" w:eastAsia="仿宋" w:cs="仿宋"/>
          <w:b/>
          <w:sz w:val="24"/>
          <w:highlight w:val="none"/>
        </w:rPr>
      </w:pPr>
    </w:p>
    <w:p w14:paraId="4B62488E">
      <w:pPr>
        <w:spacing w:line="360" w:lineRule="auto"/>
        <w:ind w:firstLine="504"/>
        <w:rPr>
          <w:rFonts w:ascii="仿宋" w:hAnsi="仿宋" w:eastAsia="仿宋" w:cs="仿宋"/>
          <w:b/>
          <w:sz w:val="24"/>
          <w:highlight w:val="none"/>
        </w:rPr>
      </w:pPr>
    </w:p>
    <w:p w14:paraId="58ADC8B7">
      <w:pPr>
        <w:spacing w:line="360" w:lineRule="auto"/>
        <w:ind w:firstLine="504"/>
        <w:rPr>
          <w:rFonts w:ascii="仿宋" w:hAnsi="仿宋" w:eastAsia="仿宋" w:cs="仿宋"/>
          <w:b/>
          <w:sz w:val="24"/>
          <w:highlight w:val="none"/>
        </w:rPr>
      </w:pPr>
    </w:p>
    <w:p w14:paraId="233C1226">
      <w:pPr>
        <w:spacing w:line="360" w:lineRule="auto"/>
        <w:rPr>
          <w:rFonts w:ascii="仿宋" w:hAnsi="仿宋" w:eastAsia="仿宋" w:cs="仿宋"/>
          <w:b/>
          <w:sz w:val="24"/>
          <w:highlight w:val="none"/>
        </w:rPr>
      </w:pPr>
    </w:p>
    <w:p w14:paraId="1A127858">
      <w:pPr>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项目名称：</w:t>
      </w:r>
    </w:p>
    <w:p w14:paraId="512534AC">
      <w:pPr>
        <w:pStyle w:val="30"/>
        <w:spacing w:line="360" w:lineRule="auto"/>
        <w:rPr>
          <w:rFonts w:ascii="仿宋" w:hAnsi="仿宋" w:eastAsia="仿宋" w:cs="仿宋"/>
          <w:sz w:val="24"/>
          <w:szCs w:val="24"/>
          <w:highlight w:val="none"/>
        </w:rPr>
      </w:pPr>
    </w:p>
    <w:p w14:paraId="63C075E6">
      <w:pPr>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项目编号：</w:t>
      </w:r>
    </w:p>
    <w:p w14:paraId="35BEFAAD">
      <w:pPr>
        <w:spacing w:line="360" w:lineRule="auto"/>
        <w:ind w:firstLine="504"/>
        <w:rPr>
          <w:rFonts w:ascii="仿宋" w:hAnsi="仿宋" w:eastAsia="仿宋" w:cs="仿宋"/>
          <w:b/>
          <w:sz w:val="24"/>
          <w:highlight w:val="none"/>
        </w:rPr>
      </w:pPr>
      <w:r>
        <w:rPr>
          <w:rFonts w:hint="eastAsia" w:ascii="仿宋" w:hAnsi="仿宋" w:eastAsia="仿宋" w:cs="仿宋"/>
          <w:b/>
          <w:sz w:val="24"/>
          <w:highlight w:val="none"/>
        </w:rPr>
        <w:t xml:space="preserve">            </w:t>
      </w:r>
    </w:p>
    <w:p w14:paraId="3E9A1781">
      <w:pPr>
        <w:spacing w:line="360" w:lineRule="auto"/>
        <w:ind w:firstLine="504"/>
        <w:rPr>
          <w:rFonts w:ascii="仿宋" w:hAnsi="仿宋" w:eastAsia="仿宋" w:cs="仿宋"/>
          <w:b/>
          <w:sz w:val="24"/>
          <w:highlight w:val="none"/>
        </w:rPr>
      </w:pPr>
      <w:r>
        <w:rPr>
          <w:rFonts w:hint="eastAsia" w:ascii="仿宋" w:hAnsi="仿宋" w:eastAsia="仿宋" w:cs="仿宋"/>
          <w:b/>
          <w:sz w:val="24"/>
          <w:highlight w:val="none"/>
        </w:rPr>
        <w:t>投标人名称（盖章）：</w:t>
      </w:r>
    </w:p>
    <w:p w14:paraId="24F6A0B5">
      <w:pPr>
        <w:spacing w:line="360" w:lineRule="auto"/>
        <w:ind w:firstLine="504"/>
        <w:rPr>
          <w:rFonts w:ascii="仿宋" w:hAnsi="仿宋" w:eastAsia="仿宋" w:cs="仿宋"/>
          <w:b/>
          <w:sz w:val="24"/>
          <w:highlight w:val="none"/>
        </w:rPr>
      </w:pPr>
    </w:p>
    <w:p w14:paraId="1BEF519A">
      <w:pPr>
        <w:spacing w:line="360" w:lineRule="auto"/>
        <w:ind w:firstLine="504"/>
        <w:rPr>
          <w:rFonts w:ascii="仿宋" w:hAnsi="仿宋" w:eastAsia="仿宋" w:cs="仿宋"/>
          <w:b/>
          <w:sz w:val="24"/>
          <w:highlight w:val="none"/>
        </w:rPr>
      </w:pPr>
      <w:r>
        <w:rPr>
          <w:rFonts w:hint="eastAsia" w:ascii="仿宋" w:hAnsi="仿宋" w:eastAsia="仿宋" w:cs="仿宋"/>
          <w:b/>
          <w:sz w:val="24"/>
        </w:rPr>
        <w:t>法定代表人或被授权人</w:t>
      </w:r>
      <w:r>
        <w:rPr>
          <w:rFonts w:hint="eastAsia" w:ascii="仿宋" w:hAnsi="仿宋" w:eastAsia="仿宋" w:cs="仿宋"/>
          <w:b/>
          <w:color w:val="auto"/>
          <w:sz w:val="24"/>
          <w:highlight w:val="none"/>
        </w:rPr>
        <w:t>（签字或盖章）</w:t>
      </w:r>
      <w:r>
        <w:rPr>
          <w:rFonts w:hint="eastAsia" w:ascii="仿宋" w:hAnsi="仿宋" w:eastAsia="仿宋" w:cs="仿宋"/>
          <w:b/>
          <w:sz w:val="24"/>
          <w:highlight w:val="none"/>
        </w:rPr>
        <w:t>：</w:t>
      </w:r>
    </w:p>
    <w:p w14:paraId="43CC0777">
      <w:pPr>
        <w:spacing w:line="360" w:lineRule="auto"/>
        <w:ind w:firstLine="504"/>
        <w:rPr>
          <w:rFonts w:ascii="仿宋" w:hAnsi="仿宋" w:eastAsia="仿宋" w:cs="仿宋"/>
          <w:b/>
          <w:sz w:val="24"/>
          <w:highlight w:val="none"/>
        </w:rPr>
      </w:pPr>
    </w:p>
    <w:p w14:paraId="6C861838">
      <w:pPr>
        <w:spacing w:line="360" w:lineRule="auto"/>
        <w:ind w:firstLine="504"/>
        <w:rPr>
          <w:rFonts w:ascii="仿宋" w:hAnsi="仿宋" w:eastAsia="仿宋" w:cs="仿宋"/>
          <w:b/>
          <w:sz w:val="24"/>
          <w:highlight w:val="none"/>
        </w:rPr>
      </w:pPr>
      <w:r>
        <w:rPr>
          <w:rFonts w:hint="eastAsia" w:ascii="仿宋" w:hAnsi="仿宋" w:eastAsia="仿宋" w:cs="仿宋"/>
          <w:b/>
          <w:sz w:val="24"/>
          <w:highlight w:val="none"/>
        </w:rPr>
        <w:t xml:space="preserve">项目联系人： </w:t>
      </w:r>
    </w:p>
    <w:p w14:paraId="77E46959">
      <w:pPr>
        <w:spacing w:line="360" w:lineRule="auto"/>
        <w:ind w:firstLine="504"/>
        <w:rPr>
          <w:rFonts w:ascii="仿宋" w:hAnsi="仿宋" w:eastAsia="仿宋" w:cs="仿宋"/>
          <w:b/>
          <w:sz w:val="24"/>
          <w:highlight w:val="none"/>
        </w:rPr>
      </w:pPr>
    </w:p>
    <w:p w14:paraId="7633EE1A">
      <w:pPr>
        <w:spacing w:line="360" w:lineRule="auto"/>
        <w:ind w:firstLine="504"/>
        <w:rPr>
          <w:rFonts w:ascii="仿宋" w:hAnsi="仿宋" w:eastAsia="仿宋" w:cs="仿宋"/>
          <w:b/>
          <w:sz w:val="24"/>
          <w:highlight w:val="none"/>
        </w:rPr>
      </w:pPr>
      <w:r>
        <w:rPr>
          <w:rFonts w:hint="eastAsia" w:ascii="仿宋" w:hAnsi="仿宋" w:eastAsia="仿宋" w:cs="仿宋"/>
          <w:b/>
          <w:sz w:val="24"/>
          <w:highlight w:val="none"/>
        </w:rPr>
        <w:t>联系电话：</w:t>
      </w:r>
    </w:p>
    <w:p w14:paraId="6460F341">
      <w:pPr>
        <w:spacing w:line="360" w:lineRule="auto"/>
        <w:ind w:firstLine="504"/>
        <w:rPr>
          <w:rFonts w:ascii="仿宋" w:hAnsi="仿宋" w:eastAsia="仿宋" w:cs="仿宋"/>
          <w:b/>
          <w:sz w:val="24"/>
          <w:highlight w:val="none"/>
        </w:rPr>
      </w:pPr>
    </w:p>
    <w:p w14:paraId="1EA568F8">
      <w:pPr>
        <w:spacing w:line="360" w:lineRule="auto"/>
        <w:ind w:firstLine="504"/>
        <w:rPr>
          <w:rFonts w:ascii="仿宋" w:hAnsi="仿宋" w:eastAsia="仿宋" w:cs="仿宋"/>
          <w:b/>
          <w:sz w:val="24"/>
          <w:highlight w:val="none"/>
        </w:rPr>
      </w:pPr>
      <w:r>
        <w:rPr>
          <w:rFonts w:hint="eastAsia" w:ascii="仿宋" w:hAnsi="仿宋" w:eastAsia="仿宋" w:cs="仿宋"/>
          <w:b/>
          <w:sz w:val="24"/>
          <w:highlight w:val="none"/>
        </w:rPr>
        <w:t>编制时间：</w:t>
      </w:r>
    </w:p>
    <w:p w14:paraId="6F10C272">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4"/>
          <w:highlight w:val="none"/>
        </w:rPr>
        <w:t>目录</w:t>
      </w:r>
    </w:p>
    <w:p w14:paraId="20264D38">
      <w:pPr>
        <w:tabs>
          <w:tab w:val="left" w:pos="3480"/>
        </w:tabs>
        <w:spacing w:line="360" w:lineRule="auto"/>
        <w:ind w:firstLine="480" w:firstLineChars="200"/>
        <w:rPr>
          <w:rFonts w:ascii="仿宋" w:hAnsi="仿宋" w:eastAsia="仿宋" w:cs="仿宋"/>
          <w:sz w:val="24"/>
          <w:highlight w:val="none"/>
        </w:rPr>
      </w:pPr>
      <w:bookmarkStart w:id="140" w:name="_Toc217446082"/>
    </w:p>
    <w:p w14:paraId="05EB5DB3">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一、投标函</w:t>
      </w:r>
    </w:p>
    <w:p w14:paraId="53074B56">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二、身份证明书及授权委托书</w:t>
      </w:r>
    </w:p>
    <w:p w14:paraId="73B2A1CB">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三、投标报价明细表</w:t>
      </w:r>
    </w:p>
    <w:p w14:paraId="5EC20F4D">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四、投标人基本情况表</w:t>
      </w:r>
    </w:p>
    <w:p w14:paraId="4B0CAA70">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五、投标人类似项目业绩一览表</w:t>
      </w:r>
    </w:p>
    <w:p w14:paraId="729C4A4C">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六、商务、技术需求偏离表</w:t>
      </w:r>
    </w:p>
    <w:p w14:paraId="5F0C2CD8">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七、拟配备人员情况</w:t>
      </w:r>
    </w:p>
    <w:p w14:paraId="50DC3E91">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八、实施方案</w:t>
      </w:r>
    </w:p>
    <w:p w14:paraId="56709731">
      <w:pPr>
        <w:tabs>
          <w:tab w:val="left" w:pos="3480"/>
        </w:tabs>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九、投标人认为需要提供的其他文件和资料</w:t>
      </w:r>
    </w:p>
    <w:p w14:paraId="17FFF4DF">
      <w:pPr>
        <w:tabs>
          <w:tab w:val="left" w:pos="3480"/>
        </w:tabs>
        <w:spacing w:line="360" w:lineRule="auto"/>
        <w:ind w:firstLine="480" w:firstLineChars="200"/>
        <w:rPr>
          <w:rFonts w:ascii="仿宋" w:hAnsi="仿宋" w:eastAsia="仿宋" w:cs="仿宋"/>
          <w:sz w:val="24"/>
          <w:highlight w:val="none"/>
        </w:rPr>
      </w:pPr>
    </w:p>
    <w:p w14:paraId="6A23FDD2">
      <w:pPr>
        <w:pStyle w:val="7"/>
        <w:spacing w:line="360" w:lineRule="auto"/>
        <w:ind w:firstLine="480"/>
        <w:rPr>
          <w:rFonts w:ascii="仿宋" w:hAnsi="仿宋" w:eastAsia="仿宋" w:cs="仿宋"/>
          <w:sz w:val="24"/>
          <w:highlight w:val="none"/>
        </w:rPr>
      </w:pPr>
    </w:p>
    <w:p w14:paraId="78FDE3B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（备注：投标人应按以上目录顺序编排投标文件，并标注相应页码。）</w:t>
      </w:r>
    </w:p>
    <w:p w14:paraId="42E22163">
      <w:pPr>
        <w:spacing w:line="360" w:lineRule="auto"/>
        <w:rPr>
          <w:rFonts w:ascii="仿宋" w:hAnsi="仿宋" w:eastAsia="仿宋" w:cs="仿宋"/>
          <w:sz w:val="24"/>
          <w:highlight w:val="none"/>
        </w:rPr>
      </w:pPr>
    </w:p>
    <w:p w14:paraId="3CACD782">
      <w:pPr>
        <w:pStyle w:val="30"/>
        <w:spacing w:line="360" w:lineRule="auto"/>
        <w:rPr>
          <w:rFonts w:ascii="仿宋" w:hAnsi="仿宋" w:eastAsia="仿宋" w:cs="仿宋"/>
          <w:sz w:val="24"/>
          <w:szCs w:val="24"/>
          <w:highlight w:val="none"/>
        </w:rPr>
      </w:pPr>
    </w:p>
    <w:p w14:paraId="42632378">
      <w:pPr>
        <w:spacing w:line="360" w:lineRule="auto"/>
        <w:rPr>
          <w:rFonts w:ascii="仿宋" w:hAnsi="仿宋" w:eastAsia="仿宋" w:cs="仿宋"/>
          <w:sz w:val="24"/>
          <w:highlight w:val="none"/>
        </w:rPr>
      </w:pPr>
    </w:p>
    <w:p w14:paraId="6E0E21B1">
      <w:pPr>
        <w:pStyle w:val="30"/>
        <w:spacing w:line="360" w:lineRule="auto"/>
        <w:rPr>
          <w:rFonts w:ascii="仿宋" w:hAnsi="仿宋" w:eastAsia="仿宋" w:cs="仿宋"/>
          <w:sz w:val="24"/>
          <w:szCs w:val="24"/>
          <w:highlight w:val="none"/>
        </w:rPr>
      </w:pPr>
    </w:p>
    <w:p w14:paraId="26BFAB49">
      <w:pPr>
        <w:spacing w:line="360" w:lineRule="auto"/>
        <w:rPr>
          <w:rFonts w:ascii="仿宋" w:hAnsi="仿宋" w:eastAsia="仿宋" w:cs="仿宋"/>
          <w:sz w:val="24"/>
          <w:highlight w:val="none"/>
        </w:rPr>
      </w:pPr>
    </w:p>
    <w:p w14:paraId="6CEF1CE1">
      <w:pPr>
        <w:spacing w:line="360" w:lineRule="auto"/>
        <w:rPr>
          <w:rFonts w:ascii="仿宋" w:hAnsi="仿宋" w:eastAsia="仿宋" w:cs="仿宋"/>
          <w:sz w:val="24"/>
          <w:highlight w:val="none"/>
        </w:rPr>
      </w:pPr>
    </w:p>
    <w:p w14:paraId="4F1498F9">
      <w:pPr>
        <w:spacing w:line="360" w:lineRule="auto"/>
        <w:jc w:val="center"/>
        <w:rPr>
          <w:rFonts w:ascii="仿宋" w:hAnsi="仿宋" w:eastAsia="仿宋" w:cs="仿宋"/>
          <w:sz w:val="24"/>
          <w:highlight w:val="none"/>
        </w:rPr>
      </w:pPr>
    </w:p>
    <w:p w14:paraId="730524A5">
      <w:pPr>
        <w:spacing w:line="360" w:lineRule="auto"/>
        <w:rPr>
          <w:rFonts w:ascii="仿宋" w:hAnsi="仿宋" w:eastAsia="仿宋" w:cs="仿宋"/>
          <w:sz w:val="24"/>
          <w:highlight w:val="none"/>
        </w:rPr>
      </w:pPr>
    </w:p>
    <w:p w14:paraId="69D5EED0">
      <w:pPr>
        <w:pStyle w:val="30"/>
        <w:spacing w:line="360" w:lineRule="auto"/>
        <w:rPr>
          <w:rFonts w:ascii="仿宋" w:hAnsi="仿宋" w:eastAsia="仿宋" w:cs="仿宋"/>
          <w:sz w:val="24"/>
          <w:szCs w:val="24"/>
          <w:highlight w:val="none"/>
        </w:rPr>
      </w:pPr>
    </w:p>
    <w:p w14:paraId="18B34365">
      <w:pPr>
        <w:spacing w:line="360" w:lineRule="auto"/>
        <w:rPr>
          <w:rFonts w:ascii="仿宋" w:hAnsi="仿宋" w:eastAsia="仿宋" w:cs="仿宋"/>
          <w:sz w:val="24"/>
          <w:highlight w:val="none"/>
        </w:rPr>
      </w:pPr>
    </w:p>
    <w:p w14:paraId="6878E3FE">
      <w:pPr>
        <w:pStyle w:val="30"/>
        <w:spacing w:line="360" w:lineRule="auto"/>
        <w:rPr>
          <w:rFonts w:ascii="仿宋" w:hAnsi="仿宋" w:eastAsia="仿宋" w:cs="仿宋"/>
          <w:sz w:val="24"/>
          <w:szCs w:val="24"/>
          <w:highlight w:val="none"/>
        </w:rPr>
      </w:pPr>
    </w:p>
    <w:p w14:paraId="4ABD350C">
      <w:pPr>
        <w:spacing w:line="360" w:lineRule="auto"/>
        <w:rPr>
          <w:rFonts w:ascii="仿宋" w:hAnsi="仿宋" w:eastAsia="仿宋" w:cs="仿宋"/>
          <w:sz w:val="24"/>
          <w:highlight w:val="none"/>
        </w:rPr>
      </w:pPr>
    </w:p>
    <w:p w14:paraId="6DBDB3B8">
      <w:pPr>
        <w:pStyle w:val="30"/>
        <w:spacing w:line="360" w:lineRule="auto"/>
        <w:rPr>
          <w:rFonts w:ascii="仿宋" w:hAnsi="仿宋" w:eastAsia="仿宋" w:cs="仿宋"/>
          <w:sz w:val="24"/>
          <w:szCs w:val="24"/>
          <w:highlight w:val="none"/>
        </w:rPr>
      </w:pPr>
    </w:p>
    <w:p w14:paraId="616D098B">
      <w:pPr>
        <w:spacing w:line="360" w:lineRule="auto"/>
        <w:jc w:val="center"/>
        <w:rPr>
          <w:rFonts w:ascii="仿宋" w:hAnsi="仿宋" w:eastAsia="仿宋" w:cs="仿宋"/>
          <w:sz w:val="24"/>
          <w:highlight w:val="none"/>
        </w:rPr>
      </w:pPr>
    </w:p>
    <w:p w14:paraId="4703671E">
      <w:pPr>
        <w:spacing w:line="360" w:lineRule="auto"/>
        <w:jc w:val="center"/>
        <w:outlineLvl w:val="1"/>
        <w:rPr>
          <w:rFonts w:ascii="仿宋" w:hAnsi="仿宋" w:eastAsia="仿宋" w:cs="仿宋"/>
          <w:sz w:val="24"/>
          <w:highlight w:val="none"/>
        </w:rPr>
      </w:pPr>
      <w:r>
        <w:rPr>
          <w:rFonts w:hint="eastAsia" w:ascii="仿宋" w:hAnsi="仿宋" w:eastAsia="仿宋" w:cs="仿宋"/>
          <w:sz w:val="24"/>
          <w:highlight w:val="none"/>
        </w:rPr>
        <w:br w:type="page"/>
      </w:r>
      <w:r>
        <w:rPr>
          <w:rFonts w:hint="eastAsia" w:ascii="仿宋" w:hAnsi="仿宋" w:eastAsia="仿宋" w:cs="仿宋"/>
          <w:b/>
          <w:bCs/>
          <w:sz w:val="24"/>
          <w:highlight w:val="none"/>
        </w:rPr>
        <w:t>一、</w:t>
      </w:r>
      <w:bookmarkEnd w:id="140"/>
      <w:r>
        <w:rPr>
          <w:rFonts w:hint="eastAsia" w:ascii="仿宋" w:hAnsi="仿宋" w:eastAsia="仿宋" w:cs="仿宋"/>
          <w:b/>
          <w:bCs/>
          <w:sz w:val="24"/>
          <w:highlight w:val="none"/>
        </w:rPr>
        <w:t>投标函</w:t>
      </w:r>
    </w:p>
    <w:p w14:paraId="08AFD8D7">
      <w:pPr>
        <w:pStyle w:val="15"/>
        <w:spacing w:after="0" w:line="360" w:lineRule="auto"/>
        <w:ind w:left="0" w:leftChars="0" w:firstLine="480" w:firstLineChars="200"/>
        <w:rPr>
          <w:rFonts w:ascii="仿宋" w:hAnsi="仿宋" w:eastAsia="仿宋" w:cs="仿宋"/>
          <w:bCs/>
          <w:sz w:val="24"/>
          <w:highlight w:val="none"/>
        </w:rPr>
      </w:pPr>
      <w:bookmarkStart w:id="141" w:name="_Toc217446083"/>
      <w:r>
        <w:rPr>
          <w:rFonts w:hint="eastAsia" w:ascii="仿宋" w:hAnsi="仿宋" w:eastAsia="仿宋" w:cs="仿宋"/>
          <w:bCs/>
          <w:sz w:val="24"/>
          <w:highlight w:val="none"/>
        </w:rPr>
        <w:t>__________（采购人）：</w:t>
      </w:r>
    </w:p>
    <w:p w14:paraId="29F78544">
      <w:pPr>
        <w:pStyle w:val="15"/>
        <w:spacing w:after="0" w:line="360" w:lineRule="auto"/>
        <w:ind w:left="0" w:leftChars="0" w:firstLine="480" w:firstLineChars="200"/>
        <w:rPr>
          <w:rFonts w:ascii="仿宋" w:hAnsi="仿宋" w:eastAsia="仿宋" w:cs="仿宋"/>
          <w:bCs/>
          <w:sz w:val="24"/>
          <w:highlight w:val="none"/>
        </w:rPr>
      </w:pPr>
      <w:r>
        <w:rPr>
          <w:rFonts w:hint="eastAsia" w:ascii="仿宋" w:hAnsi="仿宋" w:eastAsia="仿宋" w:cs="仿宋"/>
          <w:bCs/>
          <w:sz w:val="24"/>
          <w:highlight w:val="none"/>
        </w:rPr>
        <w:t>我方全面研究了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（项目名称、项目编号）”项目招标文件，决定参加贵单位组织的本项目投标。我方授权</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（姓名、职务）代表我方</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（投标人的名称）全权处理本项目投标的有关事宜。</w:t>
      </w:r>
    </w:p>
    <w:p w14:paraId="45FE7F76">
      <w:pPr>
        <w:pStyle w:val="15"/>
        <w:spacing w:after="0" w:line="360" w:lineRule="auto"/>
        <w:ind w:left="0" w:leftChars="0" w:firstLine="480" w:firstLineChars="200"/>
        <w:rPr>
          <w:rFonts w:ascii="仿宋" w:hAnsi="仿宋" w:eastAsia="仿宋" w:cs="仿宋"/>
          <w:bCs/>
          <w:sz w:val="24"/>
          <w:highlight w:val="none"/>
        </w:rPr>
      </w:pPr>
      <w:r>
        <w:rPr>
          <w:rFonts w:hint="eastAsia" w:ascii="仿宋" w:hAnsi="仿宋" w:eastAsia="仿宋" w:cs="仿宋"/>
          <w:bCs/>
          <w:sz w:val="24"/>
          <w:highlight w:val="none"/>
        </w:rPr>
        <w:t>1、我方自愿按照招标文件规定的各项要求向采购人提供所需</w:t>
      </w:r>
      <w:r>
        <w:rPr>
          <w:rFonts w:hint="eastAsia" w:ascii="仿宋" w:hAnsi="仿宋" w:eastAsia="仿宋" w:cs="仿宋"/>
          <w:bCs/>
          <w:sz w:val="24"/>
          <w:highlight w:val="none"/>
          <w:lang w:val="en-US" w:eastAsia="zh-CN"/>
        </w:rPr>
        <w:t>服务</w:t>
      </w:r>
      <w:r>
        <w:rPr>
          <w:rFonts w:hint="eastAsia" w:ascii="仿宋" w:hAnsi="仿宋" w:eastAsia="仿宋" w:cs="仿宋"/>
          <w:bCs/>
          <w:sz w:val="24"/>
          <w:highlight w:val="none"/>
        </w:rPr>
        <w:t>，总投标价为人民币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元（大写：</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），投标有效期</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日历天。</w:t>
      </w:r>
    </w:p>
    <w:p w14:paraId="4278B61B">
      <w:pPr>
        <w:pStyle w:val="15"/>
        <w:spacing w:after="0" w:line="360" w:lineRule="auto"/>
        <w:ind w:left="0" w:leftChars="0" w:firstLine="480" w:firstLineChars="200"/>
        <w:rPr>
          <w:rFonts w:ascii="仿宋" w:hAnsi="仿宋" w:eastAsia="仿宋" w:cs="仿宋"/>
          <w:bCs/>
          <w:sz w:val="24"/>
          <w:highlight w:val="none"/>
        </w:rPr>
      </w:pPr>
      <w:r>
        <w:rPr>
          <w:rFonts w:hint="eastAsia" w:ascii="仿宋" w:hAnsi="仿宋" w:eastAsia="仿宋" w:cs="仿宋"/>
          <w:bCs/>
          <w:sz w:val="24"/>
          <w:highlight w:val="none"/>
        </w:rPr>
        <w:t>2、一旦我方成交，我方将严格履行合同规定的责任和义务，合同履约期限：</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，并达到采购人要求。</w:t>
      </w:r>
    </w:p>
    <w:p w14:paraId="2599072E">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3、我方同意按照招标文件的要求，向贵单位缴纳人民币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元（大写：</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）的投标保证金，并承诺如发生符合“第二章投标人须知”第15.5条的任何情况时，我方将不要求退还投标保证金。</w:t>
      </w:r>
    </w:p>
    <w:p w14:paraId="2341862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4、我方承诺我方中标后将提供符合招标文件要求的检验检测报告。</w:t>
      </w:r>
    </w:p>
    <w:p w14:paraId="0CE30C54">
      <w:pPr>
        <w:pStyle w:val="15"/>
        <w:spacing w:after="0" w:line="360" w:lineRule="auto"/>
        <w:ind w:left="0" w:leftChars="0" w:firstLine="480" w:firstLineChars="200"/>
        <w:rPr>
          <w:rFonts w:ascii="仿宋" w:hAnsi="仿宋" w:eastAsia="仿宋" w:cs="仿宋"/>
          <w:bCs/>
          <w:sz w:val="24"/>
          <w:highlight w:val="none"/>
        </w:rPr>
      </w:pPr>
      <w:r>
        <w:rPr>
          <w:rFonts w:hint="eastAsia" w:ascii="仿宋" w:hAnsi="仿宋" w:eastAsia="仿宋" w:cs="仿宋"/>
          <w:bCs/>
          <w:sz w:val="24"/>
          <w:highlight w:val="none"/>
        </w:rPr>
        <w:t>5、我方提交的投标文件满足招标文件实质性要求。</w:t>
      </w:r>
    </w:p>
    <w:p w14:paraId="49675740">
      <w:pPr>
        <w:pStyle w:val="15"/>
        <w:spacing w:after="0" w:line="360" w:lineRule="auto"/>
        <w:ind w:left="0" w:leftChars="0" w:firstLine="480" w:firstLineChars="200"/>
        <w:rPr>
          <w:rFonts w:ascii="仿宋" w:hAnsi="仿宋" w:eastAsia="仿宋" w:cs="仿宋"/>
          <w:bCs/>
          <w:sz w:val="24"/>
          <w:highlight w:val="none"/>
        </w:rPr>
      </w:pPr>
      <w:r>
        <w:rPr>
          <w:rFonts w:hint="eastAsia" w:ascii="仿宋" w:hAnsi="仿宋" w:eastAsia="仿宋" w:cs="仿宋"/>
          <w:bCs/>
          <w:sz w:val="24"/>
          <w:highlight w:val="none"/>
        </w:rPr>
        <w:t>6、我方愿意提供采购人可能另外要求的，与投标有关的文件资料，并保证我方已提供和将要提供的文件资料是真实、准确的。</w:t>
      </w:r>
    </w:p>
    <w:p w14:paraId="451B749A">
      <w:pPr>
        <w:pStyle w:val="15"/>
        <w:spacing w:after="0" w:line="360" w:lineRule="auto"/>
        <w:ind w:left="0" w:leftChars="0" w:firstLine="480" w:firstLineChars="200"/>
        <w:rPr>
          <w:rFonts w:ascii="仿宋" w:hAnsi="仿宋" w:eastAsia="仿宋" w:cs="仿宋"/>
          <w:bCs/>
          <w:sz w:val="24"/>
          <w:highlight w:val="none"/>
        </w:rPr>
      </w:pPr>
      <w:r>
        <w:rPr>
          <w:rFonts w:hint="eastAsia" w:ascii="仿宋" w:hAnsi="仿宋" w:eastAsia="仿宋" w:cs="仿宋"/>
          <w:bCs/>
          <w:sz w:val="24"/>
          <w:highlight w:val="none"/>
        </w:rPr>
        <w:t>7、我方完全理解采购人不一定将合同授予最低报价的投标人。</w:t>
      </w:r>
    </w:p>
    <w:p w14:paraId="7CC91E42">
      <w:pPr>
        <w:pStyle w:val="15"/>
        <w:spacing w:after="0" w:line="360" w:lineRule="auto"/>
        <w:ind w:left="0" w:leftChars="0" w:firstLine="480" w:firstLineChars="200"/>
        <w:jc w:val="center"/>
        <w:rPr>
          <w:rFonts w:ascii="仿宋" w:hAnsi="仿宋" w:eastAsia="仿宋" w:cs="仿宋"/>
          <w:bCs/>
          <w:sz w:val="24"/>
          <w:highlight w:val="none"/>
        </w:rPr>
      </w:pPr>
    </w:p>
    <w:p w14:paraId="1085E53F">
      <w:pPr>
        <w:pStyle w:val="15"/>
        <w:spacing w:after="0" w:line="360" w:lineRule="auto"/>
        <w:ind w:firstLine="3360" w:firstLineChars="1400"/>
        <w:rPr>
          <w:rFonts w:ascii="仿宋" w:hAnsi="仿宋" w:eastAsia="仿宋" w:cs="仿宋"/>
          <w:bCs/>
          <w:sz w:val="24"/>
          <w:highlight w:val="none"/>
        </w:rPr>
      </w:pPr>
      <w:r>
        <w:rPr>
          <w:rFonts w:hint="eastAsia" w:ascii="仿宋" w:hAnsi="仿宋" w:eastAsia="仿宋" w:cs="仿宋"/>
          <w:bCs/>
          <w:sz w:val="24"/>
          <w:highlight w:val="none"/>
        </w:rPr>
        <w:t>投标人名称（盖章）：</w:t>
      </w:r>
    </w:p>
    <w:p w14:paraId="5B7673A9">
      <w:pPr>
        <w:pStyle w:val="15"/>
        <w:spacing w:after="0" w:line="360" w:lineRule="auto"/>
        <w:ind w:left="0" w:leftChars="0" w:firstLine="480" w:firstLineChars="200"/>
        <w:jc w:val="center"/>
        <w:rPr>
          <w:rFonts w:ascii="仿宋" w:hAnsi="仿宋" w:eastAsia="仿宋" w:cs="仿宋"/>
          <w:bCs/>
          <w:sz w:val="24"/>
          <w:highlight w:val="none"/>
        </w:rPr>
      </w:pPr>
      <w:r>
        <w:rPr>
          <w:rFonts w:hint="eastAsia" w:ascii="仿宋" w:hAnsi="仿宋" w:eastAsia="仿宋" w:cs="仿宋"/>
          <w:bCs/>
          <w:sz w:val="24"/>
          <w:highlight w:val="none"/>
        </w:rPr>
        <w:t xml:space="preserve">          法定代表人或被授权人</w:t>
      </w:r>
      <w:r>
        <w:rPr>
          <w:rFonts w:hint="eastAsia" w:ascii="仿宋" w:hAnsi="仿宋" w:eastAsia="仿宋" w:cs="仿宋"/>
          <w:sz w:val="24"/>
          <w:highlight w:val="none"/>
        </w:rPr>
        <w:t>（签字或盖章）</w:t>
      </w:r>
      <w:r>
        <w:rPr>
          <w:rFonts w:hint="eastAsia" w:ascii="仿宋" w:hAnsi="仿宋" w:eastAsia="仿宋" w:cs="仿宋"/>
          <w:bCs/>
          <w:sz w:val="24"/>
          <w:highlight w:val="none"/>
        </w:rPr>
        <w:t>：</w:t>
      </w:r>
    </w:p>
    <w:p w14:paraId="47A3D387">
      <w:pPr>
        <w:pStyle w:val="15"/>
        <w:spacing w:after="0" w:line="360" w:lineRule="auto"/>
        <w:ind w:firstLine="3360" w:firstLineChars="1400"/>
        <w:rPr>
          <w:rFonts w:ascii="仿宋" w:hAnsi="仿宋" w:eastAsia="仿宋" w:cs="仿宋"/>
          <w:bCs/>
          <w:sz w:val="24"/>
          <w:highlight w:val="none"/>
        </w:rPr>
      </w:pPr>
      <w:r>
        <w:rPr>
          <w:rFonts w:hint="eastAsia" w:ascii="仿宋" w:hAnsi="仿宋" w:eastAsia="仿宋" w:cs="仿宋"/>
          <w:bCs/>
          <w:sz w:val="24"/>
          <w:highlight w:val="none"/>
        </w:rPr>
        <w:t>通讯地址：</w:t>
      </w:r>
    </w:p>
    <w:p w14:paraId="0E729903">
      <w:pPr>
        <w:pStyle w:val="15"/>
        <w:spacing w:after="0" w:line="360" w:lineRule="auto"/>
        <w:ind w:firstLine="3360" w:firstLineChars="1400"/>
        <w:rPr>
          <w:rFonts w:ascii="仿宋" w:hAnsi="仿宋" w:eastAsia="仿宋" w:cs="仿宋"/>
          <w:bCs/>
          <w:sz w:val="24"/>
          <w:highlight w:val="none"/>
        </w:rPr>
      </w:pPr>
      <w:r>
        <w:rPr>
          <w:rFonts w:hint="eastAsia" w:ascii="仿宋" w:hAnsi="仿宋" w:eastAsia="仿宋" w:cs="仿宋"/>
          <w:bCs/>
          <w:sz w:val="24"/>
          <w:highlight w:val="none"/>
        </w:rPr>
        <w:t>联系电话：</w:t>
      </w:r>
    </w:p>
    <w:p w14:paraId="1CDD14B6">
      <w:pPr>
        <w:pStyle w:val="15"/>
        <w:spacing w:after="0" w:line="360" w:lineRule="auto"/>
        <w:ind w:firstLine="3360" w:firstLineChars="1400"/>
        <w:rPr>
          <w:rFonts w:ascii="仿宋" w:hAnsi="仿宋" w:eastAsia="仿宋" w:cs="仿宋"/>
          <w:bCs/>
          <w:sz w:val="24"/>
          <w:highlight w:val="none"/>
        </w:rPr>
      </w:pPr>
      <w:r>
        <w:rPr>
          <w:rFonts w:hint="eastAsia" w:ascii="仿宋" w:hAnsi="仿宋" w:eastAsia="仿宋" w:cs="仿宋"/>
          <w:bCs/>
          <w:sz w:val="24"/>
          <w:highlight w:val="none"/>
        </w:rPr>
        <w:t>日    期：</w:t>
      </w:r>
    </w:p>
    <w:p w14:paraId="211F706A">
      <w:pPr>
        <w:pStyle w:val="46"/>
        <w:ind w:firstLine="3360" w:firstLineChars="1400"/>
        <w:rPr>
          <w:rFonts w:ascii="仿宋" w:hAnsi="仿宋" w:cs="仿宋"/>
          <w:bCs/>
          <w:highlight w:val="none"/>
        </w:rPr>
      </w:pPr>
    </w:p>
    <w:p w14:paraId="1FA55B5A">
      <w:pPr>
        <w:pStyle w:val="46"/>
        <w:ind w:firstLine="3360" w:firstLineChars="1400"/>
        <w:rPr>
          <w:rFonts w:ascii="仿宋" w:hAnsi="仿宋" w:cs="仿宋"/>
          <w:bCs/>
          <w:highlight w:val="none"/>
        </w:rPr>
      </w:pPr>
    </w:p>
    <w:p w14:paraId="712954C4">
      <w:pPr>
        <w:pStyle w:val="46"/>
        <w:ind w:firstLine="3360" w:firstLineChars="1400"/>
        <w:rPr>
          <w:rFonts w:ascii="仿宋" w:hAnsi="仿宋" w:cs="仿宋"/>
          <w:bCs/>
          <w:highlight w:val="none"/>
        </w:rPr>
      </w:pPr>
    </w:p>
    <w:p w14:paraId="2F51F427">
      <w:pPr>
        <w:pStyle w:val="46"/>
        <w:ind w:firstLine="3360" w:firstLineChars="1400"/>
        <w:rPr>
          <w:rFonts w:ascii="仿宋" w:hAnsi="仿宋" w:cs="仿宋"/>
          <w:bCs/>
          <w:highlight w:val="none"/>
        </w:rPr>
      </w:pPr>
    </w:p>
    <w:p w14:paraId="24352C9E">
      <w:pPr>
        <w:pStyle w:val="46"/>
        <w:ind w:firstLine="3360" w:firstLineChars="1400"/>
        <w:rPr>
          <w:rFonts w:ascii="仿宋" w:hAnsi="仿宋" w:cs="仿宋"/>
          <w:bCs/>
          <w:highlight w:val="none"/>
        </w:rPr>
      </w:pPr>
    </w:p>
    <w:p w14:paraId="2850BAF5">
      <w:pPr>
        <w:rPr>
          <w:rFonts w:ascii="仿宋" w:hAnsi="仿宋" w:eastAsia="仿宋" w:cs="仿宋"/>
          <w:sz w:val="24"/>
          <w:highlight w:val="none"/>
        </w:rPr>
      </w:pPr>
      <w:r>
        <w:rPr>
          <w:rFonts w:hint="eastAsia" w:ascii="仿宋" w:hAnsi="仿宋" w:eastAsia="仿宋" w:cs="仿宋"/>
          <w:sz w:val="24"/>
          <w:highlight w:val="none"/>
        </w:rPr>
        <w:br w:type="page"/>
      </w:r>
    </w:p>
    <w:p w14:paraId="5E076BE8">
      <w:pPr>
        <w:pStyle w:val="3"/>
        <w:numPr>
          <w:ilvl w:val="0"/>
          <w:numId w:val="4"/>
        </w:numPr>
        <w:spacing w:before="156" w:after="156"/>
        <w:ind w:firstLine="482" w:firstLineChars="200"/>
        <w:rPr>
          <w:rFonts w:ascii="仿宋" w:hAnsi="仿宋" w:eastAsia="仿宋" w:cs="仿宋"/>
          <w:sz w:val="24"/>
          <w:szCs w:val="24"/>
          <w:highlight w:val="none"/>
        </w:rPr>
      </w:pPr>
      <w:r>
        <w:rPr>
          <w:rFonts w:hint="eastAsia" w:ascii="仿宋" w:hAnsi="仿宋" w:eastAsia="仿宋" w:cs="仿宋"/>
          <w:sz w:val="24"/>
          <w:szCs w:val="24"/>
          <w:highlight w:val="none"/>
        </w:rPr>
        <w:t>身份证明书及授权委托书</w:t>
      </w:r>
    </w:p>
    <w:p w14:paraId="01C683C6">
      <w:pPr>
        <w:spacing w:line="360" w:lineRule="auto"/>
        <w:ind w:firstLine="482" w:firstLineChars="200"/>
        <w:jc w:val="center"/>
        <w:rPr>
          <w:rFonts w:ascii="仿宋" w:hAnsi="仿宋" w:eastAsia="仿宋" w:cs="仿宋"/>
          <w:b/>
          <w:bCs/>
          <w:sz w:val="24"/>
          <w:highlight w:val="none"/>
        </w:rPr>
      </w:pPr>
    </w:p>
    <w:p w14:paraId="58D665B6">
      <w:pPr>
        <w:spacing w:line="360" w:lineRule="auto"/>
        <w:ind w:firstLine="482" w:firstLineChars="200"/>
        <w:jc w:val="center"/>
        <w:rPr>
          <w:rFonts w:ascii="仿宋" w:hAnsi="仿宋" w:eastAsia="仿宋" w:cs="仿宋"/>
          <w:b/>
          <w:bCs/>
          <w:sz w:val="24"/>
          <w:highlight w:val="none"/>
        </w:rPr>
      </w:pPr>
      <w:r>
        <w:rPr>
          <w:rFonts w:hint="eastAsia" w:ascii="仿宋" w:hAnsi="仿宋" w:eastAsia="仿宋" w:cs="仿宋"/>
          <w:b/>
          <w:bCs/>
          <w:sz w:val="24"/>
          <w:highlight w:val="none"/>
        </w:rPr>
        <w:t>身份证明书</w:t>
      </w:r>
    </w:p>
    <w:p w14:paraId="1AF81C0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单位名称：</w:t>
      </w:r>
      <w:r>
        <w:rPr>
          <w:rFonts w:hint="eastAsia" w:ascii="仿宋" w:hAnsi="仿宋" w:eastAsia="仿宋" w:cs="仿宋"/>
          <w:sz w:val="24"/>
          <w:highlight w:val="none"/>
          <w:u w:val="single"/>
        </w:rPr>
        <w:t xml:space="preserve">                               。</w:t>
      </w:r>
    </w:p>
    <w:p w14:paraId="5A10191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u w:val="single"/>
        </w:rPr>
        <w:t xml:space="preserve">                               。</w:t>
      </w:r>
    </w:p>
    <w:p w14:paraId="332BBD46">
      <w:pPr>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职务：</w:t>
      </w:r>
      <w:r>
        <w:rPr>
          <w:rFonts w:hint="eastAsia" w:ascii="仿宋" w:hAnsi="仿宋" w:eastAsia="仿宋" w:cs="仿宋"/>
          <w:sz w:val="24"/>
          <w:highlight w:val="none"/>
          <w:u w:val="single"/>
        </w:rPr>
        <w:t xml:space="preserve">       。 </w:t>
      </w:r>
    </w:p>
    <w:p w14:paraId="7AEA3BB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身份证号码：</w:t>
      </w:r>
      <w:r>
        <w:rPr>
          <w:rFonts w:hint="eastAsia" w:ascii="仿宋" w:hAnsi="仿宋" w:eastAsia="仿宋" w:cs="仿宋"/>
          <w:sz w:val="24"/>
          <w:highlight w:val="none"/>
          <w:u w:val="single"/>
        </w:rPr>
        <w:t xml:space="preserve">                             。 </w:t>
      </w:r>
    </w:p>
    <w:p w14:paraId="552164D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的法定代表人，为参加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（项目名称）的投标、签署上述投标文件、进行合同谈判、签署合同和处理与之有关的一切事务权利的投标人。 </w:t>
      </w:r>
    </w:p>
    <w:p w14:paraId="4A43B3B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特此证明。</w:t>
      </w:r>
    </w:p>
    <w:p w14:paraId="12F1665D">
      <w:pPr>
        <w:spacing w:line="360" w:lineRule="auto"/>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w:t>
      </w:r>
    </w:p>
    <w:p w14:paraId="3DAD7677">
      <w:pPr>
        <w:spacing w:line="360" w:lineRule="auto"/>
        <w:ind w:firstLine="482" w:firstLineChars="200"/>
        <w:rPr>
          <w:rFonts w:ascii="仿宋" w:hAnsi="仿宋" w:eastAsia="仿宋" w:cs="仿宋"/>
          <w:b/>
          <w:bCs/>
          <w:kern w:val="0"/>
          <w:sz w:val="24"/>
          <w:highlight w:val="none"/>
        </w:rPr>
      </w:pPr>
      <w:r>
        <w:rPr>
          <w:rFonts w:hint="eastAsia" w:ascii="仿宋" w:hAnsi="仿宋" w:eastAsia="仿宋" w:cs="仿宋"/>
          <w:b/>
          <w:bCs/>
          <w:sz w:val="24"/>
          <w:highlight w:val="none"/>
        </w:rPr>
        <w:t>附：法定代表人身份证正反面扫描件。</w:t>
      </w:r>
    </w:p>
    <w:p w14:paraId="2B7E22B4">
      <w:pPr>
        <w:spacing w:line="360" w:lineRule="auto"/>
        <w:ind w:firstLine="480" w:firstLineChars="200"/>
        <w:jc w:val="center"/>
        <w:rPr>
          <w:rFonts w:ascii="仿宋" w:hAnsi="仿宋" w:eastAsia="仿宋" w:cs="仿宋"/>
          <w:sz w:val="24"/>
          <w:highlight w:val="none"/>
        </w:rPr>
      </w:pPr>
    </w:p>
    <w:p w14:paraId="0F07E1F7">
      <w:pPr>
        <w:spacing w:line="360" w:lineRule="auto"/>
        <w:ind w:firstLine="480" w:firstLineChars="200"/>
        <w:jc w:val="center"/>
        <w:rPr>
          <w:rFonts w:ascii="仿宋" w:hAnsi="仿宋" w:eastAsia="仿宋" w:cs="仿宋"/>
          <w:sz w:val="24"/>
          <w:highlight w:val="none"/>
        </w:rPr>
      </w:pPr>
    </w:p>
    <w:p w14:paraId="5F9F4D65">
      <w:pPr>
        <w:spacing w:line="360" w:lineRule="auto"/>
        <w:ind w:firstLine="480" w:firstLineChars="200"/>
        <w:jc w:val="center"/>
        <w:rPr>
          <w:rFonts w:ascii="仿宋" w:hAnsi="仿宋" w:eastAsia="仿宋" w:cs="仿宋"/>
          <w:sz w:val="24"/>
          <w:highlight w:val="none"/>
        </w:rPr>
      </w:pPr>
    </w:p>
    <w:p w14:paraId="3149C9FD">
      <w:pPr>
        <w:spacing w:line="360" w:lineRule="auto"/>
        <w:ind w:firstLine="480" w:firstLineChars="200"/>
        <w:jc w:val="center"/>
        <w:rPr>
          <w:rFonts w:ascii="仿宋" w:hAnsi="仿宋" w:eastAsia="仿宋" w:cs="仿宋"/>
          <w:sz w:val="24"/>
          <w:highlight w:val="none"/>
        </w:rPr>
      </w:pPr>
      <w:r>
        <w:rPr>
          <w:rFonts w:hint="eastAsia" w:ascii="仿宋" w:hAnsi="仿宋" w:eastAsia="仿宋" w:cs="仿宋"/>
          <w:bCs/>
          <w:sz w:val="24"/>
          <w:highlight w:val="none"/>
        </w:rPr>
        <w:t xml:space="preserve">                       投标人名称（盖章）：</w:t>
      </w:r>
      <w:r>
        <w:rPr>
          <w:rFonts w:hint="eastAsia" w:ascii="仿宋" w:hAnsi="仿宋" w:eastAsia="仿宋" w:cs="仿宋"/>
          <w:sz w:val="24"/>
          <w:highlight w:val="none"/>
          <w:u w:val="single"/>
        </w:rPr>
        <w:t xml:space="preserve">                  </w:t>
      </w:r>
    </w:p>
    <w:p w14:paraId="573707BA">
      <w:pPr>
        <w:spacing w:line="360" w:lineRule="auto"/>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日   期：  </w:t>
      </w:r>
      <w:r>
        <w:rPr>
          <w:rFonts w:hint="eastAsia" w:ascii="仿宋" w:hAnsi="仿宋" w:eastAsia="仿宋" w:cs="仿宋"/>
          <w:bCs/>
          <w:sz w:val="24"/>
          <w:highlight w:val="none"/>
        </w:rPr>
        <w:t>年   月   日</w:t>
      </w:r>
    </w:p>
    <w:p w14:paraId="2A0EDC4C">
      <w:pPr>
        <w:snapToGrid w:val="0"/>
        <w:spacing w:line="360" w:lineRule="auto"/>
        <w:ind w:firstLine="482" w:firstLineChars="200"/>
        <w:jc w:val="center"/>
        <w:rPr>
          <w:rFonts w:ascii="仿宋" w:hAnsi="仿宋" w:eastAsia="仿宋" w:cs="仿宋"/>
          <w:b/>
          <w:bCs/>
          <w:sz w:val="24"/>
          <w:highlight w:val="none"/>
        </w:rPr>
      </w:pPr>
    </w:p>
    <w:p w14:paraId="17F8DDFD">
      <w:pPr>
        <w:pStyle w:val="11"/>
        <w:spacing w:line="360" w:lineRule="auto"/>
        <w:rPr>
          <w:rFonts w:ascii="仿宋" w:hAnsi="仿宋" w:eastAsia="仿宋" w:cs="仿宋"/>
          <w:b/>
          <w:bCs/>
          <w:sz w:val="24"/>
          <w:highlight w:val="none"/>
        </w:rPr>
      </w:pPr>
    </w:p>
    <w:p w14:paraId="7F72E286">
      <w:pPr>
        <w:spacing w:line="360" w:lineRule="auto"/>
        <w:ind w:firstLine="482" w:firstLineChars="200"/>
        <w:jc w:val="center"/>
        <w:rPr>
          <w:rFonts w:ascii="仿宋" w:hAnsi="仿宋" w:eastAsia="仿宋" w:cs="仿宋"/>
          <w:b/>
          <w:bCs/>
          <w:sz w:val="24"/>
          <w:highlight w:val="none"/>
        </w:rPr>
      </w:pPr>
    </w:p>
    <w:p w14:paraId="2B5E56D7">
      <w:pPr>
        <w:spacing w:line="500" w:lineRule="exact"/>
        <w:ind w:firstLine="482" w:firstLineChars="200"/>
        <w:jc w:val="center"/>
        <w:rPr>
          <w:rFonts w:hint="eastAsia"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4"/>
          <w:highlight w:val="none"/>
        </w:rPr>
        <w:t>授权委托书</w:t>
      </w:r>
    </w:p>
    <w:p w14:paraId="531DD4E3">
      <w:pPr>
        <w:pStyle w:val="30"/>
        <w:spacing w:line="500" w:lineRule="exact"/>
        <w:ind w:firstLine="480" w:firstLineChars="200"/>
        <w:rPr>
          <w:rFonts w:hint="eastAsia" w:ascii="仿宋" w:hAnsi="仿宋" w:eastAsia="仿宋" w:cs="仿宋"/>
          <w:sz w:val="24"/>
          <w:szCs w:val="24"/>
          <w:highlight w:val="none"/>
        </w:rPr>
      </w:pPr>
    </w:p>
    <w:p w14:paraId="584A8F9E">
      <w:pPr>
        <w:spacing w:line="500" w:lineRule="exact"/>
        <w:rPr>
          <w:rFonts w:hint="eastAsia" w:ascii="仿宋" w:hAnsi="仿宋" w:eastAsia="仿宋" w:cs="仿宋"/>
          <w:sz w:val="24"/>
          <w:highlight w:val="none"/>
        </w:rPr>
      </w:pPr>
      <w:r>
        <w:rPr>
          <w:rFonts w:hint="eastAsia" w:ascii="仿宋" w:hAnsi="仿宋" w:eastAsia="仿宋" w:cs="仿宋"/>
          <w:sz w:val="24"/>
          <w:highlight w:val="none"/>
        </w:rPr>
        <w:t>__________________（</w:t>
      </w:r>
      <w:r>
        <w:rPr>
          <w:rFonts w:hint="eastAsia" w:ascii="仿宋" w:hAnsi="仿宋" w:eastAsia="仿宋" w:cs="仿宋"/>
          <w:bCs/>
          <w:sz w:val="24"/>
          <w:highlight w:val="none"/>
        </w:rPr>
        <w:t>采购人</w:t>
      </w:r>
      <w:r>
        <w:rPr>
          <w:rFonts w:hint="eastAsia" w:ascii="仿宋" w:hAnsi="仿宋" w:eastAsia="仿宋" w:cs="仿宋"/>
          <w:sz w:val="24"/>
          <w:highlight w:val="none"/>
        </w:rPr>
        <w:t>）：</w:t>
      </w:r>
    </w:p>
    <w:p w14:paraId="3E65045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本授权声明：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（投标人名称）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（法定代表人姓名、职务）授权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（被授权人姓名、职务）为我方 “ </w:t>
      </w:r>
      <w:r>
        <w:rPr>
          <w:rFonts w:hint="eastAsia" w:ascii="仿宋" w:hAnsi="仿宋" w:eastAsia="仿宋" w:cs="仿宋"/>
          <w:sz w:val="24"/>
          <w:highlight w:val="none"/>
          <w:u w:val="single"/>
        </w:rPr>
        <w:t xml:space="preserve">             </w:t>
      </w:r>
      <w:r>
        <w:rPr>
          <w:rFonts w:hint="eastAsia" w:ascii="仿宋" w:hAnsi="仿宋" w:eastAsia="仿宋" w:cs="仿宋"/>
          <w:bCs/>
          <w:sz w:val="24"/>
          <w:highlight w:val="none"/>
        </w:rPr>
        <w:t>（项目名称、项目编号）</w:t>
      </w:r>
      <w:r>
        <w:rPr>
          <w:rFonts w:hint="eastAsia" w:ascii="仿宋" w:hAnsi="仿宋" w:eastAsia="仿宋" w:cs="仿宋"/>
          <w:sz w:val="24"/>
          <w:highlight w:val="none"/>
        </w:rPr>
        <w:t>” 项目投标活动的合法代表，以我方名义全权处理该项目有关投标、签订合同以及执行合同等一切事宜。</w:t>
      </w:r>
    </w:p>
    <w:p w14:paraId="465D9310">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bCs/>
          <w:sz w:val="24"/>
          <w:highlight w:val="none"/>
        </w:rPr>
        <w:t>被授权人</w:t>
      </w:r>
      <w:r>
        <w:rPr>
          <w:rFonts w:hint="eastAsia" w:ascii="仿宋" w:hAnsi="仿宋" w:eastAsia="仿宋" w:cs="仿宋"/>
          <w:sz w:val="24"/>
          <w:highlight w:val="none"/>
        </w:rPr>
        <w:t>无权转让本授权，特此声明。</w:t>
      </w:r>
    </w:p>
    <w:p w14:paraId="04FFB62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附：法定代表人及被授权人身份证正反面扫描件</w:t>
      </w:r>
    </w:p>
    <w:p w14:paraId="681E0511">
      <w:pPr>
        <w:pStyle w:val="30"/>
        <w:spacing w:line="500" w:lineRule="exact"/>
        <w:ind w:firstLine="480" w:firstLineChars="200"/>
        <w:rPr>
          <w:rFonts w:hint="eastAsia" w:ascii="仿宋" w:hAnsi="仿宋" w:eastAsia="仿宋" w:cs="仿宋"/>
          <w:sz w:val="24"/>
          <w:szCs w:val="24"/>
          <w:highlight w:val="none"/>
        </w:rPr>
      </w:pPr>
    </w:p>
    <w:p w14:paraId="0860C43A">
      <w:pPr>
        <w:spacing w:line="500" w:lineRule="exact"/>
        <w:ind w:firstLine="480" w:firstLineChars="200"/>
        <w:rPr>
          <w:rFonts w:hint="eastAsia" w:ascii="仿宋" w:hAnsi="仿宋" w:eastAsia="仿宋" w:cs="仿宋"/>
          <w:sz w:val="24"/>
          <w:highlight w:val="none"/>
        </w:rPr>
      </w:pPr>
    </w:p>
    <w:p w14:paraId="4F2EF495">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投标人名称（盖章）：</w:t>
      </w:r>
    </w:p>
    <w:p w14:paraId="31BC550D">
      <w:pPr>
        <w:pStyle w:val="15"/>
        <w:spacing w:after="0" w:line="360" w:lineRule="auto"/>
        <w:ind w:left="0" w:leftChars="0" w:firstLine="480" w:firstLineChars="20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w:t>
      </w:r>
      <w:r>
        <w:rPr>
          <w:rFonts w:hint="eastAsia" w:ascii="仿宋" w:hAnsi="仿宋" w:eastAsia="仿宋" w:cs="仿宋"/>
          <w:color w:val="auto"/>
          <w:sz w:val="24"/>
          <w:highlight w:val="none"/>
        </w:rPr>
        <w:t>（签字或盖章）</w:t>
      </w:r>
      <w:r>
        <w:rPr>
          <w:rFonts w:hint="eastAsia" w:ascii="仿宋" w:hAnsi="仿宋" w:eastAsia="仿宋" w:cs="仿宋"/>
          <w:bCs/>
          <w:color w:val="auto"/>
          <w:sz w:val="24"/>
          <w:highlight w:val="none"/>
        </w:rPr>
        <w:t>：</w:t>
      </w:r>
    </w:p>
    <w:p w14:paraId="09A3CEB9">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通讯地址：</w:t>
      </w:r>
    </w:p>
    <w:p w14:paraId="2DBF8396">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联系电话：</w:t>
      </w:r>
    </w:p>
    <w:p w14:paraId="3AAAA171">
      <w:pPr>
        <w:spacing w:line="500" w:lineRule="exact"/>
        <w:ind w:firstLine="4080" w:firstLineChars="1700"/>
        <w:jc w:val="both"/>
        <w:rPr>
          <w:rFonts w:ascii="仿宋" w:hAnsi="仿宋" w:eastAsia="仿宋" w:cs="仿宋"/>
          <w:sz w:val="24"/>
          <w:highlight w:val="none"/>
        </w:rPr>
      </w:pPr>
      <w:r>
        <w:rPr>
          <w:rFonts w:hint="eastAsia" w:ascii="仿宋" w:hAnsi="仿宋" w:eastAsia="仿宋" w:cs="仿宋"/>
          <w:bCs/>
          <w:color w:val="auto"/>
          <w:sz w:val="24"/>
          <w:highlight w:val="none"/>
        </w:rPr>
        <w:t>日    期</w:t>
      </w:r>
      <w:r>
        <w:rPr>
          <w:rFonts w:hint="eastAsia" w:ascii="仿宋" w:hAnsi="仿宋" w:eastAsia="仿宋" w:cs="仿宋"/>
          <w:sz w:val="24"/>
          <w:highlight w:val="none"/>
          <w:lang w:eastAsia="zh-CN"/>
        </w:rPr>
        <w:t>：</w:t>
      </w:r>
      <w:r>
        <w:rPr>
          <w:rFonts w:hint="eastAsia" w:ascii="仿宋" w:hAnsi="仿宋" w:eastAsia="仿宋" w:cs="仿宋"/>
          <w:b/>
          <w:bCs/>
          <w:sz w:val="24"/>
          <w:highlight w:val="none"/>
        </w:rPr>
        <w:br w:type="page"/>
      </w:r>
    </w:p>
    <w:p w14:paraId="67DEAFBF">
      <w:pPr>
        <w:spacing w:line="360" w:lineRule="auto"/>
        <w:ind w:firstLine="482" w:firstLineChars="200"/>
        <w:jc w:val="center"/>
        <w:outlineLvl w:val="1"/>
        <w:rPr>
          <w:rFonts w:ascii="仿宋" w:hAnsi="仿宋" w:eastAsia="仿宋" w:cs="仿宋"/>
          <w:sz w:val="24"/>
          <w:highlight w:val="none"/>
        </w:rPr>
      </w:pPr>
      <w:bookmarkStart w:id="142" w:name="_Toc217446088"/>
      <w:r>
        <w:rPr>
          <w:rFonts w:hint="eastAsia" w:ascii="仿宋" w:hAnsi="仿宋" w:eastAsia="仿宋" w:cs="仿宋"/>
          <w:b/>
          <w:bCs/>
          <w:sz w:val="24"/>
          <w:highlight w:val="none"/>
        </w:rPr>
        <w:t>三、投标报价明细表</w:t>
      </w:r>
    </w:p>
    <w:p w14:paraId="037A20C0">
      <w:pPr>
        <w:snapToGrid w:val="0"/>
        <w:spacing w:line="360" w:lineRule="auto"/>
        <w:ind w:firstLine="357"/>
        <w:rPr>
          <w:rStyle w:val="42"/>
          <w:rFonts w:ascii="仿宋" w:hAnsi="仿宋" w:eastAsia="仿宋" w:cs="仿宋"/>
          <w:bCs/>
          <w:sz w:val="24"/>
          <w:highlight w:val="none"/>
        </w:rPr>
      </w:pPr>
      <w:r>
        <w:rPr>
          <w:rFonts w:hint="eastAsia" w:ascii="仿宋" w:hAnsi="仿宋" w:eastAsia="仿宋" w:cs="仿宋"/>
          <w:sz w:val="24"/>
          <w:highlight w:val="none"/>
        </w:rPr>
        <w:t>项目名称：</w:t>
      </w:r>
    </w:p>
    <w:p w14:paraId="6F780EA3">
      <w:pPr>
        <w:snapToGrid w:val="0"/>
        <w:spacing w:line="360" w:lineRule="auto"/>
        <w:ind w:firstLine="357"/>
        <w:rPr>
          <w:rFonts w:hint="eastAsia" w:ascii="仿宋" w:hAnsi="仿宋" w:eastAsia="仿宋" w:cs="仿宋"/>
          <w:sz w:val="24"/>
          <w:highlight w:val="none"/>
        </w:rPr>
      </w:pPr>
      <w:r>
        <w:rPr>
          <w:rFonts w:hint="eastAsia" w:ascii="仿宋" w:hAnsi="仿宋" w:eastAsia="仿宋" w:cs="仿宋"/>
          <w:sz w:val="24"/>
          <w:highlight w:val="none"/>
        </w:rPr>
        <w:t>货币单位：人民币元</w:t>
      </w:r>
    </w:p>
    <w:tbl>
      <w:tblPr>
        <w:tblStyle w:val="3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1473"/>
        <w:gridCol w:w="843"/>
        <w:gridCol w:w="842"/>
        <w:gridCol w:w="1716"/>
        <w:gridCol w:w="1715"/>
        <w:gridCol w:w="1058"/>
      </w:tblGrid>
      <w:tr w14:paraId="420B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blHeader/>
          <w:jc w:val="center"/>
        </w:trPr>
        <w:tc>
          <w:tcPr>
            <w:tcW w:w="0" w:type="auto"/>
            <w:vAlign w:val="center"/>
          </w:tcPr>
          <w:p w14:paraId="54F556A1">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序号</w:t>
            </w:r>
          </w:p>
        </w:tc>
        <w:tc>
          <w:tcPr>
            <w:tcW w:w="0" w:type="auto"/>
            <w:vAlign w:val="center"/>
          </w:tcPr>
          <w:p w14:paraId="7B9BADA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服务名称</w:t>
            </w:r>
          </w:p>
        </w:tc>
        <w:tc>
          <w:tcPr>
            <w:tcW w:w="0" w:type="auto"/>
            <w:vAlign w:val="center"/>
          </w:tcPr>
          <w:p w14:paraId="6A30C7D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rPr>
              <w:t>数量</w:t>
            </w:r>
          </w:p>
        </w:tc>
        <w:tc>
          <w:tcPr>
            <w:tcW w:w="0" w:type="auto"/>
            <w:vAlign w:val="center"/>
          </w:tcPr>
          <w:p w14:paraId="4E1DBF8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lang w:eastAsia="zh-CN"/>
              </w:rPr>
            </w:pPr>
            <w:r>
              <w:rPr>
                <w:rFonts w:hint="eastAsia" w:ascii="方正仿宋_GB2312" w:hAnsi="方正仿宋_GB2312" w:eastAsia="方正仿宋_GB2312" w:cs="方正仿宋_GB2312"/>
                <w:b/>
                <w:color w:val="auto"/>
                <w:sz w:val="24"/>
                <w:highlight w:val="none"/>
                <w:lang w:val="en-US" w:eastAsia="zh-CN"/>
              </w:rPr>
              <w:t>单位</w:t>
            </w:r>
          </w:p>
        </w:tc>
        <w:tc>
          <w:tcPr>
            <w:tcW w:w="0" w:type="auto"/>
            <w:vAlign w:val="center"/>
          </w:tcPr>
          <w:p w14:paraId="71D3B1D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rPr>
              <w:t>单价</w:t>
            </w:r>
            <w:r>
              <w:rPr>
                <w:rFonts w:hint="eastAsia" w:ascii="方正仿宋_GB2312" w:hAnsi="方正仿宋_GB2312" w:eastAsia="方正仿宋_GB2312" w:cs="方正仿宋_GB2312"/>
                <w:b/>
                <w:color w:val="auto"/>
                <w:sz w:val="24"/>
                <w:highlight w:val="none"/>
                <w:lang w:eastAsia="zh-CN"/>
              </w:rPr>
              <w:t>（</w:t>
            </w:r>
            <w:r>
              <w:rPr>
                <w:rFonts w:hint="eastAsia" w:ascii="方正仿宋_GB2312" w:hAnsi="方正仿宋_GB2312" w:eastAsia="方正仿宋_GB2312" w:cs="方正仿宋_GB2312"/>
                <w:b/>
                <w:color w:val="auto"/>
                <w:sz w:val="24"/>
                <w:highlight w:val="none"/>
                <w:lang w:val="en-US" w:eastAsia="zh-CN"/>
              </w:rPr>
              <w:t>元</w:t>
            </w:r>
            <w:r>
              <w:rPr>
                <w:rFonts w:hint="eastAsia" w:ascii="方正仿宋_GB2312" w:hAnsi="方正仿宋_GB2312" w:eastAsia="方正仿宋_GB2312" w:cs="方正仿宋_GB2312"/>
                <w:b/>
                <w:color w:val="auto"/>
                <w:sz w:val="24"/>
                <w:highlight w:val="none"/>
                <w:lang w:eastAsia="zh-CN"/>
              </w:rPr>
              <w:t>）</w:t>
            </w:r>
          </w:p>
        </w:tc>
        <w:tc>
          <w:tcPr>
            <w:tcW w:w="0" w:type="auto"/>
            <w:vAlign w:val="center"/>
          </w:tcPr>
          <w:p w14:paraId="1FCB731A">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lang w:val="en-US" w:eastAsia="zh-CN"/>
              </w:rPr>
              <w:t>总价</w:t>
            </w:r>
            <w:r>
              <w:rPr>
                <w:rFonts w:hint="eastAsia" w:ascii="方正仿宋_GB2312" w:hAnsi="方正仿宋_GB2312" w:eastAsia="方正仿宋_GB2312" w:cs="方正仿宋_GB2312"/>
                <w:b/>
                <w:color w:val="auto"/>
                <w:sz w:val="24"/>
                <w:highlight w:val="none"/>
                <w:lang w:eastAsia="zh-CN"/>
              </w:rPr>
              <w:t>（</w:t>
            </w:r>
            <w:r>
              <w:rPr>
                <w:rFonts w:hint="eastAsia" w:ascii="方正仿宋_GB2312" w:hAnsi="方正仿宋_GB2312" w:eastAsia="方正仿宋_GB2312" w:cs="方正仿宋_GB2312"/>
                <w:b/>
                <w:color w:val="auto"/>
                <w:sz w:val="24"/>
                <w:highlight w:val="none"/>
                <w:lang w:val="en-US" w:eastAsia="zh-CN"/>
              </w:rPr>
              <w:t>元</w:t>
            </w:r>
            <w:r>
              <w:rPr>
                <w:rFonts w:hint="eastAsia" w:ascii="方正仿宋_GB2312" w:hAnsi="方正仿宋_GB2312" w:eastAsia="方正仿宋_GB2312" w:cs="方正仿宋_GB2312"/>
                <w:b/>
                <w:color w:val="auto"/>
                <w:sz w:val="24"/>
                <w:highlight w:val="none"/>
                <w:lang w:eastAsia="zh-CN"/>
              </w:rPr>
              <w:t>）</w:t>
            </w:r>
          </w:p>
        </w:tc>
        <w:tc>
          <w:tcPr>
            <w:tcW w:w="876" w:type="dxa"/>
            <w:vAlign w:val="center"/>
          </w:tcPr>
          <w:p w14:paraId="048D8DD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lang w:val="en-US" w:eastAsia="zh-CN"/>
              </w:rPr>
              <w:t>备注</w:t>
            </w:r>
          </w:p>
        </w:tc>
      </w:tr>
      <w:tr w14:paraId="07AE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0" w:type="auto"/>
            <w:vAlign w:val="center"/>
          </w:tcPr>
          <w:p w14:paraId="648F29A8">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w:t>
            </w:r>
          </w:p>
        </w:tc>
        <w:tc>
          <w:tcPr>
            <w:tcW w:w="0" w:type="auto"/>
            <w:vAlign w:val="center"/>
          </w:tcPr>
          <w:p w14:paraId="76730D27">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lang w:val="en-US" w:eastAsia="zh-CN"/>
              </w:rPr>
            </w:pPr>
          </w:p>
        </w:tc>
        <w:tc>
          <w:tcPr>
            <w:tcW w:w="0" w:type="auto"/>
            <w:vAlign w:val="center"/>
          </w:tcPr>
          <w:p w14:paraId="2CC50E35">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highlight w:val="none"/>
              </w:rPr>
            </w:pPr>
          </w:p>
        </w:tc>
        <w:tc>
          <w:tcPr>
            <w:tcW w:w="0" w:type="auto"/>
            <w:vAlign w:val="center"/>
          </w:tcPr>
          <w:p w14:paraId="5FD7F1C5">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060DFA96">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0542CBC5">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c>
          <w:tcPr>
            <w:tcW w:w="876" w:type="dxa"/>
            <w:vAlign w:val="center"/>
          </w:tcPr>
          <w:p w14:paraId="12ABD3C9">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r>
      <w:tr w14:paraId="165A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0" w:type="auto"/>
            <w:vAlign w:val="center"/>
          </w:tcPr>
          <w:p w14:paraId="330F1F80">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w:t>
            </w:r>
          </w:p>
        </w:tc>
        <w:tc>
          <w:tcPr>
            <w:tcW w:w="0" w:type="auto"/>
            <w:vAlign w:val="center"/>
          </w:tcPr>
          <w:p w14:paraId="28D6C0F2">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lang w:val="en-US" w:eastAsia="zh-CN"/>
              </w:rPr>
            </w:pPr>
          </w:p>
        </w:tc>
        <w:tc>
          <w:tcPr>
            <w:tcW w:w="0" w:type="auto"/>
            <w:vAlign w:val="center"/>
          </w:tcPr>
          <w:p w14:paraId="56741846">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highlight w:val="none"/>
              </w:rPr>
            </w:pPr>
          </w:p>
        </w:tc>
        <w:tc>
          <w:tcPr>
            <w:tcW w:w="0" w:type="auto"/>
            <w:vAlign w:val="center"/>
          </w:tcPr>
          <w:p w14:paraId="59B922F9">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59E84A52">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494697FD">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c>
          <w:tcPr>
            <w:tcW w:w="876" w:type="dxa"/>
            <w:vAlign w:val="center"/>
          </w:tcPr>
          <w:p w14:paraId="1D5428F6">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r>
      <w:tr w14:paraId="366C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0" w:type="auto"/>
            <w:vAlign w:val="center"/>
          </w:tcPr>
          <w:p w14:paraId="7FAC87EE">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3</w:t>
            </w:r>
          </w:p>
        </w:tc>
        <w:tc>
          <w:tcPr>
            <w:tcW w:w="0" w:type="auto"/>
            <w:vAlign w:val="center"/>
          </w:tcPr>
          <w:p w14:paraId="1CB23176">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lang w:val="en-US" w:eastAsia="zh-CN"/>
              </w:rPr>
            </w:pPr>
          </w:p>
        </w:tc>
        <w:tc>
          <w:tcPr>
            <w:tcW w:w="0" w:type="auto"/>
            <w:vAlign w:val="center"/>
          </w:tcPr>
          <w:p w14:paraId="6FFFAA3A">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highlight w:val="none"/>
              </w:rPr>
            </w:pPr>
          </w:p>
        </w:tc>
        <w:tc>
          <w:tcPr>
            <w:tcW w:w="0" w:type="auto"/>
            <w:vAlign w:val="center"/>
          </w:tcPr>
          <w:p w14:paraId="330961FC">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5DC973F0">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55935C9B">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c>
          <w:tcPr>
            <w:tcW w:w="876" w:type="dxa"/>
            <w:vAlign w:val="center"/>
          </w:tcPr>
          <w:p w14:paraId="7CD2FCB3">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r>
      <w:tr w14:paraId="1771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0" w:type="auto"/>
            <w:vAlign w:val="center"/>
          </w:tcPr>
          <w:p w14:paraId="0CF885FE">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4</w:t>
            </w:r>
          </w:p>
        </w:tc>
        <w:tc>
          <w:tcPr>
            <w:tcW w:w="0" w:type="auto"/>
            <w:vAlign w:val="center"/>
          </w:tcPr>
          <w:p w14:paraId="125A5D94">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lang w:val="en-US" w:eastAsia="zh-CN"/>
              </w:rPr>
            </w:pPr>
          </w:p>
        </w:tc>
        <w:tc>
          <w:tcPr>
            <w:tcW w:w="0" w:type="auto"/>
            <w:vAlign w:val="center"/>
          </w:tcPr>
          <w:p w14:paraId="04C7B9A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highlight w:val="none"/>
              </w:rPr>
            </w:pPr>
          </w:p>
        </w:tc>
        <w:tc>
          <w:tcPr>
            <w:tcW w:w="0" w:type="auto"/>
            <w:vAlign w:val="center"/>
          </w:tcPr>
          <w:p w14:paraId="01F17327">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24CC04FD">
            <w:pPr>
              <w:pageBreakBefore w:val="0"/>
              <w:wordWrap/>
              <w:overflowPunct/>
              <w:topLinePunct w:val="0"/>
              <w:bidi w:val="0"/>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0" w:type="auto"/>
            <w:vAlign w:val="center"/>
          </w:tcPr>
          <w:p w14:paraId="6D00C0BE">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c>
          <w:tcPr>
            <w:tcW w:w="876" w:type="dxa"/>
            <w:vAlign w:val="center"/>
          </w:tcPr>
          <w:p w14:paraId="6019F1C9">
            <w:pPr>
              <w:pageBreakBefore w:val="0"/>
              <w:wordWrap/>
              <w:overflowPunct/>
              <w:topLinePunct w:val="0"/>
              <w:bidi w:val="0"/>
              <w:snapToGrid w:val="0"/>
              <w:spacing w:line="240" w:lineRule="auto"/>
              <w:ind w:left="0" w:leftChars="0" w:right="0" w:rightChars="0" w:firstLine="0" w:firstLineChars="0"/>
              <w:jc w:val="right"/>
              <w:rPr>
                <w:rFonts w:hint="eastAsia" w:ascii="方正仿宋_GB2312" w:hAnsi="方正仿宋_GB2312" w:eastAsia="方正仿宋_GB2312" w:cs="方正仿宋_GB2312"/>
                <w:color w:val="auto"/>
                <w:sz w:val="28"/>
                <w:szCs w:val="28"/>
                <w:highlight w:val="none"/>
              </w:rPr>
            </w:pPr>
          </w:p>
        </w:tc>
      </w:tr>
      <w:tr w14:paraId="07DC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2345" w:type="dxa"/>
            <w:gridSpan w:val="2"/>
            <w:vAlign w:val="center"/>
          </w:tcPr>
          <w:p w14:paraId="367CA7B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28"/>
                <w:highlight w:val="none"/>
                <w:lang w:val="en-US" w:eastAsia="zh-CN"/>
              </w:rPr>
            </w:pPr>
            <w:r>
              <w:rPr>
                <w:rFonts w:hint="eastAsia" w:ascii="方正仿宋_GB2312" w:hAnsi="方正仿宋_GB2312" w:eastAsia="方正仿宋_GB2312" w:cs="方正仿宋_GB2312"/>
                <w:b/>
                <w:color w:val="auto"/>
                <w:sz w:val="28"/>
                <w:highlight w:val="none"/>
                <w:lang w:val="en-US" w:eastAsia="zh-CN"/>
              </w:rPr>
              <w:t>合计</w:t>
            </w:r>
          </w:p>
        </w:tc>
        <w:tc>
          <w:tcPr>
            <w:tcW w:w="6174" w:type="dxa"/>
            <w:gridSpan w:val="5"/>
            <w:vAlign w:val="center"/>
          </w:tcPr>
          <w:p w14:paraId="150553CE">
            <w:pPr>
              <w:snapToGrid w:val="0"/>
              <w:spacing w:line="240" w:lineRule="auto"/>
              <w:ind w:left="0" w:leftChars="0" w:right="0" w:rightChars="0" w:firstLine="0" w:firstLineChars="0"/>
              <w:jc w:val="both"/>
              <w:rPr>
                <w:rFonts w:hint="eastAsia" w:ascii="方正仿宋_GB2312" w:hAnsi="方正仿宋_GB2312" w:eastAsia="方正仿宋_GB2312" w:cs="方正仿宋_GB2312"/>
                <w:b/>
                <w:color w:val="auto"/>
                <w:sz w:val="24"/>
                <w:szCs w:val="22"/>
                <w:highlight w:val="none"/>
                <w:lang w:val="en-US" w:eastAsia="zh-CN"/>
              </w:rPr>
            </w:pPr>
            <w:r>
              <w:rPr>
                <w:rFonts w:hint="eastAsia" w:ascii="方正仿宋_GB2312" w:hAnsi="方正仿宋_GB2312" w:eastAsia="方正仿宋_GB2312" w:cs="方正仿宋_GB2312"/>
                <w:b/>
                <w:color w:val="auto"/>
                <w:sz w:val="24"/>
                <w:szCs w:val="22"/>
                <w:highlight w:val="none"/>
                <w:lang w:val="en-US" w:eastAsia="zh-CN"/>
              </w:rPr>
              <w:t>小写：     元</w:t>
            </w:r>
          </w:p>
          <w:p w14:paraId="5998ECB7">
            <w:pPr>
              <w:snapToGrid w:val="0"/>
              <w:spacing w:line="240" w:lineRule="auto"/>
              <w:ind w:left="0" w:leftChars="0" w:right="0" w:rightChars="0" w:firstLine="0" w:firstLineChars="0"/>
              <w:jc w:val="both"/>
              <w:rPr>
                <w:rFonts w:hint="eastAsia" w:ascii="方正仿宋_GB2312" w:hAnsi="方正仿宋_GB2312" w:eastAsia="方正仿宋_GB2312" w:cs="方正仿宋_GB2312"/>
                <w:b/>
                <w:color w:val="auto"/>
                <w:sz w:val="28"/>
                <w:highlight w:val="none"/>
                <w:lang w:val="en-US" w:eastAsia="zh-CN"/>
              </w:rPr>
            </w:pPr>
            <w:r>
              <w:rPr>
                <w:rFonts w:hint="eastAsia" w:ascii="方正仿宋_GB2312" w:hAnsi="方正仿宋_GB2312" w:eastAsia="方正仿宋_GB2312" w:cs="方正仿宋_GB2312"/>
                <w:b/>
                <w:color w:val="auto"/>
                <w:sz w:val="24"/>
                <w:szCs w:val="22"/>
                <w:highlight w:val="none"/>
                <w:lang w:val="en-US" w:eastAsia="zh-CN"/>
              </w:rPr>
              <w:t>大写：</w:t>
            </w:r>
          </w:p>
        </w:tc>
      </w:tr>
    </w:tbl>
    <w:p w14:paraId="61AC6C3F">
      <w:pPr>
        <w:spacing w:line="360" w:lineRule="auto"/>
        <w:jc w:val="left"/>
        <w:rPr>
          <w:rFonts w:ascii="仿宋" w:hAnsi="仿宋" w:eastAsia="仿宋" w:cs="仿宋"/>
          <w:sz w:val="24"/>
          <w:highlight w:val="none"/>
        </w:rPr>
      </w:pPr>
      <w:r>
        <w:rPr>
          <w:rFonts w:hint="eastAsia" w:ascii="仿宋" w:hAnsi="仿宋" w:eastAsia="仿宋" w:cs="仿宋"/>
          <w:sz w:val="24"/>
          <w:highlight w:val="none"/>
        </w:rPr>
        <w:t>备注：</w:t>
      </w:r>
    </w:p>
    <w:p w14:paraId="4446C534">
      <w:pPr>
        <w:spacing w:line="360" w:lineRule="auto"/>
        <w:jc w:val="left"/>
        <w:rPr>
          <w:rFonts w:ascii="仿宋" w:hAnsi="仿宋" w:eastAsia="仿宋" w:cs="仿宋"/>
          <w:sz w:val="24"/>
          <w:highlight w:val="none"/>
        </w:rPr>
      </w:pPr>
      <w:r>
        <w:rPr>
          <w:rFonts w:hint="eastAsia" w:ascii="仿宋" w:hAnsi="仿宋" w:eastAsia="仿宋" w:cs="仿宋"/>
          <w:sz w:val="24"/>
          <w:highlight w:val="none"/>
        </w:rPr>
        <w:t>1、投标</w:t>
      </w:r>
      <w:r>
        <w:rPr>
          <w:rFonts w:hint="eastAsia" w:ascii="仿宋" w:hAnsi="仿宋" w:eastAsia="仿宋" w:cs="仿宋"/>
          <w:kern w:val="0"/>
          <w:sz w:val="24"/>
          <w:highlight w:val="none"/>
        </w:rPr>
        <w:t>项目</w:t>
      </w:r>
      <w:r>
        <w:rPr>
          <w:rFonts w:hint="eastAsia" w:ascii="仿宋" w:hAnsi="仿宋" w:eastAsia="仿宋" w:cs="仿宋"/>
          <w:sz w:val="24"/>
          <w:highlight w:val="none"/>
        </w:rPr>
        <w:t>和数量满足本项目招标范围，内容由投标人结合自身情况填写。</w:t>
      </w:r>
    </w:p>
    <w:p w14:paraId="0157A2E1">
      <w:pPr>
        <w:spacing w:line="360" w:lineRule="auto"/>
        <w:jc w:val="left"/>
        <w:rPr>
          <w:rFonts w:ascii="仿宋" w:hAnsi="仿宋" w:eastAsia="仿宋" w:cs="仿宋"/>
          <w:strike/>
          <w:sz w:val="24"/>
          <w:highlight w:val="none"/>
        </w:rPr>
      </w:pPr>
      <w:r>
        <w:rPr>
          <w:rFonts w:hint="eastAsia" w:ascii="仿宋" w:hAnsi="仿宋" w:eastAsia="仿宋" w:cs="仿宋"/>
          <w:sz w:val="24"/>
          <w:highlight w:val="none"/>
        </w:rPr>
        <w:t>2、投标人填报价格总价应与投标函载明价格一致，若不一致，以投标函为准。</w:t>
      </w:r>
    </w:p>
    <w:p w14:paraId="3E576A38">
      <w:pPr>
        <w:spacing w:line="360" w:lineRule="auto"/>
        <w:jc w:val="left"/>
        <w:rPr>
          <w:rFonts w:ascii="仿宋" w:hAnsi="仿宋" w:eastAsia="仿宋" w:cs="仿宋"/>
          <w:sz w:val="24"/>
          <w:highlight w:val="none"/>
        </w:rPr>
      </w:pPr>
      <w:r>
        <w:rPr>
          <w:rFonts w:hint="eastAsia" w:ascii="仿宋" w:hAnsi="仿宋" w:eastAsia="仿宋" w:cs="仿宋"/>
          <w:sz w:val="24"/>
          <w:highlight w:val="none"/>
        </w:rPr>
        <w:t>3、此次报价包括所投项目相关人工费、专利费、税费、备件、交通等所有技术和服务费用。</w:t>
      </w:r>
    </w:p>
    <w:p w14:paraId="07E02D7D">
      <w:pPr>
        <w:spacing w:line="360" w:lineRule="auto"/>
        <w:rPr>
          <w:rFonts w:ascii="仿宋" w:hAnsi="仿宋" w:eastAsia="仿宋" w:cs="仿宋"/>
          <w:sz w:val="24"/>
          <w:highlight w:val="none"/>
        </w:rPr>
      </w:pPr>
    </w:p>
    <w:p w14:paraId="2780689B">
      <w:pPr>
        <w:adjustRightInd w:val="0"/>
        <w:spacing w:line="360" w:lineRule="auto"/>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投标人名称（盖章）：         </w:t>
      </w:r>
    </w:p>
    <w:p w14:paraId="3D351E26">
      <w:pPr>
        <w:adjustRightInd w:val="0"/>
        <w:spacing w:line="360" w:lineRule="auto"/>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rPr>
        <w:t>法定代表人或被授权人（签字或盖章）</w:t>
      </w:r>
      <w:r>
        <w:rPr>
          <w:rFonts w:hint="eastAsia" w:ascii="仿宋" w:hAnsi="仿宋" w:eastAsia="仿宋" w:cs="仿宋"/>
          <w:bCs/>
          <w:sz w:val="24"/>
          <w:highlight w:val="none"/>
        </w:rPr>
        <w:t>：</w:t>
      </w:r>
    </w:p>
    <w:p w14:paraId="26AC3029">
      <w:pPr>
        <w:adjustRightInd w:val="0"/>
        <w:spacing w:line="360" w:lineRule="auto"/>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日    期：   年   月   日</w:t>
      </w:r>
    </w:p>
    <w:p w14:paraId="0E8EA947">
      <w:pPr>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br w:type="page"/>
      </w:r>
    </w:p>
    <w:p w14:paraId="2893948B">
      <w:pPr>
        <w:pStyle w:val="3"/>
        <w:spacing w:before="156" w:after="156"/>
        <w:ind w:firstLine="482" w:firstLineChars="200"/>
        <w:rPr>
          <w:rFonts w:ascii="仿宋" w:hAnsi="仿宋" w:eastAsia="仿宋" w:cs="仿宋"/>
          <w:bCs w:val="0"/>
          <w:kern w:val="0"/>
          <w:sz w:val="24"/>
          <w:szCs w:val="24"/>
          <w:highlight w:val="none"/>
        </w:rPr>
      </w:pPr>
      <w:r>
        <w:rPr>
          <w:rFonts w:hint="eastAsia" w:ascii="仿宋" w:hAnsi="仿宋" w:eastAsia="仿宋" w:cs="仿宋"/>
          <w:bCs w:val="0"/>
          <w:kern w:val="0"/>
          <w:sz w:val="24"/>
          <w:szCs w:val="24"/>
          <w:highlight w:val="none"/>
        </w:rPr>
        <w:t>四、投标人基本情况表</w:t>
      </w:r>
      <w:bookmarkEnd w:id="142"/>
    </w:p>
    <w:tbl>
      <w:tblPr>
        <w:tblStyle w:val="31"/>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59715E64">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116984F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2DB4945B">
            <w:pPr>
              <w:spacing w:line="360" w:lineRule="auto"/>
              <w:jc w:val="center"/>
              <w:rPr>
                <w:rFonts w:ascii="仿宋" w:hAnsi="仿宋" w:eastAsia="仿宋" w:cs="仿宋"/>
                <w:strike/>
                <w:sz w:val="24"/>
                <w:highlight w:val="none"/>
              </w:rPr>
            </w:pPr>
          </w:p>
        </w:tc>
      </w:tr>
      <w:tr w14:paraId="48A8368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B16A4A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3C8FD396">
            <w:pPr>
              <w:spacing w:line="360" w:lineRule="auto"/>
              <w:jc w:val="center"/>
              <w:rPr>
                <w:rFonts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127E287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邮政编码</w:t>
            </w:r>
          </w:p>
        </w:tc>
        <w:tc>
          <w:tcPr>
            <w:tcW w:w="2139" w:type="dxa"/>
            <w:tcBorders>
              <w:top w:val="nil"/>
              <w:left w:val="nil"/>
              <w:bottom w:val="single" w:color="auto" w:sz="4" w:space="0"/>
              <w:right w:val="single" w:color="auto" w:sz="4" w:space="0"/>
            </w:tcBorders>
            <w:vAlign w:val="center"/>
          </w:tcPr>
          <w:p w14:paraId="0CE8D657">
            <w:pPr>
              <w:spacing w:line="360" w:lineRule="auto"/>
              <w:jc w:val="center"/>
              <w:rPr>
                <w:rFonts w:ascii="仿宋" w:hAnsi="仿宋" w:eastAsia="仿宋" w:cs="仿宋"/>
                <w:sz w:val="24"/>
                <w:highlight w:val="none"/>
              </w:rPr>
            </w:pPr>
          </w:p>
        </w:tc>
      </w:tr>
      <w:tr w14:paraId="5C01C77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5BECBE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1E27FB27">
            <w:pPr>
              <w:spacing w:line="360" w:lineRule="auto"/>
              <w:jc w:val="center"/>
              <w:rPr>
                <w:rFonts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411162F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企业性质</w:t>
            </w:r>
          </w:p>
        </w:tc>
        <w:tc>
          <w:tcPr>
            <w:tcW w:w="2139" w:type="dxa"/>
            <w:tcBorders>
              <w:top w:val="nil"/>
              <w:left w:val="nil"/>
              <w:bottom w:val="single" w:color="auto" w:sz="4" w:space="0"/>
              <w:right w:val="single" w:color="auto" w:sz="4" w:space="0"/>
            </w:tcBorders>
            <w:vAlign w:val="center"/>
          </w:tcPr>
          <w:p w14:paraId="15601A26">
            <w:pPr>
              <w:spacing w:line="360" w:lineRule="auto"/>
              <w:jc w:val="center"/>
              <w:rPr>
                <w:rFonts w:ascii="仿宋" w:hAnsi="仿宋" w:eastAsia="仿宋" w:cs="仿宋"/>
                <w:sz w:val="24"/>
                <w:highlight w:val="none"/>
              </w:rPr>
            </w:pPr>
          </w:p>
        </w:tc>
      </w:tr>
      <w:tr w14:paraId="40F94020">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056F04E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0E4DA3B9">
            <w:pPr>
              <w:spacing w:line="360" w:lineRule="auto"/>
              <w:jc w:val="center"/>
              <w:rPr>
                <w:rFonts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4076EB2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注册资金</w:t>
            </w:r>
          </w:p>
        </w:tc>
        <w:tc>
          <w:tcPr>
            <w:tcW w:w="2139" w:type="dxa"/>
            <w:tcBorders>
              <w:top w:val="nil"/>
              <w:left w:val="nil"/>
              <w:bottom w:val="single" w:color="auto" w:sz="4" w:space="0"/>
              <w:right w:val="single" w:color="auto" w:sz="4" w:space="0"/>
            </w:tcBorders>
            <w:vAlign w:val="center"/>
          </w:tcPr>
          <w:p w14:paraId="50D8E1C7">
            <w:pPr>
              <w:spacing w:line="360" w:lineRule="auto"/>
              <w:jc w:val="center"/>
              <w:rPr>
                <w:rFonts w:ascii="仿宋" w:hAnsi="仿宋" w:eastAsia="仿宋" w:cs="仿宋"/>
                <w:sz w:val="24"/>
                <w:highlight w:val="none"/>
              </w:rPr>
            </w:pPr>
          </w:p>
        </w:tc>
      </w:tr>
      <w:tr w14:paraId="1FA5A2C2">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6534E5C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法定代表人</w:t>
            </w:r>
          </w:p>
        </w:tc>
        <w:tc>
          <w:tcPr>
            <w:tcW w:w="1050" w:type="dxa"/>
            <w:tcBorders>
              <w:top w:val="nil"/>
              <w:left w:val="nil"/>
              <w:bottom w:val="single" w:color="auto" w:sz="4" w:space="0"/>
              <w:right w:val="single" w:color="auto" w:sz="4" w:space="0"/>
            </w:tcBorders>
            <w:vAlign w:val="center"/>
          </w:tcPr>
          <w:p w14:paraId="57DEF45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姓名</w:t>
            </w:r>
          </w:p>
        </w:tc>
        <w:tc>
          <w:tcPr>
            <w:tcW w:w="2525" w:type="dxa"/>
            <w:tcBorders>
              <w:top w:val="nil"/>
              <w:left w:val="nil"/>
              <w:bottom w:val="single" w:color="auto" w:sz="4" w:space="0"/>
              <w:right w:val="single" w:color="auto" w:sz="4" w:space="0"/>
            </w:tcBorders>
            <w:vAlign w:val="center"/>
          </w:tcPr>
          <w:p w14:paraId="12361DA2">
            <w:pPr>
              <w:spacing w:line="360" w:lineRule="auto"/>
              <w:jc w:val="center"/>
              <w:rPr>
                <w:rFonts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37B2B43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电话</w:t>
            </w:r>
          </w:p>
        </w:tc>
        <w:tc>
          <w:tcPr>
            <w:tcW w:w="2139" w:type="dxa"/>
            <w:tcBorders>
              <w:top w:val="nil"/>
              <w:left w:val="nil"/>
              <w:bottom w:val="single" w:color="auto" w:sz="4" w:space="0"/>
              <w:right w:val="single" w:color="auto" w:sz="4" w:space="0"/>
            </w:tcBorders>
            <w:vAlign w:val="center"/>
          </w:tcPr>
          <w:p w14:paraId="7CE8346B">
            <w:pPr>
              <w:spacing w:line="360" w:lineRule="auto"/>
              <w:jc w:val="center"/>
              <w:rPr>
                <w:rFonts w:ascii="仿宋" w:hAnsi="仿宋" w:eastAsia="仿宋" w:cs="仿宋"/>
                <w:sz w:val="24"/>
                <w:highlight w:val="none"/>
              </w:rPr>
            </w:pPr>
          </w:p>
        </w:tc>
      </w:tr>
      <w:tr w14:paraId="1D44043D">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2CC62EEA">
            <w:pPr>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项目联系人</w:t>
            </w:r>
          </w:p>
        </w:tc>
        <w:tc>
          <w:tcPr>
            <w:tcW w:w="1050" w:type="dxa"/>
            <w:tcBorders>
              <w:top w:val="nil"/>
              <w:left w:val="nil"/>
              <w:bottom w:val="single" w:color="auto" w:sz="4" w:space="0"/>
              <w:right w:val="single" w:color="auto" w:sz="4" w:space="0"/>
            </w:tcBorders>
            <w:vAlign w:val="center"/>
          </w:tcPr>
          <w:p w14:paraId="0BBD9B58">
            <w:pPr>
              <w:spacing w:line="360" w:lineRule="auto"/>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姓名</w:t>
            </w:r>
          </w:p>
        </w:tc>
        <w:tc>
          <w:tcPr>
            <w:tcW w:w="2525" w:type="dxa"/>
            <w:tcBorders>
              <w:top w:val="single" w:color="auto" w:sz="4" w:space="0"/>
              <w:left w:val="nil"/>
              <w:bottom w:val="single" w:color="auto" w:sz="4" w:space="0"/>
              <w:right w:val="single" w:color="000000" w:sz="4" w:space="0"/>
            </w:tcBorders>
            <w:vAlign w:val="center"/>
          </w:tcPr>
          <w:p w14:paraId="561FD2F8">
            <w:pPr>
              <w:spacing w:line="360" w:lineRule="auto"/>
              <w:jc w:val="center"/>
              <w:rPr>
                <w:rFonts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33196D5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电话</w:t>
            </w:r>
          </w:p>
        </w:tc>
        <w:tc>
          <w:tcPr>
            <w:tcW w:w="2139" w:type="dxa"/>
            <w:tcBorders>
              <w:top w:val="nil"/>
              <w:left w:val="nil"/>
              <w:bottom w:val="single" w:color="auto" w:sz="4" w:space="0"/>
              <w:right w:val="single" w:color="auto" w:sz="4" w:space="0"/>
            </w:tcBorders>
            <w:vAlign w:val="center"/>
          </w:tcPr>
          <w:p w14:paraId="5A4FC987">
            <w:pPr>
              <w:spacing w:line="360" w:lineRule="auto"/>
              <w:jc w:val="center"/>
              <w:rPr>
                <w:rFonts w:ascii="仿宋" w:hAnsi="仿宋" w:eastAsia="仿宋" w:cs="仿宋"/>
                <w:sz w:val="24"/>
                <w:highlight w:val="none"/>
              </w:rPr>
            </w:pPr>
          </w:p>
        </w:tc>
      </w:tr>
      <w:tr w14:paraId="6D3424CF">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6708061A">
            <w:pPr>
              <w:spacing w:line="360" w:lineRule="auto"/>
              <w:jc w:val="center"/>
              <w:rPr>
                <w:rFonts w:ascii="仿宋" w:hAnsi="仿宋" w:eastAsia="仿宋" w:cs="仿宋"/>
                <w:sz w:val="24"/>
                <w:highlight w:val="none"/>
              </w:rPr>
            </w:pPr>
          </w:p>
        </w:tc>
        <w:tc>
          <w:tcPr>
            <w:tcW w:w="1050" w:type="dxa"/>
            <w:tcBorders>
              <w:top w:val="nil"/>
              <w:left w:val="nil"/>
              <w:bottom w:val="single" w:color="auto" w:sz="4" w:space="0"/>
              <w:right w:val="single" w:color="auto" w:sz="4" w:space="0"/>
            </w:tcBorders>
            <w:vAlign w:val="center"/>
          </w:tcPr>
          <w:p w14:paraId="5D80C49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邮箱</w:t>
            </w:r>
          </w:p>
        </w:tc>
        <w:tc>
          <w:tcPr>
            <w:tcW w:w="6201" w:type="dxa"/>
            <w:gridSpan w:val="3"/>
            <w:tcBorders>
              <w:top w:val="single" w:color="auto" w:sz="4" w:space="0"/>
              <w:left w:val="nil"/>
              <w:bottom w:val="single" w:color="auto" w:sz="4" w:space="0"/>
              <w:right w:val="single" w:color="auto" w:sz="4" w:space="0"/>
            </w:tcBorders>
            <w:vAlign w:val="center"/>
          </w:tcPr>
          <w:p w14:paraId="2A85E567">
            <w:pPr>
              <w:spacing w:line="360" w:lineRule="auto"/>
              <w:jc w:val="center"/>
              <w:rPr>
                <w:rFonts w:ascii="仿宋" w:hAnsi="仿宋" w:eastAsia="仿宋" w:cs="仿宋"/>
                <w:sz w:val="24"/>
                <w:highlight w:val="none"/>
              </w:rPr>
            </w:pPr>
          </w:p>
        </w:tc>
      </w:tr>
      <w:tr w14:paraId="29EB75E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24952A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3DA98DC7">
            <w:pPr>
              <w:spacing w:line="360" w:lineRule="auto"/>
              <w:jc w:val="center"/>
              <w:rPr>
                <w:rFonts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20CCB23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账号</w:t>
            </w:r>
          </w:p>
        </w:tc>
        <w:tc>
          <w:tcPr>
            <w:tcW w:w="2139" w:type="dxa"/>
            <w:tcBorders>
              <w:top w:val="nil"/>
              <w:left w:val="nil"/>
              <w:bottom w:val="single" w:color="auto" w:sz="4" w:space="0"/>
              <w:right w:val="single" w:color="auto" w:sz="4" w:space="0"/>
            </w:tcBorders>
            <w:vAlign w:val="center"/>
          </w:tcPr>
          <w:p w14:paraId="50BE1BD4">
            <w:pPr>
              <w:spacing w:line="360" w:lineRule="auto"/>
              <w:jc w:val="center"/>
              <w:rPr>
                <w:rFonts w:ascii="仿宋" w:hAnsi="仿宋" w:eastAsia="仿宋" w:cs="仿宋"/>
                <w:sz w:val="24"/>
                <w:highlight w:val="none"/>
              </w:rPr>
            </w:pPr>
          </w:p>
        </w:tc>
      </w:tr>
      <w:tr w14:paraId="41FE16F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59ED30F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4F444DEC">
            <w:pPr>
              <w:spacing w:line="360" w:lineRule="auto"/>
              <w:jc w:val="center"/>
              <w:rPr>
                <w:rFonts w:ascii="仿宋" w:hAnsi="仿宋" w:eastAsia="仿宋" w:cs="仿宋"/>
                <w:sz w:val="24"/>
                <w:highlight w:val="none"/>
              </w:rPr>
            </w:pPr>
          </w:p>
        </w:tc>
      </w:tr>
      <w:tr w14:paraId="5B0F2FF0">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1F8D51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14:paraId="55710039">
            <w:pPr>
              <w:spacing w:line="360" w:lineRule="auto"/>
              <w:jc w:val="center"/>
              <w:rPr>
                <w:rFonts w:ascii="仿宋" w:hAnsi="仿宋" w:eastAsia="仿宋" w:cs="仿宋"/>
                <w:sz w:val="24"/>
                <w:highlight w:val="none"/>
              </w:rPr>
            </w:pPr>
          </w:p>
        </w:tc>
      </w:tr>
    </w:tbl>
    <w:p w14:paraId="2D22061C">
      <w:pPr>
        <w:adjustRightInd w:val="0"/>
        <w:spacing w:line="360" w:lineRule="auto"/>
        <w:ind w:firstLine="480" w:firstLineChars="200"/>
        <w:jc w:val="left"/>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后附企业简介。</w:t>
      </w:r>
    </w:p>
    <w:p w14:paraId="2C959FF2">
      <w:pPr>
        <w:rPr>
          <w:rFonts w:ascii="仿宋" w:hAnsi="仿宋" w:eastAsia="仿宋" w:cs="仿宋"/>
          <w:bCs/>
          <w:sz w:val="24"/>
          <w:highlight w:val="none"/>
        </w:rPr>
      </w:pPr>
      <w:bookmarkStart w:id="143" w:name="_Toc217446089"/>
      <w:r>
        <w:rPr>
          <w:rFonts w:hint="eastAsia" w:ascii="仿宋" w:hAnsi="仿宋" w:eastAsia="仿宋" w:cs="仿宋"/>
          <w:bCs/>
          <w:sz w:val="24"/>
          <w:highlight w:val="none"/>
        </w:rPr>
        <w:br w:type="page"/>
      </w:r>
    </w:p>
    <w:p w14:paraId="0390DBB2">
      <w:pPr>
        <w:spacing w:line="360" w:lineRule="auto"/>
        <w:jc w:val="center"/>
        <w:outlineLvl w:val="1"/>
        <w:rPr>
          <w:rFonts w:ascii="仿宋" w:hAnsi="仿宋" w:eastAsia="仿宋" w:cs="仿宋"/>
          <w:b/>
          <w:sz w:val="24"/>
          <w:highlight w:val="none"/>
        </w:rPr>
      </w:pPr>
      <w:bookmarkStart w:id="144" w:name="_Toc3020"/>
      <w:bookmarkStart w:id="145" w:name="_Toc128476878"/>
      <w:bookmarkStart w:id="146" w:name="_Toc113901849"/>
      <w:bookmarkStart w:id="147" w:name="_Toc142664978"/>
      <w:bookmarkStart w:id="148" w:name="_Toc28946"/>
      <w:r>
        <w:rPr>
          <w:rFonts w:hint="eastAsia" w:ascii="仿宋" w:hAnsi="仿宋" w:eastAsia="仿宋" w:cs="仿宋"/>
          <w:b/>
          <w:sz w:val="24"/>
          <w:highlight w:val="none"/>
        </w:rPr>
        <w:t>4.1、具有独立承担民事责任的能力；</w:t>
      </w:r>
    </w:p>
    <w:bookmarkEnd w:id="144"/>
    <w:bookmarkEnd w:id="145"/>
    <w:bookmarkEnd w:id="146"/>
    <w:bookmarkEnd w:id="147"/>
    <w:bookmarkEnd w:id="148"/>
    <w:p w14:paraId="2F593B38">
      <w:pPr>
        <w:spacing w:line="360" w:lineRule="auto"/>
        <w:rPr>
          <w:rFonts w:ascii="仿宋" w:hAnsi="仿宋" w:eastAsia="仿宋" w:cs="仿宋"/>
          <w:sz w:val="24"/>
          <w:highlight w:val="none"/>
        </w:rPr>
      </w:pPr>
      <w:r>
        <w:rPr>
          <w:rFonts w:hint="eastAsia" w:ascii="仿宋" w:hAnsi="仿宋" w:eastAsia="仿宋" w:cs="仿宋"/>
          <w:kern w:val="0"/>
          <w:sz w:val="24"/>
          <w:highlight w:val="none"/>
        </w:rPr>
        <w:t>提供：法人或者其他组织的营业执照等证明文件，自然人的身份证明</w:t>
      </w:r>
    </w:p>
    <w:p w14:paraId="7ED7578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一、如供应商是企业（包括合伙企业)，应提供在工商部门注册的有效“企业法人营业执照”或“营业执照”;</w:t>
      </w:r>
    </w:p>
    <w:p w14:paraId="18BF1BB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二、如供应商是事业单位，应提供有效的“事业单位法人证书”;</w:t>
      </w:r>
    </w:p>
    <w:p w14:paraId="079F285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三、供应商是非企业专业服务机构的，应提供执业许可证等证明文件;</w:t>
      </w:r>
    </w:p>
    <w:p w14:paraId="0308207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四、如供应商是个体工商户，应提供有效的“个体工商户营业执照”;</w:t>
      </w:r>
    </w:p>
    <w:p w14:paraId="4FE983A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五、如供应商是自然人，应提供有效的自然人身份证明。</w:t>
      </w:r>
    </w:p>
    <w:p w14:paraId="210BF0DF">
      <w:pPr>
        <w:spacing w:line="360" w:lineRule="auto"/>
        <w:rPr>
          <w:rFonts w:ascii="仿宋" w:hAnsi="仿宋" w:eastAsia="仿宋" w:cs="仿宋"/>
          <w:sz w:val="24"/>
          <w:highlight w:val="none"/>
        </w:rPr>
      </w:pPr>
    </w:p>
    <w:p w14:paraId="4C0DEE28">
      <w:pPr>
        <w:spacing w:line="360" w:lineRule="auto"/>
        <w:rPr>
          <w:rFonts w:ascii="仿宋" w:hAnsi="仿宋" w:eastAsia="仿宋" w:cs="仿宋"/>
          <w:sz w:val="24"/>
          <w:highlight w:val="none"/>
        </w:rPr>
      </w:pPr>
    </w:p>
    <w:p w14:paraId="4C4BDE4A">
      <w:pPr>
        <w:widowControl/>
        <w:spacing w:line="360" w:lineRule="auto"/>
        <w:jc w:val="left"/>
        <w:rPr>
          <w:rFonts w:ascii="仿宋" w:hAnsi="仿宋" w:eastAsia="仿宋" w:cs="仿宋"/>
          <w:b/>
          <w:sz w:val="24"/>
          <w:highlight w:val="none"/>
        </w:rPr>
      </w:pPr>
      <w:r>
        <w:rPr>
          <w:rFonts w:hint="eastAsia" w:ascii="仿宋" w:hAnsi="仿宋" w:eastAsia="仿宋" w:cs="仿宋"/>
          <w:b/>
          <w:sz w:val="24"/>
          <w:highlight w:val="none"/>
        </w:rPr>
        <w:br w:type="page"/>
      </w:r>
    </w:p>
    <w:p w14:paraId="6354887F">
      <w:pPr>
        <w:spacing w:line="360" w:lineRule="auto"/>
        <w:jc w:val="center"/>
        <w:outlineLvl w:val="1"/>
        <w:rPr>
          <w:rFonts w:ascii="仿宋" w:hAnsi="仿宋" w:eastAsia="仿宋" w:cs="仿宋"/>
          <w:b/>
          <w:sz w:val="24"/>
          <w:highlight w:val="none"/>
        </w:rPr>
      </w:pPr>
      <w:bookmarkStart w:id="149" w:name="_Toc113901850"/>
      <w:bookmarkStart w:id="150" w:name="_Toc29872"/>
      <w:bookmarkStart w:id="151" w:name="_Toc29355"/>
      <w:bookmarkStart w:id="152" w:name="_Toc142664979"/>
      <w:bookmarkStart w:id="153" w:name="_Toc128476879"/>
      <w:r>
        <w:rPr>
          <w:rFonts w:hint="eastAsia" w:ascii="仿宋" w:hAnsi="仿宋" w:eastAsia="仿宋" w:cs="仿宋"/>
          <w:b/>
          <w:sz w:val="24"/>
          <w:highlight w:val="none"/>
        </w:rPr>
        <w:t>4.2、</w:t>
      </w:r>
      <w:bookmarkEnd w:id="149"/>
      <w:bookmarkEnd w:id="150"/>
      <w:bookmarkEnd w:id="151"/>
      <w:bookmarkEnd w:id="152"/>
      <w:bookmarkEnd w:id="153"/>
      <w:r>
        <w:rPr>
          <w:rFonts w:hint="eastAsia" w:ascii="仿宋" w:hAnsi="仿宋" w:eastAsia="仿宋" w:cs="仿宋"/>
          <w:b/>
          <w:sz w:val="24"/>
          <w:highlight w:val="none"/>
        </w:rPr>
        <w:t>具有良好的商业信誉和健全的财务会计制度；</w:t>
      </w:r>
    </w:p>
    <w:p w14:paraId="013FF2ED">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14:paraId="1602D314">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（2）银行出具的近1年内资信证明或202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年度经审计</w:t>
      </w:r>
      <w:r>
        <w:rPr>
          <w:rFonts w:hint="eastAsia" w:ascii="仿宋" w:hAnsi="仿宋" w:eastAsia="仿宋" w:cs="仿宋"/>
          <w:kern w:val="0"/>
          <w:sz w:val="24"/>
          <w:highlight w:val="none"/>
          <w:lang w:val="en-US" w:eastAsia="zh-CN"/>
        </w:rPr>
        <w:t>并赋码</w:t>
      </w:r>
      <w:r>
        <w:rPr>
          <w:rFonts w:hint="eastAsia" w:ascii="仿宋" w:hAnsi="仿宋" w:eastAsia="仿宋" w:cs="仿宋"/>
          <w:kern w:val="0"/>
          <w:sz w:val="24"/>
          <w:highlight w:val="none"/>
        </w:rPr>
        <w:t>的财务报告，新成立企业无需提供。</w:t>
      </w:r>
    </w:p>
    <w:p w14:paraId="62EE7929">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新成立企业是指：营业执照申领时间至今未满一年的企业，新成立企业仅需提供近3个月内任意1个月银行出具的资信证明即可</w:t>
      </w:r>
    </w:p>
    <w:p w14:paraId="2276B9AA">
      <w:pPr>
        <w:autoSpaceDE w:val="0"/>
        <w:autoSpaceDN w:val="0"/>
        <w:adjustRightInd w:val="0"/>
        <w:spacing w:line="360" w:lineRule="auto"/>
        <w:jc w:val="left"/>
        <w:rPr>
          <w:rFonts w:ascii="仿宋" w:hAnsi="仿宋" w:eastAsia="仿宋" w:cs="仿宋"/>
          <w:kern w:val="0"/>
          <w:sz w:val="24"/>
          <w:highlight w:val="none"/>
        </w:rPr>
      </w:pPr>
    </w:p>
    <w:p w14:paraId="0E56203E">
      <w:pPr>
        <w:autoSpaceDE w:val="0"/>
        <w:autoSpaceDN w:val="0"/>
        <w:adjustRightInd w:val="0"/>
        <w:spacing w:line="360" w:lineRule="auto"/>
        <w:ind w:firstLine="482" w:firstLineChars="200"/>
        <w:jc w:val="left"/>
        <w:rPr>
          <w:rFonts w:ascii="仿宋" w:hAnsi="仿宋" w:eastAsia="仿宋" w:cs="仿宋"/>
          <w:b/>
          <w:bCs/>
          <w:kern w:val="0"/>
          <w:sz w:val="24"/>
          <w:highlight w:val="none"/>
        </w:rPr>
      </w:pPr>
      <w:r>
        <w:rPr>
          <w:rFonts w:hint="eastAsia" w:ascii="仿宋" w:hAnsi="仿宋" w:eastAsia="仿宋" w:cs="仿宋"/>
          <w:b/>
          <w:bCs/>
          <w:kern w:val="0"/>
          <w:sz w:val="24"/>
          <w:highlight w:val="none"/>
        </w:rPr>
        <w:t>财务状况报告（满足下述一条要求即可）：</w:t>
      </w:r>
    </w:p>
    <w:p w14:paraId="034C22E1">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要求1、经审计</w:t>
      </w:r>
      <w:r>
        <w:rPr>
          <w:rFonts w:hint="eastAsia" w:ascii="仿宋" w:hAnsi="仿宋" w:eastAsia="仿宋" w:cs="仿宋"/>
          <w:kern w:val="0"/>
          <w:sz w:val="24"/>
          <w:highlight w:val="none"/>
          <w:lang w:val="en-US" w:eastAsia="zh-CN"/>
        </w:rPr>
        <w:t>并赋码</w:t>
      </w:r>
      <w:r>
        <w:rPr>
          <w:rFonts w:hint="eastAsia" w:ascii="仿宋" w:hAnsi="仿宋" w:eastAsia="仿宋" w:cs="仿宋"/>
          <w:kern w:val="0"/>
          <w:sz w:val="24"/>
          <w:highlight w:val="none"/>
        </w:rPr>
        <w:t>的财务报告（202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年度，包括“四表-注”，即资产负债表、利润表、现金流量表、所有者权益变动表及其附注）或</w:t>
      </w:r>
      <w:r>
        <w:rPr>
          <w:rFonts w:hint="eastAsia" w:ascii="仿宋" w:hAnsi="仿宋" w:eastAsia="仿宋" w:cs="仿宋"/>
          <w:sz w:val="24"/>
          <w:highlight w:val="none"/>
        </w:rPr>
        <w:t>银行出具的资信/金证明。</w:t>
      </w:r>
    </w:p>
    <w:p w14:paraId="067517D4">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要求2、财政部门认可的政府采购专业担保机构出具的有效期内的投标担保函。</w:t>
      </w:r>
    </w:p>
    <w:p w14:paraId="3634ED86">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要求3、成立不足一个月（以响应文件递交截止之日为期限）的供应商无需提供。</w:t>
      </w:r>
    </w:p>
    <w:p w14:paraId="57CE115C">
      <w:pPr>
        <w:rPr>
          <w:rFonts w:ascii="仿宋" w:hAnsi="仿宋" w:eastAsia="仿宋" w:cs="仿宋"/>
          <w:sz w:val="24"/>
          <w:highlight w:val="none"/>
        </w:rPr>
      </w:pPr>
      <w:r>
        <w:rPr>
          <w:rFonts w:hint="eastAsia" w:ascii="仿宋" w:hAnsi="仿宋" w:eastAsia="仿宋" w:cs="仿宋"/>
          <w:sz w:val="24"/>
          <w:highlight w:val="none"/>
        </w:rPr>
        <w:br w:type="page"/>
      </w:r>
    </w:p>
    <w:p w14:paraId="514AB70E">
      <w:pPr>
        <w:tabs>
          <w:tab w:val="center" w:pos="4832"/>
          <w:tab w:val="left" w:pos="7140"/>
        </w:tabs>
        <w:spacing w:line="360" w:lineRule="auto"/>
        <w:jc w:val="center"/>
        <w:outlineLvl w:val="1"/>
        <w:rPr>
          <w:rFonts w:ascii="仿宋" w:hAnsi="仿宋" w:eastAsia="仿宋" w:cs="仿宋"/>
          <w:b/>
          <w:sz w:val="24"/>
          <w:highlight w:val="none"/>
        </w:rPr>
      </w:pPr>
      <w:bookmarkStart w:id="154" w:name="_Toc113901851"/>
      <w:bookmarkStart w:id="155" w:name="_Toc6233"/>
      <w:bookmarkStart w:id="156" w:name="_Toc142664980"/>
      <w:bookmarkStart w:id="157" w:name="_Toc16867"/>
      <w:bookmarkStart w:id="158" w:name="_Toc128476880"/>
      <w:bookmarkStart w:id="159" w:name="_Toc111556488"/>
      <w:r>
        <w:rPr>
          <w:rFonts w:hint="eastAsia" w:ascii="仿宋" w:hAnsi="仿宋" w:eastAsia="仿宋" w:cs="仿宋"/>
          <w:b/>
          <w:sz w:val="24"/>
          <w:highlight w:val="none"/>
        </w:rPr>
        <w:t>4.3、</w:t>
      </w:r>
      <w:bookmarkEnd w:id="154"/>
      <w:bookmarkEnd w:id="155"/>
      <w:bookmarkEnd w:id="156"/>
      <w:bookmarkEnd w:id="157"/>
      <w:bookmarkEnd w:id="158"/>
      <w:r>
        <w:rPr>
          <w:rFonts w:hint="eastAsia" w:ascii="仿宋" w:hAnsi="仿宋" w:eastAsia="仿宋" w:cs="仿宋"/>
          <w:b/>
          <w:sz w:val="24"/>
          <w:highlight w:val="none"/>
        </w:rPr>
        <w:t>有依法缴纳税收和社会保障资金的良好记录；</w:t>
      </w:r>
    </w:p>
    <w:p w14:paraId="6B57BE25">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14:paraId="648A81D0">
      <w:pPr>
        <w:autoSpaceDE w:val="0"/>
        <w:autoSpaceDN w:val="0"/>
        <w:adjustRightInd w:val="0"/>
        <w:spacing w:line="360" w:lineRule="auto"/>
        <w:ind w:firstLine="480" w:firstLineChars="200"/>
        <w:jc w:val="left"/>
        <w:rPr>
          <w:rFonts w:ascii="仿宋" w:hAnsi="仿宋" w:eastAsia="仿宋" w:cs="仿宋"/>
          <w:kern w:val="0"/>
          <w:sz w:val="24"/>
          <w:highlight w:val="none"/>
        </w:rPr>
      </w:pPr>
    </w:p>
    <w:p w14:paraId="3D158B21">
      <w:pPr>
        <w:autoSpaceDE w:val="0"/>
        <w:autoSpaceDN w:val="0"/>
        <w:adjustRightInd w:val="0"/>
        <w:spacing w:line="360" w:lineRule="auto"/>
        <w:ind w:firstLine="482" w:firstLineChars="200"/>
        <w:jc w:val="left"/>
        <w:rPr>
          <w:rFonts w:ascii="仿宋" w:hAnsi="仿宋" w:eastAsia="仿宋" w:cs="仿宋"/>
          <w:b/>
          <w:bCs/>
          <w:kern w:val="0"/>
          <w:sz w:val="24"/>
          <w:highlight w:val="none"/>
        </w:rPr>
      </w:pPr>
      <w:r>
        <w:rPr>
          <w:rFonts w:hint="eastAsia" w:ascii="仿宋" w:hAnsi="仿宋" w:eastAsia="仿宋" w:cs="仿宋"/>
          <w:b/>
          <w:bCs/>
          <w:kern w:val="0"/>
          <w:sz w:val="24"/>
          <w:highlight w:val="none"/>
        </w:rPr>
        <w:t>依法缴纳税收和社会保障资金的相关材料：</w:t>
      </w:r>
    </w:p>
    <w:p w14:paraId="444164B1">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1、依法缴纳税收的证明材料：</w:t>
      </w:r>
    </w:p>
    <w:p w14:paraId="1DF48355">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供应商参加政府采购活动前一段时间（响应文件递交截止之日前六个月内任一个月）内缴纳税收的完税凭证（指各种完税证、缴款书、印花税票、扣（收）税凭证以及其他完税证明）。</w:t>
      </w:r>
    </w:p>
    <w:p w14:paraId="3B208A20">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2、依法缴纳社会保障资金的证明材料：</w:t>
      </w:r>
    </w:p>
    <w:p w14:paraId="2E809004">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14:paraId="6214E107">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3、依法免税或不需要缴纳社会保障资金的供应商，应提供相应文件证明其依法免税或不需要缴纳社会保障资金。</w:t>
      </w:r>
    </w:p>
    <w:p w14:paraId="2F605EA5">
      <w:pPr>
        <w:autoSpaceDE w:val="0"/>
        <w:autoSpaceDN w:val="0"/>
        <w:adjustRightInd w:val="0"/>
        <w:spacing w:line="360" w:lineRule="auto"/>
        <w:ind w:firstLine="480" w:firstLineChars="200"/>
        <w:jc w:val="left"/>
        <w:rPr>
          <w:rFonts w:ascii="仿宋" w:hAnsi="仿宋" w:eastAsia="仿宋" w:cs="仿宋"/>
          <w:kern w:val="0"/>
          <w:sz w:val="24"/>
          <w:highlight w:val="none"/>
        </w:rPr>
      </w:pPr>
    </w:p>
    <w:p w14:paraId="17F7B1E4">
      <w:pPr>
        <w:autoSpaceDE w:val="0"/>
        <w:autoSpaceDN w:val="0"/>
        <w:adjustRightInd w:val="0"/>
        <w:spacing w:line="360" w:lineRule="auto"/>
        <w:ind w:firstLine="482" w:firstLineChars="200"/>
        <w:jc w:val="left"/>
        <w:rPr>
          <w:rFonts w:ascii="仿宋" w:hAnsi="仿宋" w:eastAsia="仿宋" w:cs="仿宋"/>
          <w:b/>
          <w:sz w:val="24"/>
          <w:highlight w:val="none"/>
        </w:rPr>
      </w:pPr>
      <w:r>
        <w:rPr>
          <w:rFonts w:hint="eastAsia" w:ascii="仿宋" w:hAnsi="仿宋" w:eastAsia="仿宋" w:cs="仿宋"/>
          <w:b/>
          <w:sz w:val="24"/>
          <w:highlight w:val="none"/>
        </w:rPr>
        <w:br w:type="page"/>
      </w:r>
    </w:p>
    <w:p w14:paraId="4926091C">
      <w:pPr>
        <w:tabs>
          <w:tab w:val="center" w:pos="4832"/>
          <w:tab w:val="left" w:pos="7140"/>
        </w:tabs>
        <w:spacing w:line="360" w:lineRule="auto"/>
        <w:jc w:val="center"/>
        <w:outlineLvl w:val="1"/>
        <w:rPr>
          <w:rFonts w:ascii="仿宋" w:hAnsi="仿宋" w:eastAsia="仿宋" w:cs="仿宋"/>
          <w:b/>
          <w:sz w:val="24"/>
          <w:highlight w:val="none"/>
        </w:rPr>
      </w:pPr>
      <w:r>
        <w:rPr>
          <w:rFonts w:hint="eastAsia" w:ascii="仿宋" w:hAnsi="仿宋" w:eastAsia="仿宋" w:cs="仿宋"/>
          <w:b/>
          <w:sz w:val="24"/>
          <w:highlight w:val="none"/>
        </w:rPr>
        <w:t>4.4、具有履行合同所必需的设备和专业技术能力；</w:t>
      </w:r>
    </w:p>
    <w:p w14:paraId="5888AFF4">
      <w:pPr>
        <w:spacing w:line="360" w:lineRule="auto"/>
        <w:rPr>
          <w:rFonts w:ascii="仿宋" w:hAnsi="仿宋" w:eastAsia="仿宋" w:cs="仿宋"/>
          <w:sz w:val="24"/>
          <w:highlight w:val="none"/>
        </w:rPr>
      </w:pPr>
    </w:p>
    <w:p w14:paraId="42F1AFFD">
      <w:pPr>
        <w:spacing w:line="360" w:lineRule="auto"/>
        <w:rPr>
          <w:rFonts w:ascii="仿宋" w:hAnsi="仿宋" w:eastAsia="仿宋" w:cs="仿宋"/>
          <w:sz w:val="24"/>
          <w:highlight w:val="none"/>
        </w:rPr>
      </w:pPr>
    </w:p>
    <w:p w14:paraId="4C2B02F5">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具有履行合同所必需的设备和专业技术能力的承诺</w:t>
      </w:r>
      <w:bookmarkEnd w:id="159"/>
      <w:r>
        <w:rPr>
          <w:rFonts w:hint="eastAsia" w:ascii="仿宋" w:hAnsi="仿宋" w:eastAsia="仿宋" w:cs="仿宋"/>
          <w:b/>
          <w:sz w:val="24"/>
          <w:highlight w:val="none"/>
        </w:rPr>
        <w:t>函</w:t>
      </w:r>
    </w:p>
    <w:p w14:paraId="424493D1">
      <w:pPr>
        <w:adjustRightInd w:val="0"/>
        <w:snapToGrid w:val="0"/>
        <w:spacing w:line="360" w:lineRule="auto"/>
        <w:ind w:firstLine="480" w:firstLineChars="200"/>
        <w:jc w:val="center"/>
        <w:rPr>
          <w:rFonts w:ascii="仿宋" w:hAnsi="仿宋" w:eastAsia="仿宋" w:cs="仿宋"/>
          <w:sz w:val="24"/>
          <w:highlight w:val="none"/>
        </w:rPr>
      </w:pPr>
    </w:p>
    <w:p w14:paraId="09A9BA9B">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（采购人名称）</w:t>
      </w:r>
    </w:p>
    <w:p w14:paraId="12B59BE9">
      <w:pPr>
        <w:autoSpaceDE w:val="0"/>
        <w:autoSpaceDN w:val="0"/>
        <w:adjustRightInd w:val="0"/>
        <w:spacing w:line="360" w:lineRule="auto"/>
        <w:ind w:firstLine="480" w:firstLineChars="200"/>
        <w:jc w:val="left"/>
        <w:rPr>
          <w:rFonts w:ascii="仿宋" w:hAnsi="仿宋" w:eastAsia="仿宋" w:cs="仿宋"/>
          <w:kern w:val="0"/>
          <w:sz w:val="24"/>
          <w:highlight w:val="none"/>
        </w:rPr>
      </w:pPr>
    </w:p>
    <w:p w14:paraId="622A1E0D">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 xml:space="preserve">我单位郑重承诺： </w:t>
      </w:r>
    </w:p>
    <w:p w14:paraId="0BB4B95D">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我单位具备履行</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（项目名称）合同所必需的设备和专业技术能力；</w:t>
      </w:r>
    </w:p>
    <w:p w14:paraId="49E3A8ED">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 xml:space="preserve">特此承诺。 </w:t>
      </w:r>
    </w:p>
    <w:p w14:paraId="247E635C">
      <w:pPr>
        <w:autoSpaceDE w:val="0"/>
        <w:autoSpaceDN w:val="0"/>
        <w:adjustRightInd w:val="0"/>
        <w:spacing w:line="360" w:lineRule="auto"/>
        <w:jc w:val="left"/>
        <w:rPr>
          <w:rFonts w:ascii="仿宋" w:hAnsi="仿宋" w:eastAsia="仿宋" w:cs="仿宋"/>
          <w:kern w:val="0"/>
          <w:sz w:val="24"/>
          <w:highlight w:val="none"/>
        </w:rPr>
      </w:pPr>
    </w:p>
    <w:p w14:paraId="4A4733F1">
      <w:pPr>
        <w:autoSpaceDE w:val="0"/>
        <w:autoSpaceDN w:val="0"/>
        <w:adjustRightInd w:val="0"/>
        <w:spacing w:line="360" w:lineRule="auto"/>
        <w:jc w:val="left"/>
        <w:rPr>
          <w:rFonts w:ascii="仿宋" w:hAnsi="仿宋" w:eastAsia="仿宋" w:cs="仿宋"/>
          <w:kern w:val="0"/>
          <w:sz w:val="24"/>
          <w:highlight w:val="none"/>
        </w:rPr>
      </w:pPr>
    </w:p>
    <w:p w14:paraId="5C794C17">
      <w:pPr>
        <w:autoSpaceDE w:val="0"/>
        <w:autoSpaceDN w:val="0"/>
        <w:adjustRightInd w:val="0"/>
        <w:spacing w:line="360" w:lineRule="auto"/>
        <w:jc w:val="left"/>
        <w:rPr>
          <w:rFonts w:ascii="仿宋" w:hAnsi="仿宋" w:eastAsia="仿宋" w:cs="仿宋"/>
          <w:kern w:val="0"/>
          <w:sz w:val="24"/>
          <w:highlight w:val="none"/>
        </w:rPr>
      </w:pPr>
    </w:p>
    <w:p w14:paraId="4672B185">
      <w:pPr>
        <w:autoSpaceDE w:val="0"/>
        <w:autoSpaceDN w:val="0"/>
        <w:adjustRightInd w:val="0"/>
        <w:spacing w:line="360" w:lineRule="auto"/>
        <w:jc w:val="left"/>
        <w:rPr>
          <w:rFonts w:ascii="仿宋" w:hAnsi="仿宋" w:eastAsia="仿宋" w:cs="仿宋"/>
          <w:kern w:val="0"/>
          <w:sz w:val="24"/>
          <w:highlight w:val="none"/>
        </w:rPr>
      </w:pPr>
    </w:p>
    <w:p w14:paraId="08BE2906">
      <w:pPr>
        <w:widowControl/>
        <w:shd w:val="clear" w:color="auto" w:fill="FFFFFF"/>
        <w:snapToGrid w:val="0"/>
        <w:spacing w:line="360" w:lineRule="auto"/>
        <w:jc w:val="left"/>
        <w:rPr>
          <w:rFonts w:ascii="仿宋" w:hAnsi="仿宋" w:eastAsia="仿宋" w:cs="仿宋"/>
          <w:kern w:val="0"/>
          <w:sz w:val="24"/>
          <w:highlight w:val="none"/>
        </w:rPr>
      </w:pPr>
      <w:r>
        <w:rPr>
          <w:rFonts w:hint="eastAsia" w:ascii="仿宋" w:hAnsi="仿宋" w:eastAsia="仿宋" w:cs="仿宋"/>
          <w:sz w:val="24"/>
        </w:rPr>
        <w:t>投标人名称</w:t>
      </w:r>
      <w:r>
        <w:rPr>
          <w:rFonts w:hint="eastAsia" w:ascii="仿宋" w:hAnsi="仿宋" w:eastAsia="仿宋" w:cs="仿宋"/>
          <w:kern w:val="0"/>
          <w:sz w:val="24"/>
          <w:highlight w:val="none"/>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（盖章）</w:t>
      </w:r>
    </w:p>
    <w:p w14:paraId="7E9033E5">
      <w:pPr>
        <w:widowControl/>
        <w:shd w:val="clear" w:color="auto" w:fill="FFFFFF"/>
        <w:snapToGrid w:val="0"/>
        <w:spacing w:line="360" w:lineRule="auto"/>
        <w:jc w:val="left"/>
        <w:rPr>
          <w:rFonts w:ascii="仿宋" w:hAnsi="仿宋" w:eastAsia="仿宋" w:cs="仿宋"/>
          <w:kern w:val="0"/>
          <w:sz w:val="24"/>
          <w:highlight w:val="none"/>
        </w:rPr>
      </w:pPr>
    </w:p>
    <w:p w14:paraId="1E444FDE">
      <w:pPr>
        <w:widowControl/>
        <w:shd w:val="clear" w:color="auto" w:fill="FFFFFF"/>
        <w:snapToGrid w:val="0"/>
        <w:spacing w:line="360" w:lineRule="auto"/>
        <w:jc w:val="left"/>
        <w:rPr>
          <w:rFonts w:ascii="仿宋" w:hAnsi="仿宋" w:eastAsia="仿宋" w:cs="仿宋"/>
          <w:kern w:val="0"/>
          <w:sz w:val="24"/>
          <w:highlight w:val="none"/>
        </w:rPr>
      </w:pPr>
    </w:p>
    <w:p w14:paraId="5FDD0FE4">
      <w:pPr>
        <w:widowControl/>
        <w:shd w:val="clear" w:color="auto" w:fill="FFFFFF"/>
        <w:snapToGrid w:val="0"/>
        <w:spacing w:line="360" w:lineRule="auto"/>
        <w:ind w:firstLine="420"/>
        <w:jc w:val="center"/>
        <w:rPr>
          <w:rFonts w:ascii="仿宋" w:hAnsi="仿宋" w:eastAsia="仿宋" w:cs="仿宋"/>
          <w:kern w:val="0"/>
          <w:sz w:val="24"/>
          <w:highlight w:val="none"/>
        </w:rPr>
      </w:pPr>
      <w:r>
        <w:rPr>
          <w:rFonts w:hint="eastAsia" w:ascii="仿宋" w:hAnsi="仿宋" w:eastAsia="仿宋" w:cs="仿宋"/>
          <w:kern w:val="0"/>
          <w:sz w:val="24"/>
          <w:highlight w:val="none"/>
        </w:rPr>
        <w:t xml:space="preserve">                                               日期： 年  月  日</w:t>
      </w:r>
    </w:p>
    <w:p w14:paraId="4C66896E">
      <w:pPr>
        <w:adjustRightInd w:val="0"/>
        <w:snapToGrid w:val="0"/>
        <w:spacing w:line="360" w:lineRule="auto"/>
        <w:rPr>
          <w:rFonts w:ascii="仿宋" w:hAnsi="仿宋" w:eastAsia="仿宋" w:cs="仿宋"/>
          <w:bCs/>
          <w:sz w:val="24"/>
          <w:highlight w:val="none"/>
        </w:rPr>
      </w:pPr>
    </w:p>
    <w:p w14:paraId="2D3CF9C0">
      <w:pPr>
        <w:spacing w:line="360" w:lineRule="auto"/>
        <w:rPr>
          <w:rFonts w:ascii="仿宋" w:hAnsi="仿宋" w:eastAsia="仿宋" w:cs="仿宋"/>
          <w:sz w:val="24"/>
          <w:highlight w:val="none"/>
        </w:rPr>
      </w:pPr>
    </w:p>
    <w:p w14:paraId="2660953D">
      <w:pPr>
        <w:spacing w:line="360" w:lineRule="auto"/>
        <w:rPr>
          <w:rFonts w:ascii="仿宋" w:hAnsi="仿宋" w:eastAsia="仿宋" w:cs="仿宋"/>
          <w:sz w:val="24"/>
          <w:highlight w:val="none"/>
        </w:rPr>
      </w:pPr>
    </w:p>
    <w:p w14:paraId="49983C32">
      <w:pPr>
        <w:spacing w:line="360" w:lineRule="auto"/>
        <w:rPr>
          <w:rFonts w:ascii="仿宋" w:hAnsi="仿宋" w:eastAsia="仿宋" w:cs="仿宋"/>
          <w:sz w:val="24"/>
          <w:highlight w:val="none"/>
        </w:rPr>
      </w:pPr>
    </w:p>
    <w:p w14:paraId="043552BD">
      <w:pPr>
        <w:spacing w:line="360" w:lineRule="auto"/>
        <w:rPr>
          <w:rFonts w:ascii="仿宋" w:hAnsi="仿宋" w:eastAsia="仿宋" w:cs="仿宋"/>
          <w:sz w:val="24"/>
          <w:highlight w:val="none"/>
        </w:rPr>
      </w:pPr>
    </w:p>
    <w:p w14:paraId="50C2CBFA">
      <w:pPr>
        <w:spacing w:line="360" w:lineRule="auto"/>
        <w:rPr>
          <w:rFonts w:ascii="仿宋" w:hAnsi="仿宋" w:eastAsia="仿宋" w:cs="仿宋"/>
          <w:sz w:val="24"/>
          <w:highlight w:val="none"/>
        </w:rPr>
      </w:pPr>
    </w:p>
    <w:p w14:paraId="4E8CF7CD">
      <w:pPr>
        <w:spacing w:line="360" w:lineRule="auto"/>
        <w:rPr>
          <w:rFonts w:ascii="仿宋" w:hAnsi="仿宋" w:eastAsia="仿宋" w:cs="仿宋"/>
          <w:sz w:val="24"/>
          <w:highlight w:val="none"/>
        </w:rPr>
      </w:pPr>
    </w:p>
    <w:p w14:paraId="206D4381">
      <w:pPr>
        <w:widowControl/>
        <w:spacing w:line="360" w:lineRule="auto"/>
        <w:jc w:val="left"/>
        <w:rPr>
          <w:rFonts w:ascii="仿宋" w:hAnsi="仿宋" w:eastAsia="仿宋" w:cs="仿宋"/>
          <w:sz w:val="24"/>
          <w:highlight w:val="none"/>
        </w:rPr>
      </w:pPr>
      <w:r>
        <w:rPr>
          <w:rFonts w:hint="eastAsia" w:ascii="仿宋" w:hAnsi="仿宋" w:eastAsia="仿宋" w:cs="仿宋"/>
          <w:sz w:val="24"/>
          <w:highlight w:val="none"/>
        </w:rPr>
        <w:br w:type="page"/>
      </w:r>
    </w:p>
    <w:p w14:paraId="729D5481">
      <w:pPr>
        <w:adjustRightInd w:val="0"/>
        <w:snapToGrid w:val="0"/>
        <w:spacing w:line="360" w:lineRule="auto"/>
        <w:jc w:val="center"/>
        <w:outlineLvl w:val="1"/>
        <w:rPr>
          <w:rFonts w:ascii="仿宋" w:hAnsi="仿宋" w:eastAsia="仿宋" w:cs="仿宋"/>
          <w:b/>
          <w:sz w:val="24"/>
          <w:highlight w:val="none"/>
        </w:rPr>
      </w:pPr>
      <w:bookmarkStart w:id="160" w:name="_Toc4038"/>
      <w:bookmarkStart w:id="161" w:name="_Toc142664981"/>
      <w:bookmarkStart w:id="162" w:name="_Toc113901852"/>
      <w:bookmarkStart w:id="163" w:name="_Toc32430"/>
      <w:bookmarkStart w:id="164" w:name="_Toc128476881"/>
      <w:bookmarkStart w:id="165" w:name="_Toc111556490"/>
      <w:r>
        <w:rPr>
          <w:rFonts w:hint="eastAsia" w:ascii="仿宋" w:hAnsi="仿宋" w:eastAsia="仿宋" w:cs="仿宋"/>
          <w:b/>
          <w:sz w:val="24"/>
          <w:highlight w:val="none"/>
        </w:rPr>
        <w:t>4.5、参加政府采购活动前3年内在经营活动中没有重大违法记录的书面声明</w:t>
      </w:r>
      <w:bookmarkEnd w:id="160"/>
      <w:bookmarkEnd w:id="161"/>
      <w:bookmarkEnd w:id="162"/>
      <w:bookmarkEnd w:id="163"/>
      <w:bookmarkEnd w:id="164"/>
    </w:p>
    <w:bookmarkEnd w:id="165"/>
    <w:p w14:paraId="1C60D621">
      <w:pPr>
        <w:widowControl/>
        <w:adjustRightInd w:val="0"/>
        <w:snapToGrid w:val="0"/>
        <w:spacing w:line="360" w:lineRule="auto"/>
        <w:rPr>
          <w:rFonts w:ascii="仿宋" w:hAnsi="仿宋" w:eastAsia="仿宋" w:cs="仿宋"/>
          <w:sz w:val="24"/>
          <w:highlight w:val="none"/>
        </w:rPr>
      </w:pPr>
    </w:p>
    <w:p w14:paraId="45D3E861">
      <w:pPr>
        <w:autoSpaceDE w:val="0"/>
        <w:autoSpaceDN w:val="0"/>
        <w:adjustRightIn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（采购人名称）</w:t>
      </w:r>
    </w:p>
    <w:p w14:paraId="1A2BE62C">
      <w:pPr>
        <w:adjustRightInd w:val="0"/>
        <w:snapToGrid w:val="0"/>
        <w:spacing w:line="360" w:lineRule="auto"/>
        <w:ind w:firstLine="480" w:firstLineChars="200"/>
        <w:rPr>
          <w:rFonts w:ascii="仿宋" w:hAnsi="仿宋" w:eastAsia="仿宋" w:cs="仿宋"/>
          <w:sz w:val="24"/>
          <w:highlight w:val="none"/>
        </w:rPr>
      </w:pPr>
    </w:p>
    <w:p w14:paraId="48E75AD7">
      <w:pPr>
        <w:adjustRightInd w:val="0"/>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我单位在参与</w:t>
      </w:r>
      <w:r>
        <w:rPr>
          <w:rFonts w:hint="eastAsia" w:ascii="仿宋" w:hAnsi="仿宋" w:eastAsia="仿宋" w:cs="仿宋"/>
          <w:kern w:val="0"/>
          <w:sz w:val="24"/>
          <w:highlight w:val="none"/>
          <w:u w:val="single"/>
        </w:rPr>
        <w:t xml:space="preserve">            </w:t>
      </w:r>
      <w:r>
        <w:rPr>
          <w:rFonts w:hint="eastAsia" w:ascii="仿宋" w:hAnsi="仿宋" w:eastAsia="仿宋" w:cs="仿宋"/>
          <w:sz w:val="24"/>
          <w:highlight w:val="none"/>
        </w:rPr>
        <w:t>（项目名称）</w:t>
      </w:r>
      <w:r>
        <w:rPr>
          <w:rFonts w:hint="eastAsia" w:ascii="仿宋" w:hAnsi="仿宋" w:eastAsia="仿宋" w:cs="仿宋"/>
          <w:kern w:val="0"/>
          <w:sz w:val="24"/>
          <w:highlight w:val="none"/>
        </w:rPr>
        <w:t>前三年内（以</w:t>
      </w:r>
      <w:r>
        <w:rPr>
          <w:rFonts w:hint="eastAsia" w:ascii="仿宋" w:hAnsi="仿宋" w:eastAsia="仿宋" w:cs="仿宋"/>
          <w:sz w:val="24"/>
          <w:highlight w:val="none"/>
        </w:rPr>
        <w:t>响应文件递交截止之日为期限</w:t>
      </w:r>
      <w:r>
        <w:rPr>
          <w:rFonts w:hint="eastAsia" w:ascii="仿宋" w:hAnsi="仿宋" w:eastAsia="仿宋" w:cs="仿宋"/>
          <w:kern w:val="0"/>
          <w:sz w:val="24"/>
          <w:highlight w:val="none"/>
        </w:rPr>
        <w:t>）在经营活动中没有重大违法记录。</w:t>
      </w:r>
    </w:p>
    <w:p w14:paraId="257EC8A0">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若贵方在本项目采购过程中发现我方参加政府采购活动前三年内有重大违法记录；</w:t>
      </w:r>
      <w:r>
        <w:rPr>
          <w:rFonts w:hint="eastAsia" w:ascii="仿宋" w:hAnsi="仿宋" w:eastAsia="仿宋" w:cs="仿宋"/>
          <w:kern w:val="0"/>
          <w:sz w:val="24"/>
          <w:highlight w:val="none"/>
        </w:rPr>
        <w:t>我单位</w:t>
      </w:r>
      <w:r>
        <w:rPr>
          <w:rFonts w:hint="eastAsia" w:ascii="仿宋" w:hAnsi="仿宋" w:eastAsia="仿宋" w:cs="仿宋"/>
          <w:sz w:val="24"/>
          <w:highlight w:val="none"/>
        </w:rPr>
        <w:t>将无条件退出本项目的投标，并承担因此引起的一切后果。我方对此声明负全部法律责任。</w:t>
      </w:r>
    </w:p>
    <w:p w14:paraId="1070DEDC">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特此声明！</w:t>
      </w:r>
    </w:p>
    <w:p w14:paraId="32EBAB50">
      <w:pPr>
        <w:adjustRightInd w:val="0"/>
        <w:snapToGrid w:val="0"/>
        <w:spacing w:line="360" w:lineRule="auto"/>
        <w:ind w:firstLine="480" w:firstLineChars="200"/>
        <w:rPr>
          <w:rFonts w:ascii="仿宋" w:hAnsi="仿宋" w:eastAsia="仿宋" w:cs="仿宋"/>
          <w:sz w:val="24"/>
          <w:highlight w:val="none"/>
        </w:rPr>
      </w:pPr>
    </w:p>
    <w:p w14:paraId="21C5C0A7">
      <w:pPr>
        <w:adjustRightInd w:val="0"/>
        <w:snapToGrid w:val="0"/>
        <w:spacing w:line="360" w:lineRule="auto"/>
        <w:ind w:firstLine="480" w:firstLineChars="200"/>
        <w:rPr>
          <w:rFonts w:ascii="仿宋" w:hAnsi="仿宋" w:eastAsia="仿宋" w:cs="仿宋"/>
          <w:sz w:val="24"/>
          <w:highlight w:val="none"/>
        </w:rPr>
      </w:pPr>
    </w:p>
    <w:p w14:paraId="54F9E0DF">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备注：</w:t>
      </w:r>
    </w:p>
    <w:p w14:paraId="0A8579E8">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若供应商在响应文件递交截止之日成立时间不足三年，以自成立以来的时间计取。</w:t>
      </w:r>
    </w:p>
    <w:p w14:paraId="167C2C2B">
      <w:pPr>
        <w:adjustRightInd w:val="0"/>
        <w:snapToGrid w:val="0"/>
        <w:spacing w:line="360" w:lineRule="auto"/>
        <w:ind w:firstLine="480" w:firstLineChars="200"/>
        <w:rPr>
          <w:rFonts w:ascii="仿宋" w:hAnsi="仿宋" w:eastAsia="仿宋" w:cs="仿宋"/>
          <w:kern w:val="0"/>
          <w:sz w:val="24"/>
          <w:highlight w:val="none"/>
        </w:rPr>
      </w:pPr>
    </w:p>
    <w:p w14:paraId="11E71F33">
      <w:pPr>
        <w:adjustRightInd w:val="0"/>
        <w:snapToGrid w:val="0"/>
        <w:spacing w:line="360" w:lineRule="auto"/>
        <w:ind w:firstLine="3112" w:firstLineChars="1297"/>
        <w:rPr>
          <w:rFonts w:ascii="仿宋" w:hAnsi="仿宋" w:eastAsia="仿宋" w:cs="仿宋"/>
          <w:sz w:val="24"/>
          <w:highlight w:val="none"/>
        </w:rPr>
      </w:pPr>
    </w:p>
    <w:p w14:paraId="23A91609">
      <w:pPr>
        <w:widowControl/>
        <w:shd w:val="clear" w:color="auto" w:fill="FFFFFF"/>
        <w:snapToGrid w:val="0"/>
        <w:spacing w:line="360" w:lineRule="auto"/>
        <w:jc w:val="left"/>
        <w:rPr>
          <w:rFonts w:ascii="仿宋" w:hAnsi="仿宋" w:eastAsia="仿宋" w:cs="仿宋"/>
          <w:kern w:val="0"/>
          <w:sz w:val="24"/>
          <w:highlight w:val="none"/>
        </w:rPr>
      </w:pPr>
      <w:r>
        <w:rPr>
          <w:rFonts w:hint="eastAsia" w:ascii="仿宋" w:hAnsi="仿宋" w:eastAsia="仿宋" w:cs="仿宋"/>
          <w:sz w:val="24"/>
        </w:rPr>
        <w:t>投标人名称</w:t>
      </w:r>
      <w:r>
        <w:rPr>
          <w:rFonts w:hint="eastAsia" w:ascii="仿宋" w:hAnsi="仿宋" w:eastAsia="仿宋" w:cs="仿宋"/>
          <w:kern w:val="0"/>
          <w:sz w:val="24"/>
          <w:highlight w:val="none"/>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（盖章）</w:t>
      </w:r>
    </w:p>
    <w:p w14:paraId="71B019F6">
      <w:pPr>
        <w:widowControl/>
        <w:shd w:val="clear" w:color="auto" w:fill="FFFFFF"/>
        <w:snapToGrid w:val="0"/>
        <w:spacing w:line="360" w:lineRule="auto"/>
        <w:ind w:firstLine="420"/>
        <w:jc w:val="center"/>
        <w:rPr>
          <w:rFonts w:ascii="仿宋" w:hAnsi="仿宋" w:eastAsia="仿宋" w:cs="仿宋"/>
          <w:kern w:val="0"/>
          <w:sz w:val="24"/>
          <w:highlight w:val="none"/>
        </w:rPr>
      </w:pPr>
    </w:p>
    <w:p w14:paraId="4EAFA3AA">
      <w:pPr>
        <w:widowControl/>
        <w:shd w:val="clear" w:color="auto" w:fill="FFFFFF"/>
        <w:snapToGrid w:val="0"/>
        <w:spacing w:line="360" w:lineRule="auto"/>
        <w:ind w:firstLine="420"/>
        <w:jc w:val="center"/>
        <w:rPr>
          <w:rFonts w:ascii="仿宋" w:hAnsi="仿宋" w:eastAsia="仿宋" w:cs="仿宋"/>
          <w:kern w:val="0"/>
          <w:sz w:val="24"/>
          <w:highlight w:val="none"/>
        </w:rPr>
      </w:pPr>
    </w:p>
    <w:p w14:paraId="5161A44E">
      <w:pPr>
        <w:widowControl/>
        <w:shd w:val="clear" w:color="auto" w:fill="FFFFFF"/>
        <w:snapToGrid w:val="0"/>
        <w:spacing w:line="360" w:lineRule="auto"/>
        <w:ind w:firstLine="420"/>
        <w:jc w:val="center"/>
        <w:rPr>
          <w:rFonts w:ascii="仿宋" w:hAnsi="仿宋" w:eastAsia="仿宋" w:cs="仿宋"/>
          <w:kern w:val="0"/>
          <w:sz w:val="24"/>
          <w:highlight w:val="none"/>
        </w:rPr>
      </w:pPr>
      <w:r>
        <w:rPr>
          <w:rFonts w:hint="eastAsia" w:ascii="仿宋" w:hAnsi="仿宋" w:eastAsia="仿宋" w:cs="仿宋"/>
          <w:kern w:val="0"/>
          <w:sz w:val="24"/>
          <w:highlight w:val="none"/>
        </w:rPr>
        <w:t xml:space="preserve">                                               日期： 年  月  日</w:t>
      </w:r>
    </w:p>
    <w:p w14:paraId="05543DC7">
      <w:pPr>
        <w:widowControl/>
        <w:shd w:val="clear" w:color="auto" w:fill="FFFFFF"/>
        <w:snapToGrid w:val="0"/>
        <w:spacing w:line="360" w:lineRule="auto"/>
        <w:ind w:firstLine="420"/>
        <w:rPr>
          <w:rFonts w:ascii="仿宋" w:hAnsi="仿宋" w:eastAsia="仿宋" w:cs="仿宋"/>
          <w:kern w:val="0"/>
          <w:sz w:val="24"/>
          <w:highlight w:val="none"/>
        </w:rPr>
      </w:pPr>
    </w:p>
    <w:p w14:paraId="484B4190">
      <w:pPr>
        <w:widowControl/>
        <w:jc w:val="left"/>
        <w:rPr>
          <w:rFonts w:ascii="仿宋" w:hAnsi="仿宋" w:eastAsia="仿宋" w:cs="仿宋"/>
          <w:kern w:val="0"/>
          <w:sz w:val="24"/>
          <w:highlight w:val="none"/>
        </w:rPr>
      </w:pPr>
      <w:r>
        <w:rPr>
          <w:rFonts w:hint="eastAsia" w:ascii="仿宋" w:hAnsi="仿宋" w:eastAsia="仿宋" w:cs="仿宋"/>
          <w:kern w:val="0"/>
          <w:sz w:val="24"/>
          <w:highlight w:val="none"/>
        </w:rPr>
        <w:br w:type="page"/>
      </w:r>
    </w:p>
    <w:p w14:paraId="588BED98">
      <w:pPr>
        <w:adjustRightInd w:val="0"/>
        <w:snapToGrid w:val="0"/>
        <w:spacing w:line="360" w:lineRule="auto"/>
        <w:jc w:val="center"/>
        <w:outlineLvl w:val="1"/>
        <w:rPr>
          <w:rFonts w:ascii="仿宋" w:hAnsi="仿宋" w:eastAsia="仿宋" w:cs="仿宋"/>
          <w:b/>
          <w:sz w:val="24"/>
          <w:highlight w:val="none"/>
        </w:rPr>
      </w:pPr>
      <w:r>
        <w:rPr>
          <w:rFonts w:hint="eastAsia" w:ascii="仿宋" w:hAnsi="仿宋" w:eastAsia="仿宋" w:cs="仿宋"/>
          <w:b/>
          <w:sz w:val="24"/>
          <w:highlight w:val="none"/>
        </w:rPr>
        <w:t>4.6、不存在与参加本项目的其它供应商单位负责人为同一人或者存在直接控股、管理关系承诺函</w:t>
      </w:r>
    </w:p>
    <w:p w14:paraId="0C70AD61">
      <w:pPr>
        <w:widowControl/>
        <w:adjustRightInd w:val="0"/>
        <w:snapToGrid w:val="0"/>
        <w:spacing w:line="360" w:lineRule="auto"/>
        <w:jc w:val="left"/>
        <w:rPr>
          <w:rFonts w:ascii="仿宋" w:hAnsi="仿宋" w:eastAsia="仿宋" w:cs="仿宋"/>
          <w:spacing w:val="6"/>
          <w:kern w:val="0"/>
          <w:sz w:val="24"/>
          <w:highlight w:val="none"/>
        </w:rPr>
      </w:pPr>
    </w:p>
    <w:p w14:paraId="2317D7DF">
      <w:pPr>
        <w:widowControl/>
        <w:adjustRightInd w:val="0"/>
        <w:snapToGrid w:val="0"/>
        <w:spacing w:line="360" w:lineRule="auto"/>
        <w:jc w:val="left"/>
        <w:rPr>
          <w:rFonts w:ascii="仿宋" w:hAnsi="仿宋" w:eastAsia="仿宋" w:cs="仿宋"/>
          <w:spacing w:val="6"/>
          <w:kern w:val="0"/>
          <w:sz w:val="24"/>
          <w:highlight w:val="none"/>
        </w:rPr>
      </w:pPr>
      <w:r>
        <w:rPr>
          <w:rFonts w:hint="eastAsia" w:ascii="仿宋" w:hAnsi="仿宋" w:eastAsia="仿宋" w:cs="仿宋"/>
          <w:spacing w:val="6"/>
          <w:kern w:val="0"/>
          <w:sz w:val="24"/>
          <w:highlight w:val="none"/>
          <w:u w:val="single"/>
        </w:rPr>
        <w:t xml:space="preserve">    采购人    </w:t>
      </w:r>
      <w:r>
        <w:rPr>
          <w:rFonts w:hint="eastAsia" w:ascii="仿宋" w:hAnsi="仿宋" w:eastAsia="仿宋" w:cs="仿宋"/>
          <w:spacing w:val="6"/>
          <w:kern w:val="0"/>
          <w:sz w:val="24"/>
          <w:highlight w:val="none"/>
        </w:rPr>
        <w:t>：</w:t>
      </w:r>
    </w:p>
    <w:p w14:paraId="6E610F88">
      <w:pPr>
        <w:spacing w:line="360" w:lineRule="auto"/>
        <w:ind w:firstLine="480" w:firstLineChars="200"/>
        <w:rPr>
          <w:rFonts w:ascii="仿宋" w:hAnsi="仿宋" w:eastAsia="仿宋" w:cs="仿宋"/>
          <w:bCs/>
          <w:sz w:val="24"/>
          <w:highlight w:val="none"/>
          <w:shd w:val="clear" w:color="auto" w:fill="FFFFFF" w:themeFill="background1"/>
        </w:rPr>
      </w:pPr>
      <w:r>
        <w:rPr>
          <w:rFonts w:hint="eastAsia" w:ascii="仿宋" w:hAnsi="仿宋" w:eastAsia="仿宋" w:cs="仿宋"/>
          <w:bCs/>
          <w:sz w:val="24"/>
          <w:highlight w:val="none"/>
          <w:shd w:val="clear" w:color="auto" w:fill="FFFFFF" w:themeFill="background1"/>
        </w:rPr>
        <w:t>我公司参加贵单位组织的</w:t>
      </w:r>
      <w:r>
        <w:rPr>
          <w:rFonts w:hint="eastAsia" w:ascii="仿宋" w:hAnsi="仿宋" w:eastAsia="仿宋" w:cs="仿宋"/>
          <w:bCs/>
          <w:sz w:val="24"/>
          <w:highlight w:val="none"/>
          <w:u w:val="single"/>
          <w:shd w:val="clear" w:color="auto" w:fill="FFFFFF" w:themeFill="background1"/>
        </w:rPr>
        <w:t xml:space="preserve">      </w:t>
      </w:r>
      <w:r>
        <w:rPr>
          <w:rFonts w:hint="eastAsia" w:ascii="仿宋" w:hAnsi="仿宋" w:eastAsia="仿宋" w:cs="仿宋"/>
          <w:bCs/>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59F7F7CF">
      <w:pPr>
        <w:widowControl/>
        <w:adjustRightInd w:val="0"/>
        <w:snapToGrid w:val="0"/>
        <w:spacing w:line="360" w:lineRule="auto"/>
        <w:ind w:firstLine="504" w:firstLineChars="200"/>
        <w:rPr>
          <w:rFonts w:ascii="仿宋" w:hAnsi="仿宋" w:eastAsia="仿宋" w:cs="仿宋"/>
          <w:spacing w:val="6"/>
          <w:kern w:val="0"/>
          <w:sz w:val="24"/>
          <w:highlight w:val="none"/>
        </w:rPr>
      </w:pPr>
    </w:p>
    <w:p w14:paraId="3F2C9F23">
      <w:pPr>
        <w:widowControl/>
        <w:adjustRightInd w:val="0"/>
        <w:snapToGrid w:val="0"/>
        <w:spacing w:line="360" w:lineRule="auto"/>
        <w:ind w:firstLine="504" w:firstLineChars="200"/>
        <w:rPr>
          <w:rFonts w:ascii="仿宋" w:hAnsi="仿宋" w:eastAsia="仿宋" w:cs="仿宋"/>
          <w:spacing w:val="6"/>
          <w:kern w:val="0"/>
          <w:sz w:val="24"/>
          <w:highlight w:val="none"/>
        </w:rPr>
      </w:pPr>
    </w:p>
    <w:p w14:paraId="5FBB20A0">
      <w:pPr>
        <w:widowControl/>
        <w:adjustRightInd w:val="0"/>
        <w:snapToGrid w:val="0"/>
        <w:spacing w:line="360" w:lineRule="auto"/>
        <w:ind w:firstLine="504" w:firstLineChars="200"/>
        <w:rPr>
          <w:rFonts w:ascii="仿宋" w:hAnsi="仿宋" w:eastAsia="仿宋" w:cs="仿宋"/>
          <w:spacing w:val="6"/>
          <w:kern w:val="0"/>
          <w:sz w:val="24"/>
          <w:highlight w:val="none"/>
        </w:rPr>
      </w:pPr>
    </w:p>
    <w:p w14:paraId="4086B12D">
      <w:pPr>
        <w:widowControl/>
        <w:adjustRightInd w:val="0"/>
        <w:snapToGrid w:val="0"/>
        <w:spacing w:line="360" w:lineRule="auto"/>
        <w:ind w:firstLine="504" w:firstLineChars="200"/>
        <w:rPr>
          <w:rFonts w:ascii="仿宋" w:hAnsi="仿宋" w:eastAsia="仿宋" w:cs="仿宋"/>
          <w:spacing w:val="6"/>
          <w:kern w:val="0"/>
          <w:sz w:val="24"/>
          <w:highlight w:val="none"/>
        </w:rPr>
      </w:pPr>
    </w:p>
    <w:p w14:paraId="25D563E5">
      <w:pPr>
        <w:widowControl/>
        <w:shd w:val="clear" w:color="auto" w:fill="FFFFFF"/>
        <w:snapToGrid w:val="0"/>
        <w:spacing w:line="360" w:lineRule="auto"/>
        <w:jc w:val="left"/>
        <w:rPr>
          <w:rFonts w:ascii="仿宋" w:hAnsi="仿宋" w:eastAsia="仿宋" w:cs="仿宋"/>
          <w:kern w:val="0"/>
          <w:sz w:val="24"/>
          <w:highlight w:val="none"/>
          <w:shd w:val="clear" w:color="auto" w:fill="FFFFFF" w:themeFill="background1"/>
        </w:rPr>
      </w:pPr>
      <w:r>
        <w:rPr>
          <w:rFonts w:hint="eastAsia" w:ascii="仿宋" w:hAnsi="仿宋" w:eastAsia="仿宋" w:cs="仿宋"/>
          <w:sz w:val="24"/>
        </w:rPr>
        <w:t>投标人名称</w:t>
      </w:r>
      <w:r>
        <w:rPr>
          <w:rFonts w:hint="eastAsia" w:ascii="仿宋" w:hAnsi="仿宋" w:eastAsia="仿宋" w:cs="仿宋"/>
          <w:kern w:val="0"/>
          <w:sz w:val="24"/>
          <w:highlight w:val="none"/>
          <w:shd w:val="clear" w:color="auto" w:fill="FFFFFF" w:themeFill="background1"/>
        </w:rPr>
        <w:t>：</w:t>
      </w:r>
      <w:r>
        <w:rPr>
          <w:rFonts w:hint="eastAsia" w:ascii="仿宋" w:hAnsi="仿宋" w:eastAsia="仿宋" w:cs="仿宋"/>
          <w:kern w:val="0"/>
          <w:sz w:val="24"/>
          <w:highlight w:val="none"/>
          <w:u w:val="single"/>
          <w:shd w:val="clear" w:color="auto" w:fill="FFFFFF" w:themeFill="background1"/>
        </w:rPr>
        <w:t xml:space="preserve">               </w:t>
      </w:r>
      <w:r>
        <w:rPr>
          <w:rFonts w:hint="eastAsia" w:ascii="仿宋" w:hAnsi="仿宋" w:eastAsia="仿宋" w:cs="仿宋"/>
          <w:kern w:val="0"/>
          <w:sz w:val="24"/>
          <w:highlight w:val="none"/>
          <w:shd w:val="clear" w:color="auto" w:fill="FFFFFF" w:themeFill="background1"/>
        </w:rPr>
        <w:t>（盖章）</w:t>
      </w:r>
    </w:p>
    <w:p w14:paraId="67E4C45A">
      <w:pPr>
        <w:widowControl/>
        <w:shd w:val="clear" w:color="auto" w:fill="FFFFFF"/>
        <w:snapToGrid w:val="0"/>
        <w:spacing w:line="360" w:lineRule="auto"/>
        <w:jc w:val="left"/>
        <w:rPr>
          <w:rFonts w:ascii="仿宋" w:hAnsi="仿宋" w:eastAsia="仿宋" w:cs="仿宋"/>
          <w:kern w:val="0"/>
          <w:sz w:val="24"/>
          <w:highlight w:val="none"/>
          <w:shd w:val="clear" w:color="auto" w:fill="FFFFFF" w:themeFill="background1"/>
        </w:rPr>
      </w:pPr>
    </w:p>
    <w:p w14:paraId="6C0C2068">
      <w:pPr>
        <w:widowControl/>
        <w:shd w:val="clear" w:color="auto" w:fill="FFFFFF"/>
        <w:snapToGrid w:val="0"/>
        <w:spacing w:line="360" w:lineRule="auto"/>
        <w:ind w:firstLine="420"/>
        <w:jc w:val="center"/>
        <w:rPr>
          <w:rFonts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 xml:space="preserve">                                               日期： 年  月  日</w:t>
      </w:r>
    </w:p>
    <w:p w14:paraId="0B8A7806">
      <w:pPr>
        <w:widowControl/>
        <w:adjustRightInd w:val="0"/>
        <w:snapToGrid w:val="0"/>
        <w:spacing w:line="360" w:lineRule="auto"/>
        <w:ind w:firstLine="504" w:firstLineChars="200"/>
        <w:rPr>
          <w:rFonts w:ascii="仿宋" w:hAnsi="仿宋" w:eastAsia="仿宋" w:cs="仿宋"/>
          <w:spacing w:val="6"/>
          <w:kern w:val="0"/>
          <w:sz w:val="24"/>
          <w:highlight w:val="none"/>
        </w:rPr>
        <w:sectPr>
          <w:headerReference r:id="rId10" w:type="default"/>
          <w:footerReference r:id="rId11" w:type="default"/>
          <w:pgSz w:w="11906" w:h="16838"/>
          <w:pgMar w:top="1304" w:right="1418" w:bottom="1304" w:left="1418" w:header="851" w:footer="992" w:gutter="0"/>
          <w:pgNumType w:fmt="decimal" w:start="1"/>
          <w:cols w:space="720" w:num="1"/>
          <w:docGrid w:type="lines" w:linePitch="312" w:charSpace="0"/>
        </w:sectPr>
      </w:pPr>
    </w:p>
    <w:p w14:paraId="01E7415A">
      <w:pPr>
        <w:adjustRightInd w:val="0"/>
        <w:snapToGrid w:val="0"/>
        <w:spacing w:line="360" w:lineRule="auto"/>
        <w:jc w:val="center"/>
        <w:outlineLvl w:val="1"/>
        <w:rPr>
          <w:rFonts w:ascii="仿宋" w:hAnsi="仿宋" w:eastAsia="仿宋" w:cs="仿宋"/>
          <w:b/>
          <w:sz w:val="24"/>
          <w:highlight w:val="none"/>
        </w:rPr>
      </w:pPr>
      <w:r>
        <w:rPr>
          <w:rFonts w:hint="eastAsia" w:ascii="仿宋" w:hAnsi="仿宋" w:eastAsia="仿宋" w:cs="仿宋"/>
          <w:b/>
          <w:sz w:val="24"/>
          <w:highlight w:val="none"/>
        </w:rPr>
        <w:t>4.7、未提供本采购项目的整体设计、规范编制或者项目管理、监理、检测等服务的承诺函</w:t>
      </w:r>
    </w:p>
    <w:p w14:paraId="512606CD">
      <w:pPr>
        <w:spacing w:line="360" w:lineRule="auto"/>
        <w:ind w:firstLine="480" w:firstLineChars="200"/>
        <w:rPr>
          <w:rFonts w:ascii="仿宋" w:hAnsi="仿宋" w:eastAsia="仿宋" w:cs="仿宋"/>
          <w:sz w:val="24"/>
          <w:highlight w:val="none"/>
          <w:shd w:val="clear" w:color="auto" w:fill="FFFFFF" w:themeFill="background1"/>
        </w:rPr>
      </w:pPr>
    </w:p>
    <w:p w14:paraId="605D58E9">
      <w:pPr>
        <w:widowControl/>
        <w:adjustRightInd w:val="0"/>
        <w:snapToGrid w:val="0"/>
        <w:spacing w:line="360" w:lineRule="auto"/>
        <w:jc w:val="left"/>
        <w:rPr>
          <w:rFonts w:ascii="仿宋" w:hAnsi="仿宋" w:eastAsia="仿宋" w:cs="仿宋"/>
          <w:spacing w:val="6"/>
          <w:kern w:val="0"/>
          <w:sz w:val="24"/>
          <w:highlight w:val="none"/>
        </w:rPr>
      </w:pPr>
      <w:r>
        <w:rPr>
          <w:rFonts w:hint="eastAsia" w:ascii="仿宋" w:hAnsi="仿宋" w:eastAsia="仿宋" w:cs="仿宋"/>
          <w:spacing w:val="6"/>
          <w:kern w:val="0"/>
          <w:sz w:val="24"/>
          <w:highlight w:val="none"/>
          <w:u w:val="single"/>
        </w:rPr>
        <w:t xml:space="preserve">   采购人    </w:t>
      </w:r>
      <w:r>
        <w:rPr>
          <w:rFonts w:hint="eastAsia" w:ascii="仿宋" w:hAnsi="仿宋" w:eastAsia="仿宋" w:cs="仿宋"/>
          <w:spacing w:val="6"/>
          <w:kern w:val="0"/>
          <w:sz w:val="24"/>
          <w:highlight w:val="none"/>
        </w:rPr>
        <w:t>：</w:t>
      </w:r>
    </w:p>
    <w:p w14:paraId="7B45B500">
      <w:pPr>
        <w:spacing w:line="360" w:lineRule="auto"/>
        <w:ind w:firstLine="480" w:firstLineChars="200"/>
        <w:rPr>
          <w:rFonts w:ascii="仿宋" w:hAnsi="仿宋" w:eastAsia="仿宋" w:cs="仿宋"/>
          <w:sz w:val="24"/>
          <w:highlight w:val="none"/>
          <w:shd w:val="clear" w:color="auto" w:fill="FFFFFF" w:themeFill="background1"/>
        </w:rPr>
      </w:pPr>
      <w:r>
        <w:rPr>
          <w:rFonts w:hint="eastAsia" w:ascii="仿宋" w:hAnsi="仿宋" w:eastAsia="仿宋" w:cs="仿宋"/>
          <w:bCs/>
          <w:sz w:val="24"/>
          <w:highlight w:val="none"/>
          <w:shd w:val="clear" w:color="auto" w:fill="FFFFFF" w:themeFill="background1"/>
        </w:rPr>
        <w:t xml:space="preserve">我公司承诺在 </w:t>
      </w:r>
      <w:r>
        <w:rPr>
          <w:rFonts w:hint="eastAsia" w:ascii="仿宋" w:hAnsi="仿宋" w:eastAsia="仿宋" w:cs="仿宋"/>
          <w:bCs/>
          <w:sz w:val="24"/>
          <w:highlight w:val="none"/>
          <w:u w:val="single"/>
          <w:shd w:val="clear" w:color="auto" w:fill="FFFFFF" w:themeFill="background1"/>
        </w:rPr>
        <w:t xml:space="preserve">    </w:t>
      </w:r>
      <w:r>
        <w:rPr>
          <w:rFonts w:hint="eastAsia" w:ascii="仿宋" w:hAnsi="仿宋" w:eastAsia="仿宋" w:cs="仿宋"/>
          <w:bCs/>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2761B28C">
      <w:pPr>
        <w:widowControl/>
        <w:adjustRightInd w:val="0"/>
        <w:snapToGrid w:val="0"/>
        <w:spacing w:line="360" w:lineRule="auto"/>
        <w:rPr>
          <w:rFonts w:ascii="仿宋" w:hAnsi="仿宋" w:eastAsia="仿宋" w:cs="仿宋"/>
          <w:spacing w:val="6"/>
          <w:kern w:val="0"/>
          <w:sz w:val="24"/>
          <w:highlight w:val="none"/>
        </w:rPr>
      </w:pPr>
    </w:p>
    <w:p w14:paraId="0C31698F">
      <w:pPr>
        <w:widowControl/>
        <w:adjustRightInd w:val="0"/>
        <w:snapToGrid w:val="0"/>
        <w:spacing w:line="360" w:lineRule="auto"/>
        <w:rPr>
          <w:rFonts w:ascii="仿宋" w:hAnsi="仿宋" w:eastAsia="仿宋" w:cs="仿宋"/>
          <w:spacing w:val="6"/>
          <w:kern w:val="0"/>
          <w:sz w:val="24"/>
          <w:highlight w:val="none"/>
        </w:rPr>
      </w:pPr>
    </w:p>
    <w:p w14:paraId="4A99523A">
      <w:pPr>
        <w:widowControl/>
        <w:adjustRightInd w:val="0"/>
        <w:snapToGrid w:val="0"/>
        <w:spacing w:line="360" w:lineRule="auto"/>
        <w:rPr>
          <w:rFonts w:ascii="仿宋" w:hAnsi="仿宋" w:eastAsia="仿宋" w:cs="仿宋"/>
          <w:spacing w:val="6"/>
          <w:kern w:val="0"/>
          <w:sz w:val="24"/>
          <w:highlight w:val="none"/>
        </w:rPr>
      </w:pPr>
    </w:p>
    <w:p w14:paraId="2D35E2DD">
      <w:pPr>
        <w:widowControl/>
        <w:shd w:val="clear" w:color="auto" w:fill="FFFFFF"/>
        <w:snapToGrid w:val="0"/>
        <w:spacing w:line="360" w:lineRule="auto"/>
        <w:jc w:val="left"/>
        <w:rPr>
          <w:rFonts w:ascii="仿宋" w:hAnsi="仿宋" w:eastAsia="仿宋" w:cs="仿宋"/>
          <w:kern w:val="0"/>
          <w:sz w:val="24"/>
          <w:highlight w:val="none"/>
          <w:shd w:val="clear" w:color="auto" w:fill="FFFFFF" w:themeFill="background1"/>
        </w:rPr>
      </w:pPr>
      <w:r>
        <w:rPr>
          <w:rFonts w:hint="eastAsia" w:ascii="仿宋" w:hAnsi="仿宋" w:eastAsia="仿宋" w:cs="仿宋"/>
          <w:sz w:val="24"/>
        </w:rPr>
        <w:t>投标人名称</w:t>
      </w:r>
      <w:r>
        <w:rPr>
          <w:rFonts w:hint="eastAsia" w:ascii="仿宋" w:hAnsi="仿宋" w:eastAsia="仿宋" w:cs="仿宋"/>
          <w:kern w:val="0"/>
          <w:sz w:val="24"/>
          <w:highlight w:val="none"/>
          <w:shd w:val="clear" w:color="auto" w:fill="FFFFFF" w:themeFill="background1"/>
        </w:rPr>
        <w:t>：</w:t>
      </w:r>
      <w:r>
        <w:rPr>
          <w:rFonts w:hint="eastAsia" w:ascii="仿宋" w:hAnsi="仿宋" w:eastAsia="仿宋" w:cs="仿宋"/>
          <w:kern w:val="0"/>
          <w:sz w:val="24"/>
          <w:highlight w:val="none"/>
          <w:u w:val="single"/>
          <w:shd w:val="clear" w:color="auto" w:fill="FFFFFF" w:themeFill="background1"/>
        </w:rPr>
        <w:t xml:space="preserve">               </w:t>
      </w:r>
      <w:r>
        <w:rPr>
          <w:rFonts w:hint="eastAsia" w:ascii="仿宋" w:hAnsi="仿宋" w:eastAsia="仿宋" w:cs="仿宋"/>
          <w:kern w:val="0"/>
          <w:sz w:val="24"/>
          <w:highlight w:val="none"/>
          <w:shd w:val="clear" w:color="auto" w:fill="FFFFFF" w:themeFill="background1"/>
        </w:rPr>
        <w:t>（盖章）</w:t>
      </w:r>
    </w:p>
    <w:p w14:paraId="1E3BF73B">
      <w:pPr>
        <w:widowControl/>
        <w:shd w:val="clear" w:color="auto" w:fill="FFFFFF"/>
        <w:snapToGrid w:val="0"/>
        <w:spacing w:line="360" w:lineRule="auto"/>
        <w:jc w:val="left"/>
        <w:rPr>
          <w:rFonts w:ascii="仿宋" w:hAnsi="仿宋" w:eastAsia="仿宋" w:cs="仿宋"/>
          <w:kern w:val="0"/>
          <w:sz w:val="24"/>
          <w:highlight w:val="none"/>
          <w:shd w:val="clear" w:color="auto" w:fill="FFFFFF" w:themeFill="background1"/>
        </w:rPr>
      </w:pPr>
    </w:p>
    <w:p w14:paraId="2BFFD833">
      <w:pPr>
        <w:widowControl/>
        <w:shd w:val="clear" w:color="auto" w:fill="FFFFFF"/>
        <w:snapToGrid w:val="0"/>
        <w:spacing w:line="360" w:lineRule="auto"/>
        <w:ind w:firstLine="420"/>
        <w:jc w:val="center"/>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 xml:space="preserve">                                               日期： 年  月  日</w:t>
      </w:r>
    </w:p>
    <w:p w14:paraId="76281483">
      <w:pPr>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br w:type="page"/>
      </w:r>
    </w:p>
    <w:p w14:paraId="1E4C9BA6">
      <w:pPr>
        <w:pStyle w:val="14"/>
        <w:spacing w:line="360" w:lineRule="auto"/>
        <w:jc w:val="center"/>
        <w:rPr>
          <w:rFonts w:hint="eastAsia" w:ascii="仿宋" w:hAnsi="仿宋" w:eastAsia="仿宋" w:cs="仿宋"/>
          <w:b/>
          <w:bCs/>
          <w:sz w:val="24"/>
          <w:szCs w:val="24"/>
        </w:rPr>
      </w:pPr>
      <w:r>
        <w:rPr>
          <w:rFonts w:hint="eastAsia" w:ascii="仿宋" w:hAnsi="仿宋" w:eastAsia="仿宋" w:cs="仿宋"/>
          <w:b/>
          <w:sz w:val="24"/>
        </w:rPr>
        <w:t>4.8、</w:t>
      </w:r>
      <w:r>
        <w:rPr>
          <w:rFonts w:hint="eastAsia" w:ascii="仿宋" w:hAnsi="仿宋" w:eastAsia="仿宋" w:cs="仿宋"/>
          <w:b/>
          <w:bCs/>
          <w:sz w:val="24"/>
          <w:szCs w:val="24"/>
        </w:rPr>
        <w:t>投标保证金缴纳凭证</w:t>
      </w:r>
    </w:p>
    <w:p w14:paraId="269AC718">
      <w:pPr>
        <w:pStyle w:val="14"/>
        <w:spacing w:line="360" w:lineRule="auto"/>
        <w:jc w:val="center"/>
        <w:rPr>
          <w:rFonts w:hint="eastAsia" w:ascii="仿宋" w:hAnsi="仿宋" w:eastAsia="仿宋" w:cs="仿宋"/>
          <w:sz w:val="24"/>
          <w:szCs w:val="24"/>
        </w:rPr>
      </w:pPr>
    </w:p>
    <w:tbl>
      <w:tblPr>
        <w:tblStyle w:val="31"/>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2D12DD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51871887">
            <w:pPr>
              <w:pStyle w:val="14"/>
              <w:spacing w:line="360" w:lineRule="auto"/>
              <w:jc w:val="center"/>
              <w:rPr>
                <w:rFonts w:hint="eastAsia" w:ascii="仿宋" w:hAnsi="仿宋" w:eastAsia="仿宋" w:cs="仿宋"/>
                <w:sz w:val="24"/>
                <w:szCs w:val="24"/>
              </w:rPr>
            </w:pPr>
            <w:r>
              <w:rPr>
                <w:rFonts w:hint="eastAsia" w:ascii="仿宋" w:hAnsi="仿宋" w:eastAsia="仿宋" w:cs="仿宋"/>
                <w:sz w:val="24"/>
                <w:szCs w:val="24"/>
              </w:rPr>
              <w:t>投标保证金缴纳凭证</w:t>
            </w:r>
          </w:p>
        </w:tc>
      </w:tr>
    </w:tbl>
    <w:p w14:paraId="70BCCA11">
      <w:pPr>
        <w:rPr>
          <w:rFonts w:hint="eastAsia" w:ascii="仿宋" w:hAnsi="仿宋" w:eastAsia="仿宋" w:cs="仿宋"/>
          <w:b/>
          <w:sz w:val="24"/>
          <w:lang w:val="en-US" w:eastAsia="zh-CN"/>
        </w:rPr>
      </w:pPr>
      <w:r>
        <w:rPr>
          <w:rFonts w:hint="eastAsia" w:ascii="仿宋" w:hAnsi="仿宋" w:eastAsia="仿宋" w:cs="仿宋"/>
          <w:b/>
          <w:sz w:val="24"/>
          <w:lang w:val="en-US" w:eastAsia="zh-CN"/>
        </w:rPr>
        <w:br w:type="page"/>
      </w:r>
    </w:p>
    <w:p w14:paraId="51D46856">
      <w:pPr>
        <w:jc w:val="center"/>
        <w:rPr>
          <w:rFonts w:hint="eastAsia" w:ascii="仿宋" w:hAnsi="仿宋" w:eastAsia="仿宋" w:cs="仿宋"/>
          <w:b/>
          <w:sz w:val="24"/>
          <w:lang w:eastAsia="zh-CN"/>
        </w:rPr>
      </w:pPr>
      <w:r>
        <w:rPr>
          <w:rFonts w:hint="eastAsia" w:ascii="仿宋" w:hAnsi="仿宋" w:eastAsia="仿宋" w:cs="仿宋"/>
          <w:b/>
          <w:sz w:val="24"/>
          <w:lang w:val="en-US" w:eastAsia="zh-CN"/>
        </w:rPr>
        <w:t>4.9</w:t>
      </w:r>
      <w:r>
        <w:rPr>
          <w:rFonts w:hint="eastAsia" w:ascii="仿宋" w:hAnsi="仿宋" w:eastAsia="仿宋" w:cs="仿宋"/>
          <w:b/>
          <w:sz w:val="24"/>
        </w:rPr>
        <w:t>、</w:t>
      </w:r>
      <w:r>
        <w:rPr>
          <w:rFonts w:hint="eastAsia" w:ascii="仿宋" w:hAnsi="仿宋" w:eastAsia="仿宋" w:cs="仿宋"/>
          <w:b/>
          <w:sz w:val="24"/>
          <w:lang w:eastAsia="zh-CN"/>
        </w:rPr>
        <w:t>具有有效期内的测绘行政主管部门颁发的乙级（含）以上测绘资质证书</w:t>
      </w:r>
    </w:p>
    <w:p w14:paraId="1AD047C1">
      <w:pPr>
        <w:jc w:val="center"/>
        <w:rPr>
          <w:rFonts w:hint="eastAsia" w:ascii="仿宋" w:hAnsi="仿宋" w:eastAsia="仿宋" w:cs="仿宋"/>
          <w:b w:val="0"/>
          <w:bCs/>
          <w:sz w:val="24"/>
        </w:rPr>
      </w:pPr>
    </w:p>
    <w:p w14:paraId="342F65D5">
      <w:pPr>
        <w:jc w:val="center"/>
        <w:rPr>
          <w:rFonts w:hint="eastAsia" w:ascii="仿宋" w:hAnsi="仿宋" w:eastAsia="仿宋" w:cs="仿宋"/>
          <w:b w:val="0"/>
          <w:bCs/>
          <w:sz w:val="24"/>
          <w:lang w:val="en-US" w:eastAsia="zh-CN"/>
        </w:rPr>
      </w:pPr>
      <w:r>
        <w:rPr>
          <w:rFonts w:hint="eastAsia" w:ascii="仿宋" w:hAnsi="仿宋" w:eastAsia="仿宋" w:cs="仿宋"/>
          <w:b w:val="0"/>
          <w:bCs/>
          <w:sz w:val="24"/>
        </w:rPr>
        <w:t>【须提供：须提供资质证书扫描件</w:t>
      </w:r>
      <w:r>
        <w:rPr>
          <w:rFonts w:hint="eastAsia" w:ascii="仿宋" w:hAnsi="仿宋" w:eastAsia="仿宋" w:cs="仿宋"/>
          <w:b w:val="0"/>
          <w:bCs/>
          <w:sz w:val="24"/>
          <w:lang w:eastAsia="zh-CN"/>
        </w:rPr>
        <w:t>】</w:t>
      </w:r>
    </w:p>
    <w:p w14:paraId="5D92F51B">
      <w:pPr>
        <w:rPr>
          <w:rFonts w:hint="eastAsia" w:ascii="仿宋" w:hAnsi="仿宋" w:eastAsia="仿宋" w:cs="仿宋"/>
          <w:b/>
          <w:sz w:val="24"/>
          <w:highlight w:val="none"/>
        </w:rPr>
      </w:pPr>
      <w:r>
        <w:rPr>
          <w:rFonts w:hint="eastAsia" w:ascii="仿宋" w:hAnsi="仿宋" w:eastAsia="仿宋" w:cs="仿宋"/>
          <w:b/>
          <w:sz w:val="24"/>
          <w:highlight w:val="none"/>
        </w:rPr>
        <w:br w:type="page"/>
      </w:r>
    </w:p>
    <w:p w14:paraId="5C8AC1A5">
      <w:pPr>
        <w:adjustRightInd w:val="0"/>
        <w:spacing w:line="360" w:lineRule="auto"/>
        <w:ind w:firstLine="482" w:firstLineChars="200"/>
        <w:jc w:val="center"/>
        <w:outlineLvl w:val="1"/>
        <w:rPr>
          <w:rFonts w:ascii="仿宋" w:hAnsi="仿宋" w:eastAsia="仿宋" w:cs="仿宋"/>
          <w:b/>
          <w:sz w:val="24"/>
          <w:highlight w:val="none"/>
        </w:rPr>
      </w:pPr>
      <w:r>
        <w:rPr>
          <w:rFonts w:hint="eastAsia" w:ascii="仿宋" w:hAnsi="仿宋" w:eastAsia="仿宋" w:cs="仿宋"/>
          <w:b/>
          <w:sz w:val="24"/>
          <w:highlight w:val="none"/>
        </w:rPr>
        <w:t>五、投标人类似项目业绩一览表</w:t>
      </w:r>
      <w:bookmarkEnd w:id="143"/>
    </w:p>
    <w:p w14:paraId="5CDB21C3">
      <w:pPr>
        <w:spacing w:line="360" w:lineRule="auto"/>
        <w:rPr>
          <w:rFonts w:ascii="仿宋" w:hAnsi="仿宋" w:eastAsia="仿宋" w:cs="仿宋"/>
          <w:sz w:val="24"/>
          <w:highlight w:val="none"/>
        </w:rPr>
      </w:pPr>
    </w:p>
    <w:tbl>
      <w:tblPr>
        <w:tblStyle w:val="31"/>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5AD2E6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608B8EE7">
            <w:pPr>
              <w:spacing w:line="360" w:lineRule="auto"/>
              <w:rPr>
                <w:rFonts w:ascii="仿宋" w:hAnsi="仿宋" w:eastAsia="仿宋" w:cs="仿宋"/>
                <w:b/>
                <w:sz w:val="24"/>
                <w:highlight w:val="none"/>
              </w:rPr>
            </w:pPr>
            <w:r>
              <w:rPr>
                <w:rFonts w:hint="eastAsia" w:ascii="仿宋" w:hAnsi="仿宋" w:eastAsia="仿宋" w:cs="仿宋"/>
                <w:b/>
                <w:sz w:val="24"/>
                <w:highlight w:val="none"/>
              </w:rPr>
              <w:t>序号</w:t>
            </w:r>
          </w:p>
        </w:tc>
        <w:tc>
          <w:tcPr>
            <w:tcW w:w="960" w:type="dxa"/>
            <w:vAlign w:val="center"/>
          </w:tcPr>
          <w:p w14:paraId="1B80B436">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采购人</w:t>
            </w:r>
          </w:p>
        </w:tc>
        <w:tc>
          <w:tcPr>
            <w:tcW w:w="1113" w:type="dxa"/>
            <w:vAlign w:val="center"/>
          </w:tcPr>
          <w:p w14:paraId="7A47B43D">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联系人</w:t>
            </w:r>
          </w:p>
        </w:tc>
        <w:tc>
          <w:tcPr>
            <w:tcW w:w="1151" w:type="dxa"/>
            <w:vAlign w:val="center"/>
          </w:tcPr>
          <w:p w14:paraId="2E60FDB6">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联系电话</w:t>
            </w:r>
          </w:p>
        </w:tc>
        <w:tc>
          <w:tcPr>
            <w:tcW w:w="1162" w:type="dxa"/>
            <w:vAlign w:val="center"/>
          </w:tcPr>
          <w:p w14:paraId="595A15ED">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项目名称</w:t>
            </w:r>
          </w:p>
        </w:tc>
        <w:tc>
          <w:tcPr>
            <w:tcW w:w="1180" w:type="dxa"/>
            <w:vAlign w:val="center"/>
          </w:tcPr>
          <w:p w14:paraId="7362C6BD">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完成时间</w:t>
            </w:r>
          </w:p>
        </w:tc>
        <w:tc>
          <w:tcPr>
            <w:tcW w:w="1158" w:type="dxa"/>
            <w:vAlign w:val="center"/>
          </w:tcPr>
          <w:p w14:paraId="556D7835">
            <w:pPr>
              <w:spacing w:line="360" w:lineRule="auto"/>
              <w:rPr>
                <w:rFonts w:ascii="仿宋" w:hAnsi="仿宋" w:eastAsia="仿宋" w:cs="仿宋"/>
                <w:b/>
                <w:sz w:val="24"/>
                <w:highlight w:val="none"/>
              </w:rPr>
            </w:pPr>
            <w:r>
              <w:rPr>
                <w:rFonts w:hint="eastAsia" w:ascii="仿宋" w:hAnsi="仿宋" w:eastAsia="仿宋" w:cs="仿宋"/>
                <w:b/>
                <w:sz w:val="24"/>
                <w:highlight w:val="none"/>
              </w:rPr>
              <w:t>合同金额</w:t>
            </w:r>
          </w:p>
        </w:tc>
        <w:tc>
          <w:tcPr>
            <w:tcW w:w="1079" w:type="dxa"/>
            <w:gridSpan w:val="2"/>
            <w:tcBorders>
              <w:right w:val="single" w:color="auto" w:sz="4" w:space="0"/>
            </w:tcBorders>
            <w:vAlign w:val="center"/>
          </w:tcPr>
          <w:p w14:paraId="41BEAD9E">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项目描述</w:t>
            </w:r>
          </w:p>
        </w:tc>
      </w:tr>
      <w:tr w14:paraId="29F8AD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5DDDD2DB">
            <w:pPr>
              <w:spacing w:line="360" w:lineRule="auto"/>
              <w:jc w:val="center"/>
              <w:rPr>
                <w:rFonts w:ascii="仿宋" w:hAnsi="仿宋" w:eastAsia="仿宋" w:cs="仿宋"/>
                <w:sz w:val="24"/>
                <w:highlight w:val="none"/>
              </w:rPr>
            </w:pPr>
          </w:p>
        </w:tc>
        <w:tc>
          <w:tcPr>
            <w:tcW w:w="960" w:type="dxa"/>
            <w:vAlign w:val="center"/>
          </w:tcPr>
          <w:p w14:paraId="29D9B83C">
            <w:pPr>
              <w:spacing w:line="360" w:lineRule="auto"/>
              <w:jc w:val="center"/>
              <w:rPr>
                <w:rFonts w:ascii="仿宋" w:hAnsi="仿宋" w:eastAsia="仿宋" w:cs="仿宋"/>
                <w:sz w:val="24"/>
                <w:highlight w:val="none"/>
              </w:rPr>
            </w:pPr>
          </w:p>
        </w:tc>
        <w:tc>
          <w:tcPr>
            <w:tcW w:w="1113" w:type="dxa"/>
            <w:vAlign w:val="center"/>
          </w:tcPr>
          <w:p w14:paraId="2624317A">
            <w:pPr>
              <w:spacing w:line="360" w:lineRule="auto"/>
              <w:jc w:val="center"/>
              <w:rPr>
                <w:rFonts w:ascii="仿宋" w:hAnsi="仿宋" w:eastAsia="仿宋" w:cs="仿宋"/>
                <w:sz w:val="24"/>
                <w:highlight w:val="none"/>
              </w:rPr>
            </w:pPr>
          </w:p>
        </w:tc>
        <w:tc>
          <w:tcPr>
            <w:tcW w:w="1151" w:type="dxa"/>
            <w:vAlign w:val="center"/>
          </w:tcPr>
          <w:p w14:paraId="248E9E69">
            <w:pPr>
              <w:spacing w:line="360" w:lineRule="auto"/>
              <w:jc w:val="center"/>
              <w:rPr>
                <w:rFonts w:ascii="仿宋" w:hAnsi="仿宋" w:eastAsia="仿宋" w:cs="仿宋"/>
                <w:sz w:val="24"/>
                <w:highlight w:val="none"/>
              </w:rPr>
            </w:pPr>
          </w:p>
        </w:tc>
        <w:tc>
          <w:tcPr>
            <w:tcW w:w="1162" w:type="dxa"/>
            <w:vAlign w:val="center"/>
          </w:tcPr>
          <w:p w14:paraId="297AD249">
            <w:pPr>
              <w:spacing w:line="360" w:lineRule="auto"/>
              <w:jc w:val="center"/>
              <w:rPr>
                <w:rFonts w:ascii="仿宋" w:hAnsi="仿宋" w:eastAsia="仿宋" w:cs="仿宋"/>
                <w:sz w:val="24"/>
                <w:highlight w:val="none"/>
              </w:rPr>
            </w:pPr>
          </w:p>
        </w:tc>
        <w:tc>
          <w:tcPr>
            <w:tcW w:w="1180" w:type="dxa"/>
            <w:vAlign w:val="center"/>
          </w:tcPr>
          <w:p w14:paraId="14B72DC6">
            <w:pPr>
              <w:spacing w:line="360" w:lineRule="auto"/>
              <w:jc w:val="center"/>
              <w:rPr>
                <w:rFonts w:ascii="仿宋" w:hAnsi="仿宋" w:eastAsia="仿宋" w:cs="仿宋"/>
                <w:sz w:val="24"/>
                <w:highlight w:val="none"/>
              </w:rPr>
            </w:pPr>
          </w:p>
        </w:tc>
        <w:tc>
          <w:tcPr>
            <w:tcW w:w="1158" w:type="dxa"/>
            <w:vAlign w:val="center"/>
          </w:tcPr>
          <w:p w14:paraId="610F2C73">
            <w:pPr>
              <w:spacing w:line="360" w:lineRule="auto"/>
              <w:jc w:val="center"/>
              <w:rPr>
                <w:rFonts w:ascii="仿宋" w:hAnsi="仿宋" w:eastAsia="仿宋" w:cs="仿宋"/>
                <w:sz w:val="24"/>
                <w:highlight w:val="none"/>
              </w:rPr>
            </w:pPr>
          </w:p>
        </w:tc>
        <w:tc>
          <w:tcPr>
            <w:tcW w:w="1079" w:type="dxa"/>
            <w:gridSpan w:val="2"/>
            <w:tcBorders>
              <w:right w:val="single" w:color="auto" w:sz="4" w:space="0"/>
            </w:tcBorders>
            <w:vAlign w:val="center"/>
          </w:tcPr>
          <w:p w14:paraId="5F523881">
            <w:pPr>
              <w:spacing w:line="360" w:lineRule="auto"/>
              <w:jc w:val="center"/>
              <w:rPr>
                <w:rFonts w:ascii="仿宋" w:hAnsi="仿宋" w:eastAsia="仿宋" w:cs="仿宋"/>
                <w:sz w:val="24"/>
                <w:highlight w:val="none"/>
              </w:rPr>
            </w:pPr>
          </w:p>
        </w:tc>
      </w:tr>
      <w:tr w14:paraId="0AB0CA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49517CA">
            <w:pPr>
              <w:spacing w:line="360" w:lineRule="auto"/>
              <w:jc w:val="center"/>
              <w:rPr>
                <w:rFonts w:ascii="仿宋" w:hAnsi="仿宋" w:eastAsia="仿宋" w:cs="仿宋"/>
                <w:sz w:val="24"/>
                <w:highlight w:val="none"/>
              </w:rPr>
            </w:pPr>
          </w:p>
        </w:tc>
        <w:tc>
          <w:tcPr>
            <w:tcW w:w="960" w:type="dxa"/>
            <w:vAlign w:val="center"/>
          </w:tcPr>
          <w:p w14:paraId="34D45C7F">
            <w:pPr>
              <w:spacing w:line="360" w:lineRule="auto"/>
              <w:jc w:val="center"/>
              <w:rPr>
                <w:rFonts w:ascii="仿宋" w:hAnsi="仿宋" w:eastAsia="仿宋" w:cs="仿宋"/>
                <w:sz w:val="24"/>
                <w:highlight w:val="none"/>
              </w:rPr>
            </w:pPr>
          </w:p>
        </w:tc>
        <w:tc>
          <w:tcPr>
            <w:tcW w:w="1113" w:type="dxa"/>
            <w:vAlign w:val="center"/>
          </w:tcPr>
          <w:p w14:paraId="56179674">
            <w:pPr>
              <w:spacing w:line="360" w:lineRule="auto"/>
              <w:jc w:val="center"/>
              <w:rPr>
                <w:rFonts w:ascii="仿宋" w:hAnsi="仿宋" w:eastAsia="仿宋" w:cs="仿宋"/>
                <w:sz w:val="24"/>
                <w:highlight w:val="none"/>
              </w:rPr>
            </w:pPr>
          </w:p>
        </w:tc>
        <w:tc>
          <w:tcPr>
            <w:tcW w:w="1151" w:type="dxa"/>
            <w:vAlign w:val="center"/>
          </w:tcPr>
          <w:p w14:paraId="7CBD4104">
            <w:pPr>
              <w:spacing w:line="360" w:lineRule="auto"/>
              <w:jc w:val="center"/>
              <w:rPr>
                <w:rFonts w:ascii="仿宋" w:hAnsi="仿宋" w:eastAsia="仿宋" w:cs="仿宋"/>
                <w:sz w:val="24"/>
                <w:highlight w:val="none"/>
              </w:rPr>
            </w:pPr>
          </w:p>
        </w:tc>
        <w:tc>
          <w:tcPr>
            <w:tcW w:w="1162" w:type="dxa"/>
            <w:vAlign w:val="center"/>
          </w:tcPr>
          <w:p w14:paraId="1FB0162C">
            <w:pPr>
              <w:spacing w:line="360" w:lineRule="auto"/>
              <w:jc w:val="center"/>
              <w:rPr>
                <w:rFonts w:ascii="仿宋" w:hAnsi="仿宋" w:eastAsia="仿宋" w:cs="仿宋"/>
                <w:sz w:val="24"/>
                <w:highlight w:val="none"/>
              </w:rPr>
            </w:pPr>
          </w:p>
        </w:tc>
        <w:tc>
          <w:tcPr>
            <w:tcW w:w="1180" w:type="dxa"/>
            <w:vAlign w:val="center"/>
          </w:tcPr>
          <w:p w14:paraId="0661AA72">
            <w:pPr>
              <w:spacing w:line="360" w:lineRule="auto"/>
              <w:jc w:val="center"/>
              <w:rPr>
                <w:rFonts w:ascii="仿宋" w:hAnsi="仿宋" w:eastAsia="仿宋" w:cs="仿宋"/>
                <w:sz w:val="24"/>
                <w:highlight w:val="none"/>
              </w:rPr>
            </w:pPr>
          </w:p>
        </w:tc>
        <w:tc>
          <w:tcPr>
            <w:tcW w:w="1158" w:type="dxa"/>
            <w:vAlign w:val="center"/>
          </w:tcPr>
          <w:p w14:paraId="2B4694FA">
            <w:pPr>
              <w:spacing w:line="360" w:lineRule="auto"/>
              <w:jc w:val="center"/>
              <w:rPr>
                <w:rFonts w:ascii="仿宋" w:hAnsi="仿宋" w:eastAsia="仿宋" w:cs="仿宋"/>
                <w:sz w:val="24"/>
                <w:highlight w:val="none"/>
              </w:rPr>
            </w:pPr>
          </w:p>
        </w:tc>
        <w:tc>
          <w:tcPr>
            <w:tcW w:w="1079" w:type="dxa"/>
            <w:gridSpan w:val="2"/>
            <w:tcBorders>
              <w:right w:val="single" w:color="auto" w:sz="4" w:space="0"/>
            </w:tcBorders>
            <w:vAlign w:val="center"/>
          </w:tcPr>
          <w:p w14:paraId="294A02F4">
            <w:pPr>
              <w:spacing w:line="360" w:lineRule="auto"/>
              <w:jc w:val="center"/>
              <w:rPr>
                <w:rFonts w:ascii="仿宋" w:hAnsi="仿宋" w:eastAsia="仿宋" w:cs="仿宋"/>
                <w:sz w:val="24"/>
                <w:highlight w:val="none"/>
              </w:rPr>
            </w:pPr>
          </w:p>
        </w:tc>
      </w:tr>
      <w:tr w14:paraId="166923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34E57B97">
            <w:pPr>
              <w:spacing w:line="360" w:lineRule="auto"/>
              <w:jc w:val="center"/>
              <w:rPr>
                <w:rFonts w:ascii="仿宋" w:hAnsi="仿宋" w:eastAsia="仿宋" w:cs="仿宋"/>
                <w:sz w:val="24"/>
                <w:highlight w:val="none"/>
              </w:rPr>
            </w:pPr>
          </w:p>
        </w:tc>
        <w:tc>
          <w:tcPr>
            <w:tcW w:w="960" w:type="dxa"/>
            <w:vAlign w:val="center"/>
          </w:tcPr>
          <w:p w14:paraId="5E2EA9CA">
            <w:pPr>
              <w:spacing w:line="360" w:lineRule="auto"/>
              <w:jc w:val="center"/>
              <w:rPr>
                <w:rFonts w:ascii="仿宋" w:hAnsi="仿宋" w:eastAsia="仿宋" w:cs="仿宋"/>
                <w:sz w:val="24"/>
                <w:highlight w:val="none"/>
              </w:rPr>
            </w:pPr>
          </w:p>
        </w:tc>
        <w:tc>
          <w:tcPr>
            <w:tcW w:w="1113" w:type="dxa"/>
            <w:vAlign w:val="center"/>
          </w:tcPr>
          <w:p w14:paraId="51CC9347">
            <w:pPr>
              <w:spacing w:line="360" w:lineRule="auto"/>
              <w:jc w:val="center"/>
              <w:rPr>
                <w:rFonts w:ascii="仿宋" w:hAnsi="仿宋" w:eastAsia="仿宋" w:cs="仿宋"/>
                <w:sz w:val="24"/>
                <w:highlight w:val="none"/>
              </w:rPr>
            </w:pPr>
          </w:p>
        </w:tc>
        <w:tc>
          <w:tcPr>
            <w:tcW w:w="1151" w:type="dxa"/>
            <w:vAlign w:val="center"/>
          </w:tcPr>
          <w:p w14:paraId="423C1251">
            <w:pPr>
              <w:spacing w:line="360" w:lineRule="auto"/>
              <w:jc w:val="center"/>
              <w:rPr>
                <w:rFonts w:ascii="仿宋" w:hAnsi="仿宋" w:eastAsia="仿宋" w:cs="仿宋"/>
                <w:sz w:val="24"/>
                <w:highlight w:val="none"/>
              </w:rPr>
            </w:pPr>
          </w:p>
        </w:tc>
        <w:tc>
          <w:tcPr>
            <w:tcW w:w="1162" w:type="dxa"/>
            <w:vAlign w:val="center"/>
          </w:tcPr>
          <w:p w14:paraId="6CA15510">
            <w:pPr>
              <w:spacing w:line="360" w:lineRule="auto"/>
              <w:jc w:val="center"/>
              <w:rPr>
                <w:rFonts w:ascii="仿宋" w:hAnsi="仿宋" w:eastAsia="仿宋" w:cs="仿宋"/>
                <w:sz w:val="24"/>
                <w:highlight w:val="none"/>
              </w:rPr>
            </w:pPr>
          </w:p>
        </w:tc>
        <w:tc>
          <w:tcPr>
            <w:tcW w:w="1180" w:type="dxa"/>
            <w:vAlign w:val="center"/>
          </w:tcPr>
          <w:p w14:paraId="345B3612">
            <w:pPr>
              <w:spacing w:line="360" w:lineRule="auto"/>
              <w:jc w:val="center"/>
              <w:rPr>
                <w:rFonts w:ascii="仿宋" w:hAnsi="仿宋" w:eastAsia="仿宋" w:cs="仿宋"/>
                <w:sz w:val="24"/>
                <w:highlight w:val="none"/>
              </w:rPr>
            </w:pPr>
          </w:p>
        </w:tc>
        <w:tc>
          <w:tcPr>
            <w:tcW w:w="1158" w:type="dxa"/>
            <w:vAlign w:val="center"/>
          </w:tcPr>
          <w:p w14:paraId="4CE0A90E">
            <w:pPr>
              <w:spacing w:line="360" w:lineRule="auto"/>
              <w:jc w:val="center"/>
              <w:rPr>
                <w:rFonts w:ascii="仿宋" w:hAnsi="仿宋" w:eastAsia="仿宋" w:cs="仿宋"/>
                <w:sz w:val="24"/>
                <w:highlight w:val="none"/>
              </w:rPr>
            </w:pPr>
          </w:p>
        </w:tc>
        <w:tc>
          <w:tcPr>
            <w:tcW w:w="1079" w:type="dxa"/>
            <w:gridSpan w:val="2"/>
            <w:tcBorders>
              <w:right w:val="single" w:color="auto" w:sz="4" w:space="0"/>
            </w:tcBorders>
            <w:vAlign w:val="center"/>
          </w:tcPr>
          <w:p w14:paraId="436BB161">
            <w:pPr>
              <w:spacing w:line="360" w:lineRule="auto"/>
              <w:jc w:val="center"/>
              <w:rPr>
                <w:rFonts w:ascii="仿宋" w:hAnsi="仿宋" w:eastAsia="仿宋" w:cs="仿宋"/>
                <w:sz w:val="24"/>
                <w:highlight w:val="none"/>
              </w:rPr>
            </w:pPr>
          </w:p>
        </w:tc>
      </w:tr>
      <w:tr w14:paraId="7A1438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5FFADD6">
            <w:pPr>
              <w:spacing w:line="360" w:lineRule="auto"/>
              <w:jc w:val="center"/>
              <w:rPr>
                <w:rFonts w:ascii="仿宋" w:hAnsi="仿宋" w:eastAsia="仿宋" w:cs="仿宋"/>
                <w:sz w:val="24"/>
                <w:highlight w:val="none"/>
              </w:rPr>
            </w:pPr>
          </w:p>
        </w:tc>
        <w:tc>
          <w:tcPr>
            <w:tcW w:w="960" w:type="dxa"/>
            <w:tcBorders>
              <w:right w:val="single" w:color="auto" w:sz="4" w:space="0"/>
            </w:tcBorders>
            <w:vAlign w:val="center"/>
          </w:tcPr>
          <w:p w14:paraId="400CD182">
            <w:pPr>
              <w:spacing w:line="360" w:lineRule="auto"/>
              <w:jc w:val="center"/>
              <w:rPr>
                <w:rFonts w:ascii="仿宋" w:hAnsi="仿宋" w:eastAsia="仿宋" w:cs="仿宋"/>
                <w:sz w:val="24"/>
                <w:highlight w:val="none"/>
              </w:rPr>
            </w:pPr>
          </w:p>
        </w:tc>
        <w:tc>
          <w:tcPr>
            <w:tcW w:w="1113" w:type="dxa"/>
            <w:tcBorders>
              <w:left w:val="single" w:color="auto" w:sz="4" w:space="0"/>
            </w:tcBorders>
            <w:vAlign w:val="center"/>
          </w:tcPr>
          <w:p w14:paraId="6F64686E">
            <w:pPr>
              <w:spacing w:line="360" w:lineRule="auto"/>
              <w:jc w:val="center"/>
              <w:rPr>
                <w:rFonts w:ascii="仿宋" w:hAnsi="仿宋" w:eastAsia="仿宋" w:cs="仿宋"/>
                <w:sz w:val="24"/>
                <w:highlight w:val="none"/>
              </w:rPr>
            </w:pPr>
          </w:p>
        </w:tc>
        <w:tc>
          <w:tcPr>
            <w:tcW w:w="1151" w:type="dxa"/>
            <w:tcBorders>
              <w:left w:val="single" w:color="auto" w:sz="4" w:space="0"/>
            </w:tcBorders>
            <w:vAlign w:val="center"/>
          </w:tcPr>
          <w:p w14:paraId="6BAE2210">
            <w:pPr>
              <w:spacing w:line="360" w:lineRule="auto"/>
              <w:jc w:val="center"/>
              <w:rPr>
                <w:rFonts w:ascii="仿宋" w:hAnsi="仿宋" w:eastAsia="仿宋" w:cs="仿宋"/>
                <w:sz w:val="24"/>
                <w:highlight w:val="none"/>
              </w:rPr>
            </w:pPr>
          </w:p>
        </w:tc>
        <w:tc>
          <w:tcPr>
            <w:tcW w:w="1162" w:type="dxa"/>
            <w:tcBorders>
              <w:left w:val="single" w:color="auto" w:sz="4" w:space="0"/>
            </w:tcBorders>
            <w:vAlign w:val="center"/>
          </w:tcPr>
          <w:p w14:paraId="62EE19EF">
            <w:pPr>
              <w:spacing w:line="360" w:lineRule="auto"/>
              <w:jc w:val="center"/>
              <w:rPr>
                <w:rFonts w:ascii="仿宋" w:hAnsi="仿宋" w:eastAsia="仿宋" w:cs="仿宋"/>
                <w:sz w:val="24"/>
                <w:highlight w:val="none"/>
              </w:rPr>
            </w:pPr>
          </w:p>
        </w:tc>
        <w:tc>
          <w:tcPr>
            <w:tcW w:w="1180" w:type="dxa"/>
            <w:vAlign w:val="center"/>
          </w:tcPr>
          <w:p w14:paraId="41A0D1EB">
            <w:pPr>
              <w:spacing w:line="360" w:lineRule="auto"/>
              <w:jc w:val="center"/>
              <w:rPr>
                <w:rFonts w:ascii="仿宋" w:hAnsi="仿宋" w:eastAsia="仿宋" w:cs="仿宋"/>
                <w:sz w:val="24"/>
                <w:highlight w:val="none"/>
              </w:rPr>
            </w:pPr>
          </w:p>
        </w:tc>
        <w:tc>
          <w:tcPr>
            <w:tcW w:w="1158" w:type="dxa"/>
            <w:vAlign w:val="center"/>
          </w:tcPr>
          <w:p w14:paraId="20A52D74">
            <w:pPr>
              <w:spacing w:line="360" w:lineRule="auto"/>
              <w:jc w:val="center"/>
              <w:rPr>
                <w:rFonts w:ascii="仿宋" w:hAnsi="仿宋" w:eastAsia="仿宋" w:cs="仿宋"/>
                <w:sz w:val="24"/>
                <w:highlight w:val="none"/>
              </w:rPr>
            </w:pPr>
          </w:p>
        </w:tc>
        <w:tc>
          <w:tcPr>
            <w:tcW w:w="1079" w:type="dxa"/>
            <w:gridSpan w:val="2"/>
            <w:tcBorders>
              <w:right w:val="single" w:color="auto" w:sz="4" w:space="0"/>
            </w:tcBorders>
            <w:vAlign w:val="center"/>
          </w:tcPr>
          <w:p w14:paraId="27A44033">
            <w:pPr>
              <w:spacing w:line="360" w:lineRule="auto"/>
              <w:jc w:val="center"/>
              <w:rPr>
                <w:rFonts w:ascii="仿宋" w:hAnsi="仿宋" w:eastAsia="仿宋" w:cs="仿宋"/>
                <w:sz w:val="24"/>
                <w:highlight w:val="none"/>
              </w:rPr>
            </w:pPr>
          </w:p>
        </w:tc>
      </w:tr>
      <w:tr w14:paraId="68ABCD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4A96FEFC">
            <w:pPr>
              <w:spacing w:line="360" w:lineRule="auto"/>
              <w:rPr>
                <w:rFonts w:ascii="仿宋" w:hAnsi="仿宋" w:eastAsia="仿宋" w:cs="仿宋"/>
                <w:sz w:val="24"/>
                <w:highlight w:val="none"/>
              </w:rPr>
            </w:pPr>
          </w:p>
        </w:tc>
        <w:tc>
          <w:tcPr>
            <w:tcW w:w="960" w:type="dxa"/>
            <w:tcBorders>
              <w:left w:val="single" w:color="auto" w:sz="4" w:space="0"/>
              <w:right w:val="single" w:color="auto" w:sz="4" w:space="0"/>
            </w:tcBorders>
            <w:vAlign w:val="center"/>
          </w:tcPr>
          <w:p w14:paraId="4A7F56DD">
            <w:pPr>
              <w:spacing w:line="360" w:lineRule="auto"/>
              <w:rPr>
                <w:rFonts w:ascii="仿宋" w:hAnsi="仿宋" w:eastAsia="仿宋" w:cs="仿宋"/>
                <w:sz w:val="24"/>
                <w:highlight w:val="none"/>
              </w:rPr>
            </w:pPr>
          </w:p>
        </w:tc>
        <w:tc>
          <w:tcPr>
            <w:tcW w:w="1113" w:type="dxa"/>
            <w:tcBorders>
              <w:left w:val="single" w:color="auto" w:sz="4" w:space="0"/>
              <w:right w:val="single" w:color="auto" w:sz="4" w:space="0"/>
            </w:tcBorders>
            <w:vAlign w:val="center"/>
          </w:tcPr>
          <w:p w14:paraId="5DE63DCA">
            <w:pPr>
              <w:spacing w:line="360" w:lineRule="auto"/>
              <w:rPr>
                <w:rFonts w:ascii="仿宋" w:hAnsi="仿宋" w:eastAsia="仿宋" w:cs="仿宋"/>
                <w:sz w:val="24"/>
                <w:highlight w:val="none"/>
              </w:rPr>
            </w:pPr>
          </w:p>
        </w:tc>
        <w:tc>
          <w:tcPr>
            <w:tcW w:w="1151" w:type="dxa"/>
            <w:tcBorders>
              <w:left w:val="single" w:color="auto" w:sz="4" w:space="0"/>
              <w:right w:val="single" w:color="auto" w:sz="4" w:space="0"/>
            </w:tcBorders>
            <w:vAlign w:val="center"/>
          </w:tcPr>
          <w:p w14:paraId="623ED29B">
            <w:pPr>
              <w:spacing w:line="360" w:lineRule="auto"/>
              <w:rPr>
                <w:rFonts w:ascii="仿宋" w:hAnsi="仿宋" w:eastAsia="仿宋" w:cs="仿宋"/>
                <w:sz w:val="24"/>
                <w:highlight w:val="none"/>
              </w:rPr>
            </w:pPr>
          </w:p>
        </w:tc>
        <w:tc>
          <w:tcPr>
            <w:tcW w:w="1162" w:type="dxa"/>
            <w:tcBorders>
              <w:left w:val="single" w:color="auto" w:sz="4" w:space="0"/>
              <w:right w:val="single" w:color="auto" w:sz="4" w:space="0"/>
            </w:tcBorders>
            <w:vAlign w:val="center"/>
          </w:tcPr>
          <w:p w14:paraId="02D9A034">
            <w:pPr>
              <w:spacing w:line="360" w:lineRule="auto"/>
              <w:rPr>
                <w:rFonts w:ascii="仿宋" w:hAnsi="仿宋" w:eastAsia="仿宋" w:cs="仿宋"/>
                <w:sz w:val="24"/>
                <w:highlight w:val="none"/>
              </w:rPr>
            </w:pPr>
          </w:p>
        </w:tc>
        <w:tc>
          <w:tcPr>
            <w:tcW w:w="1180" w:type="dxa"/>
            <w:tcBorders>
              <w:left w:val="single" w:color="auto" w:sz="4" w:space="0"/>
              <w:right w:val="single" w:color="auto" w:sz="4" w:space="0"/>
            </w:tcBorders>
            <w:vAlign w:val="center"/>
          </w:tcPr>
          <w:p w14:paraId="0400BE08">
            <w:pPr>
              <w:spacing w:line="360" w:lineRule="auto"/>
              <w:rPr>
                <w:rFonts w:ascii="仿宋" w:hAnsi="仿宋" w:eastAsia="仿宋" w:cs="仿宋"/>
                <w:sz w:val="24"/>
                <w:highlight w:val="none"/>
              </w:rPr>
            </w:pPr>
          </w:p>
        </w:tc>
        <w:tc>
          <w:tcPr>
            <w:tcW w:w="1158" w:type="dxa"/>
            <w:tcBorders>
              <w:left w:val="single" w:color="auto" w:sz="4" w:space="0"/>
              <w:right w:val="single" w:color="auto" w:sz="4" w:space="0"/>
            </w:tcBorders>
            <w:vAlign w:val="center"/>
          </w:tcPr>
          <w:p w14:paraId="0D896BEE">
            <w:pPr>
              <w:spacing w:line="360" w:lineRule="auto"/>
              <w:rPr>
                <w:rFonts w:ascii="仿宋" w:hAnsi="仿宋" w:eastAsia="仿宋" w:cs="仿宋"/>
                <w:sz w:val="24"/>
                <w:highlight w:val="none"/>
              </w:rPr>
            </w:pPr>
          </w:p>
        </w:tc>
        <w:tc>
          <w:tcPr>
            <w:tcW w:w="1079" w:type="dxa"/>
            <w:gridSpan w:val="2"/>
            <w:tcBorders>
              <w:left w:val="single" w:color="auto" w:sz="4" w:space="0"/>
              <w:right w:val="single" w:color="auto" w:sz="4" w:space="0"/>
            </w:tcBorders>
            <w:vAlign w:val="center"/>
          </w:tcPr>
          <w:p w14:paraId="1D73C94A">
            <w:pPr>
              <w:spacing w:line="360" w:lineRule="auto"/>
              <w:rPr>
                <w:rFonts w:ascii="仿宋" w:hAnsi="仿宋" w:eastAsia="仿宋" w:cs="仿宋"/>
                <w:sz w:val="24"/>
                <w:highlight w:val="none"/>
              </w:rPr>
            </w:pPr>
          </w:p>
        </w:tc>
      </w:tr>
      <w:tr w14:paraId="194DF7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57362C14">
            <w:pPr>
              <w:spacing w:line="360" w:lineRule="auto"/>
              <w:rPr>
                <w:rFonts w:ascii="仿宋" w:hAnsi="仿宋" w:eastAsia="仿宋" w:cs="仿宋"/>
                <w:sz w:val="24"/>
                <w:highlight w:val="none"/>
              </w:rPr>
            </w:pPr>
          </w:p>
        </w:tc>
        <w:tc>
          <w:tcPr>
            <w:tcW w:w="960" w:type="dxa"/>
            <w:vAlign w:val="center"/>
          </w:tcPr>
          <w:p w14:paraId="5E668D88">
            <w:pPr>
              <w:spacing w:line="360" w:lineRule="auto"/>
              <w:rPr>
                <w:rFonts w:ascii="仿宋" w:hAnsi="仿宋" w:eastAsia="仿宋" w:cs="仿宋"/>
                <w:sz w:val="24"/>
                <w:highlight w:val="none"/>
              </w:rPr>
            </w:pPr>
          </w:p>
        </w:tc>
        <w:tc>
          <w:tcPr>
            <w:tcW w:w="1113" w:type="dxa"/>
            <w:vAlign w:val="center"/>
          </w:tcPr>
          <w:p w14:paraId="4F7839BD">
            <w:pPr>
              <w:spacing w:line="360" w:lineRule="auto"/>
              <w:rPr>
                <w:rFonts w:ascii="仿宋" w:hAnsi="仿宋" w:eastAsia="仿宋" w:cs="仿宋"/>
                <w:sz w:val="24"/>
                <w:highlight w:val="none"/>
              </w:rPr>
            </w:pPr>
          </w:p>
        </w:tc>
        <w:tc>
          <w:tcPr>
            <w:tcW w:w="1151" w:type="dxa"/>
            <w:vAlign w:val="center"/>
          </w:tcPr>
          <w:p w14:paraId="4AB7026D">
            <w:pPr>
              <w:spacing w:line="360" w:lineRule="auto"/>
              <w:rPr>
                <w:rFonts w:ascii="仿宋" w:hAnsi="仿宋" w:eastAsia="仿宋" w:cs="仿宋"/>
                <w:sz w:val="24"/>
                <w:highlight w:val="none"/>
              </w:rPr>
            </w:pPr>
          </w:p>
        </w:tc>
        <w:tc>
          <w:tcPr>
            <w:tcW w:w="1162" w:type="dxa"/>
            <w:vAlign w:val="center"/>
          </w:tcPr>
          <w:p w14:paraId="78A073E9">
            <w:pPr>
              <w:spacing w:line="360" w:lineRule="auto"/>
              <w:rPr>
                <w:rFonts w:ascii="仿宋" w:hAnsi="仿宋" w:eastAsia="仿宋" w:cs="仿宋"/>
                <w:sz w:val="24"/>
                <w:highlight w:val="none"/>
              </w:rPr>
            </w:pPr>
          </w:p>
        </w:tc>
        <w:tc>
          <w:tcPr>
            <w:tcW w:w="1180" w:type="dxa"/>
            <w:vAlign w:val="center"/>
          </w:tcPr>
          <w:p w14:paraId="60D545A2">
            <w:pPr>
              <w:spacing w:line="360" w:lineRule="auto"/>
              <w:rPr>
                <w:rFonts w:ascii="仿宋" w:hAnsi="仿宋" w:eastAsia="仿宋" w:cs="仿宋"/>
                <w:sz w:val="24"/>
                <w:highlight w:val="none"/>
              </w:rPr>
            </w:pPr>
          </w:p>
        </w:tc>
        <w:tc>
          <w:tcPr>
            <w:tcW w:w="1158" w:type="dxa"/>
            <w:tcBorders>
              <w:right w:val="single" w:color="auto" w:sz="4" w:space="0"/>
            </w:tcBorders>
            <w:vAlign w:val="center"/>
          </w:tcPr>
          <w:p w14:paraId="01420C03">
            <w:pPr>
              <w:spacing w:line="360" w:lineRule="auto"/>
              <w:rPr>
                <w:rFonts w:ascii="仿宋" w:hAnsi="仿宋" w:eastAsia="仿宋" w:cs="仿宋"/>
                <w:sz w:val="24"/>
                <w:highlight w:val="none"/>
              </w:rPr>
            </w:pPr>
          </w:p>
        </w:tc>
        <w:tc>
          <w:tcPr>
            <w:tcW w:w="1069" w:type="dxa"/>
            <w:tcBorders>
              <w:left w:val="single" w:color="auto" w:sz="4" w:space="0"/>
              <w:right w:val="single" w:color="auto" w:sz="4" w:space="0"/>
            </w:tcBorders>
            <w:vAlign w:val="center"/>
          </w:tcPr>
          <w:p w14:paraId="1B2DA5A4">
            <w:pPr>
              <w:spacing w:line="360" w:lineRule="auto"/>
              <w:rPr>
                <w:rFonts w:ascii="仿宋" w:hAnsi="仿宋" w:eastAsia="仿宋" w:cs="仿宋"/>
                <w:sz w:val="24"/>
                <w:highlight w:val="none"/>
              </w:rPr>
            </w:pPr>
          </w:p>
        </w:tc>
      </w:tr>
      <w:tr w14:paraId="112F13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77B96F46">
            <w:pPr>
              <w:spacing w:line="360" w:lineRule="auto"/>
              <w:jc w:val="center"/>
              <w:rPr>
                <w:rFonts w:ascii="仿宋" w:hAnsi="仿宋" w:eastAsia="仿宋" w:cs="仿宋"/>
                <w:sz w:val="24"/>
                <w:highlight w:val="none"/>
              </w:rPr>
            </w:pPr>
          </w:p>
        </w:tc>
        <w:tc>
          <w:tcPr>
            <w:tcW w:w="960" w:type="dxa"/>
            <w:vAlign w:val="center"/>
          </w:tcPr>
          <w:p w14:paraId="7348B173">
            <w:pPr>
              <w:spacing w:line="360" w:lineRule="auto"/>
              <w:jc w:val="center"/>
              <w:rPr>
                <w:rFonts w:ascii="仿宋" w:hAnsi="仿宋" w:eastAsia="仿宋" w:cs="仿宋"/>
                <w:sz w:val="24"/>
                <w:highlight w:val="none"/>
              </w:rPr>
            </w:pPr>
          </w:p>
        </w:tc>
        <w:tc>
          <w:tcPr>
            <w:tcW w:w="1113" w:type="dxa"/>
            <w:vAlign w:val="center"/>
          </w:tcPr>
          <w:p w14:paraId="557331C1">
            <w:pPr>
              <w:spacing w:line="360" w:lineRule="auto"/>
              <w:jc w:val="center"/>
              <w:rPr>
                <w:rFonts w:ascii="仿宋" w:hAnsi="仿宋" w:eastAsia="仿宋" w:cs="仿宋"/>
                <w:sz w:val="24"/>
                <w:highlight w:val="none"/>
              </w:rPr>
            </w:pPr>
          </w:p>
        </w:tc>
        <w:tc>
          <w:tcPr>
            <w:tcW w:w="1151" w:type="dxa"/>
            <w:vAlign w:val="center"/>
          </w:tcPr>
          <w:p w14:paraId="293D5F01">
            <w:pPr>
              <w:spacing w:line="360" w:lineRule="auto"/>
              <w:jc w:val="center"/>
              <w:rPr>
                <w:rFonts w:ascii="仿宋" w:hAnsi="仿宋" w:eastAsia="仿宋" w:cs="仿宋"/>
                <w:sz w:val="24"/>
                <w:highlight w:val="none"/>
              </w:rPr>
            </w:pPr>
          </w:p>
        </w:tc>
        <w:tc>
          <w:tcPr>
            <w:tcW w:w="1162" w:type="dxa"/>
            <w:vAlign w:val="center"/>
          </w:tcPr>
          <w:p w14:paraId="04EBC6B3">
            <w:pPr>
              <w:spacing w:line="360" w:lineRule="auto"/>
              <w:jc w:val="center"/>
              <w:rPr>
                <w:rFonts w:ascii="仿宋" w:hAnsi="仿宋" w:eastAsia="仿宋" w:cs="仿宋"/>
                <w:sz w:val="24"/>
                <w:highlight w:val="none"/>
              </w:rPr>
            </w:pPr>
          </w:p>
        </w:tc>
        <w:tc>
          <w:tcPr>
            <w:tcW w:w="1180" w:type="dxa"/>
            <w:vAlign w:val="center"/>
          </w:tcPr>
          <w:p w14:paraId="0C1CAAB0">
            <w:pPr>
              <w:spacing w:line="360" w:lineRule="auto"/>
              <w:jc w:val="center"/>
              <w:rPr>
                <w:rFonts w:ascii="仿宋" w:hAnsi="仿宋" w:eastAsia="仿宋" w:cs="仿宋"/>
                <w:sz w:val="24"/>
                <w:highlight w:val="none"/>
              </w:rPr>
            </w:pPr>
          </w:p>
        </w:tc>
        <w:tc>
          <w:tcPr>
            <w:tcW w:w="1158" w:type="dxa"/>
            <w:tcBorders>
              <w:right w:val="single" w:color="auto" w:sz="4" w:space="0"/>
            </w:tcBorders>
            <w:vAlign w:val="center"/>
          </w:tcPr>
          <w:p w14:paraId="7FBEA74F">
            <w:pPr>
              <w:spacing w:line="360" w:lineRule="auto"/>
              <w:jc w:val="center"/>
              <w:rPr>
                <w:rFonts w:ascii="仿宋" w:hAnsi="仿宋" w:eastAsia="仿宋" w:cs="仿宋"/>
                <w:sz w:val="24"/>
                <w:highlight w:val="none"/>
              </w:rPr>
            </w:pPr>
          </w:p>
        </w:tc>
        <w:tc>
          <w:tcPr>
            <w:tcW w:w="1069" w:type="dxa"/>
            <w:tcBorders>
              <w:left w:val="single" w:color="auto" w:sz="4" w:space="0"/>
              <w:right w:val="single" w:color="auto" w:sz="4" w:space="0"/>
            </w:tcBorders>
            <w:vAlign w:val="center"/>
          </w:tcPr>
          <w:p w14:paraId="75EC28F9">
            <w:pPr>
              <w:spacing w:line="360" w:lineRule="auto"/>
              <w:jc w:val="center"/>
              <w:rPr>
                <w:rFonts w:ascii="仿宋" w:hAnsi="仿宋" w:eastAsia="仿宋" w:cs="仿宋"/>
                <w:sz w:val="24"/>
                <w:highlight w:val="none"/>
              </w:rPr>
            </w:pPr>
          </w:p>
        </w:tc>
      </w:tr>
      <w:tr w14:paraId="3E02BA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ADE93A4">
            <w:pPr>
              <w:spacing w:line="360" w:lineRule="auto"/>
              <w:jc w:val="center"/>
              <w:rPr>
                <w:rFonts w:ascii="仿宋" w:hAnsi="仿宋" w:eastAsia="仿宋" w:cs="仿宋"/>
                <w:sz w:val="24"/>
                <w:highlight w:val="none"/>
              </w:rPr>
            </w:pPr>
          </w:p>
        </w:tc>
        <w:tc>
          <w:tcPr>
            <w:tcW w:w="960" w:type="dxa"/>
            <w:vAlign w:val="center"/>
          </w:tcPr>
          <w:p w14:paraId="5B85718F">
            <w:pPr>
              <w:spacing w:line="360" w:lineRule="auto"/>
              <w:jc w:val="center"/>
              <w:rPr>
                <w:rFonts w:ascii="仿宋" w:hAnsi="仿宋" w:eastAsia="仿宋" w:cs="仿宋"/>
                <w:sz w:val="24"/>
                <w:highlight w:val="none"/>
              </w:rPr>
            </w:pPr>
          </w:p>
        </w:tc>
        <w:tc>
          <w:tcPr>
            <w:tcW w:w="1113" w:type="dxa"/>
            <w:vAlign w:val="center"/>
          </w:tcPr>
          <w:p w14:paraId="51B2559C">
            <w:pPr>
              <w:spacing w:line="360" w:lineRule="auto"/>
              <w:jc w:val="center"/>
              <w:rPr>
                <w:rFonts w:ascii="仿宋" w:hAnsi="仿宋" w:eastAsia="仿宋" w:cs="仿宋"/>
                <w:sz w:val="24"/>
                <w:highlight w:val="none"/>
              </w:rPr>
            </w:pPr>
          </w:p>
        </w:tc>
        <w:tc>
          <w:tcPr>
            <w:tcW w:w="1151" w:type="dxa"/>
            <w:vAlign w:val="center"/>
          </w:tcPr>
          <w:p w14:paraId="1A94BA99">
            <w:pPr>
              <w:spacing w:line="360" w:lineRule="auto"/>
              <w:jc w:val="center"/>
              <w:rPr>
                <w:rFonts w:ascii="仿宋" w:hAnsi="仿宋" w:eastAsia="仿宋" w:cs="仿宋"/>
                <w:sz w:val="24"/>
                <w:highlight w:val="none"/>
              </w:rPr>
            </w:pPr>
          </w:p>
        </w:tc>
        <w:tc>
          <w:tcPr>
            <w:tcW w:w="1162" w:type="dxa"/>
            <w:vAlign w:val="center"/>
          </w:tcPr>
          <w:p w14:paraId="6679962E">
            <w:pPr>
              <w:spacing w:line="360" w:lineRule="auto"/>
              <w:jc w:val="center"/>
              <w:rPr>
                <w:rFonts w:ascii="仿宋" w:hAnsi="仿宋" w:eastAsia="仿宋" w:cs="仿宋"/>
                <w:sz w:val="24"/>
                <w:highlight w:val="none"/>
              </w:rPr>
            </w:pPr>
          </w:p>
        </w:tc>
        <w:tc>
          <w:tcPr>
            <w:tcW w:w="1180" w:type="dxa"/>
            <w:vAlign w:val="center"/>
          </w:tcPr>
          <w:p w14:paraId="1856E7FA">
            <w:pPr>
              <w:spacing w:line="360" w:lineRule="auto"/>
              <w:jc w:val="center"/>
              <w:rPr>
                <w:rFonts w:ascii="仿宋" w:hAnsi="仿宋" w:eastAsia="仿宋" w:cs="仿宋"/>
                <w:sz w:val="24"/>
                <w:highlight w:val="none"/>
              </w:rPr>
            </w:pPr>
          </w:p>
        </w:tc>
        <w:tc>
          <w:tcPr>
            <w:tcW w:w="1158" w:type="dxa"/>
            <w:tcBorders>
              <w:right w:val="single" w:color="auto" w:sz="4" w:space="0"/>
            </w:tcBorders>
            <w:vAlign w:val="center"/>
          </w:tcPr>
          <w:p w14:paraId="199B92C4">
            <w:pPr>
              <w:spacing w:line="360" w:lineRule="auto"/>
              <w:jc w:val="center"/>
              <w:rPr>
                <w:rFonts w:ascii="仿宋" w:hAnsi="仿宋" w:eastAsia="仿宋" w:cs="仿宋"/>
                <w:sz w:val="24"/>
                <w:highlight w:val="none"/>
              </w:rPr>
            </w:pPr>
          </w:p>
        </w:tc>
        <w:tc>
          <w:tcPr>
            <w:tcW w:w="1069" w:type="dxa"/>
            <w:tcBorders>
              <w:left w:val="single" w:color="auto" w:sz="4" w:space="0"/>
              <w:right w:val="single" w:color="auto" w:sz="4" w:space="0"/>
            </w:tcBorders>
            <w:vAlign w:val="center"/>
          </w:tcPr>
          <w:p w14:paraId="0A710220">
            <w:pPr>
              <w:spacing w:line="360" w:lineRule="auto"/>
              <w:jc w:val="center"/>
              <w:rPr>
                <w:rFonts w:ascii="仿宋" w:hAnsi="仿宋" w:eastAsia="仿宋" w:cs="仿宋"/>
                <w:sz w:val="24"/>
                <w:highlight w:val="none"/>
              </w:rPr>
            </w:pPr>
          </w:p>
        </w:tc>
      </w:tr>
      <w:tr w14:paraId="79B090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52DA38BD">
            <w:pPr>
              <w:spacing w:line="360" w:lineRule="auto"/>
              <w:jc w:val="center"/>
              <w:rPr>
                <w:rFonts w:ascii="仿宋" w:hAnsi="仿宋" w:eastAsia="仿宋" w:cs="仿宋"/>
                <w:sz w:val="24"/>
                <w:highlight w:val="none"/>
              </w:rPr>
            </w:pPr>
          </w:p>
        </w:tc>
        <w:tc>
          <w:tcPr>
            <w:tcW w:w="960" w:type="dxa"/>
            <w:tcBorders>
              <w:bottom w:val="single" w:color="auto" w:sz="4" w:space="0"/>
            </w:tcBorders>
            <w:vAlign w:val="center"/>
          </w:tcPr>
          <w:p w14:paraId="65D1EEAC">
            <w:pPr>
              <w:spacing w:line="360" w:lineRule="auto"/>
              <w:jc w:val="center"/>
              <w:rPr>
                <w:rFonts w:ascii="仿宋" w:hAnsi="仿宋" w:eastAsia="仿宋" w:cs="仿宋"/>
                <w:sz w:val="24"/>
                <w:highlight w:val="none"/>
              </w:rPr>
            </w:pPr>
          </w:p>
        </w:tc>
        <w:tc>
          <w:tcPr>
            <w:tcW w:w="1113" w:type="dxa"/>
            <w:tcBorders>
              <w:bottom w:val="single" w:color="auto" w:sz="4" w:space="0"/>
            </w:tcBorders>
            <w:vAlign w:val="center"/>
          </w:tcPr>
          <w:p w14:paraId="76FB4276">
            <w:pPr>
              <w:spacing w:line="360" w:lineRule="auto"/>
              <w:jc w:val="center"/>
              <w:rPr>
                <w:rFonts w:ascii="仿宋" w:hAnsi="仿宋" w:eastAsia="仿宋" w:cs="仿宋"/>
                <w:sz w:val="24"/>
                <w:highlight w:val="none"/>
              </w:rPr>
            </w:pPr>
          </w:p>
        </w:tc>
        <w:tc>
          <w:tcPr>
            <w:tcW w:w="1151" w:type="dxa"/>
            <w:tcBorders>
              <w:bottom w:val="single" w:color="auto" w:sz="4" w:space="0"/>
            </w:tcBorders>
            <w:vAlign w:val="center"/>
          </w:tcPr>
          <w:p w14:paraId="040B7422">
            <w:pPr>
              <w:spacing w:line="360" w:lineRule="auto"/>
              <w:jc w:val="center"/>
              <w:rPr>
                <w:rFonts w:ascii="仿宋" w:hAnsi="仿宋" w:eastAsia="仿宋" w:cs="仿宋"/>
                <w:sz w:val="24"/>
                <w:highlight w:val="none"/>
              </w:rPr>
            </w:pPr>
          </w:p>
        </w:tc>
        <w:tc>
          <w:tcPr>
            <w:tcW w:w="1162" w:type="dxa"/>
            <w:tcBorders>
              <w:bottom w:val="single" w:color="auto" w:sz="4" w:space="0"/>
            </w:tcBorders>
            <w:vAlign w:val="center"/>
          </w:tcPr>
          <w:p w14:paraId="5650ECE1">
            <w:pPr>
              <w:spacing w:line="360" w:lineRule="auto"/>
              <w:jc w:val="center"/>
              <w:rPr>
                <w:rFonts w:ascii="仿宋" w:hAnsi="仿宋" w:eastAsia="仿宋" w:cs="仿宋"/>
                <w:sz w:val="24"/>
                <w:highlight w:val="none"/>
              </w:rPr>
            </w:pPr>
          </w:p>
        </w:tc>
        <w:tc>
          <w:tcPr>
            <w:tcW w:w="1180" w:type="dxa"/>
            <w:tcBorders>
              <w:bottom w:val="single" w:color="auto" w:sz="4" w:space="0"/>
            </w:tcBorders>
            <w:vAlign w:val="center"/>
          </w:tcPr>
          <w:p w14:paraId="5AE81507">
            <w:pPr>
              <w:spacing w:line="360" w:lineRule="auto"/>
              <w:jc w:val="center"/>
              <w:rPr>
                <w:rFonts w:ascii="仿宋" w:hAnsi="仿宋" w:eastAsia="仿宋" w:cs="仿宋"/>
                <w:sz w:val="24"/>
                <w:highlight w:val="none"/>
              </w:rPr>
            </w:pPr>
          </w:p>
        </w:tc>
        <w:tc>
          <w:tcPr>
            <w:tcW w:w="1158" w:type="dxa"/>
            <w:tcBorders>
              <w:bottom w:val="single" w:color="auto" w:sz="4" w:space="0"/>
              <w:right w:val="single" w:color="auto" w:sz="4" w:space="0"/>
            </w:tcBorders>
            <w:vAlign w:val="center"/>
          </w:tcPr>
          <w:p w14:paraId="3F7DF91B">
            <w:pPr>
              <w:spacing w:line="360" w:lineRule="auto"/>
              <w:jc w:val="center"/>
              <w:rPr>
                <w:rFonts w:ascii="仿宋" w:hAnsi="仿宋" w:eastAsia="仿宋" w:cs="仿宋"/>
                <w:sz w:val="24"/>
                <w:highlight w:val="none"/>
              </w:rPr>
            </w:pPr>
          </w:p>
        </w:tc>
        <w:tc>
          <w:tcPr>
            <w:tcW w:w="1069" w:type="dxa"/>
            <w:tcBorders>
              <w:left w:val="single" w:color="auto" w:sz="4" w:space="0"/>
              <w:bottom w:val="single" w:color="auto" w:sz="4" w:space="0"/>
              <w:right w:val="single" w:color="auto" w:sz="4" w:space="0"/>
            </w:tcBorders>
            <w:vAlign w:val="center"/>
          </w:tcPr>
          <w:p w14:paraId="2230D05A">
            <w:pPr>
              <w:spacing w:line="360" w:lineRule="auto"/>
              <w:jc w:val="center"/>
              <w:rPr>
                <w:rFonts w:ascii="仿宋" w:hAnsi="仿宋" w:eastAsia="仿宋" w:cs="仿宋"/>
                <w:sz w:val="24"/>
                <w:highlight w:val="none"/>
              </w:rPr>
            </w:pPr>
          </w:p>
        </w:tc>
      </w:tr>
      <w:tr w14:paraId="624AAB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01C1E03F">
            <w:pPr>
              <w:spacing w:line="360" w:lineRule="auto"/>
              <w:jc w:val="center"/>
              <w:rPr>
                <w:rFonts w:ascii="仿宋" w:hAnsi="仿宋" w:eastAsia="仿宋" w:cs="仿宋"/>
                <w:sz w:val="24"/>
                <w:highlight w:val="none"/>
              </w:rPr>
            </w:pPr>
          </w:p>
        </w:tc>
        <w:tc>
          <w:tcPr>
            <w:tcW w:w="960" w:type="dxa"/>
            <w:tcBorders>
              <w:top w:val="single" w:color="auto" w:sz="4" w:space="0"/>
              <w:bottom w:val="single" w:color="auto" w:sz="4" w:space="0"/>
            </w:tcBorders>
            <w:vAlign w:val="center"/>
          </w:tcPr>
          <w:p w14:paraId="3DED6001">
            <w:pPr>
              <w:spacing w:line="360" w:lineRule="auto"/>
              <w:jc w:val="center"/>
              <w:rPr>
                <w:rFonts w:ascii="仿宋" w:hAnsi="仿宋" w:eastAsia="仿宋" w:cs="仿宋"/>
                <w:sz w:val="24"/>
                <w:highlight w:val="none"/>
              </w:rPr>
            </w:pPr>
          </w:p>
        </w:tc>
        <w:tc>
          <w:tcPr>
            <w:tcW w:w="1113" w:type="dxa"/>
            <w:tcBorders>
              <w:top w:val="single" w:color="auto" w:sz="4" w:space="0"/>
              <w:bottom w:val="single" w:color="auto" w:sz="4" w:space="0"/>
            </w:tcBorders>
            <w:vAlign w:val="center"/>
          </w:tcPr>
          <w:p w14:paraId="31AA352A">
            <w:pPr>
              <w:spacing w:line="360" w:lineRule="auto"/>
              <w:jc w:val="center"/>
              <w:rPr>
                <w:rFonts w:ascii="仿宋" w:hAnsi="仿宋" w:eastAsia="仿宋" w:cs="仿宋"/>
                <w:sz w:val="24"/>
                <w:highlight w:val="none"/>
              </w:rPr>
            </w:pPr>
          </w:p>
        </w:tc>
        <w:tc>
          <w:tcPr>
            <w:tcW w:w="1151" w:type="dxa"/>
            <w:tcBorders>
              <w:top w:val="single" w:color="auto" w:sz="4" w:space="0"/>
              <w:bottom w:val="single" w:color="auto" w:sz="4" w:space="0"/>
            </w:tcBorders>
            <w:vAlign w:val="center"/>
          </w:tcPr>
          <w:p w14:paraId="6E560F8A">
            <w:pPr>
              <w:spacing w:line="360" w:lineRule="auto"/>
              <w:jc w:val="center"/>
              <w:rPr>
                <w:rFonts w:ascii="仿宋" w:hAnsi="仿宋" w:eastAsia="仿宋" w:cs="仿宋"/>
                <w:sz w:val="24"/>
                <w:highlight w:val="none"/>
              </w:rPr>
            </w:pPr>
          </w:p>
        </w:tc>
        <w:tc>
          <w:tcPr>
            <w:tcW w:w="1162" w:type="dxa"/>
            <w:tcBorders>
              <w:top w:val="single" w:color="auto" w:sz="4" w:space="0"/>
              <w:bottom w:val="single" w:color="auto" w:sz="4" w:space="0"/>
            </w:tcBorders>
            <w:vAlign w:val="center"/>
          </w:tcPr>
          <w:p w14:paraId="11A6993B">
            <w:pPr>
              <w:spacing w:line="360" w:lineRule="auto"/>
              <w:jc w:val="center"/>
              <w:rPr>
                <w:rFonts w:ascii="仿宋" w:hAnsi="仿宋" w:eastAsia="仿宋" w:cs="仿宋"/>
                <w:sz w:val="24"/>
                <w:highlight w:val="none"/>
              </w:rPr>
            </w:pPr>
          </w:p>
        </w:tc>
        <w:tc>
          <w:tcPr>
            <w:tcW w:w="1180" w:type="dxa"/>
            <w:tcBorders>
              <w:top w:val="single" w:color="auto" w:sz="4" w:space="0"/>
              <w:bottom w:val="single" w:color="auto" w:sz="4" w:space="0"/>
            </w:tcBorders>
            <w:vAlign w:val="center"/>
          </w:tcPr>
          <w:p w14:paraId="351051BD">
            <w:pPr>
              <w:spacing w:line="360" w:lineRule="auto"/>
              <w:jc w:val="center"/>
              <w:rPr>
                <w:rFonts w:ascii="仿宋" w:hAnsi="仿宋" w:eastAsia="仿宋" w:cs="仿宋"/>
                <w:sz w:val="24"/>
                <w:highlight w:val="none"/>
              </w:rPr>
            </w:pPr>
          </w:p>
        </w:tc>
        <w:tc>
          <w:tcPr>
            <w:tcW w:w="1158" w:type="dxa"/>
            <w:tcBorders>
              <w:top w:val="single" w:color="auto" w:sz="4" w:space="0"/>
              <w:bottom w:val="single" w:color="auto" w:sz="4" w:space="0"/>
              <w:right w:val="single" w:color="auto" w:sz="4" w:space="0"/>
            </w:tcBorders>
            <w:vAlign w:val="center"/>
          </w:tcPr>
          <w:p w14:paraId="7AF88090">
            <w:pPr>
              <w:spacing w:line="360" w:lineRule="auto"/>
              <w:jc w:val="center"/>
              <w:rPr>
                <w:rFonts w:ascii="仿宋" w:hAnsi="仿宋" w:eastAsia="仿宋" w:cs="仿宋"/>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661CE8A9">
            <w:pPr>
              <w:spacing w:line="360" w:lineRule="auto"/>
              <w:jc w:val="center"/>
              <w:rPr>
                <w:rFonts w:ascii="仿宋" w:hAnsi="仿宋" w:eastAsia="仿宋" w:cs="仿宋"/>
                <w:sz w:val="24"/>
                <w:highlight w:val="none"/>
              </w:rPr>
            </w:pPr>
          </w:p>
        </w:tc>
      </w:tr>
      <w:tr w14:paraId="1DCADC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4CE53338">
            <w:pPr>
              <w:spacing w:line="360" w:lineRule="auto"/>
              <w:jc w:val="center"/>
              <w:rPr>
                <w:rFonts w:ascii="仿宋" w:hAnsi="仿宋" w:eastAsia="仿宋" w:cs="仿宋"/>
                <w:sz w:val="24"/>
                <w:highlight w:val="none"/>
              </w:rPr>
            </w:pPr>
          </w:p>
        </w:tc>
        <w:tc>
          <w:tcPr>
            <w:tcW w:w="960" w:type="dxa"/>
            <w:tcBorders>
              <w:top w:val="single" w:color="auto" w:sz="4" w:space="0"/>
              <w:bottom w:val="single" w:color="auto" w:sz="4" w:space="0"/>
            </w:tcBorders>
            <w:vAlign w:val="center"/>
          </w:tcPr>
          <w:p w14:paraId="6861376C">
            <w:pPr>
              <w:spacing w:line="360" w:lineRule="auto"/>
              <w:jc w:val="center"/>
              <w:rPr>
                <w:rFonts w:ascii="仿宋" w:hAnsi="仿宋" w:eastAsia="仿宋" w:cs="仿宋"/>
                <w:sz w:val="24"/>
                <w:highlight w:val="none"/>
              </w:rPr>
            </w:pPr>
          </w:p>
        </w:tc>
        <w:tc>
          <w:tcPr>
            <w:tcW w:w="1113" w:type="dxa"/>
            <w:tcBorders>
              <w:top w:val="single" w:color="auto" w:sz="4" w:space="0"/>
              <w:bottom w:val="single" w:color="auto" w:sz="4" w:space="0"/>
            </w:tcBorders>
            <w:vAlign w:val="center"/>
          </w:tcPr>
          <w:p w14:paraId="2145E64D">
            <w:pPr>
              <w:spacing w:line="360" w:lineRule="auto"/>
              <w:jc w:val="center"/>
              <w:rPr>
                <w:rFonts w:ascii="仿宋" w:hAnsi="仿宋" w:eastAsia="仿宋" w:cs="仿宋"/>
                <w:sz w:val="24"/>
                <w:highlight w:val="none"/>
              </w:rPr>
            </w:pPr>
          </w:p>
        </w:tc>
        <w:tc>
          <w:tcPr>
            <w:tcW w:w="1151" w:type="dxa"/>
            <w:tcBorders>
              <w:top w:val="single" w:color="auto" w:sz="4" w:space="0"/>
              <w:bottom w:val="single" w:color="auto" w:sz="4" w:space="0"/>
            </w:tcBorders>
            <w:vAlign w:val="center"/>
          </w:tcPr>
          <w:p w14:paraId="2F0B9936">
            <w:pPr>
              <w:spacing w:line="360" w:lineRule="auto"/>
              <w:jc w:val="center"/>
              <w:rPr>
                <w:rFonts w:ascii="仿宋" w:hAnsi="仿宋" w:eastAsia="仿宋" w:cs="仿宋"/>
                <w:sz w:val="24"/>
                <w:highlight w:val="none"/>
              </w:rPr>
            </w:pPr>
          </w:p>
        </w:tc>
        <w:tc>
          <w:tcPr>
            <w:tcW w:w="1162" w:type="dxa"/>
            <w:tcBorders>
              <w:top w:val="single" w:color="auto" w:sz="4" w:space="0"/>
              <w:bottom w:val="single" w:color="auto" w:sz="4" w:space="0"/>
            </w:tcBorders>
            <w:vAlign w:val="center"/>
          </w:tcPr>
          <w:p w14:paraId="553A57CC">
            <w:pPr>
              <w:spacing w:line="360" w:lineRule="auto"/>
              <w:jc w:val="center"/>
              <w:rPr>
                <w:rFonts w:ascii="仿宋" w:hAnsi="仿宋" w:eastAsia="仿宋" w:cs="仿宋"/>
                <w:sz w:val="24"/>
                <w:highlight w:val="none"/>
              </w:rPr>
            </w:pPr>
          </w:p>
        </w:tc>
        <w:tc>
          <w:tcPr>
            <w:tcW w:w="1180" w:type="dxa"/>
            <w:tcBorders>
              <w:top w:val="single" w:color="auto" w:sz="4" w:space="0"/>
              <w:bottom w:val="single" w:color="auto" w:sz="4" w:space="0"/>
            </w:tcBorders>
            <w:vAlign w:val="center"/>
          </w:tcPr>
          <w:p w14:paraId="23027B15">
            <w:pPr>
              <w:spacing w:line="360" w:lineRule="auto"/>
              <w:jc w:val="center"/>
              <w:rPr>
                <w:rFonts w:ascii="仿宋" w:hAnsi="仿宋" w:eastAsia="仿宋" w:cs="仿宋"/>
                <w:sz w:val="24"/>
                <w:highlight w:val="none"/>
              </w:rPr>
            </w:pPr>
          </w:p>
        </w:tc>
        <w:tc>
          <w:tcPr>
            <w:tcW w:w="1158" w:type="dxa"/>
            <w:tcBorders>
              <w:top w:val="single" w:color="auto" w:sz="4" w:space="0"/>
              <w:bottom w:val="single" w:color="auto" w:sz="4" w:space="0"/>
              <w:right w:val="single" w:color="auto" w:sz="4" w:space="0"/>
            </w:tcBorders>
            <w:vAlign w:val="center"/>
          </w:tcPr>
          <w:p w14:paraId="7150FF04">
            <w:pPr>
              <w:spacing w:line="360" w:lineRule="auto"/>
              <w:jc w:val="center"/>
              <w:rPr>
                <w:rFonts w:ascii="仿宋" w:hAnsi="仿宋" w:eastAsia="仿宋" w:cs="仿宋"/>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7F197FF">
            <w:pPr>
              <w:spacing w:line="360" w:lineRule="auto"/>
              <w:jc w:val="center"/>
              <w:rPr>
                <w:rFonts w:ascii="仿宋" w:hAnsi="仿宋" w:eastAsia="仿宋" w:cs="仿宋"/>
                <w:sz w:val="24"/>
                <w:highlight w:val="none"/>
              </w:rPr>
            </w:pPr>
          </w:p>
        </w:tc>
      </w:tr>
      <w:tr w14:paraId="5B289C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30F43898">
            <w:pPr>
              <w:spacing w:line="360" w:lineRule="auto"/>
              <w:jc w:val="center"/>
              <w:rPr>
                <w:rFonts w:ascii="仿宋" w:hAnsi="仿宋" w:eastAsia="仿宋" w:cs="仿宋"/>
                <w:sz w:val="24"/>
                <w:highlight w:val="none"/>
              </w:rPr>
            </w:pPr>
          </w:p>
        </w:tc>
        <w:tc>
          <w:tcPr>
            <w:tcW w:w="960" w:type="dxa"/>
            <w:tcBorders>
              <w:top w:val="single" w:color="auto" w:sz="4" w:space="0"/>
              <w:bottom w:val="single" w:color="auto" w:sz="4" w:space="0"/>
            </w:tcBorders>
            <w:vAlign w:val="center"/>
          </w:tcPr>
          <w:p w14:paraId="483130AB">
            <w:pPr>
              <w:spacing w:line="360" w:lineRule="auto"/>
              <w:jc w:val="center"/>
              <w:rPr>
                <w:rFonts w:ascii="仿宋" w:hAnsi="仿宋" w:eastAsia="仿宋" w:cs="仿宋"/>
                <w:sz w:val="24"/>
                <w:highlight w:val="none"/>
              </w:rPr>
            </w:pPr>
          </w:p>
        </w:tc>
        <w:tc>
          <w:tcPr>
            <w:tcW w:w="1113" w:type="dxa"/>
            <w:tcBorders>
              <w:top w:val="single" w:color="auto" w:sz="4" w:space="0"/>
              <w:bottom w:val="single" w:color="auto" w:sz="4" w:space="0"/>
            </w:tcBorders>
            <w:vAlign w:val="center"/>
          </w:tcPr>
          <w:p w14:paraId="3D656327">
            <w:pPr>
              <w:spacing w:line="360" w:lineRule="auto"/>
              <w:jc w:val="center"/>
              <w:rPr>
                <w:rFonts w:ascii="仿宋" w:hAnsi="仿宋" w:eastAsia="仿宋" w:cs="仿宋"/>
                <w:sz w:val="24"/>
                <w:highlight w:val="none"/>
              </w:rPr>
            </w:pPr>
          </w:p>
        </w:tc>
        <w:tc>
          <w:tcPr>
            <w:tcW w:w="1151" w:type="dxa"/>
            <w:tcBorders>
              <w:top w:val="single" w:color="auto" w:sz="4" w:space="0"/>
              <w:bottom w:val="single" w:color="auto" w:sz="4" w:space="0"/>
            </w:tcBorders>
            <w:vAlign w:val="center"/>
          </w:tcPr>
          <w:p w14:paraId="7EB2712F">
            <w:pPr>
              <w:spacing w:line="360" w:lineRule="auto"/>
              <w:jc w:val="center"/>
              <w:rPr>
                <w:rFonts w:ascii="仿宋" w:hAnsi="仿宋" w:eastAsia="仿宋" w:cs="仿宋"/>
                <w:sz w:val="24"/>
                <w:highlight w:val="none"/>
              </w:rPr>
            </w:pPr>
          </w:p>
        </w:tc>
        <w:tc>
          <w:tcPr>
            <w:tcW w:w="1162" w:type="dxa"/>
            <w:tcBorders>
              <w:top w:val="single" w:color="auto" w:sz="4" w:space="0"/>
              <w:bottom w:val="single" w:color="auto" w:sz="4" w:space="0"/>
            </w:tcBorders>
            <w:vAlign w:val="center"/>
          </w:tcPr>
          <w:p w14:paraId="3F06D281">
            <w:pPr>
              <w:spacing w:line="360" w:lineRule="auto"/>
              <w:jc w:val="center"/>
              <w:rPr>
                <w:rFonts w:ascii="仿宋" w:hAnsi="仿宋" w:eastAsia="仿宋" w:cs="仿宋"/>
                <w:sz w:val="24"/>
                <w:highlight w:val="none"/>
              </w:rPr>
            </w:pPr>
          </w:p>
        </w:tc>
        <w:tc>
          <w:tcPr>
            <w:tcW w:w="1180" w:type="dxa"/>
            <w:tcBorders>
              <w:top w:val="single" w:color="auto" w:sz="4" w:space="0"/>
              <w:bottom w:val="single" w:color="auto" w:sz="4" w:space="0"/>
            </w:tcBorders>
            <w:vAlign w:val="center"/>
          </w:tcPr>
          <w:p w14:paraId="46156BA9">
            <w:pPr>
              <w:spacing w:line="360" w:lineRule="auto"/>
              <w:jc w:val="center"/>
              <w:rPr>
                <w:rFonts w:ascii="仿宋" w:hAnsi="仿宋" w:eastAsia="仿宋" w:cs="仿宋"/>
                <w:sz w:val="24"/>
                <w:highlight w:val="none"/>
              </w:rPr>
            </w:pPr>
          </w:p>
        </w:tc>
        <w:tc>
          <w:tcPr>
            <w:tcW w:w="1158" w:type="dxa"/>
            <w:tcBorders>
              <w:top w:val="single" w:color="auto" w:sz="4" w:space="0"/>
              <w:bottom w:val="single" w:color="auto" w:sz="4" w:space="0"/>
              <w:right w:val="single" w:color="auto" w:sz="4" w:space="0"/>
            </w:tcBorders>
            <w:vAlign w:val="center"/>
          </w:tcPr>
          <w:p w14:paraId="301E8E5A">
            <w:pPr>
              <w:spacing w:line="360" w:lineRule="auto"/>
              <w:jc w:val="center"/>
              <w:rPr>
                <w:rFonts w:ascii="仿宋" w:hAnsi="仿宋" w:eastAsia="仿宋" w:cs="仿宋"/>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69C103C6">
            <w:pPr>
              <w:spacing w:line="360" w:lineRule="auto"/>
              <w:jc w:val="center"/>
              <w:rPr>
                <w:rFonts w:ascii="仿宋" w:hAnsi="仿宋" w:eastAsia="仿宋" w:cs="仿宋"/>
                <w:sz w:val="24"/>
                <w:highlight w:val="none"/>
              </w:rPr>
            </w:pPr>
          </w:p>
        </w:tc>
      </w:tr>
      <w:tr w14:paraId="3A9657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0AB766EC">
            <w:pPr>
              <w:spacing w:line="360" w:lineRule="auto"/>
              <w:jc w:val="center"/>
              <w:rPr>
                <w:rFonts w:ascii="仿宋" w:hAnsi="仿宋" w:eastAsia="仿宋" w:cs="仿宋"/>
                <w:sz w:val="24"/>
                <w:highlight w:val="none"/>
              </w:rPr>
            </w:pPr>
          </w:p>
        </w:tc>
        <w:tc>
          <w:tcPr>
            <w:tcW w:w="960" w:type="dxa"/>
            <w:tcBorders>
              <w:top w:val="single" w:color="auto" w:sz="4" w:space="0"/>
            </w:tcBorders>
            <w:vAlign w:val="center"/>
          </w:tcPr>
          <w:p w14:paraId="045008DC">
            <w:pPr>
              <w:spacing w:line="360" w:lineRule="auto"/>
              <w:jc w:val="center"/>
              <w:rPr>
                <w:rFonts w:ascii="仿宋" w:hAnsi="仿宋" w:eastAsia="仿宋" w:cs="仿宋"/>
                <w:sz w:val="24"/>
                <w:highlight w:val="none"/>
              </w:rPr>
            </w:pPr>
          </w:p>
        </w:tc>
        <w:tc>
          <w:tcPr>
            <w:tcW w:w="1113" w:type="dxa"/>
            <w:tcBorders>
              <w:top w:val="single" w:color="auto" w:sz="4" w:space="0"/>
            </w:tcBorders>
            <w:vAlign w:val="center"/>
          </w:tcPr>
          <w:p w14:paraId="43747EA4">
            <w:pPr>
              <w:spacing w:line="360" w:lineRule="auto"/>
              <w:jc w:val="center"/>
              <w:rPr>
                <w:rFonts w:ascii="仿宋" w:hAnsi="仿宋" w:eastAsia="仿宋" w:cs="仿宋"/>
                <w:sz w:val="24"/>
                <w:highlight w:val="none"/>
              </w:rPr>
            </w:pPr>
          </w:p>
        </w:tc>
        <w:tc>
          <w:tcPr>
            <w:tcW w:w="1151" w:type="dxa"/>
            <w:tcBorders>
              <w:top w:val="single" w:color="auto" w:sz="4" w:space="0"/>
            </w:tcBorders>
            <w:vAlign w:val="center"/>
          </w:tcPr>
          <w:p w14:paraId="17585D5D">
            <w:pPr>
              <w:spacing w:line="360" w:lineRule="auto"/>
              <w:jc w:val="center"/>
              <w:rPr>
                <w:rFonts w:ascii="仿宋" w:hAnsi="仿宋" w:eastAsia="仿宋" w:cs="仿宋"/>
                <w:sz w:val="24"/>
                <w:highlight w:val="none"/>
              </w:rPr>
            </w:pPr>
          </w:p>
        </w:tc>
        <w:tc>
          <w:tcPr>
            <w:tcW w:w="1162" w:type="dxa"/>
            <w:tcBorders>
              <w:top w:val="single" w:color="auto" w:sz="4" w:space="0"/>
            </w:tcBorders>
            <w:vAlign w:val="center"/>
          </w:tcPr>
          <w:p w14:paraId="5D1B471A">
            <w:pPr>
              <w:spacing w:line="360" w:lineRule="auto"/>
              <w:jc w:val="center"/>
              <w:rPr>
                <w:rFonts w:ascii="仿宋" w:hAnsi="仿宋" w:eastAsia="仿宋" w:cs="仿宋"/>
                <w:sz w:val="24"/>
                <w:highlight w:val="none"/>
              </w:rPr>
            </w:pPr>
          </w:p>
        </w:tc>
        <w:tc>
          <w:tcPr>
            <w:tcW w:w="1180" w:type="dxa"/>
            <w:tcBorders>
              <w:top w:val="single" w:color="auto" w:sz="4" w:space="0"/>
            </w:tcBorders>
            <w:vAlign w:val="center"/>
          </w:tcPr>
          <w:p w14:paraId="2E0B9D92">
            <w:pPr>
              <w:spacing w:line="360" w:lineRule="auto"/>
              <w:jc w:val="center"/>
              <w:rPr>
                <w:rFonts w:ascii="仿宋" w:hAnsi="仿宋" w:eastAsia="仿宋" w:cs="仿宋"/>
                <w:sz w:val="24"/>
                <w:highlight w:val="none"/>
              </w:rPr>
            </w:pPr>
          </w:p>
        </w:tc>
        <w:tc>
          <w:tcPr>
            <w:tcW w:w="1158" w:type="dxa"/>
            <w:tcBorders>
              <w:top w:val="single" w:color="auto" w:sz="4" w:space="0"/>
              <w:right w:val="single" w:color="auto" w:sz="4" w:space="0"/>
            </w:tcBorders>
            <w:vAlign w:val="center"/>
          </w:tcPr>
          <w:p w14:paraId="4F987217">
            <w:pPr>
              <w:spacing w:line="360" w:lineRule="auto"/>
              <w:jc w:val="center"/>
              <w:rPr>
                <w:rFonts w:ascii="仿宋" w:hAnsi="仿宋" w:eastAsia="仿宋" w:cs="仿宋"/>
                <w:sz w:val="24"/>
                <w:highlight w:val="none"/>
              </w:rPr>
            </w:pPr>
          </w:p>
        </w:tc>
        <w:tc>
          <w:tcPr>
            <w:tcW w:w="1069" w:type="dxa"/>
            <w:tcBorders>
              <w:top w:val="single" w:color="auto" w:sz="4" w:space="0"/>
              <w:left w:val="single" w:color="auto" w:sz="4" w:space="0"/>
              <w:right w:val="single" w:color="auto" w:sz="4" w:space="0"/>
            </w:tcBorders>
            <w:vAlign w:val="center"/>
          </w:tcPr>
          <w:p w14:paraId="07B5325A">
            <w:pPr>
              <w:spacing w:line="360" w:lineRule="auto"/>
              <w:jc w:val="center"/>
              <w:rPr>
                <w:rFonts w:ascii="仿宋" w:hAnsi="仿宋" w:eastAsia="仿宋" w:cs="仿宋"/>
                <w:sz w:val="24"/>
                <w:highlight w:val="none"/>
              </w:rPr>
            </w:pPr>
          </w:p>
        </w:tc>
      </w:tr>
    </w:tbl>
    <w:p w14:paraId="5BB1824C">
      <w:pPr>
        <w:spacing w:line="360" w:lineRule="auto"/>
        <w:rPr>
          <w:rFonts w:ascii="仿宋" w:hAnsi="仿宋" w:eastAsia="仿宋" w:cs="仿宋"/>
          <w:sz w:val="24"/>
          <w:highlight w:val="none"/>
        </w:rPr>
      </w:pPr>
      <w:r>
        <w:rPr>
          <w:rFonts w:hint="eastAsia" w:ascii="仿宋" w:hAnsi="仿宋" w:eastAsia="仿宋" w:cs="仿宋"/>
          <w:sz w:val="24"/>
          <w:highlight w:val="none"/>
        </w:rPr>
        <w:t>备注：</w:t>
      </w:r>
    </w:p>
    <w:p w14:paraId="65341749">
      <w:pPr>
        <w:spacing w:line="360" w:lineRule="auto"/>
        <w:rPr>
          <w:rFonts w:ascii="仿宋" w:hAnsi="仿宋" w:eastAsia="仿宋" w:cs="仿宋"/>
          <w:color w:val="auto"/>
          <w:sz w:val="24"/>
          <w:highlight w:val="none"/>
        </w:rPr>
      </w:pPr>
      <w:r>
        <w:rPr>
          <w:rFonts w:hint="eastAsia" w:ascii="仿宋" w:hAnsi="仿宋" w:eastAsia="仿宋" w:cs="仿宋"/>
          <w:sz w:val="24"/>
          <w:highlight w:val="none"/>
        </w:rPr>
        <w:t>1.本表后附</w:t>
      </w:r>
      <w:r>
        <w:rPr>
          <w:rFonts w:hint="eastAsia" w:ascii="仿宋" w:hAnsi="仿宋" w:eastAsia="仿宋" w:cs="仿宋"/>
          <w:color w:val="auto"/>
          <w:sz w:val="24"/>
          <w:highlight w:val="none"/>
        </w:rPr>
        <w:t>投标人近</w:t>
      </w:r>
      <w:r>
        <w:rPr>
          <w:rFonts w:hint="eastAsia" w:ascii="仿宋" w:hAnsi="仿宋" w:eastAsia="仿宋" w:cs="仿宋"/>
          <w:color w:val="auto"/>
          <w:sz w:val="24"/>
          <w:highlight w:val="none"/>
          <w:lang w:eastAsia="zh-CN"/>
        </w:rPr>
        <w:t>五</w:t>
      </w:r>
      <w:r>
        <w:rPr>
          <w:rFonts w:hint="eastAsia" w:ascii="仿宋" w:hAnsi="仿宋" w:eastAsia="仿宋" w:cs="仿宋"/>
          <w:color w:val="auto"/>
          <w:sz w:val="24"/>
          <w:highlight w:val="none"/>
        </w:rPr>
        <w:t>年完成的类似业绩</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rPr>
        <w:t>须提供中标通知书、验收报告、合同（至少包括合同首页、标的页、签字盖章页、采购内容页）扫描件，未按要求提供不得分；</w:t>
      </w:r>
    </w:p>
    <w:p w14:paraId="6FFAD76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2.具体年份要求：202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年01月01日-投标文件上传截止时间前，业绩认定日期以合同签订日期为准。</w:t>
      </w:r>
    </w:p>
    <w:p w14:paraId="22680EF3">
      <w:pPr>
        <w:spacing w:line="360" w:lineRule="auto"/>
        <w:ind w:left="360"/>
        <w:jc w:val="center"/>
        <w:rPr>
          <w:rFonts w:ascii="仿宋" w:hAnsi="仿宋" w:eastAsia="仿宋" w:cs="仿宋"/>
          <w:sz w:val="24"/>
          <w:highlight w:val="none"/>
        </w:rPr>
      </w:pPr>
    </w:p>
    <w:p w14:paraId="106D4C78">
      <w:pPr>
        <w:adjustRightInd w:val="0"/>
        <w:spacing w:line="360" w:lineRule="auto"/>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w:t>
      </w:r>
    </w:p>
    <w:p w14:paraId="6131D439">
      <w:pPr>
        <w:pStyle w:val="3"/>
        <w:spacing w:before="156" w:after="156"/>
        <w:rPr>
          <w:rFonts w:ascii="仿宋" w:hAnsi="仿宋" w:eastAsia="仿宋" w:cs="仿宋"/>
          <w:sz w:val="24"/>
          <w:szCs w:val="24"/>
          <w:highlight w:val="none"/>
        </w:rPr>
      </w:pPr>
      <w:bookmarkStart w:id="166" w:name="_Toc217446090"/>
      <w:bookmarkStart w:id="167" w:name="_Toc217446091"/>
      <w:r>
        <w:rPr>
          <w:rFonts w:hint="eastAsia" w:ascii="仿宋" w:hAnsi="仿宋" w:eastAsia="仿宋" w:cs="仿宋"/>
          <w:bCs w:val="0"/>
          <w:kern w:val="0"/>
          <w:sz w:val="24"/>
          <w:szCs w:val="24"/>
          <w:highlight w:val="none"/>
        </w:rPr>
        <w:br w:type="page"/>
      </w:r>
      <w:bookmarkEnd w:id="166"/>
      <w:r>
        <w:rPr>
          <w:rFonts w:hint="eastAsia" w:ascii="仿宋" w:hAnsi="仿宋" w:eastAsia="仿宋" w:cs="仿宋"/>
          <w:bCs w:val="0"/>
          <w:kern w:val="0"/>
          <w:sz w:val="24"/>
          <w:szCs w:val="24"/>
          <w:highlight w:val="none"/>
        </w:rPr>
        <w:t>六、</w:t>
      </w:r>
      <w:r>
        <w:rPr>
          <w:rFonts w:hint="eastAsia" w:ascii="仿宋" w:hAnsi="仿宋" w:eastAsia="仿宋" w:cs="仿宋"/>
          <w:sz w:val="24"/>
          <w:szCs w:val="24"/>
          <w:highlight w:val="none"/>
        </w:rPr>
        <w:t>商务、技术需求偏离表</w:t>
      </w:r>
    </w:p>
    <w:p w14:paraId="3B27BD38">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商务条款偏离表</w:t>
      </w:r>
    </w:p>
    <w:tbl>
      <w:tblPr>
        <w:tblStyle w:val="31"/>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6CA58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60C97D3F">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序号</w:t>
            </w:r>
          </w:p>
        </w:tc>
        <w:tc>
          <w:tcPr>
            <w:tcW w:w="5850" w:type="dxa"/>
            <w:shd w:val="clear" w:color="auto" w:fill="FFFFFF"/>
            <w:vAlign w:val="center"/>
          </w:tcPr>
          <w:p w14:paraId="4E4E1E4A">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主要商务条款</w:t>
            </w:r>
          </w:p>
        </w:tc>
        <w:tc>
          <w:tcPr>
            <w:tcW w:w="1008" w:type="dxa"/>
            <w:shd w:val="clear" w:color="auto" w:fill="FFFFFF"/>
            <w:vAlign w:val="center"/>
          </w:tcPr>
          <w:p w14:paraId="592E555B">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是否</w:t>
            </w:r>
          </w:p>
          <w:p w14:paraId="18B31424">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响应</w:t>
            </w:r>
          </w:p>
        </w:tc>
        <w:tc>
          <w:tcPr>
            <w:tcW w:w="1164" w:type="dxa"/>
            <w:shd w:val="clear" w:color="auto" w:fill="FFFFFF"/>
            <w:vAlign w:val="center"/>
          </w:tcPr>
          <w:p w14:paraId="37972F85">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偏离说明</w:t>
            </w:r>
          </w:p>
        </w:tc>
      </w:tr>
      <w:tr w14:paraId="1C42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3142899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w:t>
            </w:r>
          </w:p>
        </w:tc>
        <w:tc>
          <w:tcPr>
            <w:tcW w:w="5850" w:type="dxa"/>
            <w:vAlign w:val="center"/>
          </w:tcPr>
          <w:p w14:paraId="1E93E95B">
            <w:pPr>
              <w:spacing w:line="360" w:lineRule="auto"/>
              <w:rPr>
                <w:rFonts w:ascii="仿宋" w:hAnsi="仿宋" w:eastAsia="仿宋" w:cs="仿宋"/>
                <w:sz w:val="24"/>
                <w:highlight w:val="none"/>
              </w:rPr>
            </w:pPr>
            <w:r>
              <w:rPr>
                <w:rFonts w:hint="eastAsia" w:ascii="仿宋" w:hAnsi="仿宋" w:eastAsia="仿宋" w:cs="仿宋"/>
                <w:sz w:val="24"/>
                <w:highlight w:val="none"/>
              </w:rPr>
              <w:t>完全理解并接受对合格投标人、合格的服务质量和服务要求；</w:t>
            </w:r>
          </w:p>
        </w:tc>
        <w:tc>
          <w:tcPr>
            <w:tcW w:w="1008" w:type="dxa"/>
            <w:vAlign w:val="center"/>
          </w:tcPr>
          <w:p w14:paraId="6C68F00F">
            <w:pPr>
              <w:pStyle w:val="62"/>
              <w:keepNext w:val="0"/>
              <w:adjustRightInd/>
              <w:spacing w:before="0" w:after="0" w:line="360" w:lineRule="auto"/>
              <w:textAlignment w:val="auto"/>
              <w:rPr>
                <w:rFonts w:ascii="仿宋" w:hAnsi="仿宋" w:eastAsia="仿宋" w:cs="仿宋"/>
                <w:spacing w:val="0"/>
                <w:kern w:val="2"/>
                <w:szCs w:val="24"/>
                <w:highlight w:val="none"/>
              </w:rPr>
            </w:pPr>
          </w:p>
        </w:tc>
        <w:tc>
          <w:tcPr>
            <w:tcW w:w="1164" w:type="dxa"/>
            <w:vAlign w:val="center"/>
          </w:tcPr>
          <w:p w14:paraId="5C63839C">
            <w:pPr>
              <w:spacing w:line="360" w:lineRule="auto"/>
              <w:jc w:val="center"/>
              <w:rPr>
                <w:rFonts w:ascii="仿宋" w:hAnsi="仿宋" w:eastAsia="仿宋" w:cs="仿宋"/>
                <w:sz w:val="24"/>
                <w:highlight w:val="none"/>
              </w:rPr>
            </w:pPr>
          </w:p>
        </w:tc>
      </w:tr>
      <w:tr w14:paraId="1E37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3CE86E0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2</w:t>
            </w:r>
          </w:p>
        </w:tc>
        <w:tc>
          <w:tcPr>
            <w:tcW w:w="5850" w:type="dxa"/>
            <w:vAlign w:val="center"/>
          </w:tcPr>
          <w:p w14:paraId="779F8C74">
            <w:pPr>
              <w:spacing w:line="360" w:lineRule="auto"/>
              <w:rPr>
                <w:rFonts w:ascii="仿宋" w:hAnsi="仿宋" w:eastAsia="仿宋" w:cs="仿宋"/>
                <w:sz w:val="24"/>
                <w:highlight w:val="none"/>
              </w:rPr>
            </w:pPr>
            <w:r>
              <w:rPr>
                <w:rFonts w:hint="eastAsia" w:ascii="仿宋" w:hAnsi="仿宋" w:eastAsia="仿宋" w:cs="仿宋"/>
                <w:sz w:val="24"/>
                <w:highlight w:val="none"/>
              </w:rPr>
              <w:t>完全理解并接受对投标人的各项须知、规约要求和责任义务；</w:t>
            </w:r>
          </w:p>
        </w:tc>
        <w:tc>
          <w:tcPr>
            <w:tcW w:w="1008" w:type="dxa"/>
            <w:vAlign w:val="center"/>
          </w:tcPr>
          <w:p w14:paraId="2A24FF7C">
            <w:pPr>
              <w:spacing w:line="360" w:lineRule="auto"/>
              <w:jc w:val="center"/>
              <w:rPr>
                <w:rFonts w:ascii="仿宋" w:hAnsi="仿宋" w:eastAsia="仿宋" w:cs="仿宋"/>
                <w:sz w:val="24"/>
                <w:highlight w:val="none"/>
              </w:rPr>
            </w:pPr>
          </w:p>
        </w:tc>
        <w:tc>
          <w:tcPr>
            <w:tcW w:w="1164" w:type="dxa"/>
            <w:vAlign w:val="center"/>
          </w:tcPr>
          <w:p w14:paraId="2B0DF9F9">
            <w:pPr>
              <w:spacing w:line="360" w:lineRule="auto"/>
              <w:jc w:val="center"/>
              <w:rPr>
                <w:rFonts w:ascii="仿宋" w:hAnsi="仿宋" w:eastAsia="仿宋" w:cs="仿宋"/>
                <w:sz w:val="24"/>
                <w:highlight w:val="none"/>
              </w:rPr>
            </w:pPr>
          </w:p>
        </w:tc>
      </w:tr>
      <w:tr w14:paraId="489F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F5EFB0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3</w:t>
            </w:r>
          </w:p>
        </w:tc>
        <w:tc>
          <w:tcPr>
            <w:tcW w:w="5850" w:type="dxa"/>
            <w:vAlign w:val="center"/>
          </w:tcPr>
          <w:p w14:paraId="0493E996">
            <w:pPr>
              <w:spacing w:line="360" w:lineRule="auto"/>
              <w:rPr>
                <w:rFonts w:ascii="仿宋" w:hAnsi="仿宋" w:eastAsia="仿宋" w:cs="仿宋"/>
                <w:sz w:val="24"/>
                <w:highlight w:val="none"/>
              </w:rPr>
            </w:pPr>
            <w:r>
              <w:rPr>
                <w:rFonts w:hint="eastAsia" w:ascii="仿宋" w:hAnsi="仿宋" w:eastAsia="仿宋" w:cs="仿宋"/>
                <w:sz w:val="24"/>
                <w:highlight w:val="none"/>
              </w:rPr>
              <w:t>同意接受拟签订的合同文本所列述的各项条款；</w:t>
            </w:r>
          </w:p>
        </w:tc>
        <w:tc>
          <w:tcPr>
            <w:tcW w:w="1008" w:type="dxa"/>
            <w:vAlign w:val="center"/>
          </w:tcPr>
          <w:p w14:paraId="673E9941">
            <w:pPr>
              <w:spacing w:line="360" w:lineRule="auto"/>
              <w:jc w:val="center"/>
              <w:rPr>
                <w:rFonts w:ascii="仿宋" w:hAnsi="仿宋" w:eastAsia="仿宋" w:cs="仿宋"/>
                <w:sz w:val="24"/>
                <w:highlight w:val="none"/>
              </w:rPr>
            </w:pPr>
          </w:p>
        </w:tc>
        <w:tc>
          <w:tcPr>
            <w:tcW w:w="1164" w:type="dxa"/>
            <w:vAlign w:val="center"/>
          </w:tcPr>
          <w:p w14:paraId="10C778F5">
            <w:pPr>
              <w:spacing w:line="360" w:lineRule="auto"/>
              <w:jc w:val="center"/>
              <w:rPr>
                <w:rFonts w:ascii="仿宋" w:hAnsi="仿宋" w:eastAsia="仿宋" w:cs="仿宋"/>
                <w:sz w:val="24"/>
                <w:highlight w:val="none"/>
              </w:rPr>
            </w:pPr>
          </w:p>
        </w:tc>
      </w:tr>
      <w:tr w14:paraId="3CD67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45AE6F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4</w:t>
            </w:r>
          </w:p>
        </w:tc>
        <w:tc>
          <w:tcPr>
            <w:tcW w:w="5850" w:type="dxa"/>
            <w:vAlign w:val="center"/>
          </w:tcPr>
          <w:p w14:paraId="66A64650">
            <w:pPr>
              <w:spacing w:line="360" w:lineRule="auto"/>
              <w:rPr>
                <w:rFonts w:ascii="仿宋" w:hAnsi="仿宋" w:eastAsia="仿宋" w:cs="仿宋"/>
                <w:sz w:val="24"/>
                <w:highlight w:val="none"/>
              </w:rPr>
            </w:pPr>
            <w:r>
              <w:rPr>
                <w:rFonts w:hint="eastAsia" w:ascii="仿宋" w:hAnsi="仿宋" w:eastAsia="仿宋" w:cs="仿宋"/>
                <w:sz w:val="24"/>
                <w:highlight w:val="none"/>
              </w:rPr>
              <w:t>同意按本项目要求缴付相关款项；</w:t>
            </w:r>
          </w:p>
        </w:tc>
        <w:tc>
          <w:tcPr>
            <w:tcW w:w="1008" w:type="dxa"/>
            <w:vAlign w:val="center"/>
          </w:tcPr>
          <w:p w14:paraId="52FB0388">
            <w:pPr>
              <w:spacing w:line="360" w:lineRule="auto"/>
              <w:jc w:val="center"/>
              <w:rPr>
                <w:rFonts w:ascii="仿宋" w:hAnsi="仿宋" w:eastAsia="仿宋" w:cs="仿宋"/>
                <w:sz w:val="24"/>
                <w:highlight w:val="none"/>
              </w:rPr>
            </w:pPr>
          </w:p>
        </w:tc>
        <w:tc>
          <w:tcPr>
            <w:tcW w:w="1164" w:type="dxa"/>
            <w:vAlign w:val="center"/>
          </w:tcPr>
          <w:p w14:paraId="52C480BD">
            <w:pPr>
              <w:spacing w:line="360" w:lineRule="auto"/>
              <w:jc w:val="center"/>
              <w:rPr>
                <w:rFonts w:ascii="仿宋" w:hAnsi="仿宋" w:eastAsia="仿宋" w:cs="仿宋"/>
                <w:sz w:val="24"/>
                <w:highlight w:val="none"/>
              </w:rPr>
            </w:pPr>
          </w:p>
        </w:tc>
      </w:tr>
      <w:tr w14:paraId="51D1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6E683CB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5</w:t>
            </w:r>
          </w:p>
        </w:tc>
        <w:tc>
          <w:tcPr>
            <w:tcW w:w="5850" w:type="dxa"/>
            <w:vAlign w:val="center"/>
          </w:tcPr>
          <w:p w14:paraId="3452C833">
            <w:pPr>
              <w:spacing w:line="360" w:lineRule="auto"/>
              <w:rPr>
                <w:rFonts w:ascii="仿宋" w:hAnsi="仿宋" w:eastAsia="仿宋" w:cs="仿宋"/>
                <w:sz w:val="24"/>
                <w:highlight w:val="none"/>
              </w:rPr>
            </w:pPr>
            <w:r>
              <w:rPr>
                <w:rFonts w:hint="eastAsia" w:ascii="仿宋" w:hAnsi="仿宋" w:eastAsia="仿宋" w:cs="仿宋"/>
                <w:sz w:val="24"/>
                <w:highlight w:val="none"/>
              </w:rPr>
              <w:t>可提供货物来源证明或合法性证明；</w:t>
            </w:r>
          </w:p>
        </w:tc>
        <w:tc>
          <w:tcPr>
            <w:tcW w:w="1008" w:type="dxa"/>
            <w:vAlign w:val="center"/>
          </w:tcPr>
          <w:p w14:paraId="7D246E41">
            <w:pPr>
              <w:spacing w:line="360" w:lineRule="auto"/>
              <w:jc w:val="center"/>
              <w:rPr>
                <w:rFonts w:ascii="仿宋" w:hAnsi="仿宋" w:eastAsia="仿宋" w:cs="仿宋"/>
                <w:sz w:val="24"/>
                <w:highlight w:val="none"/>
              </w:rPr>
            </w:pPr>
          </w:p>
        </w:tc>
        <w:tc>
          <w:tcPr>
            <w:tcW w:w="1164" w:type="dxa"/>
            <w:vAlign w:val="center"/>
          </w:tcPr>
          <w:p w14:paraId="7C1A632F">
            <w:pPr>
              <w:spacing w:line="360" w:lineRule="auto"/>
              <w:jc w:val="center"/>
              <w:rPr>
                <w:rFonts w:ascii="仿宋" w:hAnsi="仿宋" w:eastAsia="仿宋" w:cs="仿宋"/>
                <w:sz w:val="24"/>
                <w:highlight w:val="none"/>
              </w:rPr>
            </w:pPr>
          </w:p>
        </w:tc>
      </w:tr>
      <w:tr w14:paraId="4005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3D6DD2D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6</w:t>
            </w:r>
          </w:p>
        </w:tc>
        <w:tc>
          <w:tcPr>
            <w:tcW w:w="5850" w:type="dxa"/>
            <w:vAlign w:val="center"/>
          </w:tcPr>
          <w:p w14:paraId="0FCC98D2">
            <w:pPr>
              <w:spacing w:line="360" w:lineRule="auto"/>
              <w:rPr>
                <w:rFonts w:ascii="仿宋" w:hAnsi="仿宋" w:eastAsia="仿宋" w:cs="仿宋"/>
                <w:sz w:val="24"/>
                <w:highlight w:val="none"/>
              </w:rPr>
            </w:pPr>
            <w:r>
              <w:rPr>
                <w:rFonts w:hint="eastAsia" w:ascii="仿宋" w:hAnsi="仿宋" w:eastAsia="仿宋" w:cs="仿宋"/>
                <w:sz w:val="24"/>
                <w:highlight w:val="none"/>
              </w:rPr>
              <w:t>投标有效期；</w:t>
            </w:r>
          </w:p>
        </w:tc>
        <w:tc>
          <w:tcPr>
            <w:tcW w:w="1008" w:type="dxa"/>
            <w:vAlign w:val="center"/>
          </w:tcPr>
          <w:p w14:paraId="426FD93E">
            <w:pPr>
              <w:spacing w:line="360" w:lineRule="auto"/>
              <w:jc w:val="center"/>
              <w:rPr>
                <w:rFonts w:ascii="仿宋" w:hAnsi="仿宋" w:eastAsia="仿宋" w:cs="仿宋"/>
                <w:sz w:val="24"/>
                <w:highlight w:val="none"/>
              </w:rPr>
            </w:pPr>
          </w:p>
        </w:tc>
        <w:tc>
          <w:tcPr>
            <w:tcW w:w="1164" w:type="dxa"/>
            <w:vAlign w:val="center"/>
          </w:tcPr>
          <w:p w14:paraId="593D52A3">
            <w:pPr>
              <w:spacing w:line="360" w:lineRule="auto"/>
              <w:jc w:val="center"/>
              <w:rPr>
                <w:rFonts w:ascii="仿宋" w:hAnsi="仿宋" w:eastAsia="仿宋" w:cs="仿宋"/>
                <w:sz w:val="24"/>
                <w:highlight w:val="none"/>
              </w:rPr>
            </w:pPr>
          </w:p>
        </w:tc>
      </w:tr>
      <w:tr w14:paraId="2F9F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5B3D510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7</w:t>
            </w:r>
          </w:p>
        </w:tc>
        <w:tc>
          <w:tcPr>
            <w:tcW w:w="5850" w:type="dxa"/>
            <w:vAlign w:val="center"/>
          </w:tcPr>
          <w:p w14:paraId="0C3EEC5E">
            <w:pPr>
              <w:spacing w:line="360" w:lineRule="auto"/>
              <w:rPr>
                <w:rFonts w:ascii="仿宋" w:hAnsi="仿宋" w:eastAsia="仿宋" w:cs="仿宋"/>
                <w:sz w:val="24"/>
                <w:highlight w:val="none"/>
              </w:rPr>
            </w:pPr>
            <w:r>
              <w:rPr>
                <w:rFonts w:hint="eastAsia" w:ascii="仿宋" w:hAnsi="仿宋" w:eastAsia="仿宋" w:cs="仿宋"/>
                <w:sz w:val="24"/>
                <w:highlight w:val="none"/>
              </w:rPr>
              <w:t>投标内容均涵盖招标要求及一切费用和伴随服务；</w:t>
            </w:r>
          </w:p>
        </w:tc>
        <w:tc>
          <w:tcPr>
            <w:tcW w:w="1008" w:type="dxa"/>
            <w:vAlign w:val="center"/>
          </w:tcPr>
          <w:p w14:paraId="49DF7EA2">
            <w:pPr>
              <w:spacing w:line="360" w:lineRule="auto"/>
              <w:jc w:val="center"/>
              <w:rPr>
                <w:rFonts w:ascii="仿宋" w:hAnsi="仿宋" w:eastAsia="仿宋" w:cs="仿宋"/>
                <w:sz w:val="24"/>
                <w:highlight w:val="none"/>
              </w:rPr>
            </w:pPr>
          </w:p>
        </w:tc>
        <w:tc>
          <w:tcPr>
            <w:tcW w:w="1164" w:type="dxa"/>
            <w:vAlign w:val="center"/>
          </w:tcPr>
          <w:p w14:paraId="108C219F">
            <w:pPr>
              <w:pStyle w:val="62"/>
              <w:keepNext w:val="0"/>
              <w:adjustRightInd/>
              <w:spacing w:before="0" w:after="0" w:line="360" w:lineRule="auto"/>
              <w:textAlignment w:val="auto"/>
              <w:rPr>
                <w:rFonts w:ascii="仿宋" w:hAnsi="仿宋" w:eastAsia="仿宋" w:cs="仿宋"/>
                <w:spacing w:val="0"/>
                <w:kern w:val="2"/>
                <w:szCs w:val="24"/>
                <w:highlight w:val="none"/>
              </w:rPr>
            </w:pPr>
          </w:p>
        </w:tc>
      </w:tr>
      <w:tr w14:paraId="2991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BD94A1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8</w:t>
            </w:r>
          </w:p>
        </w:tc>
        <w:tc>
          <w:tcPr>
            <w:tcW w:w="5850" w:type="dxa"/>
            <w:vAlign w:val="center"/>
          </w:tcPr>
          <w:p w14:paraId="23073264">
            <w:pPr>
              <w:spacing w:line="360" w:lineRule="auto"/>
              <w:rPr>
                <w:rFonts w:ascii="仿宋" w:hAnsi="仿宋" w:eastAsia="仿宋" w:cs="仿宋"/>
                <w:sz w:val="24"/>
                <w:highlight w:val="none"/>
              </w:rPr>
            </w:pPr>
            <w:r>
              <w:rPr>
                <w:rFonts w:hint="eastAsia" w:ascii="仿宋" w:hAnsi="仿宋" w:eastAsia="仿宋" w:cs="仿宋"/>
                <w:sz w:val="24"/>
                <w:highlight w:val="none"/>
              </w:rPr>
              <w:t>同意接受本项目</w:t>
            </w:r>
            <w:r>
              <w:rPr>
                <w:rFonts w:hint="eastAsia" w:ascii="仿宋" w:hAnsi="仿宋" w:eastAsia="仿宋" w:cs="仿宋"/>
                <w:sz w:val="24"/>
                <w:highlight w:val="none"/>
                <w:lang w:val="en-US" w:eastAsia="zh-CN"/>
              </w:rPr>
              <w:t>履约期限</w:t>
            </w:r>
            <w:r>
              <w:rPr>
                <w:rFonts w:hint="eastAsia" w:ascii="仿宋" w:hAnsi="仿宋" w:eastAsia="仿宋" w:cs="仿宋"/>
                <w:sz w:val="24"/>
                <w:highlight w:val="none"/>
              </w:rPr>
              <w:t>、相关进度安排要求；</w:t>
            </w:r>
          </w:p>
        </w:tc>
        <w:tc>
          <w:tcPr>
            <w:tcW w:w="1008" w:type="dxa"/>
            <w:vAlign w:val="center"/>
          </w:tcPr>
          <w:p w14:paraId="7FE1596C">
            <w:pPr>
              <w:spacing w:line="360" w:lineRule="auto"/>
              <w:jc w:val="center"/>
              <w:rPr>
                <w:rFonts w:ascii="仿宋" w:hAnsi="仿宋" w:eastAsia="仿宋" w:cs="仿宋"/>
                <w:sz w:val="24"/>
                <w:highlight w:val="none"/>
              </w:rPr>
            </w:pPr>
          </w:p>
        </w:tc>
        <w:tc>
          <w:tcPr>
            <w:tcW w:w="1164" w:type="dxa"/>
            <w:vAlign w:val="center"/>
          </w:tcPr>
          <w:p w14:paraId="194BB5EB">
            <w:pPr>
              <w:spacing w:line="360" w:lineRule="auto"/>
              <w:jc w:val="center"/>
              <w:rPr>
                <w:rFonts w:ascii="仿宋" w:hAnsi="仿宋" w:eastAsia="仿宋" w:cs="仿宋"/>
                <w:sz w:val="24"/>
                <w:highlight w:val="none"/>
              </w:rPr>
            </w:pPr>
          </w:p>
        </w:tc>
      </w:tr>
      <w:tr w14:paraId="4215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861199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9</w:t>
            </w:r>
          </w:p>
        </w:tc>
        <w:tc>
          <w:tcPr>
            <w:tcW w:w="5850" w:type="dxa"/>
            <w:vAlign w:val="center"/>
          </w:tcPr>
          <w:p w14:paraId="5B72495E">
            <w:pPr>
              <w:spacing w:line="360" w:lineRule="auto"/>
              <w:rPr>
                <w:rFonts w:ascii="仿宋" w:hAnsi="仿宋" w:eastAsia="仿宋" w:cs="仿宋"/>
                <w:sz w:val="24"/>
                <w:highlight w:val="none"/>
              </w:rPr>
            </w:pPr>
            <w:r>
              <w:rPr>
                <w:rFonts w:hint="eastAsia" w:ascii="仿宋" w:hAnsi="仿宋" w:eastAsia="仿宋" w:cs="仿宋"/>
                <w:sz w:val="24"/>
                <w:highlight w:val="none"/>
              </w:rPr>
              <w:t>同意接受本项目的验收要求及验收标准；</w:t>
            </w:r>
          </w:p>
        </w:tc>
        <w:tc>
          <w:tcPr>
            <w:tcW w:w="1008" w:type="dxa"/>
            <w:vAlign w:val="center"/>
          </w:tcPr>
          <w:p w14:paraId="6E27477F">
            <w:pPr>
              <w:spacing w:line="360" w:lineRule="auto"/>
              <w:jc w:val="center"/>
              <w:rPr>
                <w:rFonts w:ascii="仿宋" w:hAnsi="仿宋" w:eastAsia="仿宋" w:cs="仿宋"/>
                <w:sz w:val="24"/>
                <w:highlight w:val="none"/>
              </w:rPr>
            </w:pPr>
          </w:p>
        </w:tc>
        <w:tc>
          <w:tcPr>
            <w:tcW w:w="1164" w:type="dxa"/>
            <w:vAlign w:val="center"/>
          </w:tcPr>
          <w:p w14:paraId="6A9F085A">
            <w:pPr>
              <w:spacing w:line="360" w:lineRule="auto"/>
              <w:jc w:val="center"/>
              <w:rPr>
                <w:rFonts w:ascii="仿宋" w:hAnsi="仿宋" w:eastAsia="仿宋" w:cs="仿宋"/>
                <w:sz w:val="24"/>
                <w:highlight w:val="none"/>
              </w:rPr>
            </w:pPr>
          </w:p>
        </w:tc>
      </w:tr>
      <w:tr w14:paraId="2674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2093D25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10</w:t>
            </w:r>
          </w:p>
        </w:tc>
        <w:tc>
          <w:tcPr>
            <w:tcW w:w="5850" w:type="dxa"/>
            <w:vAlign w:val="center"/>
          </w:tcPr>
          <w:p w14:paraId="4CCA70F9">
            <w:pPr>
              <w:pStyle w:val="22"/>
              <w:spacing w:line="360" w:lineRule="auto"/>
              <w:rPr>
                <w:rFonts w:ascii="仿宋" w:hAnsi="仿宋" w:cs="仿宋"/>
                <w:sz w:val="24"/>
                <w:szCs w:val="24"/>
                <w:highlight w:val="none"/>
              </w:rPr>
            </w:pPr>
            <w:r>
              <w:rPr>
                <w:rFonts w:hint="eastAsia" w:ascii="仿宋" w:hAnsi="仿宋" w:cs="仿宋"/>
                <w:b w:val="0"/>
                <w:bCs w:val="0"/>
                <w:kern w:val="2"/>
                <w:sz w:val="24"/>
                <w:szCs w:val="24"/>
                <w:highlight w:val="none"/>
              </w:rPr>
              <w:t>同意采购人以任何形式对我方的投标文件内容的真实性和有效性进行审查、验证；</w:t>
            </w:r>
          </w:p>
        </w:tc>
        <w:tc>
          <w:tcPr>
            <w:tcW w:w="1008" w:type="dxa"/>
            <w:vAlign w:val="center"/>
          </w:tcPr>
          <w:p w14:paraId="7DCAF7E0">
            <w:pPr>
              <w:pStyle w:val="63"/>
              <w:numPr>
                <w:ilvl w:val="0"/>
                <w:numId w:val="0"/>
              </w:numPr>
              <w:rPr>
                <w:rFonts w:ascii="仿宋" w:hAnsi="仿宋" w:eastAsia="仿宋" w:cs="仿宋"/>
                <w:color w:val="auto"/>
                <w:sz w:val="24"/>
                <w:szCs w:val="24"/>
                <w:highlight w:val="none"/>
              </w:rPr>
            </w:pPr>
          </w:p>
        </w:tc>
        <w:tc>
          <w:tcPr>
            <w:tcW w:w="1164" w:type="dxa"/>
            <w:vAlign w:val="center"/>
          </w:tcPr>
          <w:p w14:paraId="0C15CE5C">
            <w:pPr>
              <w:pStyle w:val="62"/>
              <w:keepNext w:val="0"/>
              <w:adjustRightInd/>
              <w:spacing w:before="0" w:after="0" w:line="360" w:lineRule="auto"/>
              <w:jc w:val="both"/>
              <w:textAlignment w:val="auto"/>
              <w:rPr>
                <w:rFonts w:ascii="仿宋" w:hAnsi="仿宋" w:eastAsia="仿宋" w:cs="仿宋"/>
                <w:spacing w:val="0"/>
                <w:kern w:val="2"/>
                <w:szCs w:val="24"/>
                <w:highlight w:val="none"/>
              </w:rPr>
            </w:pPr>
          </w:p>
        </w:tc>
      </w:tr>
      <w:tr w14:paraId="4A50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17EA6F3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11</w:t>
            </w:r>
          </w:p>
        </w:tc>
        <w:tc>
          <w:tcPr>
            <w:tcW w:w="5850" w:type="dxa"/>
            <w:vAlign w:val="center"/>
          </w:tcPr>
          <w:p w14:paraId="5FF7C9A2">
            <w:pPr>
              <w:pStyle w:val="22"/>
              <w:spacing w:line="360" w:lineRule="auto"/>
              <w:rPr>
                <w:rFonts w:ascii="仿宋" w:hAnsi="仿宋" w:cs="仿宋"/>
                <w:b w:val="0"/>
                <w:bCs w:val="0"/>
                <w:kern w:val="2"/>
                <w:sz w:val="24"/>
                <w:szCs w:val="24"/>
                <w:highlight w:val="none"/>
              </w:rPr>
            </w:pPr>
            <w:r>
              <w:rPr>
                <w:rFonts w:hint="eastAsia" w:ascii="仿宋" w:hAnsi="仿宋" w:cs="仿宋"/>
                <w:b w:val="0"/>
                <w:bCs w:val="0"/>
                <w:kern w:val="2"/>
                <w:sz w:val="24"/>
                <w:szCs w:val="24"/>
                <w:highlight w:val="none"/>
              </w:rPr>
              <w:t>同意接受本项目付款的各项要求。</w:t>
            </w:r>
          </w:p>
        </w:tc>
        <w:tc>
          <w:tcPr>
            <w:tcW w:w="1008" w:type="dxa"/>
            <w:vAlign w:val="center"/>
          </w:tcPr>
          <w:p w14:paraId="0964DADB">
            <w:pPr>
              <w:pStyle w:val="63"/>
              <w:numPr>
                <w:ilvl w:val="0"/>
                <w:numId w:val="0"/>
              </w:numPr>
              <w:rPr>
                <w:rFonts w:ascii="仿宋" w:hAnsi="仿宋" w:eastAsia="仿宋" w:cs="仿宋"/>
                <w:color w:val="auto"/>
                <w:sz w:val="24"/>
                <w:szCs w:val="24"/>
                <w:highlight w:val="none"/>
              </w:rPr>
            </w:pPr>
          </w:p>
        </w:tc>
        <w:tc>
          <w:tcPr>
            <w:tcW w:w="1164" w:type="dxa"/>
            <w:vAlign w:val="center"/>
          </w:tcPr>
          <w:p w14:paraId="63258D29">
            <w:pPr>
              <w:pStyle w:val="62"/>
              <w:keepNext w:val="0"/>
              <w:adjustRightInd/>
              <w:spacing w:before="0" w:after="0" w:line="360" w:lineRule="auto"/>
              <w:jc w:val="both"/>
              <w:textAlignment w:val="auto"/>
              <w:rPr>
                <w:rFonts w:ascii="仿宋" w:hAnsi="仿宋" w:eastAsia="仿宋" w:cs="仿宋"/>
                <w:spacing w:val="0"/>
                <w:kern w:val="2"/>
                <w:szCs w:val="24"/>
                <w:highlight w:val="none"/>
              </w:rPr>
            </w:pPr>
          </w:p>
        </w:tc>
      </w:tr>
    </w:tbl>
    <w:p w14:paraId="23ED6177">
      <w:pPr>
        <w:spacing w:line="360" w:lineRule="auto"/>
        <w:rPr>
          <w:rFonts w:ascii="仿宋" w:hAnsi="仿宋" w:eastAsia="仿宋" w:cs="仿宋"/>
          <w:sz w:val="24"/>
          <w:highlight w:val="none"/>
          <w:lang w:val="en-GB"/>
        </w:rPr>
      </w:pPr>
      <w:r>
        <w:rPr>
          <w:rFonts w:hint="eastAsia" w:ascii="仿宋" w:hAnsi="仿宋" w:eastAsia="仿宋" w:cs="仿宋"/>
          <w:sz w:val="24"/>
          <w:highlight w:val="none"/>
        </w:rPr>
        <w:t>备注：</w:t>
      </w:r>
      <w:r>
        <w:rPr>
          <w:rFonts w:hint="eastAsia" w:ascii="仿宋" w:hAnsi="仿宋" w:eastAsia="仿宋" w:cs="仿宋"/>
          <w:sz w:val="24"/>
          <w:highlight w:val="none"/>
          <w:lang w:val="en-GB"/>
        </w:rPr>
        <w:t>1</w:t>
      </w:r>
      <w:r>
        <w:rPr>
          <w:rFonts w:hint="eastAsia" w:ascii="仿宋" w:hAnsi="仿宋" w:eastAsia="仿宋" w:cs="仿宋"/>
          <w:sz w:val="24"/>
          <w:highlight w:val="none"/>
        </w:rPr>
        <w:t>.对</w:t>
      </w:r>
      <w:r>
        <w:rPr>
          <w:rFonts w:hint="eastAsia" w:ascii="仿宋" w:hAnsi="仿宋" w:eastAsia="仿宋" w:cs="仿宋"/>
          <w:sz w:val="24"/>
          <w:highlight w:val="none"/>
          <w:lang w:val="en-GB"/>
        </w:rPr>
        <w:t>于上述要求，如投标人完全响应，则请在“是否响应”栏内打“√”，对打“×”视为偏离，请在“偏离说明”栏内扼要说明偏离情况；</w:t>
      </w:r>
    </w:p>
    <w:p w14:paraId="163A14DA">
      <w:pPr>
        <w:spacing w:line="360" w:lineRule="auto"/>
        <w:ind w:left="-431" w:firstLine="480" w:firstLineChars="200"/>
        <w:rPr>
          <w:rFonts w:ascii="仿宋" w:hAnsi="仿宋" w:eastAsia="仿宋" w:cs="仿宋"/>
          <w:sz w:val="24"/>
          <w:highlight w:val="none"/>
          <w:lang w:val="en-GB"/>
        </w:rPr>
      </w:pPr>
      <w:r>
        <w:rPr>
          <w:rFonts w:hint="eastAsia" w:ascii="仿宋" w:hAnsi="仿宋" w:eastAsia="仿宋" w:cs="仿宋"/>
          <w:sz w:val="24"/>
          <w:highlight w:val="none"/>
        </w:rPr>
        <w:t>2.</w:t>
      </w:r>
      <w:r>
        <w:rPr>
          <w:rFonts w:hint="eastAsia" w:ascii="仿宋" w:hAnsi="仿宋" w:eastAsia="仿宋" w:cs="仿宋"/>
          <w:sz w:val="24"/>
          <w:highlight w:val="none"/>
          <w:lang w:val="en-GB"/>
        </w:rPr>
        <w:t>投标人应认真填写本响应表，若评标委员会在</w:t>
      </w:r>
      <w:r>
        <w:rPr>
          <w:rFonts w:hint="eastAsia" w:ascii="仿宋" w:hAnsi="仿宋" w:eastAsia="仿宋" w:cs="仿宋"/>
          <w:sz w:val="24"/>
          <w:highlight w:val="none"/>
        </w:rPr>
        <w:t>评标</w:t>
      </w:r>
      <w:r>
        <w:rPr>
          <w:rFonts w:hint="eastAsia" w:ascii="仿宋" w:hAnsi="仿宋" w:eastAsia="仿宋" w:cs="仿宋"/>
          <w:sz w:val="24"/>
          <w:highlight w:val="none"/>
          <w:lang w:val="en-GB"/>
        </w:rPr>
        <w:t>期间，发现有虚假填写本响应表的，则将可能被视为存在两个</w:t>
      </w:r>
      <w:r>
        <w:rPr>
          <w:rFonts w:hint="eastAsia" w:ascii="仿宋" w:hAnsi="仿宋" w:eastAsia="仿宋" w:cs="仿宋"/>
          <w:sz w:val="24"/>
          <w:highlight w:val="none"/>
        </w:rPr>
        <w:t>投标</w:t>
      </w:r>
      <w:r>
        <w:rPr>
          <w:rFonts w:hint="eastAsia" w:ascii="仿宋" w:hAnsi="仿宋" w:eastAsia="仿宋" w:cs="仿宋"/>
          <w:sz w:val="24"/>
          <w:highlight w:val="none"/>
          <w:lang w:val="en-GB"/>
        </w:rPr>
        <w:t>方案，评标委员会将按本招标文件相关规定执行；</w:t>
      </w:r>
    </w:p>
    <w:p w14:paraId="6F809775">
      <w:pPr>
        <w:spacing w:line="360" w:lineRule="auto"/>
        <w:ind w:left="-431" w:firstLine="480" w:firstLineChars="200"/>
        <w:rPr>
          <w:rFonts w:ascii="仿宋" w:hAnsi="仿宋" w:eastAsia="仿宋" w:cs="仿宋"/>
          <w:sz w:val="24"/>
          <w:highlight w:val="none"/>
          <w:lang w:val="en-GB"/>
        </w:rPr>
      </w:pPr>
      <w:r>
        <w:rPr>
          <w:rFonts w:hint="eastAsia" w:ascii="仿宋" w:hAnsi="仿宋" w:eastAsia="仿宋" w:cs="仿宋"/>
          <w:sz w:val="24"/>
          <w:highlight w:val="none"/>
        </w:rPr>
        <w:t>3.</w:t>
      </w:r>
      <w:r>
        <w:rPr>
          <w:rFonts w:hint="eastAsia" w:ascii="仿宋" w:hAnsi="仿宋" w:eastAsia="仿宋" w:cs="仿宋"/>
          <w:sz w:val="24"/>
          <w:highlight w:val="none"/>
          <w:lang w:val="en-GB"/>
        </w:rPr>
        <w:t>本表内容不得擅自修改。</w:t>
      </w:r>
    </w:p>
    <w:p w14:paraId="34235728">
      <w:pPr>
        <w:spacing w:line="360" w:lineRule="auto"/>
        <w:rPr>
          <w:rFonts w:ascii="仿宋" w:hAnsi="仿宋" w:eastAsia="仿宋" w:cs="仿宋"/>
          <w:sz w:val="24"/>
          <w:highlight w:val="none"/>
        </w:rPr>
      </w:pPr>
    </w:p>
    <w:p w14:paraId="32F36F0A">
      <w:pPr>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621AB6C9">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技术需求偏离表</w:t>
      </w:r>
    </w:p>
    <w:tbl>
      <w:tblPr>
        <w:tblStyle w:val="3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3128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1FA14095">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序号</w:t>
            </w:r>
          </w:p>
        </w:tc>
        <w:tc>
          <w:tcPr>
            <w:tcW w:w="1062" w:type="dxa"/>
            <w:vAlign w:val="center"/>
          </w:tcPr>
          <w:p w14:paraId="33C75F84">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名称</w:t>
            </w:r>
          </w:p>
        </w:tc>
        <w:tc>
          <w:tcPr>
            <w:tcW w:w="1229" w:type="dxa"/>
            <w:vAlign w:val="center"/>
          </w:tcPr>
          <w:p w14:paraId="3801731F">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招标文件条款号</w:t>
            </w:r>
          </w:p>
        </w:tc>
        <w:tc>
          <w:tcPr>
            <w:tcW w:w="1575" w:type="dxa"/>
            <w:vAlign w:val="center"/>
          </w:tcPr>
          <w:p w14:paraId="3A5CA920">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招标文件的要求</w:t>
            </w:r>
          </w:p>
        </w:tc>
        <w:tc>
          <w:tcPr>
            <w:tcW w:w="1500" w:type="dxa"/>
            <w:vAlign w:val="center"/>
          </w:tcPr>
          <w:p w14:paraId="5B4A23FC">
            <w:pPr>
              <w:spacing w:line="360" w:lineRule="auto"/>
              <w:jc w:val="center"/>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投标</w:t>
            </w:r>
            <w:r>
              <w:rPr>
                <w:rFonts w:hint="eastAsia" w:ascii="仿宋" w:hAnsi="仿宋" w:eastAsia="仿宋" w:cs="仿宋"/>
                <w:bCs/>
                <w:sz w:val="24"/>
                <w:highlight w:val="none"/>
              </w:rPr>
              <w:t>文件的响应</w:t>
            </w:r>
            <w:r>
              <w:rPr>
                <w:rFonts w:hint="eastAsia" w:ascii="仿宋" w:hAnsi="仿宋" w:eastAsia="仿宋" w:cs="仿宋"/>
                <w:bCs/>
                <w:sz w:val="24"/>
                <w:highlight w:val="none"/>
                <w:lang w:val="en-US" w:eastAsia="zh-CN"/>
              </w:rPr>
              <w:t>情况</w:t>
            </w:r>
          </w:p>
        </w:tc>
        <w:tc>
          <w:tcPr>
            <w:tcW w:w="1055" w:type="dxa"/>
            <w:vAlign w:val="center"/>
          </w:tcPr>
          <w:p w14:paraId="280D595E">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偏离</w:t>
            </w:r>
          </w:p>
        </w:tc>
        <w:tc>
          <w:tcPr>
            <w:tcW w:w="1036" w:type="dxa"/>
            <w:vAlign w:val="center"/>
          </w:tcPr>
          <w:p w14:paraId="5296494F">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说明</w:t>
            </w:r>
          </w:p>
        </w:tc>
      </w:tr>
      <w:tr w14:paraId="358F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21FFEC8E">
            <w:pPr>
              <w:spacing w:line="360" w:lineRule="auto"/>
              <w:rPr>
                <w:rFonts w:ascii="仿宋" w:hAnsi="仿宋" w:eastAsia="仿宋" w:cs="仿宋"/>
                <w:bCs/>
                <w:sz w:val="24"/>
                <w:highlight w:val="none"/>
              </w:rPr>
            </w:pPr>
          </w:p>
        </w:tc>
        <w:tc>
          <w:tcPr>
            <w:tcW w:w="1062" w:type="dxa"/>
          </w:tcPr>
          <w:p w14:paraId="79D3C786">
            <w:pPr>
              <w:spacing w:line="360" w:lineRule="auto"/>
              <w:rPr>
                <w:rFonts w:ascii="仿宋" w:hAnsi="仿宋" w:eastAsia="仿宋" w:cs="仿宋"/>
                <w:bCs/>
                <w:sz w:val="24"/>
                <w:highlight w:val="none"/>
              </w:rPr>
            </w:pPr>
          </w:p>
        </w:tc>
        <w:tc>
          <w:tcPr>
            <w:tcW w:w="1229" w:type="dxa"/>
          </w:tcPr>
          <w:p w14:paraId="2F3D140D">
            <w:pPr>
              <w:spacing w:line="360" w:lineRule="auto"/>
              <w:rPr>
                <w:rFonts w:ascii="仿宋" w:hAnsi="仿宋" w:eastAsia="仿宋" w:cs="仿宋"/>
                <w:bCs/>
                <w:sz w:val="24"/>
                <w:highlight w:val="none"/>
              </w:rPr>
            </w:pPr>
          </w:p>
        </w:tc>
        <w:tc>
          <w:tcPr>
            <w:tcW w:w="1575" w:type="dxa"/>
          </w:tcPr>
          <w:p w14:paraId="0C1A6EB8">
            <w:pPr>
              <w:spacing w:line="360" w:lineRule="auto"/>
              <w:rPr>
                <w:rFonts w:ascii="仿宋" w:hAnsi="仿宋" w:eastAsia="仿宋" w:cs="仿宋"/>
                <w:bCs/>
                <w:sz w:val="24"/>
                <w:highlight w:val="none"/>
              </w:rPr>
            </w:pPr>
          </w:p>
        </w:tc>
        <w:tc>
          <w:tcPr>
            <w:tcW w:w="1500" w:type="dxa"/>
          </w:tcPr>
          <w:p w14:paraId="259A8F47">
            <w:pPr>
              <w:spacing w:line="360" w:lineRule="auto"/>
              <w:rPr>
                <w:rFonts w:ascii="仿宋" w:hAnsi="仿宋" w:eastAsia="仿宋" w:cs="仿宋"/>
                <w:bCs/>
                <w:sz w:val="24"/>
                <w:highlight w:val="none"/>
              </w:rPr>
            </w:pPr>
          </w:p>
        </w:tc>
        <w:tc>
          <w:tcPr>
            <w:tcW w:w="1055" w:type="dxa"/>
          </w:tcPr>
          <w:p w14:paraId="4159A332">
            <w:pPr>
              <w:spacing w:line="360" w:lineRule="auto"/>
              <w:rPr>
                <w:rFonts w:ascii="仿宋" w:hAnsi="仿宋" w:eastAsia="仿宋" w:cs="仿宋"/>
                <w:bCs/>
                <w:sz w:val="24"/>
                <w:highlight w:val="none"/>
              </w:rPr>
            </w:pPr>
          </w:p>
        </w:tc>
        <w:tc>
          <w:tcPr>
            <w:tcW w:w="1036" w:type="dxa"/>
          </w:tcPr>
          <w:p w14:paraId="1E83A1E3">
            <w:pPr>
              <w:spacing w:line="360" w:lineRule="auto"/>
              <w:rPr>
                <w:rFonts w:ascii="仿宋" w:hAnsi="仿宋" w:eastAsia="仿宋" w:cs="仿宋"/>
                <w:bCs/>
                <w:sz w:val="24"/>
                <w:highlight w:val="none"/>
              </w:rPr>
            </w:pPr>
          </w:p>
        </w:tc>
      </w:tr>
      <w:tr w14:paraId="313A0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3DD1661">
            <w:pPr>
              <w:spacing w:line="360" w:lineRule="auto"/>
              <w:rPr>
                <w:rFonts w:ascii="仿宋" w:hAnsi="仿宋" w:eastAsia="仿宋" w:cs="仿宋"/>
                <w:bCs/>
                <w:sz w:val="24"/>
                <w:highlight w:val="none"/>
              </w:rPr>
            </w:pPr>
          </w:p>
        </w:tc>
        <w:tc>
          <w:tcPr>
            <w:tcW w:w="1062" w:type="dxa"/>
          </w:tcPr>
          <w:p w14:paraId="4BD9DE1F">
            <w:pPr>
              <w:spacing w:line="360" w:lineRule="auto"/>
              <w:rPr>
                <w:rFonts w:ascii="仿宋" w:hAnsi="仿宋" w:eastAsia="仿宋" w:cs="仿宋"/>
                <w:bCs/>
                <w:sz w:val="24"/>
                <w:highlight w:val="none"/>
              </w:rPr>
            </w:pPr>
          </w:p>
        </w:tc>
        <w:tc>
          <w:tcPr>
            <w:tcW w:w="1229" w:type="dxa"/>
          </w:tcPr>
          <w:p w14:paraId="10E754CA">
            <w:pPr>
              <w:spacing w:line="360" w:lineRule="auto"/>
              <w:rPr>
                <w:rFonts w:ascii="仿宋" w:hAnsi="仿宋" w:eastAsia="仿宋" w:cs="仿宋"/>
                <w:bCs/>
                <w:sz w:val="24"/>
                <w:highlight w:val="none"/>
              </w:rPr>
            </w:pPr>
          </w:p>
        </w:tc>
        <w:tc>
          <w:tcPr>
            <w:tcW w:w="1575" w:type="dxa"/>
          </w:tcPr>
          <w:p w14:paraId="0D32B66C">
            <w:pPr>
              <w:spacing w:line="360" w:lineRule="auto"/>
              <w:rPr>
                <w:rFonts w:ascii="仿宋" w:hAnsi="仿宋" w:eastAsia="仿宋" w:cs="仿宋"/>
                <w:bCs/>
                <w:sz w:val="24"/>
                <w:highlight w:val="none"/>
              </w:rPr>
            </w:pPr>
          </w:p>
        </w:tc>
        <w:tc>
          <w:tcPr>
            <w:tcW w:w="1500" w:type="dxa"/>
          </w:tcPr>
          <w:p w14:paraId="2BA383E1">
            <w:pPr>
              <w:spacing w:line="360" w:lineRule="auto"/>
              <w:rPr>
                <w:rFonts w:ascii="仿宋" w:hAnsi="仿宋" w:eastAsia="仿宋" w:cs="仿宋"/>
                <w:bCs/>
                <w:sz w:val="24"/>
                <w:highlight w:val="none"/>
              </w:rPr>
            </w:pPr>
          </w:p>
        </w:tc>
        <w:tc>
          <w:tcPr>
            <w:tcW w:w="1055" w:type="dxa"/>
          </w:tcPr>
          <w:p w14:paraId="532DC9FF">
            <w:pPr>
              <w:spacing w:line="360" w:lineRule="auto"/>
              <w:rPr>
                <w:rFonts w:ascii="仿宋" w:hAnsi="仿宋" w:eastAsia="仿宋" w:cs="仿宋"/>
                <w:bCs/>
                <w:sz w:val="24"/>
                <w:highlight w:val="none"/>
              </w:rPr>
            </w:pPr>
          </w:p>
        </w:tc>
        <w:tc>
          <w:tcPr>
            <w:tcW w:w="1036" w:type="dxa"/>
          </w:tcPr>
          <w:p w14:paraId="55E83313">
            <w:pPr>
              <w:spacing w:line="360" w:lineRule="auto"/>
              <w:rPr>
                <w:rFonts w:ascii="仿宋" w:hAnsi="仿宋" w:eastAsia="仿宋" w:cs="仿宋"/>
                <w:bCs/>
                <w:sz w:val="24"/>
                <w:highlight w:val="none"/>
              </w:rPr>
            </w:pPr>
          </w:p>
        </w:tc>
      </w:tr>
      <w:tr w14:paraId="59CC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3D3E640">
            <w:pPr>
              <w:spacing w:line="360" w:lineRule="auto"/>
              <w:rPr>
                <w:rFonts w:ascii="仿宋" w:hAnsi="仿宋" w:eastAsia="仿宋" w:cs="仿宋"/>
                <w:bCs/>
                <w:sz w:val="24"/>
                <w:highlight w:val="none"/>
              </w:rPr>
            </w:pPr>
          </w:p>
        </w:tc>
        <w:tc>
          <w:tcPr>
            <w:tcW w:w="1062" w:type="dxa"/>
          </w:tcPr>
          <w:p w14:paraId="23DBC287">
            <w:pPr>
              <w:spacing w:line="360" w:lineRule="auto"/>
              <w:rPr>
                <w:rFonts w:ascii="仿宋" w:hAnsi="仿宋" w:eastAsia="仿宋" w:cs="仿宋"/>
                <w:bCs/>
                <w:sz w:val="24"/>
                <w:highlight w:val="none"/>
              </w:rPr>
            </w:pPr>
          </w:p>
        </w:tc>
        <w:tc>
          <w:tcPr>
            <w:tcW w:w="1229" w:type="dxa"/>
          </w:tcPr>
          <w:p w14:paraId="5F2638D1">
            <w:pPr>
              <w:spacing w:line="360" w:lineRule="auto"/>
              <w:rPr>
                <w:rFonts w:ascii="仿宋" w:hAnsi="仿宋" w:eastAsia="仿宋" w:cs="仿宋"/>
                <w:bCs/>
                <w:sz w:val="24"/>
                <w:highlight w:val="none"/>
              </w:rPr>
            </w:pPr>
          </w:p>
        </w:tc>
        <w:tc>
          <w:tcPr>
            <w:tcW w:w="1575" w:type="dxa"/>
          </w:tcPr>
          <w:p w14:paraId="4CAA3F4C">
            <w:pPr>
              <w:spacing w:line="360" w:lineRule="auto"/>
              <w:rPr>
                <w:rFonts w:ascii="仿宋" w:hAnsi="仿宋" w:eastAsia="仿宋" w:cs="仿宋"/>
                <w:bCs/>
                <w:sz w:val="24"/>
                <w:highlight w:val="none"/>
              </w:rPr>
            </w:pPr>
          </w:p>
        </w:tc>
        <w:tc>
          <w:tcPr>
            <w:tcW w:w="1500" w:type="dxa"/>
          </w:tcPr>
          <w:p w14:paraId="65D98569">
            <w:pPr>
              <w:spacing w:line="360" w:lineRule="auto"/>
              <w:rPr>
                <w:rFonts w:ascii="仿宋" w:hAnsi="仿宋" w:eastAsia="仿宋" w:cs="仿宋"/>
                <w:bCs/>
                <w:sz w:val="24"/>
                <w:highlight w:val="none"/>
              </w:rPr>
            </w:pPr>
          </w:p>
        </w:tc>
        <w:tc>
          <w:tcPr>
            <w:tcW w:w="1055" w:type="dxa"/>
          </w:tcPr>
          <w:p w14:paraId="33395EB9">
            <w:pPr>
              <w:spacing w:line="360" w:lineRule="auto"/>
              <w:rPr>
                <w:rFonts w:ascii="仿宋" w:hAnsi="仿宋" w:eastAsia="仿宋" w:cs="仿宋"/>
                <w:bCs/>
                <w:sz w:val="24"/>
                <w:highlight w:val="none"/>
              </w:rPr>
            </w:pPr>
          </w:p>
        </w:tc>
        <w:tc>
          <w:tcPr>
            <w:tcW w:w="1036" w:type="dxa"/>
          </w:tcPr>
          <w:p w14:paraId="60F19481">
            <w:pPr>
              <w:spacing w:line="360" w:lineRule="auto"/>
              <w:rPr>
                <w:rFonts w:ascii="仿宋" w:hAnsi="仿宋" w:eastAsia="仿宋" w:cs="仿宋"/>
                <w:bCs/>
                <w:sz w:val="24"/>
                <w:highlight w:val="none"/>
              </w:rPr>
            </w:pPr>
          </w:p>
        </w:tc>
      </w:tr>
      <w:tr w14:paraId="0F12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6F06210F">
            <w:pPr>
              <w:spacing w:line="360" w:lineRule="auto"/>
              <w:rPr>
                <w:rFonts w:ascii="仿宋" w:hAnsi="仿宋" w:eastAsia="仿宋" w:cs="仿宋"/>
                <w:bCs/>
                <w:sz w:val="24"/>
                <w:highlight w:val="none"/>
              </w:rPr>
            </w:pPr>
          </w:p>
        </w:tc>
        <w:tc>
          <w:tcPr>
            <w:tcW w:w="1062" w:type="dxa"/>
          </w:tcPr>
          <w:p w14:paraId="31F7F9DF">
            <w:pPr>
              <w:spacing w:line="360" w:lineRule="auto"/>
              <w:rPr>
                <w:rFonts w:ascii="仿宋" w:hAnsi="仿宋" w:eastAsia="仿宋" w:cs="仿宋"/>
                <w:bCs/>
                <w:sz w:val="24"/>
                <w:highlight w:val="none"/>
              </w:rPr>
            </w:pPr>
          </w:p>
        </w:tc>
        <w:tc>
          <w:tcPr>
            <w:tcW w:w="1229" w:type="dxa"/>
          </w:tcPr>
          <w:p w14:paraId="62755AED">
            <w:pPr>
              <w:spacing w:line="360" w:lineRule="auto"/>
              <w:rPr>
                <w:rFonts w:ascii="仿宋" w:hAnsi="仿宋" w:eastAsia="仿宋" w:cs="仿宋"/>
                <w:bCs/>
                <w:sz w:val="24"/>
                <w:highlight w:val="none"/>
              </w:rPr>
            </w:pPr>
          </w:p>
        </w:tc>
        <w:tc>
          <w:tcPr>
            <w:tcW w:w="1575" w:type="dxa"/>
          </w:tcPr>
          <w:p w14:paraId="65883AD4">
            <w:pPr>
              <w:spacing w:line="360" w:lineRule="auto"/>
              <w:rPr>
                <w:rFonts w:ascii="仿宋" w:hAnsi="仿宋" w:eastAsia="仿宋" w:cs="仿宋"/>
                <w:bCs/>
                <w:sz w:val="24"/>
                <w:highlight w:val="none"/>
              </w:rPr>
            </w:pPr>
          </w:p>
        </w:tc>
        <w:tc>
          <w:tcPr>
            <w:tcW w:w="1500" w:type="dxa"/>
          </w:tcPr>
          <w:p w14:paraId="27BA5D6B">
            <w:pPr>
              <w:spacing w:line="360" w:lineRule="auto"/>
              <w:rPr>
                <w:rFonts w:ascii="仿宋" w:hAnsi="仿宋" w:eastAsia="仿宋" w:cs="仿宋"/>
                <w:bCs/>
                <w:sz w:val="24"/>
                <w:highlight w:val="none"/>
              </w:rPr>
            </w:pPr>
          </w:p>
        </w:tc>
        <w:tc>
          <w:tcPr>
            <w:tcW w:w="1055" w:type="dxa"/>
          </w:tcPr>
          <w:p w14:paraId="511D1030">
            <w:pPr>
              <w:spacing w:line="360" w:lineRule="auto"/>
              <w:rPr>
                <w:rFonts w:ascii="仿宋" w:hAnsi="仿宋" w:eastAsia="仿宋" w:cs="仿宋"/>
                <w:bCs/>
                <w:sz w:val="24"/>
                <w:highlight w:val="none"/>
              </w:rPr>
            </w:pPr>
          </w:p>
        </w:tc>
        <w:tc>
          <w:tcPr>
            <w:tcW w:w="1036" w:type="dxa"/>
          </w:tcPr>
          <w:p w14:paraId="23556385">
            <w:pPr>
              <w:spacing w:line="360" w:lineRule="auto"/>
              <w:rPr>
                <w:rFonts w:ascii="仿宋" w:hAnsi="仿宋" w:eastAsia="仿宋" w:cs="仿宋"/>
                <w:bCs/>
                <w:sz w:val="24"/>
                <w:highlight w:val="none"/>
              </w:rPr>
            </w:pPr>
          </w:p>
        </w:tc>
      </w:tr>
      <w:tr w14:paraId="5DA7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5F75F79E">
            <w:pPr>
              <w:spacing w:line="360" w:lineRule="auto"/>
              <w:rPr>
                <w:rFonts w:ascii="仿宋" w:hAnsi="仿宋" w:eastAsia="仿宋" w:cs="仿宋"/>
                <w:bCs/>
                <w:sz w:val="24"/>
                <w:highlight w:val="none"/>
              </w:rPr>
            </w:pPr>
          </w:p>
        </w:tc>
        <w:tc>
          <w:tcPr>
            <w:tcW w:w="1062" w:type="dxa"/>
          </w:tcPr>
          <w:p w14:paraId="6750F8CC">
            <w:pPr>
              <w:spacing w:line="360" w:lineRule="auto"/>
              <w:rPr>
                <w:rFonts w:ascii="仿宋" w:hAnsi="仿宋" w:eastAsia="仿宋" w:cs="仿宋"/>
                <w:bCs/>
                <w:sz w:val="24"/>
                <w:highlight w:val="none"/>
              </w:rPr>
            </w:pPr>
          </w:p>
        </w:tc>
        <w:tc>
          <w:tcPr>
            <w:tcW w:w="1229" w:type="dxa"/>
          </w:tcPr>
          <w:p w14:paraId="101A2826">
            <w:pPr>
              <w:spacing w:line="360" w:lineRule="auto"/>
              <w:rPr>
                <w:rFonts w:ascii="仿宋" w:hAnsi="仿宋" w:eastAsia="仿宋" w:cs="仿宋"/>
                <w:bCs/>
                <w:sz w:val="24"/>
                <w:highlight w:val="none"/>
              </w:rPr>
            </w:pPr>
          </w:p>
        </w:tc>
        <w:tc>
          <w:tcPr>
            <w:tcW w:w="1575" w:type="dxa"/>
          </w:tcPr>
          <w:p w14:paraId="7F32B386">
            <w:pPr>
              <w:spacing w:line="360" w:lineRule="auto"/>
              <w:rPr>
                <w:rFonts w:ascii="仿宋" w:hAnsi="仿宋" w:eastAsia="仿宋" w:cs="仿宋"/>
                <w:bCs/>
                <w:sz w:val="24"/>
                <w:highlight w:val="none"/>
              </w:rPr>
            </w:pPr>
          </w:p>
        </w:tc>
        <w:tc>
          <w:tcPr>
            <w:tcW w:w="1500" w:type="dxa"/>
          </w:tcPr>
          <w:p w14:paraId="2B25BF54">
            <w:pPr>
              <w:spacing w:line="360" w:lineRule="auto"/>
              <w:rPr>
                <w:rFonts w:ascii="仿宋" w:hAnsi="仿宋" w:eastAsia="仿宋" w:cs="仿宋"/>
                <w:bCs/>
                <w:sz w:val="24"/>
                <w:highlight w:val="none"/>
              </w:rPr>
            </w:pPr>
          </w:p>
        </w:tc>
        <w:tc>
          <w:tcPr>
            <w:tcW w:w="1055" w:type="dxa"/>
          </w:tcPr>
          <w:p w14:paraId="3B9AFF43">
            <w:pPr>
              <w:spacing w:line="360" w:lineRule="auto"/>
              <w:rPr>
                <w:rFonts w:ascii="仿宋" w:hAnsi="仿宋" w:eastAsia="仿宋" w:cs="仿宋"/>
                <w:bCs/>
                <w:sz w:val="24"/>
                <w:highlight w:val="none"/>
              </w:rPr>
            </w:pPr>
          </w:p>
        </w:tc>
        <w:tc>
          <w:tcPr>
            <w:tcW w:w="1036" w:type="dxa"/>
          </w:tcPr>
          <w:p w14:paraId="1F85E2F0">
            <w:pPr>
              <w:spacing w:line="360" w:lineRule="auto"/>
              <w:rPr>
                <w:rFonts w:ascii="仿宋" w:hAnsi="仿宋" w:eastAsia="仿宋" w:cs="仿宋"/>
                <w:bCs/>
                <w:sz w:val="24"/>
                <w:highlight w:val="none"/>
              </w:rPr>
            </w:pPr>
          </w:p>
        </w:tc>
      </w:tr>
    </w:tbl>
    <w:p w14:paraId="13CAE960">
      <w:pPr>
        <w:spacing w:line="360" w:lineRule="auto"/>
        <w:rPr>
          <w:rFonts w:ascii="仿宋" w:hAnsi="仿宋" w:eastAsia="仿宋" w:cs="仿宋"/>
          <w:bCs/>
          <w:sz w:val="24"/>
          <w:highlight w:val="none"/>
        </w:rPr>
      </w:pPr>
      <w:r>
        <w:rPr>
          <w:rFonts w:hint="eastAsia" w:ascii="仿宋" w:hAnsi="仿宋" w:eastAsia="仿宋" w:cs="仿宋"/>
          <w:bCs/>
          <w:sz w:val="24"/>
          <w:highlight w:val="none"/>
        </w:rPr>
        <w:t>备注：</w:t>
      </w:r>
    </w:p>
    <w:p w14:paraId="6E3D4634">
      <w:pPr>
        <w:spacing w:line="360" w:lineRule="auto"/>
        <w:rPr>
          <w:rFonts w:ascii="仿宋" w:hAnsi="仿宋" w:eastAsia="仿宋" w:cs="仿宋"/>
          <w:bCs/>
          <w:sz w:val="24"/>
          <w:highlight w:val="none"/>
        </w:rPr>
      </w:pPr>
      <w:r>
        <w:rPr>
          <w:rFonts w:hint="eastAsia" w:ascii="仿宋" w:hAnsi="仿宋" w:eastAsia="仿宋" w:cs="仿宋"/>
          <w:bCs/>
          <w:sz w:val="24"/>
          <w:highlight w:val="none"/>
        </w:rPr>
        <w:t>1、投标人应根据其提供的</w:t>
      </w:r>
      <w:r>
        <w:rPr>
          <w:rFonts w:hint="eastAsia" w:ascii="仿宋" w:hAnsi="仿宋" w:eastAsia="仿宋" w:cs="仿宋"/>
          <w:bCs/>
          <w:sz w:val="24"/>
          <w:highlight w:val="none"/>
          <w:lang w:val="en-US" w:eastAsia="zh-CN"/>
        </w:rPr>
        <w:t>服务</w:t>
      </w:r>
      <w:r>
        <w:rPr>
          <w:rFonts w:hint="eastAsia" w:ascii="仿宋" w:hAnsi="仿宋" w:eastAsia="仿宋" w:cs="仿宋"/>
          <w:bCs/>
          <w:sz w:val="24"/>
          <w:highlight w:val="none"/>
        </w:rPr>
        <w:t>，对照招标文件“第四章招标项目技术要求”中的条款号逐项填写，“投标文件的响应”一栏应如实反映响应情况，不得完全复制招标文件内容，不得虚假响应，否则将视为未实质性响应招标文件要求，响应无效。</w:t>
      </w:r>
    </w:p>
    <w:p w14:paraId="062BB142">
      <w:pPr>
        <w:pStyle w:val="30"/>
        <w:spacing w:line="360" w:lineRule="auto"/>
        <w:ind w:firstLine="0"/>
        <w:rPr>
          <w:rFonts w:ascii="仿宋" w:hAnsi="仿宋" w:eastAsia="仿宋" w:cs="仿宋"/>
          <w:bCs/>
          <w:sz w:val="24"/>
          <w:szCs w:val="24"/>
          <w:highlight w:val="none"/>
        </w:rPr>
      </w:pPr>
      <w:r>
        <w:rPr>
          <w:rFonts w:hint="eastAsia" w:ascii="仿宋" w:hAnsi="仿宋" w:eastAsia="仿宋" w:cs="仿宋"/>
          <w:bCs/>
          <w:sz w:val="24"/>
          <w:szCs w:val="24"/>
          <w:highlight w:val="none"/>
        </w:rPr>
        <w:t>2、“第四章招标项目技术要求”，每项</w:t>
      </w:r>
      <w:r>
        <w:rPr>
          <w:rFonts w:hint="eastAsia" w:ascii="仿宋" w:hAnsi="仿宋" w:eastAsia="仿宋" w:cs="仿宋"/>
          <w:bCs/>
          <w:sz w:val="24"/>
          <w:szCs w:val="24"/>
          <w:highlight w:val="none"/>
          <w:lang w:val="en-US" w:eastAsia="zh-CN"/>
        </w:rPr>
        <w:t>服务</w:t>
      </w:r>
      <w:r>
        <w:rPr>
          <w:rFonts w:hint="eastAsia" w:ascii="仿宋" w:hAnsi="仿宋" w:eastAsia="仿宋" w:cs="仿宋"/>
          <w:bCs/>
          <w:sz w:val="24"/>
          <w:szCs w:val="24"/>
          <w:highlight w:val="none"/>
        </w:rPr>
        <w:t>要求投标人须提供与</w:t>
      </w:r>
      <w:r>
        <w:rPr>
          <w:rFonts w:hint="eastAsia" w:ascii="仿宋" w:hAnsi="仿宋" w:eastAsia="仿宋" w:cs="仿宋"/>
          <w:bCs/>
          <w:sz w:val="24"/>
          <w:szCs w:val="24"/>
          <w:highlight w:val="none"/>
          <w:lang w:val="en-US" w:eastAsia="zh-CN"/>
        </w:rPr>
        <w:t>技术要求</w:t>
      </w:r>
      <w:r>
        <w:rPr>
          <w:rFonts w:hint="eastAsia" w:ascii="仿宋" w:hAnsi="仿宋" w:eastAsia="仿宋" w:cs="仿宋"/>
          <w:bCs/>
          <w:sz w:val="24"/>
          <w:szCs w:val="24"/>
          <w:highlight w:val="none"/>
        </w:rPr>
        <w:t>相应的证明材料，例如产品检测报告、测试报告、鉴定证书</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说明书等。</w:t>
      </w:r>
    </w:p>
    <w:p w14:paraId="28FE9002">
      <w:pPr>
        <w:spacing w:line="360" w:lineRule="auto"/>
        <w:jc w:val="right"/>
        <w:rPr>
          <w:rFonts w:ascii="仿宋" w:hAnsi="仿宋" w:eastAsia="仿宋" w:cs="仿宋"/>
          <w:sz w:val="24"/>
          <w:highlight w:val="none"/>
        </w:rPr>
      </w:pPr>
    </w:p>
    <w:p w14:paraId="261D76CE">
      <w:pPr>
        <w:spacing w:line="360" w:lineRule="auto"/>
        <w:jc w:val="center"/>
        <w:rPr>
          <w:rFonts w:ascii="仿宋" w:hAnsi="仿宋" w:eastAsia="仿宋" w:cs="仿宋"/>
          <w:sz w:val="24"/>
          <w:highlight w:val="none"/>
        </w:rPr>
      </w:pPr>
      <w:r>
        <w:rPr>
          <w:rFonts w:hint="eastAsia" w:ascii="仿宋" w:hAnsi="仿宋" w:eastAsia="仿宋" w:cs="仿宋"/>
          <w:sz w:val="24"/>
          <w:highlight w:val="none"/>
        </w:rPr>
        <w:t xml:space="preserve">        </w:t>
      </w:r>
    </w:p>
    <w:p w14:paraId="02B8FB13">
      <w:pPr>
        <w:spacing w:line="360" w:lineRule="auto"/>
        <w:jc w:val="center"/>
        <w:outlineLvl w:val="1"/>
        <w:rPr>
          <w:rFonts w:ascii="仿宋" w:hAnsi="仿宋" w:eastAsia="仿宋" w:cs="仿宋"/>
          <w:b/>
          <w:bCs/>
          <w:kern w:val="0"/>
          <w:sz w:val="24"/>
          <w:highlight w:val="none"/>
        </w:rPr>
      </w:pPr>
      <w:r>
        <w:rPr>
          <w:rFonts w:hint="eastAsia" w:ascii="仿宋" w:hAnsi="仿宋" w:eastAsia="仿宋" w:cs="仿宋"/>
          <w:sz w:val="24"/>
          <w:highlight w:val="none"/>
        </w:rPr>
        <w:br w:type="page"/>
      </w:r>
      <w:bookmarkEnd w:id="167"/>
      <w:r>
        <w:rPr>
          <w:rFonts w:hint="eastAsia" w:ascii="仿宋" w:hAnsi="仿宋" w:eastAsia="仿宋" w:cs="仿宋"/>
          <w:b/>
          <w:bCs/>
          <w:sz w:val="24"/>
          <w:highlight w:val="none"/>
        </w:rPr>
        <w:t>七、</w:t>
      </w:r>
      <w:r>
        <w:rPr>
          <w:rFonts w:hint="eastAsia" w:ascii="仿宋" w:hAnsi="仿宋" w:eastAsia="仿宋" w:cs="仿宋"/>
          <w:b/>
          <w:bCs/>
          <w:kern w:val="0"/>
          <w:sz w:val="24"/>
          <w:highlight w:val="none"/>
        </w:rPr>
        <w:t>拟配备人员情况</w:t>
      </w:r>
    </w:p>
    <w:p w14:paraId="67151B40">
      <w:pPr>
        <w:pStyle w:val="7"/>
        <w:spacing w:line="360" w:lineRule="auto"/>
        <w:ind w:firstLine="0" w:firstLineChars="0"/>
        <w:rPr>
          <w:rFonts w:ascii="仿宋" w:hAnsi="仿宋" w:eastAsia="仿宋" w:cs="仿宋"/>
          <w:sz w:val="24"/>
          <w:highlight w:val="none"/>
        </w:rPr>
      </w:pPr>
    </w:p>
    <w:p w14:paraId="118FF095">
      <w:pPr>
        <w:spacing w:line="360" w:lineRule="auto"/>
        <w:jc w:val="left"/>
        <w:rPr>
          <w:rFonts w:ascii="仿宋" w:hAnsi="仿宋" w:eastAsia="仿宋" w:cs="仿宋"/>
          <w:sz w:val="24"/>
          <w:highlight w:val="none"/>
        </w:rPr>
      </w:pPr>
      <w:r>
        <w:rPr>
          <w:rFonts w:hint="eastAsia" w:ascii="仿宋" w:hAnsi="仿宋" w:eastAsia="仿宋" w:cs="仿宋"/>
          <w:sz w:val="24"/>
          <w:highlight w:val="none"/>
        </w:rPr>
        <w:t>1、项目负责人介绍应包括：姓名、性别、年龄、学历、参加工作时间等。</w:t>
      </w:r>
    </w:p>
    <w:p w14:paraId="1AB03F31">
      <w:pPr>
        <w:spacing w:line="360" w:lineRule="auto"/>
        <w:jc w:val="left"/>
        <w:rPr>
          <w:rFonts w:ascii="仿宋" w:hAnsi="仿宋" w:eastAsia="仿宋" w:cs="仿宋"/>
          <w:sz w:val="24"/>
          <w:highlight w:val="none"/>
        </w:rPr>
      </w:pPr>
      <w:r>
        <w:rPr>
          <w:rFonts w:hint="eastAsia" w:ascii="仿宋" w:hAnsi="仿宋" w:eastAsia="仿宋" w:cs="仿宋"/>
          <w:sz w:val="24"/>
          <w:highlight w:val="none"/>
        </w:rPr>
        <w:t>2、项目负责人近</w:t>
      </w:r>
      <w:r>
        <w:rPr>
          <w:rFonts w:hint="eastAsia" w:ascii="仿宋" w:hAnsi="仿宋" w:eastAsia="仿宋" w:cs="仿宋"/>
          <w:sz w:val="24"/>
          <w:highlight w:val="none"/>
          <w:lang w:eastAsia="zh-CN"/>
        </w:rPr>
        <w:t>五</w:t>
      </w:r>
      <w:r>
        <w:rPr>
          <w:rFonts w:hint="eastAsia" w:ascii="仿宋" w:hAnsi="仿宋" w:eastAsia="仿宋" w:cs="仿宋"/>
          <w:sz w:val="24"/>
          <w:highlight w:val="none"/>
        </w:rPr>
        <w:t>年（202</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年1月1日-投标文件上传截止时间前）的类似业绩（按下表填写）</w:t>
      </w:r>
    </w:p>
    <w:tbl>
      <w:tblPr>
        <w:tblStyle w:val="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7975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111BD57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采购人名称</w:t>
            </w:r>
          </w:p>
        </w:tc>
        <w:tc>
          <w:tcPr>
            <w:tcW w:w="885" w:type="pct"/>
            <w:vAlign w:val="center"/>
          </w:tcPr>
          <w:p w14:paraId="12F75A3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项目名称</w:t>
            </w:r>
          </w:p>
        </w:tc>
        <w:tc>
          <w:tcPr>
            <w:tcW w:w="1265" w:type="pct"/>
            <w:vAlign w:val="center"/>
          </w:tcPr>
          <w:p w14:paraId="6359871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采购内容</w:t>
            </w:r>
          </w:p>
        </w:tc>
        <w:tc>
          <w:tcPr>
            <w:tcW w:w="1265" w:type="pct"/>
            <w:vAlign w:val="center"/>
          </w:tcPr>
          <w:p w14:paraId="0DC8A60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服务时间</w:t>
            </w:r>
          </w:p>
        </w:tc>
        <w:tc>
          <w:tcPr>
            <w:tcW w:w="694" w:type="pct"/>
            <w:vAlign w:val="center"/>
          </w:tcPr>
          <w:p w14:paraId="128A711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备注</w:t>
            </w:r>
          </w:p>
        </w:tc>
      </w:tr>
      <w:tr w14:paraId="1EDD0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6839487B">
            <w:pPr>
              <w:spacing w:line="360" w:lineRule="auto"/>
              <w:jc w:val="left"/>
              <w:rPr>
                <w:rFonts w:ascii="仿宋" w:hAnsi="仿宋" w:eastAsia="仿宋" w:cs="仿宋"/>
                <w:sz w:val="24"/>
                <w:highlight w:val="none"/>
              </w:rPr>
            </w:pPr>
          </w:p>
        </w:tc>
        <w:tc>
          <w:tcPr>
            <w:tcW w:w="885" w:type="pct"/>
            <w:vAlign w:val="center"/>
          </w:tcPr>
          <w:p w14:paraId="41AAEA75">
            <w:pPr>
              <w:spacing w:line="360" w:lineRule="auto"/>
              <w:jc w:val="left"/>
              <w:rPr>
                <w:rFonts w:ascii="仿宋" w:hAnsi="仿宋" w:eastAsia="仿宋" w:cs="仿宋"/>
                <w:sz w:val="24"/>
                <w:highlight w:val="none"/>
              </w:rPr>
            </w:pPr>
          </w:p>
        </w:tc>
        <w:tc>
          <w:tcPr>
            <w:tcW w:w="1265" w:type="pct"/>
            <w:vAlign w:val="center"/>
          </w:tcPr>
          <w:p w14:paraId="3A3B0AF7">
            <w:pPr>
              <w:spacing w:line="360" w:lineRule="auto"/>
              <w:jc w:val="left"/>
              <w:rPr>
                <w:rFonts w:ascii="仿宋" w:hAnsi="仿宋" w:eastAsia="仿宋" w:cs="仿宋"/>
                <w:sz w:val="24"/>
                <w:highlight w:val="none"/>
              </w:rPr>
            </w:pPr>
          </w:p>
        </w:tc>
        <w:tc>
          <w:tcPr>
            <w:tcW w:w="1265" w:type="pct"/>
            <w:vAlign w:val="center"/>
          </w:tcPr>
          <w:p w14:paraId="0D909050">
            <w:pPr>
              <w:spacing w:line="360" w:lineRule="auto"/>
              <w:jc w:val="left"/>
              <w:rPr>
                <w:rFonts w:ascii="仿宋" w:hAnsi="仿宋" w:eastAsia="仿宋" w:cs="仿宋"/>
                <w:sz w:val="24"/>
                <w:highlight w:val="none"/>
              </w:rPr>
            </w:pPr>
          </w:p>
        </w:tc>
        <w:tc>
          <w:tcPr>
            <w:tcW w:w="694" w:type="pct"/>
            <w:vAlign w:val="center"/>
          </w:tcPr>
          <w:p w14:paraId="53B4129F">
            <w:pPr>
              <w:spacing w:line="360" w:lineRule="auto"/>
              <w:jc w:val="left"/>
              <w:rPr>
                <w:rFonts w:ascii="仿宋" w:hAnsi="仿宋" w:eastAsia="仿宋" w:cs="仿宋"/>
                <w:sz w:val="24"/>
                <w:highlight w:val="none"/>
              </w:rPr>
            </w:pPr>
          </w:p>
        </w:tc>
      </w:tr>
    </w:tbl>
    <w:p w14:paraId="4D78BC70">
      <w:pPr>
        <w:spacing w:line="360" w:lineRule="auto"/>
        <w:jc w:val="left"/>
        <w:rPr>
          <w:rFonts w:ascii="仿宋" w:hAnsi="仿宋" w:eastAsia="仿宋" w:cs="仿宋"/>
          <w:sz w:val="24"/>
          <w:highlight w:val="none"/>
        </w:rPr>
      </w:pPr>
      <w:r>
        <w:rPr>
          <w:rFonts w:hint="eastAsia" w:ascii="仿宋" w:hAnsi="仿宋" w:eastAsia="仿宋" w:cs="仿宋"/>
          <w:sz w:val="24"/>
          <w:highlight w:val="none"/>
        </w:rPr>
        <w:t>3、项目负责人简历格式自拟，后附身份证、资格证书</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如有</w:t>
      </w:r>
      <w:r>
        <w:rPr>
          <w:rFonts w:hint="eastAsia" w:ascii="仿宋" w:hAnsi="仿宋" w:eastAsia="仿宋" w:cs="仿宋"/>
          <w:sz w:val="24"/>
          <w:highlight w:val="none"/>
          <w:lang w:eastAsia="zh-CN"/>
        </w:rPr>
        <w:t>）</w:t>
      </w:r>
      <w:r>
        <w:rPr>
          <w:rFonts w:hint="eastAsia" w:ascii="仿宋" w:hAnsi="仿宋" w:eastAsia="仿宋" w:cs="仿宋"/>
          <w:sz w:val="24"/>
          <w:highlight w:val="none"/>
        </w:rPr>
        <w:t>、学历证书等扫描件。</w:t>
      </w:r>
    </w:p>
    <w:p w14:paraId="633063F2">
      <w:pPr>
        <w:spacing w:line="360" w:lineRule="auto"/>
        <w:rPr>
          <w:rFonts w:ascii="仿宋" w:hAnsi="仿宋" w:eastAsia="仿宋" w:cs="仿宋"/>
          <w:sz w:val="24"/>
          <w:highlight w:val="none"/>
        </w:rPr>
      </w:pPr>
      <w:r>
        <w:rPr>
          <w:rFonts w:hint="eastAsia" w:ascii="仿宋" w:hAnsi="仿宋" w:eastAsia="仿宋" w:cs="仿宋"/>
          <w:sz w:val="24"/>
          <w:highlight w:val="none"/>
        </w:rPr>
        <w:t>4、项目配备人员</w:t>
      </w:r>
    </w:p>
    <w:tbl>
      <w:tblPr>
        <w:tblStyle w:val="3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5024A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50F4E51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类别</w:t>
            </w:r>
          </w:p>
        </w:tc>
        <w:tc>
          <w:tcPr>
            <w:tcW w:w="910" w:type="dxa"/>
            <w:vMerge w:val="restart"/>
            <w:vAlign w:val="center"/>
          </w:tcPr>
          <w:p w14:paraId="060BA7A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姓名</w:t>
            </w:r>
          </w:p>
        </w:tc>
        <w:tc>
          <w:tcPr>
            <w:tcW w:w="912" w:type="dxa"/>
            <w:vMerge w:val="restart"/>
            <w:vAlign w:val="center"/>
          </w:tcPr>
          <w:p w14:paraId="5E03819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联系方式</w:t>
            </w:r>
          </w:p>
        </w:tc>
        <w:tc>
          <w:tcPr>
            <w:tcW w:w="912" w:type="dxa"/>
            <w:vMerge w:val="restart"/>
            <w:vAlign w:val="center"/>
          </w:tcPr>
          <w:p w14:paraId="34C3843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职称或职务</w:t>
            </w:r>
          </w:p>
        </w:tc>
        <w:tc>
          <w:tcPr>
            <w:tcW w:w="912" w:type="dxa"/>
            <w:vMerge w:val="restart"/>
            <w:vAlign w:val="center"/>
          </w:tcPr>
          <w:p w14:paraId="5168DAC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常住地</w:t>
            </w:r>
          </w:p>
        </w:tc>
        <w:tc>
          <w:tcPr>
            <w:tcW w:w="3815" w:type="dxa"/>
            <w:gridSpan w:val="4"/>
            <w:vAlign w:val="center"/>
          </w:tcPr>
          <w:p w14:paraId="1CCE13B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资格证明</w:t>
            </w:r>
          </w:p>
        </w:tc>
      </w:tr>
      <w:tr w14:paraId="3666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1B718FFA">
            <w:pPr>
              <w:spacing w:line="360" w:lineRule="auto"/>
              <w:jc w:val="center"/>
              <w:rPr>
                <w:rFonts w:ascii="仿宋" w:hAnsi="仿宋" w:eastAsia="仿宋" w:cs="仿宋"/>
                <w:sz w:val="24"/>
                <w:highlight w:val="none"/>
              </w:rPr>
            </w:pPr>
          </w:p>
        </w:tc>
        <w:tc>
          <w:tcPr>
            <w:tcW w:w="910" w:type="dxa"/>
            <w:vMerge w:val="continue"/>
            <w:vAlign w:val="center"/>
          </w:tcPr>
          <w:p w14:paraId="2C5988DE">
            <w:pPr>
              <w:spacing w:line="360" w:lineRule="auto"/>
              <w:jc w:val="center"/>
              <w:rPr>
                <w:rFonts w:ascii="仿宋" w:hAnsi="仿宋" w:eastAsia="仿宋" w:cs="仿宋"/>
                <w:sz w:val="24"/>
                <w:highlight w:val="none"/>
              </w:rPr>
            </w:pPr>
          </w:p>
        </w:tc>
        <w:tc>
          <w:tcPr>
            <w:tcW w:w="912" w:type="dxa"/>
            <w:vMerge w:val="continue"/>
            <w:vAlign w:val="center"/>
          </w:tcPr>
          <w:p w14:paraId="74327264">
            <w:pPr>
              <w:spacing w:line="360" w:lineRule="auto"/>
              <w:jc w:val="center"/>
              <w:rPr>
                <w:rFonts w:ascii="仿宋" w:hAnsi="仿宋" w:eastAsia="仿宋" w:cs="仿宋"/>
                <w:sz w:val="24"/>
                <w:highlight w:val="none"/>
              </w:rPr>
            </w:pPr>
          </w:p>
        </w:tc>
        <w:tc>
          <w:tcPr>
            <w:tcW w:w="912" w:type="dxa"/>
            <w:vMerge w:val="continue"/>
            <w:vAlign w:val="center"/>
          </w:tcPr>
          <w:p w14:paraId="43BD4910">
            <w:pPr>
              <w:spacing w:line="360" w:lineRule="auto"/>
              <w:jc w:val="center"/>
              <w:rPr>
                <w:rFonts w:ascii="仿宋" w:hAnsi="仿宋" w:eastAsia="仿宋" w:cs="仿宋"/>
                <w:sz w:val="24"/>
                <w:highlight w:val="none"/>
              </w:rPr>
            </w:pPr>
          </w:p>
        </w:tc>
        <w:tc>
          <w:tcPr>
            <w:tcW w:w="912" w:type="dxa"/>
            <w:vMerge w:val="continue"/>
            <w:vAlign w:val="center"/>
          </w:tcPr>
          <w:p w14:paraId="7319EB8B">
            <w:pPr>
              <w:spacing w:line="360" w:lineRule="auto"/>
              <w:jc w:val="center"/>
              <w:rPr>
                <w:rFonts w:ascii="仿宋" w:hAnsi="仿宋" w:eastAsia="仿宋" w:cs="仿宋"/>
                <w:sz w:val="24"/>
                <w:highlight w:val="none"/>
              </w:rPr>
            </w:pPr>
          </w:p>
        </w:tc>
        <w:tc>
          <w:tcPr>
            <w:tcW w:w="1188" w:type="dxa"/>
            <w:vAlign w:val="center"/>
          </w:tcPr>
          <w:p w14:paraId="60E4D23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证书名称</w:t>
            </w:r>
          </w:p>
        </w:tc>
        <w:tc>
          <w:tcPr>
            <w:tcW w:w="835" w:type="dxa"/>
            <w:vAlign w:val="center"/>
          </w:tcPr>
          <w:p w14:paraId="5C55244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级别</w:t>
            </w:r>
          </w:p>
        </w:tc>
        <w:tc>
          <w:tcPr>
            <w:tcW w:w="951" w:type="dxa"/>
            <w:vAlign w:val="center"/>
          </w:tcPr>
          <w:p w14:paraId="711946D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证号</w:t>
            </w:r>
          </w:p>
        </w:tc>
        <w:tc>
          <w:tcPr>
            <w:tcW w:w="841" w:type="dxa"/>
            <w:vAlign w:val="center"/>
          </w:tcPr>
          <w:p w14:paraId="28E1A38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专业</w:t>
            </w:r>
          </w:p>
        </w:tc>
      </w:tr>
      <w:tr w14:paraId="389B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4087C72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管</w:t>
            </w:r>
          </w:p>
          <w:p w14:paraId="796102D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理</w:t>
            </w:r>
          </w:p>
          <w:p w14:paraId="79BFBB1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人</w:t>
            </w:r>
          </w:p>
          <w:p w14:paraId="22CCC6D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员</w:t>
            </w:r>
          </w:p>
        </w:tc>
        <w:tc>
          <w:tcPr>
            <w:tcW w:w="910" w:type="dxa"/>
          </w:tcPr>
          <w:p w14:paraId="655F1B78">
            <w:pPr>
              <w:spacing w:line="360" w:lineRule="auto"/>
              <w:jc w:val="center"/>
              <w:rPr>
                <w:rFonts w:ascii="仿宋" w:hAnsi="仿宋" w:eastAsia="仿宋" w:cs="仿宋"/>
                <w:sz w:val="24"/>
                <w:highlight w:val="none"/>
              </w:rPr>
            </w:pPr>
          </w:p>
        </w:tc>
        <w:tc>
          <w:tcPr>
            <w:tcW w:w="912" w:type="dxa"/>
          </w:tcPr>
          <w:p w14:paraId="1CCD4090">
            <w:pPr>
              <w:spacing w:line="360" w:lineRule="auto"/>
              <w:jc w:val="center"/>
              <w:rPr>
                <w:rFonts w:ascii="仿宋" w:hAnsi="仿宋" w:eastAsia="仿宋" w:cs="仿宋"/>
                <w:sz w:val="24"/>
                <w:highlight w:val="none"/>
              </w:rPr>
            </w:pPr>
          </w:p>
        </w:tc>
        <w:tc>
          <w:tcPr>
            <w:tcW w:w="912" w:type="dxa"/>
          </w:tcPr>
          <w:p w14:paraId="216F65CF">
            <w:pPr>
              <w:spacing w:line="360" w:lineRule="auto"/>
              <w:jc w:val="center"/>
              <w:rPr>
                <w:rFonts w:ascii="仿宋" w:hAnsi="仿宋" w:eastAsia="仿宋" w:cs="仿宋"/>
                <w:sz w:val="24"/>
                <w:highlight w:val="none"/>
              </w:rPr>
            </w:pPr>
          </w:p>
        </w:tc>
        <w:tc>
          <w:tcPr>
            <w:tcW w:w="912" w:type="dxa"/>
          </w:tcPr>
          <w:p w14:paraId="38BC9BA2">
            <w:pPr>
              <w:spacing w:line="360" w:lineRule="auto"/>
              <w:jc w:val="center"/>
              <w:rPr>
                <w:rFonts w:ascii="仿宋" w:hAnsi="仿宋" w:eastAsia="仿宋" w:cs="仿宋"/>
                <w:sz w:val="24"/>
                <w:highlight w:val="none"/>
              </w:rPr>
            </w:pPr>
          </w:p>
        </w:tc>
        <w:tc>
          <w:tcPr>
            <w:tcW w:w="1188" w:type="dxa"/>
          </w:tcPr>
          <w:p w14:paraId="7F87D36B">
            <w:pPr>
              <w:spacing w:line="360" w:lineRule="auto"/>
              <w:jc w:val="center"/>
              <w:rPr>
                <w:rFonts w:ascii="仿宋" w:hAnsi="仿宋" w:eastAsia="仿宋" w:cs="仿宋"/>
                <w:sz w:val="24"/>
                <w:highlight w:val="none"/>
              </w:rPr>
            </w:pPr>
          </w:p>
        </w:tc>
        <w:tc>
          <w:tcPr>
            <w:tcW w:w="835" w:type="dxa"/>
          </w:tcPr>
          <w:p w14:paraId="29218B7C">
            <w:pPr>
              <w:spacing w:line="360" w:lineRule="auto"/>
              <w:jc w:val="center"/>
              <w:rPr>
                <w:rFonts w:ascii="仿宋" w:hAnsi="仿宋" w:eastAsia="仿宋" w:cs="仿宋"/>
                <w:sz w:val="24"/>
                <w:highlight w:val="none"/>
              </w:rPr>
            </w:pPr>
          </w:p>
        </w:tc>
        <w:tc>
          <w:tcPr>
            <w:tcW w:w="951" w:type="dxa"/>
          </w:tcPr>
          <w:p w14:paraId="0C8F48DB">
            <w:pPr>
              <w:spacing w:line="360" w:lineRule="auto"/>
              <w:jc w:val="center"/>
              <w:rPr>
                <w:rFonts w:ascii="仿宋" w:hAnsi="仿宋" w:eastAsia="仿宋" w:cs="仿宋"/>
                <w:sz w:val="24"/>
                <w:highlight w:val="none"/>
              </w:rPr>
            </w:pPr>
          </w:p>
        </w:tc>
        <w:tc>
          <w:tcPr>
            <w:tcW w:w="841" w:type="dxa"/>
          </w:tcPr>
          <w:p w14:paraId="2496A6A3">
            <w:pPr>
              <w:spacing w:line="360" w:lineRule="auto"/>
              <w:jc w:val="center"/>
              <w:rPr>
                <w:rFonts w:ascii="仿宋" w:hAnsi="仿宋" w:eastAsia="仿宋" w:cs="仿宋"/>
                <w:sz w:val="24"/>
                <w:highlight w:val="none"/>
              </w:rPr>
            </w:pPr>
          </w:p>
        </w:tc>
      </w:tr>
      <w:tr w14:paraId="605E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19CEABBF">
            <w:pPr>
              <w:spacing w:line="360" w:lineRule="auto"/>
              <w:jc w:val="center"/>
              <w:rPr>
                <w:rFonts w:ascii="仿宋" w:hAnsi="仿宋" w:eastAsia="仿宋" w:cs="仿宋"/>
                <w:sz w:val="24"/>
                <w:highlight w:val="none"/>
              </w:rPr>
            </w:pPr>
          </w:p>
        </w:tc>
        <w:tc>
          <w:tcPr>
            <w:tcW w:w="910" w:type="dxa"/>
          </w:tcPr>
          <w:p w14:paraId="41C6ADC9">
            <w:pPr>
              <w:spacing w:line="360" w:lineRule="auto"/>
              <w:jc w:val="center"/>
              <w:rPr>
                <w:rFonts w:ascii="仿宋" w:hAnsi="仿宋" w:eastAsia="仿宋" w:cs="仿宋"/>
                <w:sz w:val="24"/>
                <w:highlight w:val="none"/>
              </w:rPr>
            </w:pPr>
          </w:p>
        </w:tc>
        <w:tc>
          <w:tcPr>
            <w:tcW w:w="912" w:type="dxa"/>
          </w:tcPr>
          <w:p w14:paraId="41A211CE">
            <w:pPr>
              <w:spacing w:line="360" w:lineRule="auto"/>
              <w:jc w:val="center"/>
              <w:rPr>
                <w:rFonts w:ascii="仿宋" w:hAnsi="仿宋" w:eastAsia="仿宋" w:cs="仿宋"/>
                <w:sz w:val="24"/>
                <w:highlight w:val="none"/>
              </w:rPr>
            </w:pPr>
          </w:p>
        </w:tc>
        <w:tc>
          <w:tcPr>
            <w:tcW w:w="912" w:type="dxa"/>
          </w:tcPr>
          <w:p w14:paraId="50BE49BA">
            <w:pPr>
              <w:spacing w:line="360" w:lineRule="auto"/>
              <w:jc w:val="center"/>
              <w:rPr>
                <w:rFonts w:ascii="仿宋" w:hAnsi="仿宋" w:eastAsia="仿宋" w:cs="仿宋"/>
                <w:sz w:val="24"/>
                <w:highlight w:val="none"/>
              </w:rPr>
            </w:pPr>
          </w:p>
        </w:tc>
        <w:tc>
          <w:tcPr>
            <w:tcW w:w="912" w:type="dxa"/>
          </w:tcPr>
          <w:p w14:paraId="3469CD88">
            <w:pPr>
              <w:spacing w:line="360" w:lineRule="auto"/>
              <w:jc w:val="center"/>
              <w:rPr>
                <w:rFonts w:ascii="仿宋" w:hAnsi="仿宋" w:eastAsia="仿宋" w:cs="仿宋"/>
                <w:sz w:val="24"/>
                <w:highlight w:val="none"/>
              </w:rPr>
            </w:pPr>
          </w:p>
        </w:tc>
        <w:tc>
          <w:tcPr>
            <w:tcW w:w="1188" w:type="dxa"/>
          </w:tcPr>
          <w:p w14:paraId="3C1A13C3">
            <w:pPr>
              <w:spacing w:line="360" w:lineRule="auto"/>
              <w:jc w:val="center"/>
              <w:rPr>
                <w:rFonts w:ascii="仿宋" w:hAnsi="仿宋" w:eastAsia="仿宋" w:cs="仿宋"/>
                <w:sz w:val="24"/>
                <w:highlight w:val="none"/>
              </w:rPr>
            </w:pPr>
          </w:p>
        </w:tc>
        <w:tc>
          <w:tcPr>
            <w:tcW w:w="835" w:type="dxa"/>
          </w:tcPr>
          <w:p w14:paraId="16AA8A62">
            <w:pPr>
              <w:spacing w:line="360" w:lineRule="auto"/>
              <w:jc w:val="center"/>
              <w:rPr>
                <w:rFonts w:ascii="仿宋" w:hAnsi="仿宋" w:eastAsia="仿宋" w:cs="仿宋"/>
                <w:sz w:val="24"/>
                <w:highlight w:val="none"/>
              </w:rPr>
            </w:pPr>
          </w:p>
        </w:tc>
        <w:tc>
          <w:tcPr>
            <w:tcW w:w="951" w:type="dxa"/>
          </w:tcPr>
          <w:p w14:paraId="3DD66DB9">
            <w:pPr>
              <w:spacing w:line="360" w:lineRule="auto"/>
              <w:jc w:val="center"/>
              <w:rPr>
                <w:rFonts w:ascii="仿宋" w:hAnsi="仿宋" w:eastAsia="仿宋" w:cs="仿宋"/>
                <w:sz w:val="24"/>
                <w:highlight w:val="none"/>
              </w:rPr>
            </w:pPr>
          </w:p>
        </w:tc>
        <w:tc>
          <w:tcPr>
            <w:tcW w:w="841" w:type="dxa"/>
          </w:tcPr>
          <w:p w14:paraId="3680AA7D">
            <w:pPr>
              <w:spacing w:line="360" w:lineRule="auto"/>
              <w:jc w:val="center"/>
              <w:rPr>
                <w:rFonts w:ascii="仿宋" w:hAnsi="仿宋" w:eastAsia="仿宋" w:cs="仿宋"/>
                <w:sz w:val="24"/>
                <w:highlight w:val="none"/>
              </w:rPr>
            </w:pPr>
          </w:p>
        </w:tc>
      </w:tr>
      <w:tr w14:paraId="4F93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668E6847">
            <w:pPr>
              <w:spacing w:line="360" w:lineRule="auto"/>
              <w:jc w:val="center"/>
              <w:rPr>
                <w:rFonts w:ascii="仿宋" w:hAnsi="仿宋" w:eastAsia="仿宋" w:cs="仿宋"/>
                <w:sz w:val="24"/>
                <w:highlight w:val="none"/>
              </w:rPr>
            </w:pPr>
          </w:p>
        </w:tc>
        <w:tc>
          <w:tcPr>
            <w:tcW w:w="910" w:type="dxa"/>
          </w:tcPr>
          <w:p w14:paraId="79A7A133">
            <w:pPr>
              <w:spacing w:line="360" w:lineRule="auto"/>
              <w:jc w:val="center"/>
              <w:rPr>
                <w:rFonts w:ascii="仿宋" w:hAnsi="仿宋" w:eastAsia="仿宋" w:cs="仿宋"/>
                <w:sz w:val="24"/>
                <w:highlight w:val="none"/>
              </w:rPr>
            </w:pPr>
          </w:p>
        </w:tc>
        <w:tc>
          <w:tcPr>
            <w:tcW w:w="912" w:type="dxa"/>
          </w:tcPr>
          <w:p w14:paraId="308D2F0C">
            <w:pPr>
              <w:spacing w:line="360" w:lineRule="auto"/>
              <w:jc w:val="center"/>
              <w:rPr>
                <w:rFonts w:ascii="仿宋" w:hAnsi="仿宋" w:eastAsia="仿宋" w:cs="仿宋"/>
                <w:sz w:val="24"/>
                <w:highlight w:val="none"/>
              </w:rPr>
            </w:pPr>
          </w:p>
        </w:tc>
        <w:tc>
          <w:tcPr>
            <w:tcW w:w="912" w:type="dxa"/>
          </w:tcPr>
          <w:p w14:paraId="4AA28FB3">
            <w:pPr>
              <w:spacing w:line="360" w:lineRule="auto"/>
              <w:jc w:val="center"/>
              <w:rPr>
                <w:rFonts w:ascii="仿宋" w:hAnsi="仿宋" w:eastAsia="仿宋" w:cs="仿宋"/>
                <w:sz w:val="24"/>
                <w:highlight w:val="none"/>
              </w:rPr>
            </w:pPr>
          </w:p>
        </w:tc>
        <w:tc>
          <w:tcPr>
            <w:tcW w:w="912" w:type="dxa"/>
          </w:tcPr>
          <w:p w14:paraId="0A04D8F5">
            <w:pPr>
              <w:spacing w:line="360" w:lineRule="auto"/>
              <w:jc w:val="center"/>
              <w:rPr>
                <w:rFonts w:ascii="仿宋" w:hAnsi="仿宋" w:eastAsia="仿宋" w:cs="仿宋"/>
                <w:sz w:val="24"/>
                <w:highlight w:val="none"/>
              </w:rPr>
            </w:pPr>
          </w:p>
        </w:tc>
        <w:tc>
          <w:tcPr>
            <w:tcW w:w="1188" w:type="dxa"/>
          </w:tcPr>
          <w:p w14:paraId="53CC23D9">
            <w:pPr>
              <w:spacing w:line="360" w:lineRule="auto"/>
              <w:jc w:val="center"/>
              <w:rPr>
                <w:rFonts w:ascii="仿宋" w:hAnsi="仿宋" w:eastAsia="仿宋" w:cs="仿宋"/>
                <w:sz w:val="24"/>
                <w:highlight w:val="none"/>
              </w:rPr>
            </w:pPr>
          </w:p>
        </w:tc>
        <w:tc>
          <w:tcPr>
            <w:tcW w:w="835" w:type="dxa"/>
          </w:tcPr>
          <w:p w14:paraId="703F7F85">
            <w:pPr>
              <w:spacing w:line="360" w:lineRule="auto"/>
              <w:jc w:val="center"/>
              <w:rPr>
                <w:rFonts w:ascii="仿宋" w:hAnsi="仿宋" w:eastAsia="仿宋" w:cs="仿宋"/>
                <w:sz w:val="24"/>
                <w:highlight w:val="none"/>
              </w:rPr>
            </w:pPr>
          </w:p>
        </w:tc>
        <w:tc>
          <w:tcPr>
            <w:tcW w:w="951" w:type="dxa"/>
          </w:tcPr>
          <w:p w14:paraId="1B169F3D">
            <w:pPr>
              <w:spacing w:line="360" w:lineRule="auto"/>
              <w:jc w:val="center"/>
              <w:rPr>
                <w:rFonts w:ascii="仿宋" w:hAnsi="仿宋" w:eastAsia="仿宋" w:cs="仿宋"/>
                <w:sz w:val="24"/>
                <w:highlight w:val="none"/>
              </w:rPr>
            </w:pPr>
          </w:p>
        </w:tc>
        <w:tc>
          <w:tcPr>
            <w:tcW w:w="841" w:type="dxa"/>
          </w:tcPr>
          <w:p w14:paraId="4C350A82">
            <w:pPr>
              <w:spacing w:line="360" w:lineRule="auto"/>
              <w:jc w:val="center"/>
              <w:rPr>
                <w:rFonts w:ascii="仿宋" w:hAnsi="仿宋" w:eastAsia="仿宋" w:cs="仿宋"/>
                <w:sz w:val="24"/>
                <w:highlight w:val="none"/>
              </w:rPr>
            </w:pPr>
          </w:p>
        </w:tc>
      </w:tr>
      <w:tr w14:paraId="565A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23C6472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服</w:t>
            </w:r>
          </w:p>
          <w:p w14:paraId="64354F3F">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务</w:t>
            </w:r>
          </w:p>
          <w:p w14:paraId="465BEA4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人</w:t>
            </w:r>
          </w:p>
          <w:p w14:paraId="7B67D46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员</w:t>
            </w:r>
          </w:p>
        </w:tc>
        <w:tc>
          <w:tcPr>
            <w:tcW w:w="910" w:type="dxa"/>
          </w:tcPr>
          <w:p w14:paraId="603FCB76">
            <w:pPr>
              <w:spacing w:line="360" w:lineRule="auto"/>
              <w:jc w:val="center"/>
              <w:rPr>
                <w:rFonts w:ascii="仿宋" w:hAnsi="仿宋" w:eastAsia="仿宋" w:cs="仿宋"/>
                <w:sz w:val="24"/>
                <w:highlight w:val="none"/>
              </w:rPr>
            </w:pPr>
          </w:p>
        </w:tc>
        <w:tc>
          <w:tcPr>
            <w:tcW w:w="912" w:type="dxa"/>
          </w:tcPr>
          <w:p w14:paraId="4E7AA53A">
            <w:pPr>
              <w:spacing w:line="360" w:lineRule="auto"/>
              <w:jc w:val="center"/>
              <w:rPr>
                <w:rFonts w:ascii="仿宋" w:hAnsi="仿宋" w:eastAsia="仿宋" w:cs="仿宋"/>
                <w:sz w:val="24"/>
                <w:highlight w:val="none"/>
              </w:rPr>
            </w:pPr>
          </w:p>
        </w:tc>
        <w:tc>
          <w:tcPr>
            <w:tcW w:w="912" w:type="dxa"/>
          </w:tcPr>
          <w:p w14:paraId="5EE2ACA6">
            <w:pPr>
              <w:spacing w:line="360" w:lineRule="auto"/>
              <w:jc w:val="center"/>
              <w:rPr>
                <w:rFonts w:ascii="仿宋" w:hAnsi="仿宋" w:eastAsia="仿宋" w:cs="仿宋"/>
                <w:sz w:val="24"/>
                <w:highlight w:val="none"/>
              </w:rPr>
            </w:pPr>
          </w:p>
        </w:tc>
        <w:tc>
          <w:tcPr>
            <w:tcW w:w="912" w:type="dxa"/>
          </w:tcPr>
          <w:p w14:paraId="550C9167">
            <w:pPr>
              <w:spacing w:line="360" w:lineRule="auto"/>
              <w:jc w:val="center"/>
              <w:rPr>
                <w:rFonts w:ascii="仿宋" w:hAnsi="仿宋" w:eastAsia="仿宋" w:cs="仿宋"/>
                <w:sz w:val="24"/>
                <w:highlight w:val="none"/>
              </w:rPr>
            </w:pPr>
          </w:p>
        </w:tc>
        <w:tc>
          <w:tcPr>
            <w:tcW w:w="1188" w:type="dxa"/>
          </w:tcPr>
          <w:p w14:paraId="01AAC986">
            <w:pPr>
              <w:spacing w:line="360" w:lineRule="auto"/>
              <w:jc w:val="center"/>
              <w:rPr>
                <w:rFonts w:ascii="仿宋" w:hAnsi="仿宋" w:eastAsia="仿宋" w:cs="仿宋"/>
                <w:sz w:val="24"/>
                <w:highlight w:val="none"/>
              </w:rPr>
            </w:pPr>
          </w:p>
        </w:tc>
        <w:tc>
          <w:tcPr>
            <w:tcW w:w="835" w:type="dxa"/>
          </w:tcPr>
          <w:p w14:paraId="16E22E10">
            <w:pPr>
              <w:spacing w:line="360" w:lineRule="auto"/>
              <w:jc w:val="center"/>
              <w:rPr>
                <w:rFonts w:ascii="仿宋" w:hAnsi="仿宋" w:eastAsia="仿宋" w:cs="仿宋"/>
                <w:sz w:val="24"/>
                <w:highlight w:val="none"/>
              </w:rPr>
            </w:pPr>
          </w:p>
        </w:tc>
        <w:tc>
          <w:tcPr>
            <w:tcW w:w="951" w:type="dxa"/>
          </w:tcPr>
          <w:p w14:paraId="3EFB1B25">
            <w:pPr>
              <w:spacing w:line="360" w:lineRule="auto"/>
              <w:jc w:val="center"/>
              <w:rPr>
                <w:rFonts w:ascii="仿宋" w:hAnsi="仿宋" w:eastAsia="仿宋" w:cs="仿宋"/>
                <w:sz w:val="24"/>
                <w:highlight w:val="none"/>
              </w:rPr>
            </w:pPr>
          </w:p>
        </w:tc>
        <w:tc>
          <w:tcPr>
            <w:tcW w:w="841" w:type="dxa"/>
          </w:tcPr>
          <w:p w14:paraId="6FA54184">
            <w:pPr>
              <w:spacing w:line="360" w:lineRule="auto"/>
              <w:jc w:val="center"/>
              <w:rPr>
                <w:rFonts w:ascii="仿宋" w:hAnsi="仿宋" w:eastAsia="仿宋" w:cs="仿宋"/>
                <w:sz w:val="24"/>
                <w:highlight w:val="none"/>
              </w:rPr>
            </w:pPr>
          </w:p>
        </w:tc>
      </w:tr>
      <w:tr w14:paraId="628B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5F385543">
            <w:pPr>
              <w:spacing w:line="360" w:lineRule="auto"/>
              <w:jc w:val="center"/>
              <w:rPr>
                <w:rFonts w:ascii="仿宋" w:hAnsi="仿宋" w:eastAsia="仿宋" w:cs="仿宋"/>
                <w:sz w:val="24"/>
                <w:highlight w:val="none"/>
              </w:rPr>
            </w:pPr>
          </w:p>
        </w:tc>
        <w:tc>
          <w:tcPr>
            <w:tcW w:w="910" w:type="dxa"/>
          </w:tcPr>
          <w:p w14:paraId="707C3B80">
            <w:pPr>
              <w:spacing w:line="360" w:lineRule="auto"/>
              <w:jc w:val="center"/>
              <w:rPr>
                <w:rFonts w:ascii="仿宋" w:hAnsi="仿宋" w:eastAsia="仿宋" w:cs="仿宋"/>
                <w:sz w:val="24"/>
                <w:highlight w:val="none"/>
              </w:rPr>
            </w:pPr>
          </w:p>
        </w:tc>
        <w:tc>
          <w:tcPr>
            <w:tcW w:w="912" w:type="dxa"/>
          </w:tcPr>
          <w:p w14:paraId="264C9320">
            <w:pPr>
              <w:spacing w:line="360" w:lineRule="auto"/>
              <w:jc w:val="center"/>
              <w:rPr>
                <w:rFonts w:ascii="仿宋" w:hAnsi="仿宋" w:eastAsia="仿宋" w:cs="仿宋"/>
                <w:sz w:val="24"/>
                <w:highlight w:val="none"/>
              </w:rPr>
            </w:pPr>
          </w:p>
        </w:tc>
        <w:tc>
          <w:tcPr>
            <w:tcW w:w="912" w:type="dxa"/>
          </w:tcPr>
          <w:p w14:paraId="6E2E3141">
            <w:pPr>
              <w:spacing w:line="360" w:lineRule="auto"/>
              <w:jc w:val="center"/>
              <w:rPr>
                <w:rFonts w:ascii="仿宋" w:hAnsi="仿宋" w:eastAsia="仿宋" w:cs="仿宋"/>
                <w:sz w:val="24"/>
                <w:highlight w:val="none"/>
              </w:rPr>
            </w:pPr>
          </w:p>
        </w:tc>
        <w:tc>
          <w:tcPr>
            <w:tcW w:w="912" w:type="dxa"/>
          </w:tcPr>
          <w:p w14:paraId="300BB1FA">
            <w:pPr>
              <w:spacing w:line="360" w:lineRule="auto"/>
              <w:jc w:val="center"/>
              <w:rPr>
                <w:rFonts w:ascii="仿宋" w:hAnsi="仿宋" w:eastAsia="仿宋" w:cs="仿宋"/>
                <w:sz w:val="24"/>
                <w:highlight w:val="none"/>
              </w:rPr>
            </w:pPr>
          </w:p>
        </w:tc>
        <w:tc>
          <w:tcPr>
            <w:tcW w:w="1188" w:type="dxa"/>
          </w:tcPr>
          <w:p w14:paraId="56E3A97C">
            <w:pPr>
              <w:spacing w:line="360" w:lineRule="auto"/>
              <w:jc w:val="center"/>
              <w:rPr>
                <w:rFonts w:ascii="仿宋" w:hAnsi="仿宋" w:eastAsia="仿宋" w:cs="仿宋"/>
                <w:sz w:val="24"/>
                <w:highlight w:val="none"/>
              </w:rPr>
            </w:pPr>
          </w:p>
        </w:tc>
        <w:tc>
          <w:tcPr>
            <w:tcW w:w="835" w:type="dxa"/>
          </w:tcPr>
          <w:p w14:paraId="07C81B42">
            <w:pPr>
              <w:spacing w:line="360" w:lineRule="auto"/>
              <w:jc w:val="center"/>
              <w:rPr>
                <w:rFonts w:ascii="仿宋" w:hAnsi="仿宋" w:eastAsia="仿宋" w:cs="仿宋"/>
                <w:sz w:val="24"/>
                <w:highlight w:val="none"/>
              </w:rPr>
            </w:pPr>
          </w:p>
        </w:tc>
        <w:tc>
          <w:tcPr>
            <w:tcW w:w="951" w:type="dxa"/>
          </w:tcPr>
          <w:p w14:paraId="27ACF788">
            <w:pPr>
              <w:spacing w:line="360" w:lineRule="auto"/>
              <w:jc w:val="center"/>
              <w:rPr>
                <w:rFonts w:ascii="仿宋" w:hAnsi="仿宋" w:eastAsia="仿宋" w:cs="仿宋"/>
                <w:sz w:val="24"/>
                <w:highlight w:val="none"/>
              </w:rPr>
            </w:pPr>
          </w:p>
        </w:tc>
        <w:tc>
          <w:tcPr>
            <w:tcW w:w="841" w:type="dxa"/>
          </w:tcPr>
          <w:p w14:paraId="293A4AAD">
            <w:pPr>
              <w:spacing w:line="360" w:lineRule="auto"/>
              <w:jc w:val="center"/>
              <w:rPr>
                <w:rFonts w:ascii="仿宋" w:hAnsi="仿宋" w:eastAsia="仿宋" w:cs="仿宋"/>
                <w:sz w:val="24"/>
                <w:highlight w:val="none"/>
              </w:rPr>
            </w:pPr>
          </w:p>
        </w:tc>
      </w:tr>
      <w:tr w14:paraId="1FE5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76C13ACA">
            <w:pPr>
              <w:spacing w:line="360" w:lineRule="auto"/>
              <w:jc w:val="center"/>
              <w:rPr>
                <w:rFonts w:ascii="仿宋" w:hAnsi="仿宋" w:eastAsia="仿宋" w:cs="仿宋"/>
                <w:sz w:val="24"/>
                <w:highlight w:val="none"/>
              </w:rPr>
            </w:pPr>
          </w:p>
        </w:tc>
        <w:tc>
          <w:tcPr>
            <w:tcW w:w="910" w:type="dxa"/>
          </w:tcPr>
          <w:p w14:paraId="49D80F30">
            <w:pPr>
              <w:spacing w:line="360" w:lineRule="auto"/>
              <w:jc w:val="center"/>
              <w:rPr>
                <w:rFonts w:ascii="仿宋" w:hAnsi="仿宋" w:eastAsia="仿宋" w:cs="仿宋"/>
                <w:sz w:val="24"/>
                <w:highlight w:val="none"/>
              </w:rPr>
            </w:pPr>
          </w:p>
        </w:tc>
        <w:tc>
          <w:tcPr>
            <w:tcW w:w="912" w:type="dxa"/>
          </w:tcPr>
          <w:p w14:paraId="3CDB1ADC">
            <w:pPr>
              <w:spacing w:line="360" w:lineRule="auto"/>
              <w:jc w:val="center"/>
              <w:rPr>
                <w:rFonts w:ascii="仿宋" w:hAnsi="仿宋" w:eastAsia="仿宋" w:cs="仿宋"/>
                <w:sz w:val="24"/>
                <w:highlight w:val="none"/>
              </w:rPr>
            </w:pPr>
          </w:p>
        </w:tc>
        <w:tc>
          <w:tcPr>
            <w:tcW w:w="912" w:type="dxa"/>
          </w:tcPr>
          <w:p w14:paraId="795B7A10">
            <w:pPr>
              <w:spacing w:line="360" w:lineRule="auto"/>
              <w:jc w:val="center"/>
              <w:rPr>
                <w:rFonts w:ascii="仿宋" w:hAnsi="仿宋" w:eastAsia="仿宋" w:cs="仿宋"/>
                <w:sz w:val="24"/>
                <w:highlight w:val="none"/>
              </w:rPr>
            </w:pPr>
          </w:p>
        </w:tc>
        <w:tc>
          <w:tcPr>
            <w:tcW w:w="912" w:type="dxa"/>
          </w:tcPr>
          <w:p w14:paraId="35325D91">
            <w:pPr>
              <w:spacing w:line="360" w:lineRule="auto"/>
              <w:jc w:val="center"/>
              <w:rPr>
                <w:rFonts w:ascii="仿宋" w:hAnsi="仿宋" w:eastAsia="仿宋" w:cs="仿宋"/>
                <w:sz w:val="24"/>
                <w:highlight w:val="none"/>
              </w:rPr>
            </w:pPr>
          </w:p>
        </w:tc>
        <w:tc>
          <w:tcPr>
            <w:tcW w:w="1188" w:type="dxa"/>
          </w:tcPr>
          <w:p w14:paraId="7A4C0427">
            <w:pPr>
              <w:spacing w:line="360" w:lineRule="auto"/>
              <w:jc w:val="center"/>
              <w:rPr>
                <w:rFonts w:ascii="仿宋" w:hAnsi="仿宋" w:eastAsia="仿宋" w:cs="仿宋"/>
                <w:sz w:val="24"/>
                <w:highlight w:val="none"/>
              </w:rPr>
            </w:pPr>
          </w:p>
        </w:tc>
        <w:tc>
          <w:tcPr>
            <w:tcW w:w="835" w:type="dxa"/>
          </w:tcPr>
          <w:p w14:paraId="091E261B">
            <w:pPr>
              <w:spacing w:line="360" w:lineRule="auto"/>
              <w:jc w:val="center"/>
              <w:rPr>
                <w:rFonts w:ascii="仿宋" w:hAnsi="仿宋" w:eastAsia="仿宋" w:cs="仿宋"/>
                <w:sz w:val="24"/>
                <w:highlight w:val="none"/>
              </w:rPr>
            </w:pPr>
          </w:p>
        </w:tc>
        <w:tc>
          <w:tcPr>
            <w:tcW w:w="951" w:type="dxa"/>
          </w:tcPr>
          <w:p w14:paraId="68AACBDA">
            <w:pPr>
              <w:spacing w:line="360" w:lineRule="auto"/>
              <w:jc w:val="center"/>
              <w:rPr>
                <w:rFonts w:ascii="仿宋" w:hAnsi="仿宋" w:eastAsia="仿宋" w:cs="仿宋"/>
                <w:sz w:val="24"/>
                <w:highlight w:val="none"/>
              </w:rPr>
            </w:pPr>
          </w:p>
        </w:tc>
        <w:tc>
          <w:tcPr>
            <w:tcW w:w="841" w:type="dxa"/>
          </w:tcPr>
          <w:p w14:paraId="01BE4FD4">
            <w:pPr>
              <w:spacing w:line="360" w:lineRule="auto"/>
              <w:jc w:val="center"/>
              <w:rPr>
                <w:rFonts w:ascii="仿宋" w:hAnsi="仿宋" w:eastAsia="仿宋" w:cs="仿宋"/>
                <w:sz w:val="24"/>
                <w:highlight w:val="none"/>
              </w:rPr>
            </w:pPr>
          </w:p>
        </w:tc>
      </w:tr>
      <w:tr w14:paraId="3330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66EE517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其</w:t>
            </w:r>
          </w:p>
          <w:p w14:paraId="7ECA222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他</w:t>
            </w:r>
          </w:p>
          <w:p w14:paraId="2CA4A88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人</w:t>
            </w:r>
          </w:p>
          <w:p w14:paraId="561449C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员</w:t>
            </w:r>
          </w:p>
        </w:tc>
        <w:tc>
          <w:tcPr>
            <w:tcW w:w="910" w:type="dxa"/>
          </w:tcPr>
          <w:p w14:paraId="29EF0833">
            <w:pPr>
              <w:spacing w:line="360" w:lineRule="auto"/>
              <w:jc w:val="center"/>
              <w:rPr>
                <w:rFonts w:ascii="仿宋" w:hAnsi="仿宋" w:eastAsia="仿宋" w:cs="仿宋"/>
                <w:sz w:val="24"/>
                <w:highlight w:val="none"/>
              </w:rPr>
            </w:pPr>
          </w:p>
        </w:tc>
        <w:tc>
          <w:tcPr>
            <w:tcW w:w="912" w:type="dxa"/>
          </w:tcPr>
          <w:p w14:paraId="778B5B61">
            <w:pPr>
              <w:spacing w:line="360" w:lineRule="auto"/>
              <w:jc w:val="center"/>
              <w:rPr>
                <w:rFonts w:ascii="仿宋" w:hAnsi="仿宋" w:eastAsia="仿宋" w:cs="仿宋"/>
                <w:sz w:val="24"/>
                <w:highlight w:val="none"/>
              </w:rPr>
            </w:pPr>
          </w:p>
        </w:tc>
        <w:tc>
          <w:tcPr>
            <w:tcW w:w="912" w:type="dxa"/>
          </w:tcPr>
          <w:p w14:paraId="7DD16047">
            <w:pPr>
              <w:spacing w:line="360" w:lineRule="auto"/>
              <w:jc w:val="center"/>
              <w:rPr>
                <w:rFonts w:ascii="仿宋" w:hAnsi="仿宋" w:eastAsia="仿宋" w:cs="仿宋"/>
                <w:sz w:val="24"/>
                <w:highlight w:val="none"/>
              </w:rPr>
            </w:pPr>
          </w:p>
        </w:tc>
        <w:tc>
          <w:tcPr>
            <w:tcW w:w="912" w:type="dxa"/>
          </w:tcPr>
          <w:p w14:paraId="4F9F8674">
            <w:pPr>
              <w:spacing w:line="360" w:lineRule="auto"/>
              <w:jc w:val="center"/>
              <w:rPr>
                <w:rFonts w:ascii="仿宋" w:hAnsi="仿宋" w:eastAsia="仿宋" w:cs="仿宋"/>
                <w:sz w:val="24"/>
                <w:highlight w:val="none"/>
              </w:rPr>
            </w:pPr>
          </w:p>
        </w:tc>
        <w:tc>
          <w:tcPr>
            <w:tcW w:w="1188" w:type="dxa"/>
          </w:tcPr>
          <w:p w14:paraId="0AFC6631">
            <w:pPr>
              <w:spacing w:line="360" w:lineRule="auto"/>
              <w:jc w:val="center"/>
              <w:rPr>
                <w:rFonts w:ascii="仿宋" w:hAnsi="仿宋" w:eastAsia="仿宋" w:cs="仿宋"/>
                <w:sz w:val="24"/>
                <w:highlight w:val="none"/>
              </w:rPr>
            </w:pPr>
          </w:p>
        </w:tc>
        <w:tc>
          <w:tcPr>
            <w:tcW w:w="835" w:type="dxa"/>
          </w:tcPr>
          <w:p w14:paraId="7B8E40CF">
            <w:pPr>
              <w:spacing w:line="360" w:lineRule="auto"/>
              <w:jc w:val="center"/>
              <w:rPr>
                <w:rFonts w:ascii="仿宋" w:hAnsi="仿宋" w:eastAsia="仿宋" w:cs="仿宋"/>
                <w:sz w:val="24"/>
                <w:highlight w:val="none"/>
              </w:rPr>
            </w:pPr>
          </w:p>
        </w:tc>
        <w:tc>
          <w:tcPr>
            <w:tcW w:w="951" w:type="dxa"/>
          </w:tcPr>
          <w:p w14:paraId="4B9E4489">
            <w:pPr>
              <w:spacing w:line="360" w:lineRule="auto"/>
              <w:jc w:val="center"/>
              <w:rPr>
                <w:rFonts w:ascii="仿宋" w:hAnsi="仿宋" w:eastAsia="仿宋" w:cs="仿宋"/>
                <w:sz w:val="24"/>
                <w:highlight w:val="none"/>
              </w:rPr>
            </w:pPr>
          </w:p>
        </w:tc>
        <w:tc>
          <w:tcPr>
            <w:tcW w:w="841" w:type="dxa"/>
          </w:tcPr>
          <w:p w14:paraId="20FA9D64">
            <w:pPr>
              <w:spacing w:line="360" w:lineRule="auto"/>
              <w:jc w:val="center"/>
              <w:rPr>
                <w:rFonts w:ascii="仿宋" w:hAnsi="仿宋" w:eastAsia="仿宋" w:cs="仿宋"/>
                <w:sz w:val="24"/>
                <w:highlight w:val="none"/>
              </w:rPr>
            </w:pPr>
          </w:p>
        </w:tc>
      </w:tr>
      <w:tr w14:paraId="552D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508DFD2B">
            <w:pPr>
              <w:spacing w:line="360" w:lineRule="auto"/>
              <w:jc w:val="center"/>
              <w:rPr>
                <w:rFonts w:ascii="仿宋" w:hAnsi="仿宋" w:eastAsia="仿宋" w:cs="仿宋"/>
                <w:sz w:val="24"/>
                <w:highlight w:val="none"/>
              </w:rPr>
            </w:pPr>
          </w:p>
        </w:tc>
        <w:tc>
          <w:tcPr>
            <w:tcW w:w="910" w:type="dxa"/>
          </w:tcPr>
          <w:p w14:paraId="29A0FB34">
            <w:pPr>
              <w:spacing w:line="360" w:lineRule="auto"/>
              <w:jc w:val="center"/>
              <w:rPr>
                <w:rFonts w:ascii="仿宋" w:hAnsi="仿宋" w:eastAsia="仿宋" w:cs="仿宋"/>
                <w:sz w:val="24"/>
                <w:highlight w:val="none"/>
              </w:rPr>
            </w:pPr>
          </w:p>
        </w:tc>
        <w:tc>
          <w:tcPr>
            <w:tcW w:w="912" w:type="dxa"/>
          </w:tcPr>
          <w:p w14:paraId="58FDA679">
            <w:pPr>
              <w:spacing w:line="360" w:lineRule="auto"/>
              <w:jc w:val="center"/>
              <w:rPr>
                <w:rFonts w:ascii="仿宋" w:hAnsi="仿宋" w:eastAsia="仿宋" w:cs="仿宋"/>
                <w:b/>
                <w:bCs/>
                <w:sz w:val="24"/>
                <w:highlight w:val="none"/>
              </w:rPr>
            </w:pPr>
          </w:p>
        </w:tc>
        <w:tc>
          <w:tcPr>
            <w:tcW w:w="912" w:type="dxa"/>
          </w:tcPr>
          <w:p w14:paraId="6D29B13F">
            <w:pPr>
              <w:spacing w:line="360" w:lineRule="auto"/>
              <w:jc w:val="center"/>
              <w:rPr>
                <w:rFonts w:ascii="仿宋" w:hAnsi="仿宋" w:eastAsia="仿宋" w:cs="仿宋"/>
                <w:b/>
                <w:bCs/>
                <w:sz w:val="24"/>
                <w:highlight w:val="none"/>
              </w:rPr>
            </w:pPr>
          </w:p>
        </w:tc>
        <w:tc>
          <w:tcPr>
            <w:tcW w:w="912" w:type="dxa"/>
          </w:tcPr>
          <w:p w14:paraId="6ED0D8E6">
            <w:pPr>
              <w:spacing w:line="360" w:lineRule="auto"/>
              <w:jc w:val="center"/>
              <w:rPr>
                <w:rFonts w:ascii="仿宋" w:hAnsi="仿宋" w:eastAsia="仿宋" w:cs="仿宋"/>
                <w:b/>
                <w:bCs/>
                <w:sz w:val="24"/>
                <w:highlight w:val="none"/>
              </w:rPr>
            </w:pPr>
          </w:p>
        </w:tc>
        <w:tc>
          <w:tcPr>
            <w:tcW w:w="1188" w:type="dxa"/>
          </w:tcPr>
          <w:p w14:paraId="5ABE749A">
            <w:pPr>
              <w:spacing w:line="360" w:lineRule="auto"/>
              <w:jc w:val="center"/>
              <w:rPr>
                <w:rFonts w:ascii="仿宋" w:hAnsi="仿宋" w:eastAsia="仿宋" w:cs="仿宋"/>
                <w:b/>
                <w:bCs/>
                <w:sz w:val="24"/>
                <w:highlight w:val="none"/>
              </w:rPr>
            </w:pPr>
          </w:p>
        </w:tc>
        <w:tc>
          <w:tcPr>
            <w:tcW w:w="835" w:type="dxa"/>
          </w:tcPr>
          <w:p w14:paraId="51589EAD">
            <w:pPr>
              <w:spacing w:line="360" w:lineRule="auto"/>
              <w:jc w:val="center"/>
              <w:rPr>
                <w:rFonts w:ascii="仿宋" w:hAnsi="仿宋" w:eastAsia="仿宋" w:cs="仿宋"/>
                <w:b/>
                <w:bCs/>
                <w:sz w:val="24"/>
                <w:highlight w:val="none"/>
              </w:rPr>
            </w:pPr>
          </w:p>
        </w:tc>
        <w:tc>
          <w:tcPr>
            <w:tcW w:w="951" w:type="dxa"/>
          </w:tcPr>
          <w:p w14:paraId="5A643466">
            <w:pPr>
              <w:spacing w:line="360" w:lineRule="auto"/>
              <w:jc w:val="center"/>
              <w:rPr>
                <w:rFonts w:ascii="仿宋" w:hAnsi="仿宋" w:eastAsia="仿宋" w:cs="仿宋"/>
                <w:b/>
                <w:bCs/>
                <w:sz w:val="24"/>
                <w:highlight w:val="none"/>
              </w:rPr>
            </w:pPr>
          </w:p>
        </w:tc>
        <w:tc>
          <w:tcPr>
            <w:tcW w:w="841" w:type="dxa"/>
          </w:tcPr>
          <w:p w14:paraId="3EAF3E2A">
            <w:pPr>
              <w:spacing w:line="360" w:lineRule="auto"/>
              <w:jc w:val="center"/>
              <w:rPr>
                <w:rFonts w:ascii="仿宋" w:hAnsi="仿宋" w:eastAsia="仿宋" w:cs="仿宋"/>
                <w:b/>
                <w:bCs/>
                <w:sz w:val="24"/>
                <w:highlight w:val="none"/>
              </w:rPr>
            </w:pPr>
          </w:p>
        </w:tc>
      </w:tr>
      <w:tr w14:paraId="2732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4C2470D5">
            <w:pPr>
              <w:spacing w:line="360" w:lineRule="auto"/>
              <w:jc w:val="center"/>
              <w:rPr>
                <w:rFonts w:ascii="仿宋" w:hAnsi="仿宋" w:eastAsia="仿宋" w:cs="仿宋"/>
                <w:sz w:val="24"/>
                <w:highlight w:val="none"/>
              </w:rPr>
            </w:pPr>
          </w:p>
        </w:tc>
        <w:tc>
          <w:tcPr>
            <w:tcW w:w="910" w:type="dxa"/>
          </w:tcPr>
          <w:p w14:paraId="0CE665C2">
            <w:pPr>
              <w:spacing w:line="360" w:lineRule="auto"/>
              <w:jc w:val="center"/>
              <w:rPr>
                <w:rFonts w:ascii="仿宋" w:hAnsi="仿宋" w:eastAsia="仿宋" w:cs="仿宋"/>
                <w:sz w:val="24"/>
                <w:highlight w:val="none"/>
              </w:rPr>
            </w:pPr>
          </w:p>
        </w:tc>
        <w:tc>
          <w:tcPr>
            <w:tcW w:w="912" w:type="dxa"/>
          </w:tcPr>
          <w:p w14:paraId="04E313B6">
            <w:pPr>
              <w:spacing w:line="360" w:lineRule="auto"/>
              <w:jc w:val="center"/>
              <w:rPr>
                <w:rFonts w:ascii="仿宋" w:hAnsi="仿宋" w:eastAsia="仿宋" w:cs="仿宋"/>
                <w:b/>
                <w:bCs/>
                <w:sz w:val="24"/>
                <w:highlight w:val="none"/>
              </w:rPr>
            </w:pPr>
          </w:p>
        </w:tc>
        <w:tc>
          <w:tcPr>
            <w:tcW w:w="912" w:type="dxa"/>
          </w:tcPr>
          <w:p w14:paraId="2F4B5532">
            <w:pPr>
              <w:spacing w:line="360" w:lineRule="auto"/>
              <w:jc w:val="center"/>
              <w:rPr>
                <w:rFonts w:ascii="仿宋" w:hAnsi="仿宋" w:eastAsia="仿宋" w:cs="仿宋"/>
                <w:b/>
                <w:bCs/>
                <w:sz w:val="24"/>
                <w:highlight w:val="none"/>
              </w:rPr>
            </w:pPr>
          </w:p>
        </w:tc>
        <w:tc>
          <w:tcPr>
            <w:tcW w:w="912" w:type="dxa"/>
          </w:tcPr>
          <w:p w14:paraId="5C5DFAF6">
            <w:pPr>
              <w:spacing w:line="360" w:lineRule="auto"/>
              <w:jc w:val="center"/>
              <w:rPr>
                <w:rFonts w:ascii="仿宋" w:hAnsi="仿宋" w:eastAsia="仿宋" w:cs="仿宋"/>
                <w:b/>
                <w:bCs/>
                <w:sz w:val="24"/>
                <w:highlight w:val="none"/>
              </w:rPr>
            </w:pPr>
          </w:p>
        </w:tc>
        <w:tc>
          <w:tcPr>
            <w:tcW w:w="1188" w:type="dxa"/>
          </w:tcPr>
          <w:p w14:paraId="0F34DF1B">
            <w:pPr>
              <w:spacing w:line="360" w:lineRule="auto"/>
              <w:jc w:val="center"/>
              <w:rPr>
                <w:rFonts w:ascii="仿宋" w:hAnsi="仿宋" w:eastAsia="仿宋" w:cs="仿宋"/>
                <w:b/>
                <w:bCs/>
                <w:sz w:val="24"/>
                <w:highlight w:val="none"/>
              </w:rPr>
            </w:pPr>
          </w:p>
        </w:tc>
        <w:tc>
          <w:tcPr>
            <w:tcW w:w="835" w:type="dxa"/>
          </w:tcPr>
          <w:p w14:paraId="0B56F1A1">
            <w:pPr>
              <w:spacing w:line="360" w:lineRule="auto"/>
              <w:jc w:val="center"/>
              <w:rPr>
                <w:rFonts w:ascii="仿宋" w:hAnsi="仿宋" w:eastAsia="仿宋" w:cs="仿宋"/>
                <w:b/>
                <w:bCs/>
                <w:sz w:val="24"/>
                <w:highlight w:val="none"/>
              </w:rPr>
            </w:pPr>
          </w:p>
        </w:tc>
        <w:tc>
          <w:tcPr>
            <w:tcW w:w="951" w:type="dxa"/>
          </w:tcPr>
          <w:p w14:paraId="06126019">
            <w:pPr>
              <w:spacing w:line="360" w:lineRule="auto"/>
              <w:jc w:val="center"/>
              <w:rPr>
                <w:rFonts w:ascii="仿宋" w:hAnsi="仿宋" w:eastAsia="仿宋" w:cs="仿宋"/>
                <w:b/>
                <w:bCs/>
                <w:sz w:val="24"/>
                <w:highlight w:val="none"/>
              </w:rPr>
            </w:pPr>
          </w:p>
        </w:tc>
        <w:tc>
          <w:tcPr>
            <w:tcW w:w="841" w:type="dxa"/>
          </w:tcPr>
          <w:p w14:paraId="703D99ED">
            <w:pPr>
              <w:spacing w:line="360" w:lineRule="auto"/>
              <w:jc w:val="center"/>
              <w:rPr>
                <w:rFonts w:ascii="仿宋" w:hAnsi="仿宋" w:eastAsia="仿宋" w:cs="仿宋"/>
                <w:b/>
                <w:bCs/>
                <w:sz w:val="24"/>
                <w:highlight w:val="none"/>
              </w:rPr>
            </w:pPr>
          </w:p>
        </w:tc>
      </w:tr>
    </w:tbl>
    <w:p w14:paraId="3F78050E">
      <w:pPr>
        <w:adjustRightInd w:val="0"/>
        <w:spacing w:line="360" w:lineRule="auto"/>
        <w:ind w:firstLine="900" w:firstLineChars="375"/>
        <w:jc w:val="left"/>
        <w:rPr>
          <w:rFonts w:ascii="仿宋" w:hAnsi="仿宋" w:eastAsia="仿宋" w:cs="仿宋"/>
          <w:sz w:val="24"/>
          <w:highlight w:val="none"/>
        </w:rPr>
      </w:pPr>
      <w:r>
        <w:rPr>
          <w:rFonts w:hint="eastAsia" w:ascii="仿宋" w:hAnsi="仿宋" w:eastAsia="仿宋" w:cs="仿宋"/>
          <w:bCs/>
          <w:sz w:val="24"/>
          <w:highlight w:val="none"/>
        </w:rPr>
        <w:t>注：后附人员相关证书扫描件。</w:t>
      </w:r>
    </w:p>
    <w:p w14:paraId="41D7AF34">
      <w:pPr>
        <w:spacing w:line="360" w:lineRule="auto"/>
        <w:jc w:val="center"/>
        <w:rPr>
          <w:rFonts w:ascii="仿宋" w:hAnsi="仿宋" w:eastAsia="仿宋" w:cs="仿宋"/>
          <w:sz w:val="24"/>
          <w:highlight w:val="none"/>
        </w:rPr>
      </w:pPr>
    </w:p>
    <w:p w14:paraId="3DFA74B8">
      <w:pPr>
        <w:spacing w:line="360" w:lineRule="auto"/>
        <w:rPr>
          <w:rFonts w:ascii="仿宋" w:hAnsi="仿宋" w:eastAsia="仿宋" w:cs="仿宋"/>
          <w:sz w:val="24"/>
          <w:highlight w:val="none"/>
        </w:rPr>
      </w:pPr>
    </w:p>
    <w:p w14:paraId="06702800">
      <w:pPr>
        <w:pStyle w:val="30"/>
        <w:spacing w:line="360" w:lineRule="auto"/>
        <w:ind w:firstLine="0"/>
        <w:jc w:val="center"/>
        <w:outlineLvl w:val="1"/>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八、实施方案</w:t>
      </w:r>
    </w:p>
    <w:p w14:paraId="08B61B6D">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                                   </w:t>
      </w:r>
    </w:p>
    <w:bookmarkEnd w:id="141"/>
    <w:p w14:paraId="325C8629">
      <w:pPr>
        <w:bidi w:val="0"/>
        <w:jc w:val="center"/>
        <w:rPr>
          <w:rFonts w:hint="eastAsia" w:ascii="仿宋" w:hAnsi="仿宋" w:eastAsia="仿宋" w:cs="仿宋"/>
          <w:sz w:val="24"/>
          <w:szCs w:val="32"/>
          <w:highlight w:val="none"/>
        </w:rPr>
        <w:sectPr>
          <w:footerReference r:id="rId12" w:type="default"/>
          <w:pgSz w:w="11906" w:h="16838"/>
          <w:pgMar w:top="1440" w:right="1800" w:bottom="1440" w:left="1800" w:header="851" w:footer="992" w:gutter="0"/>
          <w:pgNumType w:fmt="decimal"/>
          <w:cols w:space="720" w:num="1"/>
          <w:docGrid w:type="lines" w:linePitch="312" w:charSpace="0"/>
        </w:sectPr>
      </w:pPr>
      <w:bookmarkStart w:id="168" w:name="_Toc31271_WPSOffice_Level1"/>
      <w:r>
        <w:rPr>
          <w:rFonts w:hint="eastAsia" w:ascii="仿宋" w:hAnsi="仿宋" w:eastAsia="仿宋" w:cs="仿宋"/>
          <w:sz w:val="24"/>
          <w:szCs w:val="32"/>
          <w:highlight w:val="none"/>
        </w:rPr>
        <w:t>根据第五章“评标办法”所需内容自拟格式</w:t>
      </w:r>
    </w:p>
    <w:bookmarkEnd w:id="168"/>
    <w:p w14:paraId="0B3ED93D">
      <w:pPr>
        <w:jc w:val="center"/>
        <w:rPr>
          <w:rFonts w:hint="eastAsia" w:ascii="仿宋" w:hAnsi="仿宋" w:eastAsia="仿宋" w:cs="仿宋"/>
          <w:b/>
          <w:bCs/>
          <w:kern w:val="0"/>
          <w:sz w:val="24"/>
        </w:rPr>
      </w:pPr>
      <w:bookmarkStart w:id="169" w:name="_Toc14606"/>
      <w:bookmarkStart w:id="170" w:name="_Toc21070"/>
      <w:bookmarkStart w:id="171" w:name="_Toc20068"/>
      <w:r>
        <w:rPr>
          <w:rFonts w:hint="eastAsia" w:ascii="仿宋" w:hAnsi="仿宋" w:eastAsia="仿宋" w:cs="仿宋"/>
          <w:b/>
          <w:bCs/>
          <w:kern w:val="0"/>
          <w:sz w:val="24"/>
        </w:rPr>
        <w:t>九、政府采购政策</w:t>
      </w:r>
    </w:p>
    <w:p w14:paraId="619AB6AA">
      <w:pPr>
        <w:ind w:firstLine="480" w:firstLineChars="200"/>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1、以下《中小微企业声明函》、《监狱企业的证明文件》及《残疾人福利性单位声明函》供应商根据自身的实际情况选用（如有）。</w:t>
      </w:r>
    </w:p>
    <w:p w14:paraId="7833B1B8">
      <w:pPr>
        <w:pStyle w:val="30"/>
        <w:ind w:firstLine="480" w:firstLineChars="20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2、供应商同时为小型（或微型）企业、监狱企业、残疾人福利性单位任两种或以上情况的，评审中只享受一次价格扣除（或评审得分优惠），不重复进行价格扣除。</w:t>
      </w:r>
    </w:p>
    <w:p w14:paraId="247675D2">
      <w:pPr>
        <w:pStyle w:val="30"/>
        <w:ind w:firstLine="480" w:firstLineChars="20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3.中小企业划型标准规定</w:t>
      </w:r>
    </w:p>
    <w:p w14:paraId="07E7B9D2">
      <w:pPr>
        <w:pStyle w:val="3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一、根据《中华人民共和国中小企业促进法》和《国务院关于进一步促进中小企业发展的若干意见》(（国发[2009]36号)，制定本规定。</w:t>
      </w:r>
    </w:p>
    <w:p w14:paraId="57C44642">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二、中小企业划分为中型、小型、微型三种类型，具体标准根据企业从业人员、营业收入、资产总额等指标，结合行业特点制定。</w:t>
      </w:r>
    </w:p>
    <w:p w14:paraId="43844A53">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903BED0">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四、各行业划型标准为：</w:t>
      </w:r>
    </w:p>
    <w:p w14:paraId="67E98BA6">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（一）农、林、牧、渔业。营业收入20000万元以下的为中小微型企业。其中，营业收入500万元及以上的为中型企业，营业收入50万元及以上的为小型企业，营业收入50万元以下的为微型企业。</w:t>
      </w:r>
    </w:p>
    <w:p w14:paraId="6D3DE2AA">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CDD99D">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5E0397D">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EF79840">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32AD9FC">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7AE857B">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6A196A4">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DBD258C">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A180BB">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5E4E5AE">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CD91D7">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3161D0">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B94722A">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1F9D59">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A07B361">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（十六）其他未列明行业。从业人员300人以下的为中小微型企业。其中，从业人员100人及以上的为中型企业；从业人员10人及以上的为小型企业；从业人员10人以下的为微型企业。</w:t>
      </w:r>
    </w:p>
    <w:p w14:paraId="75E3C036">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五、企业类型的划分以统计部门的统计数据为依据。</w:t>
      </w:r>
    </w:p>
    <w:p w14:paraId="44B606CC">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六、本规定适用于在中华人民共和国境内依法设立的各类所有制和各种组织形式的企业。个体工商户和本规定以外的行业，参照本规定进行划型。</w:t>
      </w:r>
    </w:p>
    <w:p w14:paraId="60AE3703">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07A9FBF2">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八、本规定由工业和信息化部、国家统计局会同有关部门根据《国民经济行业分类》修订情况和企业发展变化情况适时修订。</w:t>
      </w:r>
    </w:p>
    <w:p w14:paraId="69CA9FEC">
      <w:pPr>
        <w:pStyle w:val="30"/>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九、本规定由工业和信息化部、国家统计局会同有关部门负责解释。</w:t>
      </w:r>
    </w:p>
    <w:p w14:paraId="3F4CC5ED">
      <w:pPr>
        <w:pStyle w:val="14"/>
        <w:ind w:firstLine="480" w:firstLineChars="200"/>
        <w:jc w:val="lef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十、本规定自发布之日起执行，原国家经贸委、原国家计委、财政部和国家统计局2003年颁布的《中小企业标准暂行规定》同时废止。</w:t>
      </w:r>
    </w:p>
    <w:p w14:paraId="604A6CC5">
      <w:pPr>
        <w:rPr>
          <w:rFonts w:hint="eastAsia" w:ascii="仿宋" w:hAnsi="仿宋" w:eastAsia="仿宋" w:cs="仿宋"/>
          <w:sz w:val="24"/>
        </w:rPr>
      </w:pPr>
      <w:r>
        <w:rPr>
          <w:rFonts w:hint="eastAsia" w:ascii="仿宋" w:hAnsi="仿宋" w:eastAsia="仿宋" w:cs="仿宋"/>
          <w:sz w:val="24"/>
        </w:rPr>
        <w:br w:type="page"/>
      </w:r>
    </w:p>
    <w:p w14:paraId="51E9C5EE">
      <w:pPr>
        <w:pStyle w:val="14"/>
        <w:spacing w:line="460" w:lineRule="exact"/>
        <w:ind w:firstLine="480" w:firstLineChars="200"/>
        <w:jc w:val="center"/>
        <w:outlineLvl w:val="1"/>
        <w:rPr>
          <w:rFonts w:hint="eastAsia" w:ascii="方正仿宋_GB2312" w:hAnsi="方正仿宋_GB2312" w:eastAsia="方正仿宋_GB2312" w:cs="方正仿宋_GB2312"/>
          <w:bCs/>
          <w:color w:val="auto"/>
          <w:sz w:val="24"/>
          <w:highlight w:val="none"/>
        </w:rPr>
      </w:pPr>
      <w:bookmarkStart w:id="172" w:name="_Toc31196"/>
      <w:r>
        <w:rPr>
          <w:rFonts w:hint="eastAsia" w:ascii="方正仿宋_GB2312" w:hAnsi="方正仿宋_GB2312" w:eastAsia="方正仿宋_GB2312" w:cs="方正仿宋_GB2312"/>
          <w:bCs/>
          <w:color w:val="auto"/>
          <w:sz w:val="24"/>
          <w:highlight w:val="none"/>
        </w:rPr>
        <w:t>（一）中小企业声明函</w:t>
      </w:r>
      <w:bookmarkEnd w:id="172"/>
    </w:p>
    <w:p w14:paraId="4B7B1512">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p>
    <w:p w14:paraId="27B392CD">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bCs/>
          <w:color w:val="auto"/>
          <w:sz w:val="24"/>
          <w:highlight w:val="none"/>
          <w:u w:val="single"/>
        </w:rPr>
        <w:t>（单位名称）</w:t>
      </w:r>
      <w:r>
        <w:rPr>
          <w:rFonts w:hint="eastAsia" w:ascii="方正仿宋_GB2312" w:hAnsi="方正仿宋_GB2312" w:eastAsia="方正仿宋_GB2312" w:cs="方正仿宋_GB2312"/>
          <w:bCs/>
          <w:color w:val="auto"/>
          <w:sz w:val="24"/>
          <w:highlight w:val="none"/>
        </w:rPr>
        <w:t>的</w:t>
      </w:r>
      <w:r>
        <w:rPr>
          <w:rFonts w:hint="eastAsia" w:ascii="方正仿宋_GB2312" w:hAnsi="方正仿宋_GB2312" w:eastAsia="方正仿宋_GB2312" w:cs="方正仿宋_GB2312"/>
          <w:bCs/>
          <w:color w:val="auto"/>
          <w:sz w:val="24"/>
          <w:highlight w:val="none"/>
          <w:u w:val="single"/>
        </w:rPr>
        <w:t>（项目名称）</w:t>
      </w:r>
      <w:r>
        <w:rPr>
          <w:rFonts w:hint="eastAsia" w:ascii="方正仿宋_GB2312" w:hAnsi="方正仿宋_GB2312" w:eastAsia="方正仿宋_GB2312" w:cs="方正仿宋_GB2312"/>
          <w:bCs/>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9072E86">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w:t>
      </w:r>
      <w:r>
        <w:rPr>
          <w:rFonts w:hint="eastAsia" w:ascii="方正仿宋_GB2312" w:hAnsi="方正仿宋_GB2312" w:eastAsia="方正仿宋_GB2312" w:cs="方正仿宋_GB2312"/>
          <w:bCs/>
          <w:color w:val="auto"/>
          <w:sz w:val="24"/>
          <w:highlight w:val="none"/>
          <w:u w:val="single"/>
        </w:rPr>
        <w:t xml:space="preserve"> （标的名称）</w:t>
      </w:r>
      <w:r>
        <w:rPr>
          <w:rFonts w:hint="eastAsia" w:ascii="方正仿宋_GB2312" w:hAnsi="方正仿宋_GB2312" w:eastAsia="方正仿宋_GB2312" w:cs="方正仿宋_GB2312"/>
          <w:bCs/>
          <w:color w:val="auto"/>
          <w:sz w:val="24"/>
          <w:highlight w:val="none"/>
        </w:rPr>
        <w:t>，属于</w:t>
      </w:r>
      <w:r>
        <w:rPr>
          <w:rFonts w:hint="eastAsia" w:ascii="方正仿宋_GB2312" w:hAnsi="方正仿宋_GB2312" w:eastAsia="方正仿宋_GB2312" w:cs="方正仿宋_GB2312"/>
          <w:bCs/>
          <w:color w:val="auto"/>
          <w:sz w:val="24"/>
          <w:highlight w:val="none"/>
          <w:u w:val="single"/>
        </w:rPr>
        <w:t>（采购文件中明确的所属行业）行业</w:t>
      </w:r>
      <w:r>
        <w:rPr>
          <w:rFonts w:hint="eastAsia" w:ascii="方正仿宋_GB2312" w:hAnsi="方正仿宋_GB2312" w:eastAsia="方正仿宋_GB2312" w:cs="方正仿宋_GB2312"/>
          <w:bCs/>
          <w:color w:val="auto"/>
          <w:sz w:val="24"/>
          <w:highlight w:val="none"/>
        </w:rPr>
        <w:t>；承建（承接）企业为</w:t>
      </w:r>
      <w:r>
        <w:rPr>
          <w:rFonts w:hint="eastAsia" w:ascii="方正仿宋_GB2312" w:hAnsi="方正仿宋_GB2312" w:eastAsia="方正仿宋_GB2312" w:cs="方正仿宋_GB2312"/>
          <w:bCs/>
          <w:color w:val="auto"/>
          <w:sz w:val="24"/>
          <w:highlight w:val="none"/>
          <w:u w:val="single"/>
        </w:rPr>
        <w:t>（企业名称）</w:t>
      </w:r>
      <w:r>
        <w:rPr>
          <w:rFonts w:hint="eastAsia" w:ascii="方正仿宋_GB2312" w:hAnsi="方正仿宋_GB2312" w:eastAsia="方正仿宋_GB2312" w:cs="方正仿宋_GB2312"/>
          <w:bCs/>
          <w:color w:val="auto"/>
          <w:sz w:val="24"/>
          <w:highlight w:val="none"/>
        </w:rPr>
        <w:t>，从业人员</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人，营业收入为</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万元，资产总额为</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万元</w:t>
      </w:r>
      <w:r>
        <w:rPr>
          <w:rFonts w:hint="eastAsia" w:ascii="方正仿宋_GB2312" w:hAnsi="方正仿宋_GB2312" w:eastAsia="方正仿宋_GB2312" w:cs="方正仿宋_GB2312"/>
          <w:bCs/>
          <w:color w:val="auto"/>
          <w:sz w:val="24"/>
          <w:highlight w:val="none"/>
          <w:vertAlign w:val="superscript"/>
        </w:rPr>
        <w:t>1</w:t>
      </w:r>
      <w:r>
        <w:rPr>
          <w:rFonts w:hint="eastAsia" w:ascii="方正仿宋_GB2312" w:hAnsi="方正仿宋_GB2312" w:eastAsia="方正仿宋_GB2312" w:cs="方正仿宋_GB2312"/>
          <w:bCs/>
          <w:color w:val="auto"/>
          <w:sz w:val="24"/>
          <w:highlight w:val="none"/>
        </w:rPr>
        <w:t>，属于（中型企业、小型企业、微型企业）；</w:t>
      </w:r>
    </w:p>
    <w:p w14:paraId="06A70983">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w:t>
      </w:r>
      <w:r>
        <w:rPr>
          <w:rFonts w:hint="eastAsia" w:ascii="方正仿宋_GB2312" w:hAnsi="方正仿宋_GB2312" w:eastAsia="方正仿宋_GB2312" w:cs="方正仿宋_GB2312"/>
          <w:bCs/>
          <w:color w:val="auto"/>
          <w:sz w:val="24"/>
          <w:highlight w:val="none"/>
          <w:u w:val="single"/>
        </w:rPr>
        <w:t xml:space="preserve"> （标的名称）</w:t>
      </w:r>
      <w:r>
        <w:rPr>
          <w:rFonts w:hint="eastAsia" w:ascii="方正仿宋_GB2312" w:hAnsi="方正仿宋_GB2312" w:eastAsia="方正仿宋_GB2312" w:cs="方正仿宋_GB2312"/>
          <w:bCs/>
          <w:color w:val="auto"/>
          <w:sz w:val="24"/>
          <w:highlight w:val="none"/>
        </w:rPr>
        <w:t>，属于</w:t>
      </w:r>
      <w:r>
        <w:rPr>
          <w:rFonts w:hint="eastAsia" w:ascii="方正仿宋_GB2312" w:hAnsi="方正仿宋_GB2312" w:eastAsia="方正仿宋_GB2312" w:cs="方正仿宋_GB2312"/>
          <w:bCs/>
          <w:color w:val="auto"/>
          <w:sz w:val="24"/>
          <w:highlight w:val="none"/>
          <w:u w:val="single"/>
        </w:rPr>
        <w:t>（采购文件中明确的所属行业）行业</w:t>
      </w:r>
      <w:r>
        <w:rPr>
          <w:rFonts w:hint="eastAsia" w:ascii="方正仿宋_GB2312" w:hAnsi="方正仿宋_GB2312" w:eastAsia="方正仿宋_GB2312" w:cs="方正仿宋_GB2312"/>
          <w:bCs/>
          <w:color w:val="auto"/>
          <w:sz w:val="24"/>
          <w:highlight w:val="none"/>
        </w:rPr>
        <w:t>；承建（承接）企业</w:t>
      </w:r>
      <w:r>
        <w:rPr>
          <w:rFonts w:hint="eastAsia" w:ascii="方正仿宋_GB2312" w:hAnsi="方正仿宋_GB2312" w:eastAsia="方正仿宋_GB2312" w:cs="方正仿宋_GB2312"/>
          <w:bCs/>
          <w:color w:val="auto"/>
          <w:sz w:val="24"/>
          <w:highlight w:val="none"/>
          <w:u w:val="single"/>
        </w:rPr>
        <w:t>（企业名称）</w:t>
      </w:r>
      <w:r>
        <w:rPr>
          <w:rFonts w:hint="eastAsia" w:ascii="方正仿宋_GB2312" w:hAnsi="方正仿宋_GB2312" w:eastAsia="方正仿宋_GB2312" w:cs="方正仿宋_GB2312"/>
          <w:bCs/>
          <w:color w:val="auto"/>
          <w:sz w:val="24"/>
          <w:highlight w:val="none"/>
        </w:rPr>
        <w:t>，从业人员</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人，营业收入为</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万元，资产总额为</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万元，属于</w:t>
      </w:r>
      <w:r>
        <w:rPr>
          <w:rFonts w:hint="eastAsia" w:ascii="方正仿宋_GB2312" w:hAnsi="方正仿宋_GB2312" w:eastAsia="方正仿宋_GB2312" w:cs="方正仿宋_GB2312"/>
          <w:bCs/>
          <w:color w:val="auto"/>
          <w:sz w:val="24"/>
          <w:highlight w:val="none"/>
          <w:u w:val="single"/>
        </w:rPr>
        <w:t>（中型企业、小型企业、微型企业）</w:t>
      </w:r>
      <w:r>
        <w:rPr>
          <w:rFonts w:hint="eastAsia" w:ascii="方正仿宋_GB2312" w:hAnsi="方正仿宋_GB2312" w:eastAsia="方正仿宋_GB2312" w:cs="方正仿宋_GB2312"/>
          <w:bCs/>
          <w:color w:val="auto"/>
          <w:sz w:val="24"/>
          <w:highlight w:val="none"/>
        </w:rPr>
        <w:t>；</w:t>
      </w:r>
    </w:p>
    <w:p w14:paraId="4E16533E">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w:t>
      </w:r>
    </w:p>
    <w:p w14:paraId="09788E35">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以上企业，不属于大企业的分支机构，不存在控股股东为大企业的情形，也不存在与大企业的负责人为同一人的情形。</w:t>
      </w:r>
    </w:p>
    <w:p w14:paraId="0DE51EBE">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本企业对上述声明内容的真实性负责。如有虚假，将依法承担相应责任。</w:t>
      </w:r>
    </w:p>
    <w:p w14:paraId="73DF938C">
      <w:pPr>
        <w:pStyle w:val="14"/>
        <w:spacing w:line="460" w:lineRule="exact"/>
        <w:ind w:firstLine="480" w:firstLineChars="200"/>
        <w:jc w:val="center"/>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w:t>
      </w:r>
    </w:p>
    <w:p w14:paraId="6330F6F4">
      <w:pPr>
        <w:pStyle w:val="14"/>
        <w:spacing w:line="460" w:lineRule="exact"/>
        <w:ind w:firstLine="480" w:firstLineChars="200"/>
        <w:jc w:val="center"/>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企业名称（盖章）：</w:t>
      </w:r>
    </w:p>
    <w:p w14:paraId="7BA1D635">
      <w:pPr>
        <w:pStyle w:val="14"/>
        <w:spacing w:line="460" w:lineRule="exact"/>
        <w:ind w:firstLine="480" w:firstLineChars="200"/>
        <w:jc w:val="center"/>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日 期：</w:t>
      </w:r>
      <w:r>
        <w:rPr>
          <w:rFonts w:hint="eastAsia" w:ascii="方正仿宋_GB2312" w:hAnsi="方正仿宋_GB2312" w:eastAsia="方正仿宋_GB2312" w:cs="方正仿宋_GB2312"/>
          <w:bCs/>
          <w:color w:val="auto"/>
          <w:spacing w:val="6"/>
          <w:sz w:val="24"/>
          <w:highlight w:val="none"/>
        </w:rPr>
        <w:t xml:space="preserve">  年  月  日</w:t>
      </w:r>
    </w:p>
    <w:p w14:paraId="3FCAC528">
      <w:pPr>
        <w:pStyle w:val="14"/>
        <w:spacing w:line="460" w:lineRule="exact"/>
        <w:ind w:firstLine="480" w:firstLineChars="20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备注：从业人员、营业收入、资产总额填报上一年度数据，无上一年度数据的新成立企业可不填报。</w:t>
      </w:r>
    </w:p>
    <w:p w14:paraId="576DE323">
      <w:pPr>
        <w:spacing w:line="360" w:lineRule="auto"/>
        <w:jc w:val="center"/>
        <w:rPr>
          <w:rFonts w:hint="eastAsia" w:ascii="仿宋" w:hAnsi="仿宋" w:eastAsia="仿宋" w:cs="仿宋"/>
          <w:b/>
          <w:bCs/>
          <w:sz w:val="24"/>
        </w:rPr>
      </w:pPr>
    </w:p>
    <w:p w14:paraId="2A790C70">
      <w:pPr>
        <w:pStyle w:val="27"/>
        <w:spacing w:line="360" w:lineRule="auto"/>
        <w:outlineLvl w:val="9"/>
        <w:rPr>
          <w:rFonts w:hint="eastAsia" w:ascii="仿宋" w:hAnsi="仿宋" w:eastAsia="仿宋" w:cs="仿宋"/>
          <w:sz w:val="24"/>
          <w:szCs w:val="24"/>
        </w:rPr>
      </w:pPr>
    </w:p>
    <w:p w14:paraId="3323F31C">
      <w:pPr>
        <w:spacing w:line="360" w:lineRule="auto"/>
        <w:rPr>
          <w:rFonts w:hint="eastAsia" w:ascii="仿宋" w:hAnsi="仿宋" w:eastAsia="仿宋" w:cs="仿宋"/>
          <w:sz w:val="24"/>
        </w:rPr>
      </w:pPr>
    </w:p>
    <w:p w14:paraId="6EA9C185">
      <w:pPr>
        <w:rPr>
          <w:rFonts w:hint="eastAsia" w:ascii="仿宋" w:hAnsi="仿宋" w:eastAsia="仿宋" w:cs="仿宋"/>
          <w:b/>
          <w:bCs/>
          <w:sz w:val="24"/>
        </w:rPr>
      </w:pPr>
      <w:r>
        <w:rPr>
          <w:rFonts w:hint="eastAsia" w:ascii="仿宋" w:hAnsi="仿宋" w:eastAsia="仿宋" w:cs="仿宋"/>
          <w:b/>
          <w:bCs/>
          <w:sz w:val="24"/>
        </w:rPr>
        <w:br w:type="page"/>
      </w:r>
    </w:p>
    <w:p w14:paraId="58FFE94B">
      <w:pPr>
        <w:spacing w:line="360" w:lineRule="auto"/>
        <w:jc w:val="center"/>
        <w:rPr>
          <w:rFonts w:hint="eastAsia" w:ascii="仿宋" w:hAnsi="仿宋" w:eastAsia="仿宋" w:cs="仿宋"/>
          <w:b/>
          <w:spacing w:val="6"/>
          <w:sz w:val="24"/>
        </w:rPr>
      </w:pPr>
      <w:r>
        <w:rPr>
          <w:rFonts w:hint="eastAsia" w:ascii="仿宋" w:hAnsi="仿宋" w:eastAsia="仿宋" w:cs="仿宋"/>
          <w:b/>
          <w:bCs/>
          <w:sz w:val="24"/>
        </w:rPr>
        <w:t xml:space="preserve">（二） </w:t>
      </w:r>
      <w:bookmarkStart w:id="173" w:name="OLE_LINK14"/>
      <w:bookmarkStart w:id="174" w:name="OLE_LINK13"/>
      <w:r>
        <w:rPr>
          <w:rFonts w:hint="eastAsia" w:ascii="仿宋" w:hAnsi="仿宋" w:eastAsia="仿宋" w:cs="仿宋"/>
          <w:b/>
          <w:spacing w:val="6"/>
          <w:sz w:val="24"/>
        </w:rPr>
        <w:t>残疾人福利性单位声明函（如有）</w:t>
      </w:r>
    </w:p>
    <w:bookmarkEnd w:id="173"/>
    <w:bookmarkEnd w:id="174"/>
    <w:p w14:paraId="27F78D49">
      <w:pPr>
        <w:spacing w:line="360" w:lineRule="auto"/>
        <w:rPr>
          <w:rFonts w:hint="eastAsia" w:ascii="仿宋" w:hAnsi="仿宋" w:eastAsia="仿宋" w:cs="仿宋"/>
          <w:b/>
          <w:spacing w:val="6"/>
          <w:sz w:val="24"/>
        </w:rPr>
      </w:pPr>
    </w:p>
    <w:p w14:paraId="6656A6CF">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〔2017〕141</w:t>
      </w:r>
      <w:r>
        <w:rPr>
          <w:rFonts w:hint="eastAsia" w:ascii="仿宋" w:hAnsi="仿宋" w:eastAsia="仿宋" w:cs="仿宋"/>
          <w:spacing w:val="6"/>
          <w:sz w:val="24"/>
        </w:rPr>
        <w:t>号）的规定，本单位为符合条件的残疾人福利性单位，且本单位参加</w:t>
      </w:r>
      <w:r>
        <w:rPr>
          <w:rFonts w:hint="eastAsia" w:ascii="仿宋" w:hAnsi="仿宋" w:eastAsia="仿宋" w:cs="仿宋"/>
          <w:spacing w:val="6"/>
          <w:sz w:val="24"/>
          <w:u w:val="single"/>
        </w:rPr>
        <w:t xml:space="preserve">         </w:t>
      </w:r>
      <w:r>
        <w:rPr>
          <w:rFonts w:hint="eastAsia" w:ascii="仿宋" w:hAnsi="仿宋" w:eastAsia="仿宋" w:cs="仿宋"/>
          <w:spacing w:val="6"/>
          <w:sz w:val="24"/>
        </w:rPr>
        <w:t>单位的</w:t>
      </w:r>
      <w:r>
        <w:rPr>
          <w:rFonts w:hint="eastAsia" w:ascii="仿宋" w:hAnsi="仿宋" w:eastAsia="仿宋" w:cs="仿宋"/>
          <w:spacing w:val="6"/>
          <w:sz w:val="24"/>
          <w:u w:val="single"/>
        </w:rPr>
        <w:t xml:space="preserve">      </w:t>
      </w:r>
      <w:r>
        <w:rPr>
          <w:rFonts w:hint="eastAsia" w:ascii="仿宋" w:hAnsi="仿宋" w:eastAsia="仿宋" w:cs="仿宋"/>
          <w:spacing w:val="6"/>
          <w:sz w:val="24"/>
        </w:rPr>
        <w:t>项目采购活动提供本单位制造的服务（由本单位承担工程/提供服务），或者提供其他残疾人福利性单位制造的货物（不包括使用非残疾人福利性单位注册商标的货物）。</w:t>
      </w:r>
    </w:p>
    <w:p w14:paraId="16A35E44">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14:paraId="3346B89C">
      <w:pPr>
        <w:spacing w:line="360" w:lineRule="auto"/>
        <w:ind w:firstLine="504" w:firstLineChars="200"/>
        <w:rPr>
          <w:rFonts w:hint="eastAsia" w:ascii="仿宋" w:hAnsi="仿宋" w:eastAsia="仿宋" w:cs="仿宋"/>
          <w:spacing w:val="6"/>
          <w:sz w:val="24"/>
        </w:rPr>
      </w:pPr>
    </w:p>
    <w:p w14:paraId="51990082">
      <w:pPr>
        <w:spacing w:line="360" w:lineRule="auto"/>
        <w:ind w:firstLine="504" w:firstLineChars="200"/>
        <w:rPr>
          <w:rFonts w:hint="eastAsia" w:ascii="仿宋" w:hAnsi="仿宋" w:eastAsia="仿宋" w:cs="仿宋"/>
          <w:spacing w:val="6"/>
          <w:sz w:val="24"/>
        </w:rPr>
      </w:pPr>
    </w:p>
    <w:p w14:paraId="58B1A14A">
      <w:pPr>
        <w:tabs>
          <w:tab w:val="left" w:pos="4860"/>
        </w:tabs>
        <w:spacing w:line="360"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单位名称（盖章）：</w:t>
      </w:r>
    </w:p>
    <w:p w14:paraId="6E686074">
      <w:pPr>
        <w:tabs>
          <w:tab w:val="left" w:pos="4860"/>
        </w:tabs>
        <w:spacing w:line="360"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日  期：</w:t>
      </w:r>
    </w:p>
    <w:p w14:paraId="0F5C7A30">
      <w:pPr>
        <w:widowControl/>
        <w:adjustRightInd w:val="0"/>
        <w:snapToGrid w:val="0"/>
        <w:spacing w:line="360" w:lineRule="auto"/>
        <w:rPr>
          <w:rFonts w:hint="eastAsia" w:ascii="仿宋" w:hAnsi="仿宋" w:eastAsia="仿宋" w:cs="仿宋"/>
          <w:sz w:val="24"/>
        </w:rPr>
      </w:pPr>
    </w:p>
    <w:p w14:paraId="1FB516D0">
      <w:pPr>
        <w:spacing w:line="360" w:lineRule="auto"/>
        <w:jc w:val="left"/>
        <w:rPr>
          <w:rFonts w:hint="eastAsia" w:ascii="仿宋" w:hAnsi="仿宋" w:eastAsia="仿宋" w:cs="仿宋"/>
          <w:bCs/>
          <w:sz w:val="24"/>
        </w:rPr>
      </w:pPr>
    </w:p>
    <w:p w14:paraId="3ED4A95E">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备注：须提供证明材料（能反映出企业残疾人的占比等情况的材料及残疾人证等）。</w:t>
      </w:r>
    </w:p>
    <w:p w14:paraId="7FC01E60">
      <w:pPr>
        <w:spacing w:line="360" w:lineRule="auto"/>
        <w:jc w:val="center"/>
        <w:rPr>
          <w:rFonts w:hint="eastAsia" w:ascii="仿宋" w:hAnsi="仿宋" w:eastAsia="仿宋" w:cs="仿宋"/>
          <w:b/>
          <w:bCs/>
          <w:sz w:val="24"/>
        </w:rPr>
      </w:pPr>
    </w:p>
    <w:p w14:paraId="3D22170D">
      <w:pPr>
        <w:spacing w:line="360" w:lineRule="auto"/>
        <w:jc w:val="center"/>
        <w:rPr>
          <w:rFonts w:hint="eastAsia" w:ascii="仿宋" w:hAnsi="仿宋" w:eastAsia="仿宋" w:cs="仿宋"/>
          <w:b/>
          <w:bCs/>
          <w:sz w:val="24"/>
        </w:rPr>
      </w:pPr>
    </w:p>
    <w:p w14:paraId="773D9D40">
      <w:pPr>
        <w:widowControl/>
        <w:spacing w:line="360" w:lineRule="auto"/>
        <w:jc w:val="center"/>
        <w:rPr>
          <w:rFonts w:hint="eastAsia" w:ascii="仿宋" w:hAnsi="仿宋" w:eastAsia="仿宋" w:cs="仿宋"/>
          <w:sz w:val="24"/>
        </w:rPr>
      </w:pPr>
      <w:r>
        <w:rPr>
          <w:rFonts w:hint="eastAsia" w:ascii="仿宋" w:hAnsi="仿宋" w:eastAsia="仿宋" w:cs="仿宋"/>
          <w:b/>
          <w:sz w:val="24"/>
        </w:rPr>
        <w:br w:type="page"/>
      </w:r>
      <w:r>
        <w:rPr>
          <w:rFonts w:hint="eastAsia" w:ascii="仿宋" w:hAnsi="仿宋" w:eastAsia="仿宋" w:cs="仿宋"/>
          <w:b/>
          <w:sz w:val="24"/>
        </w:rPr>
        <w:t>（三）监狱企业证明文件（如有）</w:t>
      </w:r>
    </w:p>
    <w:p w14:paraId="283444C3">
      <w:pPr>
        <w:spacing w:line="360" w:lineRule="auto"/>
        <w:ind w:firstLine="480" w:firstLineChars="200"/>
        <w:jc w:val="left"/>
        <w:rPr>
          <w:rFonts w:hint="eastAsia" w:ascii="仿宋" w:hAnsi="仿宋" w:eastAsia="仿宋" w:cs="仿宋"/>
          <w:sz w:val="24"/>
        </w:rPr>
      </w:pPr>
    </w:p>
    <w:p w14:paraId="6471B4B1">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6E709AF">
      <w:pPr>
        <w:pStyle w:val="14"/>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2.证明材料加盖投标人公章。</w:t>
      </w:r>
    </w:p>
    <w:p w14:paraId="2073B12D">
      <w:pPr>
        <w:pStyle w:val="14"/>
        <w:spacing w:line="360" w:lineRule="auto"/>
        <w:rPr>
          <w:rFonts w:hint="eastAsia" w:ascii="仿宋" w:hAnsi="仿宋" w:eastAsia="仿宋" w:cs="仿宋"/>
          <w:b/>
          <w:bCs/>
          <w:sz w:val="24"/>
          <w:szCs w:val="24"/>
        </w:rPr>
      </w:pPr>
    </w:p>
    <w:p w14:paraId="2DA86044">
      <w:pPr>
        <w:rPr>
          <w:rFonts w:hint="eastAsia" w:ascii="仿宋" w:hAnsi="仿宋" w:eastAsia="仿宋" w:cs="仿宋"/>
          <w:b/>
          <w:bCs/>
          <w:sz w:val="24"/>
        </w:rPr>
      </w:pPr>
      <w:r>
        <w:rPr>
          <w:rFonts w:hint="eastAsia" w:ascii="仿宋" w:hAnsi="仿宋" w:eastAsia="仿宋" w:cs="仿宋"/>
          <w:b/>
          <w:bCs/>
          <w:sz w:val="24"/>
        </w:rPr>
        <w:br w:type="page"/>
      </w:r>
    </w:p>
    <w:p w14:paraId="4DCA548E">
      <w:pPr>
        <w:pStyle w:val="7"/>
        <w:spacing w:line="360" w:lineRule="auto"/>
        <w:ind w:firstLine="0" w:firstLineChars="0"/>
        <w:jc w:val="center"/>
        <w:outlineLvl w:val="1"/>
        <w:rPr>
          <w:rFonts w:hint="eastAsia" w:ascii="仿宋" w:hAnsi="仿宋" w:eastAsia="仿宋" w:cs="仿宋"/>
          <w:b/>
          <w:bCs/>
          <w:kern w:val="0"/>
          <w:sz w:val="24"/>
        </w:rPr>
      </w:pPr>
      <w:r>
        <w:rPr>
          <w:rFonts w:hint="eastAsia" w:ascii="仿宋" w:hAnsi="仿宋" w:eastAsia="仿宋" w:cs="仿宋"/>
          <w:b/>
          <w:bCs/>
          <w:kern w:val="0"/>
          <w:sz w:val="24"/>
        </w:rPr>
        <w:t>十、投标人认为需要提供的其他文件和资料</w:t>
      </w:r>
      <w:bookmarkEnd w:id="169"/>
    </w:p>
    <w:p w14:paraId="3268484E">
      <w:pPr>
        <w:spacing w:line="360" w:lineRule="auto"/>
        <w:rPr>
          <w:rFonts w:hint="eastAsia" w:ascii="仿宋" w:hAnsi="仿宋" w:eastAsia="仿宋" w:cs="仿宋"/>
          <w:bCs/>
          <w:sz w:val="24"/>
        </w:rPr>
      </w:pPr>
    </w:p>
    <w:p w14:paraId="36C8F169">
      <w:pPr>
        <w:spacing w:line="360" w:lineRule="auto"/>
        <w:ind w:firstLine="480" w:firstLineChars="200"/>
        <w:jc w:val="center"/>
        <w:rPr>
          <w:rFonts w:hint="eastAsia" w:ascii="仿宋" w:hAnsi="仿宋" w:eastAsia="仿宋" w:cs="仿宋"/>
          <w:sz w:val="24"/>
        </w:rPr>
      </w:pPr>
      <w:r>
        <w:rPr>
          <w:rFonts w:hint="eastAsia" w:ascii="仿宋" w:hAnsi="仿宋" w:eastAsia="仿宋" w:cs="仿宋"/>
          <w:bCs/>
          <w:sz w:val="24"/>
        </w:rPr>
        <w:t>投标人认为需提供的其他补充资料。</w:t>
      </w:r>
    </w:p>
    <w:p w14:paraId="73150164">
      <w:pPr>
        <w:pStyle w:val="14"/>
        <w:spacing w:line="360" w:lineRule="auto"/>
        <w:jc w:val="center"/>
        <w:rPr>
          <w:rFonts w:hint="eastAsia" w:ascii="仿宋" w:hAnsi="仿宋" w:eastAsia="仿宋" w:cs="仿宋"/>
          <w:b/>
          <w:bCs/>
          <w:sz w:val="24"/>
          <w:szCs w:val="24"/>
        </w:rPr>
      </w:pPr>
    </w:p>
    <w:p w14:paraId="28E1CCE6">
      <w:pPr>
        <w:pStyle w:val="3"/>
        <w:numPr>
          <w:ilvl w:val="0"/>
          <w:numId w:val="5"/>
        </w:numPr>
        <w:rPr>
          <w:rFonts w:hint="eastAsia" w:ascii="仿宋" w:hAnsi="仿宋" w:eastAsia="仿宋" w:cs="仿宋"/>
          <w:highlight w:val="none"/>
        </w:rPr>
      </w:pPr>
      <w:r>
        <w:rPr>
          <w:rFonts w:hint="eastAsia" w:ascii="仿宋" w:hAnsi="仿宋" w:eastAsia="仿宋" w:cs="仿宋"/>
          <w:sz w:val="24"/>
          <w:szCs w:val="24"/>
        </w:rPr>
        <w:br w:type="page"/>
      </w:r>
      <w:r>
        <w:rPr>
          <w:rFonts w:hint="eastAsia" w:ascii="仿宋" w:hAnsi="仿宋" w:eastAsia="仿宋" w:cs="仿宋"/>
          <w:highlight w:val="none"/>
        </w:rPr>
        <w:t xml:space="preserve"> 招标项目技术要求</w:t>
      </w:r>
      <w:bookmarkEnd w:id="170"/>
      <w:bookmarkEnd w:id="171"/>
    </w:p>
    <w:p w14:paraId="55493F45">
      <w:pPr>
        <w:pStyle w:val="11"/>
        <w:jc w:val="center"/>
        <w:rPr>
          <w:rFonts w:hint="eastAsia" w:ascii="方正仿宋_GB2312" w:hAnsi="方正仿宋_GB2312" w:eastAsia="方正仿宋_GB2312" w:cs="方正仿宋_GB2312"/>
          <w:b/>
          <w:bCs/>
          <w:color w:val="auto"/>
          <w:kern w:val="0"/>
          <w:sz w:val="44"/>
          <w:szCs w:val="44"/>
          <w:lang w:val="en-US" w:eastAsia="zh-CN" w:bidi="ar-SA"/>
        </w:rPr>
      </w:pPr>
      <w:r>
        <w:rPr>
          <w:rFonts w:hint="eastAsia" w:ascii="方正仿宋_GB2312" w:hAnsi="方正仿宋_GB2312" w:eastAsia="方正仿宋_GB2312" w:cs="方正仿宋_GB2312"/>
          <w:b/>
          <w:bCs/>
          <w:color w:val="auto"/>
          <w:kern w:val="0"/>
          <w:sz w:val="44"/>
          <w:szCs w:val="44"/>
          <w:lang w:val="en-US" w:eastAsia="zh-CN" w:bidi="ar-SA"/>
        </w:rPr>
        <w:t>技术要求</w:t>
      </w:r>
    </w:p>
    <w:p w14:paraId="24358796">
      <w:pPr>
        <w:pStyle w:val="2"/>
        <w:spacing w:before="0" w:after="0" w:line="579" w:lineRule="auto"/>
        <w:jc w:val="center"/>
        <w:rPr>
          <w:rFonts w:hint="eastAsia" w:ascii="方正仿宋_GB2312" w:hAnsi="方正仿宋_GB2312" w:eastAsia="方正仿宋_GB2312" w:cs="方正仿宋_GB2312"/>
          <w:color w:val="auto"/>
          <w:sz w:val="32"/>
          <w:szCs w:val="32"/>
          <w:lang w:eastAsia="zh-CN"/>
        </w:rPr>
      </w:pPr>
      <w:bookmarkStart w:id="175" w:name="_Toc27762"/>
      <w:r>
        <w:rPr>
          <w:rFonts w:hint="eastAsia" w:ascii="方正仿宋_GB2312" w:hAnsi="方正仿宋_GB2312" w:eastAsia="方正仿宋_GB2312" w:cs="方正仿宋_GB2312"/>
          <w:color w:val="auto"/>
          <w:sz w:val="32"/>
          <w:szCs w:val="32"/>
        </w:rPr>
        <w:t>第</w:t>
      </w:r>
      <w:r>
        <w:rPr>
          <w:rFonts w:hint="eastAsia" w:ascii="方正仿宋_GB2312" w:hAnsi="方正仿宋_GB2312" w:eastAsia="方正仿宋_GB2312" w:cs="方正仿宋_GB2312"/>
          <w:color w:val="auto"/>
          <w:sz w:val="32"/>
          <w:szCs w:val="32"/>
          <w:lang w:eastAsia="zh-CN"/>
        </w:rPr>
        <w:t>一</w:t>
      </w:r>
      <w:r>
        <w:rPr>
          <w:rFonts w:hint="eastAsia" w:ascii="方正仿宋_GB2312" w:hAnsi="方正仿宋_GB2312" w:eastAsia="方正仿宋_GB2312" w:cs="方正仿宋_GB2312"/>
          <w:color w:val="auto"/>
          <w:sz w:val="32"/>
          <w:szCs w:val="32"/>
        </w:rPr>
        <w:t>部分 建设</w:t>
      </w:r>
      <w:r>
        <w:rPr>
          <w:rFonts w:hint="eastAsia" w:ascii="方正仿宋_GB2312" w:hAnsi="方正仿宋_GB2312" w:eastAsia="方正仿宋_GB2312" w:cs="方正仿宋_GB2312"/>
          <w:color w:val="auto"/>
          <w:sz w:val="32"/>
          <w:szCs w:val="32"/>
          <w:lang w:eastAsia="zh-CN"/>
        </w:rPr>
        <w:t>要求</w:t>
      </w:r>
    </w:p>
    <w:p w14:paraId="0AF229F1">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本项目通过开展地下管线测绘、管线三维建模、地上三维建模及地下管线探漏、地面阀门井处理等，建设智慧服务大厅、地下管线管理、报修管理、库房管理等应用系统，实现地上地下空间一体化可视、设施设备可管可控、运维流程可溯可查，有效提升校园基础设施运维效率与安全保障能力，推动校园管理向数字化、集约化、智慧化转型。</w:t>
      </w:r>
    </w:p>
    <w:p w14:paraId="361F0A25">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bookmarkStart w:id="176" w:name="_Toc1905"/>
      <w:r>
        <w:rPr>
          <w:rFonts w:hint="eastAsia" w:ascii="方正仿宋_GB2312" w:hAnsi="方正仿宋_GB2312" w:eastAsia="方正仿宋_GB2312" w:cs="方正仿宋_GB2312"/>
          <w:b/>
          <w:bCs/>
          <w:color w:val="auto"/>
          <w:sz w:val="28"/>
          <w:szCs w:val="28"/>
          <w:lang w:val="en-US" w:eastAsia="zh-CN"/>
        </w:rPr>
        <w:t>1 建设目标</w:t>
      </w:r>
      <w:bookmarkEnd w:id="176"/>
    </w:p>
    <w:p w14:paraId="2E3EF852">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以校园地上地下数字化建设为基础，以保障校园后勤管理为出发点，对校园基础空间信息以及校园各类资源进行二三维一体化的浏览、查询、分析、控制等精细化管理，实现校园管线、报修、库房等业务的集中管控与高效协同，为校园安全运行、精细化管理与智慧化服务提供支撑，有效降低工作人员的工作难度及繁琐程度，降低维修及维护难度与成本，同时，具有良好的开放性，支持接入外部其它应用系统，实现在统一的校园空间信息中对业务信息的综合管理与浏览。</w:t>
      </w:r>
    </w:p>
    <w:p w14:paraId="37C67755">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1）建立包含点、线、面数据的地下管线数据库，再结合真实空间属性信息完成管线、</w:t>
      </w:r>
    </w:p>
    <w:p w14:paraId="7D19D353">
      <w:pPr>
        <w:spacing w:line="400" w:lineRule="exact"/>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特征点、井及附属设施的三维建模，</w:t>
      </w:r>
      <w:r>
        <w:rPr>
          <w:rStyle w:val="42"/>
          <w:rFonts w:hint="eastAsia" w:ascii="方正仿宋_GB2312" w:hAnsi="方正仿宋_GB2312" w:eastAsia="方正仿宋_GB2312" w:cs="方正仿宋_GB2312"/>
          <w:color w:val="auto"/>
          <w:szCs w:val="21"/>
        </w:rPr>
        <w:t>完成校园地下管线测绘、管线三维建模、地上三维建模，建立精准、完整的地上地下一体化的校园三维模型</w:t>
      </w:r>
      <w:r>
        <w:rPr>
          <w:rStyle w:val="42"/>
          <w:rFonts w:hint="eastAsia" w:ascii="方正仿宋_GB2312" w:hAnsi="方正仿宋_GB2312" w:eastAsia="方正仿宋_GB2312" w:cs="方正仿宋_GB2312"/>
          <w:color w:val="auto"/>
          <w:szCs w:val="21"/>
          <w:lang w:val="en-US" w:eastAsia="zh-CN"/>
        </w:rPr>
        <w:t>。</w:t>
      </w:r>
    </w:p>
    <w:p w14:paraId="6A2DCE5B">
      <w:pPr>
        <w:numPr>
          <w:ilvl w:val="0"/>
          <w:numId w:val="0"/>
        </w:numPr>
        <w:spacing w:line="360" w:lineRule="auto"/>
        <w:ind w:firstLine="420" w:firstLineChars="200"/>
        <w:jc w:val="left"/>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lang w:val="en-US" w:eastAsia="zh-CN"/>
        </w:rPr>
        <w:t>2</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rPr>
        <w:t>搭建智慧服务大厅，实现地上</w:t>
      </w:r>
      <w:r>
        <w:rPr>
          <w:rStyle w:val="42"/>
          <w:rFonts w:hint="eastAsia" w:ascii="方正仿宋_GB2312" w:hAnsi="方正仿宋_GB2312" w:eastAsia="方正仿宋_GB2312" w:cs="方正仿宋_GB2312"/>
          <w:color w:val="auto"/>
          <w:szCs w:val="21"/>
          <w:lang w:val="en-US" w:eastAsia="zh-CN"/>
        </w:rPr>
        <w:t>地下一体化三维展示与校园运行态势可视化监管，支持与物联设备或系统对接，实现路灯、传感器等的在线控制，实现配电室、泵房实时信息、对用水用电进行实时监测、统计、分析，并通过统一认证与接口管理打通多系统协同。可视化能耗实现能耗设备与用能数据地图化展示、实</w:t>
      </w:r>
      <w:r>
        <w:rPr>
          <w:rStyle w:val="42"/>
          <w:rFonts w:hint="eastAsia" w:ascii="方正仿宋_GB2312" w:hAnsi="方正仿宋_GB2312" w:eastAsia="方正仿宋_GB2312" w:cs="方正仿宋_GB2312"/>
          <w:color w:val="auto"/>
          <w:szCs w:val="21"/>
        </w:rPr>
        <w:t>时监测、异常预警与统计分析，支撑校园节能管理。</w:t>
      </w:r>
    </w:p>
    <w:p w14:paraId="1B83AE09">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lang w:val="en-US" w:eastAsia="zh-CN"/>
        </w:rPr>
        <w:t>3</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rPr>
        <w:t>实现后勤维修</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rPr>
        <w:t>库房管理信息化，需支持移动端在线，能够在线上报及手机拍照上传，真实准确记录现场，满足报修方式多元化，库存物品进行</w:t>
      </w:r>
      <w:r>
        <w:rPr>
          <w:rStyle w:val="42"/>
          <w:rFonts w:hint="eastAsia" w:ascii="方正仿宋_GB2312" w:hAnsi="方正仿宋_GB2312" w:eastAsia="方正仿宋_GB2312" w:cs="方正仿宋_GB2312"/>
          <w:color w:val="auto"/>
          <w:szCs w:val="21"/>
          <w:lang w:val="en-US" w:eastAsia="zh-CN"/>
        </w:rPr>
        <w:t>自动统计审批及计算</w:t>
      </w:r>
      <w:r>
        <w:rPr>
          <w:rStyle w:val="42"/>
          <w:rFonts w:hint="eastAsia" w:ascii="方正仿宋_GB2312" w:hAnsi="方正仿宋_GB2312" w:eastAsia="方正仿宋_GB2312" w:cs="方正仿宋_GB2312"/>
          <w:color w:val="auto"/>
          <w:szCs w:val="21"/>
        </w:rPr>
        <w:t>。</w:t>
      </w:r>
    </w:p>
    <w:p w14:paraId="17588DDD">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lang w:val="en-US" w:eastAsia="zh-CN"/>
        </w:rPr>
        <w:t>4</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rPr>
        <w:t>通过建设地上三维可视化及地下管网资源管理平台，实现对校园地上三维的可视化</w:t>
      </w:r>
    </w:p>
    <w:p w14:paraId="702E4978">
      <w:pPr>
        <w:spacing w:line="400" w:lineRule="exact"/>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直观展示、后勤业务紧密结合、以及地下管网资源的全面梳理与标准化、电子化、精细化管</w:t>
      </w:r>
    </w:p>
    <w:p w14:paraId="1F2B40B1">
      <w:pPr>
        <w:spacing w:line="400" w:lineRule="exact"/>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理，辅助校园维修、施工等工作，全面保障地下管网资源的平稳运行。</w:t>
      </w:r>
    </w:p>
    <w:p w14:paraId="6A9C76F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Style w:val="42"/>
          <w:rFonts w:hint="eastAsia" w:ascii="方正仿宋_GB2312" w:hAnsi="方正仿宋_GB2312" w:eastAsia="方正仿宋_GB2312" w:cs="方正仿宋_GB2312"/>
          <w:color w:val="auto"/>
          <w:szCs w:val="21"/>
          <w:lang w:eastAsia="zh-CN"/>
        </w:rPr>
      </w:pPr>
      <w:r>
        <w:rPr>
          <w:rStyle w:val="42"/>
          <w:rFonts w:hint="eastAsia" w:ascii="方正仿宋_GB2312" w:hAnsi="方正仿宋_GB2312" w:eastAsia="方正仿宋_GB2312" w:cs="方正仿宋_GB2312"/>
          <w:color w:val="auto"/>
          <w:szCs w:val="21"/>
          <w:lang w:val="en-US" w:eastAsia="zh-CN"/>
        </w:rPr>
        <w:t>5）</w:t>
      </w:r>
      <w:r>
        <w:rPr>
          <w:rStyle w:val="42"/>
          <w:rFonts w:hint="eastAsia" w:ascii="方正仿宋_GB2312" w:hAnsi="方正仿宋_GB2312" w:eastAsia="方正仿宋_GB2312" w:cs="方正仿宋_GB2312"/>
          <w:color w:val="auto"/>
          <w:szCs w:val="21"/>
        </w:rPr>
        <w:t>建设校园电子地图导航系统，实现校园地图导航，实现校园地名搜索、路径导航</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lang w:val="en-US" w:eastAsia="zh-CN"/>
        </w:rPr>
        <w:t>并依托高精度三维场景模型构建虚拟互动的三维数字孪生校园空间。</w:t>
      </w:r>
    </w:p>
    <w:p w14:paraId="29494E47">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6）在三维地下管线建模基础上，现场安装监测设备，实现发生水淹故障自动预警，及时发现跑水漏水位置，实现漏水监测查询、分析、处理的全流程闭环管理</w:t>
      </w:r>
      <w:r>
        <w:rPr>
          <w:rStyle w:val="42"/>
          <w:rFonts w:hint="eastAsia" w:ascii="方正仿宋_GB2312" w:hAnsi="方正仿宋_GB2312" w:eastAsia="方正仿宋_GB2312" w:cs="方正仿宋_GB2312"/>
          <w:color w:val="auto"/>
          <w:szCs w:val="21"/>
          <w:lang w:eastAsia="zh-CN"/>
        </w:rPr>
        <w:t>；</w:t>
      </w:r>
      <w:r>
        <w:rPr>
          <w:rFonts w:hint="eastAsia" w:ascii="方正仿宋_GB2312" w:hAnsi="方正仿宋_GB2312" w:eastAsia="方正仿宋_GB2312" w:cs="方正仿宋_GB2312"/>
          <w:spacing w:val="1"/>
        </w:rPr>
        <w:t>可视化网格管理对后勤设施进行空间化、可视化管控，支持状态监管、快速定位与异常处置，提升后勤运维效率。</w:t>
      </w:r>
    </w:p>
    <w:p w14:paraId="02944A8F">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 建设原则</w:t>
      </w:r>
    </w:p>
    <w:p w14:paraId="645A7F8B">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w:t>
      </w:r>
      <w:bookmarkStart w:id="177" w:name="_Toc10621"/>
      <w:bookmarkStart w:id="178" w:name="_Toc61000840"/>
      <w:r>
        <w:rPr>
          <w:rFonts w:hint="eastAsia" w:ascii="方正仿宋_GB2312" w:hAnsi="方正仿宋_GB2312" w:eastAsia="方正仿宋_GB2312" w:cs="方正仿宋_GB2312"/>
          <w:b/>
          <w:bCs/>
          <w:color w:val="auto"/>
          <w:sz w:val="28"/>
          <w:szCs w:val="28"/>
          <w:lang w:val="en-US" w:eastAsia="zh-CN"/>
        </w:rPr>
        <w:t>.1系统可扩展性</w:t>
      </w:r>
      <w:bookmarkEnd w:id="177"/>
    </w:p>
    <w:p w14:paraId="3B8EF279">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软件平台应具有良好的可扩充、扩展能力，使用高内聚、低耦合的模块化开发方式，能够方便进行系统升级和更新，以适应各种不同业务的不断发展。</w:t>
      </w:r>
    </w:p>
    <w:p w14:paraId="2B17F59B">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功能可扩展：能够增加新的功能，同时避免对平台进行大规模的修改。</w:t>
      </w:r>
    </w:p>
    <w:p w14:paraId="1DD9D19B">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容量可扩展：能够根据用户访问量的增加，平滑扩展平台的容量。容量的扩展不影响现有的系统架构和业务开展。</w:t>
      </w:r>
    </w:p>
    <w:p w14:paraId="7A07B0ED">
      <w:pPr>
        <w:spacing w:line="400" w:lineRule="exact"/>
        <w:ind w:firstLine="420" w:firstLineChars="200"/>
        <w:rPr>
          <w:rStyle w:val="42"/>
          <w:rFonts w:hint="eastAsia" w:ascii="方正仿宋_GB2312" w:hAnsi="方正仿宋_GB2312" w:eastAsia="方正仿宋_GB2312" w:cs="方正仿宋_GB2312"/>
          <w:color w:val="auto"/>
          <w:szCs w:val="21"/>
          <w:lang w:eastAsia="zh-CN"/>
        </w:rPr>
      </w:pPr>
      <w:r>
        <w:rPr>
          <w:rStyle w:val="42"/>
          <w:rFonts w:hint="eastAsia" w:ascii="方正仿宋_GB2312" w:hAnsi="方正仿宋_GB2312" w:eastAsia="方正仿宋_GB2312" w:cs="方正仿宋_GB2312"/>
          <w:color w:val="auto"/>
          <w:szCs w:val="21"/>
        </w:rPr>
        <w:t>业务可扩展：能够支撑新型运营模式与个性化管理需求，通过功能部件与模块灵活组合实现系统重组，兼顾系统通用性与校园管理特殊需求，能够根据用户需求增加业务功能，所选择的建设方案及设备要能适应系统扩展的、适应信息技术不断发展的，便于增加新的系统功能</w:t>
      </w:r>
      <w:bookmarkStart w:id="179" w:name="_Toc28969"/>
      <w:r>
        <w:rPr>
          <w:rStyle w:val="42"/>
          <w:rFonts w:hint="eastAsia" w:ascii="方正仿宋_GB2312" w:hAnsi="方正仿宋_GB2312" w:eastAsia="方正仿宋_GB2312" w:cs="方正仿宋_GB2312"/>
          <w:color w:val="auto"/>
          <w:szCs w:val="21"/>
          <w:lang w:eastAsia="zh-CN"/>
        </w:rPr>
        <w:t>。</w:t>
      </w:r>
    </w:p>
    <w:p w14:paraId="022233A5">
      <w:pPr>
        <w:spacing w:line="400" w:lineRule="exact"/>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2.2系统安全性</w:t>
      </w:r>
      <w:bookmarkEnd w:id="179"/>
    </w:p>
    <w:p w14:paraId="7FC18F78">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rPr>
        <w:t>满足国家信息安全等级保护、技防标准以及学校内部信息安全相关要求，同时结合整个系统运行的安全策略和机制，根据不同的业务要求和处理方式，设置不同的安全措施，具备动态权限管理和抗攻击能力。服务器符合信创要求，服务器操作系统采用国产系统</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rPr>
        <w:t>GIS 平台、数据库、运行模式均需经过学校数据中心确认。</w:t>
      </w:r>
    </w:p>
    <w:bookmarkEnd w:id="178"/>
    <w:p w14:paraId="3A237EEB">
      <w:pPr>
        <w:spacing w:line="400" w:lineRule="exact"/>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2.3系统实用性</w:t>
      </w:r>
    </w:p>
    <w:p w14:paraId="7945D002">
      <w:pPr>
        <w:spacing w:line="400" w:lineRule="exact"/>
        <w:ind w:firstLine="420" w:firstLineChars="200"/>
        <w:rPr>
          <w:rFonts w:hint="eastAsia" w:ascii="方正仿宋_GB2312" w:hAnsi="方正仿宋_GB2312" w:eastAsia="方正仿宋_GB2312" w:cs="方正仿宋_GB2312"/>
          <w:b/>
          <w:bCs/>
          <w:color w:val="auto"/>
          <w:sz w:val="28"/>
          <w:szCs w:val="28"/>
          <w:lang w:val="en-US" w:eastAsia="zh-CN"/>
        </w:rPr>
      </w:pPr>
      <w:r>
        <w:rPr>
          <w:rStyle w:val="42"/>
          <w:rFonts w:hint="eastAsia" w:ascii="方正仿宋_GB2312" w:hAnsi="方正仿宋_GB2312" w:eastAsia="方正仿宋_GB2312" w:cs="方正仿宋_GB2312"/>
          <w:color w:val="auto"/>
          <w:szCs w:val="21"/>
        </w:rPr>
        <w:t>立足校园地下管线管理、设施运维、智慧管控等实际业务场景，坚持需求导向、实用优先，确保系统功能贴合日常工作流程，操作简洁直观。界面设计人性化、布局清晰合理，降低师生与管理人员使用门槛。</w:t>
      </w:r>
      <w:r>
        <w:rPr>
          <w:rStyle w:val="42"/>
          <w:rFonts w:hint="eastAsia" w:ascii="方正仿宋_GB2312" w:hAnsi="方正仿宋_GB2312" w:eastAsia="方正仿宋_GB2312" w:cs="方正仿宋_GB2312"/>
          <w:color w:val="auto"/>
          <w:szCs w:val="21"/>
          <w:lang w:val="en-US" w:eastAsia="zh-CN"/>
        </w:rPr>
        <w:t>根据不同权限系统可实现多部门登录、管线维护、修改等的要求，本次招标范围内系统与其他系统做对接需无偿开放，以便于不同系统之间数据共享及业务打通。项目建设完成后，中标方需对学校不同部门相关业务人员进行8-12人次系统性免费培训，确保熟练使用系统各项功能，能够独立进行系统操作。</w:t>
      </w:r>
    </w:p>
    <w:p w14:paraId="6F5F4C6D">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2.4管线普查要求</w:t>
      </w:r>
    </w:p>
    <w:p w14:paraId="03486DBB">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本项目旨在通过地上三维建模与地下管线测绘，构建地上地下一体化的校园数字资源，为校园管理提供统一、精准的基础数据支撑。在此基础上，搭建地下管线平台，实现对校园地下管线的可视化浏览、查询、分析、更新，以及对接物联传感设备，全面提升地下管线管理与维护的智能化水平。同时，配套提供数据生产建模工具，支持针对校园局部变化快速完成地上模型的构建与更新，确保平台数据的现势性与可持续服务能力。</w:t>
      </w:r>
    </w:p>
    <w:bookmarkEnd w:id="175"/>
    <w:p w14:paraId="1342C3BE">
      <w:pPr>
        <w:pStyle w:val="2"/>
        <w:numPr>
          <w:ilvl w:val="0"/>
          <w:numId w:val="0"/>
        </w:numPr>
        <w:spacing w:before="0" w:after="0" w:line="579" w:lineRule="auto"/>
        <w:jc w:val="center"/>
        <w:rPr>
          <w:rFonts w:hint="eastAsia" w:ascii="方正仿宋_GB2312" w:hAnsi="方正仿宋_GB2312" w:eastAsia="方正仿宋_GB2312" w:cs="方正仿宋_GB2312"/>
          <w:color w:val="auto"/>
          <w:sz w:val="32"/>
          <w:szCs w:val="32"/>
        </w:rPr>
      </w:pPr>
      <w:bookmarkStart w:id="180" w:name="_Toc61000841"/>
      <w:bookmarkStart w:id="181" w:name="_Toc18252"/>
      <w:r>
        <w:rPr>
          <w:rFonts w:hint="eastAsia" w:ascii="方正仿宋_GB2312" w:hAnsi="方正仿宋_GB2312" w:eastAsia="方正仿宋_GB2312" w:cs="方正仿宋_GB2312"/>
          <w:color w:val="auto"/>
          <w:sz w:val="32"/>
          <w:szCs w:val="32"/>
        </w:rPr>
        <w:t>第</w:t>
      </w:r>
      <w:r>
        <w:rPr>
          <w:rFonts w:hint="eastAsia" w:ascii="方正仿宋_GB2312" w:hAnsi="方正仿宋_GB2312" w:eastAsia="方正仿宋_GB2312" w:cs="方正仿宋_GB2312"/>
          <w:color w:val="auto"/>
          <w:sz w:val="32"/>
          <w:szCs w:val="32"/>
          <w:lang w:eastAsia="zh-CN"/>
        </w:rPr>
        <w:t>二</w:t>
      </w:r>
      <w:r>
        <w:rPr>
          <w:rFonts w:hint="eastAsia" w:ascii="方正仿宋_GB2312" w:hAnsi="方正仿宋_GB2312" w:eastAsia="方正仿宋_GB2312" w:cs="方正仿宋_GB2312"/>
          <w:color w:val="auto"/>
          <w:sz w:val="32"/>
          <w:szCs w:val="32"/>
        </w:rPr>
        <w:t>部分 建设内容</w:t>
      </w:r>
      <w:bookmarkEnd w:id="180"/>
      <w:bookmarkEnd w:id="181"/>
    </w:p>
    <w:p w14:paraId="7340A963">
      <w:pPr>
        <w:spacing w:line="400" w:lineRule="exact"/>
        <w:ind w:firstLine="420" w:firstLineChars="200"/>
        <w:rPr>
          <w:rStyle w:val="42"/>
          <w:rFonts w:hint="eastAsia" w:ascii="方正仿宋_GB2312" w:hAnsi="方正仿宋_GB2312" w:eastAsia="方正仿宋_GB2312" w:cs="方正仿宋_GB2312"/>
          <w:b/>
          <w:bCs/>
          <w:color w:val="auto"/>
          <w:szCs w:val="21"/>
        </w:rPr>
      </w:pPr>
      <w:bookmarkStart w:id="182" w:name="_Toc30377"/>
      <w:r>
        <w:rPr>
          <w:rStyle w:val="42"/>
          <w:rFonts w:hint="eastAsia" w:ascii="方正仿宋_GB2312" w:hAnsi="方正仿宋_GB2312" w:eastAsia="方正仿宋_GB2312" w:cs="方正仿宋_GB2312"/>
          <w:color w:val="auto"/>
          <w:szCs w:val="21"/>
        </w:rPr>
        <w:t>为保障地下管线安全、有效运行，</w:t>
      </w:r>
      <w:r>
        <w:rPr>
          <w:rStyle w:val="42"/>
          <w:rFonts w:hint="eastAsia" w:ascii="方正仿宋_GB2312" w:hAnsi="方正仿宋_GB2312" w:eastAsia="方正仿宋_GB2312" w:cs="方正仿宋_GB2312"/>
          <w:color w:val="auto"/>
          <w:szCs w:val="21"/>
          <w:lang w:eastAsia="zh-CN"/>
        </w:rPr>
        <w:t>本次</w:t>
      </w:r>
      <w:r>
        <w:rPr>
          <w:rStyle w:val="42"/>
          <w:rFonts w:hint="eastAsia" w:ascii="方正仿宋_GB2312" w:hAnsi="方正仿宋_GB2312" w:eastAsia="方正仿宋_GB2312" w:cs="方正仿宋_GB2312"/>
          <w:color w:val="auto"/>
          <w:szCs w:val="21"/>
        </w:rPr>
        <w:t>对</w:t>
      </w:r>
      <w:r>
        <w:rPr>
          <w:rStyle w:val="42"/>
          <w:rFonts w:hint="eastAsia" w:ascii="方正仿宋_GB2312" w:hAnsi="方正仿宋_GB2312" w:eastAsia="方正仿宋_GB2312" w:cs="方正仿宋_GB2312"/>
          <w:color w:val="auto"/>
          <w:szCs w:val="21"/>
          <w:lang w:eastAsia="zh-CN"/>
        </w:rPr>
        <w:t>我校老满</w:t>
      </w:r>
      <w:r>
        <w:rPr>
          <w:rStyle w:val="42"/>
          <w:rFonts w:hint="eastAsia" w:ascii="方正仿宋_GB2312" w:hAnsi="方正仿宋_GB2312" w:eastAsia="方正仿宋_GB2312" w:cs="方正仿宋_GB2312"/>
          <w:color w:val="auto"/>
          <w:szCs w:val="21"/>
          <w:lang w:val="en-US" w:eastAsia="zh-CN"/>
        </w:rPr>
        <w:t>城</w:t>
      </w:r>
      <w:r>
        <w:rPr>
          <w:rStyle w:val="42"/>
          <w:rFonts w:hint="eastAsia" w:ascii="方正仿宋_GB2312" w:hAnsi="方正仿宋_GB2312" w:eastAsia="方正仿宋_GB2312" w:cs="方正仿宋_GB2312"/>
          <w:color w:val="auto"/>
          <w:szCs w:val="21"/>
          <w:lang w:eastAsia="zh-CN"/>
        </w:rPr>
        <w:t>、亚心、陆港三校区</w:t>
      </w:r>
      <w:r>
        <w:rPr>
          <w:rStyle w:val="42"/>
          <w:rFonts w:hint="eastAsia" w:ascii="方正仿宋_GB2312" w:hAnsi="方正仿宋_GB2312" w:eastAsia="方正仿宋_GB2312" w:cs="方正仿宋_GB2312"/>
          <w:color w:val="auto"/>
          <w:szCs w:val="21"/>
        </w:rPr>
        <w:t>开展现状地下管线测绘工作，总面积约2</w:t>
      </w:r>
      <w:r>
        <w:rPr>
          <w:rStyle w:val="42"/>
          <w:rFonts w:hint="eastAsia" w:ascii="方正仿宋_GB2312" w:hAnsi="方正仿宋_GB2312" w:eastAsia="方正仿宋_GB2312" w:cs="方正仿宋_GB2312"/>
          <w:color w:val="auto"/>
          <w:szCs w:val="21"/>
          <w:lang w:val="en-US" w:eastAsia="zh-CN"/>
        </w:rPr>
        <w:t>3</w:t>
      </w:r>
      <w:r>
        <w:rPr>
          <w:rStyle w:val="42"/>
          <w:rFonts w:hint="eastAsia" w:ascii="方正仿宋_GB2312" w:hAnsi="方正仿宋_GB2312" w:eastAsia="方正仿宋_GB2312" w:cs="方正仿宋_GB2312"/>
          <w:color w:val="auto"/>
          <w:szCs w:val="21"/>
        </w:rPr>
        <w:t>00亩。包含校内建筑周边到接入市政管网的全部校内管线分布情况，DOM、DEM数据获取、地面三维景观模型制作及三维场景整合</w:t>
      </w:r>
      <w:r>
        <w:rPr>
          <w:rStyle w:val="42"/>
          <w:rFonts w:hint="eastAsia" w:ascii="方正仿宋_GB2312" w:hAnsi="方正仿宋_GB2312" w:eastAsia="方正仿宋_GB2312" w:cs="方正仿宋_GB2312"/>
          <w:color w:val="auto"/>
          <w:szCs w:val="21"/>
          <w:lang w:eastAsia="zh-CN"/>
        </w:rPr>
        <w:t>等</w:t>
      </w:r>
      <w:r>
        <w:rPr>
          <w:rStyle w:val="42"/>
          <w:rFonts w:hint="eastAsia" w:ascii="方正仿宋_GB2312" w:hAnsi="方正仿宋_GB2312" w:eastAsia="方正仿宋_GB2312" w:cs="方正仿宋_GB2312"/>
          <w:color w:val="auto"/>
          <w:szCs w:val="21"/>
        </w:rPr>
        <w:t>，建立地上地下三维可视化系统平台并进行系统培训</w:t>
      </w:r>
      <w:r>
        <w:rPr>
          <w:rStyle w:val="42"/>
          <w:rFonts w:hint="eastAsia" w:ascii="方正仿宋_GB2312" w:hAnsi="方正仿宋_GB2312" w:eastAsia="方正仿宋_GB2312" w:cs="方正仿宋_GB2312"/>
          <w:color w:val="auto"/>
          <w:szCs w:val="21"/>
          <w:lang w:eastAsia="zh-CN"/>
        </w:rPr>
        <w:t>，形成</w:t>
      </w:r>
      <w:r>
        <w:rPr>
          <w:rStyle w:val="42"/>
          <w:rFonts w:hint="eastAsia" w:ascii="方正仿宋_GB2312" w:hAnsi="方正仿宋_GB2312" w:eastAsia="方正仿宋_GB2312" w:cs="方正仿宋_GB2312"/>
          <w:color w:val="auto"/>
          <w:szCs w:val="21"/>
        </w:rPr>
        <w:t>一个标准、完整、动态更新的地下管线三维数据库，实现地下管线信息的“查、看、量、算、析、管”一站式管理</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b/>
          <w:bCs/>
          <w:color w:val="auto"/>
          <w:szCs w:val="21"/>
          <w:lang w:val="en-US" w:eastAsia="zh-CN"/>
        </w:rPr>
        <w:t>地上三维部分主要老满城校区部分利用学校现有模型，根据实际需求在模型上进行修正修改满足技术要求；亚心校区和陆港校区需按招技术要求新建模型</w:t>
      </w:r>
      <w:r>
        <w:rPr>
          <w:rStyle w:val="42"/>
          <w:rFonts w:hint="eastAsia" w:ascii="方正仿宋_GB2312" w:hAnsi="方正仿宋_GB2312" w:eastAsia="方正仿宋_GB2312" w:cs="方正仿宋_GB2312"/>
          <w:b/>
          <w:bCs/>
          <w:color w:val="auto"/>
          <w:szCs w:val="21"/>
        </w:rPr>
        <w:t xml:space="preserve">。 </w:t>
      </w:r>
    </w:p>
    <w:p w14:paraId="6C229656">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普查包含但不限于</w:t>
      </w:r>
      <w:r>
        <w:rPr>
          <w:rFonts w:hint="eastAsia" w:ascii="方正仿宋_GB2312" w:hAnsi="方正仿宋_GB2312" w:eastAsia="方正仿宋_GB2312" w:cs="方正仿宋_GB2312"/>
          <w:color w:val="auto"/>
          <w:sz w:val="21"/>
          <w:lang w:val="en-US" w:eastAsia="zh-CN"/>
        </w:rPr>
        <w:t>给水（生活水、地热水、消防、绿化用水等）、排水（污水、废水、雨水、中水）、电力、通讯（信息、监控等光、电信息传输）、热力、天然气等管线</w:t>
      </w:r>
      <w:r>
        <w:rPr>
          <w:rStyle w:val="42"/>
          <w:rFonts w:hint="eastAsia" w:ascii="方正仿宋_GB2312" w:hAnsi="方正仿宋_GB2312" w:eastAsia="方正仿宋_GB2312" w:cs="方正仿宋_GB2312"/>
          <w:color w:val="auto"/>
          <w:szCs w:val="21"/>
          <w:lang w:val="en-US" w:eastAsia="zh-CN"/>
        </w:rPr>
        <w:t>，各种管径热力管道、廊道及检查井（阀门），所有地下燃气管和调压站（箱）等。</w:t>
      </w:r>
      <w:r>
        <w:rPr>
          <w:rStyle w:val="42"/>
          <w:rFonts w:hint="eastAsia" w:ascii="方正仿宋_GB2312" w:hAnsi="方正仿宋_GB2312" w:eastAsia="方正仿宋_GB2312" w:cs="方正仿宋_GB2312"/>
          <w:color w:val="auto"/>
          <w:szCs w:val="21"/>
        </w:rPr>
        <w:t>通过地上三维建模与地下管线测绘，构建地上地下一体化的校园数字资源，为校园管理提供统一、精准的基础数据支撑。搭建地下管线平台，实现对校园地下</w:t>
      </w:r>
      <w:r>
        <w:rPr>
          <w:rStyle w:val="42"/>
          <w:rFonts w:hint="eastAsia" w:ascii="方正仿宋_GB2312" w:hAnsi="方正仿宋_GB2312" w:eastAsia="方正仿宋_GB2312" w:cs="方正仿宋_GB2312"/>
          <w:b/>
          <w:bCs/>
          <w:color w:val="auto"/>
          <w:szCs w:val="21"/>
        </w:rPr>
        <w:t>管线</w:t>
      </w:r>
      <w:r>
        <w:rPr>
          <w:rStyle w:val="42"/>
          <w:rFonts w:hint="eastAsia" w:ascii="方正仿宋_GB2312" w:hAnsi="方正仿宋_GB2312" w:eastAsia="方正仿宋_GB2312" w:cs="方正仿宋_GB2312"/>
          <w:b/>
          <w:bCs/>
          <w:color w:val="auto"/>
          <w:szCs w:val="21"/>
          <w:lang w:eastAsia="zh-CN"/>
        </w:rPr>
        <w:t>、</w:t>
      </w:r>
      <w:r>
        <w:rPr>
          <w:rStyle w:val="42"/>
          <w:rFonts w:hint="eastAsia" w:ascii="方正仿宋_GB2312" w:hAnsi="方正仿宋_GB2312" w:eastAsia="方正仿宋_GB2312" w:cs="方正仿宋_GB2312"/>
          <w:b/>
          <w:bCs/>
          <w:color w:val="auto"/>
          <w:szCs w:val="21"/>
          <w:lang w:val="en-US" w:eastAsia="zh-CN"/>
        </w:rPr>
        <w:t>管廊</w:t>
      </w:r>
      <w:r>
        <w:rPr>
          <w:rStyle w:val="42"/>
          <w:rFonts w:hint="eastAsia" w:ascii="方正仿宋_GB2312" w:hAnsi="方正仿宋_GB2312" w:eastAsia="方正仿宋_GB2312" w:cs="方正仿宋_GB2312"/>
          <w:color w:val="auto"/>
          <w:szCs w:val="21"/>
        </w:rPr>
        <w:t>的可视化浏览、查询、分析、更新，以及对接物联传感设备，全面提升地下管线管理</w:t>
      </w:r>
      <w:r>
        <w:rPr>
          <w:rStyle w:val="42"/>
          <w:rFonts w:hint="eastAsia" w:ascii="方正仿宋_GB2312" w:hAnsi="方正仿宋_GB2312" w:eastAsia="方正仿宋_GB2312" w:cs="方正仿宋_GB2312"/>
          <w:color w:val="auto"/>
          <w:szCs w:val="21"/>
          <w:lang w:val="en-US" w:eastAsia="zh-CN"/>
        </w:rPr>
        <w:t>与维护的智能化水平。</w:t>
      </w:r>
    </w:p>
    <w:p w14:paraId="237F6A15">
      <w:pPr>
        <w:spacing w:line="400" w:lineRule="exact"/>
        <w:rPr>
          <w:rFonts w:hint="eastAsia" w:ascii="方正仿宋_GB2312" w:hAnsi="方正仿宋_GB2312" w:eastAsia="方正仿宋_GB2312" w:cs="方正仿宋_GB2312"/>
          <w:b/>
          <w:bCs/>
          <w:color w:val="auto"/>
          <w:kern w:val="0"/>
          <w:sz w:val="28"/>
          <w:szCs w:val="28"/>
          <w:lang w:val="en-US" w:eastAsia="zh-CN" w:bidi="ar-SA"/>
        </w:rPr>
      </w:pPr>
      <w:r>
        <w:rPr>
          <w:rFonts w:hint="eastAsia" w:ascii="方正仿宋_GB2312" w:hAnsi="方正仿宋_GB2312" w:eastAsia="方正仿宋_GB2312" w:cs="方正仿宋_GB2312"/>
          <w:b/>
          <w:bCs/>
          <w:color w:val="auto"/>
          <w:kern w:val="0"/>
          <w:sz w:val="28"/>
          <w:szCs w:val="28"/>
          <w:lang w:val="en-US" w:eastAsia="zh-CN" w:bidi="ar-SA"/>
        </w:rPr>
        <w:t>一、校园管网勘查探漏</w:t>
      </w:r>
    </w:p>
    <w:p w14:paraId="0A23F923">
      <w:pPr>
        <w:pStyle w:val="3"/>
        <w:spacing w:before="0" w:after="0" w:line="36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1 地形图测绘</w:t>
      </w:r>
    </w:p>
    <w:p w14:paraId="240EA543">
      <w:pPr>
        <w:pStyle w:val="3"/>
        <w:spacing w:before="0" w:after="0" w:line="36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1.1现状资料调查</w:t>
      </w:r>
    </w:p>
    <w:p w14:paraId="11F3BE34">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负责地下管线、地上建筑物及构筑物资料的收集、分类、整理，编制成现况图。要搜集的资料包括以下内容：</w:t>
      </w:r>
    </w:p>
    <w:p w14:paraId="5F794165">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1）已有的各种地下管线图、地上建筑及构筑物图（纸质和电子版资料）；</w:t>
      </w:r>
    </w:p>
    <w:p w14:paraId="0A685DA6">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2）各种管线、地上建筑及构筑物的设计图、施工图、竣工图及技术说明资料。</w:t>
      </w:r>
    </w:p>
    <w:p w14:paraId="3D2C2E93">
      <w:pPr>
        <w:pStyle w:val="3"/>
        <w:spacing w:before="0" w:after="0" w:line="36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1.2技术依据</w:t>
      </w:r>
    </w:p>
    <w:p w14:paraId="1015C1A6">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lang w:val="en-US" w:eastAsia="zh-CN"/>
        </w:rPr>
        <w:t>《全球定位系统(GPS)测量规范》（GBT 18314-2009）</w:t>
      </w:r>
    </w:p>
    <w:p w14:paraId="3716541C">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《城市地下管线探测技术规程》（CJJ61-2017）</w:t>
      </w:r>
    </w:p>
    <w:p w14:paraId="6321B93C">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《城市工程地球物理探测标准》（CJJ/T7-2017）</w:t>
      </w:r>
    </w:p>
    <w:p w14:paraId="01A777D5">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《城市测量规范》（CJJ/T8-2011）</w:t>
      </w:r>
    </w:p>
    <w:p w14:paraId="70B6A455">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《卫星定位城市测量技术规范》（CJJ/T73-201</w:t>
      </w:r>
      <w:r>
        <w:rPr>
          <w:rFonts w:hint="eastAsia" w:ascii="方正仿宋_GB2312" w:hAnsi="方正仿宋_GB2312" w:eastAsia="方正仿宋_GB2312" w:cs="方正仿宋_GB2312"/>
          <w:color w:val="auto"/>
          <w:szCs w:val="21"/>
          <w:lang w:val="en-US" w:eastAsia="zh-CN"/>
        </w:rPr>
        <w:t>9</w:t>
      </w:r>
      <w:r>
        <w:rPr>
          <w:rFonts w:hint="eastAsia" w:ascii="方正仿宋_GB2312" w:hAnsi="方正仿宋_GB2312" w:eastAsia="方正仿宋_GB2312" w:cs="方正仿宋_GB2312"/>
          <w:color w:val="auto"/>
          <w:szCs w:val="21"/>
        </w:rPr>
        <w:t>）</w:t>
      </w:r>
    </w:p>
    <w:p w14:paraId="0AF73D18">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《国家基本比例尺地图图式第</w:t>
      </w:r>
      <w:r>
        <w:rPr>
          <w:rFonts w:hint="eastAsia" w:ascii="方正仿宋_GB2312" w:hAnsi="方正仿宋_GB2312" w:eastAsia="方正仿宋_GB2312" w:cs="方正仿宋_GB2312"/>
          <w:color w:val="auto"/>
          <w:szCs w:val="21"/>
          <w:lang w:val="en-US" w:eastAsia="zh-CN"/>
        </w:rPr>
        <w:t>1</w:t>
      </w:r>
      <w:r>
        <w:rPr>
          <w:rFonts w:hint="eastAsia" w:ascii="方正仿宋_GB2312" w:hAnsi="方正仿宋_GB2312" w:eastAsia="方正仿宋_GB2312" w:cs="方正仿宋_GB2312"/>
          <w:color w:val="auto"/>
          <w:szCs w:val="21"/>
        </w:rPr>
        <w:t>部分：</w:t>
      </w:r>
      <w:r>
        <w:rPr>
          <w:rFonts w:hint="eastAsia" w:ascii="方正仿宋_GB2312" w:hAnsi="方正仿宋_GB2312" w:eastAsia="方正仿宋_GB2312" w:cs="方正仿宋_GB2312"/>
          <w:color w:val="auto"/>
          <w:lang w:val="en-US" w:eastAsia="zh-CN"/>
        </w:rPr>
        <w:t>1:500 1:1000 1:2000</w:t>
      </w:r>
      <w:r>
        <w:rPr>
          <w:rFonts w:hint="eastAsia" w:ascii="方正仿宋_GB2312" w:hAnsi="方正仿宋_GB2312" w:eastAsia="方正仿宋_GB2312" w:cs="方正仿宋_GB2312"/>
          <w:color w:val="auto"/>
          <w:szCs w:val="21"/>
        </w:rPr>
        <w:t>地形图图示》（GB/T20257.1</w:t>
      </w:r>
      <w:r>
        <w:rPr>
          <w:rFonts w:hint="eastAsia" w:ascii="方正仿宋_GB2312" w:hAnsi="方正仿宋_GB2312" w:eastAsia="方正仿宋_GB2312" w:cs="方正仿宋_GB2312"/>
          <w:color w:val="auto"/>
          <w:szCs w:val="21"/>
          <w:lang w:val="en-US" w:eastAsia="zh-CN"/>
        </w:rPr>
        <w:t>-2017</w:t>
      </w:r>
      <w:r>
        <w:rPr>
          <w:rFonts w:hint="eastAsia" w:ascii="方正仿宋_GB2312" w:hAnsi="方正仿宋_GB2312" w:eastAsia="方正仿宋_GB2312" w:cs="方正仿宋_GB2312"/>
          <w:color w:val="auto"/>
          <w:szCs w:val="21"/>
        </w:rPr>
        <w:t>）</w:t>
      </w:r>
    </w:p>
    <w:p w14:paraId="0F050BF4">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w:t>
      </w:r>
      <w:r>
        <w:rPr>
          <w:rFonts w:hint="eastAsia" w:ascii="方正仿宋_GB2312" w:hAnsi="方正仿宋_GB2312" w:eastAsia="方正仿宋_GB2312" w:cs="方正仿宋_GB2312"/>
          <w:color w:val="auto"/>
          <w:lang w:val="en-US" w:eastAsia="zh-CN"/>
        </w:rPr>
        <w:t>1:500 1:1000 1:2000</w:t>
      </w:r>
      <w:r>
        <w:rPr>
          <w:rFonts w:hint="eastAsia" w:ascii="方正仿宋_GB2312" w:hAnsi="方正仿宋_GB2312" w:eastAsia="方正仿宋_GB2312" w:cs="方正仿宋_GB2312"/>
          <w:color w:val="auto"/>
          <w:szCs w:val="21"/>
        </w:rPr>
        <w:t>地形图要素分类与代码》（GB14804）</w:t>
      </w:r>
    </w:p>
    <w:p w14:paraId="4322766F">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w:t>
      </w:r>
      <w:r>
        <w:rPr>
          <w:rFonts w:hint="eastAsia" w:ascii="方正仿宋_GB2312" w:hAnsi="方正仿宋_GB2312" w:eastAsia="方正仿宋_GB2312" w:cs="方正仿宋_GB2312"/>
          <w:color w:val="auto"/>
          <w:lang w:val="en-US" w:eastAsia="zh-CN"/>
        </w:rPr>
        <w:t>1:500 1:1000 1:2000</w:t>
      </w:r>
      <w:r>
        <w:rPr>
          <w:rFonts w:hint="eastAsia" w:ascii="方正仿宋_GB2312" w:hAnsi="方正仿宋_GB2312" w:eastAsia="方正仿宋_GB2312" w:cs="方正仿宋_GB2312"/>
          <w:color w:val="auto"/>
          <w:szCs w:val="21"/>
          <w:lang w:val="en-US" w:eastAsia="zh-CN"/>
        </w:rPr>
        <w:t>外业数字测图规程》（GB/T 14912-2017）</w:t>
      </w:r>
    </w:p>
    <w:p w14:paraId="52195718">
      <w:pPr>
        <w:spacing w:line="400" w:lineRule="exact"/>
        <w:ind w:firstLine="630" w:firstLineChars="3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lang w:val="en-US" w:eastAsia="zh-CN"/>
        </w:rPr>
        <w:t>《1:500 1:1000 1:2000地形图数字化规范》（GB/T 17160-2008）</w:t>
      </w:r>
    </w:p>
    <w:p w14:paraId="1C5122E1">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《倾斜摄影测量实景三维建模技术规程》（T/GAAI 003-2023）</w:t>
      </w:r>
    </w:p>
    <w:p w14:paraId="2FF3AC9F">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《数字测绘成果质量要求》（GB/T17941-2008）</w:t>
      </w:r>
    </w:p>
    <w:p w14:paraId="1E1A6856">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《地下管线数据获取规程》（GB/T35644-2017）</w:t>
      </w:r>
    </w:p>
    <w:p w14:paraId="341B0611">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《地下管线数据交换技术要求》（GB/T 29806-2013）</w:t>
      </w:r>
    </w:p>
    <w:p w14:paraId="45F5C385">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《管线测绘技术规程》（CH/T 6002-2015）</w:t>
      </w:r>
    </w:p>
    <w:p w14:paraId="4651ED88">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《管线要素分类代码与符号表达》（CH/T 1036-2015）</w:t>
      </w:r>
    </w:p>
    <w:p w14:paraId="701229A0">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《管线信息系统建设技术规范》（CH/T 1037-2015）</w:t>
      </w:r>
    </w:p>
    <w:p w14:paraId="6CFECBF1">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《管线测量成果质量检验技术规程》（CH/T 1033-2014）</w:t>
      </w:r>
    </w:p>
    <w:p w14:paraId="5ED48D59">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《城市综合地下管线信息系统技术规范》（CJJ/T269-2017）</w:t>
      </w:r>
    </w:p>
    <w:p w14:paraId="560319FC">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《测绘成果质量检查</w:t>
      </w:r>
      <w:r>
        <w:rPr>
          <w:rFonts w:hint="eastAsia" w:ascii="方正仿宋_GB2312" w:hAnsi="方正仿宋_GB2312" w:eastAsia="方正仿宋_GB2312" w:cs="方正仿宋_GB2312"/>
          <w:color w:val="auto"/>
          <w:szCs w:val="21"/>
          <w:lang w:val="en-US" w:eastAsia="zh-CN"/>
        </w:rPr>
        <w:t>与</w:t>
      </w:r>
      <w:r>
        <w:rPr>
          <w:rFonts w:hint="eastAsia" w:ascii="方正仿宋_GB2312" w:hAnsi="方正仿宋_GB2312" w:eastAsia="方正仿宋_GB2312" w:cs="方正仿宋_GB2312"/>
          <w:color w:val="auto"/>
          <w:szCs w:val="21"/>
        </w:rPr>
        <w:t>验收》（GB/T24356</w:t>
      </w:r>
      <w:r>
        <w:rPr>
          <w:rFonts w:hint="eastAsia" w:ascii="方正仿宋_GB2312" w:hAnsi="方正仿宋_GB2312" w:eastAsia="方正仿宋_GB2312" w:cs="方正仿宋_GB2312"/>
          <w:color w:val="auto"/>
          <w:szCs w:val="21"/>
          <w:lang w:val="en-US" w:eastAsia="zh-CN"/>
        </w:rPr>
        <w:t>-2023</w:t>
      </w:r>
      <w:r>
        <w:rPr>
          <w:rFonts w:hint="eastAsia" w:ascii="方正仿宋_GB2312" w:hAnsi="方正仿宋_GB2312" w:eastAsia="方正仿宋_GB2312" w:cs="方正仿宋_GB2312"/>
          <w:color w:val="auto"/>
          <w:szCs w:val="21"/>
        </w:rPr>
        <w:t>）</w:t>
      </w:r>
    </w:p>
    <w:p w14:paraId="65EC249F">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《城市地下管线探测工程监理导则》（RISN-TG011-2010）</w:t>
      </w:r>
    </w:p>
    <w:p w14:paraId="35E7A8AC">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《城市地理信息系统设计规范》（GB/T 18578-2001）</w:t>
      </w:r>
    </w:p>
    <w:p w14:paraId="3483860E">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《地方性管网普查及信息系统的技术规程及相关规定》</w:t>
      </w:r>
    </w:p>
    <w:p w14:paraId="6E4EB794">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《管网普查过程中需要补充的相关规定》</w:t>
      </w:r>
    </w:p>
    <w:p w14:paraId="24D1BA99">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《城市地下管线工程档案管理办法》（建设部令第 136 号）</w:t>
      </w:r>
    </w:p>
    <w:p w14:paraId="7D18F6D6">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未列明的标准规范等，以现行有效或新颁布的国家相关标准、行业标准、地方标准或者其他标准、规范为准，标准规范不一致时以较严格者执行。</w:t>
      </w:r>
    </w:p>
    <w:p w14:paraId="524B7933">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1.3基础测绘</w:t>
      </w:r>
    </w:p>
    <w:p w14:paraId="7428028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根据《城市测量规范》的要求，对测区进行现状测量并编制1：500地形图，以满足地下管网普查要求。</w:t>
      </w:r>
    </w:p>
    <w:p w14:paraId="6E5C508A">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具体内容包括：</w:t>
      </w:r>
    </w:p>
    <w:p w14:paraId="262097FE">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1）平面控制测量</w:t>
      </w:r>
    </w:p>
    <w:p w14:paraId="2F7100B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收集分析测区内现有的控制资料，在现有控制资料的基础上对原有控制网进行加密，并作为测区首级平面使用，GPS控制网加密采用城市</w:t>
      </w:r>
      <w:bookmarkStart w:id="183" w:name="_Toc138663806"/>
      <w:bookmarkStart w:id="184" w:name="_Toc138734451"/>
      <w:bookmarkStart w:id="185" w:name="_Toc145832366"/>
      <w:bookmarkStart w:id="186" w:name="_Toc129663502"/>
      <w:bookmarkStart w:id="187" w:name="_Toc129664253"/>
      <w:bookmarkStart w:id="188" w:name="_Toc145849138"/>
      <w:bookmarkStart w:id="189" w:name="_Toc145848338"/>
      <w:bookmarkStart w:id="190" w:name="_Toc129665080"/>
      <w:bookmarkStart w:id="191" w:name="_Toc343247528"/>
      <w:bookmarkStart w:id="192" w:name="_Toc132165284"/>
      <w:bookmarkStart w:id="193" w:name="_Toc120263164"/>
      <w:bookmarkStart w:id="194" w:name="_Toc138592334"/>
      <w:r>
        <w:rPr>
          <w:rFonts w:hint="eastAsia" w:ascii="方正仿宋_GB2312" w:hAnsi="方正仿宋_GB2312" w:eastAsia="方正仿宋_GB2312" w:cs="方正仿宋_GB2312"/>
          <w:color w:val="auto"/>
          <w:szCs w:val="21"/>
          <w:lang w:val="en-US" w:eastAsia="zh-CN"/>
        </w:rPr>
        <w:t>E级GPS控制测量</w:t>
      </w:r>
      <w:bookmarkEnd w:id="183"/>
      <w:bookmarkEnd w:id="184"/>
      <w:bookmarkEnd w:id="185"/>
      <w:bookmarkEnd w:id="186"/>
      <w:bookmarkEnd w:id="187"/>
      <w:bookmarkEnd w:id="188"/>
      <w:bookmarkEnd w:id="189"/>
      <w:bookmarkEnd w:id="190"/>
      <w:bookmarkEnd w:id="191"/>
      <w:bookmarkEnd w:id="192"/>
      <w:bookmarkEnd w:id="193"/>
      <w:bookmarkEnd w:id="194"/>
      <w:r>
        <w:rPr>
          <w:rFonts w:hint="eastAsia" w:ascii="方正仿宋_GB2312" w:hAnsi="方正仿宋_GB2312" w:eastAsia="方正仿宋_GB2312" w:cs="方正仿宋_GB2312"/>
          <w:color w:val="auto"/>
          <w:szCs w:val="21"/>
          <w:lang w:val="en-US" w:eastAsia="zh-CN"/>
        </w:rPr>
        <w:t>方式，其主要技术指标如下：</w:t>
      </w:r>
    </w:p>
    <w:p w14:paraId="3781831A">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E级GPS网观测的基本要求</w:t>
      </w:r>
    </w:p>
    <w:tbl>
      <w:tblPr>
        <w:tblStyle w:val="31"/>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8"/>
        <w:gridCol w:w="1593"/>
        <w:gridCol w:w="1735"/>
        <w:gridCol w:w="989"/>
        <w:gridCol w:w="1407"/>
        <w:gridCol w:w="810"/>
      </w:tblGrid>
      <w:tr w14:paraId="2113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518" w:type="dxa"/>
            <w:tcBorders>
              <w:top w:val="single" w:color="auto" w:sz="4" w:space="0"/>
              <w:left w:val="single" w:color="auto" w:sz="4" w:space="0"/>
              <w:bottom w:val="single" w:color="auto" w:sz="4" w:space="0"/>
              <w:right w:val="single" w:color="auto" w:sz="4" w:space="0"/>
            </w:tcBorders>
            <w:noWrap w:val="0"/>
            <w:vAlign w:val="center"/>
          </w:tcPr>
          <w:p w14:paraId="71E9C91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卫星高度角</w:t>
            </w:r>
          </w:p>
        </w:tc>
        <w:tc>
          <w:tcPr>
            <w:tcW w:w="1593" w:type="dxa"/>
            <w:tcBorders>
              <w:top w:val="single" w:color="auto" w:sz="4" w:space="0"/>
              <w:left w:val="single" w:color="auto" w:sz="4" w:space="0"/>
              <w:bottom w:val="single" w:color="auto" w:sz="4" w:space="0"/>
              <w:right w:val="single" w:color="auto" w:sz="4" w:space="0"/>
            </w:tcBorders>
            <w:noWrap w:val="0"/>
            <w:vAlign w:val="center"/>
          </w:tcPr>
          <w:p w14:paraId="5C182CA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有效观测卫星数</w:t>
            </w:r>
          </w:p>
        </w:tc>
        <w:tc>
          <w:tcPr>
            <w:tcW w:w="1735" w:type="dxa"/>
            <w:tcBorders>
              <w:top w:val="single" w:color="auto" w:sz="4" w:space="0"/>
              <w:left w:val="single" w:color="auto" w:sz="4" w:space="0"/>
              <w:bottom w:val="single" w:color="auto" w:sz="4" w:space="0"/>
              <w:right w:val="single" w:color="auto" w:sz="4" w:space="0"/>
            </w:tcBorders>
            <w:noWrap w:val="0"/>
            <w:vAlign w:val="center"/>
          </w:tcPr>
          <w:p w14:paraId="397F72D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平均重复设站数</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45F337C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时段长度</w:t>
            </w:r>
          </w:p>
        </w:tc>
        <w:tc>
          <w:tcPr>
            <w:tcW w:w="1407" w:type="dxa"/>
            <w:tcBorders>
              <w:top w:val="single" w:color="auto" w:sz="4" w:space="0"/>
              <w:left w:val="single" w:color="auto" w:sz="4" w:space="0"/>
              <w:bottom w:val="single" w:color="auto" w:sz="4" w:space="0"/>
              <w:right w:val="single" w:color="auto" w:sz="4" w:space="0"/>
            </w:tcBorders>
            <w:noWrap w:val="0"/>
            <w:vAlign w:val="center"/>
          </w:tcPr>
          <w:p w14:paraId="0C01E36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数据采样间隔</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13F59CE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PDOP</w:t>
            </w:r>
          </w:p>
        </w:tc>
      </w:tr>
      <w:tr w14:paraId="3E4F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518" w:type="dxa"/>
            <w:tcBorders>
              <w:top w:val="single" w:color="auto" w:sz="4" w:space="0"/>
              <w:left w:val="single" w:color="auto" w:sz="4" w:space="0"/>
              <w:bottom w:val="single" w:color="auto" w:sz="4" w:space="0"/>
              <w:right w:val="single" w:color="auto" w:sz="4" w:space="0"/>
            </w:tcBorders>
            <w:noWrap w:val="0"/>
            <w:vAlign w:val="center"/>
          </w:tcPr>
          <w:p w14:paraId="6878E0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≥15°</w:t>
            </w:r>
          </w:p>
        </w:tc>
        <w:tc>
          <w:tcPr>
            <w:tcW w:w="1593" w:type="dxa"/>
            <w:tcBorders>
              <w:top w:val="single" w:color="auto" w:sz="4" w:space="0"/>
              <w:left w:val="single" w:color="auto" w:sz="4" w:space="0"/>
              <w:bottom w:val="single" w:color="auto" w:sz="4" w:space="0"/>
              <w:right w:val="single" w:color="auto" w:sz="4" w:space="0"/>
            </w:tcBorders>
            <w:noWrap w:val="0"/>
            <w:vAlign w:val="center"/>
          </w:tcPr>
          <w:p w14:paraId="06E4D48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≥5</w:t>
            </w:r>
          </w:p>
        </w:tc>
        <w:tc>
          <w:tcPr>
            <w:tcW w:w="1735" w:type="dxa"/>
            <w:tcBorders>
              <w:top w:val="single" w:color="auto" w:sz="4" w:space="0"/>
              <w:left w:val="single" w:color="auto" w:sz="4" w:space="0"/>
              <w:bottom w:val="single" w:color="auto" w:sz="4" w:space="0"/>
              <w:right w:val="single" w:color="auto" w:sz="4" w:space="0"/>
            </w:tcBorders>
            <w:noWrap w:val="0"/>
            <w:vAlign w:val="center"/>
          </w:tcPr>
          <w:p w14:paraId="352E896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≥1.6</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41ECEC7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15分钟</w:t>
            </w:r>
          </w:p>
        </w:tc>
        <w:tc>
          <w:tcPr>
            <w:tcW w:w="1407" w:type="dxa"/>
            <w:tcBorders>
              <w:top w:val="single" w:color="auto" w:sz="4" w:space="0"/>
              <w:left w:val="single" w:color="auto" w:sz="4" w:space="0"/>
              <w:bottom w:val="single" w:color="auto" w:sz="4" w:space="0"/>
              <w:right w:val="single" w:color="auto" w:sz="4" w:space="0"/>
            </w:tcBorders>
            <w:noWrap w:val="0"/>
            <w:vAlign w:val="center"/>
          </w:tcPr>
          <w:p w14:paraId="28097D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10-60秒</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2C0D762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≤6</w:t>
            </w:r>
          </w:p>
        </w:tc>
      </w:tr>
    </w:tbl>
    <w:p w14:paraId="63B1DC20">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2）图根控制测量</w:t>
      </w:r>
    </w:p>
    <w:p w14:paraId="2631B560">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图根控制点通常采用一、二级导线加密或GPS-RTK测量方法直接加密，一、二级导线测量的基本要求如下：</w:t>
      </w:r>
    </w:p>
    <w:tbl>
      <w:tblPr>
        <w:tblStyle w:val="31"/>
        <w:tblW w:w="7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53"/>
        <w:gridCol w:w="2517"/>
        <w:gridCol w:w="1125"/>
        <w:gridCol w:w="1052"/>
        <w:gridCol w:w="1035"/>
        <w:gridCol w:w="1709"/>
      </w:tblGrid>
      <w:tr w14:paraId="4A35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87" w:hRule="atLeast"/>
          <w:jc w:val="center"/>
        </w:trPr>
        <w:tc>
          <w:tcPr>
            <w:tcW w:w="453" w:type="dxa"/>
            <w:tcBorders>
              <w:top w:val="single" w:color="auto" w:sz="4" w:space="0"/>
              <w:left w:val="single" w:color="auto" w:sz="4" w:space="0"/>
              <w:bottom w:val="single" w:color="auto" w:sz="4" w:space="0"/>
              <w:right w:val="single" w:color="auto" w:sz="4" w:space="0"/>
            </w:tcBorders>
            <w:noWrap w:val="0"/>
            <w:vAlign w:val="center"/>
          </w:tcPr>
          <w:p w14:paraId="3CF3BA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等级</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7BC934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闭合环或附合导线长度（km）</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7A00E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平均边长（m）</w:t>
            </w: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6298A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测距中误差</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05AE94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测角中误差</w:t>
            </w:r>
          </w:p>
        </w:tc>
        <w:tc>
          <w:tcPr>
            <w:tcW w:w="1709" w:type="dxa"/>
            <w:tcBorders>
              <w:top w:val="single" w:color="auto" w:sz="4" w:space="0"/>
              <w:left w:val="single" w:color="auto" w:sz="4" w:space="0"/>
              <w:bottom w:val="single" w:color="auto" w:sz="4" w:space="0"/>
              <w:right w:val="single" w:color="auto" w:sz="4" w:space="0"/>
            </w:tcBorders>
            <w:noWrap w:val="0"/>
            <w:vAlign w:val="center"/>
          </w:tcPr>
          <w:p w14:paraId="1206BC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导线全长相对闭合差</w:t>
            </w:r>
          </w:p>
        </w:tc>
      </w:tr>
      <w:tr w14:paraId="2E50B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7" w:hRule="exact"/>
          <w:jc w:val="center"/>
        </w:trPr>
        <w:tc>
          <w:tcPr>
            <w:tcW w:w="453" w:type="dxa"/>
            <w:tcBorders>
              <w:top w:val="single" w:color="auto" w:sz="4" w:space="0"/>
              <w:left w:val="single" w:color="auto" w:sz="4" w:space="0"/>
              <w:bottom w:val="single" w:color="auto" w:sz="4" w:space="0"/>
              <w:right w:val="single" w:color="auto" w:sz="4" w:space="0"/>
            </w:tcBorders>
            <w:noWrap w:val="0"/>
            <w:vAlign w:val="center"/>
          </w:tcPr>
          <w:p w14:paraId="648974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一级</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168DB4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≤3.6</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222D1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300</w:t>
            </w:r>
          </w:p>
        </w:tc>
        <w:tc>
          <w:tcPr>
            <w:tcW w:w="1052" w:type="dxa"/>
            <w:tcBorders>
              <w:top w:val="single" w:color="auto" w:sz="4" w:space="0"/>
              <w:left w:val="single" w:color="auto" w:sz="4" w:space="0"/>
              <w:bottom w:val="single" w:color="auto" w:sz="4" w:space="0"/>
              <w:right w:val="single" w:color="auto" w:sz="4" w:space="0"/>
            </w:tcBorders>
            <w:noWrap w:val="0"/>
            <w:vAlign w:val="center"/>
          </w:tcPr>
          <w:p w14:paraId="1D068B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≤15mm</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528049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±5″</w:t>
            </w:r>
          </w:p>
        </w:tc>
        <w:tc>
          <w:tcPr>
            <w:tcW w:w="1709" w:type="dxa"/>
            <w:tcBorders>
              <w:top w:val="single" w:color="auto" w:sz="4" w:space="0"/>
              <w:left w:val="single" w:color="auto" w:sz="4" w:space="0"/>
              <w:bottom w:val="single" w:color="auto" w:sz="4" w:space="0"/>
              <w:right w:val="single" w:color="auto" w:sz="4" w:space="0"/>
            </w:tcBorders>
            <w:noWrap w:val="0"/>
            <w:vAlign w:val="center"/>
          </w:tcPr>
          <w:p w14:paraId="782663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1／14000</w:t>
            </w:r>
          </w:p>
        </w:tc>
      </w:tr>
      <w:tr w14:paraId="332C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exact"/>
          <w:jc w:val="center"/>
        </w:trPr>
        <w:tc>
          <w:tcPr>
            <w:tcW w:w="453" w:type="dxa"/>
            <w:tcBorders>
              <w:top w:val="single" w:color="auto" w:sz="4" w:space="0"/>
              <w:left w:val="single" w:color="auto" w:sz="4" w:space="0"/>
              <w:bottom w:val="single" w:color="auto" w:sz="4" w:space="0"/>
              <w:right w:val="single" w:color="auto" w:sz="4" w:space="0"/>
            </w:tcBorders>
            <w:noWrap w:val="0"/>
            <w:vAlign w:val="center"/>
          </w:tcPr>
          <w:p w14:paraId="49F420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二级</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6A9648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≤2.4</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B31D3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200</w:t>
            </w:r>
          </w:p>
        </w:tc>
        <w:tc>
          <w:tcPr>
            <w:tcW w:w="1052" w:type="dxa"/>
            <w:tcBorders>
              <w:top w:val="single" w:color="auto" w:sz="4" w:space="0"/>
              <w:left w:val="single" w:color="auto" w:sz="4" w:space="0"/>
              <w:bottom w:val="single" w:color="auto" w:sz="4" w:space="0"/>
              <w:right w:val="single" w:color="auto" w:sz="4" w:space="0"/>
            </w:tcBorders>
            <w:noWrap w:val="0"/>
            <w:vAlign w:val="center"/>
          </w:tcPr>
          <w:p w14:paraId="2FFDCF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≤15mm</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4E8887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±8″</w:t>
            </w:r>
          </w:p>
        </w:tc>
        <w:tc>
          <w:tcPr>
            <w:tcW w:w="1709" w:type="dxa"/>
            <w:tcBorders>
              <w:top w:val="single" w:color="auto" w:sz="4" w:space="0"/>
              <w:left w:val="single" w:color="auto" w:sz="4" w:space="0"/>
              <w:bottom w:val="single" w:color="auto" w:sz="4" w:space="0"/>
              <w:right w:val="single" w:color="auto" w:sz="4" w:space="0"/>
            </w:tcBorders>
            <w:noWrap w:val="0"/>
            <w:vAlign w:val="center"/>
          </w:tcPr>
          <w:p w14:paraId="74C06F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仿宋_GB2312" w:hAnsi="方正仿宋_GB2312" w:eastAsia="方正仿宋_GB2312" w:cs="方正仿宋_GB2312"/>
                <w:color w:val="auto"/>
                <w:sz w:val="18"/>
                <w:szCs w:val="18"/>
                <w:lang w:val="en-US" w:eastAsia="zh-CN"/>
              </w:rPr>
            </w:pPr>
            <w:r>
              <w:rPr>
                <w:rFonts w:hint="eastAsia" w:ascii="方正仿宋_GB2312" w:hAnsi="方正仿宋_GB2312" w:eastAsia="方正仿宋_GB2312" w:cs="方正仿宋_GB2312"/>
                <w:color w:val="auto"/>
                <w:sz w:val="18"/>
                <w:szCs w:val="18"/>
                <w:lang w:val="en-US" w:eastAsia="zh-CN"/>
              </w:rPr>
              <w:t>1／10000</w:t>
            </w:r>
          </w:p>
        </w:tc>
      </w:tr>
    </w:tbl>
    <w:p w14:paraId="108223BA">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图根导线亦可采用GPS-RTK进行测量，快速双频GPS动态RTK其标称精度如下：实时动态RTK：</w:t>
      </w:r>
    </w:p>
    <w:p w14:paraId="622A0317">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水平精度：±(10 + 1×10-6×D) mm</w:t>
      </w:r>
    </w:p>
    <w:p w14:paraId="203768BF">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垂直精度：±(20 + 1×10-6×D) mm</w:t>
      </w:r>
    </w:p>
    <w:p w14:paraId="5CC6CB4F">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RTK初始化时间：10秒</w:t>
      </w:r>
    </w:p>
    <w:p w14:paraId="468B0179">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初始化可靠度：＞99.99%</w:t>
      </w:r>
    </w:p>
    <w:p w14:paraId="1F389DA6">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RTK最佳工作距离：≤10km</w:t>
      </w:r>
    </w:p>
    <w:p w14:paraId="7ED7D449">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最大RTK工作距离：30km</w:t>
      </w:r>
    </w:p>
    <w:p w14:paraId="3CB5D7AE">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测量时，基站应架设在测区中央的高等级控制点上，并应采用能够覆盖测区的至少3个控制点进行校准，且分布均匀，需要布设的点在已知点围成的区域内。</w:t>
      </w:r>
    </w:p>
    <w:p w14:paraId="4170F3C5">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RTK观测采用单基站的方式，观测时流动站的架设应稳固，流动站与基准站之间不得存在大功率的信号干扰区。</w:t>
      </w:r>
    </w:p>
    <w:p w14:paraId="5BBF8965">
      <w:pPr>
        <w:spacing w:line="400" w:lineRule="exact"/>
        <w:ind w:firstLine="630" w:firstLineChars="3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3）高程控制测量</w:t>
      </w:r>
    </w:p>
    <w:p w14:paraId="31C3A48B">
      <w:pPr>
        <w:spacing w:line="400" w:lineRule="exact"/>
        <w:ind w:firstLine="630" w:firstLineChars="3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高程控制测量采用四等水准测量方式，并对测区已有高程控制成果进行联测，四等水准测量精度按《城市测量规范》的要求执行。</w:t>
      </w:r>
    </w:p>
    <w:p w14:paraId="40C9DE77">
      <w:pPr>
        <w:spacing w:line="400" w:lineRule="exact"/>
        <w:ind w:firstLine="630" w:firstLineChars="3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4）地形图测绘</w:t>
      </w:r>
    </w:p>
    <w:p w14:paraId="33153FD5">
      <w:pPr>
        <w:spacing w:line="400" w:lineRule="exact"/>
        <w:ind w:firstLine="630" w:firstLineChars="300"/>
        <w:rPr>
          <w:rStyle w:val="42"/>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地形图测绘精度严格参照《规范》、《图式》等技术规范的要求执行。</w:t>
      </w:r>
    </w:p>
    <w:bookmarkEnd w:id="182"/>
    <w:p w14:paraId="76CAEDF5">
      <w:pPr>
        <w:pStyle w:val="3"/>
        <w:spacing w:before="0" w:after="0" w:line="36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1.4 管网普查内容要求</w:t>
      </w:r>
    </w:p>
    <w:p w14:paraId="0C244FBF">
      <w:pPr>
        <w:spacing w:line="400" w:lineRule="exact"/>
        <w:ind w:firstLine="420" w:firstLineChars="200"/>
        <w:rPr>
          <w:rStyle w:val="42"/>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rPr>
        <w:t>1、学校</w:t>
      </w:r>
      <w:r>
        <w:rPr>
          <w:rStyle w:val="42"/>
          <w:rFonts w:hint="eastAsia" w:ascii="方正仿宋_GB2312" w:hAnsi="方正仿宋_GB2312" w:eastAsia="方正仿宋_GB2312" w:cs="方正仿宋_GB2312"/>
          <w:color w:val="auto"/>
          <w:szCs w:val="21"/>
          <w:lang w:eastAsia="zh-CN"/>
        </w:rPr>
        <w:t>三校区</w:t>
      </w:r>
      <w:r>
        <w:rPr>
          <w:rFonts w:hint="eastAsia" w:ascii="方正仿宋_GB2312" w:hAnsi="方正仿宋_GB2312" w:eastAsia="方正仿宋_GB2312" w:cs="方正仿宋_GB2312"/>
          <w:color w:val="auto"/>
          <w:sz w:val="21"/>
          <w:lang w:val="en-US" w:eastAsia="zh-CN"/>
        </w:rPr>
        <w:t>范围内所有管径不小于DN20的水、电、气、热、通信、网络等管网及管廊的普查，含金属管、水泥管和PVC等材质的管道。地下管线探查范围及取舍按照最新《城市地下管线探测技术规程》执行，探测的管线包括给水（生活水、地热水、消防、绿化用水等）、排水（污水、废水、雨水、中水）、电力、通讯（信息、监控等光、电信息传输）、热力、天然气等管线</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lang w:val="en-US" w:eastAsia="zh-CN"/>
        </w:rPr>
        <w:t>管线探测属性应包括：管线走向、埋深、材质、管径、阀井、表及特征点（包括起点、终点、分支点、转折点等）及平面坐标与高程</w:t>
      </w:r>
      <w:r>
        <w:rPr>
          <w:rStyle w:val="42"/>
          <w:rFonts w:hint="eastAsia" w:ascii="方正仿宋_GB2312" w:hAnsi="方正仿宋_GB2312" w:eastAsia="方正仿宋_GB2312" w:cs="方正仿宋_GB2312"/>
          <w:color w:val="auto"/>
          <w:szCs w:val="21"/>
        </w:rPr>
        <w:t>；供区范围内所有的管线需标明和统计长度、大小、</w:t>
      </w:r>
      <w:r>
        <w:rPr>
          <w:rStyle w:val="42"/>
          <w:rFonts w:hint="eastAsia" w:ascii="方正仿宋_GB2312" w:hAnsi="方正仿宋_GB2312" w:eastAsia="方正仿宋_GB2312" w:cs="方正仿宋_GB2312"/>
          <w:color w:val="auto"/>
          <w:szCs w:val="21"/>
          <w:lang w:val="en-US" w:eastAsia="zh-CN"/>
        </w:rPr>
        <w:t>种类、数量、功能属性、材质、管径、平面位置、埋设方式、埋深、高程、走向、连接方式、权属单位、建设时间、运行时间、管线特征、附属设施、沿线地形等相关信息</w:t>
      </w:r>
      <w:r>
        <w:rPr>
          <w:rStyle w:val="42"/>
          <w:rFonts w:hint="eastAsia" w:ascii="方正仿宋_GB2312" w:hAnsi="方正仿宋_GB2312" w:eastAsia="方正仿宋_GB2312" w:cs="方正仿宋_GB2312"/>
          <w:color w:val="auto"/>
          <w:szCs w:val="21"/>
        </w:rPr>
        <w:t>；所有被掩埋的阀门井需找出并</w:t>
      </w:r>
      <w:r>
        <w:rPr>
          <w:rStyle w:val="42"/>
          <w:rFonts w:hint="eastAsia" w:ascii="方正仿宋_GB2312" w:hAnsi="方正仿宋_GB2312" w:eastAsia="方正仿宋_GB2312" w:cs="方正仿宋_GB2312"/>
          <w:color w:val="auto"/>
          <w:szCs w:val="21"/>
          <w:lang w:eastAsia="zh-CN"/>
        </w:rPr>
        <w:t>加高砌筑</w:t>
      </w:r>
      <w:r>
        <w:rPr>
          <w:rStyle w:val="42"/>
          <w:rFonts w:hint="eastAsia" w:ascii="方正仿宋_GB2312" w:hAnsi="方正仿宋_GB2312" w:eastAsia="方正仿宋_GB2312" w:cs="方正仿宋_GB2312"/>
          <w:color w:val="auto"/>
          <w:szCs w:val="21"/>
        </w:rPr>
        <w:t>；所有井、阀需分级编号并贴标示牌、系统建立档案管理；管线需普查到户表前，同时完成表籍普查</w:t>
      </w:r>
      <w:r>
        <w:rPr>
          <w:rStyle w:val="42"/>
          <w:rFonts w:hint="eastAsia" w:ascii="方正仿宋_GB2312" w:hAnsi="方正仿宋_GB2312" w:eastAsia="方正仿宋_GB2312" w:cs="方正仿宋_GB2312"/>
          <w:color w:val="auto"/>
          <w:szCs w:val="21"/>
          <w:lang w:eastAsia="zh-CN"/>
        </w:rPr>
        <w:t>，</w:t>
      </w:r>
      <w:r>
        <w:rPr>
          <w:rStyle w:val="42"/>
          <w:rFonts w:hint="eastAsia" w:ascii="方正仿宋_GB2312" w:hAnsi="方正仿宋_GB2312" w:eastAsia="方正仿宋_GB2312" w:cs="方正仿宋_GB2312"/>
          <w:color w:val="auto"/>
          <w:szCs w:val="21"/>
        </w:rPr>
        <w:t>普查完成后需递交完整的管线图（纸质及电子版各一份）。</w:t>
      </w:r>
    </w:p>
    <w:p w14:paraId="13D85CCC">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kern w:val="2"/>
          <w:sz w:val="21"/>
          <w:szCs w:val="21"/>
          <w:lang w:val="en-US" w:eastAsia="zh-CN" w:bidi="ar-SA"/>
        </w:rPr>
        <w:t>中标方进场后需完成编制进度计划、开展搜集资料、现场踏勘、仪器校验和方法试验、制定探测方案、编写技术设计书、制定安全施工管理措施、实地调查、仪器探查、探测成果的数据格式、数据结构是否具有开放性，管线探测成果文件编制、资料归档等内容、内外业衔接、管线图编绘、技术总结报告编写、成果提交和成果验收等工作内容探测工作将严格按照相关规</w:t>
      </w:r>
      <w:r>
        <w:rPr>
          <w:rStyle w:val="42"/>
          <w:rFonts w:hint="eastAsia" w:ascii="方正仿宋_GB2312" w:hAnsi="方正仿宋_GB2312" w:eastAsia="方正仿宋_GB2312" w:cs="方正仿宋_GB2312"/>
          <w:color w:val="auto"/>
          <w:szCs w:val="21"/>
          <w:lang w:val="en-US" w:eastAsia="zh-CN"/>
        </w:rPr>
        <w:t>范标准要求的技术方法开展地下管线的探测工作。</w:t>
      </w:r>
    </w:p>
    <w:p w14:paraId="4DC04F3D">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（1）按照资料调绘、现场踏勘、仪器校验、方法试验、编制项目设计书的技术方法进行地下管线探测的技术准备；</w:t>
      </w:r>
    </w:p>
    <w:p w14:paraId="77776DFD">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2）按照实地调查、隐蔽管线点探查的技术方法进行地下管线埋深、断面、材质、埋设年代、权属单位、连接关系等内容要素信息的采集；金属管线隐蔽点探测采用感应法、夹钳法、直接法以及被动源法等电磁感应法进行探测。非金属管线隐蔽点根据管线的特征，采用实地调查、导向仪、示踪探测等方法进行探测。</w:t>
      </w:r>
    </w:p>
    <w:p w14:paraId="3585FBF9">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（3）按照地下管线测量的技术要求，对管线点的地面标志进行平面位置和高程联测，计算管线点的三维坐标；</w:t>
      </w:r>
    </w:p>
    <w:p w14:paraId="3BF0ECB9">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（4）探测成果的数据格式，须满足三维地下管线应用系统平台要求；</w:t>
      </w:r>
    </w:p>
    <w:p w14:paraId="7A46DA1F">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（5）按照地下管线综合图、地下管线专业图、地下管线横断面图的技术要求进行管线数据的内业编绘；</w:t>
      </w:r>
    </w:p>
    <w:p w14:paraId="3F3F2FF0">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（6）探测过程中作业区之间接边和探测结果后，按照接边的技术要求进行接边检查；</w:t>
      </w:r>
    </w:p>
    <w:p w14:paraId="6056CB48">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（7）按照探测质量检验和测量质量检验两项内容的技术方法进行地下管线数据的质量检验；</w:t>
      </w:r>
    </w:p>
    <w:p w14:paraId="58673394">
      <w:pPr>
        <w:spacing w:line="400" w:lineRule="exact"/>
        <w:ind w:firstLine="420" w:firstLineChars="200"/>
        <w:rPr>
          <w:rStyle w:val="42"/>
          <w:rFonts w:hint="eastAsia" w:ascii="方正仿宋_GB2312" w:hAnsi="方正仿宋_GB2312" w:eastAsia="方正仿宋_GB2312" w:cs="方正仿宋_GB2312"/>
          <w:color w:val="auto"/>
          <w:szCs w:val="21"/>
          <w:lang w:val="en-US" w:eastAsia="zh-CN"/>
        </w:rPr>
      </w:pPr>
      <w:r>
        <w:rPr>
          <w:rStyle w:val="42"/>
          <w:rFonts w:hint="eastAsia" w:ascii="方正仿宋_GB2312" w:hAnsi="方正仿宋_GB2312" w:eastAsia="方正仿宋_GB2312" w:cs="方正仿宋_GB2312"/>
          <w:color w:val="auto"/>
          <w:szCs w:val="21"/>
          <w:lang w:val="en-US" w:eastAsia="zh-CN"/>
        </w:rPr>
        <w:t>（8）按照外业验收和内业成果资料验收的技术方法进行最终的成果验收，</w:t>
      </w:r>
    </w:p>
    <w:p w14:paraId="0506FD84">
      <w:pPr>
        <w:spacing w:line="400" w:lineRule="exact"/>
        <w:ind w:firstLine="420" w:firstLineChars="200"/>
        <w:rPr>
          <w:rFonts w:hint="eastAsia" w:ascii="方正仿宋_GB2312" w:hAnsi="方正仿宋_GB2312" w:eastAsia="方正仿宋_GB2312" w:cs="方正仿宋_GB2312"/>
          <w:color w:val="auto"/>
          <w:szCs w:val="21"/>
        </w:rPr>
      </w:pPr>
      <w:r>
        <w:rPr>
          <w:rStyle w:val="42"/>
          <w:rFonts w:hint="eastAsia" w:ascii="方正仿宋_GB2312" w:hAnsi="方正仿宋_GB2312" w:eastAsia="方正仿宋_GB2312" w:cs="方正仿宋_GB2312"/>
          <w:color w:val="auto"/>
          <w:szCs w:val="21"/>
          <w:lang w:val="en-US" w:eastAsia="zh-CN"/>
        </w:rPr>
        <w:t>提供的最终数据须满足国家现行规范及甲方要求。</w:t>
      </w:r>
    </w:p>
    <w:p w14:paraId="7D385037">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2、运用普查数据形成完整供水</w:t>
      </w:r>
      <w:r>
        <w:rPr>
          <w:rFonts w:hint="eastAsia" w:ascii="方正仿宋_GB2312" w:hAnsi="方正仿宋_GB2312" w:eastAsia="方正仿宋_GB2312" w:cs="方正仿宋_GB2312"/>
          <w:color w:val="auto"/>
          <w:szCs w:val="21"/>
          <w:lang w:eastAsia="zh-CN"/>
        </w:rPr>
        <w:t>供电</w:t>
      </w:r>
      <w:r>
        <w:rPr>
          <w:rFonts w:hint="eastAsia" w:ascii="方正仿宋_GB2312" w:hAnsi="方正仿宋_GB2312" w:eastAsia="方正仿宋_GB2312" w:cs="方正仿宋_GB2312"/>
          <w:color w:val="auto"/>
          <w:szCs w:val="21"/>
        </w:rPr>
        <w:t>管网分区，同时对校园管网设计监测建设方案，形成学校能耗管理需要的水</w:t>
      </w:r>
      <w:r>
        <w:rPr>
          <w:rFonts w:hint="eastAsia" w:ascii="方正仿宋_GB2312" w:hAnsi="方正仿宋_GB2312" w:eastAsia="方正仿宋_GB2312" w:cs="方正仿宋_GB2312"/>
          <w:color w:val="auto"/>
          <w:szCs w:val="21"/>
          <w:lang w:eastAsia="zh-CN"/>
        </w:rPr>
        <w:t>电</w:t>
      </w:r>
      <w:r>
        <w:rPr>
          <w:rFonts w:hint="eastAsia" w:ascii="方正仿宋_GB2312" w:hAnsi="方正仿宋_GB2312" w:eastAsia="方正仿宋_GB2312" w:cs="方正仿宋_GB2312"/>
          <w:color w:val="auto"/>
          <w:szCs w:val="21"/>
        </w:rPr>
        <w:t>表位置、型号、数量等建设方案，为后期水</w:t>
      </w:r>
      <w:r>
        <w:rPr>
          <w:rFonts w:hint="eastAsia" w:ascii="方正仿宋_GB2312" w:hAnsi="方正仿宋_GB2312" w:eastAsia="方正仿宋_GB2312" w:cs="方正仿宋_GB2312"/>
          <w:color w:val="auto"/>
          <w:szCs w:val="21"/>
          <w:lang w:eastAsia="zh-CN"/>
        </w:rPr>
        <w:t>电</w:t>
      </w:r>
      <w:r>
        <w:rPr>
          <w:rFonts w:hint="eastAsia" w:ascii="方正仿宋_GB2312" w:hAnsi="方正仿宋_GB2312" w:eastAsia="方正仿宋_GB2312" w:cs="方正仿宋_GB2312"/>
          <w:color w:val="auto"/>
          <w:szCs w:val="21"/>
        </w:rPr>
        <w:t>表安装提供专业设计报告。</w:t>
      </w:r>
    </w:p>
    <w:p w14:paraId="592DE6AD">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4</w:t>
      </w:r>
      <w:r>
        <w:rPr>
          <w:rFonts w:hint="eastAsia" w:ascii="方正仿宋_GB2312" w:hAnsi="方正仿宋_GB2312" w:eastAsia="方正仿宋_GB2312" w:cs="方正仿宋_GB2312"/>
          <w:color w:val="auto"/>
          <w:szCs w:val="21"/>
        </w:rPr>
        <w:t>、</w:t>
      </w:r>
      <w:r>
        <w:rPr>
          <w:rFonts w:hint="eastAsia" w:ascii="方正仿宋_GB2312" w:hAnsi="方正仿宋_GB2312" w:eastAsia="方正仿宋_GB2312" w:cs="方正仿宋_GB2312"/>
          <w:color w:val="auto"/>
          <w:szCs w:val="21"/>
          <w:lang w:val="en-US" w:eastAsia="zh-CN"/>
        </w:rPr>
        <w:t>提交</w:t>
      </w:r>
      <w:r>
        <w:rPr>
          <w:rFonts w:hint="eastAsia" w:ascii="方正仿宋_GB2312" w:hAnsi="方正仿宋_GB2312" w:eastAsia="方正仿宋_GB2312" w:cs="方正仿宋_GB2312"/>
          <w:color w:val="auto"/>
          <w:szCs w:val="21"/>
        </w:rPr>
        <w:t>管网普查成果内容</w:t>
      </w:r>
    </w:p>
    <w:p w14:paraId="5327F79C">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（1）地下管线普查技术设计书（纸质、电子）</w:t>
      </w:r>
    </w:p>
    <w:p w14:paraId="079136D4">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（2）仪器设备清单及检验合格证（纸质）</w:t>
      </w:r>
    </w:p>
    <w:p w14:paraId="18BDBC21">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（3）控制测量成果（纸质、电子）</w:t>
      </w:r>
    </w:p>
    <w:p w14:paraId="0C7D845D">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（4）地下管线数据文件（MDB）（电子）</w:t>
      </w:r>
    </w:p>
    <w:p w14:paraId="3DF62762">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（5）地下管线点成果表（纸质、电子）</w:t>
      </w:r>
    </w:p>
    <w:p w14:paraId="0C7CB935">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（6）地下管线质量自检报告（纸质、电子）</w:t>
      </w:r>
    </w:p>
    <w:p w14:paraId="5FDC0D5C">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（7）1:500地下管线专业图（纸质、电子）</w:t>
      </w:r>
    </w:p>
    <w:p w14:paraId="3EC1D3D6">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（8）地下管线普查技术总结（纸质、电子）</w:t>
      </w:r>
    </w:p>
    <w:p w14:paraId="3D79FCF8">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（9）探查仪器校验和探查方法试验报告（纸质、电子）</w:t>
      </w:r>
    </w:p>
    <w:p w14:paraId="3B8E22A1">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eastAsia="zh-CN"/>
        </w:rPr>
        <w:t>（</w:t>
      </w:r>
      <w:r>
        <w:rPr>
          <w:rFonts w:hint="eastAsia" w:ascii="方正仿宋_GB2312" w:hAnsi="方正仿宋_GB2312" w:eastAsia="方正仿宋_GB2312" w:cs="方正仿宋_GB2312"/>
          <w:color w:val="auto"/>
          <w:szCs w:val="21"/>
        </w:rPr>
        <w:t>1</w:t>
      </w:r>
      <w:r>
        <w:rPr>
          <w:rFonts w:hint="eastAsia" w:ascii="方正仿宋_GB2312" w:hAnsi="方正仿宋_GB2312" w:eastAsia="方正仿宋_GB2312" w:cs="方正仿宋_GB2312"/>
          <w:color w:val="auto"/>
          <w:szCs w:val="21"/>
          <w:lang w:val="en-US" w:eastAsia="zh-CN"/>
        </w:rPr>
        <w:t>0</w:t>
      </w:r>
      <w:r>
        <w:rPr>
          <w:rFonts w:hint="eastAsia" w:ascii="方正仿宋_GB2312" w:hAnsi="方正仿宋_GB2312" w:eastAsia="方正仿宋_GB2312" w:cs="方正仿宋_GB2312"/>
          <w:color w:val="auto"/>
          <w:szCs w:val="21"/>
          <w:lang w:eastAsia="zh-CN"/>
        </w:rPr>
        <w:t>）</w:t>
      </w:r>
      <w:r>
        <w:rPr>
          <w:rFonts w:hint="eastAsia" w:ascii="方正仿宋_GB2312" w:hAnsi="方正仿宋_GB2312" w:eastAsia="方正仿宋_GB2312" w:cs="方正仿宋_GB2312"/>
          <w:color w:val="auto"/>
          <w:szCs w:val="21"/>
        </w:rPr>
        <w:t>地下管网信息管理系统</w:t>
      </w:r>
    </w:p>
    <w:p w14:paraId="3FEE1DC5">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地下管线探测的精度符合以下规定：</w:t>
      </w:r>
    </w:p>
    <w:p w14:paraId="17F6B4D1">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（1）地下管线隐蔽管线点探查精度：平面位置限差δts=0.10h，埋深限差δth=0.15h(h为地下管线中心埋深，单位为厘米，当h＜1m时则以100cm代入计算）。</w:t>
      </w:r>
    </w:p>
    <w:p w14:paraId="6B030E34">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（2）地下管线明显管线点埋深量测精度：当地下管线中心埋深＜2m时，其量测埋深限差为±5cm；当埋深≥2m、＜4m时，其量测埋深限差为±8cm；当埋深≥4m时，其量测埋深限差为±10cm。</w:t>
      </w:r>
    </w:p>
    <w:p w14:paraId="76813DCB">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（3）地下管线点的测量精度：平面位置中误差ms不得大于±5cm（相对于邻近控制点），高程测量中误差mh不得大于±3cm（相对于邻近控制点）。</w:t>
      </w:r>
    </w:p>
    <w:p w14:paraId="58E54745">
      <w:pPr>
        <w:spacing w:line="400" w:lineRule="exact"/>
        <w:ind w:firstLine="630" w:firstLineChars="3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（4）地下管线图测绘精度：地下管线与邻近的建筑物、相邻管线以及规划道路中心线的间距中误差不得大于图上±0.5mm。</w:t>
      </w:r>
    </w:p>
    <w:p w14:paraId="6D37C469">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1.5 资料收集</w:t>
      </w:r>
    </w:p>
    <w:p w14:paraId="5B9CACBC">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在探测前及探测过程中，自行到校内有关单位收集各种管线的设计、施工、竣工等资料，并将管线位置转绘到1:500地形图上，编绘成现况调绘图，了解测区内有关的实际情况，制定相应的技术措施，现场踏勘的内容包括下列几个方面：</w:t>
      </w:r>
    </w:p>
    <w:p w14:paraId="286FC153">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w:t>
      </w:r>
      <w:r>
        <w:rPr>
          <w:rFonts w:hint="eastAsia" w:ascii="方正仿宋_GB2312" w:hAnsi="方正仿宋_GB2312" w:eastAsia="方正仿宋_GB2312" w:cs="方正仿宋_GB2312"/>
          <w:color w:val="auto"/>
          <w:szCs w:val="21"/>
          <w:lang w:val="en-US" w:eastAsia="zh-CN"/>
        </w:rPr>
        <w:t>1</w:t>
      </w:r>
      <w:r>
        <w:rPr>
          <w:rFonts w:hint="eastAsia" w:ascii="方正仿宋_GB2312" w:hAnsi="方正仿宋_GB2312" w:eastAsia="方正仿宋_GB2312" w:cs="方正仿宋_GB2312"/>
          <w:color w:val="auto"/>
          <w:szCs w:val="21"/>
        </w:rPr>
        <w:t>）察看测区地形、地貌、地物、交通情况，了解物理条件及各种可能干扰因素；</w:t>
      </w:r>
    </w:p>
    <w:p w14:paraId="5D6FDF77">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w:t>
      </w:r>
      <w:r>
        <w:rPr>
          <w:rFonts w:hint="eastAsia" w:ascii="方正仿宋_GB2312" w:hAnsi="方正仿宋_GB2312" w:eastAsia="方正仿宋_GB2312" w:cs="方正仿宋_GB2312"/>
          <w:color w:val="auto"/>
          <w:szCs w:val="21"/>
          <w:lang w:val="en-US" w:eastAsia="zh-CN"/>
        </w:rPr>
        <w:t>2</w:t>
      </w:r>
      <w:r>
        <w:rPr>
          <w:rFonts w:hint="eastAsia" w:ascii="方正仿宋_GB2312" w:hAnsi="方正仿宋_GB2312" w:eastAsia="方正仿宋_GB2312" w:cs="方正仿宋_GB2312"/>
          <w:color w:val="auto"/>
          <w:szCs w:val="21"/>
        </w:rPr>
        <w:t>）核查测区内测量控制点的位置和保存情况。</w:t>
      </w:r>
    </w:p>
    <w:p w14:paraId="1DE6DD25">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（3）划分不同的作业区域，按区域或管线长度制定工作计划，确定实施方案。</w:t>
      </w:r>
    </w:p>
    <w:p w14:paraId="721E7DF9">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（4）各管线产权单位指派熟悉本专业管线现状的技术人员协助测绘人员根据管线原始资料及管线现状，进行实地确认并开井调查，对不能确定的管线进行物理探测。</w:t>
      </w:r>
    </w:p>
    <w:p w14:paraId="2506D3D5">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5）采用测量仪器，根据各等级测量控制点，按全野外数据采集的作业方法，准确测定各管线点的坐标及高程。管线点测定结束后，管线坐标文件与属性文件导入计算机形成管线图，并叠加到地形图上，经过编辑整理，形成综合管线图及各专业管线图。</w:t>
      </w:r>
    </w:p>
    <w:p w14:paraId="67470BD4">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（6）将全部调查、测绘成果资料按《规程》要求进行整理，形成管线资料数据库及库线图数据文件，所有调查与测绘的成果均以图纸及电子文档两种介质进行存储。</w:t>
      </w:r>
    </w:p>
    <w:p w14:paraId="1DE0C8E0">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1.6作业流程</w:t>
      </w:r>
    </w:p>
    <w:p w14:paraId="08797ED6">
      <w:pPr>
        <w:spacing w:line="400" w:lineRule="exact"/>
        <w:ind w:firstLine="420" w:firstLineChars="200"/>
        <w:rPr>
          <w:rFonts w:hint="eastAsia" w:ascii="方正仿宋_GB2312" w:hAnsi="方正仿宋_GB2312" w:eastAsia="方正仿宋_GB2312" w:cs="方正仿宋_GB2312"/>
          <w:color w:val="auto"/>
          <w:szCs w:val="21"/>
          <w:lang w:val="en-US" w:eastAsia="zh-CN"/>
        </w:rPr>
      </w:pPr>
      <w:bookmarkStart w:id="195" w:name="_Toc26038"/>
      <w:r>
        <w:rPr>
          <w:rFonts w:hint="eastAsia" w:ascii="方正仿宋_GB2312" w:hAnsi="方正仿宋_GB2312" w:eastAsia="方正仿宋_GB2312" w:cs="方正仿宋_GB2312"/>
          <w:color w:val="auto"/>
          <w:szCs w:val="21"/>
          <w:lang w:val="en-US" w:eastAsia="zh-CN"/>
        </w:rPr>
        <w:t>完成编制进度计划、开展搜集资料、现场踏勘、仪器校验和方法试验、制定探测方案、编写技术设计书、制定安全施工管理措施、实地调查、仪器探查、探测成果的数据格式、数据结构是否具有开放性，管线探测成果文件编制、资料归档等内容、内外业衔接、管线图编绘、技术总结报告编写、成果提交和成果验收等将严格按照相关标准规范要求开展地下管线的探测工作。</w:t>
      </w:r>
    </w:p>
    <w:p w14:paraId="6C4F3AE1">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（1）按照资料调绘、现场踏勘、仪器校验、方法试验、编制项目技术设计书等进行地下管线探测的技术准备；</w:t>
      </w:r>
    </w:p>
    <w:p w14:paraId="36387C90">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2）按照实地调查、隐蔽管线点探查的技术方法进行地下管线种类、埋深、材质、管径、平面坐标、管线高程、埋设方式、连接方式、管线走向（排水）、权属单位等内容要素信息的采集；金属管线隐蔽点探测采用感应法、夹钳法、直接法以及被动源法等电磁感应法进行探测。非金属管线隐蔽点根据管线的特征，采用实地调查、钎探、现场指认、探地雷达等方法进行探测，对不能确定的管线进行物理探测。</w:t>
      </w:r>
    </w:p>
    <w:p w14:paraId="552475C6">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（3）按照地下管线测量的技术要求，对管线点的地面标志进行平面位置和高程联测，计算管线点的三维坐标；</w:t>
      </w:r>
    </w:p>
    <w:p w14:paraId="48A939FB">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（4）形成地下管线外业探测的成果，数据格式须满足本项目要求；</w:t>
      </w:r>
    </w:p>
    <w:p w14:paraId="6EA4CD84">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（5）按照地下管线综合图、地下管线专业图的技术要求进行管线数据的内业编绘；</w:t>
      </w:r>
    </w:p>
    <w:p w14:paraId="47EDA961">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（6）探测过程中作业区之间接边和探测结果后，按照接边的技术要求进行接边检查；</w:t>
      </w:r>
    </w:p>
    <w:p w14:paraId="7D5089AD">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（7）按照质量检验的内容和技术方法进行地下管线数据的质量检验；</w:t>
      </w:r>
    </w:p>
    <w:p w14:paraId="72C37575">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（8）按照内外业验收的技术方法进行最终的成果验收，提供的最终数据须满足国家现行规范及甲方要求。</w:t>
      </w:r>
    </w:p>
    <w:p w14:paraId="49D3959E">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地下管线须查明的建（构）筑物、附属设施及其它特征点：</w:t>
      </w:r>
    </w:p>
    <w:tbl>
      <w:tblPr>
        <w:tblStyle w:val="31"/>
        <w:tblW w:w="808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43"/>
        <w:gridCol w:w="2693"/>
        <w:gridCol w:w="2835"/>
      </w:tblGrid>
      <w:tr w14:paraId="5645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007A5D3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bCs/>
                <w:color w:val="auto"/>
                <w:kern w:val="2"/>
                <w:sz w:val="21"/>
                <w:szCs w:val="21"/>
              </w:rPr>
            </w:pPr>
            <w:r>
              <w:rPr>
                <w:rFonts w:hint="eastAsia" w:ascii="方正仿宋_GB2312" w:hAnsi="方正仿宋_GB2312" w:eastAsia="方正仿宋_GB2312" w:cs="方正仿宋_GB2312"/>
                <w:bCs/>
                <w:color w:val="auto"/>
                <w:kern w:val="2"/>
                <w:sz w:val="21"/>
                <w:szCs w:val="21"/>
                <w:lang w:val="en-US" w:eastAsia="zh-CN" w:bidi="ar"/>
              </w:rPr>
              <w:t>管线种类</w:t>
            </w:r>
          </w:p>
        </w:tc>
        <w:tc>
          <w:tcPr>
            <w:tcW w:w="1843" w:type="dxa"/>
            <w:vMerge w:val="restart"/>
            <w:tcBorders>
              <w:top w:val="single" w:color="auto" w:sz="4" w:space="0"/>
              <w:left w:val="single" w:color="auto" w:sz="4" w:space="0"/>
              <w:bottom w:val="single" w:color="auto" w:sz="4" w:space="0"/>
              <w:right w:val="single" w:color="auto" w:sz="4" w:space="0"/>
            </w:tcBorders>
            <w:noWrap w:val="0"/>
            <w:vAlign w:val="center"/>
          </w:tcPr>
          <w:p w14:paraId="151DEA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bCs/>
                <w:color w:val="auto"/>
                <w:kern w:val="2"/>
                <w:sz w:val="21"/>
                <w:szCs w:val="21"/>
              </w:rPr>
            </w:pPr>
            <w:r>
              <w:rPr>
                <w:rFonts w:hint="eastAsia" w:ascii="方正仿宋_GB2312" w:hAnsi="方正仿宋_GB2312" w:eastAsia="方正仿宋_GB2312" w:cs="方正仿宋_GB2312"/>
                <w:bCs/>
                <w:color w:val="auto"/>
                <w:kern w:val="2"/>
                <w:sz w:val="21"/>
                <w:szCs w:val="21"/>
                <w:lang w:val="en-US" w:eastAsia="zh-CN" w:bidi="ar"/>
              </w:rPr>
              <w:t>地面建（构）筑物</w:t>
            </w:r>
          </w:p>
        </w:tc>
        <w:tc>
          <w:tcPr>
            <w:tcW w:w="5528" w:type="dxa"/>
            <w:gridSpan w:val="2"/>
            <w:tcBorders>
              <w:top w:val="single" w:color="auto" w:sz="4" w:space="0"/>
              <w:left w:val="single" w:color="auto" w:sz="4" w:space="0"/>
              <w:bottom w:val="single" w:color="auto" w:sz="4" w:space="0"/>
              <w:right w:val="single" w:color="auto" w:sz="4" w:space="0"/>
            </w:tcBorders>
            <w:noWrap w:val="0"/>
            <w:vAlign w:val="center"/>
          </w:tcPr>
          <w:p w14:paraId="18C7EB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bCs/>
                <w:color w:val="auto"/>
                <w:kern w:val="2"/>
                <w:sz w:val="21"/>
                <w:szCs w:val="21"/>
              </w:rPr>
            </w:pPr>
            <w:r>
              <w:rPr>
                <w:rFonts w:hint="eastAsia" w:ascii="方正仿宋_GB2312" w:hAnsi="方正仿宋_GB2312" w:eastAsia="方正仿宋_GB2312" w:cs="方正仿宋_GB2312"/>
                <w:bCs/>
                <w:color w:val="auto"/>
                <w:kern w:val="2"/>
                <w:sz w:val="21"/>
                <w:szCs w:val="21"/>
                <w:lang w:val="en-US" w:eastAsia="zh-CN" w:bidi="ar"/>
              </w:rPr>
              <w:t>管线点</w:t>
            </w:r>
          </w:p>
        </w:tc>
      </w:tr>
      <w:tr w14:paraId="460B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2D1C3539">
            <w:pPr>
              <w:keepNext w:val="0"/>
              <w:keepLines w:val="0"/>
              <w:pageBreakBefore w:val="0"/>
              <w:kinsoku/>
              <w:wordWrap/>
              <w:overflowPunct/>
              <w:topLinePunct w:val="0"/>
              <w:autoSpaceDE/>
              <w:autoSpaceDN/>
              <w:bidi w:val="0"/>
              <w:adjustRightInd/>
              <w:spacing w:line="360" w:lineRule="exact"/>
              <w:textAlignment w:val="auto"/>
              <w:rPr>
                <w:rFonts w:hint="eastAsia" w:ascii="方正仿宋_GB2312" w:hAnsi="方正仿宋_GB2312" w:eastAsia="方正仿宋_GB2312" w:cs="方正仿宋_GB2312"/>
                <w:color w:val="auto"/>
                <w:sz w:val="20"/>
                <w:szCs w:val="20"/>
              </w:rPr>
            </w:pPr>
          </w:p>
        </w:tc>
        <w:tc>
          <w:tcPr>
            <w:tcW w:w="1843" w:type="dxa"/>
            <w:vMerge w:val="continue"/>
            <w:tcBorders>
              <w:top w:val="single" w:color="auto" w:sz="4" w:space="0"/>
              <w:left w:val="single" w:color="auto" w:sz="4" w:space="0"/>
              <w:bottom w:val="single" w:color="auto" w:sz="4" w:space="0"/>
              <w:right w:val="single" w:color="auto" w:sz="4" w:space="0"/>
            </w:tcBorders>
            <w:noWrap w:val="0"/>
            <w:vAlign w:val="center"/>
          </w:tcPr>
          <w:p w14:paraId="390292FA">
            <w:pPr>
              <w:keepNext w:val="0"/>
              <w:keepLines w:val="0"/>
              <w:pageBreakBefore w:val="0"/>
              <w:kinsoku/>
              <w:wordWrap/>
              <w:overflowPunct/>
              <w:topLinePunct w:val="0"/>
              <w:autoSpaceDE/>
              <w:autoSpaceDN/>
              <w:bidi w:val="0"/>
              <w:adjustRightInd/>
              <w:spacing w:line="360" w:lineRule="exact"/>
              <w:textAlignment w:val="auto"/>
              <w:rPr>
                <w:rFonts w:hint="eastAsia" w:ascii="方正仿宋_GB2312" w:hAnsi="方正仿宋_GB2312" w:eastAsia="方正仿宋_GB2312" w:cs="方正仿宋_GB2312"/>
                <w:color w:val="auto"/>
                <w:sz w:val="20"/>
                <w:szCs w:val="20"/>
              </w:rPr>
            </w:pPr>
          </w:p>
        </w:tc>
        <w:tc>
          <w:tcPr>
            <w:tcW w:w="2693" w:type="dxa"/>
            <w:tcBorders>
              <w:top w:val="single" w:color="auto" w:sz="4" w:space="0"/>
              <w:left w:val="single" w:color="auto" w:sz="4" w:space="0"/>
              <w:bottom w:val="single" w:color="auto" w:sz="4" w:space="0"/>
              <w:right w:val="single" w:color="auto" w:sz="4" w:space="0"/>
            </w:tcBorders>
            <w:noWrap w:val="0"/>
            <w:vAlign w:val="center"/>
          </w:tcPr>
          <w:p w14:paraId="168F45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bCs/>
                <w:color w:val="auto"/>
                <w:kern w:val="2"/>
                <w:sz w:val="21"/>
                <w:szCs w:val="21"/>
              </w:rPr>
            </w:pPr>
            <w:r>
              <w:rPr>
                <w:rFonts w:hint="eastAsia" w:ascii="方正仿宋_GB2312" w:hAnsi="方正仿宋_GB2312" w:eastAsia="方正仿宋_GB2312" w:cs="方正仿宋_GB2312"/>
                <w:bCs/>
                <w:color w:val="auto"/>
                <w:kern w:val="2"/>
                <w:sz w:val="21"/>
                <w:szCs w:val="21"/>
                <w:lang w:val="en-US" w:eastAsia="zh-CN" w:bidi="ar"/>
              </w:rPr>
              <w:t>特征点</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EC155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bCs/>
                <w:color w:val="auto"/>
                <w:kern w:val="2"/>
                <w:sz w:val="21"/>
                <w:szCs w:val="21"/>
              </w:rPr>
            </w:pPr>
            <w:r>
              <w:rPr>
                <w:rFonts w:hint="eastAsia" w:ascii="方正仿宋_GB2312" w:hAnsi="方正仿宋_GB2312" w:eastAsia="方正仿宋_GB2312" w:cs="方正仿宋_GB2312"/>
                <w:bCs/>
                <w:color w:val="auto"/>
                <w:kern w:val="2"/>
                <w:sz w:val="21"/>
                <w:szCs w:val="21"/>
                <w:lang w:val="en-US" w:eastAsia="zh-CN" w:bidi="ar"/>
              </w:rPr>
              <w:t>附属物</w:t>
            </w:r>
          </w:p>
        </w:tc>
      </w:tr>
      <w:tr w14:paraId="07AE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700268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给水及消防</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5DD28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水源、泵房、水池、取用水构筑物</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1EC9F29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出/入地点、进/出水口、给水接入点、弯头、抱箍、三通、四通、变径、变材、蒙板、伸缩器、终点、进出房点、预留口、交叉点、变坡点、一般管线点、偏心点、井边点、非探测区去向</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37FE2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阀门、软连接、控制设备、阀门井、水表、水表井、消防井、消防栓</w:t>
            </w:r>
          </w:p>
        </w:tc>
      </w:tr>
      <w:tr w14:paraId="6EA9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3C9778A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排水</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B0668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暗沟地面出口、出口闸、排水泵站、化粪池、隔油池、沉淀池、污水处理站</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7EC787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进水口、出水口、三通、四通、多通、隔栅、变材、变径、预留口、转折点、进出房点、交叉点、变坡点、一般管线点、偏心点、井边点、非探测区去向</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AC61D4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检查井、跌水井、水封井、冲洗井、雨落口、沉泥井、泵井、溢流井、连接暗井、排污装置、排气井、倒虹井、阀门、立管</w:t>
            </w:r>
          </w:p>
        </w:tc>
      </w:tr>
      <w:tr w14:paraId="212B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29FD22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电力</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995D1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高压/低压配电房、高压环网开关站、箱式开关站、电力杆塔</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7A7DBF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引上点、进出房点、预留口、井边点、交叉点、一般管线点、非探测区去向、电缆接头、电缆盘留点、偏心点、分支点</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595D14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电力井、低压开关柜、地面箱式变压器、通风井、电力盖板、电线杆、分线箱，以及校园照明的灯杆、景观灯、照明控制箱、路灯专用变压器、接线井、照明分线盒、灯箱、广告牌</w:t>
            </w:r>
          </w:p>
        </w:tc>
      </w:tr>
      <w:tr w14:paraId="4806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754519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0"/>
                <w:sz w:val="21"/>
                <w:szCs w:val="21"/>
                <w:lang w:val="en-US" w:eastAsia="zh-CN" w:bidi="ar"/>
              </w:rPr>
              <w:t>通信</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B1B4B9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机楼、控制室、差转台、发射塔、放大器、交换站</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2BD072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引上点、进出房点、预留口、井边点、交叉点、一般管线点、偏心点、分支点、非探测区去向</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67AC9F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人孔、手孔、交接箱、分线箱、杆塔</w:t>
            </w:r>
          </w:p>
        </w:tc>
      </w:tr>
      <w:tr w14:paraId="6BEF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5E82C74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燃气</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55301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调压站、储气柜、计量站、调压箱</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4DFA39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弯头、三通、四通、变径、变材、管末、出地点、进出房点、预留口、交叉点、变坡点、一般管线点、偏心点、井边点、非探测区去向</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EA159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kern w:val="2"/>
                <w:sz w:val="21"/>
                <w:szCs w:val="21"/>
                <w:lang w:val="en-US" w:eastAsia="zh-CN" w:bidi="ar"/>
              </w:rPr>
              <w:t>排水器、阀门、阀门井、放散装置</w:t>
            </w:r>
          </w:p>
        </w:tc>
      </w:tr>
      <w:tr w14:paraId="18F0B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1662C4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center"/>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spacing w:val="0"/>
                <w:kern w:val="0"/>
                <w:sz w:val="21"/>
                <w:szCs w:val="21"/>
                <w:lang w:val="en-US" w:eastAsia="zh-CN" w:bidi="ar"/>
              </w:rPr>
              <w:t>热力</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0812D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spacing w:val="0"/>
                <w:kern w:val="2"/>
                <w:sz w:val="21"/>
                <w:szCs w:val="21"/>
                <w:lang w:val="en-US" w:eastAsia="zh-CN" w:bidi="ar"/>
              </w:rPr>
              <w:t>锅炉房、泵站</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4E93AB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spacing w:val="0"/>
                <w:kern w:val="2"/>
                <w:sz w:val="21"/>
                <w:szCs w:val="21"/>
                <w:lang w:val="en-US" w:eastAsia="zh-CN" w:bidi="ar"/>
              </w:rPr>
              <w:t>直线点、弯头、三通、 四通、变径、变材、管帽、预留 口、</w:t>
            </w:r>
            <w:r>
              <w:rPr>
                <w:rFonts w:hint="eastAsia" w:ascii="方正仿宋_GB2312" w:hAnsi="方正仿宋_GB2312" w:eastAsia="方正仿宋_GB2312" w:cs="方正仿宋_GB2312"/>
                <w:color w:val="auto"/>
                <w:kern w:val="2"/>
                <w:sz w:val="21"/>
                <w:szCs w:val="21"/>
                <w:lang w:val="en-US" w:eastAsia="zh-CN" w:bidi="ar"/>
              </w:rPr>
              <w:t>非探测区去向</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BC912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firstLine="0" w:firstLineChars="0"/>
              <w:jc w:val="both"/>
              <w:textAlignment w:val="auto"/>
              <w:rPr>
                <w:rFonts w:hint="eastAsia" w:ascii="方正仿宋_GB2312" w:hAnsi="方正仿宋_GB2312" w:eastAsia="方正仿宋_GB2312" w:cs="方正仿宋_GB2312"/>
                <w:color w:val="auto"/>
                <w:kern w:val="2"/>
                <w:sz w:val="21"/>
                <w:szCs w:val="21"/>
              </w:rPr>
            </w:pPr>
            <w:r>
              <w:rPr>
                <w:rFonts w:hint="eastAsia" w:ascii="方正仿宋_GB2312" w:hAnsi="方正仿宋_GB2312" w:eastAsia="方正仿宋_GB2312" w:cs="方正仿宋_GB2312"/>
                <w:color w:val="auto"/>
                <w:spacing w:val="0"/>
                <w:kern w:val="0"/>
                <w:sz w:val="21"/>
                <w:szCs w:val="21"/>
                <w:lang w:val="en-US" w:eastAsia="zh-CN" w:bidi="ar"/>
              </w:rPr>
              <w:t>阀门、软连接、控制设备、换热设备、检修井、阀门井</w:t>
            </w:r>
          </w:p>
        </w:tc>
      </w:tr>
    </w:tbl>
    <w:p w14:paraId="2C574F65">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二、管线三维建模要求</w:t>
      </w:r>
    </w:p>
    <w:p w14:paraId="1B92446D">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2.1 地下管网建模</w:t>
      </w:r>
    </w:p>
    <w:p w14:paraId="169A4C0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地下管线具有隐蔽性强、数据量大、错综复杂等特点，因而管线模型要求层次清晰、形象生动，能够清晰、直观地反应地下管线的空间分布情况。基于地下管线测绘的数据成果，按照有关数据标准和规范，利用专业工具对地下管线和管点数据进行处理，生成校园地下管线三维模型，并对生成的模型进行质量检查和模型优化，最终入库存储，形成一套完整的地下管线三维模型数据库。</w:t>
      </w:r>
    </w:p>
    <w:p w14:paraId="1318F1CD">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三维管网数据建模，将校内现有的相关管线建模。把管线探测结果快速生成三维管线模型。其中管线（包括圆管、方沟、管块、竖管等）、特征点（包括弯头、直通、三通、四通、五通、多通、变径、盖堵、管帽等）和井（方井、圆井、井室、偏心井、雨篦等）自动生成三维模型，生成时可以设置各管线类型、井、井盖材质；附属设施（包括蝶阀，球阀，排气阀，法兰，闸阀，压力表、控制柜、变压器、分线箱）。</w:t>
      </w:r>
    </w:p>
    <w:p w14:paraId="04E069BC">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管线三维模型建模，对地下管网按照真实空间属性信息进行三维建模，通过建模完成真三维场景的模拟化，能够支持在系统平台中实现真三维管理，并提供一套三维自动化参数化建模工具系统，具备三维自动化参数化建模的能力，可完成从原始管线数据进行数据接入、数据处理及三维管线数据模型构建等工作，并将成果数据入库。</w:t>
      </w:r>
    </w:p>
    <w:p w14:paraId="6A037D8B">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本平台包括所有地下设施设备要素管理与分析，包含管网基础信息管理、管网显示控制、管网数据管理、管网模拟开挖、截面分析、管网维护、管网批量化导入、停水分析、电力自动放缆功能、管网历史建设管理等应用功能。实现了对校园不可视管网资源的可视化管理，对各类型管网资源信息进行综合性统计分析，实现精细化管理。</w:t>
      </w:r>
    </w:p>
    <w:p w14:paraId="7203B58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1.水管网管理</w:t>
      </w:r>
    </w:p>
    <w:p w14:paraId="752142C3">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1）水管网基础信息管理：给排水管网相关数据应包含各类型水井、井盖材质、水管道、水管材质、连通器、水阀、泵房、水箱、水终端、建设年份、管道内容物等信息。</w:t>
      </w:r>
    </w:p>
    <w:p w14:paraId="1EA21FBF">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2）管网显示控制：多种水管网信息分图层显示，能够控制在地图中显示多种或一种类型的水管网信息。</w:t>
      </w:r>
    </w:p>
    <w:p w14:paraId="0D9A2715">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3).管网三维可视化展现：系统基于室外三维地图，实现三维显示和丰富的水管线管理功能。能够在室外三维地图中直观化显示水井、水管道等管网要素的分布位置以及管网要素间的连接关系，以及管网要素的相关信息。</w:t>
      </w:r>
    </w:p>
    <w:p w14:paraId="1A442D67">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4）水管网批量导入：能够通过文件批量导入室外水井、水管道等水管网要素的属性及位置信息，并在地图中预览批量导入数据的分布位置，并可在预览后撤销导入操作，使系统数据回退到导入前状态。</w:t>
      </w:r>
    </w:p>
    <w:p w14:paraId="7FBDAFE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5）水管网数据管理：能够在系统中自主标注室外水井、水管道、等资源的空间位置，以及对各类水管网要素属性信息进行管理，支持用户上传多张水管网要素照片，并能够对照片描述信息进行管理。</w:t>
      </w:r>
    </w:p>
    <w:p w14:paraId="1C04A8C3">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6）水管网信息浏览：能够显示指定水井内部的管网要素信息，包含水管道、阀门、连通器等水管网要素的详细信息。</w:t>
      </w:r>
    </w:p>
    <w:p w14:paraId="2A879FA1">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7）水井周边信息查询：能够对指定水井周边水井的相关信息的查询，掌握周边井名称、类型等相关信息，并能够在地图中直观显示指定水井与临近井之间的直线距离。</w:t>
      </w:r>
    </w:p>
    <w:p w14:paraId="0559DC3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8）水管网查询定位：支持在室外地图中对水管网资源要素进行定位，并通过地图对要素详细信息进行调用。</w:t>
      </w:r>
    </w:p>
    <w:p w14:paraId="64E4E4E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9）水管网维护：能够对水井、水管道等水管网要素的定期巡查和维护进行多级化、流程化申请、审批管理，保证水管网数据的真实，有效。</w:t>
      </w:r>
    </w:p>
    <w:p w14:paraId="145249F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 xml:space="preserve">2.电力、通讯、燃气管网管理 </w:t>
      </w:r>
    </w:p>
    <w:p w14:paraId="3E2B423C">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基础信息管理：校园电力管网相关数据应包含各类型电力井、电力管道、内容物、电表、光纤、网线、电缆、配电箱、变压器、配电站、开闭站、变电站、配电间、电力管网要素现状照片等信息，并能够对材质、类型、用途等电力管网相关要素进行管理。</w:t>
      </w:r>
    </w:p>
    <w:p w14:paraId="2C93232B">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2）管网数据管理：能够在系统中自主标注对井、管道、各类管网终端设备等资源进行在线标注和动态更新，高效编辑与维护地下管网资源的属性、空间、形状信息。</w:t>
      </w:r>
    </w:p>
    <w:p w14:paraId="295DD456">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3）管网三维可视化：能够在三维地图中直观展示圈定范围内的三维地下管网分布情况，包括电力井、电力管道的空间的位置以及管网要素的详细信息。（需要提供系统截图）</w:t>
      </w:r>
    </w:p>
    <w:p w14:paraId="02F5727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4）电力管道自动放缆：具有自动放缆功能，能够根据起始点与终点，自动计算放置电缆路径，并放置电缆，实现电缆放置规划的辅助支持。</w:t>
      </w:r>
    </w:p>
    <w:p w14:paraId="1E1FBECB">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5）电力管网图层显示：能够根据用电类型在校园多种地图中显示各类型电缆空间分布情况。</w:t>
      </w:r>
    </w:p>
    <w:p w14:paraId="18BC3901">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6）电源管理：能够在校园地图中管理输入电源所在空间位置，并实现对于输入电源详细信息及管理单位、相关责任人等信息进行精细化管理，实现对输入电源的可视化管理。</w:t>
      </w:r>
    </w:p>
    <w:p w14:paraId="755AF89F">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7）配电室管理：能够对校园各类配电室的空间分布位置、设备信息、维保信息、相关负责人与电力管网的路由连通情况等进行全面精细化管理。</w:t>
      </w:r>
    </w:p>
    <w:p w14:paraId="46A0E1DE">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8）井周边信息查询：支持对指定井周边电力井的信息进行查询，掌握周边井名称等相关信息，并能够在地图中直观显示指定井与临近井之间的直线距离。</w:t>
      </w:r>
    </w:p>
    <w:p w14:paraId="516DE36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3.雨污水管网数据管理：利用校园现有雨污水管网图及现场勘探，核对结果绘制两个校区雨污水管网3D数据图。</w:t>
      </w:r>
    </w:p>
    <w:p w14:paraId="7E2F79E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4.水、电管网（含管廊）资源空间分析</w:t>
      </w:r>
    </w:p>
    <w:p w14:paraId="3C930DC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1）停水停电分析：具有对管网停水停电情况空间分析功能，能够根据管网附属设备设施的开闭状态、管网运行状态等分析供停水停电影响范围，并以不同颜色标示停水影响范围。</w:t>
      </w:r>
    </w:p>
    <w:p w14:paraId="4E76BCFF">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2）管网截面分析：用户可以通过任意位置标注横截面来获取地下管网资源在横截面位置的信息状况，包括管道埋深、管道相对距离等。</w:t>
      </w:r>
    </w:p>
    <w:p w14:paraId="7CE994BD">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3）管网模拟开挖分析：通过在三维地图上模拟开挖查看园区内地下水管道的影响范围，从而帮助用户服务于各类水管网建设施工、前期规划和管理工作。</w:t>
      </w:r>
    </w:p>
    <w:p w14:paraId="7B1D0A45">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4）管线埋深管控：通过设定水管线的埋设深度，可将水管线抬升过地面或下沉至地下，以便对水管线数据的管理。</w:t>
      </w:r>
    </w:p>
    <w:p w14:paraId="79D90ED6">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5）管网建设历史查询：通过对管网的建设时间规划、材质和查询管网的使用情况，从而为校园后勤工作正常开展提供了有力保障。</w:t>
      </w:r>
    </w:p>
    <w:p w14:paraId="45DB7C42">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6）自定义范围查询管网信息：能够在地图中通过自定义范围查询相关管网信息，并能够对范围内各种组件进行统计分析。</w:t>
      </w:r>
    </w:p>
    <w:p w14:paraId="46B5599A">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7）管道长度统计：能够按照管道长度进行排序，能够对管道信息进行统计分析，将统计结果以饼状图或柱状图进行表示，支持将统计结果图表保存成图片进行输出。</w:t>
      </w:r>
    </w:p>
    <w:p w14:paraId="62EC1667">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8）管道长度计算器：支持管道长度计算器功能，能够在管道列表或直接在地图中选择指定管道，计算所选择的管道的综合长度及平均长度。</w:t>
      </w:r>
    </w:p>
    <w:p w14:paraId="285B8EEE">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9）管网统计分析：支持按照属性信息等指定条件对管网信息进行统计分析功能，并能够以图表方式展示统计分析结果，支持将统计图输出成图片进行存储，统计表以文件形成进行存储。</w:t>
      </w:r>
    </w:p>
    <w:p w14:paraId="46EFC305">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10）管网负责人分析：支持按照管网建设与维护负责单位对管道信息进行查询，并进行统计分析，支持以饼状图或柱状图的形式显示统计分析结果，并在地图中以不同颜色区分出查询的指定责任单位所负责区域。</w:t>
      </w:r>
    </w:p>
    <w:p w14:paraId="6C5D2EA8">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11）管网数据概览：具有管网整体态势功能，通过该功能，能够查询整个项目区管网态势，例如井、管道等要素的数量、长度等信息，并支持将整体态势以图片方式进行存储。</w:t>
      </w:r>
    </w:p>
    <w:p w14:paraId="1035C0C1">
      <w:pPr>
        <w:pStyle w:val="3"/>
        <w:spacing w:before="0" w:after="0" w:line="360" w:lineRule="auto"/>
        <w:rPr>
          <w:rFonts w:hint="eastAsia" w:ascii="方正仿宋_GB2312" w:hAnsi="方正仿宋_GB2312" w:eastAsia="方正仿宋_GB2312" w:cs="方正仿宋_GB2312"/>
          <w:color w:val="auto"/>
          <w:sz w:val="28"/>
          <w:szCs w:val="28"/>
          <w:lang w:eastAsia="zh-CN"/>
        </w:rPr>
      </w:pPr>
      <w:r>
        <w:rPr>
          <w:rFonts w:hint="eastAsia" w:ascii="方正仿宋_GB2312" w:hAnsi="方正仿宋_GB2312" w:eastAsia="方正仿宋_GB2312" w:cs="方正仿宋_GB2312"/>
          <w:color w:val="auto"/>
          <w:sz w:val="28"/>
          <w:szCs w:val="28"/>
          <w:lang w:val="en-US" w:eastAsia="zh-CN"/>
        </w:rPr>
        <w:t>2.2 地上</w:t>
      </w:r>
      <w:r>
        <w:rPr>
          <w:rFonts w:hint="eastAsia" w:ascii="方正仿宋_GB2312" w:hAnsi="方正仿宋_GB2312" w:eastAsia="方正仿宋_GB2312" w:cs="方正仿宋_GB2312"/>
          <w:color w:val="auto"/>
          <w:sz w:val="28"/>
          <w:szCs w:val="28"/>
        </w:rPr>
        <w:t>三维建模</w:t>
      </w:r>
      <w:bookmarkEnd w:id="195"/>
    </w:p>
    <w:p w14:paraId="7589960A">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 w:val="21"/>
          <w:lang w:val="en-US" w:eastAsia="zh-CN"/>
        </w:rPr>
        <w:t>1、</w:t>
      </w:r>
      <w:r>
        <w:rPr>
          <w:rFonts w:hint="eastAsia" w:ascii="方正仿宋_GB2312" w:hAnsi="方正仿宋_GB2312" w:eastAsia="方正仿宋_GB2312" w:cs="方正仿宋_GB2312"/>
          <w:color w:val="auto"/>
          <w:sz w:val="21"/>
        </w:rPr>
        <w:t>遥感数据要求</w:t>
      </w:r>
      <w:r>
        <w:rPr>
          <w:rFonts w:hint="eastAsia" w:ascii="方正仿宋_GB2312" w:hAnsi="方正仿宋_GB2312" w:eastAsia="方正仿宋_GB2312" w:cs="方正仿宋_GB2312"/>
          <w:color w:val="auto"/>
          <w:sz w:val="21"/>
          <w:lang w:eastAsia="zh-CN"/>
        </w:rPr>
        <w:t>：</w:t>
      </w:r>
      <w:r>
        <w:rPr>
          <w:rFonts w:hint="eastAsia" w:ascii="方正仿宋_GB2312" w:hAnsi="方正仿宋_GB2312" w:eastAsia="方正仿宋_GB2312" w:cs="方正仿宋_GB2312"/>
          <w:color w:val="auto"/>
          <w:sz w:val="21"/>
        </w:rPr>
        <w:t>通过无人机</w:t>
      </w:r>
      <w:r>
        <w:rPr>
          <w:rFonts w:hint="eastAsia" w:ascii="方正仿宋_GB2312" w:hAnsi="方正仿宋_GB2312" w:eastAsia="方正仿宋_GB2312" w:cs="方正仿宋_GB2312"/>
          <w:color w:val="auto"/>
          <w:szCs w:val="21"/>
          <w:lang w:val="en-US" w:eastAsia="zh-CN"/>
        </w:rPr>
        <w:t>航拍或遥感获取校园影像数据，通过校园倾斜影像数据</w:t>
      </w:r>
    </w:p>
    <w:p w14:paraId="6F458950">
      <w:pPr>
        <w:spacing w:line="400" w:lineRule="exact"/>
        <w:rPr>
          <w:rFonts w:hint="eastAsia" w:ascii="方正仿宋_GB2312" w:hAnsi="方正仿宋_GB2312" w:eastAsia="方正仿宋_GB2312" w:cs="方正仿宋_GB2312"/>
          <w:color w:val="auto"/>
          <w:sz w:val="21"/>
        </w:rPr>
      </w:pPr>
      <w:r>
        <w:rPr>
          <w:rFonts w:hint="eastAsia" w:ascii="方正仿宋_GB2312" w:hAnsi="方正仿宋_GB2312" w:eastAsia="方正仿宋_GB2312" w:cs="方正仿宋_GB2312"/>
          <w:color w:val="auto"/>
          <w:szCs w:val="21"/>
          <w:lang w:val="en-US" w:eastAsia="zh-CN"/>
        </w:rPr>
        <w:t>应建立校园三维模型，倾斜影像分辨率在0.05米以上，通过倾斜摄影模型数据进行数据导入、数据单体化、数据处理、数据修补等工作，完成三维场景三维瓦片缓存数据生产，并将数据成果入库，</w:t>
      </w:r>
      <w:r>
        <w:rPr>
          <w:rFonts w:hint="eastAsia" w:ascii="方正仿宋_GB2312" w:hAnsi="方正仿宋_GB2312" w:eastAsia="方正仿宋_GB2312" w:cs="方正仿宋_GB2312"/>
          <w:color w:val="auto"/>
          <w:sz w:val="21"/>
        </w:rPr>
        <w:t>模型以国测2000坐标系为标准与校园空间信息数据坐标保持一致，要能够与空间信息数据进行叠加，实现无缝嵌套。</w:t>
      </w:r>
    </w:p>
    <w:p w14:paraId="17084023">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eastAsia="zh-CN"/>
        </w:rPr>
      </w:pPr>
      <w:r>
        <w:rPr>
          <w:rFonts w:hint="eastAsia" w:ascii="方正仿宋_GB2312" w:hAnsi="方正仿宋_GB2312" w:eastAsia="方正仿宋_GB2312" w:cs="方正仿宋_GB2312"/>
          <w:color w:val="auto"/>
          <w:sz w:val="21"/>
          <w:lang w:val="en-US" w:eastAsia="zh-CN"/>
        </w:rPr>
        <w:t>2、</w:t>
      </w:r>
      <w:r>
        <w:rPr>
          <w:rFonts w:hint="eastAsia" w:ascii="方正仿宋_GB2312" w:hAnsi="方正仿宋_GB2312" w:eastAsia="方正仿宋_GB2312" w:cs="方正仿宋_GB2312"/>
          <w:color w:val="auto"/>
          <w:sz w:val="21"/>
          <w:lang w:eastAsia="zh-CN"/>
        </w:rPr>
        <w:t>模型格式要求：应提供</w:t>
      </w:r>
      <w:r>
        <w:rPr>
          <w:rFonts w:hint="eastAsia" w:ascii="方正仿宋_GB2312" w:hAnsi="方正仿宋_GB2312" w:eastAsia="方正仿宋_GB2312" w:cs="方正仿宋_GB2312"/>
          <w:color w:val="auto"/>
          <w:sz w:val="21"/>
          <w:lang w:val="en-US" w:eastAsia="zh-CN"/>
        </w:rPr>
        <w:t>.3ds、.fbx、.3Dtiles等格式的模型文件。</w:t>
      </w:r>
      <w:r>
        <w:rPr>
          <w:rFonts w:hint="eastAsia" w:ascii="方正仿宋_GB2312" w:hAnsi="方正仿宋_GB2312" w:eastAsia="方正仿宋_GB2312" w:cs="方正仿宋_GB2312"/>
          <w:color w:val="auto"/>
          <w:sz w:val="21"/>
          <w:lang w:eastAsia="zh-CN"/>
        </w:rPr>
        <w:t>为达到精细化建模及后期平台应用，需对模型进行精细化修模，减少模型面数的同时保持原有的分辨率。对模型实行模块划分，校园每个建筑为独立模块，路面、地形、过境水系、绿化、路灯、井盖等为独立模块。</w:t>
      </w:r>
    </w:p>
    <w:p w14:paraId="6528BBC8">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3、地表三维景观模型制作范围包括：新疆农业大学内的建筑物、路面、花坛、小品，树木、灯杆、停车场等；</w:t>
      </w:r>
    </w:p>
    <w:p w14:paraId="0D602B14">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校园内的重点建筑物三维模型要求能够真实、美观，具有建筑物名称，可供用户属性查询和点击查看。</w:t>
      </w:r>
    </w:p>
    <w:p w14:paraId="55E5867B">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三维模型的要求主要在以下方面：纹理结构、纹理贴图的大小、纹理贴图的格式、模型的面片数量。</w:t>
      </w:r>
    </w:p>
    <w:p w14:paraId="759AD53A">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具体制作要求如下：</w:t>
      </w:r>
    </w:p>
    <w:p w14:paraId="318888B6">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1）办公楼、教学楼等重点建筑物模型须真实反映建筑立面大于0.5m左右的凸凹结构、主要附属结构、楼层数，包括女儿墙、0.5米以上的屋檐、古建挑檐、房顶装饰物及塔形天线、出入口、窗口的凸凹结构和下穿结构，其余长、宽、高等任意维度变化大于0.5米的细节。此外，如需做室内模型,要求室内模型可以反映出建筑主要附属结构，建筑主要特征、色调与照片一致。</w:t>
      </w:r>
    </w:p>
    <w:p w14:paraId="2565A8B6">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（2）住宅楼、门岗等建筑物模型须真实反映建筑立面大于0.5m左右的凸凹结构、主要附属结构、楼层数，包括女儿墙；0.5米以上的屋檐、出入口和下穿结构，其余长、宽、高等任意维度变化大于0.5米的细节。</w:t>
      </w:r>
    </w:p>
    <w:p w14:paraId="31250410">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（3）临街的围墙、栅栏（含与临街围墙相连的侧面围墙）、停车棚，以及与围墙相连的警卫室、门卫室等需要按实际位置、尺寸建模。</w:t>
      </w:r>
    </w:p>
    <w:p w14:paraId="032D6BF9">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4）地面模型（包括地面、斜坡、湖泊、沟渠、地面河流、水库、堤坝、花圃花坛）表现地面高差大于0.3m的结构，地形、景观绿地的草地须按影像中的实际范围、形状、种类建立模型，球场地面按实际贴图，也可采用与实际相似的公共纹理。</w:t>
      </w:r>
    </w:p>
    <w:p w14:paraId="50BE7F1D">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（5）道路需要表现双向两车道路面中心线、车行道分界线、车行道边缘线、人行横道线、距离确认线、出入口标线、导向箭头、路面文字标记等，交通路牌、路标、交通指示标志牌、广告牌等必须建模表现。</w:t>
      </w:r>
    </w:p>
    <w:p w14:paraId="08D80108">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6）校区内雕塑、座椅、步廊、路亭，城市、垃圾箱、公共厕所、饮水及清洗台，电话亭、邮箱、环境标识、告示板、宣传栏、计时装置、电子信息查询器、取款机、洗衣房等，户外健身设施、照明设施等必须按实际位置、尺寸建模。</w:t>
      </w:r>
    </w:p>
    <w:p w14:paraId="201CF37D">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7）植被模型（包括道路行道树、绿地和景观植物）采用单面片表现形式，须基本反映树木的形态、高度、分布等主要特征；花坛中以具有一定间距单簇花为主的采用十字交叉面片双面贴图，成片的花则直接贴图，要求花的种类合适。严禁行道树同宽同高，树种应有相应变化，要求姿态、树冠大小、树冠颜色要有变化，高低错落，形态美观。</w:t>
      </w:r>
    </w:p>
    <w:p w14:paraId="198F2E2B">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8）采用实景照片作为纹理，纹理贴图质感要求与建筑外观保持一致且清晰可辨，保证门窗完整，贴图内不能存在人、车、植物、空调、衣物等非建筑物体。纹理需要处理电线杆、行人、车辆、绿植、等不属于建筑自身的遮挡，墙砖需要对齐。</w:t>
      </w:r>
    </w:p>
    <w:p w14:paraId="3B8160D3">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eastAsia="zh-CN"/>
        </w:rPr>
      </w:pPr>
      <w:r>
        <w:rPr>
          <w:rFonts w:hint="eastAsia" w:ascii="方正仿宋_GB2312" w:hAnsi="方正仿宋_GB2312" w:eastAsia="方正仿宋_GB2312" w:cs="方正仿宋_GB2312"/>
          <w:color w:val="auto"/>
          <w:sz w:val="21"/>
          <w:lang w:val="en-US" w:eastAsia="zh-CN"/>
        </w:rPr>
        <w:t>（9）三维建筑模型的精度平面精度满足1：500地形图要求，高程中误差0.8米。</w:t>
      </w:r>
    </w:p>
    <w:p w14:paraId="7C208C28">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10）配电室、水泵房进行三维室内模型制作，实现对我校配电室、水泵房数据进行标准化制作，空间信息应包含墙体、门、设施设备等图层数据，建筑物空间信息数据应能够反映建筑的名称、高度、类型、形态等。实现对我校空间数据的精细化管理。</w:t>
      </w:r>
    </w:p>
    <w:p w14:paraId="467E9B14">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11）免费配套提供数据生产建模工具，支持针对校园局部变化快速完成地上三维模型的构建与更新，确保数据的现势性与可持续服务能力。支持导入dwg、fbx、osgb、osg、obj、rvt、3ds、jpg、bmp、png等二、三维数据以及常用的图片。支持导出osgb、obj、fbx、skp、3ds等三维数据格式，以及dwg、jpg、png等二维数据格式。</w:t>
      </w:r>
    </w:p>
    <w:p w14:paraId="7A00A8D7">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具备场景设计功能，能够建造简单到复杂的数字对象结构。支持可视化资源编辑、制作，应能够从素材库中调用资源模型，组成新的资源。支持对绘制的基本图形，如线条、圆、矩形、多边形等进行修改、移动旋转、复制、缩放等操作，从而实现灵活且高效的设计过程，满足各种制图需求。</w:t>
      </w:r>
    </w:p>
    <w:p w14:paraId="2AB51D54">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具有点、线、面、体等功能，能够使用多边形建模、曲面建模等方式进行建模，提供细分建模、布尔建模等高级建模功能，以及精确编辑工具（如移动、旋转、缩放、挤出、壳等）。</w:t>
      </w:r>
    </w:p>
    <w:p w14:paraId="27956217">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支持将场景中的模型进行材质刷帖，并能进行UV变换。操作工具应包括移动、旋转和缩放，以调整对象在空间中的定位和尺寸；应提供镜像和复制功能，用以快速创建对称或重复元素；应具备删除功能，允许移除不必要的部件；应具备解组和编组功能，帮助用户高效管理和组织模型中的多个实体。</w:t>
      </w:r>
    </w:p>
    <w:p w14:paraId="7ED910D4">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具有完备的全要素环境构建能力，能精确模拟现实世界中的气象、光影、材质等物理特征，达到照片级次世代效果，且无缝伴随图纸编辑的全过程。</w:t>
      </w:r>
    </w:p>
    <w:p w14:paraId="31D52EFC">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1）地上三维建设包括：校园内部道路、水体、操场、绿地、广场、预留地、建筑物（含规划中）等要素类型。中标方所提供的空间信息数据应以矢量数据的形式存储于数据库中，应包含要素全部属性，要素信息属性与几何形态应同库存储，保障系统运行性能与恢复能力。</w:t>
      </w:r>
    </w:p>
    <w:p w14:paraId="21A18F91">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2）应建设道路拓扑格网相关属性信息。</w:t>
      </w:r>
    </w:p>
    <w:p w14:paraId="23497E18">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3）应根据学校要求预置部分校内POI信息点。</w:t>
      </w:r>
    </w:p>
    <w:p w14:paraId="7A0FA306">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4）空间信息数据应具有同源坐标；室内空间信息来源于电子图纸，应包含同源坐标，应建立系统矢量数据坐标与校园电子总图纸坐标的对应关系。</w:t>
      </w:r>
    </w:p>
    <w:p w14:paraId="0BB84AAC">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4、项目须包含服务期内未来5年我校新建、维修改造等所有地面、地下建筑物和管道的建模和修改以及地下管道的改造修改工作、系统升级工作，多个终端用户使用系统数据保持一致，且移动端与PC端应用使用同一数据源，保持系统数据同步更新，可通过移动端实现信息的便捷获取、统计。</w:t>
      </w:r>
    </w:p>
    <w:p w14:paraId="4EB7699D">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2.3 建筑室内三维建模</w:t>
      </w:r>
    </w:p>
    <w:p w14:paraId="56EFE2B6">
      <w:pPr>
        <w:pStyle w:val="88"/>
        <w:numPr>
          <w:ilvl w:val="0"/>
          <w:numId w:val="0"/>
        </w:numPr>
        <w:spacing w:line="400" w:lineRule="exact"/>
        <w:ind w:firstLine="420" w:firstLineChars="200"/>
        <w:jc w:val="both"/>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对新疆农业大学老满城、亚心、陆港三校区的配电室、水泵房进行三维室内建模，能够准确展示墙体、门、设施设备等室内空间效果，为室内空间数据的精细化管理提供数据基础。针对通过如3DMAX建模的校园建筑物模型数据建库，对地上三维建设的数据成果内容，完成地上三维场景搭建，完成多源异构数据融合，完成三维场景缓存数据生产，并将数据成果入库。</w:t>
      </w:r>
    </w:p>
    <w:p w14:paraId="5DEE8D56">
      <w:pPr>
        <w:pStyle w:val="3"/>
        <w:spacing w:before="0" w:after="0" w:line="360" w:lineRule="auto"/>
        <w:rPr>
          <w:rFonts w:hint="eastAsia" w:ascii="方正仿宋_GB2312" w:hAnsi="方正仿宋_GB2312" w:eastAsia="方正仿宋_GB2312" w:cs="方正仿宋_GB2312"/>
          <w:color w:val="auto"/>
          <w:sz w:val="28"/>
          <w:szCs w:val="28"/>
          <w:lang w:val="en-US" w:eastAsia="zh-CN"/>
        </w:rPr>
      </w:pPr>
      <w:bookmarkStart w:id="196" w:name="_Toc6260"/>
      <w:r>
        <w:rPr>
          <w:rFonts w:hint="eastAsia" w:ascii="方正仿宋_GB2312" w:hAnsi="方正仿宋_GB2312" w:eastAsia="方正仿宋_GB2312" w:cs="方正仿宋_GB2312"/>
          <w:color w:val="auto"/>
          <w:sz w:val="28"/>
          <w:szCs w:val="28"/>
          <w:lang w:val="en-US" w:eastAsia="zh-CN"/>
        </w:rPr>
        <w:t>三</w:t>
      </w:r>
      <w:r>
        <w:rPr>
          <w:rFonts w:hint="eastAsia" w:ascii="方正仿宋_GB2312" w:hAnsi="方正仿宋_GB2312" w:eastAsia="方正仿宋_GB2312" w:cs="方正仿宋_GB2312"/>
          <w:color w:val="auto"/>
          <w:sz w:val="28"/>
          <w:szCs w:val="28"/>
        </w:rPr>
        <w:t>、</w:t>
      </w:r>
      <w:bookmarkEnd w:id="196"/>
      <w:r>
        <w:rPr>
          <w:rFonts w:hint="eastAsia" w:ascii="方正仿宋_GB2312" w:hAnsi="方正仿宋_GB2312" w:eastAsia="方正仿宋_GB2312" w:cs="方正仿宋_GB2312"/>
          <w:color w:val="auto"/>
          <w:sz w:val="28"/>
          <w:szCs w:val="28"/>
          <w:lang w:val="en-US" w:eastAsia="zh-CN"/>
        </w:rPr>
        <w:t>系统要求</w:t>
      </w:r>
    </w:p>
    <w:p w14:paraId="606AE99C">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bookmarkStart w:id="197" w:name="_Toc23362"/>
      <w:bookmarkStart w:id="198" w:name="_Toc61000876"/>
      <w:r>
        <w:rPr>
          <w:rFonts w:hint="eastAsia" w:ascii="方正仿宋_GB2312" w:hAnsi="方正仿宋_GB2312" w:eastAsia="方正仿宋_GB2312" w:cs="方正仿宋_GB2312"/>
          <w:b/>
          <w:bCs/>
          <w:color w:val="auto"/>
          <w:sz w:val="28"/>
          <w:szCs w:val="28"/>
          <w:lang w:val="en-US" w:eastAsia="zh-CN"/>
        </w:rPr>
        <w:t>3.1基本要求</w:t>
      </w:r>
    </w:p>
    <w:p w14:paraId="66FC0DB9">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基于后勤基础支撑平台实现对本项目所有建设的子系统集成，并预留接口供将来建设的子系统接入，需将学校已建设和未纳入到本次平台的其他数据，集成到</w:t>
      </w:r>
      <w:r>
        <w:rPr>
          <w:rFonts w:hint="eastAsia" w:ascii="方正仿宋_GB2312" w:hAnsi="方正仿宋_GB2312" w:eastAsia="方正仿宋_GB2312" w:cs="方正仿宋_GB2312"/>
          <w:color w:val="auto"/>
          <w:szCs w:val="21"/>
          <w:lang w:val="en-US" w:eastAsia="zh-CN"/>
        </w:rPr>
        <w:t>地下管网平台系统</w:t>
      </w:r>
      <w:r>
        <w:rPr>
          <w:rFonts w:hint="eastAsia" w:ascii="方正仿宋_GB2312" w:hAnsi="方正仿宋_GB2312" w:eastAsia="方正仿宋_GB2312" w:cs="方正仿宋_GB2312"/>
          <w:color w:val="auto"/>
          <w:szCs w:val="21"/>
        </w:rPr>
        <w:t>的子应用系统内。</w:t>
      </w:r>
      <w:r>
        <w:rPr>
          <w:rFonts w:hint="eastAsia" w:ascii="方正仿宋_GB2312" w:hAnsi="方正仿宋_GB2312" w:eastAsia="方正仿宋_GB2312" w:cs="方正仿宋_GB2312"/>
          <w:color w:val="auto"/>
          <w:szCs w:val="21"/>
          <w:lang w:val="en-US" w:eastAsia="zh-CN"/>
        </w:rPr>
        <w:t>系统</w:t>
      </w:r>
      <w:r>
        <w:rPr>
          <w:rFonts w:hint="eastAsia" w:ascii="方正仿宋_GB2312" w:hAnsi="方正仿宋_GB2312" w:eastAsia="方正仿宋_GB2312" w:cs="方正仿宋_GB2312"/>
          <w:color w:val="auto"/>
          <w:szCs w:val="21"/>
        </w:rPr>
        <w:t>支持对本项目所建设的应用系统进行集成，并预留接口供将来建设的系统接入，以及对接校园已建的能源监管平台、配电室智能化监测系统、智慧供热管理系统、路灯控制系统、水泵房管理系统等，将各数据集成到</w:t>
      </w:r>
      <w:r>
        <w:rPr>
          <w:rFonts w:hint="eastAsia" w:ascii="方正仿宋_GB2312" w:hAnsi="方正仿宋_GB2312" w:eastAsia="方正仿宋_GB2312" w:cs="方正仿宋_GB2312"/>
          <w:color w:val="auto"/>
          <w:szCs w:val="21"/>
          <w:lang w:val="en-US" w:eastAsia="zh-CN"/>
        </w:rPr>
        <w:t>系统</w:t>
      </w:r>
      <w:r>
        <w:rPr>
          <w:rFonts w:hint="eastAsia" w:ascii="方正仿宋_GB2312" w:hAnsi="方正仿宋_GB2312" w:eastAsia="方正仿宋_GB2312" w:cs="方正仿宋_GB2312"/>
          <w:color w:val="auto"/>
          <w:szCs w:val="21"/>
        </w:rPr>
        <w:t>内，实现可视化大屏展示、物联网管理控制、一体化认证管理、接口统一管理。</w:t>
      </w:r>
    </w:p>
    <w:p w14:paraId="1C8F137D">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3.2基础支持平台</w:t>
      </w:r>
    </w:p>
    <w:p w14:paraId="723540BA">
      <w:pPr>
        <w:spacing w:line="400" w:lineRule="exact"/>
        <w:ind w:firstLine="420" w:firstLineChars="200"/>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eastAsia="zh-CN"/>
        </w:rPr>
        <w:t>系统可</w:t>
      </w:r>
      <w:r>
        <w:rPr>
          <w:rFonts w:hint="eastAsia" w:ascii="方正仿宋_GB2312" w:hAnsi="方正仿宋_GB2312" w:eastAsia="方正仿宋_GB2312" w:cs="方正仿宋_GB2312"/>
          <w:color w:val="auto"/>
          <w:szCs w:val="21"/>
        </w:rPr>
        <w:t>实现“手机移动端”、“电脑PC端”、“中心可视化大屏”三屏同步显示，且使用同一数据源，保持系统数据同步更新，可通过移动端实现校园各类后勤信息的便捷获取、统计、服务的申请及受理等</w:t>
      </w:r>
      <w:r>
        <w:rPr>
          <w:rFonts w:hint="eastAsia" w:ascii="方正仿宋_GB2312" w:hAnsi="方正仿宋_GB2312" w:eastAsia="方正仿宋_GB2312" w:cs="方正仿宋_GB2312"/>
          <w:color w:val="auto"/>
          <w:szCs w:val="21"/>
          <w:lang w:eastAsia="zh-CN"/>
        </w:rPr>
        <w:t>。</w:t>
      </w:r>
    </w:p>
    <w:p w14:paraId="0555A424">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1、系统</w:t>
      </w:r>
      <w:r>
        <w:rPr>
          <w:rFonts w:hint="eastAsia" w:ascii="方正仿宋_GB2312" w:hAnsi="方正仿宋_GB2312" w:eastAsia="方正仿宋_GB2312" w:cs="方正仿宋_GB2312"/>
          <w:color w:val="auto"/>
          <w:szCs w:val="21"/>
        </w:rPr>
        <w:t>认证管理能够保障用户在使用信息化应用系统时能够根据用户身份访问到相对应的服务资源。认证服务管理能够对用户信息进行验证，保障用户身份为系统中的合法用户。认证服务不但能够完成为信息化平台进行身份信息的认证服务，而且可以为今后建立的应用系统、信息平台等提供认证服务接口。</w:t>
      </w:r>
    </w:p>
    <w:p w14:paraId="7273A140">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2、</w:t>
      </w:r>
      <w:r>
        <w:rPr>
          <w:rFonts w:hint="eastAsia" w:ascii="方正仿宋_GB2312" w:hAnsi="方正仿宋_GB2312" w:eastAsia="方正仿宋_GB2312" w:cs="方正仿宋_GB2312"/>
          <w:color w:val="auto"/>
          <w:szCs w:val="21"/>
        </w:rPr>
        <w:t>数据管理中心实现数据的采集、管理与交换功能，支持各种数据库和应用系统的同步任务，保障系统数据的动态更新和同步传输，为系统的数据挖掘提供原始的数据积累，通过数据采集对数据进行汇总抽取、标准化加工处理，保障系统数据的动态更新和同步传输。基于统一的数据标准为数据迁移、整合对接提供数据服务接口，实现不同数据源、不同结构的数据资源的全面兼容、无缝衔接</w:t>
      </w:r>
      <w:r>
        <w:rPr>
          <w:rFonts w:hint="eastAsia" w:ascii="方正仿宋_GB2312" w:hAnsi="方正仿宋_GB2312" w:eastAsia="方正仿宋_GB2312" w:cs="方正仿宋_GB2312"/>
          <w:color w:val="auto"/>
          <w:szCs w:val="21"/>
          <w:lang w:eastAsia="zh-CN"/>
        </w:rPr>
        <w:t>；技术开发成果全面开源，保证完整移交给业主单位使用</w:t>
      </w:r>
      <w:r>
        <w:rPr>
          <w:rFonts w:hint="eastAsia" w:ascii="方正仿宋_GB2312" w:hAnsi="方正仿宋_GB2312" w:eastAsia="方正仿宋_GB2312" w:cs="方正仿宋_GB2312"/>
          <w:color w:val="auto"/>
          <w:szCs w:val="21"/>
        </w:rPr>
        <w:t>。</w:t>
      </w:r>
    </w:p>
    <w:p w14:paraId="72268F3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3、</w:t>
      </w:r>
      <w:r>
        <w:rPr>
          <w:rFonts w:hint="eastAsia" w:ascii="方正仿宋_GB2312" w:hAnsi="方正仿宋_GB2312" w:eastAsia="方正仿宋_GB2312" w:cs="方正仿宋_GB2312"/>
          <w:color w:val="auto"/>
          <w:szCs w:val="21"/>
        </w:rPr>
        <w:t>数据生产建模工具</w:t>
      </w:r>
      <w:r>
        <w:rPr>
          <w:rFonts w:hint="eastAsia" w:ascii="方正仿宋_GB2312" w:hAnsi="方正仿宋_GB2312" w:eastAsia="方正仿宋_GB2312" w:cs="方正仿宋_GB2312"/>
          <w:color w:val="auto"/>
          <w:szCs w:val="21"/>
          <w:lang w:val="en-US" w:eastAsia="zh-CN"/>
        </w:rPr>
        <w:t>总体要求：</w:t>
      </w:r>
      <w:r>
        <w:rPr>
          <w:rFonts w:hint="eastAsia" w:ascii="方正仿宋_GB2312" w:hAnsi="方正仿宋_GB2312" w:eastAsia="方正仿宋_GB2312" w:cs="方正仿宋_GB2312"/>
          <w:color w:val="auto"/>
          <w:szCs w:val="21"/>
        </w:rPr>
        <w:t>本次项目数据生产建模工具须选择业界公认先进成熟的具有自主创新、自主知识产权、自主可控的工具</w:t>
      </w:r>
      <w:r>
        <w:rPr>
          <w:rFonts w:hint="eastAsia" w:ascii="方正仿宋_GB2312" w:hAnsi="方正仿宋_GB2312" w:eastAsia="方正仿宋_GB2312" w:cs="方正仿宋_GB2312"/>
          <w:color w:val="auto"/>
          <w:szCs w:val="21"/>
          <w:lang w:val="en-US" w:eastAsia="zh-CN"/>
        </w:rPr>
        <w:t>软件</w:t>
      </w:r>
      <w:r>
        <w:rPr>
          <w:rFonts w:hint="eastAsia" w:ascii="方正仿宋_GB2312" w:hAnsi="方正仿宋_GB2312" w:eastAsia="方正仿宋_GB2312" w:cs="方正仿宋_GB2312"/>
          <w:color w:val="auto"/>
          <w:szCs w:val="21"/>
        </w:rPr>
        <w:t>，来保证为本次项目提供安全、可靠和稳定的地理信息</w:t>
      </w:r>
      <w:r>
        <w:rPr>
          <w:rFonts w:hint="eastAsia" w:ascii="方正仿宋_GB2312" w:hAnsi="方正仿宋_GB2312" w:eastAsia="方正仿宋_GB2312" w:cs="方正仿宋_GB2312"/>
          <w:color w:val="auto"/>
          <w:szCs w:val="21"/>
          <w:lang w:val="en-US" w:eastAsia="zh-CN"/>
        </w:rPr>
        <w:t>数据处理及</w:t>
      </w:r>
      <w:r>
        <w:rPr>
          <w:rFonts w:hint="eastAsia" w:ascii="方正仿宋_GB2312" w:hAnsi="方正仿宋_GB2312" w:eastAsia="方正仿宋_GB2312" w:cs="方正仿宋_GB2312"/>
          <w:color w:val="auto"/>
          <w:szCs w:val="21"/>
        </w:rPr>
        <w:t>服务支撑。为保证数据生产建模工具软件能够长期安全、稳定、可靠、高效的支撑系统的运行，产品需要满足以下要求：</w:t>
      </w:r>
    </w:p>
    <w:p w14:paraId="39EFF443">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w:t>
      </w:r>
      <w:r>
        <w:rPr>
          <w:rFonts w:hint="eastAsia" w:ascii="方正仿宋_GB2312" w:hAnsi="方正仿宋_GB2312" w:eastAsia="方正仿宋_GB2312" w:cs="方正仿宋_GB2312"/>
          <w:color w:val="auto"/>
          <w:szCs w:val="21"/>
        </w:rPr>
        <w:t>具备完整的售后服务体系，能够为项目提供全面的技术支撑，若投标人为非数据生产建模工具厂商，须提供针对本项目的售后服务承诺</w:t>
      </w:r>
      <w:r>
        <w:rPr>
          <w:rFonts w:hint="eastAsia" w:ascii="方正仿宋_GB2312" w:hAnsi="方正仿宋_GB2312" w:eastAsia="方正仿宋_GB2312" w:cs="方正仿宋_GB2312"/>
          <w:color w:val="auto"/>
          <w:szCs w:val="21"/>
          <w:lang w:eastAsia="zh-CN"/>
        </w:rPr>
        <w:t>；</w:t>
      </w:r>
      <w:r>
        <w:rPr>
          <w:rFonts w:hint="eastAsia" w:ascii="方正仿宋_GB2312" w:hAnsi="方正仿宋_GB2312" w:eastAsia="方正仿宋_GB2312" w:cs="方正仿宋_GB2312"/>
          <w:color w:val="auto"/>
          <w:szCs w:val="21"/>
          <w:lang w:val="en-US" w:eastAsia="zh-CN"/>
        </w:rPr>
        <w:t>若投标人为建模工具厂商需提供相关软件软著</w:t>
      </w:r>
      <w:r>
        <w:rPr>
          <w:rFonts w:hint="eastAsia" w:ascii="方正仿宋_GB2312" w:hAnsi="方正仿宋_GB2312" w:eastAsia="方正仿宋_GB2312" w:cs="方正仿宋_GB2312"/>
          <w:color w:val="auto"/>
          <w:szCs w:val="21"/>
        </w:rPr>
        <w:t>。</w:t>
      </w:r>
    </w:p>
    <w:p w14:paraId="398CF949">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w:t>
      </w:r>
      <w:r>
        <w:rPr>
          <w:rFonts w:hint="eastAsia" w:ascii="方正仿宋_GB2312" w:hAnsi="方正仿宋_GB2312" w:eastAsia="方正仿宋_GB2312" w:cs="方正仿宋_GB2312"/>
          <w:color w:val="auto"/>
          <w:szCs w:val="21"/>
        </w:rPr>
        <w:t>平台要具备国产操作系统、数据库以及中间件的兼容能力，投标人需提供</w:t>
      </w:r>
      <w:r>
        <w:rPr>
          <w:rFonts w:hint="eastAsia" w:ascii="方正仿宋_GB2312" w:hAnsi="方正仿宋_GB2312" w:eastAsia="方正仿宋_GB2312" w:cs="方正仿宋_GB2312"/>
          <w:color w:val="auto"/>
          <w:szCs w:val="21"/>
          <w:lang w:val="en-US" w:eastAsia="zh-CN"/>
        </w:rPr>
        <w:t>下文所述信创要求</w:t>
      </w:r>
      <w:r>
        <w:rPr>
          <w:rFonts w:hint="eastAsia" w:ascii="方正仿宋_GB2312" w:hAnsi="方正仿宋_GB2312" w:eastAsia="方正仿宋_GB2312" w:cs="方正仿宋_GB2312"/>
          <w:color w:val="auto"/>
          <w:szCs w:val="21"/>
        </w:rPr>
        <w:t>兼容性证明材料复印件加盖产品厂商公章</w:t>
      </w:r>
      <w:r>
        <w:rPr>
          <w:rFonts w:hint="eastAsia" w:ascii="方正仿宋_GB2312" w:hAnsi="方正仿宋_GB2312" w:eastAsia="方正仿宋_GB2312" w:cs="方正仿宋_GB2312"/>
          <w:color w:val="auto"/>
          <w:szCs w:val="21"/>
          <w:lang w:val="en-US" w:eastAsia="zh-CN"/>
        </w:rPr>
        <w:t>或承诺函</w:t>
      </w:r>
      <w:r>
        <w:rPr>
          <w:rFonts w:hint="eastAsia" w:ascii="方正仿宋_GB2312" w:hAnsi="方正仿宋_GB2312" w:eastAsia="方正仿宋_GB2312" w:cs="方正仿宋_GB2312"/>
          <w:color w:val="auto"/>
          <w:szCs w:val="21"/>
          <w:lang w:eastAsia="zh-CN"/>
        </w:rPr>
        <w:t>。</w:t>
      </w:r>
    </w:p>
    <w:p w14:paraId="5325E78C">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支持提供网络分析能力，支持用户在进行最佳路径分析、最近设施分析、连通性分析、关键设施查找和爆管分析等；支持根据用户创建或指定起始点，进行最佳路径的规划和分析。</w:t>
      </w:r>
    </w:p>
    <w:p w14:paraId="3257F33F">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w:t>
      </w:r>
      <w:r>
        <w:rPr>
          <w:rFonts w:hint="eastAsia" w:ascii="方正仿宋_GB2312" w:hAnsi="方正仿宋_GB2312" w:eastAsia="方正仿宋_GB2312" w:cs="方正仿宋_GB2312"/>
          <w:color w:val="auto"/>
          <w:szCs w:val="21"/>
        </w:rPr>
        <w:t>具备空间数据加工处理的基础功能，如：数据编辑、数据处理、地图制图、数据导入导出、数据配准、专题图制作、投影转换、布局打印、地图瓦片生成功能等功能；投标人需提供上述功能界面证明材料复印件，并加盖产品厂商公章。</w:t>
      </w:r>
    </w:p>
    <w:p w14:paraId="2586FD50">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本次建设涉数据类型较多源，数据生产建模工具软件需支持多种不同格式源数据的转入转出：如CAD的DWG、DXF、DGN等数据格式；可以导入E00、MIF、TAB等GIS数据格式；支持国家《地球空间数据交换格式》.VCT；支持多种影像数据格式，如MrSID、TIF、BMP、JPG，以及影像压缩格式ECW、SIT等。</w:t>
      </w:r>
    </w:p>
    <w:p w14:paraId="1162EEB0">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w:t>
      </w:r>
      <w:r>
        <w:rPr>
          <w:rFonts w:hint="eastAsia" w:ascii="方正仿宋_GB2312" w:hAnsi="方正仿宋_GB2312" w:eastAsia="方正仿宋_GB2312" w:cs="方正仿宋_GB2312"/>
          <w:color w:val="auto"/>
          <w:szCs w:val="21"/>
        </w:rPr>
        <w:t>支持国家三维模型瓦片行业标准：CH/T 9040-2023《空间三维模型瓦片数据格式》，支持倾斜摄影模型、BIM、手工建模、激光点云数据等三维数据生成格式，针对上述相关能力投标人需提供</w:t>
      </w:r>
      <w:r>
        <w:rPr>
          <w:rFonts w:hint="eastAsia" w:ascii="方正仿宋_GB2312" w:hAnsi="方正仿宋_GB2312" w:eastAsia="方正仿宋_GB2312" w:cs="方正仿宋_GB2312"/>
          <w:color w:val="auto"/>
          <w:szCs w:val="21"/>
          <w:lang w:val="en-US" w:eastAsia="zh-CN"/>
        </w:rPr>
        <w:t>承诺函</w:t>
      </w:r>
      <w:r>
        <w:rPr>
          <w:rFonts w:hint="eastAsia" w:ascii="方正仿宋_GB2312" w:hAnsi="方正仿宋_GB2312" w:eastAsia="方正仿宋_GB2312" w:cs="方正仿宋_GB2312"/>
          <w:color w:val="auto"/>
          <w:szCs w:val="21"/>
        </w:rPr>
        <w:t>。</w:t>
      </w:r>
    </w:p>
    <w:p w14:paraId="6C959DED">
      <w:pPr>
        <w:keepNext w:val="0"/>
        <w:keepLines w:val="0"/>
        <w:pageBreakBefore w:val="0"/>
        <w:widowControl w:val="0"/>
        <w:numPr>
          <w:ilvl w:val="0"/>
          <w:numId w:val="7"/>
        </w:numPr>
        <w:kinsoku/>
        <w:wordWrap/>
        <w:overflowPunct/>
        <w:topLinePunct w:val="0"/>
        <w:autoSpaceDE/>
        <w:autoSpaceDN/>
        <w:bidi w:val="0"/>
        <w:adjustRightInd/>
        <w:snapToGrid/>
        <w:spacing w:line="400" w:lineRule="exact"/>
        <w:ind w:firstLine="420" w:firstLineChars="20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数据库产品软件：本项目中涉及多种类多格式的地理信息数据、管线数据、三维模型、业务数据等。项目建设过程需要对数据进行有效管理及应用。因此需要通过国产专业数据库产品软件提供数据安全、数据管理、数据应用的能力支撑。</w:t>
      </w:r>
    </w:p>
    <w:p w14:paraId="6C92A52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具体要求：</w:t>
      </w:r>
    </w:p>
    <w:p w14:paraId="1E6C583C">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产品需为国产集中式关系型数据库，必须提供软件著作权证书。具有跨操作系统平台的能力，Linux、麒麟、UOS等操作系统等；</w:t>
      </w:r>
    </w:p>
    <w:p w14:paraId="35BE4786">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数据库产品通过中国信息安全测评中心或国家保密科技测评中心的安全可靠评测，获得安全可靠等级“I级”</w:t>
      </w:r>
    </w:p>
    <w:p w14:paraId="4C6FC9FA">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★针对国产处理器平台有专门的优化技术，要求在2 路国产处理器平台上 TPCC 测试中 100 仓数据量性能能达到 150 tpmC 以上，须提供工信部下属测评机构： 中国软件评测中心、 国家工业信息安全发展研究中心、工业和信息化部电子第五研究所、 中国电子技术标准化研究院、 中国信息通信研究院其中之一按信创测试大纲测试后出具的《产品质量测试报告》或《产品确认测试报告》，或</w:t>
      </w:r>
      <w:r>
        <w:rPr>
          <w:rFonts w:hint="eastAsia" w:ascii="方正仿宋_GB2312" w:hAnsi="方正仿宋_GB2312" w:eastAsia="方正仿宋_GB2312" w:cs="方正仿宋_GB2312"/>
          <w:vertAlign w:val="baseline"/>
        </w:rPr>
        <w:t>提供具有CNAS标识的第三方检测机构出具的检测报告</w:t>
      </w:r>
      <w:r>
        <w:rPr>
          <w:rFonts w:hint="eastAsia" w:ascii="方正仿宋_GB2312" w:hAnsi="方正仿宋_GB2312" w:eastAsia="方正仿宋_GB2312" w:cs="方正仿宋_GB2312"/>
          <w:color w:val="auto"/>
          <w:szCs w:val="21"/>
          <w:lang w:val="en-US" w:eastAsia="zh-CN"/>
        </w:rPr>
        <w:t>。</w:t>
      </w:r>
    </w:p>
    <w:p w14:paraId="451F64D2">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支持ANSI SQL-2003以上标准；支持JDBC/ODBC标准接口；支持PL/pgSQL等过程语言。</w:t>
      </w:r>
    </w:p>
    <w:p w14:paraId="4C3B9752">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支持空间数据功能，支持丰富的原生几何数据类型，包括点、线、面、多点、多线、多面、几何集合等；支持EWKT、EWKB 和 Canonical 格式的几何对象；支持2D/3D 坐标系、坐标系转换和球体长度计算；支持空间数据分析函数和聚合函数等；</w:t>
      </w:r>
    </w:p>
    <w:p w14:paraId="12226C37">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支持全密态等值查询功能，全密态数据库提供数据整个生命周期中的隐私保护，涵盖网络传输、数据存储以及数据运行态，密态等值查询通过技术手段实现 数据库密文查询和计算，实现数据拥有者与数据管理者读取能力分离。</w:t>
      </w:r>
    </w:p>
    <w:p w14:paraId="7869E841">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支持AI功能，通过结合深度强化学习和全局搜索算法等AI技术，实现在无需人工干预的情况下，获取最佳数据库参数配置。索引推荐功能支持用户在数据库中直接进行操作，对用户输入的单条查询语句生成推荐的索引。</w:t>
      </w:r>
    </w:p>
    <w:p w14:paraId="35B8F23C">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在任意数据库实例出现故障时，集群内服务正常运行，数据不丢失，集群整体业务可用。在实例故障、节点故障等单数据库实例故障时，RPO时间等于0，RTO时间小于30s；</w:t>
      </w:r>
    </w:p>
    <w:p w14:paraId="799CB5E5">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支持集群部署，具备集群扩展能力，可满足不同阶段部署需求，支持集群故障自动检测，隔离与恢复，集群稳定性强。数据库集群环境下，备节点数据目录被误删除时不需要人工干预支持仅依靠数据库集群软件自动拉起备库，与主节点数据一致，保证数据库服务高可用。需提供由工信部下属的专业测评机构出具的带有CNAS标识的测试报告。</w:t>
      </w:r>
    </w:p>
    <w:p w14:paraId="2B6328FE">
      <w:pPr>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hanging="425" w:firstLineChars="0"/>
        <w:textAlignment w:val="auto"/>
        <w:rPr>
          <w:rFonts w:hint="eastAsia" w:ascii="方正仿宋_GB2312" w:hAnsi="方正仿宋_GB2312" w:eastAsia="方正仿宋_GB2312" w:cs="方正仿宋_GB2312"/>
          <w:color w:val="auto"/>
          <w:szCs w:val="21"/>
          <w:lang w:val="en-US" w:eastAsia="zh-CN"/>
        </w:rPr>
      </w:pPr>
      <w:r>
        <w:rPr>
          <w:rFonts w:hint="eastAsia" w:ascii="方正仿宋_GB2312" w:hAnsi="方正仿宋_GB2312" w:eastAsia="方正仿宋_GB2312" w:cs="方正仿宋_GB2312"/>
          <w:color w:val="auto"/>
          <w:szCs w:val="21"/>
          <w:lang w:val="en-US" w:eastAsia="zh-CN"/>
        </w:rPr>
        <w:t>★在2 路国产处理器平台上，在不低于100张千万行表的数据规模下，持续10分钟的不低于1000并发操作，数据库的批量数据插入的事务处理能力可达120万次/秒、单值插入数据的的事务处理能力可达10万次/秒、删除数据的事务处理能力可达60万次/秒、单值数据查询的事务处理能力可达100万次/秒。须提供具有CNAS标识的第三方检测机构出具的检测报告，另外须提供操作截图。</w:t>
      </w:r>
    </w:p>
    <w:p w14:paraId="5D582E2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5、</w:t>
      </w:r>
      <w:r>
        <w:rPr>
          <w:rFonts w:hint="eastAsia" w:ascii="方正仿宋_GB2312" w:hAnsi="方正仿宋_GB2312" w:eastAsia="方正仿宋_GB2312" w:cs="方正仿宋_GB2312"/>
          <w:color w:val="auto"/>
          <w:szCs w:val="21"/>
        </w:rPr>
        <w:t>物联网管理是智慧校园建设的基础数据平台，对下联接物联设备、屏蔽设备感知层的设备差异，对上支撑智慧应用、业务扩展。利用现场总线、边缘计算、统一API等实现传感设备和数据终端在任意位置的接入，从校园全局角度构建了异构通信网络、物联感知、海量数据的资源汇聚池。</w:t>
      </w:r>
    </w:p>
    <w:p w14:paraId="7F6BCC1E">
      <w:pPr>
        <w:ind w:firstLine="480"/>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（1）设备统一接入</w:t>
      </w:r>
    </w:p>
    <w:p w14:paraId="466021DD">
      <w:pPr>
        <w:ind w:firstLine="480"/>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获取第三方物联设备或系统提供相应API及对接服务，实现物联设备和系统的快速统一接入。</w:t>
      </w:r>
    </w:p>
    <w:p w14:paraId="6F92D15E">
      <w:pPr>
        <w:ind w:firstLine="480"/>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（2）远程实时控制</w:t>
      </w:r>
    </w:p>
    <w:p w14:paraId="76C02F39">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rPr>
        <w:t>支持</w:t>
      </w:r>
      <w:r>
        <w:rPr>
          <w:rFonts w:hint="eastAsia" w:ascii="方正仿宋_GB2312" w:hAnsi="方正仿宋_GB2312" w:eastAsia="方正仿宋_GB2312" w:cs="方正仿宋_GB2312"/>
          <w:color w:val="auto"/>
          <w:szCs w:val="21"/>
          <w:lang w:val="en-US" w:eastAsia="zh-CN"/>
        </w:rPr>
        <w:t>通过对接设备后台系统软件的方式，实现</w:t>
      </w:r>
      <w:r>
        <w:rPr>
          <w:rFonts w:hint="eastAsia" w:ascii="方正仿宋_GB2312" w:hAnsi="方正仿宋_GB2312" w:eastAsia="方正仿宋_GB2312" w:cs="方正仿宋_GB2312"/>
          <w:color w:val="auto"/>
          <w:szCs w:val="21"/>
        </w:rPr>
        <w:t>对路灯、阀门等物联设备进行远程开关、调节等</w:t>
      </w:r>
      <w:r>
        <w:rPr>
          <w:rFonts w:hint="eastAsia" w:ascii="方正仿宋_GB2312" w:hAnsi="方正仿宋_GB2312" w:eastAsia="方正仿宋_GB2312" w:cs="方正仿宋_GB2312"/>
          <w:color w:val="auto"/>
          <w:szCs w:val="21"/>
          <w:lang w:val="en-US" w:eastAsia="zh-CN"/>
        </w:rPr>
        <w:t>状态进行展示的功能</w:t>
      </w:r>
      <w:r>
        <w:rPr>
          <w:rFonts w:hint="eastAsia" w:ascii="方正仿宋_GB2312" w:hAnsi="方正仿宋_GB2312" w:eastAsia="方正仿宋_GB2312" w:cs="方正仿宋_GB2312"/>
          <w:color w:val="auto"/>
          <w:szCs w:val="21"/>
        </w:rPr>
        <w:t>，</w:t>
      </w:r>
      <w:r>
        <w:rPr>
          <w:rFonts w:hint="eastAsia" w:ascii="方正仿宋_GB2312" w:hAnsi="方正仿宋_GB2312" w:eastAsia="方正仿宋_GB2312" w:cs="方正仿宋_GB2312"/>
          <w:color w:val="auto"/>
          <w:szCs w:val="21"/>
          <w:lang w:val="en-US" w:eastAsia="zh-CN"/>
        </w:rPr>
        <w:t>实现</w:t>
      </w:r>
      <w:r>
        <w:rPr>
          <w:rFonts w:hint="eastAsia" w:ascii="方正仿宋_GB2312" w:hAnsi="方正仿宋_GB2312" w:eastAsia="方正仿宋_GB2312" w:cs="方正仿宋_GB2312"/>
          <w:color w:val="auto"/>
          <w:szCs w:val="21"/>
        </w:rPr>
        <w:t>无需现场处置，</w:t>
      </w:r>
      <w:r>
        <w:rPr>
          <w:rFonts w:hint="eastAsia" w:ascii="方正仿宋_GB2312" w:hAnsi="方正仿宋_GB2312" w:eastAsia="方正仿宋_GB2312" w:cs="方正仿宋_GB2312"/>
          <w:color w:val="auto"/>
          <w:szCs w:val="21"/>
          <w:lang w:val="en-US" w:eastAsia="zh-CN"/>
        </w:rPr>
        <w:t>通过远程方式掌握现场情况，</w:t>
      </w:r>
      <w:r>
        <w:rPr>
          <w:rFonts w:hint="eastAsia" w:ascii="方正仿宋_GB2312" w:hAnsi="方正仿宋_GB2312" w:eastAsia="方正仿宋_GB2312" w:cs="方正仿宋_GB2312"/>
          <w:color w:val="auto"/>
          <w:szCs w:val="21"/>
        </w:rPr>
        <w:t>有效提升设备管控效率，降低运维成本，提升校园设施管理的智能化水平。</w:t>
      </w:r>
    </w:p>
    <w:p w14:paraId="44B914CC">
      <w:pPr>
        <w:spacing w:line="400" w:lineRule="exact"/>
        <w:ind w:firstLine="420" w:firstLineChars="20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Cs w:val="21"/>
          <w:lang w:val="en-US" w:eastAsia="zh-CN"/>
        </w:rPr>
        <w:t>4、接口管理包含</w:t>
      </w:r>
      <w:r>
        <w:rPr>
          <w:rFonts w:hint="eastAsia" w:ascii="方正仿宋_GB2312" w:hAnsi="方正仿宋_GB2312" w:eastAsia="方正仿宋_GB2312" w:cs="方正仿宋_GB2312"/>
          <w:color w:val="auto"/>
          <w:szCs w:val="21"/>
        </w:rPr>
        <w:t>API接口管理、接口认证、接口参数验证、接口数据处理、接口消息通知、系统接口响应、系统接口测试、接口文件编辑。</w:t>
      </w:r>
    </w:p>
    <w:p w14:paraId="5F8D2C03">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1）</w:t>
      </w:r>
      <w:r>
        <w:rPr>
          <w:rFonts w:hint="eastAsia" w:ascii="方正仿宋_GB2312" w:hAnsi="方正仿宋_GB2312" w:eastAsia="方正仿宋_GB2312" w:cs="方正仿宋_GB2312"/>
          <w:color w:val="auto"/>
          <w:szCs w:val="21"/>
        </w:rPr>
        <w:t>接口建设：系统接口设计按照数据互通、资源共享的原则，与校园已建系统和设备进行对接，实现信息的快速获取和传递。同时充分考虑长期信息化发展，预留标准化接口，实现校园信息化建设的可持续性。对于未建设或即将建设的其他应用，系统须预留标准化的数据接口，待新的应用系统建设后</w:t>
      </w:r>
      <w:r>
        <w:rPr>
          <w:rFonts w:hint="eastAsia" w:ascii="方正仿宋_GB2312" w:hAnsi="方正仿宋_GB2312" w:eastAsia="方正仿宋_GB2312" w:cs="方正仿宋_GB2312"/>
          <w:color w:val="auto"/>
          <w:szCs w:val="21"/>
          <w:lang w:eastAsia="zh-CN"/>
        </w:rPr>
        <w:t>系统可同步接入</w:t>
      </w:r>
      <w:r>
        <w:rPr>
          <w:rFonts w:hint="eastAsia" w:ascii="方正仿宋_GB2312" w:hAnsi="方正仿宋_GB2312" w:eastAsia="方正仿宋_GB2312" w:cs="方正仿宋_GB2312"/>
          <w:color w:val="auto"/>
          <w:szCs w:val="21"/>
        </w:rPr>
        <w:t>。</w:t>
      </w:r>
    </w:p>
    <w:p w14:paraId="6FC6F4EF">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3）</w:t>
      </w:r>
      <w:r>
        <w:rPr>
          <w:rFonts w:hint="eastAsia" w:ascii="方正仿宋_GB2312" w:hAnsi="方正仿宋_GB2312" w:eastAsia="方正仿宋_GB2312" w:cs="方正仿宋_GB2312"/>
          <w:color w:val="auto"/>
          <w:szCs w:val="21"/>
        </w:rPr>
        <w:t>因该项目中大量使用无线物联网设备，中标方需确保所有数据进行有效传输。</w:t>
      </w:r>
    </w:p>
    <w:p w14:paraId="7F67D956">
      <w:pPr>
        <w:spacing w:line="400" w:lineRule="exact"/>
        <w:ind w:firstLine="420" w:firstLineChars="200"/>
        <w:rPr>
          <w:rFonts w:hint="eastAsia" w:ascii="方正仿宋_GB2312" w:hAnsi="方正仿宋_GB2312" w:eastAsia="方正仿宋_GB2312" w:cs="方正仿宋_GB2312"/>
          <w:color w:val="auto"/>
          <w:szCs w:val="21"/>
        </w:rPr>
      </w:pPr>
      <w:r>
        <w:rPr>
          <w:rFonts w:hint="eastAsia" w:ascii="方正仿宋_GB2312" w:hAnsi="方正仿宋_GB2312" w:eastAsia="方正仿宋_GB2312" w:cs="方正仿宋_GB2312"/>
          <w:color w:val="auto"/>
          <w:szCs w:val="21"/>
          <w:lang w:val="en-US" w:eastAsia="zh-CN"/>
        </w:rPr>
        <w:t>4）</w:t>
      </w:r>
      <w:r>
        <w:rPr>
          <w:rFonts w:hint="eastAsia" w:ascii="方正仿宋_GB2312" w:hAnsi="方正仿宋_GB2312" w:eastAsia="方正仿宋_GB2312" w:cs="方正仿宋_GB2312"/>
          <w:color w:val="auto"/>
          <w:szCs w:val="21"/>
        </w:rPr>
        <w:t>其他实施要求：本次项目需充分考虑地下管网的勘探充分考虑学校基础设施的复杂性。</w:t>
      </w:r>
    </w:p>
    <w:p w14:paraId="230742B9">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3.3管网二三维一体化系统</w:t>
      </w:r>
    </w:p>
    <w:p w14:paraId="61FFB85D">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管网平台是集二三维一体化浏览、管线查询统计、分析研判、工程应用于一体的综合性管理平台，旨在实现地下管线数据、管廊可视化管理、高效查询、精准分析及便捷应用，直观的了解到地下管线的现状、分布和走向、管线间的相互关系，为管线日常运维、应急处置、工程设计提供全面技术支撑，涵盖功能、浏览、查询、统计、分析、应用等模块，具备管线在线更新建模、二三维自由切换等核心优势，可全方位满足地下管线全生命周期管理需求。</w:t>
      </w:r>
    </w:p>
    <w:p w14:paraId="55751113">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涵盖图层管理、地形透明调节、图例查看、地图测量、对象查询、双屏比对、出图、二三维切换、复位、全屏等全部核心操作。其中，图层管理可实现项目所有图层的加载显示、显示/隐藏切换及数据透明化管理（地形与影像数据不做透明化）；地图测量包含水平距离、垂直距离、空间距离、面积量算及清除等子功能；对象查询可通过选取视窗内管段、管点、模型等对象，查看其属性信息；其余功能可满足场景操作、视图切换等辅助需求。</w:t>
      </w:r>
    </w:p>
    <w:p w14:paraId="1B9D8D86">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涵盖飞行漫游、管线自定义标注、快速定位、坐标定位、地图标绘、地图打印、管线更新及浏览设置等功能。地图标绘支持地标、折线、多边形等多种标绘类型；浏览设置可开启地下浏览等。</w:t>
      </w:r>
    </w:p>
    <w:p w14:paraId="0DA5A105">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可实现地下管线、管廊的快速检索与精准定位，涵盖空间查询、管径查询、特征查询材质查询、复合查询等查询类型。查询范围支持全部、圆域、多边形等多种选择，可根据管径条件、特征类型、材质要求等多类条件检索管线，支持多条件复合查询，所有查询操作可通过功能面板完成参数设置，查询结果可直观呈现并定位至具体位置。</w:t>
      </w:r>
    </w:p>
    <w:p w14:paraId="5424104D">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涵盖汇总统计、管径分段统计、埋深分段统计、特征分类统计、材质分类统计、管径分类统计、附属物分类统计、道路统计、行政区统计等统计类型。可对管线长度、总数、类型进行汇总，按管径、埋深进行分段统计，按特征、材质、附属物进行分类统计，同时支持按道路、行政区划分区域统计，可生成统计列表及统计图，支持结果导出为excel文件，为管理决策提供数据支撑。</w:t>
      </w:r>
    </w:p>
    <w:p w14:paraId="5A1D93D7">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涵盖连通性分析、爆管分析、水平净距分析、垂直净距分析、碰撞分析、覆土分析、开挖分析、横断面、纵断面、管线流向。</w:t>
      </w:r>
    </w:p>
    <w:p w14:paraId="44ADE03A">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涵盖工程管理、隐患管理等模块。支持新增、查看、编辑、删除管线项目工程；隐患管理可展示隐患状态、类型分布，支持隐患查询与统计。</w:t>
      </w:r>
    </w:p>
    <w:p w14:paraId="3DE8112D">
      <w:pPr>
        <w:keepNext w:val="0"/>
        <w:keepLines w:val="0"/>
        <w:pageBreakBefore w:val="0"/>
        <w:widowControl w:val="0"/>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bidi="ar-SA"/>
        </w:rPr>
      </w:pPr>
      <w:r>
        <w:rPr>
          <w:rFonts w:hint="eastAsia" w:ascii="方正仿宋_GB2312" w:hAnsi="方正仿宋_GB2312" w:eastAsia="方正仿宋_GB2312" w:cs="方正仿宋_GB2312"/>
          <w:color w:val="auto"/>
          <w:kern w:val="0"/>
          <w:sz w:val="21"/>
          <w:szCs w:val="21"/>
          <w:lang w:val="en-US" w:eastAsia="zh-CN" w:bidi="ar-SA"/>
        </w:rPr>
        <w:t>校园遥感影像数据应与校园现状尽量保持一致，遥感影像数据需要及时更新。遥感影像数据应采用半年之内的影像，影像坐标须要与校园空间信息数据坐标保持一致，要能够与空间信息数据进行叠加，实现无缝嵌套。为了减少遥感影像数据对系统速度的影响，需要使用影像金字塔格式进行存储与发布。</w:t>
      </w:r>
    </w:p>
    <w:p w14:paraId="71A7F90B">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3.4校园电子地图导航系统</w:t>
      </w:r>
    </w:p>
    <w:p w14:paraId="6656E74A">
      <w:pPr>
        <w:spacing w:line="400" w:lineRule="exact"/>
        <w:rPr>
          <w:rFonts w:hint="eastAsia" w:ascii="方正仿宋_GB2312" w:hAnsi="方正仿宋_GB2312" w:eastAsia="方正仿宋_GB2312" w:cs="方正仿宋_GB2312"/>
          <w:szCs w:val="21"/>
          <w:lang w:val="en-US" w:eastAsia="zh-CN"/>
        </w:rPr>
      </w:pPr>
      <w:r>
        <w:rPr>
          <w:rFonts w:hint="eastAsia" w:ascii="方正仿宋_GB2312" w:hAnsi="方正仿宋_GB2312" w:eastAsia="方正仿宋_GB2312" w:cs="方正仿宋_GB2312"/>
          <w:szCs w:val="21"/>
          <w:lang w:val="en-US" w:eastAsia="zh-CN"/>
        </w:rPr>
        <w:t>1、地理信息系统</w:t>
      </w:r>
    </w:p>
    <w:p w14:paraId="4CED628B">
      <w:pPr>
        <w:spacing w:line="400" w:lineRule="exact"/>
        <w:ind w:firstLine="420" w:firstLineChars="200"/>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szCs w:val="21"/>
        </w:rPr>
        <w:t>基于地图展示与搜索查询，根据不同用户的角色及权限，展示对应的功能与内容。为校园提供一个可视化、立体化宣传、展示、查询的窗口。</w:t>
      </w:r>
    </w:p>
    <w:p w14:paraId="5ECAC363">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地图制作需遵循国家相关地理信息标准，结合的地上校园三维数据及实际地理环境，完成校内电子地图制作、道路绿地美化、路网制作及分类采集制作，校内电子地图呈现真实地理风貌，确保地形地貌清晰可辨、无失真，且确保地图数据精准、美观、实用。</w:t>
      </w:r>
    </w:p>
    <w:p w14:paraId="32CEF9B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支持通过微信公众号、或扫描二维码方式访问地上电子地图，地图内标注教学楼、实验室、宿舍、食堂、充电桩、快递等核心设施点位，支持多校区一键切换查看。</w:t>
      </w:r>
    </w:p>
    <w:p w14:paraId="1B1BDCB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校内导航功能，支持GPS、北斗等，精准显示用户当前位置（起点），自定义选定终点；支持自定义选定起终点，点击“导航”，即可规划路线，提供步行、骑行等多种出行方式的个性化路线规划，支持跨楼宇导航，精准指引至楼宇出入口等具体点位。</w:t>
      </w:r>
    </w:p>
    <w:p w14:paraId="76C88A80">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支持主题路线漫游（如校园文化景点线、专业实验室线）与自定义路线漫游，为报考学生、远程访客提供沉浸式校园了解渠道，助力招生宣传。</w:t>
      </w:r>
    </w:p>
    <w:p w14:paraId="7F4B1F30">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关键词搜索、模糊搜索，分类搜索，周边范围搜索地名地址，按建筑类型（教学楼、宿舍、食堂）、设施类型（卫生间、充电桩、ATM）、服务类型（打印店、超市）等分类查询响应时间≤500ms，搜索准确率≥95%。</w:t>
      </w:r>
    </w:p>
    <w:p w14:paraId="4F22C3A7">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支持热门推荐，结合季节、迎新、活动、施工、预警等。</w:t>
      </w:r>
    </w:p>
    <w:p w14:paraId="7646314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地图数据需要以3D视角，支持地图缩放、平移、拖拽等操作，可查看周边路网、绿地、楼宇等信息，点击POI或道路可查看详情。POI数据需要采集全量的校园数据，分类大于10类，属性信息要素全面。</w:t>
      </w:r>
    </w:p>
    <w:p w14:paraId="472A848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地图导航路径能够支持多种方式，并能够设置临时管制区域，更新导航路线，规划时&lt;2秒。</w:t>
      </w:r>
    </w:p>
    <w:p w14:paraId="0D35BD20">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支持校园活动发布，支持用户后台编辑POI点，进行POI管理并支持新增、编辑、删除，导入导出维护管理。支持与现有业务系统、预留数据导入/导出接口，支持API接口调用，便于后续功能扩展及数据共享。</w:t>
      </w:r>
    </w:p>
    <w:p w14:paraId="7F779AA2">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（1）</w:t>
      </w:r>
      <w:r>
        <w:rPr>
          <w:rFonts w:hint="eastAsia" w:ascii="方正仿宋_GB2312" w:hAnsi="方正仿宋_GB2312" w:eastAsia="方正仿宋_GB2312" w:cs="方正仿宋_GB2312"/>
          <w:szCs w:val="21"/>
        </w:rPr>
        <w:t>需支持对接校园的统一身份认证系统，实现人员身份登录并赋予对应权限。</w:t>
      </w:r>
    </w:p>
    <w:p w14:paraId="55F4C0D2">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（2）</w:t>
      </w:r>
      <w:r>
        <w:rPr>
          <w:rFonts w:hint="eastAsia" w:ascii="方正仿宋_GB2312" w:hAnsi="方正仿宋_GB2312" w:eastAsia="方正仿宋_GB2312" w:cs="方正仿宋_GB2312"/>
          <w:szCs w:val="21"/>
        </w:rPr>
        <w:t>需提供校园地图的展示，需提供地图平移、地图缩放、地图旋转、地图复位、楼层切换、地图纠错、测面、测距、屏幕截图等室内外一体化地图工具的使用。</w:t>
      </w:r>
    </w:p>
    <w:p w14:paraId="06780240">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（3）</w:t>
      </w:r>
      <w:r>
        <w:rPr>
          <w:rFonts w:hint="eastAsia" w:ascii="方正仿宋_GB2312" w:hAnsi="方正仿宋_GB2312" w:eastAsia="方正仿宋_GB2312" w:cs="方正仿宋_GB2312"/>
          <w:szCs w:val="21"/>
        </w:rPr>
        <w:t>需提供地图纠错与意见反馈服务。</w:t>
      </w:r>
    </w:p>
    <w:p w14:paraId="4F700433">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（4）</w:t>
      </w:r>
      <w:r>
        <w:rPr>
          <w:rFonts w:hint="eastAsia" w:ascii="方正仿宋_GB2312" w:hAnsi="方正仿宋_GB2312" w:eastAsia="方正仿宋_GB2312" w:cs="方正仿宋_GB2312"/>
          <w:szCs w:val="21"/>
        </w:rPr>
        <w:t>需提供校区切换功能，在各个校区的地图之间进行自由切换。</w:t>
      </w:r>
    </w:p>
    <w:p w14:paraId="16426D46">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（5）</w:t>
      </w:r>
      <w:r>
        <w:rPr>
          <w:rFonts w:hint="eastAsia" w:ascii="方正仿宋_GB2312" w:hAnsi="方正仿宋_GB2312" w:eastAsia="方正仿宋_GB2312" w:cs="方正仿宋_GB2312"/>
          <w:szCs w:val="21"/>
        </w:rPr>
        <w:t>需提供地图切换功能，在校园的室内外一体化地图与三维仿真地图之间进行切换。</w:t>
      </w:r>
    </w:p>
    <w:p w14:paraId="41DBFC7A">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（6）</w:t>
      </w:r>
      <w:r>
        <w:rPr>
          <w:rFonts w:hint="eastAsia" w:ascii="方正仿宋_GB2312" w:hAnsi="方正仿宋_GB2312" w:eastAsia="方正仿宋_GB2312" w:cs="方正仿宋_GB2312"/>
          <w:szCs w:val="21"/>
        </w:rPr>
        <w:t>需提供手机地图功能，用户可通过手机微信扫描地图二维码在移动端查看地图。</w:t>
      </w:r>
    </w:p>
    <w:p w14:paraId="2E84A5AE">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（7）</w:t>
      </w:r>
      <w:r>
        <w:rPr>
          <w:rFonts w:hint="eastAsia" w:ascii="方正仿宋_GB2312" w:hAnsi="方正仿宋_GB2312" w:eastAsia="方正仿宋_GB2312" w:cs="方正仿宋_GB2312"/>
          <w:szCs w:val="21"/>
        </w:rPr>
        <w:t>需提供智能搜索服务，用户可通过中文、拼音、拼音首字母等方式对校园内的公共设施服务、单位机构、建筑物、房间、全景点、热门单位机构、道路等内容进行搜索与匹配；需支持对热门搜索与历史搜索的数据进行展示并进行快速搜索；需支持基于地图以某个位置为中心，搜索其周边的数据，搜索结果需根据符合度进行列表形式显示，支持与地图进行位置联动。</w:t>
      </w:r>
    </w:p>
    <w:p w14:paraId="691FC7A0">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（8）</w:t>
      </w:r>
      <w:r>
        <w:rPr>
          <w:rFonts w:hint="eastAsia" w:ascii="方正仿宋_GB2312" w:hAnsi="方正仿宋_GB2312" w:eastAsia="方正仿宋_GB2312" w:cs="方正仿宋_GB2312"/>
          <w:szCs w:val="21"/>
        </w:rPr>
        <w:t>需提供地图版本、地图俯视角度、地图比例尺等地图基本信息的展示与查看。</w:t>
      </w:r>
    </w:p>
    <w:p w14:paraId="1E566158">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（9）</w:t>
      </w:r>
      <w:r>
        <w:rPr>
          <w:rFonts w:hint="eastAsia" w:ascii="方正仿宋_GB2312" w:hAnsi="方正仿宋_GB2312" w:eastAsia="方正仿宋_GB2312" w:cs="方正仿宋_GB2312"/>
          <w:szCs w:val="21"/>
        </w:rPr>
        <w:t>需提供校园生活、购物、金融、快递等 POI 兴趣点的显示功能。</w:t>
      </w:r>
    </w:p>
    <w:p w14:paraId="36B466EE">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（10）</w:t>
      </w:r>
      <w:r>
        <w:rPr>
          <w:rFonts w:hint="eastAsia" w:ascii="方正仿宋_GB2312" w:hAnsi="方正仿宋_GB2312" w:eastAsia="方正仿宋_GB2312" w:cs="方正仿宋_GB2312"/>
          <w:szCs w:val="21"/>
        </w:rPr>
        <w:t>需实现通过语音播报行进方向和距离；在模拟导航的过程中语音播报的同时进行地图联动，与行进方向路线对应，不能出现偏差；需实现模拟导航的暂停、继续和主动结束。</w:t>
      </w:r>
    </w:p>
    <w:p w14:paraId="41C10680">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（11）</w:t>
      </w:r>
      <w:r>
        <w:rPr>
          <w:rFonts w:hint="eastAsia" w:ascii="方正仿宋_GB2312" w:hAnsi="方正仿宋_GB2312" w:eastAsia="方正仿宋_GB2312" w:cs="方正仿宋_GB2312"/>
          <w:szCs w:val="21"/>
        </w:rPr>
        <w:t>需支持校园地图通过二维码和链接的方式进行位置分享功能，使用人可直接通过二维码或链接的方式直接定位到所分享位置。</w:t>
      </w:r>
    </w:p>
    <w:p w14:paraId="111F906F">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（12）</w:t>
      </w:r>
      <w:r>
        <w:rPr>
          <w:rFonts w:hint="eastAsia" w:ascii="方正仿宋_GB2312" w:hAnsi="方正仿宋_GB2312" w:eastAsia="方正仿宋_GB2312" w:cs="方正仿宋_GB2312"/>
          <w:szCs w:val="21"/>
        </w:rPr>
        <w:t>需支持在地图上对建筑、房间、机构的信息通过文字、图片、视频、音频的方式进行展示与介绍。</w:t>
      </w:r>
    </w:p>
    <w:p w14:paraId="5734C718">
      <w:pPr>
        <w:numPr>
          <w:ilvl w:val="0"/>
          <w:numId w:val="0"/>
        </w:numPr>
        <w:spacing w:line="400" w:lineRule="exact"/>
        <w:ind w:firstLine="420" w:firstLineChars="200"/>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bidi="ar-SA"/>
        </w:rPr>
        <w:t>（13）</w:t>
      </w:r>
      <w:r>
        <w:rPr>
          <w:rFonts w:hint="eastAsia" w:ascii="方正仿宋_GB2312" w:hAnsi="方正仿宋_GB2312" w:eastAsia="方正仿宋_GB2312" w:cs="方正仿宋_GB2312"/>
          <w:szCs w:val="21"/>
        </w:rPr>
        <w:t>支持把地图上的任意一点设为地图中心点</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支持把地图上的任意一点设为起点、终点或者途径点。</w:t>
      </w:r>
    </w:p>
    <w:p w14:paraId="2F74AC01">
      <w:pPr>
        <w:numPr>
          <w:ilvl w:val="0"/>
          <w:numId w:val="0"/>
        </w:numPr>
        <w:spacing w:line="400" w:lineRule="exact"/>
        <w:rPr>
          <w:rFonts w:hint="eastAsia" w:ascii="方正仿宋_GB2312" w:hAnsi="方正仿宋_GB2312" w:eastAsia="方正仿宋_GB2312" w:cs="方正仿宋_GB2312"/>
          <w:szCs w:val="21"/>
          <w:lang w:val="en-US" w:eastAsia="zh-CN"/>
        </w:rPr>
      </w:pPr>
      <w:r>
        <w:rPr>
          <w:rFonts w:hint="eastAsia" w:ascii="方正仿宋_GB2312" w:hAnsi="方正仿宋_GB2312" w:eastAsia="方正仿宋_GB2312" w:cs="方正仿宋_GB2312"/>
          <w:szCs w:val="21"/>
          <w:lang w:val="en-US" w:eastAsia="zh-CN"/>
        </w:rPr>
        <w:t>2、三维数字</w:t>
      </w:r>
      <w:r>
        <w:rPr>
          <w:rFonts w:hint="eastAsia" w:ascii="方正仿宋_GB2312" w:hAnsi="方正仿宋_GB2312" w:eastAsia="方正仿宋_GB2312" w:cs="方正仿宋_GB2312"/>
          <w:szCs w:val="21"/>
        </w:rPr>
        <w:t>孪生校园</w:t>
      </w:r>
    </w:p>
    <w:p w14:paraId="12A50251">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lang w:val="en-US" w:eastAsia="zh-CN"/>
        </w:rPr>
        <w:t>1</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需以真实物理环境为蓝本，采用 UE 技术路线，实现虚拟 3D 孪生校园的建设，具备跨平台、无插件访问模式，可实现高沉浸式的场景展示和交互设计，支持高品质渲染、物理模拟、多样化的动画、粒子特效等多种高级能力，构建与现实场景无缝对接的虚拟体验。</w:t>
      </w:r>
    </w:p>
    <w:p w14:paraId="0288919B">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lang w:val="en-US" w:eastAsia="zh-CN"/>
        </w:rPr>
        <w:t>2</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需支持跨平台无插件的访问模式与 3D 场景交互展示，具备渲染、物理模拟、动画、粒子特效能力。三维场景建设</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对校园真实场景进行模拟，建立校园三维全景模型，使用实时渲染构建出逼真且美观的校园 3D 效果。并基于 3D 模型技术，高度还原学校建筑的外观与结构，对建筑的坐标、外立面等进行精细建模，并根据需求对建筑进行建筑材质、状态等维度的动态渲染，同时标注建筑的相关基础信息。</w:t>
      </w:r>
    </w:p>
    <w:p w14:paraId="3C4317A0">
      <w:pPr>
        <w:numPr>
          <w:ilvl w:val="0"/>
          <w:numId w:val="0"/>
        </w:numPr>
        <w:spacing w:line="400" w:lineRule="exact"/>
        <w:ind w:firstLine="420" w:firstLineChars="200"/>
        <w:rPr>
          <w:rFonts w:hint="eastAsia" w:ascii="方正仿宋_GB2312" w:hAnsi="方正仿宋_GB2312" w:eastAsia="方正仿宋_GB2312" w:cs="方正仿宋_GB2312"/>
          <w:szCs w:val="21"/>
          <w:lang w:eastAsia="zh-CN"/>
        </w:rPr>
      </w:pP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lang w:val="en-US" w:eastAsia="zh-CN"/>
        </w:rPr>
        <w:t>3</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需实现 3D 引擎中多项模拟和交互功能，以实现更真实的场景效果和交互体验。包括但不限于实时场景模拟、自动更新、快速绘制导航路线、轮盘式功能切换、与 GIS 平台对接渲染地形数据、快速切换天气和水体、场景流式加载、快速转换视图等。并需实现三维场景实时互动，包括与建筑互动显示详细信息，利用 3DUI 的方式显示结构化信息等</w:t>
      </w:r>
      <w:r>
        <w:rPr>
          <w:rFonts w:hint="eastAsia" w:ascii="方正仿宋_GB2312" w:hAnsi="方正仿宋_GB2312" w:eastAsia="方正仿宋_GB2312" w:cs="方正仿宋_GB2312"/>
          <w:szCs w:val="21"/>
          <w:lang w:eastAsia="zh-CN"/>
        </w:rPr>
        <w:t>。</w:t>
      </w:r>
    </w:p>
    <w:p w14:paraId="67AD4DFE">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lang w:val="en-US" w:eastAsia="zh-CN"/>
        </w:rPr>
        <w:t>4</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需支持全场景三维地形渲染、室内外三维建模、三维空间缓冲和加载、室外室内无缝切换、第一人称视觉贴地漫游、全尺度渲染和视野无极缩放显示、室内外模拟导航、昼夜切换、人物动画效果、高品质播放。</w:t>
      </w:r>
    </w:p>
    <w:p w14:paraId="72524E48">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lang w:val="en-US" w:eastAsia="zh-CN"/>
        </w:rPr>
        <w:t>5</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需支持环境光的逼真还原，包括但不限于体积云、景深、PBR、发光贴图水面倒影。</w:t>
      </w:r>
    </w:p>
    <w:p w14:paraId="038DB747">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（6）</w:t>
      </w:r>
      <w:r>
        <w:rPr>
          <w:rFonts w:hint="eastAsia" w:ascii="方正仿宋_GB2312" w:hAnsi="方正仿宋_GB2312" w:eastAsia="方正仿宋_GB2312" w:cs="方正仿宋_GB2312"/>
          <w:szCs w:val="21"/>
        </w:rPr>
        <w:t>系统需提供多种登录方式，登陆方式包括：统一身份认证登录、账号登陆、游客访问；系统需支持标准化的统一身份认证对接服务；</w:t>
      </w:r>
    </w:p>
    <w:p w14:paraId="3903E976">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（7）</w:t>
      </w:r>
      <w:r>
        <w:rPr>
          <w:rFonts w:hint="eastAsia" w:ascii="方正仿宋_GB2312" w:hAnsi="方正仿宋_GB2312" w:eastAsia="方正仿宋_GB2312" w:cs="方正仿宋_GB2312"/>
          <w:szCs w:val="21"/>
        </w:rPr>
        <w:t>系统需支持用户与建筑物互动查看建筑物详情功能，需支持自由切换漫游方式，如行走、奔跑、飞行，对校园进行全方位游览；</w:t>
      </w:r>
    </w:p>
    <w:p w14:paraId="5915931C">
      <w:pPr>
        <w:numPr>
          <w:ilvl w:val="0"/>
          <w:numId w:val="0"/>
        </w:numPr>
        <w:spacing w:line="400" w:lineRule="exact"/>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2"/>
          <w:sz w:val="21"/>
          <w:szCs w:val="21"/>
          <w:lang w:val="en-US" w:eastAsia="zh-CN" w:bidi="ar-SA"/>
        </w:rPr>
        <w:t>（8）</w:t>
      </w:r>
      <w:r>
        <w:rPr>
          <w:rFonts w:hint="eastAsia" w:ascii="方正仿宋_GB2312" w:hAnsi="方正仿宋_GB2312" w:eastAsia="方正仿宋_GB2312" w:cs="方正仿宋_GB2312"/>
          <w:szCs w:val="21"/>
        </w:rPr>
        <w:t>可展示导览点位的信息，包含视频、音频、图文信息，并且实现导览点位间的自由切换；</w:t>
      </w:r>
    </w:p>
    <w:p w14:paraId="0B199317">
      <w:pPr>
        <w:numPr>
          <w:ilvl w:val="0"/>
          <w:numId w:val="0"/>
        </w:numPr>
        <w:spacing w:line="400" w:lineRule="exact"/>
        <w:ind w:firstLine="420" w:firstLineChars="200"/>
        <w:rPr>
          <w:rFonts w:hint="eastAsia" w:ascii="方正仿宋_GB2312" w:hAnsi="方正仿宋_GB2312" w:eastAsia="方正仿宋_GB2312" w:cs="方正仿宋_GB2312"/>
          <w:szCs w:val="21"/>
          <w:lang w:val="en-US" w:eastAsia="zh-CN"/>
        </w:rPr>
      </w:pP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lang w:val="en-US" w:eastAsia="zh-CN"/>
        </w:rPr>
        <w:t>9</w:t>
      </w:r>
      <w:r>
        <w:rPr>
          <w:rFonts w:hint="eastAsia" w:ascii="方正仿宋_GB2312" w:hAnsi="方正仿宋_GB2312" w:eastAsia="方正仿宋_GB2312" w:cs="方正仿宋_GB2312"/>
          <w:szCs w:val="21"/>
          <w:lang w:eastAsia="zh-CN"/>
        </w:rPr>
        <w:t>）</w:t>
      </w:r>
      <w:r>
        <w:rPr>
          <w:rFonts w:hint="eastAsia" w:ascii="方正仿宋_GB2312" w:hAnsi="方正仿宋_GB2312" w:eastAsia="方正仿宋_GB2312" w:cs="方正仿宋_GB2312"/>
          <w:szCs w:val="21"/>
        </w:rPr>
        <w:t>需支持导览场景信息管理功能，可对地图的机构信息、标注信息、大楼信息以及绿化带等属性信息进行管理，管理操作需实现与地图的同步联动，需支持对属性数据的统一导入、导出</w:t>
      </w:r>
      <w:r>
        <w:rPr>
          <w:rFonts w:hint="eastAsia" w:ascii="方正仿宋_GB2312" w:hAnsi="方正仿宋_GB2312" w:eastAsia="方正仿宋_GB2312" w:cs="方正仿宋_GB2312"/>
          <w:szCs w:val="21"/>
          <w:lang w:val="en-US" w:eastAsia="zh-CN"/>
        </w:rPr>
        <w:t>。</w:t>
      </w:r>
    </w:p>
    <w:p w14:paraId="00557C0D">
      <w:pPr>
        <w:pStyle w:val="3"/>
        <w:spacing w:before="0" w:after="0" w:line="360" w:lineRule="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3.5校园报修维修系统</w:t>
      </w:r>
    </w:p>
    <w:p w14:paraId="79347B83">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提供了针对报修过程管理、报修数据管理、维修队伍管理、维修数据管理等功能，为学校提供全面的维修工作辅助管理，实现维修管理工作的效率提升。</w:t>
      </w:r>
    </w:p>
    <w:p w14:paraId="418BD062">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报修管理系统提供了基于移动应用的快速报修管理功能，系统可预置故障区域、维修项目，用户通过点选确定报修区域与维修项目，报修人可手动对需要维修的物品拍照上传并添加故障描述、报修人联系方式以及地点定位，完成对故障的上报。</w:t>
      </w:r>
    </w:p>
    <w:p w14:paraId="6FD4AB61">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学校管理人员通过系统可查看到报修申请信息列表，包括报修编号、区域、项目、内容描述、报修人、报修时间等信息，查看报修记录并审核是否需要维修，根据报修项目内容和类别，通过系统完成对维修项目的派工，将维修项目快速分配给具体的维修人。维修人利用移动应用能够接收到管理人员派发的维修任务，如果派发的任务不属于自己负责范围可提交任务驳回，添加驳回理由；管理人员通过系统可对驳回的任务进行转派。维修人员根据任务所在的位置、报修描述到相应的位置进行维修，完成后对维修结果拍照上传，由管理人员通过审核确定是否维修完成，如果维修的结果不符合要求，可通过系统要求进行二次维修，以确保维修工作的质量。</w:t>
      </w:r>
    </w:p>
    <w:p w14:paraId="471A6922">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系统针对维修项目提供了多种项目状态来表示当前项目所处的阶段，使项目相关人员能够对维修进度了解，包括待审核、已审核、待派工、待维修、维修中、待完工、已完工、待回访、已回访、待评价、已评价等状态，用户通过状态可明确维修所处的阶段。</w:t>
      </w:r>
    </w:p>
    <w:p w14:paraId="235E2F98">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管理人员可通过状态对维修项目分类查看和管理。用户针对特定项目还可查看项目具体的信息详情。</w:t>
      </w:r>
    </w:p>
    <w:p w14:paraId="68157EC1">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系统包含维修数据的统计分析功能，可按照天、周、月、年提供各阶段维修项目的统计数据，使管理者对不同时间段的维修数据一目了然。系统可根据报修受理时间、维修时间、维修评价等综合计算出维修工人效率、维修队伍效率、单位维修量统计、楼宇维修量统计等数据统计分析等。</w:t>
      </w:r>
    </w:p>
    <w:p w14:paraId="32B6A582">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2" w:firstLineChars="200"/>
        <w:textAlignment w:val="auto"/>
        <w:rPr>
          <w:rFonts w:hint="eastAsia" w:ascii="方正仿宋_GB2312" w:hAnsi="方正仿宋_GB2312" w:eastAsia="方正仿宋_GB2312" w:cs="方正仿宋_GB2312"/>
          <w:b/>
          <w:bCs/>
          <w:color w:val="auto"/>
          <w:kern w:val="0"/>
          <w:sz w:val="21"/>
          <w:szCs w:val="21"/>
          <w:lang w:val="en-US" w:eastAsia="zh-CN"/>
        </w:rPr>
      </w:pPr>
      <w:r>
        <w:rPr>
          <w:rFonts w:hint="eastAsia" w:ascii="方正仿宋_GB2312" w:hAnsi="方正仿宋_GB2312" w:eastAsia="方正仿宋_GB2312" w:cs="方正仿宋_GB2312"/>
          <w:b/>
          <w:bCs/>
          <w:color w:val="auto"/>
          <w:kern w:val="0"/>
          <w:sz w:val="21"/>
          <w:szCs w:val="21"/>
          <w:lang w:val="en-US" w:eastAsia="zh-CN"/>
        </w:rPr>
        <w:t>其中：PC端功能</w:t>
      </w:r>
    </w:p>
    <w:p w14:paraId="643A9DF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1、用户登录+报修</w:t>
      </w:r>
    </w:p>
    <w:p w14:paraId="6BBE041C">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用户登录方式：本校师生和教职工可通过PC端登录，校外人员第三方公司人员等无校园统一认证账号的人员可在报修平台中录入用户信息从而实现登录系统进行授权操作。</w:t>
      </w:r>
    </w:p>
    <w:p w14:paraId="56317F2C">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报修人填写报修信息进行报修，例如维修区域、项目、故障描述（故障描述有常用模板供报修人选择）等。</w:t>
      </w:r>
    </w:p>
    <w:p w14:paraId="6AC686AA">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2、待处理事项</w:t>
      </w:r>
    </w:p>
    <w:p w14:paraId="4FD4AC3E">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主要处理事项有：待审核的、待受理的、待完工的、待回访的、待审核的大维修。</w:t>
      </w:r>
    </w:p>
    <w:p w14:paraId="666ACDB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3、维修完工评价</w:t>
      </w:r>
    </w:p>
    <w:p w14:paraId="546A2DA1">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报修单维修完成后，学生或者其他报修用户在我的报修中可进行评价打分。</w:t>
      </w:r>
    </w:p>
    <w:p w14:paraId="0157BF7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4、报修情况统计报表查看</w:t>
      </w:r>
    </w:p>
    <w:p w14:paraId="405257BB">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主要统计当前系统的报修总量，报修区域下的报修数量和处理情况，维修人员处理报修单据情况和当前待处理的数量，将所有人员的工作进行量化，方便数据查看和情况跟踪定位。</w:t>
      </w:r>
    </w:p>
    <w:p w14:paraId="6FCD27F4">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5、费用设置</w:t>
      </w:r>
    </w:p>
    <w:p w14:paraId="59A0ECA4">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主要设置维修工完工时的所需费用（如工时费、材料费、管理费用等）以及计算方式；</w:t>
      </w:r>
    </w:p>
    <w:p w14:paraId="5D5A5C98">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6、维修单位与设置</w:t>
      </w:r>
    </w:p>
    <w:p w14:paraId="7E8C4B7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维修单位首先跟据机构授权进行提取，再跟据授权进行提取，如果用户有维修单位的添加编辑权限，则可查看所有的维修单位；维修单位下配置人员，根据不同人员类型进行添加，人员提取有报修系统角色的人员。</w:t>
      </w:r>
    </w:p>
    <w:p w14:paraId="475ED3D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维修设置中区域和楼宇下都可以配置项目并配置承修单位和对应的业务操作人员。报修页面根据选择的维修区域，系统会先匹配楼宇下配置的项目，如果楼宇下未配置维修项目，则提示无可报修的项目，如果单位下配置了维修单位，没有设置服务的人员，系统提示异常，请检查维修设置。</w:t>
      </w:r>
    </w:p>
    <w:p w14:paraId="63C11925">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7、人员排班设置</w:t>
      </w:r>
    </w:p>
    <w:p w14:paraId="293834C8">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设置排班时间范围后，进行班次批次的设置，可设置授权单位下的值班人员；</w:t>
      </w:r>
    </w:p>
    <w:p w14:paraId="63C3C707">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8、维修工时和维修材料设置</w:t>
      </w:r>
    </w:p>
    <w:p w14:paraId="5087E49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管理员对日常维修所需要工时和材料明细录入系统，便于材料添加及统计核算。</w:t>
      </w:r>
    </w:p>
    <w:p w14:paraId="710F38F8">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9、工单查询管理</w:t>
      </w:r>
    </w:p>
    <w:p w14:paraId="7928E8A4">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（1）异常工单</w:t>
      </w:r>
    </w:p>
    <w:p w14:paraId="000767D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主要是针对单子在处理的过程中，由于异常原因将配置的维修工或者受理人，单位，服务单位等删除掉了，系统找不到对应的业务操作人员，则会在异常工单中统计到，可在异常工单中进行特殊处理。</w:t>
      </w:r>
    </w:p>
    <w:p w14:paraId="23367228">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（2）超时工单</w:t>
      </w:r>
    </w:p>
    <w:p w14:paraId="03F2AD1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对系统当前设置的超时时间，进行提取超时的工单，以便管理人员进行统计查看，当前单据因某种原因滞留一直未处理，进行督促处理,点击督办，给每个工单当前对应的责任人发送消息提醒；</w:t>
      </w:r>
    </w:p>
    <w:p w14:paraId="39C0DFA3">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（3）工单查询</w:t>
      </w:r>
    </w:p>
    <w:p w14:paraId="68342045">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主要是统计当前报修系统中，所有的有效报修单据，以及单据处理的状态。</w:t>
      </w:r>
    </w:p>
    <w:p w14:paraId="65EFFCE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10、督办提醒功能</w:t>
      </w:r>
    </w:p>
    <w:p w14:paraId="1B10401B">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在超时工单中增加可以批量进行督办提醒功能，点击督办，给每个工单当前对应的责任人发送消息提醒，同时在日志中记录日志。</w:t>
      </w:r>
    </w:p>
    <w:p w14:paraId="67D9C5C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11、拆单功能</w:t>
      </w:r>
    </w:p>
    <w:p w14:paraId="6617CE73">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报修人报修的单子有时候不是一个部门能完成的有时候还需要其他部门或者其他维修项目，但是此维修工已经完成，需要其他部门的维修，所以在维修工完工之前增加一个拆单的功能，维修工可以拆成一个新的报修单，然后对应的部门进行审核和受理，完工。</w:t>
      </w:r>
    </w:p>
    <w:p w14:paraId="5C562E85">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12、人员排班</w:t>
      </w:r>
    </w:p>
    <w:p w14:paraId="3D1DAC77">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设置好时间后，在人员班次中配置。</w:t>
      </w:r>
    </w:p>
    <w:p w14:paraId="6986E46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13、受理派工（维修工未完成工单情况统计）</w:t>
      </w:r>
    </w:p>
    <w:p w14:paraId="6BFF3642">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受理人在派工时，可进行相关的操作，也可以不直接指派维修工；</w:t>
      </w:r>
    </w:p>
    <w:p w14:paraId="7072B125">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响应不派工：通知报修人已收到报修单，但当前由于其他原因不能立即前往现场完工；</w:t>
      </w:r>
    </w:p>
    <w:p w14:paraId="6392DD79">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派工：直接指派维修师傅进行维修并选择对应的收费方式，也可在指派的同时打印报修单据。</w:t>
      </w:r>
    </w:p>
    <w:p w14:paraId="667BC1AB">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转单：该项目不归受理人所在部门处理，或师生用户报修的故障项目不对，受理人可进行转到相应的处理单位或其故障项目下，进行对应的项目下的单位人员处理；</w:t>
      </w:r>
    </w:p>
    <w:p w14:paraId="5CFDEFB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驳回：该项目不属于后勤维修范畴或者其他原因，说明原因，退回报修人；</w:t>
      </w:r>
    </w:p>
    <w:p w14:paraId="0DCD32BE">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暂停：报修项目由于某些原因暂时无法维修，进行暂停操作，停止系统计时；</w:t>
      </w:r>
    </w:p>
    <w:p w14:paraId="1B929D1A">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不公开：设置报修单据不在前台网站展示，受理流程不受影响；</w:t>
      </w:r>
    </w:p>
    <w:p w14:paraId="417F9D2B">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删除：重复报修或问题报修单可以直接删除，删除后，单据到工单垃圾箱中，也可进行恢复操作，恢复后，单据到待审核状态，进行相关的业务处理；</w:t>
      </w:r>
    </w:p>
    <w:p w14:paraId="0925AC65">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14、维修完工</w:t>
      </w:r>
    </w:p>
    <w:p w14:paraId="4870A091">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维修完成后进行完工操作，支持添加所用的维修材料，维修前后照片上传等。</w:t>
      </w:r>
    </w:p>
    <w:p w14:paraId="7AD2BE6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15、统计查询</w:t>
      </w:r>
    </w:p>
    <w:p w14:paraId="5506406C">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对报修信息进行查询统计，包括数量分析（承修单位报修量统计、维修项目报修量统计、维修区域报修量统计、录单量统计、回访量统计）、用时分析（承修单位受理用时、承修单位完工用时、维修工完工用时统计）、费用分析（承修单位维修费统计、维修项目维修费统计、维修区域维修费统计、维修材料费用统计、签单单位费用统计、维修工工时费统计）、结果分析（维修工返修率统计、评价分析）等。</w:t>
      </w:r>
    </w:p>
    <w:p w14:paraId="6828BD11">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2" w:firstLineChars="200"/>
        <w:textAlignment w:val="auto"/>
        <w:rPr>
          <w:rFonts w:hint="eastAsia" w:ascii="方正仿宋_GB2312" w:hAnsi="方正仿宋_GB2312" w:eastAsia="方正仿宋_GB2312" w:cs="方正仿宋_GB2312"/>
          <w:b/>
          <w:bCs/>
          <w:color w:val="auto"/>
          <w:kern w:val="0"/>
          <w:sz w:val="21"/>
          <w:szCs w:val="21"/>
          <w:lang w:val="en-US" w:eastAsia="zh-CN"/>
        </w:rPr>
      </w:pPr>
      <w:r>
        <w:rPr>
          <w:rFonts w:hint="eastAsia" w:ascii="方正仿宋_GB2312" w:hAnsi="方正仿宋_GB2312" w:eastAsia="方正仿宋_GB2312" w:cs="方正仿宋_GB2312"/>
          <w:b/>
          <w:bCs/>
          <w:color w:val="auto"/>
          <w:kern w:val="0"/>
          <w:sz w:val="21"/>
          <w:szCs w:val="21"/>
          <w:lang w:val="en-US" w:eastAsia="zh-CN"/>
        </w:rPr>
        <w:t>手机端功能</w:t>
      </w:r>
    </w:p>
    <w:p w14:paraId="754D61CB">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支持微信公众号或者微信小程序的方式实现，具体功能要求：</w:t>
      </w:r>
    </w:p>
    <w:p w14:paraId="79700C4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1、报修：服务对象进行故障的报修，填写故障项目、位置定位、故障描述、预约维修时间等，支持语音输入、故障照片上传。</w:t>
      </w:r>
    </w:p>
    <w:p w14:paraId="78D5CC64">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2、报修评价：报修人可在我的报修里打开报修记录并对已完成的报修进行评价。</w:t>
      </w:r>
    </w:p>
    <w:p w14:paraId="37BDD996">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3、报修受理：维修管理者对报修信息处理，处理包括响应、派工、转单、驳回、暂停等操作。</w:t>
      </w:r>
    </w:p>
    <w:p w14:paraId="47DE8B7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4、报修完工：维修工或维修管理者对已经完成维修的报修项目进行完工操作，可输入维修工时、维修所用材料、应收费用、维修描述、完工前后照片等信息。</w:t>
      </w:r>
    </w:p>
    <w:p w14:paraId="2EB410FA">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5、异常工单：异常工单的查询及处理。</w:t>
      </w:r>
    </w:p>
    <w:p w14:paraId="612427C8">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6、报修督导：对滞留超过一定时长的报修工单进行督办提醒。</w:t>
      </w:r>
    </w:p>
    <w:p w14:paraId="58B093DD">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7、工单查询：对报修工单进行查询。</w:t>
      </w:r>
    </w:p>
    <w:p w14:paraId="794CA15B">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420" w:rightChars="200" w:firstLine="420" w:firstLineChars="200"/>
        <w:textAlignment w:val="auto"/>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color w:val="auto"/>
          <w:kern w:val="0"/>
          <w:sz w:val="21"/>
          <w:szCs w:val="21"/>
          <w:lang w:val="en-US" w:eastAsia="zh-CN"/>
        </w:rPr>
        <w:t>8、报修统计：对报修数量、用时情况、维修费用、环比进行分析统计。</w:t>
      </w:r>
    </w:p>
    <w:p w14:paraId="042B293B">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b/>
          <w:bCs/>
          <w:color w:val="auto"/>
          <w:sz w:val="28"/>
          <w:szCs w:val="28"/>
          <w:lang w:val="en-US" w:eastAsia="zh-CN"/>
        </w:rPr>
        <w:t>3.6水电能耗数据可视化</w:t>
      </w:r>
    </w:p>
    <w:p w14:paraId="3015F97B">
      <w:pPr>
        <w:spacing w:line="360" w:lineRule="auto"/>
        <w:ind w:firstLine="420" w:firstLineChars="200"/>
        <w:rPr>
          <w:rFonts w:hint="eastAsia" w:ascii="方正仿宋_GB2312" w:hAnsi="方正仿宋_GB2312" w:eastAsia="方正仿宋_GB2312" w:cs="方正仿宋_GB2312"/>
          <w:color w:val="auto"/>
          <w:kern w:val="0"/>
          <w:sz w:val="21"/>
          <w:szCs w:val="21"/>
          <w:lang w:val="en-US" w:eastAsia="zh-CN"/>
        </w:rPr>
      </w:pPr>
      <w:r>
        <w:rPr>
          <w:rFonts w:hint="eastAsia" w:ascii="方正仿宋_GB2312" w:hAnsi="方正仿宋_GB2312" w:eastAsia="方正仿宋_GB2312" w:cs="方正仿宋_GB2312"/>
        </w:rPr>
        <w:t>可视化能耗则是将能耗感知设备基于校园地图进行可视化的呈现，并对接能耗感知设备监控数据，进行数据的统计和可视化的呈现。</w:t>
      </w:r>
      <w:r>
        <w:rPr>
          <w:rFonts w:hint="eastAsia" w:ascii="方正仿宋_GB2312" w:hAnsi="方正仿宋_GB2312" w:eastAsia="方正仿宋_GB2312" w:cs="方正仿宋_GB2312"/>
          <w:color w:val="auto"/>
          <w:kern w:val="0"/>
          <w:sz w:val="21"/>
          <w:szCs w:val="21"/>
          <w:lang w:val="en-US" w:eastAsia="zh-CN"/>
        </w:rPr>
        <w:t>系统与学校已有的相关节水监管平台进行数据集成，形成可视化大屏，实现数据的总体分析与汇总，包括数据统计，用水分析，三维系统展示及各模块功能等等，实现数据统一管理等功能，满足学校发展需求。</w:t>
      </w:r>
    </w:p>
    <w:p w14:paraId="0C68A4C6">
      <w:pPr>
        <w:keepNext/>
        <w:keepLines/>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0" w:right="420" w:rightChars="200"/>
        <w:jc w:val="both"/>
        <w:textAlignment w:val="auto"/>
        <w:outlineLvl w:val="9"/>
        <w:rPr>
          <w:rFonts w:hint="eastAsia" w:ascii="方正仿宋_GB2312" w:hAnsi="方正仿宋_GB2312" w:eastAsia="方正仿宋_GB2312" w:cs="方正仿宋_GB2312"/>
          <w:b w:val="0"/>
          <w:bCs/>
          <w:color w:val="auto"/>
          <w:sz w:val="24"/>
          <w:szCs w:val="24"/>
          <w:lang w:val="en-US" w:eastAsia="zh-CN"/>
        </w:rPr>
      </w:pPr>
      <w:r>
        <w:rPr>
          <w:rFonts w:hint="eastAsia" w:ascii="方正仿宋_GB2312" w:hAnsi="方正仿宋_GB2312" w:eastAsia="方正仿宋_GB2312" w:cs="方正仿宋_GB2312"/>
          <w:b w:val="0"/>
          <w:bCs/>
          <w:color w:val="auto"/>
          <w:sz w:val="24"/>
          <w:szCs w:val="24"/>
          <w:lang w:val="en-US" w:eastAsia="zh-CN"/>
        </w:rPr>
        <w:t>（1）数据接入</w:t>
      </w:r>
    </w:p>
    <w:p w14:paraId="3A313D86">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数据接入主要涵盖水表、能耗两类计量数据及三维泵房、三维配电室的可视化与设备管控数据，其中水表数据接入覆盖校园各类用水计量点，采集实时与历史用水相关数据并满足相应技术及功能要求；能耗数据接入覆盖校园所有用电节点，采集各类用电参数及历史能耗数据，实现能耗可视化、分析及告警，接入设备实时监测数据，支持远程控制、异常告警联动及多终端访问，全面实现校园相关数据的接入、监测、管控与可视化。</w:t>
      </w:r>
    </w:p>
    <w:p w14:paraId="0F24FC95">
      <w:pPr>
        <w:keepNext/>
        <w:keepLines/>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0" w:right="420" w:rightChars="200"/>
        <w:jc w:val="both"/>
        <w:textAlignment w:val="auto"/>
        <w:outlineLvl w:val="9"/>
        <w:rPr>
          <w:rFonts w:hint="eastAsia" w:ascii="方正仿宋_GB2312" w:hAnsi="方正仿宋_GB2312" w:eastAsia="方正仿宋_GB2312" w:cs="方正仿宋_GB2312"/>
          <w:b w:val="0"/>
          <w:bCs/>
          <w:color w:val="auto"/>
          <w:sz w:val="24"/>
          <w:szCs w:val="24"/>
          <w:lang w:val="en-US" w:eastAsia="zh-CN"/>
        </w:rPr>
      </w:pPr>
      <w:r>
        <w:rPr>
          <w:rFonts w:hint="eastAsia" w:ascii="方正仿宋_GB2312" w:hAnsi="方正仿宋_GB2312" w:eastAsia="方正仿宋_GB2312" w:cs="方正仿宋_GB2312"/>
          <w:b w:val="0"/>
          <w:bCs/>
          <w:color w:val="auto"/>
          <w:sz w:val="24"/>
          <w:szCs w:val="24"/>
          <w:lang w:val="en-US" w:eastAsia="zh-CN"/>
        </w:rPr>
        <w:t>（2）能耗管理</w:t>
      </w:r>
    </w:p>
    <w:p w14:paraId="131B3D99">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作为校园水电能耗全局管控核心模块，整合供水、供电、泵房、配电室全维度能耗数据，支持按区域、时间(</w:t>
      </w:r>
      <w:r>
        <w:rPr>
          <w:rFonts w:hint="eastAsia" w:ascii="方正仿宋_GB2312" w:hAnsi="方正仿宋_GB2312" w:eastAsia="方正仿宋_GB2312" w:cs="方正仿宋_GB2312"/>
        </w:rPr>
        <w:t>以日、月、年、自定义时间段为单位</w:t>
      </w:r>
      <w:r>
        <w:rPr>
          <w:rFonts w:hint="eastAsia" w:ascii="方正仿宋_GB2312" w:hAnsi="方正仿宋_GB2312" w:eastAsia="方正仿宋_GB2312" w:cs="方正仿宋_GB2312"/>
          <w:color w:val="auto"/>
          <w:sz w:val="21"/>
          <w:szCs w:val="21"/>
          <w:lang w:val="en-US" w:eastAsia="zh-CN"/>
        </w:rPr>
        <w:t>)、用能类型开展多维度统计汇总，可视化展示能耗趋势、结构占比及同比 / 环比数据，结合大数据模型完成能耗异常识别、节能潜力分析与未来能耗评估预测，打造集能耗总量、人均能耗、单位面积能耗等的可视化驾驶舱，支持数据钻取，实现从全局到明细的分层级能耗管控，为校园能源管理顶层决策提供数据依据。</w:t>
      </w:r>
    </w:p>
    <w:p w14:paraId="4710864E">
      <w:pPr>
        <w:spacing w:line="360" w:lineRule="auto"/>
        <w:ind w:firstLine="420" w:firstLineChars="200"/>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rPr>
        <w:t>需支持基于校园地图对建筑、房间等位置的智能搜索，并自动偏心到搜索结果位置，并查看建筑、房间对应的能耗使用情况及明细数据</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支持历史数据的查询</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预警的明细数据的查看</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后台设置阀值，实现能耗数据超出阀值后，设备基于地图闪烁预警；支持基于位置的单个设备能耗监控数据的统计、指定楼层的能耗总量统计、指定建筑的能耗总量统计</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根据能耗数据统计，提供建筑能耗使用排行；需支持对能耗预警的记录进行查询、筛选和导出</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对能耗预警阀值、预警周期等相关参数进行配置；支持按照建筑、设备、时间等多个维度进行预警规则的设置；</w:t>
      </w:r>
    </w:p>
    <w:p w14:paraId="25F59502">
      <w:pPr>
        <w:keepNext/>
        <w:keepLines/>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0" w:right="420" w:rightChars="200"/>
        <w:jc w:val="both"/>
        <w:textAlignment w:val="auto"/>
        <w:outlineLvl w:val="9"/>
        <w:rPr>
          <w:rFonts w:hint="eastAsia" w:ascii="方正仿宋_GB2312" w:hAnsi="方正仿宋_GB2312" w:eastAsia="方正仿宋_GB2312" w:cs="方正仿宋_GB2312"/>
          <w:b w:val="0"/>
          <w:bCs/>
          <w:color w:val="auto"/>
          <w:sz w:val="24"/>
          <w:szCs w:val="24"/>
          <w:lang w:val="en-US" w:eastAsia="zh-CN"/>
        </w:rPr>
      </w:pPr>
      <w:r>
        <w:rPr>
          <w:rFonts w:hint="eastAsia" w:ascii="方正仿宋_GB2312" w:hAnsi="方正仿宋_GB2312" w:eastAsia="方正仿宋_GB2312" w:cs="方正仿宋_GB2312"/>
          <w:b w:val="0"/>
          <w:bCs/>
          <w:color w:val="auto"/>
          <w:sz w:val="24"/>
          <w:szCs w:val="24"/>
          <w:lang w:val="en-US" w:eastAsia="zh-CN"/>
        </w:rPr>
        <w:t>（3）供水管理</w:t>
      </w:r>
    </w:p>
    <w:p w14:paraId="46EB7A2C">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1"/>
          <w:szCs w:val="21"/>
          <w:lang w:val="en-US" w:eastAsia="zh-CN"/>
        </w:rPr>
        <w:t>基于水表数据接入模块的实时与历史数据，联动校园地下给水管网三维模型，实时展示全校及各区域供水量、管网水压、水流流向及水表运行状态，支持按区域、楼栋、用水类型开展多维度用水分析，自动识别管网跑冒滴漏、流量突变、超定额用水等异常情况并实现精准定位与多渠道告警，生成标准化用水统计与设备运行报表，建立完善供水数据台账，在三维场景中实现用水数据与管段、水表、阀门等物理设备的联动展示与详情查询，打造全流程精细化供水管控体系。</w:t>
      </w:r>
    </w:p>
    <w:p w14:paraId="55A1D906">
      <w:pPr>
        <w:keepNext/>
        <w:keepLines/>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0" w:right="420" w:rightChars="200"/>
        <w:jc w:val="both"/>
        <w:textAlignment w:val="auto"/>
        <w:outlineLvl w:val="9"/>
        <w:rPr>
          <w:rFonts w:hint="eastAsia" w:ascii="方正仿宋_GB2312" w:hAnsi="方正仿宋_GB2312" w:eastAsia="方正仿宋_GB2312" w:cs="方正仿宋_GB2312"/>
          <w:b w:val="0"/>
          <w:bCs/>
          <w:color w:val="auto"/>
          <w:sz w:val="24"/>
          <w:szCs w:val="24"/>
          <w:lang w:val="en-US" w:eastAsia="zh-CN"/>
        </w:rPr>
      </w:pPr>
      <w:r>
        <w:rPr>
          <w:rFonts w:hint="eastAsia" w:ascii="方正仿宋_GB2312" w:hAnsi="方正仿宋_GB2312" w:eastAsia="方正仿宋_GB2312" w:cs="方正仿宋_GB2312"/>
          <w:b w:val="0"/>
          <w:bCs/>
          <w:color w:val="auto"/>
          <w:sz w:val="24"/>
          <w:szCs w:val="24"/>
          <w:lang w:val="en-US" w:eastAsia="zh-CN"/>
        </w:rPr>
        <w:t>（4）供电管理</w:t>
      </w:r>
    </w:p>
    <w:p w14:paraId="3A509640">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整合能耗数据接入模块电力监测数据，联动校园配电系统三维模型，打造供电运行可视化看板，实时展示全校及各配电节点的电压、电流、功率、功率因数等核心电气参数与配电设备运行状态，支持按区域、用电类型、峰谷平时段开展精细化用电分析与负荷曲线绘制，通过可视化图表展示供电核心数据，自动生成用电统计、设备运行及异常告警报表，保障校园供电系统安全稳定运行。</w:t>
      </w:r>
    </w:p>
    <w:p w14:paraId="7CEE9D18">
      <w:pPr>
        <w:keepNext/>
        <w:keepLines/>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0" w:right="420" w:rightChars="200"/>
        <w:jc w:val="both"/>
        <w:textAlignment w:val="auto"/>
        <w:outlineLvl w:val="9"/>
        <w:rPr>
          <w:rFonts w:hint="eastAsia" w:ascii="方正仿宋_GB2312" w:hAnsi="方正仿宋_GB2312" w:eastAsia="方正仿宋_GB2312" w:cs="方正仿宋_GB2312"/>
          <w:b w:val="0"/>
          <w:bCs/>
          <w:color w:val="auto"/>
          <w:sz w:val="24"/>
          <w:szCs w:val="24"/>
          <w:lang w:val="en-US" w:eastAsia="zh-CN"/>
        </w:rPr>
      </w:pPr>
      <w:r>
        <w:rPr>
          <w:rFonts w:hint="eastAsia" w:ascii="方正仿宋_GB2312" w:hAnsi="方正仿宋_GB2312" w:eastAsia="方正仿宋_GB2312" w:cs="方正仿宋_GB2312"/>
          <w:b w:val="0"/>
          <w:bCs/>
          <w:color w:val="auto"/>
          <w:sz w:val="24"/>
          <w:szCs w:val="24"/>
          <w:lang w:val="en-US" w:eastAsia="zh-CN"/>
        </w:rPr>
        <w:t>（5）泵房管理</w:t>
      </w:r>
    </w:p>
    <w:p w14:paraId="4E137E64">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基于三维泵房可视化及设备监测数据接入模块，实时全局展示各泵房水泵启停、进出口压力、流量、水箱液位、电机温度等核心运行参数，对单台设备开展精细化监测并统计运行时长、效率与故障记录，支持在三维模型中实现设备漫游、参数查看，当出现压力超标、设备故障等异常时，对应设备在模型中高亮闪烁并通过多渠道即时告警，同时联动报修维修系统自动创建工单，生成泵房设备运维、运行统计及告警处理报表，实现泵房智能化无人化运维管理。</w:t>
      </w:r>
    </w:p>
    <w:p w14:paraId="5E485EE0">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3.7配电室管理</w:t>
      </w:r>
    </w:p>
    <w:p w14:paraId="5042531F">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基于三维配电室可视化及设备控制监测数据接入模块，打造配电室管理驾驶舱，集成所有配电室三维模型场景，实时展示高低压柜、变压器等设备的遥测参数、遥信状态及接地电阻等核心数据，当出现故障时，对应设备即时高亮告警并推送故障详情与处置建议，联动消防、报修系统实现快速处置，同时开展用电趋势与节能潜力分析，生成各类运维统计报表，支持在三维场景中巡检与故障应急演练，全面保障配电室安全高效运行。</w:t>
      </w:r>
    </w:p>
    <w:bookmarkEnd w:id="197"/>
    <w:bookmarkEnd w:id="198"/>
    <w:p w14:paraId="08C53A5D">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3.8库房管理系统</w:t>
      </w:r>
    </w:p>
    <w:p w14:paraId="0D554664">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以数据看板形式动态展示物资库存总量、分类库存、出入库频次、低库存预警及领用记录等，实现物资数据化监管，提升库房精细化管理水平。具备需求上报、需求审批、查询确认（含同意及驳回）、需求汇总、采购入库、出库、退库、领用申请、领用确认等基础功能，同时具备库房商品位置查询、定价管理、实时库存、库存盘点等功能；系统可设置库房名称、简称、类型、采购定价方式、供应定价方式、备注等信息。可对领用单位进行基本信息管理、用户角色权限设定、用户管理操作，可自动生成常用报表，也可对报表进行设计。</w:t>
      </w:r>
    </w:p>
    <w:p w14:paraId="7323CB81">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3.9校园路灯态势展示</w:t>
      </w:r>
    </w:p>
    <w:p w14:paraId="0CCB74D1">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对接学校路灯控制系统，将学校路灯运行信息及位置在校园地图中进行统一直观的展示，使管理部门能够便捷的获取路灯设备的详细信息和分布情况，简化对校内海量路灯的管理难度。</w:t>
      </w:r>
    </w:p>
    <w:p w14:paraId="1F24F6F1">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1.校园路灯可视化管理：实现对校园路灯进行精细化管理，包含路灯的型号、名称、维保单位等信息，实现对路灯的精细化管理。</w:t>
      </w:r>
    </w:p>
    <w:p w14:paraId="2F711E91">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2.校园路灯信息在线更新：在电子地图中标注路灯的位置，编辑路灯的属性信息。并能够通过关键字等查询条件，对校园路灯属性信息及所在位置进行全面掌握。并能够对路灯相关信息进行更新、删除。能够在多种地图模式之间实现校园路灯数据的同步更新。</w:t>
      </w:r>
    </w:p>
    <w:p w14:paraId="14B5CE8A">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3.校园路灯控制管理：支持在电子地图上基于路灯的空间位置对路灯开关状态进行远程控制。</w:t>
      </w:r>
    </w:p>
    <w:p w14:paraId="4464EB10">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4.校园路灯信息呈现：在校园地图中根据路灯的空间位置，全面掌握路灯的属性信息、运行状态、建设单位等详细信息。</w:t>
      </w:r>
    </w:p>
    <w:p w14:paraId="29C663E6">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5.校路灯空间分析：能够在地图中自定义范围查询范围内路灯相关信息。实现对区域内路灯资源信息的全面掌握。能够以图形化界面对校园路灯进行统计分析，并能够将统计结果进行导出。</w:t>
      </w:r>
    </w:p>
    <w:p w14:paraId="03453E9B">
      <w:pPr>
        <w:keepNext w:val="0"/>
        <w:keepLines w:val="0"/>
        <w:pageBreakBefore w:val="0"/>
        <w:widowControl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6.校园路灯统计分析：能够对校园路灯建设情况进行全面的统计分析，以图形化的界面将统计分析结果进行呈现，并支持将统计分析数据通过多种方式进行存储。</w:t>
      </w:r>
    </w:p>
    <w:p w14:paraId="65A78252">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3.10供热管理态势展示</w:t>
      </w:r>
    </w:p>
    <w:p w14:paraId="2344AD86">
      <w:pPr>
        <w:pageBreakBefore w:val="0"/>
        <w:kinsoku/>
        <w:wordWrap/>
        <w:overflowPunct/>
        <w:topLinePunct w:val="0"/>
        <w:autoSpaceDE/>
        <w:autoSpaceDN/>
        <w:bidi w:val="0"/>
        <w:adjustRightInd/>
        <w:snapToGrid/>
        <w:spacing w:line="520" w:lineRule="exact"/>
        <w:ind w:right="420" w:rightChars="200" w:firstLine="420" w:firstLineChars="200"/>
        <w:textAlignment w:val="auto"/>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对接智慧供热管理系统，以数据看板整合展示供热温度、压力、流量、供热量及换热站运行参数，直观呈现供热效果与系统状态，实现高效管理与维护。</w:t>
      </w:r>
    </w:p>
    <w:p w14:paraId="7B8186CC">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3.11管廊水淹报警定位</w:t>
      </w:r>
    </w:p>
    <w:p w14:paraId="039CEABE">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在三维地下管线建模基础上，现场安装监测设备，实现发生水淹故障自动预警，实现漏水监测查询、分析、处理的全流程闭环管理，自带蓄电池需能够使用6年及以上，传输信号需稳定准确。根据现有管廊特点，选择不少于100个关键点位进行监测设备布置，在系统中能够对运行情况及位置信息能够直观展示，通过实时监测实现漏水位置快速定位，同时结合水暖管网阀门信息，迅速锁定控制方案，减少或降低损失。</w:t>
      </w:r>
    </w:p>
    <w:p w14:paraId="36CEC87C">
      <w:pPr>
        <w:pStyle w:val="3"/>
        <w:keepNext/>
        <w:keepLines/>
        <w:pageBreakBefore w:val="0"/>
        <w:widowControl w:val="0"/>
        <w:kinsoku/>
        <w:wordWrap/>
        <w:overflowPunct/>
        <w:topLinePunct w:val="0"/>
        <w:autoSpaceDE/>
        <w:autoSpaceDN/>
        <w:bidi w:val="0"/>
        <w:adjustRightInd/>
        <w:snapToGrid/>
        <w:spacing w:before="0" w:after="0" w:line="520" w:lineRule="exact"/>
        <w:textAlignment w:val="auto"/>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3.12后台运维管理系统</w:t>
      </w:r>
    </w:p>
    <w:p w14:paraId="4FECA2CF">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主要完成应用系统的日常后台运维管理，是全面掌握、管理、监控各部门用户对平台使用情况的窗口，面向管理人员，提供首页、数据服务管理、日志管理、用户管理、平台配置等功能。</w:t>
      </w:r>
    </w:p>
    <w:p w14:paraId="5EA88DA2">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首页：展示系统总体运维情况，包括用户总数、当前在线用户数、系统访问量、服务巡检情况、服务访问情况等。</w:t>
      </w:r>
    </w:p>
    <w:p w14:paraId="250FE92E">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数据服务管理：显示目前已经发布的数据服务，可根据服务类型、服务名称等条件进行服务查询，还可对服务进行查看、删除、更新、保存等。</w:t>
      </w:r>
    </w:p>
    <w:p w14:paraId="6E963F0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日志管理：主要是监控系统工作、服务和用户的状态，包括系统概况、系统分析、服务概况、服务分析、用户访问分析、用户行为分析。</w:t>
      </w:r>
    </w:p>
    <w:p w14:paraId="0A4290FF">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用户管理：用户管理，实现对用户进行统一管理，包括增加、修改、删除、查询和用户授权等操作。</w:t>
      </w:r>
    </w:p>
    <w:p w14:paraId="27DD0A9F">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平台配置：平台界面配置，实现对平台logo、标题、轮播图片等的修改。根据实际需求，上传合适尺寸的图片，即可对平台风格进行调整。支持界面风格配置。</w:t>
      </w:r>
    </w:p>
    <w:p w14:paraId="735A727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仿宋_GB2312" w:hAnsi="方正仿宋_GB2312" w:eastAsia="方正仿宋_GB2312" w:cs="方正仿宋_GB2312"/>
          <w:b/>
          <w:bCs/>
          <w:color w:val="auto"/>
          <w:kern w:val="0"/>
          <w:sz w:val="28"/>
          <w:szCs w:val="28"/>
          <w:lang w:val="en-US" w:eastAsia="zh-CN" w:bidi="ar-SA"/>
        </w:rPr>
      </w:pPr>
      <w:r>
        <w:rPr>
          <w:rFonts w:hint="eastAsia" w:ascii="方正仿宋_GB2312" w:hAnsi="方正仿宋_GB2312" w:eastAsia="方正仿宋_GB2312" w:cs="方正仿宋_GB2312"/>
          <w:b/>
          <w:bCs/>
          <w:color w:val="auto"/>
          <w:kern w:val="0"/>
          <w:sz w:val="28"/>
          <w:szCs w:val="28"/>
          <w:lang w:val="en-US" w:eastAsia="zh-CN" w:bidi="ar-SA"/>
        </w:rPr>
        <w:t>4、集成对接内容</w:t>
      </w:r>
    </w:p>
    <w:p w14:paraId="7818C61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bookmarkStart w:id="199" w:name="_Toc11973"/>
      <w:r>
        <w:rPr>
          <w:rFonts w:hint="eastAsia" w:ascii="方正仿宋_GB2312" w:hAnsi="方正仿宋_GB2312" w:eastAsia="方正仿宋_GB2312" w:cs="方正仿宋_GB2312"/>
          <w:color w:val="auto"/>
          <w:kern w:val="2"/>
          <w:sz w:val="21"/>
          <w:szCs w:val="21"/>
          <w:lang w:val="en-US" w:eastAsia="zh-CN" w:bidi="ar-SA"/>
        </w:rPr>
        <w:t>（一）信息编码标准集成</w:t>
      </w:r>
      <w:bookmarkEnd w:id="199"/>
      <w:r>
        <w:rPr>
          <w:rFonts w:hint="eastAsia" w:ascii="方正仿宋_GB2312" w:hAnsi="方正仿宋_GB2312" w:eastAsia="方正仿宋_GB2312" w:cs="方正仿宋_GB2312"/>
          <w:color w:val="auto"/>
          <w:kern w:val="2"/>
          <w:sz w:val="21"/>
          <w:szCs w:val="21"/>
          <w:lang w:val="en-US" w:eastAsia="zh-CN" w:bidi="ar-SA"/>
        </w:rPr>
        <w:tab/>
      </w:r>
    </w:p>
    <w:p w14:paraId="0C01FF04">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建立统一的校园空间与业务信息编码标准体系，实现地下管线、地上三维模型、基础地理、业务数据的编码一致性。参照国家《城市地下管线探测技术规程》《基础地理信息要素分类与代码》及学校现有资产、楼宇、能耗编码规则，制定涵盖管线类型、管径、材质、楼宇区域、能耗点位、报修工单等维度的统一编码规则。通过数据管理中心完成编码标准的落地与校验，对接入的外部系统进行编码适配，确保全平台数据分类清晰、关联唯一、互通无冲突，为数据治理、统计分析、系统对接奠定基础。</w:t>
      </w:r>
    </w:p>
    <w:p w14:paraId="632EB8EB">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bookmarkStart w:id="200" w:name="_Toc2623"/>
      <w:r>
        <w:rPr>
          <w:rFonts w:hint="eastAsia" w:ascii="方正仿宋_GB2312" w:hAnsi="方正仿宋_GB2312" w:eastAsia="方正仿宋_GB2312" w:cs="方正仿宋_GB2312"/>
          <w:color w:val="auto"/>
          <w:kern w:val="2"/>
          <w:sz w:val="21"/>
          <w:szCs w:val="21"/>
          <w:lang w:val="en-US" w:eastAsia="zh-CN" w:bidi="ar-SA"/>
        </w:rPr>
        <w:t>（二）业务数据集成</w:t>
      </w:r>
      <w:bookmarkEnd w:id="200"/>
      <w:r>
        <w:rPr>
          <w:rFonts w:hint="eastAsia" w:ascii="方正仿宋_GB2312" w:hAnsi="方正仿宋_GB2312" w:eastAsia="方正仿宋_GB2312" w:cs="方正仿宋_GB2312"/>
          <w:color w:val="auto"/>
          <w:kern w:val="2"/>
          <w:sz w:val="21"/>
          <w:szCs w:val="21"/>
          <w:lang w:val="en-US" w:eastAsia="zh-CN" w:bidi="ar-SA"/>
        </w:rPr>
        <w:tab/>
      </w:r>
    </w:p>
    <w:p w14:paraId="6A043229">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依托数据管理中心构建统一的数据交换总线，实现校内各业务系统数据的双向流通与实时同步。核心集成内容包括：</w:t>
      </w:r>
    </w:p>
    <w:p w14:paraId="22DBFE4B">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1.基础数据共享：从学校统一身份认证、人事系统、学生系统同步获取师生、教职工基础信息，同步至校园报修维修系统、能耗可视化等业务模块；</w:t>
      </w:r>
    </w:p>
    <w:p w14:paraId="04D2D76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2.业务数据互通：通过数据中台，与能源监管平台同步水表、电表实时数据与历史能耗数据；与智慧供热系统同步供热温度、压力、流量数据；与路灯控制系统同步路灯设备状态与运行数据；与配电室、水泵房管理系统同步设备监测数据，实现能耗、设备运行数据的统一汇聚；</w:t>
      </w:r>
    </w:p>
    <w:p w14:paraId="0A4C910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3.数据同步机制：建立数据同步机制，核心业务数据，包括能耗数据、工单数据、基础数据等同步至数据中台，确保全平台数据一致性。</w:t>
      </w:r>
    </w:p>
    <w:p w14:paraId="78A1D48E">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bookmarkStart w:id="201" w:name="_Toc17701"/>
      <w:r>
        <w:rPr>
          <w:rFonts w:hint="eastAsia" w:ascii="方正仿宋_GB2312" w:hAnsi="方正仿宋_GB2312" w:eastAsia="方正仿宋_GB2312" w:cs="方正仿宋_GB2312"/>
          <w:color w:val="auto"/>
          <w:kern w:val="2"/>
          <w:sz w:val="21"/>
          <w:szCs w:val="21"/>
          <w:lang w:val="en-US" w:eastAsia="zh-CN" w:bidi="ar-SA"/>
        </w:rPr>
        <w:t>（三）统一身份认证集成</w:t>
      </w:r>
      <w:bookmarkEnd w:id="201"/>
      <w:r>
        <w:rPr>
          <w:rFonts w:hint="eastAsia" w:ascii="方正仿宋_GB2312" w:hAnsi="方正仿宋_GB2312" w:eastAsia="方正仿宋_GB2312" w:cs="方正仿宋_GB2312"/>
          <w:color w:val="auto"/>
          <w:kern w:val="2"/>
          <w:sz w:val="21"/>
          <w:szCs w:val="21"/>
          <w:lang w:val="en-US" w:eastAsia="zh-CN" w:bidi="ar-SA"/>
        </w:rPr>
        <w:tab/>
      </w:r>
    </w:p>
    <w:p w14:paraId="60CE5716">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接校园统一身份认证平台，采用标准认证协议CAS4.0或SAML1.1协议完成系统身份认证能力集成。通过统一身份认证接口，实现地下管网系统、电子地图、报修维修、能耗可视化等核心业务模块与校园统一身份源的对接，用户无需单独注册账号，可直接使用校园统一账号密码登录系统。同时，完成认证信息的双向同步，支持用户角色、权限变更在统一身份平台生效后，实时同步至本平台，确保身份认证的安全性、统一性与高效性。</w:t>
      </w:r>
    </w:p>
    <w:p w14:paraId="3A572AA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bookmarkStart w:id="202" w:name="_Toc29860"/>
      <w:r>
        <w:rPr>
          <w:rFonts w:hint="eastAsia" w:ascii="方正仿宋_GB2312" w:hAnsi="方正仿宋_GB2312" w:eastAsia="方正仿宋_GB2312" w:cs="方正仿宋_GB2312"/>
          <w:color w:val="auto"/>
          <w:kern w:val="2"/>
          <w:sz w:val="21"/>
          <w:szCs w:val="21"/>
          <w:lang w:val="en-US" w:eastAsia="zh-CN" w:bidi="ar-SA"/>
        </w:rPr>
        <w:t>（四）单点登录集成</w:t>
      </w:r>
      <w:bookmarkEnd w:id="202"/>
      <w:r>
        <w:rPr>
          <w:rFonts w:hint="eastAsia" w:ascii="方正仿宋_GB2312" w:hAnsi="方正仿宋_GB2312" w:eastAsia="方正仿宋_GB2312" w:cs="方正仿宋_GB2312"/>
          <w:color w:val="auto"/>
          <w:kern w:val="2"/>
          <w:sz w:val="21"/>
          <w:szCs w:val="21"/>
          <w:lang w:val="en-US" w:eastAsia="zh-CN" w:bidi="ar-SA"/>
        </w:rPr>
        <w:tab/>
      </w:r>
    </w:p>
    <w:p w14:paraId="24223F6D">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基于统一身份认证成果，实现校园业务系统单点登录集成，打通本平台与校园现有核心系统的登录链路。通过单点登录（SSO）技术，在用户完成校园统一身份认证后，可直接跳转至本平台各业务模块，无需重复登录；同时，支持从本平台跳转至信息门户外部系统，以及从信息门户一键进入本平台，实现“一次登录、全域通行”，提升用户操作效率，避免多账号切换困扰。</w:t>
      </w:r>
    </w:p>
    <w:p w14:paraId="4A28EAE8">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bookmarkStart w:id="203" w:name="_Toc11519"/>
      <w:r>
        <w:rPr>
          <w:rFonts w:hint="eastAsia" w:ascii="方正仿宋_GB2312" w:hAnsi="方正仿宋_GB2312" w:eastAsia="方正仿宋_GB2312" w:cs="方正仿宋_GB2312"/>
          <w:color w:val="auto"/>
          <w:kern w:val="2"/>
          <w:sz w:val="21"/>
          <w:szCs w:val="21"/>
          <w:lang w:val="en-US" w:eastAsia="zh-CN" w:bidi="ar-SA"/>
        </w:rPr>
        <w:t>（五）门户待办事宜、消息（短信）集成</w:t>
      </w:r>
      <w:bookmarkEnd w:id="203"/>
    </w:p>
    <w:p w14:paraId="29F46A3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与校园统一门户及消息中心深度集成，实现待办事宜、通知消息的统一展示与触达。将本平台中的报修工单待审核、待派工、待完工任务，能耗异常告警任务，库房物资审批任务等同步至校园统一门户的待办事宜模块，管理人员可在门户直接查看并处理相关业务，实现业务入口统一；对接校园短信网关与消息推送系统，支持报修工单状态变更、设备异常告警、工单催办等场景的消息推送。通过短信、校内消息双渠道触达相关人员，确保运维人员、师生、管理人员第一时间获取关键信息，提升业务响应速度。</w:t>
      </w:r>
    </w:p>
    <w:p w14:paraId="0E79115F">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bookmarkStart w:id="204" w:name="_Toc14618"/>
      <w:r>
        <w:rPr>
          <w:rFonts w:hint="eastAsia" w:ascii="方正仿宋_GB2312" w:hAnsi="方正仿宋_GB2312" w:eastAsia="方正仿宋_GB2312" w:cs="方正仿宋_GB2312"/>
          <w:color w:val="auto"/>
          <w:kern w:val="2"/>
          <w:sz w:val="21"/>
          <w:szCs w:val="21"/>
          <w:lang w:val="en-US" w:eastAsia="zh-CN" w:bidi="ar-SA"/>
        </w:rPr>
        <w:t>（六）移动端大厅集成</w:t>
      </w:r>
      <w:bookmarkEnd w:id="204"/>
    </w:p>
    <w:p w14:paraId="50C23A22">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依托校园移动端服务大厅，提供移动客户端集成服务，实现本平台核心业务功能的移动端集成与轻量化适配。</w:t>
      </w:r>
    </w:p>
    <w:p w14:paraId="6E92B678">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1.功能入口集成：在移动端大厅新增专区，整合校园电子地图导航、快速报修、能耗查询、报修工单进度查询等核心功能，用户可通过移动端一键访问；</w:t>
      </w:r>
    </w:p>
    <w:p w14:paraId="638562A6">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方正仿宋_GB2312" w:hAnsi="方正仿宋_GB2312" w:eastAsia="方正仿宋_GB2312" w:cs="方正仿宋_GB2312"/>
          <w:color w:val="auto"/>
          <w:kern w:val="2"/>
          <w:sz w:val="21"/>
          <w:szCs w:val="21"/>
          <w:lang w:val="en-US" w:eastAsia="zh-CN" w:bidi="ar-SA"/>
        </w:rPr>
      </w:pPr>
      <w:r>
        <w:rPr>
          <w:rFonts w:hint="eastAsia" w:ascii="方正仿宋_GB2312" w:hAnsi="方正仿宋_GB2312" w:eastAsia="方正仿宋_GB2312" w:cs="方正仿宋_GB2312"/>
          <w:color w:val="auto"/>
          <w:kern w:val="2"/>
          <w:sz w:val="21"/>
          <w:szCs w:val="21"/>
          <w:lang w:val="en-US" w:eastAsia="zh-CN" w:bidi="ar-SA"/>
        </w:rPr>
        <w:t>2.移动端消息触达：集成移动端消息推送能力，支持移动端接收工单通知、设备告警、审批结果等消息，实现移动端全流程业务闭环，提升校园后勤服务的移动化、便捷化水平。</w:t>
      </w:r>
    </w:p>
    <w:p w14:paraId="0C246868">
      <w:pPr>
        <w:pStyle w:val="11"/>
        <w:pageBreakBefore w:val="0"/>
        <w:kinsoku/>
        <w:wordWrap/>
        <w:overflowPunct/>
        <w:topLinePunct w:val="0"/>
        <w:autoSpaceDE/>
        <w:autoSpaceDN/>
        <w:bidi w:val="0"/>
        <w:adjustRightInd/>
        <w:snapToGrid/>
        <w:spacing w:after="0" w:line="520" w:lineRule="exact"/>
        <w:textAlignment w:val="auto"/>
        <w:rPr>
          <w:rFonts w:hint="eastAsia" w:ascii="方正仿宋_GB2312" w:hAnsi="方正仿宋_GB2312" w:eastAsia="方正仿宋_GB2312" w:cs="方正仿宋_GB2312"/>
          <w:color w:val="auto"/>
          <w:sz w:val="20"/>
          <w:szCs w:val="20"/>
        </w:rPr>
      </w:pPr>
      <w:r>
        <w:rPr>
          <w:rFonts w:hint="eastAsia" w:ascii="方正仿宋_GB2312" w:hAnsi="方正仿宋_GB2312" w:eastAsia="方正仿宋_GB2312" w:cs="方正仿宋_GB2312"/>
          <w:color w:val="auto"/>
        </w:rPr>
        <w:br w:type="page"/>
      </w:r>
    </w:p>
    <w:p w14:paraId="68B15A29">
      <w:pPr>
        <w:pStyle w:val="2"/>
        <w:spacing w:before="0" w:after="0" w:line="579" w:lineRule="auto"/>
        <w:jc w:val="center"/>
        <w:rPr>
          <w:rFonts w:hint="eastAsia" w:ascii="方正仿宋_GB2312" w:hAnsi="方正仿宋_GB2312" w:eastAsia="方正仿宋_GB2312" w:cs="方正仿宋_GB2312"/>
          <w:color w:val="auto"/>
          <w:sz w:val="32"/>
          <w:szCs w:val="32"/>
        </w:rPr>
      </w:pPr>
      <w:bookmarkStart w:id="205" w:name="_Toc3697"/>
      <w:r>
        <w:rPr>
          <w:rFonts w:hint="eastAsia" w:ascii="方正仿宋_GB2312" w:hAnsi="方正仿宋_GB2312" w:eastAsia="方正仿宋_GB2312" w:cs="方正仿宋_GB2312"/>
          <w:color w:val="auto"/>
          <w:sz w:val="32"/>
          <w:szCs w:val="32"/>
        </w:rPr>
        <w:t>第</w:t>
      </w:r>
      <w:r>
        <w:rPr>
          <w:rFonts w:hint="eastAsia" w:ascii="方正仿宋_GB2312" w:hAnsi="方正仿宋_GB2312" w:eastAsia="方正仿宋_GB2312" w:cs="方正仿宋_GB2312"/>
          <w:color w:val="auto"/>
          <w:sz w:val="32"/>
          <w:szCs w:val="32"/>
          <w:lang w:val="en-US" w:eastAsia="zh-CN"/>
        </w:rPr>
        <w:t>三</w:t>
      </w:r>
      <w:r>
        <w:rPr>
          <w:rFonts w:hint="eastAsia" w:ascii="方正仿宋_GB2312" w:hAnsi="方正仿宋_GB2312" w:eastAsia="方正仿宋_GB2312" w:cs="方正仿宋_GB2312"/>
          <w:color w:val="auto"/>
          <w:sz w:val="32"/>
          <w:szCs w:val="32"/>
        </w:rPr>
        <w:t>部分 采购需求清单</w:t>
      </w:r>
      <w:bookmarkEnd w:id="205"/>
    </w:p>
    <w:p w14:paraId="6A080974">
      <w:pPr>
        <w:pStyle w:val="3"/>
        <w:spacing w:line="36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软件部分</w:t>
      </w:r>
    </w:p>
    <w:tbl>
      <w:tblPr>
        <w:tblStyle w:val="31"/>
        <w:tblW w:w="7214"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16"/>
        <w:gridCol w:w="2132"/>
        <w:gridCol w:w="2466"/>
      </w:tblGrid>
      <w:tr w14:paraId="47890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616" w:type="dxa"/>
            <w:tcBorders>
              <w:top w:val="single" w:color="000000" w:sz="4" w:space="0"/>
              <w:left w:val="single" w:color="000000" w:sz="4" w:space="0"/>
              <w:bottom w:val="nil"/>
              <w:right w:val="single" w:color="000000" w:sz="4" w:space="0"/>
            </w:tcBorders>
            <w:shd w:val="clear" w:color="auto" w:fill="DBE2F2"/>
            <w:noWrap/>
            <w:vAlign w:val="center"/>
          </w:tcPr>
          <w:p w14:paraId="742C836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2"/>
                <w:szCs w:val="22"/>
                <w:u w:val="none"/>
              </w:rPr>
            </w:pPr>
            <w:r>
              <w:rPr>
                <w:rFonts w:hint="eastAsia" w:ascii="方正仿宋_GB2312" w:hAnsi="方正仿宋_GB2312" w:eastAsia="方正仿宋_GB2312" w:cs="方正仿宋_GB2312"/>
                <w:b/>
                <w:bCs/>
                <w:i w:val="0"/>
                <w:iCs w:val="0"/>
                <w:color w:val="auto"/>
                <w:kern w:val="0"/>
                <w:sz w:val="22"/>
                <w:szCs w:val="22"/>
                <w:u w:val="none"/>
                <w:lang w:val="en-US" w:eastAsia="zh-CN" w:bidi="ar"/>
              </w:rPr>
              <w:t>项目名称</w:t>
            </w:r>
          </w:p>
        </w:tc>
        <w:tc>
          <w:tcPr>
            <w:tcW w:w="2132" w:type="dxa"/>
            <w:tcBorders>
              <w:top w:val="single" w:color="000000" w:sz="4" w:space="0"/>
              <w:left w:val="single" w:color="000000" w:sz="4" w:space="0"/>
              <w:bottom w:val="nil"/>
              <w:right w:val="single" w:color="000000" w:sz="4" w:space="0"/>
            </w:tcBorders>
            <w:shd w:val="clear" w:color="auto" w:fill="DBE2F2"/>
            <w:noWrap/>
            <w:vAlign w:val="center"/>
          </w:tcPr>
          <w:p w14:paraId="00EC66F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2"/>
                <w:szCs w:val="22"/>
                <w:u w:val="none"/>
              </w:rPr>
            </w:pPr>
            <w:r>
              <w:rPr>
                <w:rFonts w:hint="eastAsia" w:ascii="方正仿宋_GB2312" w:hAnsi="方正仿宋_GB2312" w:eastAsia="方正仿宋_GB2312" w:cs="方正仿宋_GB2312"/>
                <w:b/>
                <w:bCs/>
                <w:i w:val="0"/>
                <w:iCs w:val="0"/>
                <w:color w:val="auto"/>
                <w:kern w:val="0"/>
                <w:sz w:val="22"/>
                <w:szCs w:val="22"/>
                <w:u w:val="none"/>
                <w:lang w:val="en-US" w:eastAsia="zh-CN" w:bidi="ar"/>
              </w:rPr>
              <w:t>子系统</w:t>
            </w:r>
          </w:p>
        </w:tc>
        <w:tc>
          <w:tcPr>
            <w:tcW w:w="2466" w:type="dxa"/>
            <w:tcBorders>
              <w:top w:val="single" w:color="000000" w:sz="4" w:space="0"/>
              <w:left w:val="single" w:color="000000" w:sz="4" w:space="0"/>
              <w:bottom w:val="nil"/>
              <w:right w:val="single" w:color="000000" w:sz="4" w:space="0"/>
            </w:tcBorders>
            <w:shd w:val="clear" w:color="auto" w:fill="DBE2F2"/>
            <w:noWrap/>
            <w:vAlign w:val="center"/>
          </w:tcPr>
          <w:p w14:paraId="2C716B8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2"/>
                <w:szCs w:val="22"/>
                <w:u w:val="none"/>
              </w:rPr>
            </w:pPr>
            <w:r>
              <w:rPr>
                <w:rFonts w:hint="eastAsia" w:ascii="方正仿宋_GB2312" w:hAnsi="方正仿宋_GB2312" w:eastAsia="方正仿宋_GB2312" w:cs="方正仿宋_GB2312"/>
                <w:b/>
                <w:bCs/>
                <w:i w:val="0"/>
                <w:iCs w:val="0"/>
                <w:color w:val="auto"/>
                <w:kern w:val="0"/>
                <w:sz w:val="22"/>
                <w:szCs w:val="22"/>
                <w:u w:val="none"/>
                <w:lang w:val="en-US" w:eastAsia="zh-CN" w:bidi="ar"/>
              </w:rPr>
              <w:t>子模块</w:t>
            </w:r>
          </w:p>
        </w:tc>
      </w:tr>
      <w:tr w14:paraId="492CA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restart"/>
            <w:tcBorders>
              <w:top w:val="single" w:color="000000" w:sz="4" w:space="0"/>
              <w:left w:val="single" w:color="000000" w:sz="4" w:space="0"/>
              <w:right w:val="single" w:color="000000" w:sz="4" w:space="0"/>
            </w:tcBorders>
            <w:noWrap/>
            <w:vAlign w:val="center"/>
          </w:tcPr>
          <w:p w14:paraId="7491055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校园三维管网综合管理平台</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A0D9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校园管网勘查探漏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75B8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管网勘查探漏</w:t>
            </w:r>
          </w:p>
        </w:tc>
      </w:tr>
      <w:tr w14:paraId="45CD9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2D08BE37">
            <w:pPr>
              <w:jc w:val="center"/>
              <w:rPr>
                <w:rFonts w:hint="eastAsia" w:ascii="方正仿宋_GB2312" w:hAnsi="方正仿宋_GB2312" w:eastAsia="方正仿宋_GB2312" w:cs="方正仿宋_GB2312"/>
                <w:i w:val="0"/>
                <w:iCs w:val="0"/>
                <w:color w:val="auto"/>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1655AF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管线三维建模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B61E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地下管网建模</w:t>
            </w:r>
          </w:p>
        </w:tc>
      </w:tr>
      <w:tr w14:paraId="446CA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545A3754">
            <w:pPr>
              <w:jc w:val="center"/>
              <w:rPr>
                <w:rFonts w:hint="eastAsia" w:ascii="方正仿宋_GB2312" w:hAnsi="方正仿宋_GB2312" w:eastAsia="方正仿宋_GB2312" w:cs="方正仿宋_GB2312"/>
                <w:i w:val="0"/>
                <w:iCs w:val="0"/>
                <w:color w:val="auto"/>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98464AD">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81983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地上三维建模</w:t>
            </w:r>
          </w:p>
        </w:tc>
      </w:tr>
      <w:tr w14:paraId="383E8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24B874A5">
            <w:pPr>
              <w:jc w:val="center"/>
              <w:rPr>
                <w:rFonts w:hint="eastAsia" w:ascii="方正仿宋_GB2312" w:hAnsi="方正仿宋_GB2312" w:eastAsia="方正仿宋_GB2312" w:cs="方正仿宋_GB2312"/>
                <w:i w:val="0"/>
                <w:iCs w:val="0"/>
                <w:color w:val="auto"/>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3DBD1BF">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EC055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建筑室内三维建模</w:t>
            </w:r>
          </w:p>
        </w:tc>
      </w:tr>
      <w:tr w14:paraId="2AB17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2BBC5B85">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restart"/>
            <w:tcBorders>
              <w:top w:val="single" w:color="000000" w:sz="4" w:space="0"/>
              <w:left w:val="single" w:color="000000" w:sz="4" w:space="0"/>
              <w:right w:val="single" w:color="000000" w:sz="4" w:space="0"/>
            </w:tcBorders>
            <w:noWrap/>
            <w:vAlign w:val="center"/>
          </w:tcPr>
          <w:p w14:paraId="0C27D5B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校园综合业务平台系统</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1A9E9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基础支持平台</w:t>
            </w:r>
          </w:p>
        </w:tc>
      </w:tr>
      <w:tr w14:paraId="0BC9F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71C634B5">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19322F05">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4342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管网二三维一体化系统</w:t>
            </w:r>
          </w:p>
        </w:tc>
      </w:tr>
      <w:tr w14:paraId="602E7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6C9FA4DF">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061E1716">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B741D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校园电子地图导航系统</w:t>
            </w:r>
          </w:p>
        </w:tc>
      </w:tr>
      <w:tr w14:paraId="46B96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27D9F733">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683AB32B">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C5837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校园报修维修系统</w:t>
            </w:r>
          </w:p>
        </w:tc>
      </w:tr>
      <w:tr w14:paraId="7335A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33E52FE5">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19DF03F0">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3495F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0"/>
                <w:szCs w:val="20"/>
                <w:u w:val="none"/>
              </w:rPr>
            </w:pPr>
            <w:r>
              <w:rPr>
                <w:rFonts w:hint="eastAsia" w:ascii="方正仿宋_GB2312" w:hAnsi="方正仿宋_GB2312" w:eastAsia="方正仿宋_GB2312" w:cs="方正仿宋_GB2312"/>
                <w:i w:val="0"/>
                <w:iCs w:val="0"/>
                <w:color w:val="auto"/>
                <w:kern w:val="0"/>
                <w:sz w:val="20"/>
                <w:szCs w:val="20"/>
                <w:u w:val="none"/>
                <w:lang w:val="en-US" w:eastAsia="zh-CN" w:bidi="ar"/>
              </w:rPr>
              <w:t>水电能耗数据可视化</w:t>
            </w:r>
          </w:p>
        </w:tc>
      </w:tr>
      <w:tr w14:paraId="3CFFF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33D1C60E">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3E76EE27">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1F84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u w:val="none"/>
                <w:lang w:val="en-US" w:eastAsia="zh-CN" w:bidi="ar"/>
              </w:rPr>
            </w:pPr>
            <w:r>
              <w:rPr>
                <w:rFonts w:hint="eastAsia" w:ascii="方正仿宋_GB2312" w:hAnsi="方正仿宋_GB2312" w:eastAsia="方正仿宋_GB2312" w:cs="方正仿宋_GB2312"/>
                <w:i w:val="0"/>
                <w:iCs w:val="0"/>
                <w:color w:val="auto"/>
                <w:kern w:val="0"/>
                <w:sz w:val="20"/>
                <w:szCs w:val="20"/>
                <w:u w:val="none"/>
                <w:lang w:val="en-US" w:eastAsia="zh-CN" w:bidi="ar"/>
              </w:rPr>
              <w:t>配电室管理模块</w:t>
            </w:r>
          </w:p>
        </w:tc>
      </w:tr>
      <w:tr w14:paraId="5B160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23188188">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7BF470EB">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108B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u w:val="none"/>
                <w:lang w:val="en-US" w:eastAsia="zh-CN" w:bidi="ar"/>
              </w:rPr>
            </w:pPr>
            <w:r>
              <w:rPr>
                <w:rFonts w:hint="eastAsia" w:ascii="方正仿宋_GB2312" w:hAnsi="方正仿宋_GB2312" w:eastAsia="方正仿宋_GB2312" w:cs="方正仿宋_GB2312"/>
                <w:i w:val="0"/>
                <w:iCs w:val="0"/>
                <w:color w:val="auto"/>
                <w:kern w:val="0"/>
                <w:sz w:val="20"/>
                <w:szCs w:val="20"/>
                <w:u w:val="none"/>
                <w:lang w:val="en-US" w:eastAsia="zh-CN" w:bidi="ar"/>
              </w:rPr>
              <w:t>库房管理模块</w:t>
            </w:r>
          </w:p>
        </w:tc>
      </w:tr>
      <w:tr w14:paraId="5BBD1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3A8541E3">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2E7285AD">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8A3F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u w:val="none"/>
                <w:lang w:val="en-US" w:eastAsia="zh-CN" w:bidi="ar"/>
              </w:rPr>
            </w:pPr>
            <w:r>
              <w:rPr>
                <w:rFonts w:hint="eastAsia" w:ascii="方正仿宋_GB2312" w:hAnsi="方正仿宋_GB2312" w:eastAsia="方正仿宋_GB2312" w:cs="方正仿宋_GB2312"/>
                <w:i w:val="0"/>
                <w:iCs w:val="0"/>
                <w:color w:val="auto"/>
                <w:kern w:val="0"/>
                <w:sz w:val="20"/>
                <w:szCs w:val="20"/>
                <w:u w:val="none"/>
                <w:lang w:val="en-US" w:eastAsia="zh-CN" w:bidi="ar"/>
              </w:rPr>
              <w:t>校园路灯模块</w:t>
            </w:r>
          </w:p>
        </w:tc>
      </w:tr>
      <w:tr w14:paraId="77F49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right w:val="single" w:color="000000" w:sz="4" w:space="0"/>
            </w:tcBorders>
            <w:noWrap/>
            <w:vAlign w:val="center"/>
          </w:tcPr>
          <w:p w14:paraId="5B0658D3">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right w:val="single" w:color="000000" w:sz="4" w:space="0"/>
            </w:tcBorders>
            <w:noWrap/>
            <w:vAlign w:val="center"/>
          </w:tcPr>
          <w:p w14:paraId="2941C100">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45D35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u w:val="none"/>
                <w:lang w:val="en-US" w:eastAsia="zh-CN" w:bidi="ar"/>
              </w:rPr>
            </w:pPr>
            <w:r>
              <w:rPr>
                <w:rFonts w:hint="eastAsia" w:ascii="方正仿宋_GB2312" w:hAnsi="方正仿宋_GB2312" w:eastAsia="方正仿宋_GB2312" w:cs="方正仿宋_GB2312"/>
                <w:i w:val="0"/>
                <w:iCs w:val="0"/>
                <w:color w:val="auto"/>
                <w:kern w:val="0"/>
                <w:sz w:val="20"/>
                <w:szCs w:val="20"/>
                <w:u w:val="none"/>
                <w:lang w:val="en-US" w:eastAsia="zh-CN" w:bidi="ar"/>
              </w:rPr>
              <w:t>供热管理模块</w:t>
            </w:r>
          </w:p>
        </w:tc>
      </w:tr>
      <w:tr w14:paraId="3B934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2616" w:type="dxa"/>
            <w:vMerge w:val="continue"/>
            <w:tcBorders>
              <w:left w:val="single" w:color="000000" w:sz="4" w:space="0"/>
              <w:bottom w:val="single" w:color="000000" w:sz="4" w:space="0"/>
              <w:right w:val="single" w:color="000000" w:sz="4" w:space="0"/>
            </w:tcBorders>
            <w:noWrap/>
            <w:vAlign w:val="center"/>
          </w:tcPr>
          <w:p w14:paraId="7B89C7CA">
            <w:pPr>
              <w:jc w:val="center"/>
              <w:rPr>
                <w:rFonts w:hint="eastAsia" w:ascii="方正仿宋_GB2312" w:hAnsi="方正仿宋_GB2312" w:eastAsia="方正仿宋_GB2312" w:cs="方正仿宋_GB2312"/>
                <w:i w:val="0"/>
                <w:iCs w:val="0"/>
                <w:color w:val="auto"/>
                <w:sz w:val="20"/>
                <w:szCs w:val="20"/>
                <w:u w:val="none"/>
              </w:rPr>
            </w:pPr>
          </w:p>
        </w:tc>
        <w:tc>
          <w:tcPr>
            <w:tcW w:w="2132" w:type="dxa"/>
            <w:vMerge w:val="continue"/>
            <w:tcBorders>
              <w:left w:val="single" w:color="000000" w:sz="4" w:space="0"/>
              <w:bottom w:val="single" w:color="000000" w:sz="4" w:space="0"/>
              <w:right w:val="single" w:color="000000" w:sz="4" w:space="0"/>
            </w:tcBorders>
            <w:noWrap/>
            <w:vAlign w:val="center"/>
          </w:tcPr>
          <w:p w14:paraId="024B35C5">
            <w:pPr>
              <w:jc w:val="center"/>
              <w:rPr>
                <w:rFonts w:hint="eastAsia" w:ascii="方正仿宋_GB2312" w:hAnsi="方正仿宋_GB2312" w:eastAsia="方正仿宋_GB2312" w:cs="方正仿宋_GB2312"/>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1D8B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u w:val="none"/>
                <w:lang w:val="en-US" w:eastAsia="zh-CN" w:bidi="ar"/>
              </w:rPr>
            </w:pPr>
            <w:r>
              <w:rPr>
                <w:rFonts w:hint="eastAsia" w:ascii="方正仿宋_GB2312" w:hAnsi="方正仿宋_GB2312" w:eastAsia="方正仿宋_GB2312" w:cs="方正仿宋_GB2312"/>
                <w:i w:val="0"/>
                <w:iCs w:val="0"/>
                <w:color w:val="auto"/>
                <w:kern w:val="0"/>
                <w:sz w:val="20"/>
                <w:szCs w:val="20"/>
                <w:u w:val="none"/>
                <w:lang w:val="en-US" w:eastAsia="zh-CN" w:bidi="ar"/>
              </w:rPr>
              <w:t>管廊水淹报警定位模块</w:t>
            </w:r>
          </w:p>
        </w:tc>
      </w:tr>
    </w:tbl>
    <w:p w14:paraId="3FFF1396">
      <w:pPr>
        <w:rPr>
          <w:rFonts w:hint="eastAsia" w:ascii="方正仿宋_GB2312" w:hAnsi="方正仿宋_GB2312" w:eastAsia="方正仿宋_GB2312" w:cs="方正仿宋_GB2312"/>
          <w:color w:val="auto"/>
          <w:lang w:val="en-US" w:eastAsia="zh-CN"/>
        </w:rPr>
      </w:pPr>
    </w:p>
    <w:p w14:paraId="5861773C">
      <w:pPr>
        <w:pStyle w:val="3"/>
        <w:spacing w:line="360" w:lineRule="auto"/>
        <w:rPr>
          <w:rFonts w:hint="eastAsia" w:ascii="方正仿宋_GB2312" w:hAnsi="方正仿宋_GB2312" w:eastAsia="方正仿宋_GB2312" w:cs="方正仿宋_GB2312"/>
          <w:color w:val="auto"/>
          <w:kern w:val="0"/>
          <w:szCs w:val="21"/>
        </w:rPr>
      </w:pPr>
      <w:r>
        <w:rPr>
          <w:rFonts w:hint="eastAsia" w:ascii="方正仿宋_GB2312" w:hAnsi="方正仿宋_GB2312" w:eastAsia="方正仿宋_GB2312" w:cs="方正仿宋_GB2312"/>
          <w:color w:val="auto"/>
          <w:sz w:val="28"/>
          <w:szCs w:val="28"/>
          <w:lang w:val="en-US" w:eastAsia="zh-CN"/>
        </w:rPr>
        <w:t>硬件</w:t>
      </w:r>
      <w:r>
        <w:rPr>
          <w:rFonts w:hint="eastAsia" w:ascii="方正仿宋_GB2312" w:hAnsi="方正仿宋_GB2312" w:eastAsia="方正仿宋_GB2312" w:cs="方正仿宋_GB2312"/>
          <w:b/>
          <w:bCs/>
          <w:color w:val="auto"/>
          <w:sz w:val="28"/>
          <w:szCs w:val="28"/>
          <w:lang w:val="en-US" w:eastAsia="zh-CN"/>
        </w:rPr>
        <w:t>部分（中标方需配备硬件及建设部分电路改造由中标方提供专业设计图纸和工程量清单）</w:t>
      </w:r>
    </w:p>
    <w:tbl>
      <w:tblPr>
        <w:tblStyle w:val="31"/>
        <w:tblW w:w="4825" w:type="pct"/>
        <w:tblInd w:w="0" w:type="dxa"/>
        <w:tblLayout w:type="autofit"/>
        <w:tblCellMar>
          <w:top w:w="0" w:type="dxa"/>
          <w:left w:w="108" w:type="dxa"/>
          <w:bottom w:w="0" w:type="dxa"/>
          <w:right w:w="108" w:type="dxa"/>
        </w:tblCellMar>
      </w:tblPr>
      <w:tblGrid>
        <w:gridCol w:w="691"/>
        <w:gridCol w:w="1298"/>
        <w:gridCol w:w="4390"/>
        <w:gridCol w:w="921"/>
        <w:gridCol w:w="924"/>
      </w:tblGrid>
      <w:tr w14:paraId="09CC1BE3">
        <w:tblPrEx>
          <w:tblCellMar>
            <w:top w:w="0" w:type="dxa"/>
            <w:left w:w="108" w:type="dxa"/>
            <w:bottom w:w="0" w:type="dxa"/>
            <w:right w:w="108" w:type="dxa"/>
          </w:tblCellMar>
        </w:tblPrEx>
        <w:trPr>
          <w:trHeight w:val="341" w:hRule="atLeast"/>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416DD8E4">
            <w:pPr>
              <w:widowControl/>
              <w:jc w:val="both"/>
              <w:rPr>
                <w:rFonts w:hint="eastAsia" w:ascii="方正仿宋_GB2312" w:hAnsi="方正仿宋_GB2312" w:eastAsia="方正仿宋_GB2312" w:cs="方正仿宋_GB2312"/>
                <w:b/>
                <w:bCs/>
                <w:color w:val="auto"/>
                <w:kern w:val="0"/>
                <w:sz w:val="18"/>
                <w:szCs w:val="18"/>
                <w:lang w:val="en-US" w:eastAsia="zh-CN"/>
              </w:rPr>
            </w:pPr>
            <w:r>
              <w:rPr>
                <w:rFonts w:hint="eastAsia" w:ascii="方正仿宋_GB2312" w:hAnsi="方正仿宋_GB2312" w:eastAsia="方正仿宋_GB2312" w:cs="方正仿宋_GB2312"/>
                <w:b/>
                <w:bCs/>
                <w:color w:val="auto"/>
                <w:kern w:val="0"/>
                <w:sz w:val="18"/>
                <w:szCs w:val="18"/>
                <w:lang w:val="en-US" w:eastAsia="zh-CN"/>
              </w:rPr>
              <w:t>硬件要求</w:t>
            </w:r>
          </w:p>
        </w:tc>
      </w:tr>
      <w:tr w14:paraId="3BF990E6">
        <w:tblPrEx>
          <w:tblCellMar>
            <w:top w:w="0" w:type="dxa"/>
            <w:left w:w="108" w:type="dxa"/>
            <w:bottom w:w="0" w:type="dxa"/>
            <w:right w:w="108" w:type="dxa"/>
          </w:tblCellMar>
        </w:tblPrEx>
        <w:trPr>
          <w:trHeight w:val="341" w:hRule="atLeast"/>
        </w:trPr>
        <w:tc>
          <w:tcPr>
            <w:tcW w:w="420" w:type="pct"/>
            <w:tcBorders>
              <w:top w:val="single" w:color="auto" w:sz="4" w:space="0"/>
              <w:left w:val="single" w:color="auto" w:sz="4" w:space="0"/>
              <w:bottom w:val="single" w:color="auto" w:sz="4" w:space="0"/>
              <w:right w:val="single" w:color="auto" w:sz="4" w:space="0"/>
            </w:tcBorders>
            <w:noWrap w:val="0"/>
            <w:vAlign w:val="center"/>
          </w:tcPr>
          <w:p w14:paraId="2576F520">
            <w:pPr>
              <w:widowControl/>
              <w:jc w:val="center"/>
              <w:rPr>
                <w:rFonts w:hint="eastAsia" w:ascii="方正仿宋_GB2312" w:hAnsi="方正仿宋_GB2312" w:eastAsia="方正仿宋_GB2312" w:cs="方正仿宋_GB2312"/>
                <w:b/>
                <w:bCs/>
                <w:color w:val="auto"/>
                <w:kern w:val="0"/>
                <w:sz w:val="18"/>
                <w:szCs w:val="18"/>
              </w:rPr>
            </w:pPr>
            <w:r>
              <w:rPr>
                <w:rFonts w:hint="eastAsia" w:ascii="方正仿宋_GB2312" w:hAnsi="方正仿宋_GB2312" w:eastAsia="方正仿宋_GB2312" w:cs="方正仿宋_GB2312"/>
                <w:b/>
                <w:bCs/>
                <w:color w:val="auto"/>
                <w:kern w:val="0"/>
                <w:sz w:val="18"/>
                <w:szCs w:val="18"/>
              </w:rPr>
              <w:t>序号</w:t>
            </w:r>
          </w:p>
        </w:tc>
        <w:tc>
          <w:tcPr>
            <w:tcW w:w="789" w:type="pct"/>
            <w:tcBorders>
              <w:top w:val="single" w:color="auto" w:sz="4" w:space="0"/>
              <w:left w:val="nil"/>
              <w:bottom w:val="single" w:color="auto" w:sz="4" w:space="0"/>
              <w:right w:val="single" w:color="auto" w:sz="4" w:space="0"/>
            </w:tcBorders>
            <w:noWrap w:val="0"/>
            <w:vAlign w:val="center"/>
          </w:tcPr>
          <w:p w14:paraId="1E328034">
            <w:pPr>
              <w:widowControl/>
              <w:jc w:val="center"/>
              <w:rPr>
                <w:rFonts w:hint="eastAsia" w:ascii="方正仿宋_GB2312" w:hAnsi="方正仿宋_GB2312" w:eastAsia="方正仿宋_GB2312" w:cs="方正仿宋_GB2312"/>
                <w:b/>
                <w:bCs/>
                <w:color w:val="auto"/>
                <w:kern w:val="0"/>
                <w:sz w:val="18"/>
                <w:szCs w:val="18"/>
              </w:rPr>
            </w:pPr>
            <w:r>
              <w:rPr>
                <w:rFonts w:hint="eastAsia" w:ascii="方正仿宋_GB2312" w:hAnsi="方正仿宋_GB2312" w:eastAsia="方正仿宋_GB2312" w:cs="方正仿宋_GB2312"/>
                <w:b/>
                <w:bCs/>
                <w:color w:val="auto"/>
                <w:kern w:val="0"/>
                <w:sz w:val="18"/>
                <w:szCs w:val="18"/>
              </w:rPr>
              <w:t>功能</w:t>
            </w:r>
          </w:p>
        </w:tc>
        <w:tc>
          <w:tcPr>
            <w:tcW w:w="2669" w:type="pct"/>
            <w:tcBorders>
              <w:top w:val="single" w:color="auto" w:sz="4" w:space="0"/>
              <w:left w:val="nil"/>
              <w:bottom w:val="single" w:color="auto" w:sz="4" w:space="0"/>
              <w:right w:val="single" w:color="auto" w:sz="4" w:space="0"/>
            </w:tcBorders>
            <w:noWrap w:val="0"/>
            <w:vAlign w:val="center"/>
          </w:tcPr>
          <w:p w14:paraId="49C62F98">
            <w:pPr>
              <w:widowControl/>
              <w:jc w:val="center"/>
              <w:rPr>
                <w:rFonts w:hint="eastAsia" w:ascii="方正仿宋_GB2312" w:hAnsi="方正仿宋_GB2312" w:eastAsia="方正仿宋_GB2312" w:cs="方正仿宋_GB2312"/>
                <w:b/>
                <w:bCs/>
                <w:color w:val="auto"/>
                <w:kern w:val="0"/>
                <w:sz w:val="18"/>
                <w:szCs w:val="18"/>
              </w:rPr>
            </w:pPr>
            <w:r>
              <w:rPr>
                <w:rFonts w:hint="eastAsia" w:ascii="方正仿宋_GB2312" w:hAnsi="方正仿宋_GB2312" w:eastAsia="方正仿宋_GB2312" w:cs="方正仿宋_GB2312"/>
                <w:b/>
                <w:bCs/>
                <w:color w:val="auto"/>
                <w:kern w:val="0"/>
                <w:sz w:val="18"/>
                <w:szCs w:val="18"/>
              </w:rPr>
              <w:t>技术参数</w:t>
            </w:r>
          </w:p>
        </w:tc>
        <w:tc>
          <w:tcPr>
            <w:tcW w:w="560" w:type="pct"/>
            <w:tcBorders>
              <w:top w:val="single" w:color="auto" w:sz="4" w:space="0"/>
              <w:left w:val="nil"/>
              <w:bottom w:val="single" w:color="auto" w:sz="4" w:space="0"/>
              <w:right w:val="single" w:color="auto" w:sz="4" w:space="0"/>
            </w:tcBorders>
            <w:noWrap w:val="0"/>
            <w:vAlign w:val="center"/>
          </w:tcPr>
          <w:p w14:paraId="74FCBD63">
            <w:pPr>
              <w:widowControl/>
              <w:jc w:val="center"/>
              <w:rPr>
                <w:rFonts w:hint="eastAsia" w:ascii="方正仿宋_GB2312" w:hAnsi="方正仿宋_GB2312" w:eastAsia="方正仿宋_GB2312" w:cs="方正仿宋_GB2312"/>
                <w:b/>
                <w:bCs/>
                <w:color w:val="auto"/>
                <w:kern w:val="0"/>
                <w:sz w:val="18"/>
                <w:szCs w:val="18"/>
              </w:rPr>
            </w:pPr>
            <w:r>
              <w:rPr>
                <w:rFonts w:hint="eastAsia" w:ascii="方正仿宋_GB2312" w:hAnsi="方正仿宋_GB2312" w:eastAsia="方正仿宋_GB2312" w:cs="方正仿宋_GB2312"/>
                <w:b/>
                <w:bCs/>
                <w:color w:val="auto"/>
                <w:kern w:val="0"/>
                <w:sz w:val="18"/>
                <w:szCs w:val="18"/>
              </w:rPr>
              <w:t>数量</w:t>
            </w:r>
          </w:p>
        </w:tc>
        <w:tc>
          <w:tcPr>
            <w:tcW w:w="560" w:type="pct"/>
            <w:tcBorders>
              <w:top w:val="single" w:color="auto" w:sz="4" w:space="0"/>
              <w:left w:val="nil"/>
              <w:bottom w:val="single" w:color="auto" w:sz="4" w:space="0"/>
              <w:right w:val="single" w:color="auto" w:sz="4" w:space="0"/>
            </w:tcBorders>
            <w:noWrap w:val="0"/>
            <w:vAlign w:val="center"/>
          </w:tcPr>
          <w:p w14:paraId="098FDE0D">
            <w:pPr>
              <w:widowControl/>
              <w:jc w:val="center"/>
              <w:rPr>
                <w:rFonts w:hint="eastAsia" w:ascii="方正仿宋_GB2312" w:hAnsi="方正仿宋_GB2312" w:eastAsia="方正仿宋_GB2312" w:cs="方正仿宋_GB2312"/>
                <w:b/>
                <w:bCs/>
                <w:color w:val="auto"/>
                <w:kern w:val="0"/>
                <w:sz w:val="18"/>
                <w:szCs w:val="18"/>
              </w:rPr>
            </w:pPr>
            <w:r>
              <w:rPr>
                <w:rFonts w:hint="eastAsia" w:ascii="方正仿宋_GB2312" w:hAnsi="方正仿宋_GB2312" w:eastAsia="方正仿宋_GB2312" w:cs="方正仿宋_GB2312"/>
                <w:b/>
                <w:bCs/>
                <w:color w:val="auto"/>
                <w:kern w:val="0"/>
                <w:sz w:val="18"/>
                <w:szCs w:val="18"/>
              </w:rPr>
              <w:t>单位</w:t>
            </w:r>
          </w:p>
        </w:tc>
      </w:tr>
      <w:tr w14:paraId="7A03F87D">
        <w:tblPrEx>
          <w:tblCellMar>
            <w:top w:w="0" w:type="dxa"/>
            <w:left w:w="108" w:type="dxa"/>
            <w:bottom w:w="0" w:type="dxa"/>
            <w:right w:w="108" w:type="dxa"/>
          </w:tblCellMar>
        </w:tblPrEx>
        <w:trPr>
          <w:trHeight w:val="90" w:hRule="atLeast"/>
        </w:trPr>
        <w:tc>
          <w:tcPr>
            <w:tcW w:w="420" w:type="pct"/>
            <w:vMerge w:val="restart"/>
            <w:tcBorders>
              <w:top w:val="nil"/>
              <w:left w:val="single" w:color="auto" w:sz="4" w:space="0"/>
              <w:bottom w:val="single" w:color="000000" w:sz="4" w:space="0"/>
              <w:right w:val="single" w:color="auto" w:sz="4" w:space="0"/>
            </w:tcBorders>
            <w:noWrap w:val="0"/>
            <w:vAlign w:val="center"/>
          </w:tcPr>
          <w:p w14:paraId="5835D1F4">
            <w:pPr>
              <w:widowControl/>
              <w:jc w:val="center"/>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14DC44E3">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lang w:val="en-US" w:eastAsia="zh-CN"/>
              </w:rPr>
              <w:t>电视显示屏</w:t>
            </w:r>
          </w:p>
        </w:tc>
        <w:tc>
          <w:tcPr>
            <w:tcW w:w="2669" w:type="pct"/>
            <w:tcBorders>
              <w:top w:val="nil"/>
              <w:left w:val="nil"/>
              <w:bottom w:val="single" w:color="auto" w:sz="4" w:space="0"/>
              <w:right w:val="single" w:color="auto" w:sz="4" w:space="0"/>
            </w:tcBorders>
            <w:noWrap w:val="0"/>
            <w:vAlign w:val="center"/>
          </w:tcPr>
          <w:p w14:paraId="47101B89">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lang w:val="en-US" w:eastAsia="zh-CN"/>
              </w:rPr>
              <w:t>1.百吋类纸屏，采用纳米蚀刻技术，可以在不影响画质和色彩的前提下，实现屏幕无眩光。电视画面在强光照射下清晰可见，亦不受杂光干扰。</w:t>
            </w:r>
          </w:p>
          <w:p w14:paraId="260CA7BD">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2.采用全新的背光模组，能够呈现 Mini 级观影更鲜艳更自然的色彩画面。</w:t>
            </w:r>
          </w:p>
          <w:p w14:paraId="1F3A9880">
            <w:pPr>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3.支持 330Hz 解码,同时向下兼容 240Hz、144Hz、120Hz 解码等刷新率规格。</w:t>
            </w:r>
          </w:p>
          <w:p w14:paraId="72AD3F72">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4.声学系统内置不少于20W声43学低音鼓，实现50Hz 深度低频下潜，低音震撼有力，可模拟出立体环绕声效。</w:t>
            </w:r>
          </w:p>
          <w:p w14:paraId="714C1575">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5.产品外观：4K 全面屏</w:t>
            </w:r>
          </w:p>
          <w:p w14:paraId="4A141B73">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6.尺寸：≧100寸</w:t>
            </w:r>
          </w:p>
          <w:p w14:paraId="66223817">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7.产品能效：1级</w:t>
            </w:r>
          </w:p>
          <w:p w14:paraId="314F81F1">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lang w:val="en-US" w:eastAsia="zh-CN"/>
              </w:rPr>
              <w:t>8.DDR容量≧4GB、eMMC容量≧128GB</w:t>
            </w:r>
          </w:p>
        </w:tc>
        <w:tc>
          <w:tcPr>
            <w:tcW w:w="560" w:type="pct"/>
            <w:tcBorders>
              <w:top w:val="nil"/>
              <w:left w:val="nil"/>
              <w:bottom w:val="single" w:color="auto" w:sz="4" w:space="0"/>
              <w:right w:val="single" w:color="auto" w:sz="4" w:space="0"/>
            </w:tcBorders>
            <w:noWrap w:val="0"/>
            <w:vAlign w:val="center"/>
          </w:tcPr>
          <w:p w14:paraId="6D554A0C">
            <w:pPr>
              <w:widowControl/>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0EE312F0">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736D306D">
        <w:tblPrEx>
          <w:tblCellMar>
            <w:top w:w="0" w:type="dxa"/>
            <w:left w:w="108" w:type="dxa"/>
            <w:bottom w:w="0" w:type="dxa"/>
            <w:right w:w="108" w:type="dxa"/>
          </w:tblCellMar>
        </w:tblPrEx>
        <w:trPr>
          <w:trHeight w:val="1403"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7AEED972">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121ABDA1">
            <w:pPr>
              <w:widowControl/>
              <w:jc w:val="center"/>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管廊漏水监测定位模块</w:t>
            </w:r>
          </w:p>
        </w:tc>
        <w:tc>
          <w:tcPr>
            <w:tcW w:w="2669" w:type="pct"/>
            <w:tcBorders>
              <w:top w:val="nil"/>
              <w:left w:val="nil"/>
              <w:bottom w:val="single" w:color="auto" w:sz="4" w:space="0"/>
              <w:right w:val="single" w:color="auto" w:sz="4" w:space="0"/>
            </w:tcBorders>
            <w:noWrap w:val="0"/>
            <w:vAlign w:val="top"/>
          </w:tcPr>
          <w:p w14:paraId="0F5CAC1B">
            <w:pPr>
              <w:widowControl/>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rPr>
              <w:t>1.</w:t>
            </w:r>
            <w:r>
              <w:rPr>
                <w:rFonts w:hint="eastAsia" w:ascii="方正仿宋_GB2312" w:hAnsi="方正仿宋_GB2312" w:eastAsia="方正仿宋_GB2312" w:cs="方正仿宋_GB2312"/>
                <w:color w:val="auto"/>
                <w:kern w:val="0"/>
                <w:sz w:val="18"/>
                <w:szCs w:val="18"/>
                <w:lang w:val="en-US" w:eastAsia="zh-CN"/>
              </w:rPr>
              <w:t>模块具备定位功能，系统能够显示模块具体安装位置，在地下管廊能够三维体现</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2</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lang w:val="en-US" w:eastAsia="zh-CN"/>
              </w:rPr>
              <w:t>支持无线、4G、网线等网络传输方式</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3</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lang w:val="en-US" w:eastAsia="zh-CN"/>
              </w:rPr>
              <w:t>蓄电池采用全包封，具有防水、防撞、防火特性。</w:t>
            </w:r>
          </w:p>
        </w:tc>
        <w:tc>
          <w:tcPr>
            <w:tcW w:w="560" w:type="pct"/>
            <w:tcBorders>
              <w:top w:val="nil"/>
              <w:left w:val="nil"/>
              <w:bottom w:val="single" w:color="auto" w:sz="4" w:space="0"/>
              <w:right w:val="single" w:color="auto" w:sz="4" w:space="0"/>
            </w:tcBorders>
            <w:noWrap w:val="0"/>
            <w:vAlign w:val="center"/>
          </w:tcPr>
          <w:p w14:paraId="3D17DB88">
            <w:pPr>
              <w:widowControl/>
              <w:jc w:val="center"/>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rPr>
              <w:t>≥1</w:t>
            </w:r>
            <w:r>
              <w:rPr>
                <w:rFonts w:hint="eastAsia" w:ascii="方正仿宋_GB2312" w:hAnsi="方正仿宋_GB2312" w:eastAsia="方正仿宋_GB2312" w:cs="方正仿宋_GB2312"/>
                <w:color w:val="auto"/>
                <w:kern w:val="0"/>
                <w:sz w:val="18"/>
                <w:szCs w:val="18"/>
                <w:lang w:val="en-US" w:eastAsia="zh-CN"/>
              </w:rPr>
              <w:t>00</w:t>
            </w:r>
          </w:p>
        </w:tc>
        <w:tc>
          <w:tcPr>
            <w:tcW w:w="560" w:type="pct"/>
            <w:tcBorders>
              <w:top w:val="nil"/>
              <w:left w:val="nil"/>
              <w:bottom w:val="single" w:color="auto" w:sz="4" w:space="0"/>
              <w:right w:val="single" w:color="auto" w:sz="4" w:space="0"/>
            </w:tcBorders>
            <w:noWrap w:val="0"/>
            <w:vAlign w:val="center"/>
          </w:tcPr>
          <w:p w14:paraId="1806228C">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49424880">
        <w:tblPrEx>
          <w:tblCellMar>
            <w:top w:w="0" w:type="dxa"/>
            <w:left w:w="108" w:type="dxa"/>
            <w:bottom w:w="0" w:type="dxa"/>
            <w:right w:w="108" w:type="dxa"/>
          </w:tblCellMar>
        </w:tblPrEx>
        <w:trPr>
          <w:trHeight w:val="90"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25D9458C">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07BC76E9">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扩声音响</w:t>
            </w:r>
          </w:p>
        </w:tc>
        <w:tc>
          <w:tcPr>
            <w:tcW w:w="2669" w:type="pct"/>
            <w:tcBorders>
              <w:top w:val="nil"/>
              <w:left w:val="nil"/>
              <w:bottom w:val="single" w:color="auto" w:sz="4" w:space="0"/>
              <w:right w:val="single" w:color="auto" w:sz="4" w:space="0"/>
            </w:tcBorders>
            <w:noWrap w:val="0"/>
            <w:vAlign w:val="top"/>
          </w:tcPr>
          <w:p w14:paraId="237B147A">
            <w:pPr>
              <w:widowControl/>
              <w:numPr>
                <w:ilvl w:val="0"/>
                <w:numId w:val="9"/>
              </w:numPr>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采用高保真喇叭单元，具有大动态、高声压的特点。箱体源自国际专业音箱结构师设计，与单元有效共鸣，频响范围宽，灵敏度高；精准的分频器使各频段频响变得平滑，声像与相位准确，声音层次分明；</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2.单元组成：LF 1x8"；HF 1x1.75"（1寸喉口）；</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3.额定功率：250W；</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4.峰值功率：1000W；</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5.灵敏度：95dB；</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6.最大声压级：118dB（额定）；</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7.标准阻抗：8Ω；</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8.频率响应：69Hz-19KHz；</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9.分频点：2200Hz；</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10.覆盖角度：90°（h水平）×50°（v垂直）；</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11.表面处理：黑色环保水性耐磨油漆涂装；</w:t>
            </w:r>
          </w:p>
          <w:p w14:paraId="308CFD30">
            <w:pPr>
              <w:widowControl/>
              <w:numPr>
                <w:ilvl w:val="0"/>
                <w:numId w:val="0"/>
              </w:numPr>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12.</w:t>
            </w:r>
            <w:r>
              <w:rPr>
                <w:rFonts w:hint="eastAsia" w:ascii="方正仿宋_GB2312" w:hAnsi="方正仿宋_GB2312" w:eastAsia="方正仿宋_GB2312" w:cs="方正仿宋_GB2312"/>
                <w:color w:val="auto"/>
                <w:kern w:val="0"/>
                <w:sz w:val="18"/>
                <w:szCs w:val="18"/>
              </w:rPr>
              <w:t>为保证音频产品匹配效果最佳，音箱、功放、数字处理器需为同一品牌</w:t>
            </w:r>
          </w:p>
        </w:tc>
        <w:tc>
          <w:tcPr>
            <w:tcW w:w="560" w:type="pct"/>
            <w:tcBorders>
              <w:top w:val="nil"/>
              <w:left w:val="nil"/>
              <w:bottom w:val="single" w:color="auto" w:sz="4" w:space="0"/>
              <w:right w:val="single" w:color="auto" w:sz="4" w:space="0"/>
            </w:tcBorders>
            <w:noWrap w:val="0"/>
            <w:vAlign w:val="center"/>
          </w:tcPr>
          <w:p w14:paraId="04EF9027">
            <w:pPr>
              <w:widowControl/>
              <w:jc w:val="center"/>
              <w:rPr>
                <w:rFonts w:hint="eastAsia" w:ascii="方正仿宋_GB2312" w:hAnsi="方正仿宋_GB2312" w:eastAsia="方正仿宋_GB2312" w:cs="方正仿宋_GB2312"/>
                <w:color w:val="auto"/>
                <w:kern w:val="0"/>
                <w:sz w:val="18"/>
                <w:szCs w:val="18"/>
                <w:lang w:eastAsia="zh-CN"/>
              </w:rPr>
            </w:pPr>
            <w:r>
              <w:rPr>
                <w:rFonts w:hint="eastAsia" w:ascii="方正仿宋_GB2312" w:hAnsi="方正仿宋_GB2312" w:eastAsia="方正仿宋_GB2312" w:cs="方正仿宋_GB2312"/>
                <w:color w:val="auto"/>
                <w:kern w:val="0"/>
                <w:sz w:val="18"/>
                <w:szCs w:val="18"/>
                <w:lang w:val="en-US" w:eastAsia="zh-CN"/>
              </w:rPr>
              <w:t>2</w:t>
            </w:r>
          </w:p>
        </w:tc>
        <w:tc>
          <w:tcPr>
            <w:tcW w:w="560" w:type="pct"/>
            <w:tcBorders>
              <w:top w:val="nil"/>
              <w:left w:val="nil"/>
              <w:bottom w:val="single" w:color="auto" w:sz="4" w:space="0"/>
              <w:right w:val="single" w:color="auto" w:sz="4" w:space="0"/>
            </w:tcBorders>
            <w:noWrap w:val="0"/>
            <w:vAlign w:val="center"/>
          </w:tcPr>
          <w:p w14:paraId="49CEEC5D">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只</w:t>
            </w:r>
          </w:p>
        </w:tc>
      </w:tr>
      <w:tr w14:paraId="10457311">
        <w:tblPrEx>
          <w:tblCellMar>
            <w:top w:w="0" w:type="dxa"/>
            <w:left w:w="108" w:type="dxa"/>
            <w:bottom w:w="0" w:type="dxa"/>
            <w:right w:w="108" w:type="dxa"/>
          </w:tblCellMar>
        </w:tblPrEx>
        <w:trPr>
          <w:trHeight w:val="90"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42F97A3A">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3207542B">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扩声功放</w:t>
            </w:r>
          </w:p>
        </w:tc>
        <w:tc>
          <w:tcPr>
            <w:tcW w:w="2669" w:type="pct"/>
            <w:tcBorders>
              <w:top w:val="nil"/>
              <w:left w:val="nil"/>
              <w:bottom w:val="single" w:color="auto" w:sz="4" w:space="0"/>
              <w:right w:val="single" w:color="auto" w:sz="4" w:space="0"/>
            </w:tcBorders>
            <w:noWrap w:val="0"/>
            <w:vAlign w:val="top"/>
          </w:tcPr>
          <w:p w14:paraId="17E7F7E3">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1.双立体声四通道专业功放，每个通道均支持独立音量调节；</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2.具备4路平衡式音频输入（卡侬接口）；</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3.具备4路放大输出（NL4插座和纯铜接线柱）；</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4.支持立体声模式、单声道模式和桥接模式；</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5.前面板带有电源指示灯、信号指示灯及过载指示灯；</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6.具有开机延时保护、过热保护、负载短路保护、直流保护、过载保护等多重保护设计。</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7.输出功率：100W×4（8Ω）；150W×4（4Ω）；300W×2（8Ω桥接）</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8.输入灵敏度：0.775V</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9.信噪比：≥96dB</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10.总谐波失真：＜0.2%</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11.频率响应：20Hz-20KHz</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12.输入阻抗：20KΩ(Balance)/10KΩ(Unbalance)</w:t>
            </w:r>
            <w:r>
              <w:rPr>
                <w:rFonts w:hint="eastAsia" w:ascii="方正仿宋_GB2312" w:hAnsi="方正仿宋_GB2312" w:eastAsia="方正仿宋_GB2312" w:cs="方正仿宋_GB2312"/>
                <w:color w:val="auto"/>
                <w:kern w:val="0"/>
                <w:sz w:val="18"/>
                <w:szCs w:val="18"/>
              </w:rPr>
              <w:br w:type="textWrapping"/>
            </w:r>
          </w:p>
        </w:tc>
        <w:tc>
          <w:tcPr>
            <w:tcW w:w="560" w:type="pct"/>
            <w:tcBorders>
              <w:top w:val="nil"/>
              <w:left w:val="nil"/>
              <w:bottom w:val="single" w:color="auto" w:sz="4" w:space="0"/>
              <w:right w:val="single" w:color="auto" w:sz="4" w:space="0"/>
            </w:tcBorders>
            <w:noWrap w:val="0"/>
            <w:vAlign w:val="center"/>
          </w:tcPr>
          <w:p w14:paraId="79637ED4">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500C3298">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2409862D">
        <w:tblPrEx>
          <w:tblCellMar>
            <w:top w:w="0" w:type="dxa"/>
            <w:left w:w="108" w:type="dxa"/>
            <w:bottom w:w="0" w:type="dxa"/>
            <w:right w:w="108" w:type="dxa"/>
          </w:tblCellMar>
        </w:tblPrEx>
        <w:trPr>
          <w:trHeight w:val="3317"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01C3EFD6">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4A49DA94">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反馈抑制器</w:t>
            </w:r>
          </w:p>
        </w:tc>
        <w:tc>
          <w:tcPr>
            <w:tcW w:w="2669" w:type="pct"/>
            <w:tcBorders>
              <w:top w:val="nil"/>
              <w:left w:val="nil"/>
              <w:bottom w:val="single" w:color="auto" w:sz="4" w:space="0"/>
              <w:right w:val="single" w:color="auto" w:sz="4" w:space="0"/>
            </w:tcBorders>
            <w:noWrap w:val="0"/>
            <w:vAlign w:val="top"/>
          </w:tcPr>
          <w:p w14:paraId="3084F42B">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1.全自动高速反馈抑制器，机架式；</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2.带液晶屏可直观显示当前模式和工作状态。</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3.支持一键扫描功能，自动适应声学环境；</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4.支持直通和移频两种工作模式；</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5.直通模式20Hz-2KHz，移频模式100Hz-15KHz；</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6.增益可提升量5-14dB；</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7.输入输出均带有一个平衡和一个非平衡端口；</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8.一组立体声LINE输入输出端口；</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9.一组EFX输入输出端口，可连接效果器；</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10.带接地回路通断功能；</w:t>
            </w:r>
          </w:p>
        </w:tc>
        <w:tc>
          <w:tcPr>
            <w:tcW w:w="560" w:type="pct"/>
            <w:tcBorders>
              <w:top w:val="nil"/>
              <w:left w:val="nil"/>
              <w:bottom w:val="single" w:color="auto" w:sz="4" w:space="0"/>
              <w:right w:val="single" w:color="auto" w:sz="4" w:space="0"/>
            </w:tcBorders>
            <w:noWrap w:val="0"/>
            <w:vAlign w:val="center"/>
          </w:tcPr>
          <w:p w14:paraId="4F1B2C7C">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48245FCB">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571BDBAA">
        <w:tblPrEx>
          <w:tblCellMar>
            <w:top w:w="0" w:type="dxa"/>
            <w:left w:w="108" w:type="dxa"/>
            <w:bottom w:w="0" w:type="dxa"/>
            <w:right w:w="108" w:type="dxa"/>
          </w:tblCellMar>
        </w:tblPrEx>
        <w:trPr>
          <w:trHeight w:val="349"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5DCEABA9">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3605FC89">
            <w:pPr>
              <w:keepNext w:val="0"/>
              <w:keepLines w:val="0"/>
              <w:widowControl/>
              <w:suppressLineNumbers w:val="0"/>
              <w:spacing w:before="0" w:beforeAutospacing="0" w:after="0" w:afterAutospacing="0"/>
              <w:ind w:left="0" w:leftChars="0" w:right="0" w:rightChars="0"/>
              <w:jc w:val="center"/>
              <w:rPr>
                <w:rFonts w:hint="eastAsia" w:ascii="方正仿宋_GB2312" w:hAnsi="方正仿宋_GB2312" w:eastAsia="方正仿宋_GB2312" w:cs="方正仿宋_GB2312"/>
                <w:color w:val="auto"/>
                <w:kern w:val="0"/>
                <w:sz w:val="18"/>
                <w:szCs w:val="18"/>
                <w:lang w:val="en-US" w:eastAsia="zh-CN" w:bidi="ar-SA"/>
              </w:rPr>
            </w:pPr>
            <w:r>
              <w:rPr>
                <w:rFonts w:hint="eastAsia" w:ascii="方正仿宋_GB2312" w:hAnsi="方正仿宋_GB2312" w:eastAsia="方正仿宋_GB2312" w:cs="方正仿宋_GB2312"/>
                <w:color w:val="auto"/>
                <w:kern w:val="0"/>
                <w:sz w:val="18"/>
                <w:szCs w:val="18"/>
                <w:lang w:val="en-US" w:eastAsia="zh-CN"/>
              </w:rPr>
              <w:t>调音台</w:t>
            </w:r>
          </w:p>
        </w:tc>
        <w:tc>
          <w:tcPr>
            <w:tcW w:w="2669" w:type="pct"/>
            <w:tcBorders>
              <w:top w:val="nil"/>
              <w:left w:val="nil"/>
              <w:bottom w:val="single" w:color="auto" w:sz="4" w:space="0"/>
              <w:right w:val="single" w:color="auto" w:sz="4" w:space="0"/>
            </w:tcBorders>
            <w:noWrap w:val="0"/>
            <w:vAlign w:val="top"/>
          </w:tcPr>
          <w:p w14:paraId="1A394C7A">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lang w:val="en-US" w:eastAsia="zh-CN"/>
              </w:rPr>
              <w:t>1.</w:t>
            </w:r>
            <w:r>
              <w:rPr>
                <w:rFonts w:hint="eastAsia" w:ascii="方正仿宋_GB2312" w:hAnsi="方正仿宋_GB2312" w:eastAsia="方正仿宋_GB2312" w:cs="方正仿宋_GB2312"/>
                <w:color w:val="auto"/>
                <w:kern w:val="0"/>
                <w:sz w:val="18"/>
                <w:szCs w:val="18"/>
              </w:rPr>
              <w:t>10路话筒输入，8路（四组）立体声输入，其中9,10路话筒输入和立体声共用；</w:t>
            </w:r>
          </w:p>
          <w:p w14:paraId="45A3C40E">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单声道输入通道每路带独立的48V幻像供电开关，单通道带100Hz低切功能；</w:t>
            </w:r>
          </w:p>
          <w:p w14:paraId="4453B117">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3</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 xml:space="preserve">话筒输入高中低三段均衡，13-16路立体声高低两段均衡，输入推子60mm，手感平滑；  </w:t>
            </w:r>
          </w:p>
          <w:p w14:paraId="637B732F">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4</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两个辅助输出，一个AUX发送，一个FX发送，AUX发送为推子前信号，FX发送为推子后信号，信号发送量都由旋钮控制；</w:t>
            </w:r>
          </w:p>
          <w:p w14:paraId="3D456564">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5</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输入每路带PFL按键，方便监听推子前信号；</w:t>
            </w:r>
          </w:p>
          <w:p w14:paraId="3C489CA1">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6</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每路输入带L-R开关(主输出开关）和G1-G2开关（两编组开关）；</w:t>
            </w:r>
          </w:p>
          <w:p w14:paraId="28E4FFF4">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7</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USB播放功能，带液晶显示屏，可以显示歌曲名字和歌词，支持MP3,WAV等多种格式，中英文界面可选，循环模式可选；</w:t>
            </w:r>
          </w:p>
          <w:p w14:paraId="20B3CF15">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8</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带蓝牙功能，可以直接蓝牙输入音频；</w:t>
            </w:r>
          </w:p>
          <w:p w14:paraId="62FB6691">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9</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带U盘录音功能；</w:t>
            </w:r>
          </w:p>
          <w:p w14:paraId="069974DF">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10</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可以连接电脑，通过声卡输入输出音频到电脑；</w:t>
            </w:r>
          </w:p>
          <w:p w14:paraId="3F7A1C80">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11</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内置效果器，效果器延时时间和重复比例连续可调，效果可以加入主输入，也可以加入辅助AUX输出；</w:t>
            </w:r>
          </w:p>
          <w:p w14:paraId="70B8E05B">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12</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左右主输出，两个推子独立控制，60mm推子；两编组输出，两个推子独立控制，60mm推子；</w:t>
            </w:r>
          </w:p>
          <w:p w14:paraId="44C6559F">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13</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立体声监听输出，可以耳机监听，也可以输出到监听音箱旋钮控制音量大小；</w:t>
            </w:r>
          </w:p>
          <w:p w14:paraId="4E7120D4">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15、左右立体声辅助返回，旋钮控制返回音量大小，有选择开关选择加入主输出还是编组输出；带莲花接口的录音输出和输入，录音输入有独立开关控制，便于录音和回放操作；</w:t>
            </w:r>
          </w:p>
          <w:p w14:paraId="367CB64C">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16</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调音台本底噪声低，信噪比好，性能稳定；</w:t>
            </w:r>
          </w:p>
          <w:p w14:paraId="21856B9B">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17</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标准双12段电平指示标，准确显示电平大小；</w:t>
            </w:r>
          </w:p>
          <w:p w14:paraId="516C2913">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18</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独特的外观设计,精准的组装工艺，性能稳定可靠；</w:t>
            </w:r>
          </w:p>
          <w:p w14:paraId="629356CE">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19</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话筒输入可以选择卡龙或6.35接口，立体声输入可以选择RCA或6.35接口；</w:t>
            </w:r>
          </w:p>
          <w:p w14:paraId="0EA4033E">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20</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大功率外置电源，有效提升调音台性能。</w:t>
            </w:r>
          </w:p>
          <w:p w14:paraId="0940FE1E">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21</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可订制不带塑料侧板的款式，选配支架安装在19寸标准机柜上。</w:t>
            </w:r>
          </w:p>
          <w:p w14:paraId="7FC15970">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技术参数：</w:t>
            </w:r>
          </w:p>
          <w:p w14:paraId="19E120A1">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1、频率响应：20Hz~20KHz(+/-0.5dB)；</w:t>
            </w:r>
          </w:p>
          <w:p w14:paraId="6C418C12">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2、总谐波失真：&lt;%1(额定条件：20HZ-20KHZ)；</w:t>
            </w:r>
          </w:p>
          <w:p w14:paraId="48F2D1DC">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3、等效输入噪音：≤-110dBm</w:t>
            </w:r>
          </w:p>
          <w:p w14:paraId="6864CCED">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 xml:space="preserve">输入通道均衡特性：                                   </w:t>
            </w:r>
          </w:p>
          <w:p w14:paraId="079EF9FD">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1、低频：80Hz/±15dB；</w:t>
            </w:r>
          </w:p>
          <w:p w14:paraId="59B4A033">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2、中频：2.5KHz±15dB；</w:t>
            </w:r>
          </w:p>
          <w:p w14:paraId="59D70028">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3、高频：12KHz/±15dB；</w:t>
            </w:r>
          </w:p>
          <w:p w14:paraId="6DFD9591">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4、线路输入时的最大增益：≥20dB；</w:t>
            </w:r>
          </w:p>
          <w:p w14:paraId="69360F0B">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5、传声器输入时的最大增益：≥50dB；</w:t>
            </w:r>
          </w:p>
          <w:p w14:paraId="144BD5BC">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输入阻抗：</w:t>
            </w:r>
          </w:p>
          <w:p w14:paraId="6F5DB393">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1、话筒输入：≥1.0KΩ；</w:t>
            </w:r>
          </w:p>
          <w:p w14:paraId="4C7B84FB">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2、线路输出：≥10 KΩ；</w:t>
            </w:r>
          </w:p>
          <w:p w14:paraId="42B77757">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 xml:space="preserve">3、辅助返回输入:20 KΩ；       </w:t>
            </w:r>
          </w:p>
          <w:p w14:paraId="6B5722E8">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输出阻抗：</w:t>
            </w:r>
          </w:p>
          <w:p w14:paraId="5D1BAE42">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1、左总输出：≤300Ω；</w:t>
            </w:r>
          </w:p>
          <w:p w14:paraId="28CDBB45">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2、右总输出：≤300Ω；</w:t>
            </w:r>
          </w:p>
          <w:p w14:paraId="3C5C96C9">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3、监听总输出：≤300Ω；</w:t>
            </w:r>
          </w:p>
          <w:p w14:paraId="2B40980E">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4、卡式输出：≤10KΩ；</w:t>
            </w:r>
          </w:p>
          <w:p w14:paraId="779A8409">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5、辅助输出： ≤10KΩ；</w:t>
            </w:r>
          </w:p>
          <w:p w14:paraId="2FC404FD">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6、效果器:模拟效果器，延时时间和重复次数可调；</w:t>
            </w:r>
          </w:p>
          <w:p w14:paraId="0F02C6AB">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 xml:space="preserve">7、整机功率：≤ 40W；  </w:t>
            </w:r>
          </w:p>
          <w:p w14:paraId="4D574F99">
            <w:pPr>
              <w:keepNext w:val="0"/>
              <w:keepLines w:val="0"/>
              <w:widowControl/>
              <w:suppressLineNumbers w:val="0"/>
              <w:spacing w:before="0" w:beforeAutospacing="0" w:after="0" w:afterAutospacing="0"/>
              <w:ind w:left="0" w:leftChars="0" w:right="0" w:rightChars="0"/>
              <w:jc w:val="left"/>
              <w:rPr>
                <w:rFonts w:hint="eastAsia" w:ascii="方正仿宋_GB2312" w:hAnsi="方正仿宋_GB2312" w:eastAsia="方正仿宋_GB2312" w:cs="方正仿宋_GB2312"/>
                <w:color w:val="auto"/>
                <w:kern w:val="0"/>
                <w:sz w:val="18"/>
                <w:szCs w:val="18"/>
                <w:lang w:val="en-US" w:eastAsia="zh-CN" w:bidi="ar-SA"/>
              </w:rPr>
            </w:pPr>
            <w:r>
              <w:rPr>
                <w:rFonts w:hint="eastAsia" w:ascii="方正仿宋_GB2312" w:hAnsi="方正仿宋_GB2312" w:eastAsia="方正仿宋_GB2312" w:cs="方正仿宋_GB2312"/>
                <w:color w:val="auto"/>
                <w:kern w:val="0"/>
                <w:sz w:val="18"/>
                <w:szCs w:val="18"/>
              </w:rPr>
              <w:t>8、输入电源： AC220V 50Hz；</w:t>
            </w:r>
          </w:p>
        </w:tc>
        <w:tc>
          <w:tcPr>
            <w:tcW w:w="560" w:type="pct"/>
            <w:tcBorders>
              <w:top w:val="nil"/>
              <w:left w:val="nil"/>
              <w:bottom w:val="single" w:color="auto" w:sz="4" w:space="0"/>
              <w:right w:val="single" w:color="auto" w:sz="4" w:space="0"/>
            </w:tcBorders>
            <w:noWrap w:val="0"/>
            <w:vAlign w:val="center"/>
          </w:tcPr>
          <w:p w14:paraId="53E91468">
            <w:pPr>
              <w:keepNext w:val="0"/>
              <w:keepLines w:val="0"/>
              <w:widowControl/>
              <w:suppressLineNumbers w:val="0"/>
              <w:spacing w:before="0" w:beforeAutospacing="0" w:after="0" w:afterAutospacing="0"/>
              <w:ind w:left="0" w:leftChars="0" w:right="0" w:rightChars="0"/>
              <w:jc w:val="center"/>
              <w:rPr>
                <w:rFonts w:hint="eastAsia" w:ascii="方正仿宋_GB2312" w:hAnsi="方正仿宋_GB2312" w:eastAsia="方正仿宋_GB2312" w:cs="方正仿宋_GB2312"/>
                <w:color w:val="auto"/>
                <w:kern w:val="0"/>
                <w:sz w:val="18"/>
                <w:szCs w:val="18"/>
                <w:lang w:val="en-US" w:eastAsia="zh-CN" w:bidi="ar-SA"/>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452116FA">
            <w:pPr>
              <w:keepNext w:val="0"/>
              <w:keepLines w:val="0"/>
              <w:widowControl/>
              <w:suppressLineNumbers w:val="0"/>
              <w:spacing w:before="0" w:beforeAutospacing="0" w:after="0" w:afterAutospacing="0"/>
              <w:ind w:left="0" w:leftChars="0" w:right="0" w:rightChars="0"/>
              <w:jc w:val="center"/>
              <w:rPr>
                <w:rFonts w:hint="eastAsia" w:ascii="方正仿宋_GB2312" w:hAnsi="方正仿宋_GB2312" w:eastAsia="方正仿宋_GB2312" w:cs="方正仿宋_GB2312"/>
                <w:color w:val="auto"/>
                <w:kern w:val="0"/>
                <w:sz w:val="18"/>
                <w:szCs w:val="18"/>
                <w:lang w:val="en-US" w:eastAsia="zh-CN" w:bidi="ar-SA"/>
              </w:rPr>
            </w:pPr>
            <w:r>
              <w:rPr>
                <w:rFonts w:hint="eastAsia" w:ascii="方正仿宋_GB2312" w:hAnsi="方正仿宋_GB2312" w:eastAsia="方正仿宋_GB2312" w:cs="方正仿宋_GB2312"/>
                <w:color w:val="auto"/>
                <w:kern w:val="0"/>
                <w:sz w:val="18"/>
                <w:szCs w:val="18"/>
              </w:rPr>
              <w:t>台</w:t>
            </w:r>
          </w:p>
        </w:tc>
      </w:tr>
      <w:tr w14:paraId="1647D86C">
        <w:tblPrEx>
          <w:tblCellMar>
            <w:top w:w="0" w:type="dxa"/>
            <w:left w:w="108" w:type="dxa"/>
            <w:bottom w:w="0" w:type="dxa"/>
            <w:right w:w="108" w:type="dxa"/>
          </w:tblCellMar>
        </w:tblPrEx>
        <w:trPr>
          <w:trHeight w:val="3224"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2D577675">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1C1C06C8">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电源时序器</w:t>
            </w:r>
          </w:p>
        </w:tc>
        <w:tc>
          <w:tcPr>
            <w:tcW w:w="2669" w:type="pct"/>
            <w:tcBorders>
              <w:top w:val="nil"/>
              <w:left w:val="nil"/>
              <w:bottom w:val="single" w:color="auto" w:sz="4" w:space="0"/>
              <w:right w:val="single" w:color="auto" w:sz="4" w:space="0"/>
            </w:tcBorders>
            <w:noWrap w:val="0"/>
            <w:vAlign w:val="top"/>
          </w:tcPr>
          <w:p w14:paraId="492A8290">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1.8通道大功率电源输出，额定功率3200W，单路最大输出电流30A，总输入电流容量45A；</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2.前面板具有输入电压实时显示功能，并内置直通电源输出接口；</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3.前面板具备各通道开关状态指示灯；</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4.前面板具备控制按键，可依次开启和反序关闭各通道电源，实现时序电源开关功能；</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5.具备直通开关和时序控制切换按钮；</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6.具备I/O(凤凰插)端口，可外接按键或驳接中控系统等，对各通道开关进行时序全开和全关等操作。</w:t>
            </w:r>
          </w:p>
        </w:tc>
        <w:tc>
          <w:tcPr>
            <w:tcW w:w="560" w:type="pct"/>
            <w:tcBorders>
              <w:top w:val="nil"/>
              <w:left w:val="nil"/>
              <w:bottom w:val="single" w:color="auto" w:sz="4" w:space="0"/>
              <w:right w:val="single" w:color="auto" w:sz="4" w:space="0"/>
            </w:tcBorders>
            <w:noWrap w:val="0"/>
            <w:vAlign w:val="center"/>
          </w:tcPr>
          <w:p w14:paraId="12DCEAB8">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3A4F6BBF">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2E7ACA06">
        <w:tblPrEx>
          <w:tblCellMar>
            <w:top w:w="0" w:type="dxa"/>
            <w:left w:w="108" w:type="dxa"/>
            <w:bottom w:w="0" w:type="dxa"/>
            <w:right w:w="108" w:type="dxa"/>
          </w:tblCellMar>
        </w:tblPrEx>
        <w:trPr>
          <w:trHeight w:val="2657"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7B1864FE">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3DD93F3A">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集中控制主机</w:t>
            </w:r>
          </w:p>
        </w:tc>
        <w:tc>
          <w:tcPr>
            <w:tcW w:w="2669" w:type="pct"/>
            <w:tcBorders>
              <w:top w:val="nil"/>
              <w:left w:val="nil"/>
              <w:bottom w:val="single" w:color="auto" w:sz="4" w:space="0"/>
              <w:right w:val="single" w:color="auto" w:sz="4" w:space="0"/>
            </w:tcBorders>
            <w:noWrap w:val="0"/>
            <w:vAlign w:val="top"/>
          </w:tcPr>
          <w:p w14:paraId="4B5AF781">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1.主机内置CPU和超大内存支持各种编程逻辑的应用；</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2.前面板内嵌LCD显示屏，可显示各种通讯状态；</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3.带有手动电源开关、红外录入开关；</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4.采用内嵌式红外录入和存储技术，稳定可靠；</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5.支持串口数为18路双向RS-232、8路RS-485通讯串口；</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6.支持8路红外编程接口、8路弱继电器以及32路I/O触发编程串口。投标文件中提供第三方有权机构出具的检测报告（须含有“CMA”标识）扫描件或影印件；</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7.主机内置网络模块，支持同一网段255台组网以及跨网段组网。投标文件中提供第三方有权机构出具的检测报告（须含有“CMA”标识）扫描件或影印件；</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8.实现远程控制及远程监控、报警等；</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9.样品的绝缘系统主要依靠加强绝缘的隔离变压器和足够电气间隙与爬电距离提供防触电绝缘。投标文件中提供第三方有权机构出具的检测报告（须含有“CMA”标识）扫描件或影印件；</w:t>
            </w:r>
          </w:p>
        </w:tc>
        <w:tc>
          <w:tcPr>
            <w:tcW w:w="560" w:type="pct"/>
            <w:tcBorders>
              <w:top w:val="nil"/>
              <w:left w:val="nil"/>
              <w:bottom w:val="single" w:color="auto" w:sz="4" w:space="0"/>
              <w:right w:val="single" w:color="auto" w:sz="4" w:space="0"/>
            </w:tcBorders>
            <w:noWrap w:val="0"/>
            <w:vAlign w:val="center"/>
          </w:tcPr>
          <w:p w14:paraId="5788D970">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762A0481">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4757FE34">
        <w:tblPrEx>
          <w:tblCellMar>
            <w:top w:w="0" w:type="dxa"/>
            <w:left w:w="108" w:type="dxa"/>
            <w:bottom w:w="0" w:type="dxa"/>
            <w:right w:w="108" w:type="dxa"/>
          </w:tblCellMar>
        </w:tblPrEx>
        <w:trPr>
          <w:trHeight w:val="90"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0149BD1F">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52E26817">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WIFI解码器</w:t>
            </w:r>
          </w:p>
        </w:tc>
        <w:tc>
          <w:tcPr>
            <w:tcW w:w="2669" w:type="pct"/>
            <w:tcBorders>
              <w:top w:val="nil"/>
              <w:left w:val="nil"/>
              <w:bottom w:val="single" w:color="auto" w:sz="4" w:space="0"/>
              <w:right w:val="single" w:color="auto" w:sz="4" w:space="0"/>
            </w:tcBorders>
            <w:noWrap w:val="0"/>
            <w:vAlign w:val="top"/>
          </w:tcPr>
          <w:p w14:paraId="6284F20D">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1.支持WIFI多点连接通讯功能，支持AP和Station工作模式；</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2.支持NET端口通讯功能；</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3.支持RS232/485串口双向通讯功能；</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4.带有两个手动应急按键，支持一键重启、复位操作；</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5.带有即时通讯、工作状态、电源指示灯，直观指示；</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6.支持四路RS232/485串口双向通讯可连接各种串口通讯设备；</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7.支持自定义各种数据转发功能，可便捷的加入各种有线或无线网络、串口通讯系统；</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8.内置多种编程逻辑，可自定义各种单控、群控等模式；</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9.编程数据可达128个指令集，每个指令集下可添加64段指令；</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10.延时逻辑可达约6500S，内置8种常用波特率可选；</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11.RS232/485通讯可自定义端口、波特率、指令、延时、模式功能；</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12.TCP/IP通讯参数可设置，快速便捷的加入现有网络。</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13.可配合无纸化会议系统实现场景模式调用，对环境、场景快速应用。</w:t>
            </w:r>
          </w:p>
        </w:tc>
        <w:tc>
          <w:tcPr>
            <w:tcW w:w="560" w:type="pct"/>
            <w:tcBorders>
              <w:top w:val="nil"/>
              <w:left w:val="nil"/>
              <w:bottom w:val="single" w:color="auto" w:sz="4" w:space="0"/>
              <w:right w:val="single" w:color="auto" w:sz="4" w:space="0"/>
            </w:tcBorders>
            <w:noWrap w:val="0"/>
            <w:vAlign w:val="center"/>
          </w:tcPr>
          <w:p w14:paraId="3A886ADB">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2C840006">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50EE88CA">
        <w:tblPrEx>
          <w:tblCellMar>
            <w:top w:w="0" w:type="dxa"/>
            <w:left w:w="108" w:type="dxa"/>
            <w:bottom w:w="0" w:type="dxa"/>
            <w:right w:w="108" w:type="dxa"/>
          </w:tblCellMar>
        </w:tblPrEx>
        <w:trPr>
          <w:trHeight w:val="1664"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2135D186">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7D7F3746">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可编程电源管理器</w:t>
            </w:r>
          </w:p>
        </w:tc>
        <w:tc>
          <w:tcPr>
            <w:tcW w:w="2669" w:type="pct"/>
            <w:tcBorders>
              <w:top w:val="nil"/>
              <w:left w:val="nil"/>
              <w:bottom w:val="single" w:color="auto" w:sz="4" w:space="0"/>
              <w:right w:val="single" w:color="auto" w:sz="4" w:space="0"/>
            </w:tcBorders>
            <w:noWrap w:val="0"/>
            <w:vAlign w:val="top"/>
          </w:tcPr>
          <w:p w14:paraId="5F7AAEA7">
            <w:pPr>
              <w:widowControl/>
              <w:jc w:val="left"/>
              <w:rPr>
                <w:rFonts w:hint="eastAsia" w:ascii="方正仿宋_GB2312" w:hAnsi="方正仿宋_GB2312" w:eastAsia="方正仿宋_GB2312" w:cs="方正仿宋_GB2312"/>
                <w:color w:val="auto"/>
                <w:kern w:val="0"/>
                <w:sz w:val="18"/>
                <w:szCs w:val="18"/>
                <w:lang w:eastAsia="zh-CN"/>
              </w:rPr>
            </w:pPr>
            <w:r>
              <w:rPr>
                <w:rFonts w:hint="eastAsia" w:ascii="方正仿宋_GB2312" w:hAnsi="方正仿宋_GB2312" w:eastAsia="方正仿宋_GB2312" w:cs="方正仿宋_GB2312"/>
                <w:color w:val="auto"/>
                <w:kern w:val="0"/>
                <w:sz w:val="18"/>
                <w:szCs w:val="18"/>
              </w:rPr>
              <w:t>1.8路强电或弱电开关量控制；</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2.内置应急控制开关，可手动控制各路继电器；</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3.支持手动和中控或电脑软件同时管理功能；</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4.表面带蓝色电源指示和蓝色继电器开关指示灯；</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5.2路RS-232/RS-485接口，方便控制和级联。</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6.可编程定义各种逻辑开关动作(互锁、时序开关、同步动作等)；</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7.采用内部RS-485分地址形式，可级联到16台设备；</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8.设备接线方便，安装时只需要打开小的接线盒外壳可以接线和调ID码，无须打开整个表面外壳；</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9.断电最后一次状态保存功能；</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10.应用于灯光开关屏幕升降、会标升降、投影机电动吊架升降及其他开关量远程控制场合</w:t>
            </w:r>
            <w:r>
              <w:rPr>
                <w:rFonts w:hint="eastAsia" w:ascii="方正仿宋_GB2312" w:hAnsi="方正仿宋_GB2312" w:eastAsia="方正仿宋_GB2312" w:cs="方正仿宋_GB2312"/>
                <w:color w:val="auto"/>
                <w:kern w:val="0"/>
                <w:sz w:val="18"/>
                <w:szCs w:val="18"/>
                <w:lang w:eastAsia="zh-CN"/>
              </w:rPr>
              <w:t>。</w:t>
            </w:r>
          </w:p>
        </w:tc>
        <w:tc>
          <w:tcPr>
            <w:tcW w:w="560" w:type="pct"/>
            <w:tcBorders>
              <w:top w:val="nil"/>
              <w:left w:val="nil"/>
              <w:bottom w:val="single" w:color="auto" w:sz="4" w:space="0"/>
              <w:right w:val="single" w:color="auto" w:sz="4" w:space="0"/>
            </w:tcBorders>
            <w:noWrap w:val="0"/>
            <w:vAlign w:val="center"/>
          </w:tcPr>
          <w:p w14:paraId="34929FA1">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0A1E141D">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5D98704B">
        <w:tblPrEx>
          <w:tblCellMar>
            <w:top w:w="0" w:type="dxa"/>
            <w:left w:w="108" w:type="dxa"/>
            <w:bottom w:w="0" w:type="dxa"/>
            <w:right w:w="108" w:type="dxa"/>
          </w:tblCellMar>
        </w:tblPrEx>
        <w:trPr>
          <w:trHeight w:val="672"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11202C38">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752CCF79">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附属设备机柜</w:t>
            </w:r>
          </w:p>
        </w:tc>
        <w:tc>
          <w:tcPr>
            <w:tcW w:w="2669" w:type="pct"/>
            <w:tcBorders>
              <w:top w:val="nil"/>
              <w:left w:val="nil"/>
              <w:bottom w:val="single" w:color="auto" w:sz="4" w:space="0"/>
              <w:right w:val="single" w:color="auto" w:sz="4" w:space="0"/>
            </w:tcBorders>
            <w:noWrap w:val="0"/>
            <w:vAlign w:val="center"/>
          </w:tcPr>
          <w:p w14:paraId="07289455">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2U标准机柜，2000mm *600mm *600mm、含PDU</w:t>
            </w:r>
          </w:p>
        </w:tc>
        <w:tc>
          <w:tcPr>
            <w:tcW w:w="560" w:type="pct"/>
            <w:tcBorders>
              <w:top w:val="nil"/>
              <w:left w:val="nil"/>
              <w:bottom w:val="single" w:color="auto" w:sz="4" w:space="0"/>
              <w:right w:val="single" w:color="auto" w:sz="4" w:space="0"/>
            </w:tcBorders>
            <w:noWrap w:val="0"/>
            <w:vAlign w:val="center"/>
          </w:tcPr>
          <w:p w14:paraId="2C13B282">
            <w:pPr>
              <w:widowControl/>
              <w:jc w:val="center"/>
              <w:rPr>
                <w:rFonts w:hint="eastAsia" w:ascii="方正仿宋_GB2312" w:hAnsi="方正仿宋_GB2312" w:eastAsia="方正仿宋_GB2312" w:cs="方正仿宋_GB2312"/>
                <w:color w:val="auto"/>
                <w:kern w:val="0"/>
                <w:sz w:val="18"/>
                <w:szCs w:val="18"/>
                <w:lang w:eastAsia="zh-CN"/>
              </w:rPr>
            </w:pPr>
            <w:r>
              <w:rPr>
                <w:rFonts w:hint="eastAsia" w:ascii="方正仿宋_GB2312" w:hAnsi="方正仿宋_GB2312" w:eastAsia="方正仿宋_GB2312" w:cs="方正仿宋_GB2312"/>
                <w:color w:val="auto"/>
                <w:kern w:val="0"/>
                <w:sz w:val="18"/>
                <w:szCs w:val="18"/>
                <w:lang w:val="en-US" w:eastAsia="zh-CN"/>
              </w:rPr>
              <w:t>2</w:t>
            </w:r>
          </w:p>
        </w:tc>
        <w:tc>
          <w:tcPr>
            <w:tcW w:w="560" w:type="pct"/>
            <w:tcBorders>
              <w:top w:val="nil"/>
              <w:left w:val="nil"/>
              <w:bottom w:val="single" w:color="auto" w:sz="4" w:space="0"/>
              <w:right w:val="single" w:color="auto" w:sz="4" w:space="0"/>
            </w:tcBorders>
            <w:noWrap w:val="0"/>
            <w:vAlign w:val="center"/>
          </w:tcPr>
          <w:p w14:paraId="42680F8B">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套</w:t>
            </w:r>
          </w:p>
        </w:tc>
      </w:tr>
      <w:tr w14:paraId="69D44806">
        <w:tblPrEx>
          <w:tblCellMar>
            <w:top w:w="0" w:type="dxa"/>
            <w:left w:w="108" w:type="dxa"/>
            <w:bottom w:w="0" w:type="dxa"/>
            <w:right w:w="108" w:type="dxa"/>
          </w:tblCellMar>
        </w:tblPrEx>
        <w:trPr>
          <w:trHeight w:val="2147"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220706CB">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14B8F063">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三工位操作台</w:t>
            </w:r>
          </w:p>
        </w:tc>
        <w:tc>
          <w:tcPr>
            <w:tcW w:w="2669" w:type="pct"/>
            <w:tcBorders>
              <w:top w:val="nil"/>
              <w:left w:val="nil"/>
              <w:bottom w:val="single" w:color="auto" w:sz="4" w:space="0"/>
              <w:right w:val="single" w:color="auto" w:sz="4" w:space="0"/>
            </w:tcBorders>
            <w:noWrap w:val="0"/>
            <w:vAlign w:val="top"/>
          </w:tcPr>
          <w:p w14:paraId="536B2D55">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速拼式操作台，主体框架采用无螺丝卡扣式组装方式，可实现快速组装随意组合，台体底座装有高度可调节水平地脚支撑，每个工位配备一组键盘抽屉和一组19寸机架和一块托盘。操作台面和侧板选用E1级环保实木颗粒板，台面前端镶嵌黑色橡胶手枕。铝型材屏风高度200mm，横截面厚度2mm，</w:t>
            </w:r>
            <w:r>
              <w:rPr>
                <w:rFonts w:hint="eastAsia" w:ascii="方正仿宋_GB2312" w:hAnsi="方正仿宋_GB2312" w:eastAsia="方正仿宋_GB2312" w:cs="方正仿宋_GB2312"/>
                <w:color w:val="auto"/>
                <w:kern w:val="0"/>
                <w:sz w:val="18"/>
                <w:szCs w:val="18"/>
                <w:lang w:val="en-US" w:eastAsia="zh-CN"/>
              </w:rPr>
              <w:t>台面高度</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lang w:val="en-US" w:eastAsia="zh-CN"/>
              </w:rPr>
              <w:t>700mm，</w:t>
            </w:r>
            <w:r>
              <w:rPr>
                <w:rFonts w:hint="eastAsia" w:ascii="方正仿宋_GB2312" w:hAnsi="方正仿宋_GB2312" w:eastAsia="方正仿宋_GB2312" w:cs="方正仿宋_GB2312"/>
                <w:color w:val="auto"/>
                <w:kern w:val="0"/>
                <w:sz w:val="18"/>
                <w:szCs w:val="18"/>
              </w:rPr>
              <w:t>可以安装各型号显示器支架。金属框架选用优质冷轧钢板，整体框架厚1.5mm,前后门厚1.0mm, 木质台面厚度25mm，铝型材厚度2.0mm，操作台所有金属构件表面喷涂柔性磨砂哑光漆。</w:t>
            </w:r>
          </w:p>
        </w:tc>
        <w:tc>
          <w:tcPr>
            <w:tcW w:w="560" w:type="pct"/>
            <w:tcBorders>
              <w:top w:val="nil"/>
              <w:left w:val="nil"/>
              <w:bottom w:val="single" w:color="auto" w:sz="4" w:space="0"/>
              <w:right w:val="single" w:color="auto" w:sz="4" w:space="0"/>
            </w:tcBorders>
            <w:noWrap w:val="0"/>
            <w:vAlign w:val="center"/>
          </w:tcPr>
          <w:p w14:paraId="431642E0">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28E42B08">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套</w:t>
            </w:r>
          </w:p>
        </w:tc>
      </w:tr>
      <w:tr w14:paraId="72AFFC2B">
        <w:tblPrEx>
          <w:tblCellMar>
            <w:top w:w="0" w:type="dxa"/>
            <w:left w:w="108" w:type="dxa"/>
            <w:bottom w:w="0" w:type="dxa"/>
            <w:right w:w="108" w:type="dxa"/>
          </w:tblCellMar>
        </w:tblPrEx>
        <w:trPr>
          <w:trHeight w:val="1333"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4A328DEB">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125E8DF0">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工学人体座椅</w:t>
            </w:r>
          </w:p>
        </w:tc>
        <w:tc>
          <w:tcPr>
            <w:tcW w:w="2669" w:type="pct"/>
            <w:tcBorders>
              <w:top w:val="nil"/>
              <w:left w:val="nil"/>
              <w:bottom w:val="single" w:color="auto" w:sz="4" w:space="0"/>
              <w:right w:val="single" w:color="auto" w:sz="4" w:space="0"/>
            </w:tcBorders>
            <w:noWrap w:val="0"/>
            <w:vAlign w:val="top"/>
          </w:tcPr>
          <w:p w14:paraId="3DFBFC39">
            <w:pPr>
              <w:keepNext w:val="0"/>
              <w:keepLines w:val="0"/>
              <w:widowControl/>
              <w:suppressLineNumbers w:val="0"/>
              <w:spacing w:before="0" w:beforeAutospacing="0" w:after="0" w:afterAutospacing="0"/>
              <w:ind w:left="0" w:right="0"/>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优质西皮，厚度1.3-1.5mm、撕裂强度&gt;35N/mm、断裂伸长率&lt;80%。高密度定型海绵.双层棉，密度为35-45kg/m3，优质气压棒,属框架</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经久耐用</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360°自由旋转，方便用户在办公桌前转向不同方向</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五星尼龙脚架，配静音万向轮，适合在瓷砖或木地板上灵活移动</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(颜色可选)</w:t>
            </w:r>
          </w:p>
        </w:tc>
        <w:tc>
          <w:tcPr>
            <w:tcW w:w="560" w:type="pct"/>
            <w:tcBorders>
              <w:top w:val="nil"/>
              <w:left w:val="nil"/>
              <w:bottom w:val="single" w:color="auto" w:sz="4" w:space="0"/>
              <w:right w:val="single" w:color="auto" w:sz="4" w:space="0"/>
            </w:tcBorders>
            <w:noWrap w:val="0"/>
            <w:vAlign w:val="center"/>
          </w:tcPr>
          <w:p w14:paraId="2D1BF270">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3</w:t>
            </w:r>
          </w:p>
        </w:tc>
        <w:tc>
          <w:tcPr>
            <w:tcW w:w="560" w:type="pct"/>
            <w:tcBorders>
              <w:top w:val="nil"/>
              <w:left w:val="nil"/>
              <w:bottom w:val="single" w:color="auto" w:sz="4" w:space="0"/>
              <w:right w:val="single" w:color="auto" w:sz="4" w:space="0"/>
            </w:tcBorders>
            <w:noWrap w:val="0"/>
            <w:vAlign w:val="center"/>
          </w:tcPr>
          <w:p w14:paraId="3ED44954">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把</w:t>
            </w:r>
          </w:p>
        </w:tc>
      </w:tr>
      <w:tr w14:paraId="5487FC3E">
        <w:tblPrEx>
          <w:tblCellMar>
            <w:top w:w="0" w:type="dxa"/>
            <w:left w:w="108" w:type="dxa"/>
            <w:bottom w:w="0" w:type="dxa"/>
            <w:right w:w="108" w:type="dxa"/>
          </w:tblCellMar>
        </w:tblPrEx>
        <w:trPr>
          <w:trHeight w:val="672"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74C9842B">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1DDA1BD2">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施工及线缆、辅材</w:t>
            </w:r>
          </w:p>
        </w:tc>
        <w:tc>
          <w:tcPr>
            <w:tcW w:w="2669" w:type="pct"/>
            <w:tcBorders>
              <w:top w:val="nil"/>
              <w:left w:val="nil"/>
              <w:bottom w:val="single" w:color="auto" w:sz="4" w:space="0"/>
              <w:right w:val="single" w:color="auto" w:sz="4" w:space="0"/>
            </w:tcBorders>
            <w:noWrap w:val="0"/>
            <w:vAlign w:val="top"/>
          </w:tcPr>
          <w:p w14:paraId="398CE1C1">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传输线缆，网线、接插件、安装支架、多功能信息插等项目所需一切线缆及耗材</w:t>
            </w:r>
          </w:p>
        </w:tc>
        <w:tc>
          <w:tcPr>
            <w:tcW w:w="560" w:type="pct"/>
            <w:tcBorders>
              <w:top w:val="nil"/>
              <w:left w:val="nil"/>
              <w:bottom w:val="single" w:color="auto" w:sz="4" w:space="0"/>
              <w:right w:val="single" w:color="auto" w:sz="4" w:space="0"/>
            </w:tcBorders>
            <w:noWrap w:val="0"/>
            <w:vAlign w:val="center"/>
          </w:tcPr>
          <w:p w14:paraId="0CAD459A">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66B0264A">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项</w:t>
            </w:r>
          </w:p>
        </w:tc>
      </w:tr>
      <w:tr w14:paraId="024BBFF4">
        <w:tblPrEx>
          <w:tblCellMar>
            <w:top w:w="0" w:type="dxa"/>
            <w:left w:w="108" w:type="dxa"/>
            <w:bottom w:w="0" w:type="dxa"/>
            <w:right w:w="108" w:type="dxa"/>
          </w:tblCellMar>
        </w:tblPrEx>
        <w:trPr>
          <w:trHeight w:val="1333"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3A4ABEAC">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05DCEA77">
            <w:pPr>
              <w:widowControl/>
              <w:jc w:val="center"/>
              <w:rPr>
                <w:rFonts w:hint="eastAsia" w:ascii="方正仿宋_GB2312" w:hAnsi="方正仿宋_GB2312" w:eastAsia="方正仿宋_GB2312" w:cs="方正仿宋_GB2312"/>
                <w:color w:val="auto"/>
                <w:kern w:val="0"/>
                <w:sz w:val="18"/>
                <w:szCs w:val="18"/>
                <w:lang w:eastAsia="zh-CN"/>
              </w:rPr>
            </w:pPr>
            <w:r>
              <w:rPr>
                <w:rFonts w:hint="eastAsia" w:ascii="方正仿宋_GB2312" w:hAnsi="方正仿宋_GB2312" w:eastAsia="方正仿宋_GB2312" w:cs="方正仿宋_GB2312"/>
                <w:color w:val="auto"/>
                <w:kern w:val="0"/>
                <w:sz w:val="18"/>
                <w:szCs w:val="18"/>
                <w:lang w:val="en-US" w:eastAsia="zh-CN"/>
              </w:rPr>
              <w:t>台式电脑</w:t>
            </w:r>
          </w:p>
        </w:tc>
        <w:tc>
          <w:tcPr>
            <w:tcW w:w="2669" w:type="pct"/>
            <w:tcBorders>
              <w:top w:val="nil"/>
              <w:left w:val="nil"/>
              <w:bottom w:val="single" w:color="auto" w:sz="4" w:space="0"/>
              <w:right w:val="single" w:color="auto" w:sz="4" w:space="0"/>
            </w:tcBorders>
            <w:noWrap w:val="0"/>
            <w:vAlign w:val="top"/>
          </w:tcPr>
          <w:p w14:paraId="5FF973E9">
            <w:pPr>
              <w:widowControl/>
              <w:jc w:val="left"/>
              <w:rPr>
                <w:rFonts w:hint="eastAsia" w:ascii="方正仿宋_GB2312" w:hAnsi="方正仿宋_GB2312" w:eastAsia="方正仿宋_GB2312" w:cs="方正仿宋_GB2312"/>
                <w:color w:val="auto"/>
                <w:kern w:val="0"/>
                <w:sz w:val="18"/>
                <w:szCs w:val="18"/>
                <w:lang w:val="en-US" w:eastAsia="zh-CN"/>
              </w:rPr>
            </w:pPr>
            <w:r>
              <w:rPr>
                <w:rFonts w:hint="eastAsia" w:ascii="方正仿宋_GB2312" w:hAnsi="方正仿宋_GB2312" w:eastAsia="方正仿宋_GB2312" w:cs="方正仿宋_GB2312"/>
                <w:color w:val="auto"/>
                <w:kern w:val="0"/>
                <w:sz w:val="18"/>
                <w:szCs w:val="18"/>
                <w:lang w:val="en-US" w:eastAsia="zh-CN"/>
              </w:rPr>
              <w:t>1.处理器:≥16核；</w:t>
            </w:r>
            <w:r>
              <w:rPr>
                <w:rFonts w:hint="eastAsia" w:ascii="方正仿宋_GB2312" w:hAnsi="方正仿宋_GB2312" w:eastAsia="方正仿宋_GB2312" w:cs="方正仿宋_GB2312"/>
                <w:color w:val="auto"/>
                <w:kern w:val="0"/>
                <w:sz w:val="18"/>
                <w:szCs w:val="18"/>
                <w:lang w:val="en-US" w:eastAsia="zh-CN"/>
              </w:rPr>
              <w:br w:type="textWrapping"/>
            </w:r>
            <w:r>
              <w:rPr>
                <w:rFonts w:hint="eastAsia" w:ascii="方正仿宋_GB2312" w:hAnsi="方正仿宋_GB2312" w:eastAsia="方正仿宋_GB2312" w:cs="方正仿宋_GB2312"/>
                <w:color w:val="auto"/>
                <w:kern w:val="0"/>
                <w:sz w:val="18"/>
                <w:szCs w:val="18"/>
                <w:lang w:val="en-US" w:eastAsia="zh-CN"/>
              </w:rPr>
              <w:t>2.CPU:i7以上；</w:t>
            </w:r>
            <w:r>
              <w:rPr>
                <w:rFonts w:hint="eastAsia" w:ascii="方正仿宋_GB2312" w:hAnsi="方正仿宋_GB2312" w:eastAsia="方正仿宋_GB2312" w:cs="方正仿宋_GB2312"/>
                <w:color w:val="auto"/>
                <w:kern w:val="0"/>
                <w:sz w:val="18"/>
                <w:szCs w:val="18"/>
                <w:lang w:val="en-US" w:eastAsia="zh-CN"/>
              </w:rPr>
              <w:br w:type="textWrapping"/>
            </w:r>
            <w:r>
              <w:rPr>
                <w:rFonts w:hint="eastAsia" w:ascii="方正仿宋_GB2312" w:hAnsi="方正仿宋_GB2312" w:eastAsia="方正仿宋_GB2312" w:cs="方正仿宋_GB2312"/>
                <w:color w:val="auto"/>
                <w:kern w:val="0"/>
                <w:sz w:val="18"/>
                <w:szCs w:val="18"/>
                <w:lang w:val="en-US" w:eastAsia="zh-CN"/>
              </w:rPr>
              <w:t>3.内存:32GB，DDR4，（≥667MHz全缓冲内存)；</w:t>
            </w:r>
            <w:r>
              <w:rPr>
                <w:rFonts w:hint="eastAsia" w:ascii="方正仿宋_GB2312" w:hAnsi="方正仿宋_GB2312" w:eastAsia="方正仿宋_GB2312" w:cs="方正仿宋_GB2312"/>
                <w:color w:val="auto"/>
                <w:kern w:val="0"/>
                <w:sz w:val="18"/>
                <w:szCs w:val="18"/>
                <w:lang w:val="en-US" w:eastAsia="zh-CN"/>
              </w:rPr>
              <w:br w:type="textWrapping"/>
            </w:r>
            <w:r>
              <w:rPr>
                <w:rFonts w:hint="eastAsia" w:ascii="方正仿宋_GB2312" w:hAnsi="方正仿宋_GB2312" w:eastAsia="方正仿宋_GB2312" w:cs="方正仿宋_GB2312"/>
                <w:color w:val="auto"/>
                <w:kern w:val="0"/>
                <w:sz w:val="18"/>
                <w:szCs w:val="18"/>
                <w:lang w:val="en-US" w:eastAsia="zh-CN"/>
              </w:rPr>
              <w:t>4.显卡：GeForce RTX 3060Ti 显存8G以上；</w:t>
            </w:r>
            <w:r>
              <w:rPr>
                <w:rFonts w:hint="eastAsia" w:ascii="方正仿宋_GB2312" w:hAnsi="方正仿宋_GB2312" w:eastAsia="方正仿宋_GB2312" w:cs="方正仿宋_GB2312"/>
                <w:color w:val="auto"/>
                <w:kern w:val="0"/>
                <w:sz w:val="18"/>
                <w:szCs w:val="18"/>
                <w:lang w:val="en-US" w:eastAsia="zh-CN"/>
              </w:rPr>
              <w:br w:type="textWrapping"/>
            </w:r>
            <w:r>
              <w:rPr>
                <w:rFonts w:hint="eastAsia" w:ascii="方正仿宋_GB2312" w:hAnsi="方正仿宋_GB2312" w:eastAsia="方正仿宋_GB2312" w:cs="方正仿宋_GB2312"/>
                <w:color w:val="auto"/>
                <w:kern w:val="0"/>
                <w:sz w:val="18"/>
                <w:szCs w:val="18"/>
                <w:lang w:val="en-US" w:eastAsia="zh-CN"/>
              </w:rPr>
              <w:t>5.硬盘：固态1T以上。</w:t>
            </w:r>
          </w:p>
          <w:p w14:paraId="67769CFF">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lang w:val="en-US" w:eastAsia="zh-CN"/>
              </w:rPr>
              <w:t>6</w:t>
            </w:r>
            <w:r>
              <w:rPr>
                <w:rFonts w:hint="eastAsia" w:ascii="方正仿宋_GB2312" w:hAnsi="方正仿宋_GB2312" w:eastAsia="方正仿宋_GB2312" w:cs="方正仿宋_GB2312"/>
                <w:color w:val="auto"/>
                <w:kern w:val="0"/>
                <w:sz w:val="18"/>
                <w:szCs w:val="18"/>
              </w:rPr>
              <w:t>.安全功能:智能USB屏蔽技术，仅识别键盘、鼠标，无法识别USB读取设备，有效防止数据泄露；有后IO安全盖板，保护键盘、鼠标等外设不被随意插拔</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7</w:t>
            </w:r>
            <w:r>
              <w:rPr>
                <w:rFonts w:hint="eastAsia" w:ascii="方正仿宋_GB2312" w:hAnsi="方正仿宋_GB2312" w:eastAsia="方正仿宋_GB2312" w:cs="方正仿宋_GB2312"/>
                <w:color w:val="auto"/>
                <w:kern w:val="0"/>
                <w:sz w:val="18"/>
                <w:szCs w:val="18"/>
              </w:rPr>
              <w:t>.其他要求；所有配件均需要出厂全部预装，不得有任何拆离改配现象、机器出厂日期必须晚于合同签订日期。</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8</w:t>
            </w:r>
            <w:r>
              <w:rPr>
                <w:rFonts w:hint="eastAsia" w:ascii="方正仿宋_GB2312" w:hAnsi="方正仿宋_GB2312" w:eastAsia="方正仿宋_GB2312" w:cs="方正仿宋_GB2312"/>
                <w:color w:val="auto"/>
                <w:kern w:val="0"/>
                <w:sz w:val="18"/>
                <w:szCs w:val="18"/>
              </w:rPr>
              <w:t>.售后服务：投标人所投产品厂家承诺3年保修及第二个自然日上门，购买后原厂官网可查验证</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厂家在当地有维修站（官网可查询），提供官网截图证明,提供厂家大客户专家专人 400 和 800 售后服务热线电话；</w:t>
            </w:r>
          </w:p>
        </w:tc>
        <w:tc>
          <w:tcPr>
            <w:tcW w:w="560" w:type="pct"/>
            <w:tcBorders>
              <w:top w:val="nil"/>
              <w:left w:val="nil"/>
              <w:bottom w:val="single" w:color="auto" w:sz="4" w:space="0"/>
              <w:right w:val="single" w:color="auto" w:sz="4" w:space="0"/>
            </w:tcBorders>
            <w:noWrap w:val="0"/>
            <w:vAlign w:val="center"/>
          </w:tcPr>
          <w:p w14:paraId="2E28BCF0">
            <w:pPr>
              <w:widowControl/>
              <w:jc w:val="center"/>
              <w:rPr>
                <w:rFonts w:hint="eastAsia" w:ascii="方正仿宋_GB2312" w:hAnsi="方正仿宋_GB2312" w:eastAsia="方正仿宋_GB2312" w:cs="方正仿宋_GB2312"/>
                <w:color w:val="auto"/>
                <w:kern w:val="0"/>
                <w:sz w:val="18"/>
                <w:szCs w:val="18"/>
                <w:lang w:eastAsia="zh-CN"/>
              </w:rPr>
            </w:pPr>
            <w:r>
              <w:rPr>
                <w:rFonts w:hint="eastAsia" w:ascii="方正仿宋_GB2312" w:hAnsi="方正仿宋_GB2312" w:eastAsia="方正仿宋_GB2312" w:cs="方正仿宋_GB2312"/>
                <w:color w:val="auto"/>
                <w:kern w:val="0"/>
                <w:sz w:val="18"/>
                <w:szCs w:val="18"/>
                <w:lang w:val="en-US" w:eastAsia="zh-CN"/>
              </w:rPr>
              <w:t>3</w:t>
            </w:r>
          </w:p>
        </w:tc>
        <w:tc>
          <w:tcPr>
            <w:tcW w:w="560" w:type="pct"/>
            <w:tcBorders>
              <w:top w:val="nil"/>
              <w:left w:val="nil"/>
              <w:bottom w:val="single" w:color="auto" w:sz="4" w:space="0"/>
              <w:right w:val="single" w:color="auto" w:sz="4" w:space="0"/>
            </w:tcBorders>
            <w:noWrap w:val="0"/>
            <w:vAlign w:val="center"/>
          </w:tcPr>
          <w:p w14:paraId="6D64C33A">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台</w:t>
            </w:r>
          </w:p>
        </w:tc>
      </w:tr>
      <w:tr w14:paraId="06A0E800">
        <w:tblPrEx>
          <w:tblCellMar>
            <w:top w:w="0" w:type="dxa"/>
            <w:left w:w="108" w:type="dxa"/>
            <w:bottom w:w="0" w:type="dxa"/>
            <w:right w:w="108" w:type="dxa"/>
          </w:tblCellMar>
        </w:tblPrEx>
        <w:trPr>
          <w:trHeight w:val="5577" w:hRule="atLeast"/>
        </w:trPr>
        <w:tc>
          <w:tcPr>
            <w:tcW w:w="420" w:type="pct"/>
            <w:vMerge w:val="continue"/>
            <w:tcBorders>
              <w:top w:val="nil"/>
              <w:left w:val="single" w:color="auto" w:sz="4" w:space="0"/>
              <w:bottom w:val="single" w:color="000000" w:sz="4" w:space="0"/>
              <w:right w:val="single" w:color="auto" w:sz="4" w:space="0"/>
            </w:tcBorders>
            <w:noWrap w:val="0"/>
            <w:vAlign w:val="center"/>
          </w:tcPr>
          <w:p w14:paraId="6DE869BF">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332283E2">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UPS主机、电池、电池柜及安装</w:t>
            </w:r>
          </w:p>
        </w:tc>
        <w:tc>
          <w:tcPr>
            <w:tcW w:w="2669" w:type="pct"/>
            <w:tcBorders>
              <w:top w:val="nil"/>
              <w:left w:val="nil"/>
              <w:bottom w:val="single" w:color="auto" w:sz="4" w:space="0"/>
              <w:right w:val="single" w:color="auto" w:sz="4" w:space="0"/>
            </w:tcBorders>
            <w:noWrap w:val="0"/>
            <w:vAlign w:val="top"/>
          </w:tcPr>
          <w:p w14:paraId="48BC80B1">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1.容量：</w:t>
            </w:r>
            <w:r>
              <w:rPr>
                <w:rFonts w:hint="eastAsia" w:ascii="方正仿宋_GB2312" w:hAnsi="方正仿宋_GB2312" w:eastAsia="方正仿宋_GB2312" w:cs="方正仿宋_GB2312"/>
                <w:color w:val="auto"/>
                <w:kern w:val="0"/>
                <w:sz w:val="18"/>
                <w:szCs w:val="18"/>
                <w:lang w:val="en-US" w:eastAsia="zh-CN"/>
              </w:rPr>
              <w:t>3</w:t>
            </w:r>
            <w:r>
              <w:rPr>
                <w:rFonts w:hint="eastAsia" w:ascii="方正仿宋_GB2312" w:hAnsi="方正仿宋_GB2312" w:eastAsia="方正仿宋_GB2312" w:cs="方正仿宋_GB2312"/>
                <w:color w:val="auto"/>
                <w:kern w:val="0"/>
                <w:sz w:val="18"/>
                <w:szCs w:val="18"/>
              </w:rPr>
              <w:t>0KVA模块式纯在线UPS电源，模块化设计；</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rPr>
              <w:t>2.配置蓄电池和配套电池柜，UPS主机须与蓄电池同一品牌</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蓄电池外壳必须采用阻燃材料，符合：GB/T2408-2008中第8.3.2条FH-1（水平级）和第9.3.2条FV-0（垂直级）的要求；</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3</w:t>
            </w:r>
            <w:r>
              <w:rPr>
                <w:rFonts w:hint="eastAsia" w:ascii="方正仿宋_GB2312" w:hAnsi="方正仿宋_GB2312" w:eastAsia="方正仿宋_GB2312" w:cs="方正仿宋_GB2312"/>
                <w:color w:val="auto"/>
                <w:kern w:val="0"/>
                <w:sz w:val="18"/>
                <w:szCs w:val="18"/>
              </w:rPr>
              <w:t>.支持360/380/400/415Vac，50/60Hz电网体系；</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4</w:t>
            </w:r>
            <w:r>
              <w:rPr>
                <w:rFonts w:hint="eastAsia" w:ascii="方正仿宋_GB2312" w:hAnsi="方正仿宋_GB2312" w:eastAsia="方正仿宋_GB2312" w:cs="方正仿宋_GB2312"/>
                <w:color w:val="auto"/>
                <w:kern w:val="0"/>
                <w:sz w:val="18"/>
                <w:szCs w:val="18"/>
              </w:rPr>
              <w:t>.UPS具备对电池定期自动测试/放电/充电功能，并机可共用电池组；</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5</w:t>
            </w:r>
            <w:r>
              <w:rPr>
                <w:rFonts w:hint="eastAsia" w:ascii="方正仿宋_GB2312" w:hAnsi="方正仿宋_GB2312" w:eastAsia="方正仿宋_GB2312" w:cs="方正仿宋_GB2312"/>
                <w:color w:val="auto"/>
                <w:kern w:val="0"/>
                <w:sz w:val="18"/>
                <w:szCs w:val="18"/>
              </w:rPr>
              <w:t>.具有</w:t>
            </w:r>
            <w:r>
              <w:rPr>
                <w:rFonts w:hint="eastAsia" w:ascii="方正仿宋_GB2312" w:hAnsi="方正仿宋_GB2312" w:eastAsia="方正仿宋_GB2312" w:cs="方正仿宋_GB2312"/>
                <w:color w:val="auto"/>
                <w:kern w:val="0"/>
                <w:sz w:val="18"/>
                <w:szCs w:val="18"/>
                <w:lang w:val="en-US" w:eastAsia="zh-CN"/>
              </w:rPr>
              <w:t>输出过载、短路，电池欠压、过压；充电过温、短路；交流输入电压、频率、相序异常，UPS过温、风机故障等保护功能；</w:t>
            </w:r>
            <w:r>
              <w:rPr>
                <w:rFonts w:hint="eastAsia" w:ascii="方正仿宋_GB2312" w:hAnsi="方正仿宋_GB2312" w:eastAsia="方正仿宋_GB2312" w:cs="方正仿宋_GB2312"/>
                <w:color w:val="auto"/>
                <w:kern w:val="0"/>
                <w:sz w:val="18"/>
                <w:szCs w:val="18"/>
                <w:lang w:val="en-US" w:eastAsia="zh-CN"/>
              </w:rPr>
              <w:br w:type="textWrapping"/>
            </w:r>
            <w:r>
              <w:rPr>
                <w:rFonts w:hint="eastAsia" w:ascii="方正仿宋_GB2312" w:hAnsi="方正仿宋_GB2312" w:eastAsia="方正仿宋_GB2312" w:cs="方正仿宋_GB2312"/>
                <w:color w:val="auto"/>
                <w:kern w:val="0"/>
                <w:sz w:val="18"/>
                <w:szCs w:val="18"/>
                <w:lang w:val="en-US" w:eastAsia="zh-CN"/>
              </w:rPr>
              <w:t>6</w:t>
            </w:r>
            <w:r>
              <w:rPr>
                <w:rFonts w:hint="eastAsia" w:ascii="方正仿宋_GB2312" w:hAnsi="方正仿宋_GB2312" w:eastAsia="方正仿宋_GB2312" w:cs="方正仿宋_GB2312"/>
                <w:color w:val="auto"/>
                <w:kern w:val="0"/>
                <w:sz w:val="18"/>
                <w:szCs w:val="18"/>
              </w:rPr>
              <w:t>.逆变器/旁路转换时间：0ms；</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7</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lang w:val="en-US" w:eastAsia="zh-CN"/>
              </w:rPr>
              <w:t>UPS蓄电池及支架:满足满负荷下后备60分钟时间要求，含成套配件</w:t>
            </w:r>
            <w:r>
              <w:rPr>
                <w:rFonts w:hint="eastAsia" w:ascii="方正仿宋_GB2312" w:hAnsi="方正仿宋_GB2312" w:eastAsia="方正仿宋_GB2312" w:cs="方正仿宋_GB2312"/>
                <w:color w:val="auto"/>
                <w:kern w:val="0"/>
                <w:sz w:val="18"/>
                <w:szCs w:val="18"/>
              </w:rPr>
              <w:t>；</w:t>
            </w:r>
            <w:r>
              <w:rPr>
                <w:rFonts w:hint="eastAsia" w:ascii="方正仿宋_GB2312" w:hAnsi="方正仿宋_GB2312" w:eastAsia="方正仿宋_GB2312" w:cs="方正仿宋_GB2312"/>
                <w:color w:val="auto"/>
                <w:kern w:val="0"/>
                <w:sz w:val="18"/>
                <w:szCs w:val="18"/>
              </w:rPr>
              <w:br w:type="textWrapping"/>
            </w:r>
            <w:r>
              <w:rPr>
                <w:rFonts w:hint="eastAsia" w:ascii="方正仿宋_GB2312" w:hAnsi="方正仿宋_GB2312" w:eastAsia="方正仿宋_GB2312" w:cs="方正仿宋_GB2312"/>
                <w:color w:val="auto"/>
                <w:kern w:val="0"/>
                <w:sz w:val="18"/>
                <w:szCs w:val="18"/>
                <w:lang w:val="en-US" w:eastAsia="zh-CN"/>
              </w:rPr>
              <w:t>8</w:t>
            </w:r>
            <w:r>
              <w:rPr>
                <w:rFonts w:hint="eastAsia" w:ascii="方正仿宋_GB2312" w:hAnsi="方正仿宋_GB2312" w:eastAsia="方正仿宋_GB2312" w:cs="方正仿宋_GB2312"/>
                <w:color w:val="auto"/>
                <w:kern w:val="0"/>
                <w:sz w:val="18"/>
                <w:szCs w:val="18"/>
              </w:rPr>
              <w:t>.提供UPS主机和蓄电池三年质保承诺函；为了后续维护的方便，所投产品厂家必须在</w:t>
            </w:r>
            <w:r>
              <w:rPr>
                <w:rFonts w:hint="eastAsia" w:ascii="方正仿宋_GB2312" w:hAnsi="方正仿宋_GB2312" w:eastAsia="方正仿宋_GB2312" w:cs="方正仿宋_GB2312"/>
                <w:color w:val="auto"/>
                <w:kern w:val="0"/>
                <w:sz w:val="18"/>
                <w:szCs w:val="18"/>
                <w:lang w:eastAsia="zh-CN"/>
              </w:rPr>
              <w:t>乌鲁木齐</w:t>
            </w:r>
            <w:r>
              <w:rPr>
                <w:rFonts w:hint="eastAsia" w:ascii="方正仿宋_GB2312" w:hAnsi="方正仿宋_GB2312" w:eastAsia="方正仿宋_GB2312" w:cs="方正仿宋_GB2312"/>
                <w:color w:val="auto"/>
                <w:kern w:val="0"/>
                <w:sz w:val="18"/>
                <w:szCs w:val="18"/>
              </w:rPr>
              <w:t>设有直属服务网点；</w:t>
            </w:r>
          </w:p>
        </w:tc>
        <w:tc>
          <w:tcPr>
            <w:tcW w:w="560" w:type="pct"/>
            <w:tcBorders>
              <w:top w:val="nil"/>
              <w:left w:val="nil"/>
              <w:bottom w:val="single" w:color="auto" w:sz="4" w:space="0"/>
              <w:right w:val="single" w:color="auto" w:sz="4" w:space="0"/>
            </w:tcBorders>
            <w:noWrap w:val="0"/>
            <w:vAlign w:val="center"/>
          </w:tcPr>
          <w:p w14:paraId="68528806">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1FDD9E6F">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套</w:t>
            </w:r>
          </w:p>
        </w:tc>
      </w:tr>
      <w:tr w14:paraId="79269569">
        <w:tblPrEx>
          <w:tblCellMar>
            <w:top w:w="0" w:type="dxa"/>
            <w:left w:w="108" w:type="dxa"/>
            <w:bottom w:w="0" w:type="dxa"/>
            <w:right w:w="108" w:type="dxa"/>
          </w:tblCellMar>
        </w:tblPrEx>
        <w:trPr>
          <w:trHeight w:val="721" w:hRule="atLeast"/>
        </w:trPr>
        <w:tc>
          <w:tcPr>
            <w:tcW w:w="420" w:type="pct"/>
            <w:vMerge w:val="continue"/>
            <w:tcBorders>
              <w:top w:val="nil"/>
              <w:left w:val="single" w:color="auto" w:sz="4" w:space="0"/>
              <w:bottom w:val="nil"/>
              <w:right w:val="single" w:color="auto" w:sz="4" w:space="0"/>
            </w:tcBorders>
            <w:noWrap w:val="0"/>
            <w:vAlign w:val="center"/>
          </w:tcPr>
          <w:p w14:paraId="2EE7EFC7">
            <w:pPr>
              <w:widowControl/>
              <w:jc w:val="left"/>
              <w:rPr>
                <w:rFonts w:hint="eastAsia" w:ascii="方正仿宋_GB2312" w:hAnsi="方正仿宋_GB2312" w:eastAsia="方正仿宋_GB2312" w:cs="方正仿宋_GB2312"/>
                <w:color w:val="auto"/>
                <w:kern w:val="0"/>
                <w:sz w:val="18"/>
                <w:szCs w:val="18"/>
              </w:rPr>
            </w:pPr>
          </w:p>
        </w:tc>
        <w:tc>
          <w:tcPr>
            <w:tcW w:w="789" w:type="pct"/>
            <w:tcBorders>
              <w:top w:val="nil"/>
              <w:left w:val="nil"/>
              <w:bottom w:val="single" w:color="auto" w:sz="4" w:space="0"/>
              <w:right w:val="single" w:color="auto" w:sz="4" w:space="0"/>
            </w:tcBorders>
            <w:noWrap w:val="0"/>
            <w:vAlign w:val="center"/>
          </w:tcPr>
          <w:p w14:paraId="200BA8ED">
            <w:pPr>
              <w:widowControl/>
              <w:jc w:val="left"/>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综合布线与系统集成施工</w:t>
            </w:r>
          </w:p>
        </w:tc>
        <w:tc>
          <w:tcPr>
            <w:tcW w:w="2669" w:type="pct"/>
            <w:tcBorders>
              <w:top w:val="nil"/>
              <w:left w:val="nil"/>
              <w:bottom w:val="single" w:color="auto" w:sz="4" w:space="0"/>
              <w:right w:val="single" w:color="auto" w:sz="4" w:space="0"/>
            </w:tcBorders>
            <w:noWrap w:val="0"/>
            <w:vAlign w:val="top"/>
          </w:tcPr>
          <w:p w14:paraId="59133F7A">
            <w:pPr>
              <w:widowControl/>
              <w:jc w:val="left"/>
              <w:rPr>
                <w:rFonts w:hint="eastAsia" w:ascii="方正仿宋_GB2312" w:hAnsi="方正仿宋_GB2312" w:eastAsia="方正仿宋_GB2312" w:cs="方正仿宋_GB2312"/>
                <w:color w:val="auto"/>
                <w:kern w:val="0"/>
                <w:sz w:val="18"/>
                <w:szCs w:val="18"/>
                <w:lang w:eastAsia="zh-CN"/>
              </w:rPr>
            </w:pPr>
            <w:r>
              <w:rPr>
                <w:rFonts w:hint="eastAsia" w:ascii="方正仿宋_GB2312" w:hAnsi="方正仿宋_GB2312" w:eastAsia="方正仿宋_GB2312" w:cs="方正仿宋_GB2312"/>
                <w:color w:val="auto"/>
                <w:kern w:val="0"/>
                <w:sz w:val="18"/>
                <w:szCs w:val="18"/>
              </w:rPr>
              <w:t>安装调试按</w:t>
            </w:r>
            <w:r>
              <w:rPr>
                <w:rFonts w:hint="eastAsia" w:ascii="方正仿宋_GB2312" w:hAnsi="方正仿宋_GB2312" w:eastAsia="方正仿宋_GB2312" w:cs="方正仿宋_GB2312"/>
                <w:color w:val="auto"/>
                <w:kern w:val="0"/>
                <w:sz w:val="18"/>
                <w:szCs w:val="18"/>
                <w:lang w:eastAsia="zh-CN"/>
              </w:rPr>
              <w:t>国家出台相关</w:t>
            </w:r>
            <w:r>
              <w:rPr>
                <w:rFonts w:hint="eastAsia" w:ascii="方正仿宋_GB2312" w:hAnsi="方正仿宋_GB2312" w:eastAsia="方正仿宋_GB2312" w:cs="方正仿宋_GB2312"/>
                <w:color w:val="auto"/>
                <w:kern w:val="0"/>
                <w:sz w:val="18"/>
                <w:szCs w:val="18"/>
              </w:rPr>
              <w:t>文件要求执行，美观安全</w:t>
            </w:r>
            <w:r>
              <w:rPr>
                <w:rFonts w:hint="eastAsia" w:ascii="方正仿宋_GB2312" w:hAnsi="方正仿宋_GB2312" w:eastAsia="方正仿宋_GB2312" w:cs="方正仿宋_GB2312"/>
                <w:color w:val="auto"/>
                <w:kern w:val="0"/>
                <w:sz w:val="18"/>
                <w:szCs w:val="18"/>
                <w:lang w:eastAsia="zh-CN"/>
              </w:rPr>
              <w:t>，</w:t>
            </w:r>
            <w:r>
              <w:rPr>
                <w:rFonts w:hint="eastAsia" w:ascii="方正仿宋_GB2312" w:hAnsi="方正仿宋_GB2312" w:eastAsia="方正仿宋_GB2312" w:cs="方正仿宋_GB2312"/>
                <w:color w:val="auto"/>
                <w:kern w:val="0"/>
                <w:sz w:val="18"/>
                <w:szCs w:val="18"/>
              </w:rPr>
              <w:t>含集中培训方案及其费用</w:t>
            </w:r>
            <w:r>
              <w:rPr>
                <w:rFonts w:hint="eastAsia" w:ascii="方正仿宋_GB2312" w:hAnsi="方正仿宋_GB2312" w:eastAsia="方正仿宋_GB2312" w:cs="方正仿宋_GB2312"/>
                <w:color w:val="auto"/>
                <w:kern w:val="0"/>
                <w:sz w:val="18"/>
                <w:szCs w:val="18"/>
                <w:lang w:eastAsia="zh-CN"/>
              </w:rPr>
              <w:t>。</w:t>
            </w:r>
          </w:p>
        </w:tc>
        <w:tc>
          <w:tcPr>
            <w:tcW w:w="560" w:type="pct"/>
            <w:tcBorders>
              <w:top w:val="nil"/>
              <w:left w:val="nil"/>
              <w:bottom w:val="single" w:color="auto" w:sz="4" w:space="0"/>
              <w:right w:val="single" w:color="auto" w:sz="4" w:space="0"/>
            </w:tcBorders>
            <w:noWrap w:val="0"/>
            <w:vAlign w:val="center"/>
          </w:tcPr>
          <w:p w14:paraId="70166B30">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1</w:t>
            </w:r>
          </w:p>
        </w:tc>
        <w:tc>
          <w:tcPr>
            <w:tcW w:w="560" w:type="pct"/>
            <w:tcBorders>
              <w:top w:val="nil"/>
              <w:left w:val="nil"/>
              <w:bottom w:val="single" w:color="auto" w:sz="4" w:space="0"/>
              <w:right w:val="single" w:color="auto" w:sz="4" w:space="0"/>
            </w:tcBorders>
            <w:noWrap w:val="0"/>
            <w:vAlign w:val="center"/>
          </w:tcPr>
          <w:p w14:paraId="21875FE0">
            <w:pPr>
              <w:widowControl/>
              <w:jc w:val="center"/>
              <w:rPr>
                <w:rFonts w:hint="eastAsia" w:ascii="方正仿宋_GB2312" w:hAnsi="方正仿宋_GB2312" w:eastAsia="方正仿宋_GB2312" w:cs="方正仿宋_GB2312"/>
                <w:color w:val="auto"/>
                <w:kern w:val="0"/>
                <w:sz w:val="18"/>
                <w:szCs w:val="18"/>
              </w:rPr>
            </w:pPr>
            <w:r>
              <w:rPr>
                <w:rFonts w:hint="eastAsia" w:ascii="方正仿宋_GB2312" w:hAnsi="方正仿宋_GB2312" w:eastAsia="方正仿宋_GB2312" w:cs="方正仿宋_GB2312"/>
                <w:color w:val="auto"/>
                <w:kern w:val="0"/>
                <w:sz w:val="18"/>
                <w:szCs w:val="18"/>
              </w:rPr>
              <w:t>项</w:t>
            </w:r>
          </w:p>
        </w:tc>
      </w:tr>
    </w:tbl>
    <w:tbl>
      <w:tblPr>
        <w:tblStyle w:val="31"/>
        <w:tblpPr w:leftFromText="180" w:rightFromText="180" w:vertAnchor="text" w:horzAnchor="page" w:tblpX="1696" w:tblpY="24"/>
        <w:tblOverlap w:val="never"/>
        <w:tblW w:w="8251" w:type="dxa"/>
        <w:tblInd w:w="0" w:type="dxa"/>
        <w:tblLayout w:type="fixed"/>
        <w:tblCellMar>
          <w:top w:w="15" w:type="dxa"/>
          <w:left w:w="15" w:type="dxa"/>
          <w:bottom w:w="15" w:type="dxa"/>
          <w:right w:w="15" w:type="dxa"/>
        </w:tblCellMar>
      </w:tblPr>
      <w:tblGrid>
        <w:gridCol w:w="736"/>
        <w:gridCol w:w="6330"/>
        <w:gridCol w:w="570"/>
        <w:gridCol w:w="615"/>
      </w:tblGrid>
      <w:tr w14:paraId="591642A3">
        <w:tblPrEx>
          <w:tblCellMar>
            <w:top w:w="15" w:type="dxa"/>
            <w:left w:w="15" w:type="dxa"/>
            <w:bottom w:w="15" w:type="dxa"/>
            <w:right w:w="15" w:type="dxa"/>
          </w:tblCellMar>
        </w:tblPrEx>
        <w:trPr>
          <w:trHeight w:val="370" w:hRule="atLeast"/>
        </w:trPr>
        <w:tc>
          <w:tcPr>
            <w:tcW w:w="736" w:type="dxa"/>
            <w:tcBorders>
              <w:top w:val="single" w:color="000000" w:sz="4" w:space="0"/>
              <w:left w:val="single" w:color="000000" w:sz="4" w:space="0"/>
              <w:bottom w:val="single" w:color="000000" w:sz="4" w:space="0"/>
              <w:right w:val="single" w:color="000000" w:sz="4" w:space="0"/>
            </w:tcBorders>
            <w:noWrap w:val="0"/>
            <w:vAlign w:val="center"/>
          </w:tcPr>
          <w:p w14:paraId="61991ADF">
            <w:pPr>
              <w:widowControl/>
              <w:jc w:val="center"/>
              <w:textAlignment w:val="center"/>
              <w:rPr>
                <w:rFonts w:hint="eastAsia" w:ascii="方正仿宋_GB2312" w:hAnsi="方正仿宋_GB2312" w:eastAsia="方正仿宋_GB2312" w:cs="方正仿宋_GB2312"/>
                <w:b/>
                <w:color w:val="auto"/>
                <w:sz w:val="18"/>
                <w:szCs w:val="18"/>
              </w:rPr>
            </w:pPr>
            <w:r>
              <w:rPr>
                <w:rFonts w:hint="eastAsia" w:ascii="方正仿宋_GB2312" w:hAnsi="方正仿宋_GB2312" w:eastAsia="方正仿宋_GB2312" w:cs="方正仿宋_GB2312"/>
                <w:b/>
                <w:color w:val="auto"/>
                <w:kern w:val="0"/>
                <w:sz w:val="18"/>
                <w:szCs w:val="18"/>
                <w:lang w:bidi="ar"/>
              </w:rPr>
              <w:t>分项</w:t>
            </w:r>
          </w:p>
        </w:tc>
        <w:tc>
          <w:tcPr>
            <w:tcW w:w="6330" w:type="dxa"/>
            <w:tcBorders>
              <w:top w:val="single" w:color="000000" w:sz="4" w:space="0"/>
              <w:left w:val="single" w:color="000000" w:sz="4" w:space="0"/>
              <w:bottom w:val="single" w:color="000000" w:sz="4" w:space="0"/>
              <w:right w:val="single" w:color="000000" w:sz="4" w:space="0"/>
            </w:tcBorders>
            <w:noWrap w:val="0"/>
            <w:vAlign w:val="center"/>
          </w:tcPr>
          <w:p w14:paraId="4E594776">
            <w:pPr>
              <w:widowControl/>
              <w:jc w:val="center"/>
              <w:textAlignment w:val="center"/>
              <w:rPr>
                <w:rFonts w:hint="eastAsia" w:ascii="方正仿宋_GB2312" w:hAnsi="方正仿宋_GB2312" w:eastAsia="方正仿宋_GB2312" w:cs="方正仿宋_GB2312"/>
                <w:b/>
                <w:color w:val="auto"/>
                <w:sz w:val="18"/>
                <w:szCs w:val="18"/>
              </w:rPr>
            </w:pPr>
            <w:r>
              <w:rPr>
                <w:rFonts w:hint="eastAsia" w:ascii="方正仿宋_GB2312" w:hAnsi="方正仿宋_GB2312" w:eastAsia="方正仿宋_GB2312" w:cs="方正仿宋_GB2312"/>
                <w:b/>
                <w:color w:val="auto"/>
                <w:kern w:val="0"/>
                <w:sz w:val="18"/>
                <w:szCs w:val="18"/>
                <w:lang w:bidi="ar"/>
              </w:rPr>
              <w:t>技术参数</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98783B5">
            <w:pPr>
              <w:widowControl/>
              <w:jc w:val="center"/>
              <w:textAlignment w:val="center"/>
              <w:rPr>
                <w:rFonts w:hint="eastAsia" w:ascii="方正仿宋_GB2312" w:hAnsi="方正仿宋_GB2312" w:eastAsia="方正仿宋_GB2312" w:cs="方正仿宋_GB2312"/>
                <w:b/>
                <w:color w:val="auto"/>
                <w:sz w:val="18"/>
                <w:szCs w:val="18"/>
              </w:rPr>
            </w:pPr>
            <w:r>
              <w:rPr>
                <w:rFonts w:hint="eastAsia" w:ascii="方正仿宋_GB2312" w:hAnsi="方正仿宋_GB2312" w:eastAsia="方正仿宋_GB2312" w:cs="方正仿宋_GB2312"/>
                <w:b/>
                <w:color w:val="auto"/>
                <w:kern w:val="0"/>
                <w:sz w:val="18"/>
                <w:szCs w:val="18"/>
                <w:lang w:bidi="ar"/>
              </w:rPr>
              <w:t>数量</w:t>
            </w:r>
          </w:p>
        </w:tc>
        <w:tc>
          <w:tcPr>
            <w:tcW w:w="615" w:type="dxa"/>
            <w:tcBorders>
              <w:top w:val="single" w:color="000000" w:sz="4" w:space="0"/>
              <w:left w:val="single" w:color="000000" w:sz="4" w:space="0"/>
              <w:bottom w:val="single" w:color="000000" w:sz="4" w:space="0"/>
              <w:right w:val="single" w:color="000000" w:sz="4" w:space="0"/>
            </w:tcBorders>
            <w:noWrap w:val="0"/>
            <w:vAlign w:val="center"/>
          </w:tcPr>
          <w:p w14:paraId="17378955">
            <w:pPr>
              <w:widowControl/>
              <w:jc w:val="center"/>
              <w:textAlignment w:val="center"/>
              <w:rPr>
                <w:rFonts w:hint="eastAsia" w:ascii="方正仿宋_GB2312" w:hAnsi="方正仿宋_GB2312" w:eastAsia="方正仿宋_GB2312" w:cs="方正仿宋_GB2312"/>
                <w:b/>
                <w:color w:val="auto"/>
                <w:sz w:val="18"/>
                <w:szCs w:val="18"/>
              </w:rPr>
            </w:pPr>
            <w:r>
              <w:rPr>
                <w:rFonts w:hint="eastAsia" w:ascii="方正仿宋_GB2312" w:hAnsi="方正仿宋_GB2312" w:eastAsia="方正仿宋_GB2312" w:cs="方正仿宋_GB2312"/>
                <w:b/>
                <w:color w:val="auto"/>
                <w:kern w:val="0"/>
                <w:sz w:val="18"/>
                <w:szCs w:val="18"/>
                <w:lang w:bidi="ar"/>
              </w:rPr>
              <w:t>单位</w:t>
            </w:r>
          </w:p>
        </w:tc>
      </w:tr>
      <w:tr w14:paraId="4AEA0B6A">
        <w:tblPrEx>
          <w:tblCellMar>
            <w:top w:w="15" w:type="dxa"/>
            <w:left w:w="15" w:type="dxa"/>
            <w:bottom w:w="15" w:type="dxa"/>
            <w:right w:w="15" w:type="dxa"/>
          </w:tblCellMar>
        </w:tblPrEx>
        <w:trPr>
          <w:trHeight w:val="849" w:hRule="atLeast"/>
        </w:trPr>
        <w:tc>
          <w:tcPr>
            <w:tcW w:w="736" w:type="dxa"/>
            <w:tcBorders>
              <w:top w:val="single" w:color="auto" w:sz="4" w:space="0"/>
              <w:left w:val="single" w:color="000000" w:sz="4" w:space="0"/>
              <w:bottom w:val="single" w:color="000000" w:sz="4" w:space="0"/>
              <w:right w:val="single" w:color="000000" w:sz="4" w:space="0"/>
            </w:tcBorders>
            <w:noWrap w:val="0"/>
            <w:vAlign w:val="center"/>
          </w:tcPr>
          <w:p w14:paraId="59254DFF">
            <w:pPr>
              <w:widowControl/>
              <w:jc w:val="center"/>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rPr>
              <w:t>高性能服务器（托管）</w:t>
            </w:r>
          </w:p>
        </w:tc>
        <w:tc>
          <w:tcPr>
            <w:tcW w:w="6330" w:type="dxa"/>
            <w:tcBorders>
              <w:top w:val="single" w:color="auto" w:sz="4" w:space="0"/>
              <w:left w:val="single" w:color="000000" w:sz="4" w:space="0"/>
              <w:bottom w:val="single" w:color="000000" w:sz="4" w:space="0"/>
              <w:right w:val="single" w:color="000000" w:sz="4" w:space="0"/>
            </w:tcBorders>
            <w:noWrap w:val="0"/>
            <w:vAlign w:val="center"/>
          </w:tcPr>
          <w:p w14:paraId="763982B5">
            <w:pPr>
              <w:widowControl/>
              <w:jc w:val="left"/>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lang w:bidi="ar"/>
              </w:rPr>
              <w:t>配置要求：</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val="en-US" w:eastAsia="zh-CN" w:bidi="ar"/>
              </w:rPr>
              <w:t>1</w:t>
            </w:r>
            <w:r>
              <w:rPr>
                <w:rFonts w:hint="eastAsia" w:ascii="方正仿宋_GB2312" w:hAnsi="方正仿宋_GB2312" w:eastAsia="方正仿宋_GB2312" w:cs="方正仿宋_GB2312"/>
                <w:color w:val="auto"/>
                <w:kern w:val="0"/>
                <w:sz w:val="18"/>
                <w:szCs w:val="18"/>
                <w:lang w:bidi="ar"/>
              </w:rPr>
              <w:t>.应用系统部署</w:t>
            </w:r>
            <w:r>
              <w:rPr>
                <w:rFonts w:hint="eastAsia" w:ascii="方正仿宋_GB2312" w:hAnsi="方正仿宋_GB2312" w:eastAsia="方正仿宋_GB2312" w:cs="方正仿宋_GB2312"/>
                <w:color w:val="auto"/>
                <w:kern w:val="0"/>
                <w:sz w:val="18"/>
                <w:szCs w:val="18"/>
                <w:lang w:val="en-US" w:eastAsia="zh-CN" w:bidi="ar"/>
              </w:rPr>
              <w:t>3</w:t>
            </w:r>
            <w:r>
              <w:rPr>
                <w:rFonts w:hint="eastAsia" w:ascii="方正仿宋_GB2312" w:hAnsi="方正仿宋_GB2312" w:eastAsia="方正仿宋_GB2312" w:cs="方正仿宋_GB2312"/>
                <w:color w:val="auto"/>
                <w:kern w:val="0"/>
                <w:sz w:val="18"/>
                <w:szCs w:val="18"/>
                <w:lang w:bidi="ar"/>
              </w:rPr>
              <w:t>台服务器</w:t>
            </w:r>
            <w:r>
              <w:rPr>
                <w:rFonts w:hint="eastAsia" w:ascii="方正仿宋_GB2312" w:hAnsi="方正仿宋_GB2312" w:eastAsia="方正仿宋_GB2312" w:cs="方正仿宋_GB2312"/>
                <w:color w:val="auto"/>
                <w:kern w:val="0"/>
                <w:sz w:val="18"/>
                <w:szCs w:val="18"/>
                <w:lang w:eastAsia="zh-CN" w:bidi="ar"/>
              </w:rPr>
              <w:t>（</w:t>
            </w:r>
            <w:r>
              <w:rPr>
                <w:rFonts w:hint="eastAsia" w:ascii="方正仿宋_GB2312" w:hAnsi="方正仿宋_GB2312" w:eastAsia="方正仿宋_GB2312" w:cs="方正仿宋_GB2312"/>
                <w:color w:val="auto"/>
                <w:kern w:val="0"/>
                <w:sz w:val="18"/>
                <w:szCs w:val="18"/>
                <w:lang w:val="en-US" w:eastAsia="zh-CN" w:bidi="ar"/>
              </w:rPr>
              <w:t>质保5年</w:t>
            </w:r>
            <w:r>
              <w:rPr>
                <w:rFonts w:hint="eastAsia" w:ascii="方正仿宋_GB2312" w:hAnsi="方正仿宋_GB2312" w:eastAsia="方正仿宋_GB2312" w:cs="方正仿宋_GB2312"/>
                <w:color w:val="auto"/>
                <w:kern w:val="0"/>
                <w:sz w:val="18"/>
                <w:szCs w:val="18"/>
                <w:lang w:eastAsia="zh-CN" w:bidi="ar"/>
              </w:rPr>
              <w:t>）</w:t>
            </w:r>
            <w:r>
              <w:rPr>
                <w:rFonts w:hint="eastAsia" w:ascii="方正仿宋_GB2312" w:hAnsi="方正仿宋_GB2312" w:eastAsia="方正仿宋_GB2312" w:cs="方正仿宋_GB2312"/>
                <w:color w:val="auto"/>
                <w:kern w:val="0"/>
                <w:sz w:val="18"/>
                <w:szCs w:val="18"/>
                <w:lang w:bidi="ar"/>
              </w:rPr>
              <w:t>。</w:t>
            </w:r>
          </w:p>
          <w:p w14:paraId="487E6781">
            <w:pPr>
              <w:widowControl/>
              <w:jc w:val="left"/>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lang w:val="en-US" w:eastAsia="zh-CN" w:bidi="ar"/>
              </w:rPr>
              <w:t>2</w:t>
            </w:r>
            <w:r>
              <w:rPr>
                <w:rFonts w:hint="eastAsia" w:ascii="方正仿宋_GB2312" w:hAnsi="方正仿宋_GB2312" w:eastAsia="方正仿宋_GB2312" w:cs="方正仿宋_GB2312"/>
                <w:color w:val="auto"/>
                <w:kern w:val="0"/>
                <w:sz w:val="18"/>
                <w:szCs w:val="18"/>
                <w:lang w:bidi="ar"/>
              </w:rPr>
              <w:t>.交换机1台</w:t>
            </w:r>
            <w:r>
              <w:rPr>
                <w:rFonts w:hint="eastAsia" w:ascii="方正仿宋_GB2312" w:hAnsi="方正仿宋_GB2312" w:eastAsia="方正仿宋_GB2312" w:cs="方正仿宋_GB2312"/>
                <w:color w:val="auto"/>
                <w:kern w:val="0"/>
                <w:sz w:val="18"/>
                <w:szCs w:val="18"/>
                <w:lang w:eastAsia="zh-CN" w:bidi="ar"/>
              </w:rPr>
              <w:t>（</w:t>
            </w:r>
            <w:r>
              <w:rPr>
                <w:rFonts w:hint="eastAsia" w:ascii="方正仿宋_GB2312" w:hAnsi="方正仿宋_GB2312" w:eastAsia="方正仿宋_GB2312" w:cs="方正仿宋_GB2312"/>
                <w:color w:val="auto"/>
                <w:kern w:val="0"/>
                <w:sz w:val="18"/>
                <w:szCs w:val="18"/>
                <w:lang w:val="en-US" w:eastAsia="zh-CN" w:bidi="ar"/>
              </w:rPr>
              <w:t>质保5年</w:t>
            </w:r>
            <w:r>
              <w:rPr>
                <w:rFonts w:hint="eastAsia" w:ascii="方正仿宋_GB2312" w:hAnsi="方正仿宋_GB2312" w:eastAsia="方正仿宋_GB2312" w:cs="方正仿宋_GB2312"/>
                <w:color w:val="auto"/>
                <w:kern w:val="0"/>
                <w:sz w:val="18"/>
                <w:szCs w:val="18"/>
                <w:lang w:eastAsia="zh-CN" w:bidi="ar"/>
              </w:rPr>
              <w:t>）</w:t>
            </w:r>
            <w:r>
              <w:rPr>
                <w:rFonts w:hint="eastAsia" w:ascii="方正仿宋_GB2312" w:hAnsi="方正仿宋_GB2312" w:eastAsia="方正仿宋_GB2312" w:cs="方正仿宋_GB2312"/>
                <w:color w:val="auto"/>
                <w:kern w:val="0"/>
                <w:sz w:val="18"/>
                <w:szCs w:val="18"/>
                <w:lang w:bidi="ar"/>
              </w:rPr>
              <w:t>。</w:t>
            </w:r>
          </w:p>
          <w:p w14:paraId="4CE22291">
            <w:pPr>
              <w:widowControl/>
              <w:jc w:val="left"/>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lang w:bidi="ar"/>
              </w:rPr>
              <w:t>参数要求：(服务器)</w:t>
            </w:r>
          </w:p>
          <w:p w14:paraId="76A7EA1C">
            <w:pPr>
              <w:widowControl/>
              <w:jc w:val="left"/>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lang w:bidi="ar"/>
              </w:rPr>
              <w:t>1.2U机架服务器，非OEM产品，自主研发；</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2.处理器：主频:≥2.2GHz，≥12核；</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3.内存：配置3*64GB ECC DDR4内存,内存插槽数≥24个插槽；</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4.硬盘：支持热插拔2.5英寸SAS/SATA/SSD硬盘，最多支持20个3.5寸或31个2.5寸硬盘（提供官网截图和链接证明），本次配置12盘位机箱，配置2块≥600GB SAS硬盘，配置1块≥960GB SSD固态硬盘，配置2块≥10TB SAS硬盘；</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5.独立RAID卡</w:t>
            </w:r>
            <w:r>
              <w:rPr>
                <w:rFonts w:hint="eastAsia" w:ascii="方正仿宋_GB2312" w:hAnsi="方正仿宋_GB2312" w:eastAsia="方正仿宋_GB2312" w:cs="方正仿宋_GB2312"/>
                <w:color w:val="auto"/>
                <w:kern w:val="0"/>
                <w:sz w:val="18"/>
                <w:szCs w:val="18"/>
                <w:lang w:eastAsia="zh-CN" w:bidi="ar"/>
              </w:rPr>
              <w:t>大于</w:t>
            </w:r>
            <w:r>
              <w:rPr>
                <w:rFonts w:hint="eastAsia" w:ascii="方正仿宋_GB2312" w:hAnsi="方正仿宋_GB2312" w:eastAsia="方正仿宋_GB2312" w:cs="方正仿宋_GB2312"/>
                <w:color w:val="auto"/>
                <w:kern w:val="0"/>
                <w:sz w:val="18"/>
                <w:szCs w:val="18"/>
                <w:lang w:bidi="ar"/>
              </w:rPr>
              <w:t>1GB ；</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6.网卡：本次配置2个GE网口，2个Intel万兆光口，4个万兆电口；</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7.SSD存储：支持同品牌PCIe SSD服务器存储卡；具有自主研发的服务器加速功能；</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8.电源：配置2个≥550W冗余热插拔电源，并提供配套的电源连接线；</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9.风扇：配置4个热拔插对旋风扇，支持N+1冗余；</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10.I/O扩展:PCI-E I/O扩展能力支持≥10个；</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11.其他：机架安装导轨；</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12.工作温度：可以在5ºC - 45ºC 正常工作；</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13.服务器管理系统支持国产自研管理芯片。</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szCs w:val="21"/>
                <w:lang w:val="en-US" w:eastAsia="zh-CN"/>
              </w:rPr>
              <w:t>★</w:t>
            </w:r>
            <w:r>
              <w:rPr>
                <w:rFonts w:hint="eastAsia" w:ascii="方正仿宋_GB2312" w:hAnsi="方正仿宋_GB2312" w:eastAsia="方正仿宋_GB2312" w:cs="方正仿宋_GB2312"/>
                <w:color w:val="auto"/>
                <w:kern w:val="0"/>
                <w:sz w:val="18"/>
                <w:szCs w:val="18"/>
                <w:lang w:bidi="ar"/>
              </w:rPr>
              <w:t>14.产品资质：投标时提供FCC认证证书、CCC认证证书、CQC认证证书和中国环境标志产品认证证书等复印件</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15.提供TL9000认证证书、环境认证14001证书等复印件。</w:t>
            </w:r>
          </w:p>
          <w:p w14:paraId="68963D56">
            <w:pPr>
              <w:widowControl/>
              <w:jc w:val="left"/>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lang w:bidi="ar"/>
              </w:rPr>
              <w:t>参数要求（交换机）：</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1.采用CLOS架构；交换容量≥48 Tbps，包转发率≥16000 Mpps；主控引擎≥2，整机业务板槽位数≥3；</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2.为满足机房里机柜的空间要求，要求设备高度≤4U，为适应机柜并排部署，设备机箱（包括业务板卡区）采用后出风风道设计；</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3.为了简化管理，支持纵向虚拟化技术，支持把交换机和AP虚拟为一台设备，支持两层子节点，且子节点接入交换机支持堆叠；</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4.支持业务板集成AC功能，业务单板+AC只占用1个业务槽位，实现对AP的接入控制、AP域管理、有线无线用户的统一认证管理，提供权威第三方测试报告；</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5.支持统一用户管理,支持PPPoE、802.1X、MAC、Portal认证方式,支持基于流量和时长计费方式,支持分组分域分时授权方式；</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6.支持基于真实业务流对任意业务流随时逐点检测，实时监控网络质量 ，并在任意时间地点检测链路质量，准确检测设备级、链路级、以及网络级丢包，秒级快速故障定位；</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7.支持整机MAC地址≥1M，支持整机ARP表项≥256K、支持整机ACL表项≥256K；</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8.支持GE/10GE端口200ms大缓存，支持5级H-QoS；</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9.支持 MACsec，提供逐跳设备的数据安全传输，提供 2 级 CPU 保护机制，支持 1K CPU 硬件保护队列；</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10.为了提高网络的时钟精确性，需支持1588v2时钟功能；</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11.支持IPV4静态路由、RIP、OSPF、IS-IS、BGP4等，支持IPv6静态路由、RIPng、OSPFv3、IS-ISv6、BGP4+，支持IPv4/IPv6等价路由、策略路由、路由策略，支持IPv4和IPv6双协议栈；</w:t>
            </w:r>
            <w:r>
              <w:rPr>
                <w:rFonts w:hint="eastAsia" w:ascii="方正仿宋_GB2312" w:hAnsi="方正仿宋_GB2312" w:eastAsia="方正仿宋_GB2312" w:cs="方正仿宋_GB2312"/>
                <w:color w:val="auto"/>
                <w:kern w:val="0"/>
                <w:sz w:val="18"/>
                <w:szCs w:val="18"/>
                <w:lang w:bidi="ar"/>
              </w:rPr>
              <w:br w:type="textWrapping"/>
            </w:r>
            <w:r>
              <w:rPr>
                <w:rFonts w:hint="eastAsia" w:ascii="方正仿宋_GB2312" w:hAnsi="方正仿宋_GB2312" w:eastAsia="方正仿宋_GB2312" w:cs="方正仿宋_GB2312"/>
                <w:color w:val="auto"/>
                <w:kern w:val="0"/>
                <w:sz w:val="18"/>
                <w:szCs w:val="18"/>
                <w:lang w:bidi="ar"/>
              </w:rPr>
              <w:t>硬件配置要求：配置完整主机，冗余主控引擎、冗余交流电源；配置24个千兆电接口、24个万兆光接口（所有网络接口为业务板接口，非主控引擎板接口）。</w:t>
            </w:r>
          </w:p>
        </w:tc>
        <w:tc>
          <w:tcPr>
            <w:tcW w:w="570" w:type="dxa"/>
            <w:tcBorders>
              <w:top w:val="single" w:color="auto" w:sz="4" w:space="0"/>
              <w:left w:val="single" w:color="000000" w:sz="4" w:space="0"/>
              <w:bottom w:val="single" w:color="000000" w:sz="4" w:space="0"/>
              <w:right w:val="single" w:color="000000" w:sz="4" w:space="0"/>
            </w:tcBorders>
            <w:noWrap w:val="0"/>
            <w:vAlign w:val="center"/>
          </w:tcPr>
          <w:p w14:paraId="79B1E2C6">
            <w:pPr>
              <w:widowControl/>
              <w:jc w:val="center"/>
              <w:textAlignment w:val="center"/>
              <w:rPr>
                <w:rFonts w:hint="eastAsia" w:ascii="方正仿宋_GB2312" w:hAnsi="方正仿宋_GB2312" w:eastAsia="方正仿宋_GB2312" w:cs="方正仿宋_GB2312"/>
                <w:color w:val="auto"/>
                <w:kern w:val="0"/>
                <w:sz w:val="18"/>
                <w:szCs w:val="18"/>
                <w:lang w:eastAsia="zh-CN" w:bidi="ar"/>
              </w:rPr>
            </w:pPr>
            <w:r>
              <w:rPr>
                <w:rFonts w:hint="eastAsia" w:ascii="方正仿宋_GB2312" w:hAnsi="方正仿宋_GB2312" w:eastAsia="方正仿宋_GB2312" w:cs="方正仿宋_GB2312"/>
                <w:color w:val="auto"/>
                <w:kern w:val="0"/>
                <w:sz w:val="18"/>
                <w:szCs w:val="18"/>
                <w:lang w:val="en-US" w:eastAsia="zh-CN" w:bidi="ar"/>
              </w:rPr>
              <w:t>3</w:t>
            </w:r>
          </w:p>
        </w:tc>
        <w:tc>
          <w:tcPr>
            <w:tcW w:w="615" w:type="dxa"/>
            <w:tcBorders>
              <w:top w:val="single" w:color="auto" w:sz="4" w:space="0"/>
              <w:left w:val="single" w:color="000000" w:sz="4" w:space="0"/>
              <w:bottom w:val="single" w:color="000000" w:sz="4" w:space="0"/>
              <w:right w:val="single" w:color="000000" w:sz="4" w:space="0"/>
            </w:tcBorders>
            <w:noWrap w:val="0"/>
            <w:vAlign w:val="center"/>
          </w:tcPr>
          <w:p w14:paraId="434D144C">
            <w:pPr>
              <w:widowControl/>
              <w:jc w:val="center"/>
              <w:textAlignment w:val="center"/>
              <w:rPr>
                <w:rFonts w:hint="eastAsia" w:ascii="方正仿宋_GB2312" w:hAnsi="方正仿宋_GB2312" w:eastAsia="方正仿宋_GB2312" w:cs="方正仿宋_GB2312"/>
                <w:color w:val="auto"/>
                <w:kern w:val="0"/>
                <w:sz w:val="18"/>
                <w:szCs w:val="18"/>
                <w:lang w:bidi="ar"/>
              </w:rPr>
            </w:pPr>
            <w:r>
              <w:rPr>
                <w:rFonts w:hint="eastAsia" w:ascii="方正仿宋_GB2312" w:hAnsi="方正仿宋_GB2312" w:eastAsia="方正仿宋_GB2312" w:cs="方正仿宋_GB2312"/>
                <w:color w:val="auto"/>
                <w:kern w:val="0"/>
                <w:sz w:val="18"/>
                <w:szCs w:val="18"/>
                <w:lang w:bidi="ar"/>
              </w:rPr>
              <w:t>台</w:t>
            </w:r>
          </w:p>
        </w:tc>
      </w:tr>
      <w:tr w14:paraId="0CB1E75F">
        <w:tblPrEx>
          <w:tblCellMar>
            <w:top w:w="15" w:type="dxa"/>
            <w:left w:w="15" w:type="dxa"/>
            <w:bottom w:w="15" w:type="dxa"/>
            <w:right w:w="15" w:type="dxa"/>
          </w:tblCellMar>
        </w:tblPrEx>
        <w:trPr>
          <w:trHeight w:val="1357" w:hRule="atLeast"/>
        </w:trPr>
        <w:tc>
          <w:tcPr>
            <w:tcW w:w="736" w:type="dxa"/>
            <w:tcBorders>
              <w:top w:val="single" w:color="000000" w:sz="4" w:space="0"/>
              <w:left w:val="single" w:color="000000" w:sz="4" w:space="0"/>
              <w:bottom w:val="single" w:color="000000" w:sz="4" w:space="0"/>
              <w:right w:val="single" w:color="000000" w:sz="4" w:space="0"/>
            </w:tcBorders>
            <w:noWrap w:val="0"/>
            <w:vAlign w:val="center"/>
          </w:tcPr>
          <w:p w14:paraId="5CF0C3C4">
            <w:pPr>
              <w:widowControl/>
              <w:jc w:val="center"/>
              <w:textAlignment w:val="center"/>
              <w:rPr>
                <w:rFonts w:hint="eastAsia" w:ascii="方正仿宋_GB2312" w:hAnsi="方正仿宋_GB2312" w:eastAsia="方正仿宋_GB2312" w:cs="方正仿宋_GB2312"/>
                <w:color w:val="auto"/>
                <w:sz w:val="18"/>
                <w:szCs w:val="18"/>
              </w:rPr>
            </w:pPr>
            <w:r>
              <w:rPr>
                <w:rFonts w:hint="eastAsia" w:ascii="方正仿宋_GB2312" w:hAnsi="方正仿宋_GB2312" w:eastAsia="方正仿宋_GB2312" w:cs="方正仿宋_GB2312"/>
                <w:color w:val="auto"/>
                <w:kern w:val="0"/>
                <w:sz w:val="18"/>
                <w:szCs w:val="18"/>
                <w:lang w:bidi="ar"/>
              </w:rPr>
              <w:t>安装、调试及线缆、辅材</w:t>
            </w:r>
          </w:p>
        </w:tc>
        <w:tc>
          <w:tcPr>
            <w:tcW w:w="6330" w:type="dxa"/>
            <w:tcBorders>
              <w:top w:val="single" w:color="000000" w:sz="4" w:space="0"/>
              <w:left w:val="single" w:color="000000" w:sz="4" w:space="0"/>
              <w:bottom w:val="single" w:color="000000" w:sz="4" w:space="0"/>
              <w:right w:val="single" w:color="000000" w:sz="4" w:space="0"/>
            </w:tcBorders>
            <w:noWrap w:val="0"/>
            <w:vAlign w:val="center"/>
          </w:tcPr>
          <w:p w14:paraId="7FF0C87E">
            <w:pPr>
              <w:widowControl/>
              <w:jc w:val="left"/>
              <w:textAlignment w:val="center"/>
              <w:rPr>
                <w:rFonts w:hint="eastAsia" w:ascii="方正仿宋_GB2312" w:hAnsi="方正仿宋_GB2312" w:eastAsia="方正仿宋_GB2312" w:cs="方正仿宋_GB2312"/>
                <w:color w:val="auto"/>
                <w:sz w:val="18"/>
                <w:szCs w:val="18"/>
              </w:rPr>
            </w:pPr>
            <w:r>
              <w:rPr>
                <w:rFonts w:hint="eastAsia" w:ascii="方正仿宋_GB2312" w:hAnsi="方正仿宋_GB2312" w:eastAsia="方正仿宋_GB2312" w:cs="方正仿宋_GB2312"/>
                <w:color w:val="auto"/>
                <w:kern w:val="0"/>
                <w:sz w:val="18"/>
                <w:szCs w:val="18"/>
                <w:lang w:bidi="ar"/>
              </w:rPr>
              <w:t>安装、调试及线缆、辅材一批（含电源线、网络线、管材等）</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3DDA3B9">
            <w:pPr>
              <w:widowControl/>
              <w:jc w:val="center"/>
              <w:textAlignment w:val="center"/>
              <w:rPr>
                <w:rFonts w:hint="eastAsia" w:ascii="方正仿宋_GB2312" w:hAnsi="方正仿宋_GB2312" w:eastAsia="方正仿宋_GB2312" w:cs="方正仿宋_GB2312"/>
                <w:color w:val="auto"/>
                <w:sz w:val="18"/>
                <w:szCs w:val="18"/>
              </w:rPr>
            </w:pPr>
            <w:r>
              <w:rPr>
                <w:rFonts w:hint="eastAsia" w:ascii="方正仿宋_GB2312" w:hAnsi="方正仿宋_GB2312" w:eastAsia="方正仿宋_GB2312" w:cs="方正仿宋_GB2312"/>
                <w:color w:val="auto"/>
                <w:kern w:val="0"/>
                <w:sz w:val="18"/>
                <w:szCs w:val="18"/>
                <w:lang w:bidi="ar"/>
              </w:rPr>
              <w:t>1</w:t>
            </w:r>
          </w:p>
        </w:tc>
        <w:tc>
          <w:tcPr>
            <w:tcW w:w="615" w:type="dxa"/>
            <w:tcBorders>
              <w:top w:val="single" w:color="000000" w:sz="4" w:space="0"/>
              <w:left w:val="single" w:color="000000" w:sz="4" w:space="0"/>
              <w:bottom w:val="single" w:color="000000" w:sz="4" w:space="0"/>
              <w:right w:val="single" w:color="000000" w:sz="4" w:space="0"/>
            </w:tcBorders>
            <w:noWrap w:val="0"/>
            <w:vAlign w:val="center"/>
          </w:tcPr>
          <w:p w14:paraId="6E90C3E9">
            <w:pPr>
              <w:widowControl/>
              <w:jc w:val="center"/>
              <w:textAlignment w:val="center"/>
              <w:rPr>
                <w:rFonts w:hint="eastAsia" w:ascii="方正仿宋_GB2312" w:hAnsi="方正仿宋_GB2312" w:eastAsia="方正仿宋_GB2312" w:cs="方正仿宋_GB2312"/>
                <w:color w:val="auto"/>
                <w:sz w:val="18"/>
                <w:szCs w:val="18"/>
              </w:rPr>
            </w:pPr>
            <w:r>
              <w:rPr>
                <w:rFonts w:hint="eastAsia" w:ascii="方正仿宋_GB2312" w:hAnsi="方正仿宋_GB2312" w:eastAsia="方正仿宋_GB2312" w:cs="方正仿宋_GB2312"/>
                <w:color w:val="auto"/>
                <w:kern w:val="0"/>
                <w:sz w:val="18"/>
                <w:szCs w:val="18"/>
                <w:lang w:bidi="ar"/>
              </w:rPr>
              <w:t>项</w:t>
            </w:r>
          </w:p>
        </w:tc>
      </w:tr>
      <w:tr w14:paraId="13B63661">
        <w:tblPrEx>
          <w:tblCellMar>
            <w:top w:w="15" w:type="dxa"/>
            <w:left w:w="15" w:type="dxa"/>
            <w:bottom w:w="15" w:type="dxa"/>
            <w:right w:w="15" w:type="dxa"/>
          </w:tblCellMar>
        </w:tblPrEx>
        <w:trPr>
          <w:trHeight w:val="925" w:hRule="atLeast"/>
        </w:trPr>
        <w:tc>
          <w:tcPr>
            <w:tcW w:w="736" w:type="dxa"/>
            <w:tcBorders>
              <w:top w:val="single" w:color="000000" w:sz="4" w:space="0"/>
              <w:left w:val="single" w:color="000000" w:sz="4" w:space="0"/>
              <w:bottom w:val="single" w:color="000000" w:sz="4" w:space="0"/>
              <w:right w:val="single" w:color="000000" w:sz="4" w:space="0"/>
            </w:tcBorders>
            <w:noWrap w:val="0"/>
            <w:vAlign w:val="center"/>
          </w:tcPr>
          <w:p w14:paraId="0D7AD80E">
            <w:pPr>
              <w:widowControl/>
              <w:jc w:val="center"/>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变频空调</w:t>
            </w:r>
          </w:p>
        </w:tc>
        <w:tc>
          <w:tcPr>
            <w:tcW w:w="6330" w:type="dxa"/>
            <w:tcBorders>
              <w:top w:val="single" w:color="000000" w:sz="4" w:space="0"/>
              <w:left w:val="single" w:color="000000" w:sz="4" w:space="0"/>
              <w:bottom w:val="single" w:color="000000" w:sz="4" w:space="0"/>
              <w:right w:val="single" w:color="000000" w:sz="4" w:space="0"/>
            </w:tcBorders>
            <w:noWrap w:val="0"/>
            <w:vAlign w:val="center"/>
          </w:tcPr>
          <w:p w14:paraId="331EAEE7">
            <w:pPr>
              <w:widowControl/>
              <w:jc w:val="left"/>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立式，3匹，1级能效，能效比4.62及以上，冷凝器、压缩机、蒸发器材质为铜，可制冷制热，外机最大噪音56DB及以下，内机噪音22DB及以下。</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3C6B9C8">
            <w:pPr>
              <w:widowControl/>
              <w:jc w:val="center"/>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noWrap w:val="0"/>
            <w:vAlign w:val="center"/>
          </w:tcPr>
          <w:p w14:paraId="3601E96D">
            <w:pPr>
              <w:widowControl/>
              <w:jc w:val="center"/>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个</w:t>
            </w:r>
          </w:p>
        </w:tc>
      </w:tr>
      <w:tr w14:paraId="313813FD">
        <w:tblPrEx>
          <w:tblCellMar>
            <w:top w:w="15" w:type="dxa"/>
            <w:left w:w="15" w:type="dxa"/>
            <w:bottom w:w="15" w:type="dxa"/>
            <w:right w:w="15" w:type="dxa"/>
          </w:tblCellMar>
        </w:tblPrEx>
        <w:trPr>
          <w:trHeight w:val="709" w:hRule="atLeast"/>
        </w:trPr>
        <w:tc>
          <w:tcPr>
            <w:tcW w:w="736" w:type="dxa"/>
            <w:tcBorders>
              <w:top w:val="single" w:color="000000" w:sz="4" w:space="0"/>
              <w:left w:val="single" w:color="000000" w:sz="4" w:space="0"/>
              <w:bottom w:val="single" w:color="000000" w:sz="4" w:space="0"/>
              <w:right w:val="single" w:color="000000" w:sz="4" w:space="0"/>
            </w:tcBorders>
            <w:noWrap w:val="0"/>
            <w:vAlign w:val="center"/>
          </w:tcPr>
          <w:p w14:paraId="6FCC16B4">
            <w:pPr>
              <w:widowControl/>
              <w:jc w:val="center"/>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展示间装饰</w:t>
            </w:r>
          </w:p>
        </w:tc>
        <w:tc>
          <w:tcPr>
            <w:tcW w:w="6330" w:type="dxa"/>
            <w:tcBorders>
              <w:top w:val="single" w:color="000000" w:sz="4" w:space="0"/>
              <w:left w:val="single" w:color="000000" w:sz="4" w:space="0"/>
              <w:bottom w:val="single" w:color="000000" w:sz="4" w:space="0"/>
              <w:right w:val="single" w:color="000000" w:sz="4" w:space="0"/>
            </w:tcBorders>
            <w:noWrap w:val="0"/>
            <w:vAlign w:val="center"/>
          </w:tcPr>
          <w:p w14:paraId="6E67BD5C">
            <w:pPr>
              <w:widowControl/>
              <w:jc w:val="left"/>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房屋粉刷，地面做静电地板，原有机柜移机，暖气管线迁改，新做窗帘，现有装饰拆除等</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FA85A24">
            <w:pPr>
              <w:widowControl/>
              <w:jc w:val="center"/>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noWrap w:val="0"/>
            <w:vAlign w:val="center"/>
          </w:tcPr>
          <w:p w14:paraId="42CCD5A8">
            <w:pPr>
              <w:widowControl/>
              <w:jc w:val="center"/>
              <w:textAlignment w:val="center"/>
              <w:rPr>
                <w:rFonts w:hint="eastAsia" w:ascii="方正仿宋_GB2312" w:hAnsi="方正仿宋_GB2312" w:eastAsia="方正仿宋_GB2312" w:cs="方正仿宋_GB2312"/>
                <w:color w:val="auto"/>
                <w:kern w:val="0"/>
                <w:sz w:val="18"/>
                <w:szCs w:val="18"/>
                <w:lang w:val="en-US" w:eastAsia="zh-CN" w:bidi="ar"/>
              </w:rPr>
            </w:pPr>
            <w:r>
              <w:rPr>
                <w:rFonts w:hint="eastAsia" w:ascii="方正仿宋_GB2312" w:hAnsi="方正仿宋_GB2312" w:eastAsia="方正仿宋_GB2312" w:cs="方正仿宋_GB2312"/>
                <w:color w:val="auto"/>
                <w:kern w:val="0"/>
                <w:sz w:val="18"/>
                <w:szCs w:val="18"/>
                <w:lang w:val="en-US" w:eastAsia="zh-CN" w:bidi="ar"/>
              </w:rPr>
              <w:t>项</w:t>
            </w:r>
          </w:p>
        </w:tc>
      </w:tr>
    </w:tbl>
    <w:p w14:paraId="062FFD23">
      <w:pPr>
        <w:keepNext w:val="0"/>
        <w:keepLines w:val="0"/>
        <w:widowControl w:val="0"/>
        <w:suppressLineNumbers w:val="0"/>
        <w:spacing w:before="0" w:beforeAutospacing="0" w:after="0" w:afterAutospacing="0" w:line="600" w:lineRule="exact"/>
        <w:ind w:right="0"/>
        <w:jc w:val="center"/>
        <w:rPr>
          <w:rFonts w:hint="eastAsia" w:ascii="方正仿宋_GB2312" w:hAnsi="方正仿宋_GB2312" w:eastAsia="方正仿宋_GB2312" w:cs="方正仿宋_GB2312"/>
          <w:color w:val="auto"/>
          <w:kern w:val="2"/>
          <w:sz w:val="32"/>
          <w:szCs w:val="32"/>
        </w:rPr>
      </w:pPr>
      <w:r>
        <w:rPr>
          <w:rFonts w:hint="eastAsia" w:ascii="方正仿宋_GB2312" w:hAnsi="方正仿宋_GB2312" w:eastAsia="方正仿宋_GB2312" w:cs="方正仿宋_GB2312"/>
          <w:color w:val="auto"/>
          <w:kern w:val="2"/>
          <w:sz w:val="32"/>
          <w:szCs w:val="32"/>
          <w:lang w:val="en-US" w:eastAsia="zh-CN" w:bidi="ar"/>
        </w:rPr>
        <w:t>四、集成对接内容</w:t>
      </w:r>
    </w:p>
    <w:p w14:paraId="57B37117">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（一）信息编码标准集成</w:t>
      </w:r>
      <w:r>
        <w:rPr>
          <w:rFonts w:hint="eastAsia" w:ascii="方正仿宋_GB2312" w:hAnsi="方正仿宋_GB2312" w:eastAsia="方正仿宋_GB2312" w:cs="方正仿宋_GB2312"/>
          <w:color w:val="auto"/>
          <w:kern w:val="0"/>
          <w:sz w:val="21"/>
          <w:szCs w:val="21"/>
          <w:lang w:val="en-US" w:eastAsia="zh-CN" w:bidi="ar"/>
        </w:rPr>
        <w:tab/>
      </w:r>
    </w:p>
    <w:p w14:paraId="68B82EC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建立统一的校园空间与业务信息编码标准体系，实现地下管线、地上三维模型、基础地理、业务数据的编码一致性。参照国家《城市地下管线探测技术规程》《基础地理信息要素分类与代码》及学校现有资产、楼宇、能耗编码规则，制定涵盖管线类型、管径、材质、楼宇区域、能耗点位、报修工单等维度的统一编码规则。通过数据管理中心完成编码标准的落地与校验，对接入的外部系统进行编码适配，确保全平台数据分类清晰、关联唯一、互通无冲突，为数据治理、统计分析、系统对接奠定基础。</w:t>
      </w:r>
    </w:p>
    <w:p w14:paraId="09DE3137">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（二）业务数据集成</w:t>
      </w:r>
      <w:r>
        <w:rPr>
          <w:rFonts w:hint="eastAsia" w:ascii="方正仿宋_GB2312" w:hAnsi="方正仿宋_GB2312" w:eastAsia="方正仿宋_GB2312" w:cs="方正仿宋_GB2312"/>
          <w:color w:val="auto"/>
          <w:kern w:val="0"/>
          <w:sz w:val="21"/>
          <w:szCs w:val="21"/>
          <w:lang w:val="en-US" w:eastAsia="zh-CN" w:bidi="ar"/>
        </w:rPr>
        <w:tab/>
      </w:r>
    </w:p>
    <w:p w14:paraId="1453A1BF">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依托数据管理中心构建统一的数据交换总线，实现校内各业务系统数据的双向流通与实时同步。核心集成内容包括：</w:t>
      </w:r>
    </w:p>
    <w:p w14:paraId="5C342F81">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1.基础数据共享：从学校统一身份认证、人事系统、学生系统同步获取师生、教职工基础信息，同步至校园报修维修系统、能耗可视化等业务模块；</w:t>
      </w:r>
    </w:p>
    <w:p w14:paraId="5B3669B7">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2.业务数据互通：通过数据中台，与能源监管平台同步水表、电表实时数据与历史能耗数据；与智慧供热系统同步供热温度、压力、流量数据；与路灯控制系统同步路灯设备状态与运行数据；与配电室、水泵房管理系统同步设备监测数据，实现能耗、设备运行数据的统一汇聚；</w:t>
      </w:r>
    </w:p>
    <w:p w14:paraId="5430111D">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3.数据同步机制：建立数据同步机制，核心业务数据，包括能耗数据、工单数据、基础数据等同步至数据中台，确保全平台数据一致性。</w:t>
      </w:r>
    </w:p>
    <w:p w14:paraId="1CD0050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（三）统一身份认证集成</w:t>
      </w:r>
      <w:r>
        <w:rPr>
          <w:rFonts w:hint="eastAsia" w:ascii="方正仿宋_GB2312" w:hAnsi="方正仿宋_GB2312" w:eastAsia="方正仿宋_GB2312" w:cs="方正仿宋_GB2312"/>
          <w:color w:val="auto"/>
          <w:kern w:val="0"/>
          <w:sz w:val="21"/>
          <w:szCs w:val="21"/>
          <w:lang w:val="en-US" w:eastAsia="zh-CN" w:bidi="ar"/>
        </w:rPr>
        <w:tab/>
      </w:r>
    </w:p>
    <w:p w14:paraId="68774376">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为实现统一认证和单点登录提供接口和通道，须支持跨平台和各种开发语言的应用系统接入平台，如目前学校各类应用系统所使用的.net、JAVA、PHP等多种开发语言；支持CAS4.0、SAML1.1协议，能将各类应用纳入认证范围，实现集中统一的认证。身份、授权、认证功能相互独立，可以灵活的与第三方产品对接。支持底层多种通用结构的认证技术协议，至少包括LDAP等。</w:t>
      </w:r>
    </w:p>
    <w:p w14:paraId="0A261021">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接校园统一身份认证平台，采用标准认证协议CAS4.0或SAML1.1协议完成系统身份认证能力集成。通过统一身份认证接口，实现地下管网系统、电子地图、报修维修、能耗可视化4个核心业务模块与校园统一身份源的对接，用户无需单独注册账号，可直接使用校园统一账号密码登录系统。同时，完成认证信息的双向同步，支持用户角色、权限变更在统一身份平台生效后，实时同步至本平台，确保身份认证的安全性、统一性与高效性。</w:t>
      </w:r>
    </w:p>
    <w:p w14:paraId="2883A826">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（四）单点登录集成</w:t>
      </w:r>
      <w:r>
        <w:rPr>
          <w:rFonts w:hint="eastAsia" w:ascii="方正仿宋_GB2312" w:hAnsi="方正仿宋_GB2312" w:eastAsia="方正仿宋_GB2312" w:cs="方正仿宋_GB2312"/>
          <w:color w:val="auto"/>
          <w:kern w:val="0"/>
          <w:sz w:val="21"/>
          <w:szCs w:val="21"/>
          <w:lang w:val="en-US" w:eastAsia="zh-CN" w:bidi="ar"/>
        </w:rPr>
        <w:tab/>
      </w:r>
    </w:p>
    <w:p w14:paraId="25823CC1">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基于统一身份认证成果，实现校园业务系统单点登录集成，打通本平台与校园现有核心系统的登录链路。通过单点登录（SSO）技术，在用户完成校园统一身份认证后，可直接跳转至本平台各业务模块，无需重复登录；同时，支持从本平台跳转至信息门户外部系统，以及从信息门户一键进入本平台，实现“一次登录、全域通行”，提升用户操作效率，避免多账号切换困扰</w:t>
      </w:r>
    </w:p>
    <w:p w14:paraId="7F41E04B">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（五）门户待办事宜、消息（短信）集成</w:t>
      </w:r>
    </w:p>
    <w:p w14:paraId="50EFEA24">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基于校园各类应用系统信息统一收发要求，所有业务系统待办任务、消息需通过短信、微信、邮件等通道发送的消息均须对接校园统一通信平台，由统一通信平台负责发送，包括回执消息的接收。信息发送须严格遵守各通信运营商对信息安全管理和企业用户授权的相关要求，包括但不限于信息审计、黑白名单设置和信息模板管理等要求。</w:t>
      </w:r>
    </w:p>
    <w:p w14:paraId="2F614C1A">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 xml:space="preserve">与校园统一门户及消息中心深度集成，实现待办事宜、通知消息的统一展示与触达。将本平台中的报修工单待审核、待派工、待完工任务，能耗异常告警任务，库房物资审批任务等同步至校园统一门户的待办事宜模块，管理人员可在门户直接查看并处理相关业务，实现业务入口统一；对接校园短信网关与消息推送系统，支持报修工单状态变更、设备异常告警、工单催办等场景的消息推送。通过短信、校内消息双渠道触达相关人员，确保运维人员、师生、管理人员第一时间获取关键信息，提升业务响应速度。 </w:t>
      </w:r>
    </w:p>
    <w:p w14:paraId="5B7073D3">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（六）移动端大厅集成</w:t>
      </w:r>
    </w:p>
    <w:p w14:paraId="09ED5302">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依托校园移动端服务大厅，提供移动客户端集成服务，实现本平台核心业务功能的移动端集成与轻量化适配。</w:t>
      </w:r>
    </w:p>
    <w:p w14:paraId="376CB5C6">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rPr>
      </w:pPr>
      <w:r>
        <w:rPr>
          <w:rFonts w:hint="eastAsia" w:ascii="方正仿宋_GB2312" w:hAnsi="方正仿宋_GB2312" w:eastAsia="方正仿宋_GB2312" w:cs="方正仿宋_GB2312"/>
          <w:color w:val="auto"/>
          <w:kern w:val="0"/>
          <w:sz w:val="21"/>
          <w:szCs w:val="21"/>
          <w:lang w:val="en-US" w:eastAsia="zh-CN" w:bidi="ar"/>
        </w:rPr>
        <w:t>1.功能入口集成：在移动端大厅新增专区，整合校园电子地图导航、快速报修、能耗查询、报修工单进度查询等核心功能，用户可通过移动端一键访问；</w:t>
      </w:r>
    </w:p>
    <w:p w14:paraId="0D54941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2.移动端消息触达：集成移动端消息推送能力，支持移动端接收工单通知、设备告警、审批结果等消息，实现移动端全流程业务闭环，提升校园后勤服务的移动化、便捷化水平。</w:t>
      </w:r>
    </w:p>
    <w:p w14:paraId="6DA9A4C6">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项目建设过程中应符合现行国家、自治区以及高校行业有关规范和标准最新版本要求，如在项目建设过程有新出台的标准和规范，也应遵循。本项目应遵循的标准规范包含但不限于以下内容：</w:t>
      </w:r>
    </w:p>
    <w:p w14:paraId="54148C0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1、《智能建筑设计标准》(GB/T 50314-2006)</w:t>
      </w:r>
    </w:p>
    <w:p w14:paraId="5262A714">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2、《综合布线系统工程设计规范》(GB 50311-2007)</w:t>
      </w:r>
    </w:p>
    <w:p w14:paraId="436A7EA3">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3、《综合布线系统工程验收规范》(GB 50312- 2007)</w:t>
      </w:r>
    </w:p>
    <w:p w14:paraId="109B541E">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4、《安全防范工程技术规范》(GB50348-2004)</w:t>
      </w:r>
    </w:p>
    <w:p w14:paraId="263CBE5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5、《密码模块安全技术要求》GM/T 0028-2014</w:t>
      </w:r>
    </w:p>
    <w:p w14:paraId="3B8D5B1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6、《信息系统密码应用基本要求》GM/T 0054-2018</w:t>
      </w:r>
    </w:p>
    <w:p w14:paraId="0FE5028C">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7、《信息安全技术 云计算服务安全指南》GB/T 31167-2014</w:t>
      </w:r>
    </w:p>
    <w:p w14:paraId="6B12BEA2">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8、《信息安全技术 云计算服务安全能力要求》GB/T 31168-2014</w:t>
      </w:r>
    </w:p>
    <w:p w14:paraId="74C21C6C">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9、《信息安全技术 网络安全等级保护基本要求》GB/T 22239-2019</w:t>
      </w:r>
    </w:p>
    <w:p w14:paraId="41A5863D">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10、《信息安全技术 网络安全等级保护测评要求》GB/T 28448-2019</w:t>
      </w:r>
    </w:p>
    <w:p w14:paraId="0A1271F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11、《信息安全技术 网络安全等级保护安全设计技术要求》GB/T 25070-2019</w:t>
      </w:r>
    </w:p>
    <w:p w14:paraId="1E0411C6">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12、教技厅〔2019〕3号《教育移动互联网应用程序备案管理办法》</w:t>
      </w:r>
    </w:p>
    <w:p w14:paraId="217D2A43">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13、《新农大办发〔2019〕6 号《新疆农业大学信息化建设规范V1.0》</w:t>
      </w:r>
    </w:p>
    <w:p w14:paraId="3ECC063A">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14、《新农大办发〔2021〕31号《新疆农业大学信息化基础数据管理办法》（试行）</w:t>
      </w:r>
    </w:p>
    <w:p w14:paraId="716AFE4D">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15、《新农大办发〔2021〕32号《新疆农业大学信息化项目建设管理办法》（试行）</w:t>
      </w:r>
    </w:p>
    <w:p w14:paraId="3413952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16、《新疆农业大学信息(软件)系统验收规范(试行)》新农大发[2023] 47 号</w:t>
      </w:r>
    </w:p>
    <w:p w14:paraId="256302F7">
      <w:pPr>
        <w:keepNext w:val="0"/>
        <w:keepLines w:val="0"/>
        <w:widowControl w:val="0"/>
        <w:suppressLineNumbers w:val="0"/>
        <w:autoSpaceDE w:val="0"/>
        <w:autoSpaceDN/>
        <w:spacing w:before="0" w:beforeAutospacing="0" w:after="0" w:afterAutospacing="0" w:line="400" w:lineRule="exact"/>
        <w:ind w:right="0"/>
        <w:jc w:val="both"/>
        <w:rPr>
          <w:rFonts w:hint="eastAsia" w:ascii="方正仿宋_GB2312" w:hAnsi="方正仿宋_GB2312" w:eastAsia="方正仿宋_GB2312" w:cs="方正仿宋_GB2312"/>
          <w:b/>
          <w:bCs/>
          <w:color w:val="auto"/>
          <w:kern w:val="0"/>
          <w:sz w:val="21"/>
          <w:szCs w:val="21"/>
          <w:lang w:val="en-US" w:eastAsia="zh-CN" w:bidi="ar"/>
        </w:rPr>
      </w:pPr>
      <w:r>
        <w:rPr>
          <w:rFonts w:hint="eastAsia" w:ascii="方正仿宋_GB2312" w:hAnsi="方正仿宋_GB2312" w:eastAsia="方正仿宋_GB2312" w:cs="方正仿宋_GB2312"/>
          <w:b/>
          <w:bCs/>
          <w:color w:val="auto"/>
          <w:kern w:val="0"/>
          <w:sz w:val="21"/>
          <w:szCs w:val="21"/>
          <w:lang w:val="en-US" w:eastAsia="zh-CN" w:bidi="ar"/>
        </w:rPr>
        <w:t>二、集成费用要求</w:t>
      </w:r>
    </w:p>
    <w:p w14:paraId="19526A49">
      <w:pPr>
        <w:keepNext w:val="0"/>
        <w:keepLines w:val="0"/>
        <w:widowControl w:val="0"/>
        <w:suppressLineNumbers w:val="0"/>
        <w:autoSpaceDE w:val="0"/>
        <w:autoSpaceDN/>
        <w:spacing w:before="0" w:beforeAutospacing="0" w:after="0" w:afterAutospacing="0" w:line="400" w:lineRule="exact"/>
        <w:ind w:left="0" w:right="0" w:firstLine="422" w:firstLineChars="200"/>
        <w:jc w:val="both"/>
        <w:rPr>
          <w:rFonts w:hint="eastAsia" w:ascii="方正仿宋_GB2312" w:hAnsi="方正仿宋_GB2312" w:eastAsia="方正仿宋_GB2312" w:cs="方正仿宋_GB2312"/>
          <w:b/>
          <w:bCs/>
          <w:color w:val="auto"/>
          <w:kern w:val="0"/>
          <w:sz w:val="21"/>
          <w:szCs w:val="21"/>
          <w:lang w:val="en-US" w:eastAsia="zh-CN" w:bidi="ar"/>
        </w:rPr>
      </w:pPr>
      <w:r>
        <w:rPr>
          <w:rFonts w:hint="eastAsia" w:ascii="方正仿宋_GB2312" w:hAnsi="方正仿宋_GB2312" w:eastAsia="方正仿宋_GB2312" w:cs="方正仿宋_GB2312"/>
          <w:b/>
          <w:bCs/>
          <w:color w:val="auto"/>
          <w:kern w:val="0"/>
          <w:sz w:val="21"/>
          <w:szCs w:val="21"/>
          <w:lang w:val="en-US" w:eastAsia="zh-CN" w:bidi="ar"/>
        </w:rPr>
        <w:t>中标厂商须承担与数字化校园平台集成相关费用，包含中标厂商系统自身开发费用及平台厂商对接集成费用，能够实现系统对接移动校园平台（微信企业号）。系统采用本地化部署，数据集成到新疆农业大学数据中心，系统及相关设备可以实现校园网进行传输。</w:t>
      </w:r>
    </w:p>
    <w:p w14:paraId="39268144">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以《新疆农业大学“十四五”校园信息化建设发展规划》为基本纲要，按照学校要求提供公共服务的接口设计，提供完整使用文档，并配合学校完成与智慧校园基础平台及各应用系统集成。须提供完整的表结构，在服务期内，免费提供全数据接口。需与学校已有的平台及业务的无缝对接，主要从应用集成、数据集成、服务集成进行要求。</w:t>
      </w:r>
    </w:p>
    <w:p w14:paraId="1C6B322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（一）应用集成</w:t>
      </w:r>
    </w:p>
    <w:p w14:paraId="5FB6021E">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1、信息门户集成</w:t>
      </w:r>
    </w:p>
    <w:p w14:paraId="1990F99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在校方信息门户平台中，增加供应商系统入口，通过单点登录地址即可登录供应商业务系统。</w:t>
      </w:r>
    </w:p>
    <w:p w14:paraId="70B77A7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2、移动门户集成</w:t>
      </w:r>
    </w:p>
    <w:p w14:paraId="627FAEA7">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供应商业务系统须与校方现有移动门户进行应用集成。系统必须提供H5移动客户端集成服务，包含但不限于APP（IOS、Android）、微信企业号。务系统中功能独立的模块和服务（包含服务端和管理端），需支持拆分成微服务，可以独立上架到信息门户或移动门户中，在门户中点击后可直接访问，无需从该系统首页进入。</w:t>
      </w:r>
    </w:p>
    <w:p w14:paraId="58FD0F7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（二）数据集成</w:t>
      </w:r>
    </w:p>
    <w:p w14:paraId="4DF5A3E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1、数据标准</w:t>
      </w:r>
    </w:p>
    <w:p w14:paraId="618A747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严格遵循教育部2012年最新发布的《教育管理信息化标准》和《高等学校管理信息标准》等信息标准，参照《新疆农业大学信息标准规范》及《新疆农业大学信息标准代码》等文件，统一并完善涉及业务信息部分的数据信息标准的接入与下发，达到数据建模、信息采集、加工处理、数据交换过程中的规范化。提供数据库设计说明文档、完整的数据库字典（表结构、视图、表之间关联关系等）。</w:t>
      </w:r>
    </w:p>
    <w:p w14:paraId="09D09D21">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bookmarkStart w:id="206" w:name="_Toc167863206"/>
      <w:bookmarkStart w:id="207" w:name="_Toc177875765"/>
      <w:bookmarkStart w:id="208" w:name="_Toc263769411"/>
      <w:bookmarkStart w:id="209" w:name="_Toc178064736"/>
      <w:bookmarkStart w:id="210" w:name="_Toc178064734"/>
      <w:bookmarkStart w:id="211" w:name="_Toc167863204"/>
      <w:bookmarkStart w:id="212" w:name="_Toc177875763"/>
      <w:r>
        <w:rPr>
          <w:rFonts w:hint="eastAsia" w:ascii="方正仿宋_GB2312" w:hAnsi="方正仿宋_GB2312" w:eastAsia="方正仿宋_GB2312" w:cs="方正仿宋_GB2312"/>
          <w:color w:val="auto"/>
          <w:kern w:val="0"/>
          <w:sz w:val="21"/>
          <w:szCs w:val="21"/>
          <w:lang w:val="en-US" w:eastAsia="zh-CN" w:bidi="ar"/>
        </w:rPr>
        <w:t>2、数据集成</w:t>
      </w:r>
      <w:bookmarkEnd w:id="206"/>
      <w:bookmarkEnd w:id="207"/>
      <w:bookmarkEnd w:id="208"/>
      <w:bookmarkEnd w:id="209"/>
    </w:p>
    <w:p w14:paraId="2B74707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（1）供应商业务系统采集、传输、使用、存储的数据均为校方资产。须实现与学校数据中心对接，同步复制全部业务数据至学校数据中心，为学校数据分析应用提供基础数据。</w:t>
      </w:r>
    </w:p>
    <w:p w14:paraId="2BE6602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（2）供应商须提供系统完整数据表结构、数据字典说明文档，项目实施及售后服务期间，须需免费配合校方进行数据集成并提供技术支持。</w:t>
      </w:r>
    </w:p>
    <w:p w14:paraId="3E7E7ECF">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（3）支持以视图、推送中间库、webservice等多种形式提供数据共享及交换</w:t>
      </w:r>
      <w:bookmarkStart w:id="213" w:name="_Toc178064740"/>
      <w:bookmarkStart w:id="214" w:name="_Toc167863210"/>
      <w:bookmarkStart w:id="215" w:name="_Toc177875769"/>
      <w:r>
        <w:rPr>
          <w:rFonts w:hint="eastAsia" w:ascii="方正仿宋_GB2312" w:hAnsi="方正仿宋_GB2312" w:eastAsia="方正仿宋_GB2312" w:cs="方正仿宋_GB2312"/>
          <w:color w:val="auto"/>
          <w:kern w:val="0"/>
          <w:sz w:val="21"/>
          <w:szCs w:val="21"/>
          <w:lang w:val="en-US" w:eastAsia="zh-CN" w:bidi="ar"/>
        </w:rPr>
        <w:t>，并提供完整使用文档。</w:t>
      </w:r>
      <w:bookmarkEnd w:id="210"/>
      <w:bookmarkEnd w:id="211"/>
      <w:bookmarkEnd w:id="212"/>
      <w:bookmarkEnd w:id="213"/>
      <w:bookmarkEnd w:id="214"/>
      <w:bookmarkEnd w:id="215"/>
    </w:p>
    <w:p w14:paraId="44A2A1CA">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 xml:space="preserve">（5）提供API接口及接口管理授权功能，供第三方对接或调用。数据集成接口支持包括JMS Topic、JMS Queue、Web Service、Tabled-Txt文件、XML文件等，支持操作系统的网络协议，包括FTP。  </w:t>
      </w:r>
    </w:p>
    <w:p w14:paraId="0E1C8029">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三、系统管理要求</w:t>
      </w:r>
    </w:p>
    <w:p w14:paraId="7CF63209">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（一）信创要求（国产化如OS、算法、中间件）</w:t>
      </w:r>
    </w:p>
    <w:p w14:paraId="3570F629">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为了确保系统及平台的稳定性和安全性，本项目要求系统采用国产化的操作系统、算法和中间件，以确保系统的可靠性和安全性。具体要求如下:</w:t>
      </w:r>
    </w:p>
    <w:p w14:paraId="3FAC4FF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1、操作系统</w:t>
      </w:r>
    </w:p>
    <w:p w14:paraId="016ED87F">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系统应采用国产化的操作系统，如银河麒麟、中标麒麟、红旗Linux、统信UOS等，以确保系统的稳定性和安全性。</w:t>
      </w:r>
    </w:p>
    <w:p w14:paraId="76DDEE9B">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2、算法</w:t>
      </w:r>
    </w:p>
    <w:p w14:paraId="0B911269">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系统应采用国产化的加密算法，以确保系统的高效性和准确性。</w:t>
      </w:r>
    </w:p>
    <w:p w14:paraId="246C296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3、中间件</w:t>
      </w:r>
    </w:p>
    <w:p w14:paraId="41B5E54C">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系统应采用国产化的中间件，如东方通、普元信息、宝兰德、中创中间件、金蝶天燕等，以确保系统的可扩展性和高并发性。</w:t>
      </w:r>
    </w:p>
    <w:p w14:paraId="5623B5DD">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4、数据库</w:t>
      </w:r>
    </w:p>
    <w:p w14:paraId="55ED1E79">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系统应采用国产化的数据库，如达梦、人大金仓等。</w:t>
      </w:r>
    </w:p>
    <w:p w14:paraId="552472D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（二）界面风格要求</w:t>
      </w:r>
    </w:p>
    <w:p w14:paraId="777737BA">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 xml:space="preserve">操作流程清晰简洁，用户界面风格统一美观大方，整体色调应与新疆农业大学主页保持一致，如主色、辅助色等。图标等UI设计风格应与移动门户（“智慧新农大”企业微信）和服务大厅保持一致。打开菜单窗口并行排列，给用户提供良好的操作体验。可自定义表单字段显示的位置及顺序，避免出现预留信息点过多，导致数据显示不直观的情况。  </w:t>
      </w:r>
    </w:p>
    <w:p w14:paraId="63C3128D">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（三）可靠性、稳定性</w:t>
      </w:r>
    </w:p>
    <w:p w14:paraId="6275CA2B">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具有良好的运行保障体系，提供完善的存储、备份手段，提供故障恢复手段，确保系统的稳定性，应用系统生产的数据、数据库数据，必须定期备份，备份周期不得小于7天，重要数据必须每天备份。中标厂商须提供操作系统、数据库等正版软件授权。</w:t>
      </w:r>
    </w:p>
    <w:p w14:paraId="6F8F1482">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（四）安全性、保密性：</w:t>
      </w:r>
    </w:p>
    <w:p w14:paraId="6FD18B9C">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设计时必须考虑整体的安全性，从数据访问操作、用户认证、数据加密等多个方面进行安全性设计，提高系统的安全性。系统应分别针对不同的应用和不同的环境，采取不同的措施，包括系统安全机制、数据存取权限控制和数据存储加密机制。</w:t>
      </w:r>
    </w:p>
    <w:p w14:paraId="58592DB0">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可以设置三级网络架构，即可以实现负责人、操作人、一般用户的权限分配。设备管理系统仍留在校园网甚至局域网内对外仅对特定服务器开放单一端口，加密签名校验确保来源可靠且数据保真，加密密钥本地保存，不在网络传递。</w:t>
      </w:r>
    </w:p>
    <w:p w14:paraId="73DC0AC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（1）遵守《中华人民共和国网络安全法》《中华人民共和国数据安全法》《中华人民共和国保守国家秘密法》《中华人民共和国个人信息保护法相关规定，满足国家相关法律法规的要求。</w:t>
      </w:r>
    </w:p>
    <w:p w14:paraId="38C590F7">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（2）符合信息系统等级保护要求，符合信息系统风险评估要求。</w:t>
      </w:r>
    </w:p>
    <w:p w14:paraId="55EE0944">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（3）重要或敏感信息须加密存储，且采用加密方式进行传输，不得以明文形式存储及在网络中传输。</w:t>
      </w:r>
    </w:p>
    <w:p w14:paraId="1F3D7745">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（4）需使用加密锁对软件进行保护的，必须采用电子加密锁，不得使用硬件加密锁。</w:t>
      </w:r>
    </w:p>
    <w:p w14:paraId="57A1459F">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（5）应用系统安全由软件开发方负责，必须及时进行漏洞检测和修补。</w:t>
      </w:r>
    </w:p>
    <w:p w14:paraId="2F999B6C">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（6）应用系统数据由校方所有，未经学校允许，软件提供方不得获取、传播任何数据。</w:t>
      </w:r>
    </w:p>
    <w:p w14:paraId="3BF51878">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（五）可管理性</w:t>
      </w:r>
    </w:p>
    <w:p w14:paraId="4DCAD9D7">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系统的设计必须符合学校实际业务处理流程，有很好的可管理性，业务流程清晰，权限划分合理，提供便捷的搜索功能、工作流控制功能、查询统计功能，满足用户业务的功能需求，能够支撑用户部门完成相应业务工作。</w:t>
      </w:r>
    </w:p>
    <w:p w14:paraId="4EA39AAC">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（六）敏感数据追踪</w:t>
      </w:r>
    </w:p>
    <w:p w14:paraId="1B34BFE3">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能清晰记录系统日志，需做到内部敏感数据的详细操作等可见、可查询、可追踪，日志存储时间不得小于90天。</w:t>
      </w:r>
    </w:p>
    <w:p w14:paraId="41FE8354">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（七）网络要求</w:t>
      </w:r>
    </w:p>
    <w:p w14:paraId="6487A819">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应用系统必须能够基于IPv6环境提供相同服务。</w:t>
      </w:r>
    </w:p>
    <w:p w14:paraId="31B83A72">
      <w:pPr>
        <w:keepNext w:val="0"/>
        <w:keepLines w:val="0"/>
        <w:widowControl w:val="0"/>
        <w:suppressLineNumbers w:val="0"/>
        <w:autoSpaceDE w:val="0"/>
        <w:autoSpaceDN/>
        <w:spacing w:before="0" w:beforeAutospacing="0" w:after="0" w:afterAutospacing="0" w:line="400" w:lineRule="exact"/>
        <w:ind w:left="0" w:right="0" w:firstLine="420" w:firstLineChars="200"/>
        <w:jc w:val="both"/>
        <w:rPr>
          <w:rFonts w:hint="eastAsia" w:ascii="方正仿宋_GB2312" w:hAnsi="方正仿宋_GB2312" w:eastAsia="方正仿宋_GB2312" w:cs="方正仿宋_GB2312"/>
          <w:color w:val="auto"/>
          <w:kern w:val="0"/>
          <w:sz w:val="21"/>
          <w:szCs w:val="21"/>
          <w:lang w:val="en-US" w:eastAsia="zh-CN" w:bidi="ar"/>
        </w:rPr>
      </w:pPr>
      <w:r>
        <w:rPr>
          <w:rFonts w:hint="eastAsia" w:ascii="方正仿宋_GB2312" w:hAnsi="方正仿宋_GB2312" w:eastAsia="方正仿宋_GB2312" w:cs="方正仿宋_GB2312"/>
          <w:color w:val="auto"/>
          <w:kern w:val="0"/>
          <w:sz w:val="21"/>
          <w:szCs w:val="21"/>
          <w:lang w:val="en-US" w:eastAsia="zh-CN" w:bidi="ar"/>
        </w:rPr>
        <w:t>上述标准应是最新且已实施的版本。投标人使用上述以外的标准和规范时应清楚地说明并提交用于替代的标准或规范，其中明显的差异点必须说明;当推荐的标准和规范等效于或优于技术要求时，才可能为招标人接受。</w:t>
      </w:r>
      <w:bookmarkStart w:id="216" w:name="_Toc15082"/>
      <w:bookmarkStart w:id="217" w:name="_Toc4510"/>
      <w:bookmarkStart w:id="218" w:name="_Toc17884_WPSOffice_Level1"/>
    </w:p>
    <w:p w14:paraId="0704989E">
      <w:pPr>
        <w:keepNext w:val="0"/>
        <w:keepLines w:val="0"/>
        <w:widowControl w:val="0"/>
        <w:suppressLineNumbers w:val="0"/>
        <w:autoSpaceDE w:val="0"/>
        <w:autoSpaceDN/>
        <w:spacing w:before="0" w:beforeAutospacing="0" w:after="0" w:afterAutospacing="0" w:line="400" w:lineRule="exact"/>
        <w:ind w:left="0" w:right="0" w:firstLine="422" w:firstLineChars="200"/>
        <w:jc w:val="both"/>
        <w:rPr>
          <w:rFonts w:hint="eastAsia" w:ascii="方正仿宋_GB2312" w:hAnsi="方正仿宋_GB2312" w:eastAsia="方正仿宋_GB2312" w:cs="方正仿宋_GB2312"/>
          <w:b/>
          <w:bCs/>
          <w:color w:val="auto"/>
          <w:kern w:val="0"/>
          <w:sz w:val="21"/>
          <w:szCs w:val="21"/>
          <w:lang w:val="en-US" w:eastAsia="zh-CN" w:bidi="ar"/>
        </w:rPr>
      </w:pPr>
      <w:r>
        <w:rPr>
          <w:rFonts w:hint="eastAsia" w:ascii="方正仿宋_GB2312" w:hAnsi="方正仿宋_GB2312" w:eastAsia="方正仿宋_GB2312" w:cs="方正仿宋_GB2312"/>
          <w:b/>
          <w:bCs/>
          <w:color w:val="auto"/>
          <w:kern w:val="0"/>
          <w:sz w:val="21"/>
          <w:szCs w:val="21"/>
          <w:lang w:val="en-US" w:eastAsia="zh-CN" w:bidi="ar"/>
        </w:rPr>
        <w:t>注：1、以上技术要求中引用的标准、规范如有对应标准、规范发布更新版本，按最新生效版本执行。</w:t>
      </w:r>
    </w:p>
    <w:p w14:paraId="31604A1D">
      <w:pPr>
        <w:keepNext w:val="0"/>
        <w:keepLines w:val="0"/>
        <w:widowControl w:val="0"/>
        <w:suppressLineNumbers w:val="0"/>
        <w:autoSpaceDE w:val="0"/>
        <w:autoSpaceDN/>
        <w:spacing w:before="0" w:beforeAutospacing="0" w:after="0" w:afterAutospacing="0" w:line="400" w:lineRule="exact"/>
        <w:ind w:left="0" w:right="0" w:firstLine="422" w:firstLineChars="200"/>
        <w:jc w:val="both"/>
        <w:rPr>
          <w:rFonts w:hint="eastAsia" w:ascii="仿宋" w:hAnsi="仿宋" w:eastAsia="仿宋" w:cs="仿宋"/>
          <w:highlight w:val="none"/>
        </w:rPr>
      </w:pPr>
      <w:r>
        <w:rPr>
          <w:rFonts w:hint="eastAsia" w:ascii="方正仿宋_GB2312" w:hAnsi="方正仿宋_GB2312" w:eastAsia="方正仿宋_GB2312" w:cs="方正仿宋_GB2312"/>
          <w:b/>
          <w:bCs/>
          <w:color w:val="auto"/>
          <w:kern w:val="0"/>
          <w:sz w:val="21"/>
          <w:szCs w:val="21"/>
          <w:lang w:val="en-US" w:eastAsia="zh-CN" w:bidi="ar"/>
        </w:rPr>
        <w:t>2、本项目所有技术参数均为基于实际使用需求制定的通用功能性、性能性指标，不指向任何特定品牌、型号、专利、商标、原产地或生产厂商，不具有排他性。投标人可根据自身投标方案，自行选用满足或优于本文件技术要求及商务要求的产品品牌与型号；投标时须明确标注所投产品的具体品牌、型号及对应技术参数，并对其响应性、合规性承担全部责任。</w:t>
      </w:r>
    </w:p>
    <w:p w14:paraId="08553C66">
      <w:pPr>
        <w:rPr>
          <w:rFonts w:hint="eastAsia" w:ascii="仿宋" w:hAnsi="仿宋" w:eastAsia="仿宋" w:cs="仿宋"/>
          <w:highlight w:val="none"/>
        </w:rPr>
      </w:pPr>
      <w:r>
        <w:rPr>
          <w:rFonts w:hint="eastAsia" w:ascii="仿宋" w:hAnsi="仿宋" w:eastAsia="仿宋" w:cs="仿宋"/>
          <w:highlight w:val="none"/>
        </w:rPr>
        <w:br w:type="page"/>
      </w:r>
    </w:p>
    <w:p w14:paraId="402993D2">
      <w:pPr>
        <w:pStyle w:val="3"/>
        <w:rPr>
          <w:rFonts w:ascii="仿宋" w:hAnsi="仿宋" w:eastAsia="仿宋" w:cs="仿宋"/>
          <w:highlight w:val="none"/>
        </w:rPr>
      </w:pPr>
      <w:r>
        <w:rPr>
          <w:rFonts w:hint="eastAsia" w:ascii="仿宋" w:hAnsi="仿宋" w:eastAsia="仿宋" w:cs="仿宋"/>
          <w:highlight w:val="none"/>
        </w:rPr>
        <w:t>第五章  评标办法</w:t>
      </w:r>
      <w:bookmarkEnd w:id="216"/>
      <w:bookmarkEnd w:id="217"/>
      <w:bookmarkEnd w:id="218"/>
      <w:bookmarkStart w:id="219" w:name="_Hlt101846155"/>
      <w:bookmarkEnd w:id="219"/>
      <w:bookmarkStart w:id="220" w:name="_Toc217446097"/>
      <w:bookmarkStart w:id="221" w:name="_Toc208849007"/>
      <w:bookmarkStart w:id="222" w:name="_Toc183682415"/>
      <w:bookmarkStart w:id="223" w:name="_Toc183582280"/>
    </w:p>
    <w:p w14:paraId="1831EE8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 总则</w:t>
      </w:r>
      <w:bookmarkEnd w:id="220"/>
      <w:bookmarkEnd w:id="221"/>
      <w:bookmarkEnd w:id="222"/>
      <w:bookmarkEnd w:id="223"/>
    </w:p>
    <w:p w14:paraId="2F2C71C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14:paraId="0A08146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1.2 </w:t>
      </w:r>
      <w:r>
        <w:rPr>
          <w:rFonts w:hint="eastAsia" w:ascii="仿宋" w:hAnsi="仿宋" w:eastAsia="仿宋" w:cs="仿宋"/>
          <w:bCs/>
          <w:sz w:val="24"/>
          <w:highlight w:val="none"/>
        </w:rPr>
        <w:t>评标工作由采购人负责组织，具体评标工作由采购人依法组建的评标委员会负责。评标委员会由采购人代表和有关技术、经济等方面的专家组成。</w:t>
      </w:r>
    </w:p>
    <w:p w14:paraId="3E5FDDF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1.3 评标工作应遵循公平、公正、科学及择优的原则。</w:t>
      </w:r>
    </w:p>
    <w:p w14:paraId="12B474B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 评标委员会按照招标文件规定的评标方法和标准进行评标，并独立履行下列职责：</w:t>
      </w:r>
    </w:p>
    <w:p w14:paraId="08193AB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（1）审查投标文件是否符合招标文件要求，并作出评价；</w:t>
      </w:r>
    </w:p>
    <w:p w14:paraId="6514201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（2）要求投标投标人对投标文件有关事项作出解释或者澄清；</w:t>
      </w:r>
    </w:p>
    <w:p w14:paraId="6531B55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（3）推荐中标候选投标人名单，或者受采购人委托按照事先确定的办法直接确定中标投标人；</w:t>
      </w:r>
    </w:p>
    <w:p w14:paraId="1DBCEC4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（4）向采购人或者有关部门报告非法干预评标工作的行为。</w:t>
      </w:r>
      <w:bookmarkStart w:id="224" w:name="_Toc217446098"/>
    </w:p>
    <w:p w14:paraId="0913E95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 评标过程严格保密。投标人对评标委员会的评标过程或合同授予决定施加影响的任何行为都可能导致其投标被拒绝。</w:t>
      </w:r>
    </w:p>
    <w:p w14:paraId="2C857D0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1.6评标委员会决定投标文件的响应性应依据投标文件本身的内容，而不寻求外部的证据。</w:t>
      </w:r>
    </w:p>
    <w:p w14:paraId="678BE5A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1.7评标委员会发现招标文件表述不明确或需要说明的事项，可提请采购人书面解释说明。发现招标文件违反法律、法规、规章和相关规定的，可以拒绝评标，并向采购人书面说明情况。</w:t>
      </w:r>
    </w:p>
    <w:p w14:paraId="53F1DC13">
      <w:pPr>
        <w:spacing w:line="360" w:lineRule="auto"/>
        <w:ind w:firstLine="482" w:firstLineChars="200"/>
        <w:rPr>
          <w:rFonts w:ascii="仿宋" w:hAnsi="仿宋" w:eastAsia="仿宋" w:cs="仿宋"/>
          <w:sz w:val="24"/>
          <w:highlight w:val="none"/>
        </w:rPr>
      </w:pPr>
      <w:r>
        <w:rPr>
          <w:rFonts w:hint="eastAsia" w:ascii="仿宋" w:hAnsi="仿宋" w:eastAsia="仿宋" w:cs="仿宋"/>
          <w:b/>
          <w:sz w:val="24"/>
          <w:highlight w:val="none"/>
        </w:rPr>
        <w:t>2</w:t>
      </w:r>
      <w:r>
        <w:rPr>
          <w:rFonts w:hint="eastAsia" w:ascii="仿宋" w:hAnsi="仿宋" w:eastAsia="仿宋" w:cs="仿宋"/>
          <w:sz w:val="24"/>
          <w:highlight w:val="none"/>
        </w:rPr>
        <w:t xml:space="preserve">. </w:t>
      </w:r>
      <w:r>
        <w:rPr>
          <w:rFonts w:hint="eastAsia" w:ascii="仿宋" w:hAnsi="仿宋" w:eastAsia="仿宋" w:cs="仿宋"/>
          <w:b/>
          <w:sz w:val="24"/>
          <w:highlight w:val="none"/>
        </w:rPr>
        <w:t>评标方法</w:t>
      </w:r>
    </w:p>
    <w:p w14:paraId="4D3C372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本项目评标方法为：综合评分法。</w:t>
      </w:r>
    </w:p>
    <w:p w14:paraId="03C97548">
      <w:pPr>
        <w:spacing w:line="360" w:lineRule="auto"/>
        <w:ind w:firstLine="482" w:firstLineChars="200"/>
        <w:rPr>
          <w:rFonts w:ascii="仿宋" w:hAnsi="仿宋" w:eastAsia="仿宋" w:cs="仿宋"/>
          <w:b/>
          <w:sz w:val="24"/>
          <w:highlight w:val="none"/>
        </w:rPr>
      </w:pPr>
      <w:r>
        <w:rPr>
          <w:rFonts w:hint="eastAsia" w:ascii="仿宋" w:hAnsi="仿宋" w:eastAsia="仿宋" w:cs="仿宋"/>
          <w:b/>
          <w:bCs/>
          <w:sz w:val="24"/>
          <w:highlight w:val="none"/>
        </w:rPr>
        <w:t>3</w:t>
      </w:r>
      <w:r>
        <w:rPr>
          <w:rFonts w:hint="eastAsia" w:ascii="仿宋" w:hAnsi="仿宋" w:eastAsia="仿宋" w:cs="仿宋"/>
          <w:sz w:val="24"/>
          <w:highlight w:val="none"/>
        </w:rPr>
        <w:t xml:space="preserve">. </w:t>
      </w:r>
      <w:r>
        <w:rPr>
          <w:rFonts w:hint="eastAsia" w:ascii="仿宋" w:hAnsi="仿宋" w:eastAsia="仿宋" w:cs="仿宋"/>
          <w:b/>
          <w:sz w:val="24"/>
          <w:highlight w:val="none"/>
        </w:rPr>
        <w:t>评标程序</w:t>
      </w:r>
      <w:bookmarkEnd w:id="224"/>
    </w:p>
    <w:p w14:paraId="6DA6364C">
      <w:pPr>
        <w:spacing w:line="360" w:lineRule="auto"/>
        <w:ind w:firstLine="480" w:firstLineChars="200"/>
        <w:rPr>
          <w:rFonts w:ascii="仿宋" w:hAnsi="仿宋" w:eastAsia="仿宋" w:cs="仿宋"/>
          <w:sz w:val="24"/>
          <w:highlight w:val="none"/>
        </w:rPr>
      </w:pPr>
      <w:bookmarkStart w:id="225" w:name="_Toc217446099"/>
      <w:r>
        <w:rPr>
          <w:rFonts w:hint="eastAsia" w:ascii="仿宋" w:hAnsi="仿宋" w:eastAsia="仿宋" w:cs="仿宋"/>
          <w:sz w:val="24"/>
          <w:highlight w:val="none"/>
        </w:rPr>
        <w:t>3.1资格审查</w:t>
      </w:r>
    </w:p>
    <w:p w14:paraId="2C1DB883">
      <w:pPr>
        <w:keepNext/>
        <w:keepLines/>
        <w:spacing w:line="360" w:lineRule="auto"/>
        <w:jc w:val="center"/>
        <w:rPr>
          <w:rFonts w:ascii="仿宋" w:hAnsi="仿宋" w:eastAsia="仿宋" w:cs="仿宋"/>
          <w:b/>
          <w:sz w:val="24"/>
          <w:highlight w:val="none"/>
        </w:rPr>
      </w:pPr>
      <w:r>
        <w:rPr>
          <w:rFonts w:hint="eastAsia" w:ascii="仿宋" w:hAnsi="仿宋" w:eastAsia="仿宋" w:cs="仿宋"/>
          <w:bCs/>
          <w:sz w:val="24"/>
          <w:highlight w:val="none"/>
        </w:rPr>
        <w:br w:type="page"/>
      </w:r>
      <w:r>
        <w:rPr>
          <w:rFonts w:hint="eastAsia" w:ascii="仿宋" w:hAnsi="仿宋" w:eastAsia="仿宋" w:cs="仿宋"/>
          <w:b/>
          <w:sz w:val="24"/>
          <w:highlight w:val="none"/>
        </w:rPr>
        <w:t>资格审查表</w:t>
      </w:r>
    </w:p>
    <w:tbl>
      <w:tblPr>
        <w:tblStyle w:val="31"/>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2707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1E6EA79E">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序号</w:t>
            </w:r>
          </w:p>
        </w:tc>
        <w:tc>
          <w:tcPr>
            <w:tcW w:w="6516" w:type="dxa"/>
            <w:vMerge w:val="restart"/>
            <w:vAlign w:val="center"/>
          </w:tcPr>
          <w:p w14:paraId="1EF4DBFB">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审   查   标   准</w:t>
            </w:r>
          </w:p>
        </w:tc>
        <w:tc>
          <w:tcPr>
            <w:tcW w:w="1295" w:type="dxa"/>
            <w:gridSpan w:val="2"/>
            <w:vAlign w:val="center"/>
          </w:tcPr>
          <w:p w14:paraId="0E90E04D">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审查结果</w:t>
            </w:r>
          </w:p>
        </w:tc>
      </w:tr>
      <w:tr w14:paraId="1546E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4D54EA42">
            <w:pPr>
              <w:pStyle w:val="52"/>
              <w:spacing w:line="360" w:lineRule="auto"/>
              <w:jc w:val="center"/>
              <w:textAlignment w:val="center"/>
              <w:rPr>
                <w:rFonts w:ascii="仿宋" w:hAnsi="仿宋" w:eastAsia="仿宋" w:cs="仿宋"/>
                <w:highlight w:val="none"/>
              </w:rPr>
            </w:pPr>
          </w:p>
        </w:tc>
        <w:tc>
          <w:tcPr>
            <w:tcW w:w="6516" w:type="dxa"/>
            <w:vMerge w:val="continue"/>
            <w:vAlign w:val="center"/>
          </w:tcPr>
          <w:p w14:paraId="5158EA2B">
            <w:pPr>
              <w:pStyle w:val="52"/>
              <w:spacing w:line="360" w:lineRule="auto"/>
              <w:jc w:val="center"/>
              <w:textAlignment w:val="center"/>
              <w:rPr>
                <w:rFonts w:ascii="仿宋" w:hAnsi="仿宋" w:eastAsia="仿宋" w:cs="仿宋"/>
                <w:highlight w:val="none"/>
              </w:rPr>
            </w:pPr>
          </w:p>
        </w:tc>
        <w:tc>
          <w:tcPr>
            <w:tcW w:w="622" w:type="dxa"/>
            <w:vAlign w:val="center"/>
          </w:tcPr>
          <w:p w14:paraId="50BBF938">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通过</w:t>
            </w:r>
          </w:p>
        </w:tc>
        <w:tc>
          <w:tcPr>
            <w:tcW w:w="673" w:type="dxa"/>
            <w:vAlign w:val="center"/>
          </w:tcPr>
          <w:p w14:paraId="1DE85758">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不通过</w:t>
            </w:r>
          </w:p>
        </w:tc>
      </w:tr>
      <w:tr w14:paraId="03DD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7DBD2053">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1</w:t>
            </w:r>
          </w:p>
        </w:tc>
        <w:tc>
          <w:tcPr>
            <w:tcW w:w="6516" w:type="dxa"/>
            <w:shd w:val="clear" w:color="auto" w:fill="auto"/>
            <w:vAlign w:val="center"/>
          </w:tcPr>
          <w:p w14:paraId="30FCCA4B">
            <w:pPr>
              <w:pStyle w:val="52"/>
              <w:spacing w:line="360" w:lineRule="auto"/>
              <w:textAlignment w:val="center"/>
              <w:rPr>
                <w:rFonts w:ascii="仿宋" w:hAnsi="仿宋" w:eastAsia="仿宋" w:cs="仿宋"/>
                <w:highlight w:val="none"/>
              </w:rPr>
            </w:pPr>
            <w:r>
              <w:rPr>
                <w:rFonts w:hint="eastAsia" w:ascii="仿宋" w:hAnsi="仿宋" w:eastAsia="仿宋" w:cs="仿宋"/>
                <w:highlight w:val="none"/>
              </w:rPr>
              <w:t>具有独立承担民事责任的能力；</w:t>
            </w:r>
          </w:p>
          <w:p w14:paraId="2ABE3370">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【供应商满足以下条件之一即可：</w:t>
            </w:r>
          </w:p>
          <w:p w14:paraId="4141BE44">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供应商为企业（包括合伙企业）的，应提供有效的“营业执照”；</w:t>
            </w:r>
          </w:p>
          <w:p w14:paraId="0C473BA2">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供应商为事业单位的，应提供有效的“事业单位法人证书”；</w:t>
            </w:r>
          </w:p>
          <w:p w14:paraId="6BD8EAD6">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供应商是非企业机构的，应提供有效的“执业许可证”、“登记证书”等证明文件；</w:t>
            </w:r>
          </w:p>
          <w:p w14:paraId="0E64F9CF">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供应商是个体工商户的，应提供有效的“个体工商户营业执照”；</w:t>
            </w:r>
          </w:p>
          <w:p w14:paraId="2850AE36">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供应商是自然人的，应提供有效的自然人身份证明。</w:t>
            </w:r>
          </w:p>
          <w:p w14:paraId="66B6807F">
            <w:pPr>
              <w:pStyle w:val="52"/>
              <w:spacing w:line="360" w:lineRule="auto"/>
              <w:textAlignment w:val="center"/>
              <w:rPr>
                <w:rFonts w:ascii="仿宋" w:hAnsi="仿宋" w:eastAsia="仿宋" w:cs="仿宋"/>
                <w:highlight w:val="none"/>
              </w:rPr>
            </w:pPr>
            <w:r>
              <w:rPr>
                <w:rFonts w:hint="eastAsia" w:ascii="仿宋" w:hAnsi="仿宋" w:eastAsia="仿宋" w:cs="仿宋"/>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6FEF424E">
            <w:pPr>
              <w:pStyle w:val="52"/>
              <w:spacing w:line="360" w:lineRule="auto"/>
              <w:jc w:val="center"/>
              <w:textAlignment w:val="center"/>
              <w:rPr>
                <w:rFonts w:ascii="仿宋" w:hAnsi="仿宋" w:eastAsia="仿宋" w:cs="仿宋"/>
                <w:highlight w:val="none"/>
              </w:rPr>
            </w:pPr>
          </w:p>
        </w:tc>
        <w:tc>
          <w:tcPr>
            <w:tcW w:w="673" w:type="dxa"/>
            <w:vAlign w:val="center"/>
          </w:tcPr>
          <w:p w14:paraId="32D93D81">
            <w:pPr>
              <w:pStyle w:val="52"/>
              <w:spacing w:line="360" w:lineRule="auto"/>
              <w:jc w:val="center"/>
              <w:textAlignment w:val="center"/>
              <w:rPr>
                <w:rFonts w:ascii="仿宋" w:hAnsi="仿宋" w:eastAsia="仿宋" w:cs="仿宋"/>
                <w:highlight w:val="none"/>
              </w:rPr>
            </w:pPr>
          </w:p>
        </w:tc>
      </w:tr>
      <w:tr w14:paraId="6E28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2EFD9B43">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2</w:t>
            </w:r>
          </w:p>
        </w:tc>
        <w:tc>
          <w:tcPr>
            <w:tcW w:w="6516" w:type="dxa"/>
            <w:shd w:val="clear" w:color="auto" w:fill="auto"/>
            <w:vAlign w:val="center"/>
          </w:tcPr>
          <w:p w14:paraId="277DC311">
            <w:pPr>
              <w:widowControl/>
              <w:spacing w:line="360" w:lineRule="auto"/>
              <w:rPr>
                <w:rFonts w:ascii="仿宋" w:hAnsi="仿宋" w:eastAsia="仿宋" w:cs="仿宋"/>
                <w:sz w:val="24"/>
                <w:highlight w:val="none"/>
              </w:rPr>
            </w:pPr>
            <w:r>
              <w:rPr>
                <w:rFonts w:hint="eastAsia" w:ascii="仿宋" w:hAnsi="仿宋" w:eastAsia="仿宋" w:cs="仿宋"/>
                <w:sz w:val="24"/>
                <w:highlight w:val="none"/>
              </w:rPr>
              <w:t>具有良好的商业信誉和健全的财务会计制度；</w:t>
            </w:r>
          </w:p>
          <w:p w14:paraId="7CE28806">
            <w:pPr>
              <w:pStyle w:val="52"/>
              <w:spacing w:line="360" w:lineRule="auto"/>
              <w:ind w:left="105" w:leftChars="50" w:right="105" w:rightChars="50"/>
              <w:textAlignment w:val="center"/>
              <w:rPr>
                <w:rFonts w:ascii="仿宋" w:hAnsi="仿宋" w:eastAsia="仿宋" w:cs="仿宋"/>
                <w:highlight w:val="none"/>
              </w:rPr>
            </w:pPr>
            <w:r>
              <w:rPr>
                <w:rFonts w:hint="eastAsia" w:ascii="仿宋" w:hAnsi="仿宋" w:eastAsia="仿宋" w:cs="仿宋"/>
                <w:highlight w:val="none"/>
              </w:rPr>
              <w:t>【（1）以开标截止时间点投标人未列入“信用中国”&lt;www.creditchina.gov.cn&gt;网站的“失信被执行人”和“重大税收违法失信主体”及“中国政府采购网”&lt;www.ccgp.gov.cn&gt;网站的“政府采购严重违法失信行为记录名单”，</w:t>
            </w:r>
            <w:r>
              <w:rPr>
                <w:rFonts w:hint="eastAsia" w:ascii="仿宋" w:hAnsi="仿宋" w:eastAsia="仿宋" w:cs="仿宋"/>
                <w:kern w:val="0"/>
                <w:sz w:val="24"/>
                <w:highlight w:val="none"/>
              </w:rPr>
              <w:t>投标人提供网址查询截图，如未提供</w:t>
            </w:r>
            <w:r>
              <w:rPr>
                <w:rFonts w:hint="eastAsia" w:ascii="仿宋" w:hAnsi="仿宋" w:eastAsia="仿宋" w:cs="仿宋"/>
                <w:highlight w:val="none"/>
                <w:lang w:val="en-US" w:eastAsia="zh-CN"/>
              </w:rPr>
              <w:t>，</w:t>
            </w:r>
            <w:r>
              <w:rPr>
                <w:rFonts w:hint="eastAsia" w:ascii="仿宋" w:hAnsi="仿宋" w:eastAsia="仿宋" w:cs="仿宋"/>
                <w:highlight w:val="none"/>
              </w:rPr>
              <w:t>开标截止时间后，由采购代理公司统一登陆网站查询上传投标文件的投标人信誉情况，并以保存的网页查询截图为准；</w:t>
            </w:r>
          </w:p>
          <w:p w14:paraId="136D5B69">
            <w:pPr>
              <w:pStyle w:val="52"/>
              <w:spacing w:line="360" w:lineRule="auto"/>
              <w:ind w:left="105" w:leftChars="50" w:right="105" w:rightChars="50"/>
              <w:textAlignment w:val="center"/>
              <w:rPr>
                <w:rFonts w:hint="eastAsia" w:ascii="仿宋" w:hAnsi="仿宋" w:eastAsia="仿宋" w:cs="仿宋"/>
                <w:highlight w:val="none"/>
                <w:lang w:eastAsia="zh-CN"/>
              </w:rPr>
            </w:pPr>
            <w:r>
              <w:rPr>
                <w:rFonts w:hint="eastAsia" w:ascii="仿宋" w:hAnsi="仿宋" w:eastAsia="仿宋" w:cs="仿宋"/>
                <w:highlight w:val="none"/>
              </w:rPr>
              <w:t>（2）银行出具的近1年内资信证明或2025年度经审计</w:t>
            </w:r>
            <w:r>
              <w:rPr>
                <w:rFonts w:hint="eastAsia" w:ascii="仿宋" w:hAnsi="仿宋" w:eastAsia="仿宋" w:cs="仿宋"/>
                <w:highlight w:val="none"/>
                <w:lang w:val="en-US" w:eastAsia="zh-CN"/>
              </w:rPr>
              <w:t>并赋码</w:t>
            </w:r>
            <w:r>
              <w:rPr>
                <w:rFonts w:hint="eastAsia" w:ascii="仿宋" w:hAnsi="仿宋" w:eastAsia="仿宋" w:cs="仿宋"/>
                <w:highlight w:val="none"/>
              </w:rPr>
              <w:t>的财务报告，新成立企业无需提供。</w:t>
            </w:r>
          </w:p>
          <w:p w14:paraId="77644C55">
            <w:pPr>
              <w:widowControl/>
              <w:spacing w:line="360" w:lineRule="auto"/>
              <w:rPr>
                <w:rFonts w:ascii="仿宋" w:hAnsi="仿宋" w:eastAsia="仿宋" w:cs="仿宋"/>
                <w:sz w:val="24"/>
                <w:highlight w:val="none"/>
              </w:rPr>
            </w:pPr>
            <w:r>
              <w:rPr>
                <w:rFonts w:hint="eastAsia" w:ascii="仿宋" w:hAnsi="仿宋" w:eastAsia="仿宋" w:cs="仿宋"/>
                <w:sz w:val="24"/>
                <w:highlight w:val="none"/>
              </w:rPr>
              <w:t>新成立企业是指：营业执照申领时间至今未满一年的企业，新成立企业仅需提供近3个月内任意1个月银行出具的资信证明即可】。</w:t>
            </w:r>
          </w:p>
        </w:tc>
        <w:tc>
          <w:tcPr>
            <w:tcW w:w="622" w:type="dxa"/>
            <w:vAlign w:val="center"/>
          </w:tcPr>
          <w:p w14:paraId="281F2199">
            <w:pPr>
              <w:pStyle w:val="52"/>
              <w:spacing w:line="360" w:lineRule="auto"/>
              <w:jc w:val="center"/>
              <w:textAlignment w:val="center"/>
              <w:rPr>
                <w:rFonts w:ascii="仿宋" w:hAnsi="仿宋" w:eastAsia="仿宋" w:cs="仿宋"/>
                <w:highlight w:val="none"/>
              </w:rPr>
            </w:pPr>
          </w:p>
        </w:tc>
        <w:tc>
          <w:tcPr>
            <w:tcW w:w="673" w:type="dxa"/>
            <w:vAlign w:val="center"/>
          </w:tcPr>
          <w:p w14:paraId="4D5983E3">
            <w:pPr>
              <w:pStyle w:val="52"/>
              <w:spacing w:line="360" w:lineRule="auto"/>
              <w:jc w:val="center"/>
              <w:textAlignment w:val="center"/>
              <w:rPr>
                <w:rFonts w:ascii="仿宋" w:hAnsi="仿宋" w:eastAsia="仿宋" w:cs="仿宋"/>
                <w:highlight w:val="none"/>
              </w:rPr>
            </w:pPr>
          </w:p>
        </w:tc>
      </w:tr>
      <w:tr w14:paraId="736AE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2D0C848B">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3</w:t>
            </w:r>
          </w:p>
        </w:tc>
        <w:tc>
          <w:tcPr>
            <w:tcW w:w="6516" w:type="dxa"/>
            <w:shd w:val="clear" w:color="auto" w:fill="auto"/>
            <w:vAlign w:val="center"/>
          </w:tcPr>
          <w:p w14:paraId="11A0E635">
            <w:pPr>
              <w:widowControl/>
              <w:spacing w:line="360" w:lineRule="auto"/>
              <w:rPr>
                <w:rFonts w:ascii="仿宋" w:hAnsi="仿宋" w:eastAsia="仿宋" w:cs="仿宋"/>
                <w:sz w:val="24"/>
                <w:highlight w:val="none"/>
              </w:rPr>
            </w:pPr>
            <w:r>
              <w:rPr>
                <w:rFonts w:hint="eastAsia" w:ascii="仿宋" w:hAnsi="仿宋" w:eastAsia="仿宋" w:cs="仿宋"/>
                <w:sz w:val="24"/>
                <w:highlight w:val="none"/>
              </w:rPr>
              <w:t>具有履行合同所必需的设备和专业技术能力；</w:t>
            </w:r>
          </w:p>
          <w:p w14:paraId="029E9BDD">
            <w:pPr>
              <w:widowControl/>
              <w:spacing w:line="360" w:lineRule="auto"/>
              <w:rPr>
                <w:rFonts w:ascii="仿宋" w:hAnsi="仿宋" w:eastAsia="仿宋" w:cs="仿宋"/>
                <w:sz w:val="24"/>
                <w:highlight w:val="none"/>
              </w:rPr>
            </w:pPr>
            <w:r>
              <w:rPr>
                <w:rFonts w:hint="eastAsia" w:ascii="仿宋" w:hAnsi="仿宋" w:eastAsia="仿宋" w:cs="仿宋"/>
                <w:sz w:val="24"/>
                <w:highlight w:val="none"/>
              </w:rPr>
              <w:t>【须提供：①相关设备或设施的购置发票或单据（任一）或提供承诺函；②</w:t>
            </w:r>
            <w:r>
              <w:rPr>
                <w:rFonts w:hint="eastAsia" w:ascii="仿宋" w:hAnsi="仿宋" w:eastAsia="仿宋" w:cs="仿宋"/>
                <w:spacing w:val="-2"/>
                <w:sz w:val="24"/>
                <w:highlight w:val="none"/>
              </w:rPr>
              <w:t>提供具有履行合同所必需的专业技术能力相关证明材料或声明</w:t>
            </w:r>
            <w:r>
              <w:rPr>
                <w:rFonts w:hint="eastAsia" w:ascii="仿宋" w:hAnsi="仿宋" w:eastAsia="仿宋" w:cs="仿宋"/>
                <w:sz w:val="24"/>
                <w:highlight w:val="none"/>
              </w:rPr>
              <w:t>】。</w:t>
            </w:r>
          </w:p>
        </w:tc>
        <w:tc>
          <w:tcPr>
            <w:tcW w:w="622" w:type="dxa"/>
            <w:vAlign w:val="center"/>
          </w:tcPr>
          <w:p w14:paraId="415B4845">
            <w:pPr>
              <w:pStyle w:val="52"/>
              <w:spacing w:line="360" w:lineRule="auto"/>
              <w:jc w:val="center"/>
              <w:textAlignment w:val="center"/>
              <w:rPr>
                <w:rFonts w:ascii="仿宋" w:hAnsi="仿宋" w:eastAsia="仿宋" w:cs="仿宋"/>
                <w:highlight w:val="none"/>
              </w:rPr>
            </w:pPr>
          </w:p>
        </w:tc>
        <w:tc>
          <w:tcPr>
            <w:tcW w:w="673" w:type="dxa"/>
            <w:vAlign w:val="center"/>
          </w:tcPr>
          <w:p w14:paraId="4B911E8B">
            <w:pPr>
              <w:pStyle w:val="52"/>
              <w:spacing w:line="360" w:lineRule="auto"/>
              <w:jc w:val="center"/>
              <w:textAlignment w:val="center"/>
              <w:rPr>
                <w:rFonts w:ascii="仿宋" w:hAnsi="仿宋" w:eastAsia="仿宋" w:cs="仿宋"/>
                <w:highlight w:val="none"/>
              </w:rPr>
            </w:pPr>
          </w:p>
        </w:tc>
      </w:tr>
      <w:tr w14:paraId="335BB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4D90B2B5">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4</w:t>
            </w:r>
          </w:p>
        </w:tc>
        <w:tc>
          <w:tcPr>
            <w:tcW w:w="6516" w:type="dxa"/>
            <w:shd w:val="clear" w:color="auto" w:fill="auto"/>
            <w:vAlign w:val="center"/>
          </w:tcPr>
          <w:p w14:paraId="5DFD36DE">
            <w:pPr>
              <w:pStyle w:val="11"/>
              <w:widowControl/>
              <w:spacing w:line="360" w:lineRule="auto"/>
              <w:rPr>
                <w:rFonts w:ascii="仿宋" w:hAnsi="仿宋" w:eastAsia="仿宋" w:cs="仿宋"/>
                <w:sz w:val="24"/>
                <w:highlight w:val="none"/>
              </w:rPr>
            </w:pPr>
            <w:r>
              <w:rPr>
                <w:rFonts w:hint="eastAsia" w:ascii="仿宋" w:hAnsi="仿宋" w:eastAsia="仿宋" w:cs="仿宋"/>
                <w:sz w:val="24"/>
                <w:highlight w:val="none"/>
              </w:rPr>
              <w:t>有依法缴纳税收和社会保障资金的良好记录；</w:t>
            </w:r>
          </w:p>
          <w:p w14:paraId="2C73DB55">
            <w:pPr>
              <w:pStyle w:val="11"/>
              <w:widowControl/>
              <w:spacing w:line="360" w:lineRule="auto"/>
              <w:rPr>
                <w:rFonts w:ascii="仿宋" w:hAnsi="仿宋" w:eastAsia="仿宋" w:cs="仿宋"/>
                <w:sz w:val="24"/>
                <w:highlight w:val="none"/>
              </w:rPr>
            </w:pPr>
            <w:r>
              <w:rPr>
                <w:rFonts w:hint="eastAsia" w:ascii="仿宋" w:hAnsi="仿宋" w:eastAsia="仿宋" w:cs="仿宋"/>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63AFC776">
            <w:pPr>
              <w:pStyle w:val="52"/>
              <w:spacing w:line="360" w:lineRule="auto"/>
              <w:jc w:val="center"/>
              <w:textAlignment w:val="center"/>
              <w:rPr>
                <w:rFonts w:ascii="仿宋" w:hAnsi="仿宋" w:eastAsia="仿宋" w:cs="仿宋"/>
                <w:highlight w:val="none"/>
              </w:rPr>
            </w:pPr>
          </w:p>
        </w:tc>
        <w:tc>
          <w:tcPr>
            <w:tcW w:w="673" w:type="dxa"/>
            <w:vAlign w:val="center"/>
          </w:tcPr>
          <w:p w14:paraId="22CE1DA4">
            <w:pPr>
              <w:pStyle w:val="52"/>
              <w:spacing w:line="360" w:lineRule="auto"/>
              <w:jc w:val="center"/>
              <w:textAlignment w:val="center"/>
              <w:rPr>
                <w:rFonts w:ascii="仿宋" w:hAnsi="仿宋" w:eastAsia="仿宋" w:cs="仿宋"/>
                <w:highlight w:val="none"/>
              </w:rPr>
            </w:pPr>
          </w:p>
        </w:tc>
      </w:tr>
      <w:tr w14:paraId="4E54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700059E2">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5</w:t>
            </w:r>
          </w:p>
        </w:tc>
        <w:tc>
          <w:tcPr>
            <w:tcW w:w="6516" w:type="dxa"/>
            <w:shd w:val="clear" w:color="auto" w:fill="auto"/>
            <w:vAlign w:val="center"/>
          </w:tcPr>
          <w:p w14:paraId="3308221D">
            <w:pPr>
              <w:widowControl/>
              <w:spacing w:line="360" w:lineRule="auto"/>
              <w:rPr>
                <w:rFonts w:ascii="仿宋" w:hAnsi="仿宋" w:eastAsia="仿宋" w:cs="仿宋"/>
                <w:sz w:val="24"/>
                <w:highlight w:val="none"/>
              </w:rPr>
            </w:pPr>
            <w:r>
              <w:rPr>
                <w:rFonts w:hint="eastAsia" w:ascii="仿宋" w:hAnsi="仿宋" w:eastAsia="仿宋" w:cs="仿宋"/>
                <w:sz w:val="24"/>
                <w:highlight w:val="none"/>
              </w:rPr>
              <w:t>参加本次政府采购活动前三年内，在经营活动中没有重大违法记录；</w:t>
            </w:r>
          </w:p>
          <w:p w14:paraId="796BAE8B">
            <w:pPr>
              <w:widowControl/>
              <w:spacing w:line="360" w:lineRule="auto"/>
              <w:rPr>
                <w:rFonts w:ascii="仿宋" w:hAnsi="仿宋" w:eastAsia="仿宋" w:cs="仿宋"/>
                <w:sz w:val="24"/>
                <w:highlight w:val="none"/>
              </w:rPr>
            </w:pPr>
            <w:r>
              <w:rPr>
                <w:rFonts w:hint="eastAsia" w:ascii="仿宋" w:hAnsi="仿宋" w:eastAsia="仿宋" w:cs="仿宋"/>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14:paraId="43C1091B">
            <w:pPr>
              <w:pStyle w:val="52"/>
              <w:spacing w:line="360" w:lineRule="auto"/>
              <w:jc w:val="center"/>
              <w:textAlignment w:val="center"/>
              <w:rPr>
                <w:rFonts w:ascii="仿宋" w:hAnsi="仿宋" w:eastAsia="仿宋" w:cs="仿宋"/>
                <w:highlight w:val="none"/>
              </w:rPr>
            </w:pPr>
          </w:p>
        </w:tc>
        <w:tc>
          <w:tcPr>
            <w:tcW w:w="673" w:type="dxa"/>
            <w:vAlign w:val="center"/>
          </w:tcPr>
          <w:p w14:paraId="4E222853">
            <w:pPr>
              <w:pStyle w:val="52"/>
              <w:spacing w:line="360" w:lineRule="auto"/>
              <w:jc w:val="center"/>
              <w:textAlignment w:val="center"/>
              <w:rPr>
                <w:rFonts w:ascii="仿宋" w:hAnsi="仿宋" w:eastAsia="仿宋" w:cs="仿宋"/>
                <w:highlight w:val="none"/>
              </w:rPr>
            </w:pPr>
          </w:p>
        </w:tc>
      </w:tr>
      <w:tr w14:paraId="3B35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EFBDA82">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6</w:t>
            </w:r>
          </w:p>
        </w:tc>
        <w:tc>
          <w:tcPr>
            <w:tcW w:w="6516" w:type="dxa"/>
            <w:shd w:val="clear" w:color="auto" w:fill="auto"/>
            <w:vAlign w:val="center"/>
          </w:tcPr>
          <w:p w14:paraId="39E3A857">
            <w:pPr>
              <w:widowControl/>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本项目为非专门面向中小企业（含中型、小型、微型企业）采购项目；</w:t>
            </w:r>
            <w:r>
              <w:rPr>
                <w:rFonts w:hint="eastAsia" w:ascii="仿宋" w:hAnsi="仿宋" w:eastAsia="仿宋" w:cs="仿宋"/>
                <w:sz w:val="24"/>
                <w:highlight w:val="none"/>
              </w:rPr>
              <w:t>【大型、中型企业投标须提供《分包意向协议》以及接受分包的供应商的《中小企业声明函》】</w:t>
            </w:r>
            <w:r>
              <w:rPr>
                <w:rFonts w:hint="eastAsia" w:ascii="仿宋" w:hAnsi="仿宋" w:eastAsia="仿宋" w:cs="仿宋"/>
                <w:sz w:val="24"/>
                <w:highlight w:val="none"/>
                <w:lang w:eastAsia="zh-CN"/>
              </w:rPr>
              <w:t>。</w:t>
            </w:r>
          </w:p>
        </w:tc>
        <w:tc>
          <w:tcPr>
            <w:tcW w:w="622" w:type="dxa"/>
            <w:vAlign w:val="center"/>
          </w:tcPr>
          <w:p w14:paraId="6541878D">
            <w:pPr>
              <w:pStyle w:val="52"/>
              <w:spacing w:line="360" w:lineRule="auto"/>
              <w:jc w:val="center"/>
              <w:textAlignment w:val="center"/>
              <w:rPr>
                <w:rFonts w:ascii="仿宋" w:hAnsi="仿宋" w:eastAsia="仿宋" w:cs="仿宋"/>
                <w:highlight w:val="none"/>
              </w:rPr>
            </w:pPr>
          </w:p>
        </w:tc>
        <w:tc>
          <w:tcPr>
            <w:tcW w:w="673" w:type="dxa"/>
            <w:vAlign w:val="center"/>
          </w:tcPr>
          <w:p w14:paraId="7E549951">
            <w:pPr>
              <w:pStyle w:val="52"/>
              <w:spacing w:line="360" w:lineRule="auto"/>
              <w:jc w:val="center"/>
              <w:textAlignment w:val="center"/>
              <w:rPr>
                <w:rFonts w:ascii="仿宋" w:hAnsi="仿宋" w:eastAsia="仿宋" w:cs="仿宋"/>
                <w:highlight w:val="none"/>
              </w:rPr>
            </w:pPr>
          </w:p>
        </w:tc>
      </w:tr>
      <w:tr w14:paraId="038A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CF73C89">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7</w:t>
            </w:r>
          </w:p>
        </w:tc>
        <w:tc>
          <w:tcPr>
            <w:tcW w:w="6516" w:type="dxa"/>
            <w:shd w:val="clear" w:color="auto" w:fill="auto"/>
            <w:vAlign w:val="center"/>
          </w:tcPr>
          <w:p w14:paraId="2534CF2A">
            <w:pPr>
              <w:widowControl/>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本项目的特定资格要求：（1）</w:t>
            </w:r>
            <w:r>
              <w:rPr>
                <w:rFonts w:hint="eastAsia" w:ascii="仿宋" w:hAnsi="仿宋" w:eastAsia="仿宋" w:cs="仿宋"/>
                <w:sz w:val="24"/>
                <w:highlight w:val="none"/>
                <w:lang w:eastAsia="zh-CN"/>
              </w:rPr>
              <w:t>具有有效期内的测绘行政主管部门颁发的乙级（含）以上测绘资质证书</w:t>
            </w:r>
            <w:r>
              <w:rPr>
                <w:rFonts w:hint="eastAsia" w:ascii="仿宋" w:hAnsi="仿宋" w:eastAsia="仿宋" w:cs="仿宋"/>
                <w:sz w:val="24"/>
                <w:highlight w:val="none"/>
              </w:rPr>
              <w:t>【须提供：</w:t>
            </w:r>
            <w:r>
              <w:rPr>
                <w:rFonts w:hint="eastAsia" w:ascii="仿宋" w:hAnsi="仿宋" w:eastAsia="仿宋" w:cs="仿宋"/>
                <w:sz w:val="24"/>
                <w:highlight w:val="none"/>
                <w:lang w:val="en-US" w:eastAsia="zh-CN"/>
              </w:rPr>
              <w:t>须提供资质证书扫描件】。</w:t>
            </w:r>
          </w:p>
        </w:tc>
        <w:tc>
          <w:tcPr>
            <w:tcW w:w="622" w:type="dxa"/>
            <w:vAlign w:val="center"/>
          </w:tcPr>
          <w:p w14:paraId="3DC71C31">
            <w:pPr>
              <w:pStyle w:val="52"/>
              <w:spacing w:line="360" w:lineRule="auto"/>
              <w:jc w:val="center"/>
              <w:textAlignment w:val="center"/>
              <w:rPr>
                <w:rFonts w:ascii="仿宋" w:hAnsi="仿宋" w:eastAsia="仿宋" w:cs="仿宋"/>
                <w:highlight w:val="none"/>
              </w:rPr>
            </w:pPr>
          </w:p>
        </w:tc>
        <w:tc>
          <w:tcPr>
            <w:tcW w:w="673" w:type="dxa"/>
            <w:vAlign w:val="center"/>
          </w:tcPr>
          <w:p w14:paraId="4793DC64">
            <w:pPr>
              <w:pStyle w:val="52"/>
              <w:spacing w:line="360" w:lineRule="auto"/>
              <w:jc w:val="center"/>
              <w:textAlignment w:val="center"/>
              <w:rPr>
                <w:rFonts w:ascii="仿宋" w:hAnsi="仿宋" w:eastAsia="仿宋" w:cs="仿宋"/>
                <w:highlight w:val="none"/>
              </w:rPr>
            </w:pPr>
          </w:p>
        </w:tc>
      </w:tr>
      <w:tr w14:paraId="396C6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678D2F76">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8</w:t>
            </w:r>
          </w:p>
        </w:tc>
        <w:tc>
          <w:tcPr>
            <w:tcW w:w="6516" w:type="dxa"/>
            <w:shd w:val="clear" w:color="auto" w:fill="auto"/>
            <w:vAlign w:val="center"/>
          </w:tcPr>
          <w:p w14:paraId="55C0309A">
            <w:pPr>
              <w:widowControl/>
              <w:spacing w:line="360" w:lineRule="auto"/>
              <w:rPr>
                <w:rFonts w:ascii="仿宋" w:hAnsi="仿宋" w:eastAsia="仿宋" w:cs="仿宋"/>
                <w:sz w:val="24"/>
                <w:highlight w:val="none"/>
              </w:rPr>
            </w:pPr>
            <w:r>
              <w:rPr>
                <w:rFonts w:hint="eastAsia" w:ascii="仿宋" w:hAnsi="仿宋" w:eastAsia="仿宋" w:cs="仿宋"/>
                <w:sz w:val="24"/>
                <w:highlight w:val="none"/>
              </w:rPr>
              <w:t>本项目的特定资格要求：（2）除单一来源采购外，为采购项目提供整体设计、规范编制或者项目管理、监理、检测等服务的供应商，不得再参加该采购项目的其他采购活动；（3）单位负责人为同一人或者存在直接控股、管理关系的不同供应商不得参加本项目同一包的采购活动。【</w:t>
            </w:r>
            <w:r>
              <w:rPr>
                <w:rFonts w:hint="eastAsia" w:ascii="仿宋" w:hAnsi="仿宋" w:eastAsia="仿宋" w:cs="仿宋"/>
                <w:sz w:val="24"/>
                <w:highlight w:val="none"/>
                <w:lang w:val="en-US" w:eastAsia="zh-CN"/>
              </w:rPr>
              <w:t>提供</w:t>
            </w:r>
            <w:r>
              <w:rPr>
                <w:rFonts w:hint="eastAsia" w:ascii="仿宋" w:hAnsi="仿宋" w:eastAsia="仿宋" w:cs="仿宋"/>
                <w:sz w:val="24"/>
                <w:highlight w:val="none"/>
              </w:rPr>
              <w:t>书面承诺（投标人自行承诺并承担后果，声明函不实的，按《政府采购法》及相关法律法规中提供虚假材料的有关规定处理）】。</w:t>
            </w:r>
          </w:p>
        </w:tc>
        <w:tc>
          <w:tcPr>
            <w:tcW w:w="622" w:type="dxa"/>
            <w:vAlign w:val="center"/>
          </w:tcPr>
          <w:p w14:paraId="5B037539">
            <w:pPr>
              <w:pStyle w:val="52"/>
              <w:spacing w:line="360" w:lineRule="auto"/>
              <w:jc w:val="center"/>
              <w:textAlignment w:val="center"/>
              <w:rPr>
                <w:rFonts w:ascii="仿宋" w:hAnsi="仿宋" w:eastAsia="仿宋" w:cs="仿宋"/>
                <w:highlight w:val="none"/>
              </w:rPr>
            </w:pPr>
          </w:p>
        </w:tc>
        <w:tc>
          <w:tcPr>
            <w:tcW w:w="673" w:type="dxa"/>
            <w:vAlign w:val="center"/>
          </w:tcPr>
          <w:p w14:paraId="2CC7CA74">
            <w:pPr>
              <w:pStyle w:val="52"/>
              <w:spacing w:line="360" w:lineRule="auto"/>
              <w:jc w:val="center"/>
              <w:textAlignment w:val="center"/>
              <w:rPr>
                <w:rFonts w:ascii="仿宋" w:hAnsi="仿宋" w:eastAsia="仿宋" w:cs="仿宋"/>
                <w:highlight w:val="none"/>
              </w:rPr>
            </w:pPr>
          </w:p>
        </w:tc>
      </w:tr>
      <w:tr w14:paraId="4E23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37B4AB80">
            <w:pPr>
              <w:widowControl/>
              <w:spacing w:line="360" w:lineRule="auto"/>
              <w:jc w:val="center"/>
              <w:rPr>
                <w:rFonts w:ascii="仿宋" w:hAnsi="仿宋" w:eastAsia="仿宋" w:cs="仿宋"/>
                <w:sz w:val="24"/>
                <w:highlight w:val="none"/>
              </w:rPr>
            </w:pPr>
            <w:r>
              <w:rPr>
                <w:rFonts w:hint="eastAsia" w:ascii="仿宋" w:hAnsi="仿宋" w:eastAsia="仿宋" w:cs="仿宋"/>
                <w:sz w:val="24"/>
                <w:highlight w:val="none"/>
              </w:rPr>
              <w:t>审查结果（通过/不通过）</w:t>
            </w:r>
          </w:p>
        </w:tc>
        <w:tc>
          <w:tcPr>
            <w:tcW w:w="622" w:type="dxa"/>
            <w:vAlign w:val="center"/>
          </w:tcPr>
          <w:p w14:paraId="15518CE9">
            <w:pPr>
              <w:pStyle w:val="52"/>
              <w:spacing w:line="360" w:lineRule="auto"/>
              <w:jc w:val="center"/>
              <w:textAlignment w:val="center"/>
              <w:rPr>
                <w:rFonts w:ascii="仿宋" w:hAnsi="仿宋" w:eastAsia="仿宋" w:cs="仿宋"/>
                <w:highlight w:val="none"/>
              </w:rPr>
            </w:pPr>
          </w:p>
        </w:tc>
        <w:tc>
          <w:tcPr>
            <w:tcW w:w="673" w:type="dxa"/>
            <w:vAlign w:val="center"/>
          </w:tcPr>
          <w:p w14:paraId="00236165">
            <w:pPr>
              <w:pStyle w:val="52"/>
              <w:spacing w:line="360" w:lineRule="auto"/>
              <w:jc w:val="center"/>
              <w:textAlignment w:val="center"/>
              <w:rPr>
                <w:rFonts w:ascii="仿宋" w:hAnsi="仿宋" w:eastAsia="仿宋" w:cs="仿宋"/>
                <w:highlight w:val="none"/>
              </w:rPr>
            </w:pPr>
          </w:p>
        </w:tc>
      </w:tr>
      <w:tr w14:paraId="48AF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5A1E7578">
            <w:pPr>
              <w:pStyle w:val="52"/>
              <w:spacing w:line="360" w:lineRule="auto"/>
              <w:textAlignment w:val="center"/>
              <w:rPr>
                <w:rFonts w:ascii="仿宋" w:hAnsi="仿宋" w:eastAsia="仿宋" w:cs="仿宋"/>
                <w:highlight w:val="none"/>
              </w:rPr>
            </w:pPr>
            <w:r>
              <w:rPr>
                <w:rFonts w:hint="eastAsia" w:ascii="仿宋" w:hAnsi="仿宋" w:eastAsia="仿宋" w:cs="仿宋"/>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5E5CBFE6">
      <w:pPr>
        <w:spacing w:line="360" w:lineRule="auto"/>
        <w:ind w:firstLine="480" w:firstLineChars="200"/>
        <w:rPr>
          <w:rFonts w:ascii="仿宋" w:hAnsi="仿宋" w:eastAsia="仿宋" w:cs="仿宋"/>
          <w:strike/>
          <w:sz w:val="24"/>
          <w:highlight w:val="none"/>
        </w:rPr>
      </w:pPr>
      <w:r>
        <w:rPr>
          <w:rFonts w:hint="eastAsia" w:ascii="仿宋" w:hAnsi="仿宋" w:eastAsia="仿宋" w:cs="仿宋"/>
          <w:sz w:val="24"/>
          <w:highlight w:val="none"/>
        </w:rPr>
        <w:t>3.2符合性审查。依据招标文件的规定，从投标文件的有效性、完整性和对招标文件的响应程度进行审查，以确定是否对招标文件的实质性要求作出响应。</w:t>
      </w:r>
    </w:p>
    <w:p w14:paraId="7DB36D3D">
      <w:pPr>
        <w:pStyle w:val="30"/>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符合性审查表</w:t>
      </w:r>
    </w:p>
    <w:tbl>
      <w:tblPr>
        <w:tblStyle w:val="31"/>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4A70A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02C5E091">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序号</w:t>
            </w:r>
          </w:p>
        </w:tc>
        <w:tc>
          <w:tcPr>
            <w:tcW w:w="6100" w:type="dxa"/>
            <w:vMerge w:val="restart"/>
            <w:vAlign w:val="center"/>
          </w:tcPr>
          <w:p w14:paraId="5E572F3F">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审   查   标   准</w:t>
            </w:r>
          </w:p>
        </w:tc>
        <w:tc>
          <w:tcPr>
            <w:tcW w:w="1635" w:type="dxa"/>
            <w:gridSpan w:val="2"/>
            <w:vAlign w:val="center"/>
          </w:tcPr>
          <w:p w14:paraId="701FA279">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审查结果</w:t>
            </w:r>
          </w:p>
        </w:tc>
      </w:tr>
      <w:tr w14:paraId="7C55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57B8E23F">
            <w:pPr>
              <w:pStyle w:val="52"/>
              <w:spacing w:line="360" w:lineRule="auto"/>
              <w:jc w:val="center"/>
              <w:textAlignment w:val="center"/>
              <w:rPr>
                <w:rFonts w:ascii="仿宋" w:hAnsi="仿宋" w:eastAsia="仿宋" w:cs="仿宋"/>
                <w:highlight w:val="none"/>
              </w:rPr>
            </w:pPr>
          </w:p>
        </w:tc>
        <w:tc>
          <w:tcPr>
            <w:tcW w:w="6100" w:type="dxa"/>
            <w:vMerge w:val="continue"/>
            <w:vAlign w:val="center"/>
          </w:tcPr>
          <w:p w14:paraId="2EAEBF59">
            <w:pPr>
              <w:pStyle w:val="52"/>
              <w:spacing w:line="360" w:lineRule="auto"/>
              <w:jc w:val="center"/>
              <w:textAlignment w:val="center"/>
              <w:rPr>
                <w:rFonts w:ascii="仿宋" w:hAnsi="仿宋" w:eastAsia="仿宋" w:cs="仿宋"/>
                <w:highlight w:val="none"/>
              </w:rPr>
            </w:pPr>
          </w:p>
        </w:tc>
        <w:tc>
          <w:tcPr>
            <w:tcW w:w="782" w:type="dxa"/>
            <w:vAlign w:val="center"/>
          </w:tcPr>
          <w:p w14:paraId="6CC9303E">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通过</w:t>
            </w:r>
          </w:p>
        </w:tc>
        <w:tc>
          <w:tcPr>
            <w:tcW w:w="853" w:type="dxa"/>
            <w:vAlign w:val="center"/>
          </w:tcPr>
          <w:p w14:paraId="146B32F2">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不通过</w:t>
            </w:r>
          </w:p>
        </w:tc>
      </w:tr>
      <w:tr w14:paraId="500B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5110331">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1</w:t>
            </w:r>
          </w:p>
        </w:tc>
        <w:tc>
          <w:tcPr>
            <w:tcW w:w="6100" w:type="dxa"/>
            <w:vAlign w:val="center"/>
          </w:tcPr>
          <w:p w14:paraId="1B099F62">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投标文件的编制符合招标文件要求；</w:t>
            </w:r>
          </w:p>
        </w:tc>
        <w:tc>
          <w:tcPr>
            <w:tcW w:w="782" w:type="dxa"/>
            <w:vAlign w:val="center"/>
          </w:tcPr>
          <w:p w14:paraId="094BCE37">
            <w:pPr>
              <w:pStyle w:val="52"/>
              <w:spacing w:line="360" w:lineRule="auto"/>
              <w:jc w:val="center"/>
              <w:textAlignment w:val="center"/>
              <w:rPr>
                <w:rFonts w:ascii="仿宋" w:hAnsi="仿宋" w:eastAsia="仿宋" w:cs="仿宋"/>
                <w:highlight w:val="none"/>
              </w:rPr>
            </w:pPr>
          </w:p>
        </w:tc>
        <w:tc>
          <w:tcPr>
            <w:tcW w:w="853" w:type="dxa"/>
            <w:vAlign w:val="center"/>
          </w:tcPr>
          <w:p w14:paraId="30286FDC">
            <w:pPr>
              <w:pStyle w:val="52"/>
              <w:spacing w:line="360" w:lineRule="auto"/>
              <w:jc w:val="center"/>
              <w:textAlignment w:val="center"/>
              <w:rPr>
                <w:rFonts w:ascii="仿宋" w:hAnsi="仿宋" w:eastAsia="仿宋" w:cs="仿宋"/>
                <w:highlight w:val="none"/>
              </w:rPr>
            </w:pPr>
          </w:p>
        </w:tc>
      </w:tr>
      <w:tr w14:paraId="2806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65547EAC">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2</w:t>
            </w:r>
          </w:p>
        </w:tc>
        <w:tc>
          <w:tcPr>
            <w:tcW w:w="6100" w:type="dxa"/>
            <w:vAlign w:val="center"/>
          </w:tcPr>
          <w:p w14:paraId="56D5C276">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按照招标文件规定和要求加密、</w:t>
            </w:r>
            <w:r>
              <w:rPr>
                <w:rFonts w:hint="eastAsia" w:ascii="仿宋" w:hAnsi="仿宋" w:eastAsia="仿宋" w:cs="仿宋"/>
                <w:highlight w:val="none"/>
                <w:lang w:val="en-US" w:eastAsia="zh-CN"/>
              </w:rPr>
              <w:t>签字或盖章</w:t>
            </w:r>
            <w:r>
              <w:rPr>
                <w:rFonts w:hint="eastAsia" w:ascii="仿宋" w:hAnsi="仿宋" w:eastAsia="仿宋" w:cs="仿宋"/>
                <w:highlight w:val="none"/>
              </w:rPr>
              <w:t>；</w:t>
            </w:r>
          </w:p>
        </w:tc>
        <w:tc>
          <w:tcPr>
            <w:tcW w:w="782" w:type="dxa"/>
            <w:vAlign w:val="center"/>
          </w:tcPr>
          <w:p w14:paraId="21268DAA">
            <w:pPr>
              <w:pStyle w:val="52"/>
              <w:spacing w:line="360" w:lineRule="auto"/>
              <w:jc w:val="center"/>
              <w:textAlignment w:val="center"/>
              <w:rPr>
                <w:rFonts w:ascii="仿宋" w:hAnsi="仿宋" w:eastAsia="仿宋" w:cs="仿宋"/>
                <w:highlight w:val="none"/>
              </w:rPr>
            </w:pPr>
          </w:p>
        </w:tc>
        <w:tc>
          <w:tcPr>
            <w:tcW w:w="853" w:type="dxa"/>
            <w:vAlign w:val="center"/>
          </w:tcPr>
          <w:p w14:paraId="7896B576">
            <w:pPr>
              <w:pStyle w:val="52"/>
              <w:spacing w:line="360" w:lineRule="auto"/>
              <w:jc w:val="center"/>
              <w:textAlignment w:val="center"/>
              <w:rPr>
                <w:rFonts w:ascii="仿宋" w:hAnsi="仿宋" w:eastAsia="仿宋" w:cs="仿宋"/>
                <w:highlight w:val="none"/>
              </w:rPr>
            </w:pPr>
          </w:p>
        </w:tc>
      </w:tr>
      <w:tr w14:paraId="553B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656910DD">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3</w:t>
            </w:r>
          </w:p>
        </w:tc>
        <w:tc>
          <w:tcPr>
            <w:tcW w:w="6100" w:type="dxa"/>
            <w:vAlign w:val="center"/>
          </w:tcPr>
          <w:p w14:paraId="272FD5F7">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按照招标文件规定缴纳投标保证金；</w:t>
            </w:r>
          </w:p>
        </w:tc>
        <w:tc>
          <w:tcPr>
            <w:tcW w:w="782" w:type="dxa"/>
            <w:vAlign w:val="center"/>
          </w:tcPr>
          <w:p w14:paraId="068C504D">
            <w:pPr>
              <w:pStyle w:val="52"/>
              <w:spacing w:line="360" w:lineRule="auto"/>
              <w:jc w:val="center"/>
              <w:textAlignment w:val="center"/>
              <w:rPr>
                <w:rFonts w:ascii="仿宋" w:hAnsi="仿宋" w:eastAsia="仿宋" w:cs="仿宋"/>
                <w:highlight w:val="none"/>
              </w:rPr>
            </w:pPr>
          </w:p>
        </w:tc>
        <w:tc>
          <w:tcPr>
            <w:tcW w:w="853" w:type="dxa"/>
            <w:vAlign w:val="center"/>
          </w:tcPr>
          <w:p w14:paraId="04A6C078">
            <w:pPr>
              <w:pStyle w:val="52"/>
              <w:spacing w:line="360" w:lineRule="auto"/>
              <w:jc w:val="center"/>
              <w:textAlignment w:val="center"/>
              <w:rPr>
                <w:rFonts w:ascii="仿宋" w:hAnsi="仿宋" w:eastAsia="仿宋" w:cs="仿宋"/>
                <w:highlight w:val="none"/>
              </w:rPr>
            </w:pPr>
          </w:p>
        </w:tc>
      </w:tr>
      <w:tr w14:paraId="73DD3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5E2B7F3">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4</w:t>
            </w:r>
          </w:p>
        </w:tc>
        <w:tc>
          <w:tcPr>
            <w:tcW w:w="6100" w:type="dxa"/>
            <w:vAlign w:val="center"/>
          </w:tcPr>
          <w:p w14:paraId="497C24C7">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投标报价不得高于设定的最高限价；</w:t>
            </w:r>
          </w:p>
        </w:tc>
        <w:tc>
          <w:tcPr>
            <w:tcW w:w="782" w:type="dxa"/>
            <w:vAlign w:val="center"/>
          </w:tcPr>
          <w:p w14:paraId="1ADDEE15">
            <w:pPr>
              <w:pStyle w:val="52"/>
              <w:spacing w:line="360" w:lineRule="auto"/>
              <w:jc w:val="center"/>
              <w:textAlignment w:val="center"/>
              <w:rPr>
                <w:rFonts w:ascii="仿宋" w:hAnsi="仿宋" w:eastAsia="仿宋" w:cs="仿宋"/>
                <w:highlight w:val="none"/>
              </w:rPr>
            </w:pPr>
          </w:p>
        </w:tc>
        <w:tc>
          <w:tcPr>
            <w:tcW w:w="853" w:type="dxa"/>
            <w:vAlign w:val="center"/>
          </w:tcPr>
          <w:p w14:paraId="36033787">
            <w:pPr>
              <w:pStyle w:val="52"/>
              <w:spacing w:line="360" w:lineRule="auto"/>
              <w:jc w:val="center"/>
              <w:textAlignment w:val="center"/>
              <w:rPr>
                <w:rFonts w:ascii="仿宋" w:hAnsi="仿宋" w:eastAsia="仿宋" w:cs="仿宋"/>
                <w:highlight w:val="none"/>
              </w:rPr>
            </w:pPr>
          </w:p>
        </w:tc>
      </w:tr>
      <w:tr w14:paraId="26710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56C2734">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5</w:t>
            </w:r>
          </w:p>
        </w:tc>
        <w:tc>
          <w:tcPr>
            <w:tcW w:w="6100" w:type="dxa"/>
            <w:vAlign w:val="center"/>
          </w:tcPr>
          <w:p w14:paraId="20BF12D8">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合同履约期限符合招标文件规定期限；</w:t>
            </w:r>
          </w:p>
        </w:tc>
        <w:tc>
          <w:tcPr>
            <w:tcW w:w="782" w:type="dxa"/>
            <w:vAlign w:val="center"/>
          </w:tcPr>
          <w:p w14:paraId="10884091">
            <w:pPr>
              <w:pStyle w:val="52"/>
              <w:spacing w:line="360" w:lineRule="auto"/>
              <w:jc w:val="center"/>
              <w:textAlignment w:val="center"/>
              <w:rPr>
                <w:rFonts w:ascii="仿宋" w:hAnsi="仿宋" w:eastAsia="仿宋" w:cs="仿宋"/>
                <w:highlight w:val="none"/>
              </w:rPr>
            </w:pPr>
          </w:p>
        </w:tc>
        <w:tc>
          <w:tcPr>
            <w:tcW w:w="853" w:type="dxa"/>
            <w:vAlign w:val="center"/>
          </w:tcPr>
          <w:p w14:paraId="1CFBDB36">
            <w:pPr>
              <w:pStyle w:val="52"/>
              <w:spacing w:line="360" w:lineRule="auto"/>
              <w:jc w:val="center"/>
              <w:textAlignment w:val="center"/>
              <w:rPr>
                <w:rFonts w:ascii="仿宋" w:hAnsi="仿宋" w:eastAsia="仿宋" w:cs="仿宋"/>
                <w:highlight w:val="none"/>
              </w:rPr>
            </w:pPr>
          </w:p>
        </w:tc>
      </w:tr>
      <w:tr w14:paraId="55F6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9" w:hRule="exact"/>
          <w:jc w:val="center"/>
        </w:trPr>
        <w:tc>
          <w:tcPr>
            <w:tcW w:w="616" w:type="dxa"/>
            <w:vAlign w:val="center"/>
          </w:tcPr>
          <w:p w14:paraId="0B6C4382">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6</w:t>
            </w:r>
          </w:p>
        </w:tc>
        <w:tc>
          <w:tcPr>
            <w:tcW w:w="6100" w:type="dxa"/>
            <w:vAlign w:val="center"/>
          </w:tcPr>
          <w:p w14:paraId="46AA0C2A">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按照招标文件规定的格式要求编制投标文件，实质性响应招标文件内容；</w:t>
            </w:r>
          </w:p>
        </w:tc>
        <w:tc>
          <w:tcPr>
            <w:tcW w:w="782" w:type="dxa"/>
            <w:vAlign w:val="center"/>
          </w:tcPr>
          <w:p w14:paraId="728C35B8">
            <w:pPr>
              <w:pStyle w:val="52"/>
              <w:spacing w:line="360" w:lineRule="auto"/>
              <w:jc w:val="center"/>
              <w:textAlignment w:val="center"/>
              <w:rPr>
                <w:rFonts w:ascii="仿宋" w:hAnsi="仿宋" w:eastAsia="仿宋" w:cs="仿宋"/>
                <w:highlight w:val="none"/>
              </w:rPr>
            </w:pPr>
          </w:p>
        </w:tc>
        <w:tc>
          <w:tcPr>
            <w:tcW w:w="853" w:type="dxa"/>
            <w:vAlign w:val="center"/>
          </w:tcPr>
          <w:p w14:paraId="47B1DA14">
            <w:pPr>
              <w:pStyle w:val="52"/>
              <w:spacing w:line="360" w:lineRule="auto"/>
              <w:jc w:val="center"/>
              <w:textAlignment w:val="center"/>
              <w:rPr>
                <w:rFonts w:ascii="仿宋" w:hAnsi="仿宋" w:eastAsia="仿宋" w:cs="仿宋"/>
                <w:highlight w:val="none"/>
              </w:rPr>
            </w:pPr>
          </w:p>
        </w:tc>
      </w:tr>
      <w:tr w14:paraId="69D01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03C9935C">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7</w:t>
            </w:r>
          </w:p>
        </w:tc>
        <w:tc>
          <w:tcPr>
            <w:tcW w:w="6100" w:type="dxa"/>
            <w:vAlign w:val="center"/>
          </w:tcPr>
          <w:p w14:paraId="47ED8BF9">
            <w:pPr>
              <w:pStyle w:val="52"/>
              <w:spacing w:line="360" w:lineRule="auto"/>
              <w:ind w:left="210" w:leftChars="100"/>
              <w:textAlignment w:val="center"/>
              <w:rPr>
                <w:rFonts w:ascii="仿宋" w:hAnsi="仿宋" w:eastAsia="仿宋" w:cs="仿宋"/>
                <w:highlight w:val="none"/>
              </w:rPr>
            </w:pPr>
            <w:r>
              <w:rPr>
                <w:rFonts w:hint="eastAsia" w:ascii="仿宋" w:hAnsi="仿宋" w:eastAsia="仿宋" w:cs="仿宋"/>
                <w:highlight w:val="none"/>
              </w:rPr>
              <w:t>投标文件不得附有采购人不能接受的条件。</w:t>
            </w:r>
          </w:p>
        </w:tc>
        <w:tc>
          <w:tcPr>
            <w:tcW w:w="782" w:type="dxa"/>
            <w:vAlign w:val="center"/>
          </w:tcPr>
          <w:p w14:paraId="6C6DF009">
            <w:pPr>
              <w:pStyle w:val="52"/>
              <w:spacing w:line="360" w:lineRule="auto"/>
              <w:jc w:val="center"/>
              <w:textAlignment w:val="center"/>
              <w:rPr>
                <w:rFonts w:ascii="仿宋" w:hAnsi="仿宋" w:eastAsia="仿宋" w:cs="仿宋"/>
                <w:highlight w:val="none"/>
              </w:rPr>
            </w:pPr>
          </w:p>
        </w:tc>
        <w:tc>
          <w:tcPr>
            <w:tcW w:w="853" w:type="dxa"/>
            <w:vAlign w:val="center"/>
          </w:tcPr>
          <w:p w14:paraId="4A16283A">
            <w:pPr>
              <w:pStyle w:val="52"/>
              <w:spacing w:line="360" w:lineRule="auto"/>
              <w:jc w:val="center"/>
              <w:textAlignment w:val="center"/>
              <w:rPr>
                <w:rFonts w:ascii="仿宋" w:hAnsi="仿宋" w:eastAsia="仿宋" w:cs="仿宋"/>
                <w:highlight w:val="none"/>
              </w:rPr>
            </w:pPr>
          </w:p>
        </w:tc>
      </w:tr>
      <w:tr w14:paraId="1D53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523AD1DD">
            <w:pPr>
              <w:pStyle w:val="52"/>
              <w:spacing w:line="360" w:lineRule="auto"/>
              <w:jc w:val="center"/>
              <w:textAlignment w:val="center"/>
              <w:rPr>
                <w:rFonts w:ascii="仿宋" w:hAnsi="仿宋" w:eastAsia="仿宋" w:cs="仿宋"/>
                <w:highlight w:val="none"/>
              </w:rPr>
            </w:pPr>
            <w:r>
              <w:rPr>
                <w:rFonts w:hint="eastAsia" w:ascii="仿宋" w:hAnsi="仿宋" w:eastAsia="仿宋" w:cs="仿宋"/>
                <w:highlight w:val="none"/>
              </w:rPr>
              <w:t>审查结果（通过/不通过）</w:t>
            </w:r>
          </w:p>
        </w:tc>
        <w:tc>
          <w:tcPr>
            <w:tcW w:w="782" w:type="dxa"/>
            <w:vAlign w:val="center"/>
          </w:tcPr>
          <w:p w14:paraId="36C07552">
            <w:pPr>
              <w:pStyle w:val="52"/>
              <w:spacing w:line="360" w:lineRule="auto"/>
              <w:jc w:val="center"/>
              <w:textAlignment w:val="center"/>
              <w:rPr>
                <w:rFonts w:ascii="仿宋" w:hAnsi="仿宋" w:eastAsia="仿宋" w:cs="仿宋"/>
                <w:highlight w:val="none"/>
              </w:rPr>
            </w:pPr>
          </w:p>
        </w:tc>
        <w:tc>
          <w:tcPr>
            <w:tcW w:w="853" w:type="dxa"/>
            <w:vAlign w:val="center"/>
          </w:tcPr>
          <w:p w14:paraId="02E25482">
            <w:pPr>
              <w:pStyle w:val="52"/>
              <w:spacing w:line="360" w:lineRule="auto"/>
              <w:jc w:val="center"/>
              <w:textAlignment w:val="center"/>
              <w:rPr>
                <w:rFonts w:ascii="仿宋" w:hAnsi="仿宋" w:eastAsia="仿宋" w:cs="仿宋"/>
                <w:highlight w:val="none"/>
              </w:rPr>
            </w:pPr>
          </w:p>
        </w:tc>
      </w:tr>
      <w:tr w14:paraId="36F3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576D6754">
            <w:pPr>
              <w:pStyle w:val="52"/>
              <w:spacing w:line="360" w:lineRule="auto"/>
              <w:textAlignment w:val="center"/>
              <w:rPr>
                <w:rFonts w:ascii="仿宋" w:hAnsi="仿宋" w:eastAsia="仿宋" w:cs="仿宋"/>
                <w:highlight w:val="none"/>
              </w:rPr>
            </w:pPr>
            <w:r>
              <w:rPr>
                <w:rFonts w:hint="eastAsia" w:ascii="仿宋" w:hAnsi="仿宋" w:eastAsia="仿宋" w:cs="仿宋"/>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574CECE4">
      <w:pPr>
        <w:pStyle w:val="13"/>
        <w:tabs>
          <w:tab w:val="left" w:pos="600"/>
        </w:tabs>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3.2.1在投标文件符合性审查过程中，如果出现评标委员会成员意见不一致的情况，按照少数服从多数的原则确定，但不得违背政府采购基本原则和招标文件规定。</w:t>
      </w:r>
    </w:p>
    <w:p w14:paraId="00495AD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26" w:name="_Toc183582287"/>
      <w:bookmarkStart w:id="227" w:name="_Toc183682422"/>
      <w:bookmarkStart w:id="228" w:name="_Toc217446104"/>
    </w:p>
    <w:bookmarkEnd w:id="226"/>
    <w:bookmarkEnd w:id="227"/>
    <w:bookmarkEnd w:id="228"/>
    <w:p w14:paraId="3C40B02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3.4比较与评价。按招标文件中规定的评标方法和标准，对符合性审查合格的投标文件进行综合比较与评价。</w:t>
      </w:r>
    </w:p>
    <w:p w14:paraId="39DAAC1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3.5推荐中标候选人名单。中标候选人数量应当根据招标文件确定，但必须按顺序排列中标候选人。</w:t>
      </w:r>
    </w:p>
    <w:p w14:paraId="59A6BC04">
      <w:pPr>
        <w:pStyle w:val="46"/>
        <w:rPr>
          <w:rFonts w:ascii="仿宋" w:hAnsi="仿宋" w:cs="仿宋"/>
          <w:highlight w:val="none"/>
        </w:rPr>
      </w:pPr>
      <w:r>
        <w:rPr>
          <w:rFonts w:hint="eastAsia" w:ascii="仿宋" w:hAnsi="仿宋" w:cs="仿宋"/>
          <w:highlight w:val="none"/>
        </w:rPr>
        <w:t>3.5.1评标委员会根据综合评分情况，按照评标得分由高到低顺序推荐3名中标候选人，并编写评标报告。得分相同的，按投标报价由低到高顺序排列。得分且投标报价相同的</w:t>
      </w:r>
      <w:r>
        <w:rPr>
          <w:rFonts w:hint="eastAsia" w:ascii="仿宋" w:hAnsi="仿宋" w:cs="仿宋"/>
          <w:highlight w:val="none"/>
          <w:shd w:val="clear" w:color="auto" w:fill="FAFAFA"/>
        </w:rPr>
        <w:t>，按照技术指标优劣顺序推荐</w:t>
      </w:r>
      <w:r>
        <w:rPr>
          <w:rFonts w:hint="eastAsia" w:ascii="仿宋" w:hAnsi="仿宋" w:cs="仿宋"/>
          <w:highlight w:val="none"/>
        </w:rPr>
        <w:t>。</w:t>
      </w:r>
    </w:p>
    <w:p w14:paraId="4D34BAE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3.6编写评标报告。评标报告是评标委员会根据评标委员成员签字的原始评标记录和评标结果编写的报告，其主要内容包括：</w:t>
      </w:r>
    </w:p>
    <w:p w14:paraId="2168EFB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（1）项目概况、开标日期和地点；</w:t>
      </w:r>
    </w:p>
    <w:p w14:paraId="4F51E12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（2）参与竞争的的投标人名单和评标委员会成员名单；</w:t>
      </w:r>
    </w:p>
    <w:p w14:paraId="6F15793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（3）评审因素和评分标准；</w:t>
      </w:r>
    </w:p>
    <w:p w14:paraId="2D436C1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（4）开标记录和评标情况及说明，包括投标无效投标人名单及原因；</w:t>
      </w:r>
    </w:p>
    <w:p w14:paraId="67F796C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（5）评标结果和中标候选人排序。</w:t>
      </w:r>
    </w:p>
    <w:p w14:paraId="01224187">
      <w:pPr>
        <w:spacing w:line="360" w:lineRule="auto"/>
        <w:ind w:firstLine="480" w:firstLineChars="200"/>
        <w:rPr>
          <w:rFonts w:ascii="仿宋" w:hAnsi="仿宋" w:eastAsia="仿宋" w:cs="仿宋"/>
          <w:sz w:val="24"/>
          <w:highlight w:val="none"/>
        </w:rPr>
      </w:pPr>
      <w:bookmarkStart w:id="229" w:name="_Toc217446103"/>
      <w:r>
        <w:rPr>
          <w:rFonts w:hint="eastAsia" w:ascii="仿宋" w:hAnsi="仿宋" w:eastAsia="仿宋" w:cs="仿宋"/>
          <w:sz w:val="24"/>
          <w:highlight w:val="none"/>
        </w:rPr>
        <w:t>4. 评标细则及标准</w:t>
      </w:r>
      <w:bookmarkEnd w:id="229"/>
    </w:p>
    <w:p w14:paraId="75F8441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4.1 评标委员会只对通过符合性审查的投标文件，根据招标文件的要求采用相同的评标程序、评分办法及标准进行评价和比较。</w:t>
      </w:r>
    </w:p>
    <w:p w14:paraId="558179B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4.2 本次综合评分的因素是：商务、价格、技术服务、业绩、对招标文件的响应程度以及投标文件规范性等。</w:t>
      </w:r>
    </w:p>
    <w:p w14:paraId="5629084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4.3 除价格因素外，评标委员会成员应依据投标文件规定的评审因素和评分标准进行比较打分。</w:t>
      </w:r>
    </w:p>
    <w:p w14:paraId="623AC2C7">
      <w:pPr>
        <w:pStyle w:val="13"/>
        <w:tabs>
          <w:tab w:val="left" w:pos="600"/>
        </w:tabs>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4.4评标细则及标准的制定以科学合理、降低评标委员会自由裁量权为原则。</w:t>
      </w:r>
    </w:p>
    <w:p w14:paraId="68A2D320">
      <w:pPr>
        <w:pStyle w:val="13"/>
        <w:tabs>
          <w:tab w:val="left" w:pos="600"/>
        </w:tabs>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4.5评标委员会将按照下述评分标准对通过符合性审查的投标文件进行详细评标，投标人评标得分等于所有评委评分的算术平均值，结果保留两位小数。</w:t>
      </w:r>
    </w:p>
    <w:p w14:paraId="699D3394">
      <w:pPr>
        <w:pStyle w:val="13"/>
        <w:tabs>
          <w:tab w:val="left" w:pos="600"/>
        </w:tabs>
        <w:spacing w:line="360" w:lineRule="auto"/>
        <w:ind w:firstLine="482" w:firstLineChars="200"/>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评审因素权重表</w:t>
      </w:r>
    </w:p>
    <w:tbl>
      <w:tblPr>
        <w:tblStyle w:val="3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04021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30ECFDFB">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7051B934">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14:paraId="4D0C6960">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14:paraId="24AC2569">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3</w:t>
            </w:r>
          </w:p>
        </w:tc>
      </w:tr>
      <w:tr w14:paraId="58FA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0A6A0541">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3D01BE3E">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6DA05148">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1375FDAE">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合计</w:t>
            </w:r>
          </w:p>
        </w:tc>
      </w:tr>
      <w:tr w14:paraId="422F4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3F45116D">
            <w:pPr>
              <w:autoSpaceDE w:val="0"/>
              <w:autoSpaceDN w:val="0"/>
              <w:adjustRightInd w:val="0"/>
              <w:spacing w:line="360" w:lineRule="auto"/>
              <w:jc w:val="center"/>
              <w:rPr>
                <w:rFonts w:ascii="仿宋" w:hAnsi="仿宋" w:eastAsia="仿宋" w:cs="仿宋"/>
                <w:spacing w:val="6"/>
                <w:kern w:val="0"/>
                <w:sz w:val="24"/>
                <w:highlight w:val="none"/>
              </w:rPr>
            </w:pPr>
            <w:r>
              <w:rPr>
                <w:rFonts w:hint="eastAsia" w:ascii="仿宋" w:hAnsi="仿宋" w:eastAsia="仿宋" w:cs="仿宋"/>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6BA60AFA">
            <w:pPr>
              <w:autoSpaceDE w:val="0"/>
              <w:autoSpaceDN w:val="0"/>
              <w:adjustRightInd w:val="0"/>
              <w:spacing w:line="360" w:lineRule="auto"/>
              <w:jc w:val="center"/>
              <w:rPr>
                <w:rFonts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lang w:val="en-US" w:eastAsia="zh-CN"/>
              </w:rPr>
              <w:t>30</w:t>
            </w:r>
            <w:r>
              <w:rPr>
                <w:rFonts w:hint="eastAsia" w:ascii="仿宋" w:hAnsi="仿宋" w:eastAsia="仿宋" w:cs="仿宋"/>
                <w:color w:val="auto"/>
                <w:spacing w:val="6"/>
                <w:kern w:val="0"/>
                <w:sz w:val="24"/>
                <w:highlight w:val="none"/>
              </w:rPr>
              <w:t>%</w:t>
            </w:r>
          </w:p>
        </w:tc>
        <w:tc>
          <w:tcPr>
            <w:tcW w:w="2241" w:type="dxa"/>
            <w:tcBorders>
              <w:top w:val="single" w:color="auto" w:sz="4" w:space="0"/>
              <w:left w:val="single" w:color="auto" w:sz="4" w:space="0"/>
              <w:bottom w:val="single" w:color="auto" w:sz="4" w:space="0"/>
              <w:right w:val="single" w:color="auto" w:sz="4" w:space="0"/>
            </w:tcBorders>
            <w:vAlign w:val="center"/>
          </w:tcPr>
          <w:p w14:paraId="69979433">
            <w:pPr>
              <w:autoSpaceDE w:val="0"/>
              <w:autoSpaceDN w:val="0"/>
              <w:adjustRightInd w:val="0"/>
              <w:spacing w:line="360" w:lineRule="auto"/>
              <w:jc w:val="center"/>
              <w:rPr>
                <w:rFonts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lang w:val="en-US" w:eastAsia="zh-CN"/>
              </w:rPr>
              <w:t>70</w:t>
            </w:r>
            <w:r>
              <w:rPr>
                <w:rFonts w:hint="eastAsia" w:ascii="仿宋" w:hAnsi="仿宋" w:eastAsia="仿宋" w:cs="仿宋"/>
                <w:color w:val="auto"/>
                <w:spacing w:val="6"/>
                <w:kern w:val="0"/>
                <w:sz w:val="24"/>
                <w:highlight w:val="none"/>
              </w:rPr>
              <w:t>%</w:t>
            </w:r>
          </w:p>
        </w:tc>
        <w:tc>
          <w:tcPr>
            <w:tcW w:w="2698" w:type="dxa"/>
            <w:tcBorders>
              <w:top w:val="single" w:color="auto" w:sz="4" w:space="0"/>
              <w:left w:val="single" w:color="auto" w:sz="4" w:space="0"/>
              <w:bottom w:val="single" w:color="auto" w:sz="4" w:space="0"/>
              <w:right w:val="single" w:color="auto" w:sz="4" w:space="0"/>
            </w:tcBorders>
            <w:vAlign w:val="center"/>
          </w:tcPr>
          <w:p w14:paraId="665D0045">
            <w:pPr>
              <w:autoSpaceDE w:val="0"/>
              <w:autoSpaceDN w:val="0"/>
              <w:adjustRightInd w:val="0"/>
              <w:spacing w:line="360" w:lineRule="auto"/>
              <w:jc w:val="center"/>
              <w:rPr>
                <w:rFonts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100%</w:t>
            </w:r>
          </w:p>
        </w:tc>
      </w:tr>
    </w:tbl>
    <w:p w14:paraId="7A345C29">
      <w:pPr>
        <w:pStyle w:val="13"/>
        <w:tabs>
          <w:tab w:val="left" w:pos="600"/>
        </w:tabs>
        <w:spacing w:line="360" w:lineRule="auto"/>
        <w:ind w:firstLine="0"/>
        <w:jc w:val="center"/>
        <w:rPr>
          <w:rFonts w:ascii="仿宋" w:hAnsi="仿宋" w:eastAsia="仿宋" w:cs="仿宋"/>
          <w:sz w:val="24"/>
          <w:szCs w:val="24"/>
          <w:highlight w:val="none"/>
        </w:rPr>
      </w:pPr>
    </w:p>
    <w:p w14:paraId="2E5DF222">
      <w:pPr>
        <w:pStyle w:val="18"/>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技术、商务部分评审标准（</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0分）</w:t>
      </w:r>
    </w:p>
    <w:p w14:paraId="65D4039E">
      <w:pPr>
        <w:pStyle w:val="18"/>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商务部分评审标准（15）</w:t>
      </w:r>
    </w:p>
    <w:tbl>
      <w:tblPr>
        <w:tblStyle w:val="31"/>
        <w:tblW w:w="498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113" w:type="dxa"/>
          <w:left w:w="125" w:type="dxa"/>
          <w:bottom w:w="113" w:type="dxa"/>
          <w:right w:w="125" w:type="dxa"/>
        </w:tblCellMar>
      </w:tblPr>
      <w:tblGrid>
        <w:gridCol w:w="609"/>
        <w:gridCol w:w="1168"/>
        <w:gridCol w:w="5722"/>
        <w:gridCol w:w="1023"/>
      </w:tblGrid>
      <w:tr w14:paraId="68AB9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noWrap w:val="0"/>
            <w:vAlign w:val="center"/>
          </w:tcPr>
          <w:p w14:paraId="742BEE07">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b/>
                <w:bCs/>
                <w:color w:val="auto"/>
                <w:kern w:val="2"/>
                <w:sz w:val="24"/>
                <w:szCs w:val="24"/>
                <w:highlight w:val="none"/>
              </w:rPr>
            </w:pPr>
            <w:bookmarkStart w:id="230" w:name="_Hlk115026609"/>
            <w:r>
              <w:rPr>
                <w:rFonts w:hint="eastAsia" w:ascii="仿宋" w:hAnsi="仿宋" w:eastAsia="仿宋" w:cs="仿宋"/>
                <w:b/>
                <w:bCs/>
                <w:color w:val="auto"/>
                <w:kern w:val="2"/>
                <w:sz w:val="24"/>
                <w:szCs w:val="24"/>
                <w:highlight w:val="none"/>
              </w:rPr>
              <w:t>序号</w:t>
            </w:r>
          </w:p>
        </w:tc>
        <w:tc>
          <w:tcPr>
            <w:tcW w:w="685" w:type="pct"/>
            <w:noWrap w:val="0"/>
            <w:vAlign w:val="center"/>
          </w:tcPr>
          <w:p w14:paraId="5F00430C">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rPr>
              <w:t>评分</w:t>
            </w:r>
            <w:r>
              <w:rPr>
                <w:rFonts w:hint="eastAsia" w:ascii="仿宋" w:hAnsi="仿宋" w:eastAsia="仿宋" w:cs="仿宋"/>
                <w:b/>
                <w:bCs/>
                <w:color w:val="auto"/>
                <w:kern w:val="2"/>
                <w:sz w:val="24"/>
                <w:szCs w:val="24"/>
                <w:highlight w:val="none"/>
                <w:lang w:val="en-US" w:eastAsia="zh-CN"/>
              </w:rPr>
              <w:t>项目</w:t>
            </w:r>
          </w:p>
        </w:tc>
        <w:tc>
          <w:tcPr>
            <w:tcW w:w="3357" w:type="pct"/>
            <w:noWrap w:val="0"/>
            <w:vAlign w:val="center"/>
          </w:tcPr>
          <w:p w14:paraId="5B5B46E2">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评分标准</w:t>
            </w:r>
          </w:p>
        </w:tc>
        <w:tc>
          <w:tcPr>
            <w:tcW w:w="599" w:type="pct"/>
            <w:noWrap w:val="0"/>
            <w:vAlign w:val="center"/>
          </w:tcPr>
          <w:p w14:paraId="6E81028C">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分值</w:t>
            </w:r>
          </w:p>
        </w:tc>
      </w:tr>
      <w:tr w14:paraId="5662A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noWrap w:val="0"/>
            <w:vAlign w:val="center"/>
          </w:tcPr>
          <w:p w14:paraId="2F47A620">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w:t>
            </w:r>
          </w:p>
        </w:tc>
        <w:tc>
          <w:tcPr>
            <w:tcW w:w="685" w:type="pct"/>
            <w:noWrap w:val="0"/>
            <w:vAlign w:val="center"/>
          </w:tcPr>
          <w:p w14:paraId="35A7C156">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供应商类似业绩</w:t>
            </w:r>
          </w:p>
        </w:tc>
        <w:tc>
          <w:tcPr>
            <w:tcW w:w="3357" w:type="pct"/>
            <w:noWrap w:val="0"/>
            <w:vAlign w:val="top"/>
          </w:tcPr>
          <w:p w14:paraId="06CA3D2B">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供应商近</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年内（202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年1月1日-投标文件上传截止时间前，以合同签订日期为准）完成类似项目业绩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规模相近或优于本项目、类型相似、技术相似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，每提供一项业绩得2分，最多得6分。</w:t>
            </w:r>
          </w:p>
          <w:p w14:paraId="6A268E27">
            <w:pPr>
              <w:keepNext w:val="0"/>
              <w:keepLines w:val="0"/>
              <w:pageBreakBefore w:val="0"/>
              <w:widowControl w:val="0"/>
              <w:kinsoku/>
              <w:wordWrap/>
              <w:overflowPunct/>
              <w:topLinePunct w:val="0"/>
              <w:autoSpaceDE/>
              <w:autoSpaceDN/>
              <w:bidi w:val="0"/>
              <w:spacing w:line="360" w:lineRule="auto"/>
              <w:jc w:val="both"/>
              <w:textAlignment w:val="top"/>
              <w:rPr>
                <w:rFonts w:hint="eastAsia" w:ascii="仿宋" w:hAnsi="仿宋" w:eastAsia="仿宋" w:cs="仿宋"/>
                <w:color w:val="auto"/>
                <w:kern w:val="2"/>
                <w:sz w:val="24"/>
                <w:szCs w:val="24"/>
                <w:highlight w:val="none"/>
              </w:rPr>
            </w:pPr>
            <w:r>
              <w:rPr>
                <w:rFonts w:hint="eastAsia" w:ascii="仿宋" w:hAnsi="仿宋" w:eastAsia="仿宋" w:cs="仿宋"/>
                <w:b/>
                <w:bCs/>
                <w:color w:val="auto"/>
                <w:sz w:val="24"/>
                <w:szCs w:val="24"/>
                <w:highlight w:val="none"/>
              </w:rPr>
              <w:t>注：须提供</w:t>
            </w:r>
            <w:r>
              <w:rPr>
                <w:rFonts w:hint="eastAsia" w:ascii="仿宋" w:hAnsi="仿宋" w:eastAsia="仿宋" w:cs="仿宋"/>
                <w:b/>
                <w:bCs/>
                <w:color w:val="auto"/>
                <w:sz w:val="24"/>
                <w:szCs w:val="24"/>
                <w:highlight w:val="none"/>
                <w:lang w:eastAsia="zh-CN"/>
              </w:rPr>
              <w:t>中标通知书、验收报告、</w:t>
            </w:r>
            <w:r>
              <w:rPr>
                <w:rFonts w:hint="eastAsia" w:ascii="仿宋" w:hAnsi="仿宋" w:eastAsia="仿宋" w:cs="仿宋"/>
                <w:b/>
                <w:bCs/>
                <w:color w:val="auto"/>
                <w:sz w:val="24"/>
                <w:szCs w:val="24"/>
                <w:highlight w:val="none"/>
              </w:rPr>
              <w:t>合同（至少包括合同首页、标的页、签字盖章页、采购内容页）扫描件，未按要求提供不得分；</w:t>
            </w:r>
          </w:p>
        </w:tc>
        <w:tc>
          <w:tcPr>
            <w:tcW w:w="599" w:type="pct"/>
            <w:noWrap w:val="0"/>
            <w:vAlign w:val="center"/>
          </w:tcPr>
          <w:p w14:paraId="5B37C67B">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6分</w:t>
            </w:r>
          </w:p>
        </w:tc>
      </w:tr>
      <w:tr w14:paraId="47EE3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noWrap w:val="0"/>
            <w:vAlign w:val="center"/>
          </w:tcPr>
          <w:p w14:paraId="2706CD9A">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w:t>
            </w:r>
          </w:p>
        </w:tc>
        <w:tc>
          <w:tcPr>
            <w:tcW w:w="685" w:type="pct"/>
            <w:noWrap w:val="0"/>
            <w:vAlign w:val="center"/>
          </w:tcPr>
          <w:p w14:paraId="7CC9C861">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供应商信誉</w:t>
            </w:r>
          </w:p>
        </w:tc>
        <w:tc>
          <w:tcPr>
            <w:tcW w:w="3357" w:type="pct"/>
            <w:noWrap w:val="0"/>
            <w:vAlign w:val="center"/>
          </w:tcPr>
          <w:p w14:paraId="0DCEAE59">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具有ISO27001信息安全管理体系认证证书得1分；</w:t>
            </w:r>
          </w:p>
          <w:p w14:paraId="3B1FD721">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须提供证书扫描件，未提供不得分。</w:t>
            </w:r>
          </w:p>
        </w:tc>
        <w:tc>
          <w:tcPr>
            <w:tcW w:w="599" w:type="pct"/>
            <w:noWrap w:val="0"/>
            <w:vAlign w:val="center"/>
          </w:tcPr>
          <w:p w14:paraId="12812BA6">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1分</w:t>
            </w:r>
          </w:p>
        </w:tc>
      </w:tr>
      <w:tr w14:paraId="51CA54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tcBorders>
              <w:bottom w:val="single" w:color="auto" w:sz="4" w:space="0"/>
            </w:tcBorders>
            <w:noWrap w:val="0"/>
            <w:vAlign w:val="center"/>
          </w:tcPr>
          <w:p w14:paraId="073EC646">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w:t>
            </w:r>
          </w:p>
        </w:tc>
        <w:tc>
          <w:tcPr>
            <w:tcW w:w="685" w:type="pct"/>
            <w:tcBorders>
              <w:bottom w:val="single" w:color="auto" w:sz="4" w:space="0"/>
            </w:tcBorders>
            <w:noWrap w:val="0"/>
            <w:vAlign w:val="center"/>
          </w:tcPr>
          <w:p w14:paraId="67CDCED4">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项目服务团队配置</w:t>
            </w:r>
          </w:p>
        </w:tc>
        <w:tc>
          <w:tcPr>
            <w:tcW w:w="3357" w:type="pct"/>
            <w:tcBorders>
              <w:bottom w:val="single" w:color="auto" w:sz="4" w:space="0"/>
            </w:tcBorders>
            <w:noWrap w:val="0"/>
            <w:vAlign w:val="top"/>
          </w:tcPr>
          <w:p w14:paraId="1EC6386F">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1、拟派项目负责人具备测绘类专业或信息化、软件、系统集成类专业副高级及以上职称的得1分，具备测绘类专业或信息化、软件、系统集成类专业中级职称的得0.5分，不提供不得分。</w:t>
            </w:r>
          </w:p>
          <w:p w14:paraId="4332D021">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2、投标人拟派人员具有信息系统项目管理师、网络工程师、系统集成项目管理工程师、软件设计师、系统架构设计师证书，得5分，每缺少一项扣1分，不提供不得分。</w:t>
            </w:r>
          </w:p>
          <w:p w14:paraId="4F1B7FAF">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拟派项目组成员结构合理，人数10人以上，具有地理信息、测绘工程、计算机相关专业人员，并提供详细的人员配置表及相关证明材料，明确项目人员的职责，得2分。配备人员不满足或配备人员专业不齐全或资料不全一项扣1分，扣完为止。</w:t>
            </w:r>
          </w:p>
          <w:p w14:paraId="3BD95414">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说明：提供证书扫描件及开标前近3个月内中任意1个月供应商为上述人员缴纳社保证明材料；团队成员中一人同时具备多个证书时仅计1次；未提供或不符合要求的不得分。</w:t>
            </w:r>
          </w:p>
        </w:tc>
        <w:tc>
          <w:tcPr>
            <w:tcW w:w="599" w:type="pct"/>
            <w:tcBorders>
              <w:bottom w:val="single" w:color="auto" w:sz="4" w:space="0"/>
            </w:tcBorders>
            <w:noWrap w:val="0"/>
            <w:vAlign w:val="center"/>
          </w:tcPr>
          <w:p w14:paraId="6A74BB97">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8分</w:t>
            </w:r>
          </w:p>
        </w:tc>
      </w:tr>
      <w:tr w14:paraId="387CE0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5000" w:type="pct"/>
            <w:gridSpan w:val="4"/>
            <w:tcBorders>
              <w:top w:val="single" w:color="auto" w:sz="4" w:space="0"/>
              <w:left w:val="nil"/>
              <w:bottom w:val="single" w:color="auto" w:sz="4" w:space="0"/>
              <w:right w:val="nil"/>
            </w:tcBorders>
            <w:noWrap w:val="0"/>
            <w:vAlign w:val="center"/>
          </w:tcPr>
          <w:p w14:paraId="09983DF0">
            <w:pPr>
              <w:pStyle w:val="18"/>
              <w:keepNext w:val="0"/>
              <w:keepLines w:val="0"/>
              <w:pageBreakBefore w:val="0"/>
              <w:kinsoku/>
              <w:wordWrap/>
              <w:overflowPunct/>
              <w:topLinePunct w:val="0"/>
              <w:autoSpaceDE/>
              <w:autoSpaceDN/>
              <w:bidi w:val="0"/>
              <w:spacing w:line="360" w:lineRule="auto"/>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r>
            <w:r>
              <w:rPr>
                <w:rFonts w:hint="eastAsia" w:ascii="仿宋" w:hAnsi="仿宋" w:eastAsia="仿宋" w:cs="仿宋"/>
                <w:b/>
                <w:bCs/>
                <w:color w:val="auto"/>
                <w:sz w:val="24"/>
                <w:szCs w:val="24"/>
                <w:highlight w:val="none"/>
                <w:lang w:val="en-US" w:eastAsia="zh-CN"/>
              </w:rPr>
              <w:t>技术部分评审标准（55</w:t>
            </w:r>
            <w:r>
              <w:rPr>
                <w:rFonts w:hint="eastAsia" w:ascii="仿宋" w:hAnsi="仿宋" w:eastAsia="仿宋" w:cs="仿宋"/>
                <w:b/>
                <w:bCs/>
                <w:color w:val="auto"/>
                <w:kern w:val="2"/>
                <w:sz w:val="24"/>
                <w:szCs w:val="24"/>
                <w:highlight w:val="none"/>
                <w:lang w:val="en-US" w:eastAsia="zh-CN"/>
              </w:rPr>
              <w:t>分</w:t>
            </w:r>
            <w:r>
              <w:rPr>
                <w:rFonts w:hint="eastAsia" w:ascii="仿宋" w:hAnsi="仿宋" w:eastAsia="仿宋" w:cs="仿宋"/>
                <w:b/>
                <w:bCs/>
                <w:color w:val="auto"/>
                <w:sz w:val="24"/>
                <w:szCs w:val="24"/>
                <w:highlight w:val="none"/>
                <w:lang w:val="en-US" w:eastAsia="zh-CN"/>
              </w:rPr>
              <w:t>）</w:t>
            </w:r>
          </w:p>
        </w:tc>
      </w:tr>
      <w:tr w14:paraId="26027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tcBorders>
              <w:top w:val="single" w:color="auto" w:sz="4" w:space="0"/>
              <w:left w:val="single" w:color="auto" w:sz="4" w:space="0"/>
              <w:bottom w:val="single" w:color="auto" w:sz="4" w:space="0"/>
              <w:right w:val="single" w:color="auto" w:sz="4" w:space="0"/>
            </w:tcBorders>
            <w:noWrap w:val="0"/>
            <w:vAlign w:val="center"/>
          </w:tcPr>
          <w:p w14:paraId="2CA19557">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b/>
                <w:bCs/>
                <w:color w:val="auto"/>
                <w:kern w:val="2"/>
                <w:sz w:val="24"/>
                <w:szCs w:val="24"/>
                <w:highlight w:val="none"/>
              </w:rPr>
              <w:t>序号</w:t>
            </w:r>
          </w:p>
        </w:tc>
        <w:tc>
          <w:tcPr>
            <w:tcW w:w="685" w:type="pct"/>
            <w:tcBorders>
              <w:top w:val="single" w:color="auto" w:sz="4" w:space="0"/>
              <w:left w:val="single" w:color="auto" w:sz="4" w:space="0"/>
              <w:bottom w:val="single" w:color="auto" w:sz="4" w:space="0"/>
              <w:right w:val="single" w:color="auto" w:sz="4" w:space="0"/>
            </w:tcBorders>
            <w:noWrap w:val="0"/>
            <w:vAlign w:val="center"/>
          </w:tcPr>
          <w:p w14:paraId="09B14ECF">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rPr>
            </w:pPr>
            <w:r>
              <w:rPr>
                <w:rFonts w:hint="eastAsia" w:ascii="仿宋" w:hAnsi="仿宋" w:eastAsia="仿宋" w:cs="仿宋"/>
                <w:b/>
                <w:bCs/>
                <w:color w:val="auto"/>
                <w:kern w:val="2"/>
                <w:sz w:val="24"/>
                <w:szCs w:val="24"/>
                <w:highlight w:val="none"/>
              </w:rPr>
              <w:t>评分</w:t>
            </w:r>
            <w:r>
              <w:rPr>
                <w:rFonts w:hint="eastAsia" w:ascii="仿宋" w:hAnsi="仿宋" w:eastAsia="仿宋" w:cs="仿宋"/>
                <w:b/>
                <w:bCs/>
                <w:color w:val="auto"/>
                <w:kern w:val="2"/>
                <w:sz w:val="24"/>
                <w:szCs w:val="24"/>
                <w:highlight w:val="none"/>
                <w:lang w:val="en-US" w:eastAsia="zh-CN"/>
              </w:rPr>
              <w:t>项目</w:t>
            </w:r>
          </w:p>
        </w:tc>
        <w:tc>
          <w:tcPr>
            <w:tcW w:w="3357" w:type="pct"/>
            <w:tcBorders>
              <w:top w:val="single" w:color="auto" w:sz="4" w:space="0"/>
              <w:left w:val="single" w:color="auto" w:sz="4" w:space="0"/>
              <w:bottom w:val="single" w:color="auto" w:sz="4" w:space="0"/>
              <w:right w:val="single" w:color="auto" w:sz="4" w:space="0"/>
            </w:tcBorders>
            <w:noWrap w:val="0"/>
            <w:vAlign w:val="center"/>
          </w:tcPr>
          <w:p w14:paraId="484F1A70">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rPr>
            </w:pPr>
            <w:r>
              <w:rPr>
                <w:rFonts w:hint="eastAsia" w:ascii="仿宋" w:hAnsi="仿宋" w:eastAsia="仿宋" w:cs="仿宋"/>
                <w:b/>
                <w:bCs/>
                <w:color w:val="auto"/>
                <w:kern w:val="2"/>
                <w:sz w:val="24"/>
                <w:szCs w:val="24"/>
                <w:highlight w:val="none"/>
              </w:rPr>
              <w:t>评分标准</w:t>
            </w:r>
          </w:p>
        </w:tc>
        <w:tc>
          <w:tcPr>
            <w:tcW w:w="599" w:type="pct"/>
            <w:tcBorders>
              <w:top w:val="single" w:color="auto" w:sz="4" w:space="0"/>
              <w:left w:val="single" w:color="auto" w:sz="4" w:space="0"/>
              <w:bottom w:val="single" w:color="auto" w:sz="4" w:space="0"/>
              <w:right w:val="single" w:color="auto" w:sz="4" w:space="0"/>
            </w:tcBorders>
            <w:noWrap w:val="0"/>
            <w:vAlign w:val="center"/>
          </w:tcPr>
          <w:p w14:paraId="1B05DDD3">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分值</w:t>
            </w:r>
          </w:p>
        </w:tc>
      </w:tr>
      <w:tr w14:paraId="516943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F8F209">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1</w:t>
            </w:r>
          </w:p>
        </w:tc>
        <w:tc>
          <w:tcPr>
            <w:tcW w:w="685" w:type="pct"/>
            <w:tcBorders>
              <w:top w:val="single" w:color="auto" w:sz="4" w:space="0"/>
              <w:left w:val="single" w:color="auto" w:sz="4" w:space="0"/>
              <w:bottom w:val="single" w:color="auto" w:sz="4" w:space="0"/>
              <w:right w:val="single" w:color="auto" w:sz="4" w:space="0"/>
            </w:tcBorders>
            <w:noWrap w:val="0"/>
            <w:vAlign w:val="center"/>
          </w:tcPr>
          <w:p w14:paraId="32B1BA1A">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技术响应</w:t>
            </w:r>
          </w:p>
        </w:tc>
        <w:tc>
          <w:tcPr>
            <w:tcW w:w="3357" w:type="pct"/>
            <w:tcBorders>
              <w:top w:val="single" w:color="auto" w:sz="4" w:space="0"/>
              <w:left w:val="single" w:color="auto" w:sz="4" w:space="0"/>
              <w:bottom w:val="single" w:color="auto" w:sz="4" w:space="0"/>
              <w:right w:val="single" w:color="auto" w:sz="4" w:space="0"/>
            </w:tcBorders>
            <w:noWrap w:val="0"/>
            <w:vAlign w:val="center"/>
          </w:tcPr>
          <w:p w14:paraId="426DC986">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标记为“</w:t>
            </w:r>
            <w:r>
              <w:rPr>
                <w:rFonts w:hint="eastAsia" w:ascii="仿宋" w:hAnsi="仿宋" w:eastAsia="仿宋" w:cs="仿宋"/>
                <w:color w:val="auto"/>
                <w:sz w:val="24"/>
                <w:szCs w:val="24"/>
                <w:lang w:val="en-US" w:eastAsia="zh-CN"/>
              </w:rPr>
              <w:t>★</w:t>
            </w:r>
            <w:r>
              <w:rPr>
                <w:rFonts w:hint="eastAsia" w:ascii="仿宋" w:hAnsi="仿宋" w:eastAsia="仿宋" w:cs="仿宋"/>
                <w:i w:val="0"/>
                <w:iCs w:val="0"/>
                <w:color w:val="auto"/>
                <w:kern w:val="0"/>
                <w:sz w:val="24"/>
                <w:szCs w:val="24"/>
                <w:u w:val="none"/>
                <w:lang w:val="en-US" w:eastAsia="zh-CN" w:bidi="ar"/>
              </w:rPr>
              <w:t>”的参数是核心技术条款，有一条不满足扣3分；无“</w:t>
            </w:r>
            <w:r>
              <w:rPr>
                <w:rFonts w:hint="eastAsia" w:ascii="仿宋" w:hAnsi="仿宋" w:eastAsia="仿宋" w:cs="仿宋"/>
                <w:color w:val="auto"/>
                <w:sz w:val="24"/>
                <w:szCs w:val="24"/>
                <w:lang w:val="en-US" w:eastAsia="zh-CN"/>
              </w:rPr>
              <w:t>★</w:t>
            </w:r>
            <w:r>
              <w:rPr>
                <w:rFonts w:hint="eastAsia" w:ascii="仿宋" w:hAnsi="仿宋" w:eastAsia="仿宋" w:cs="仿宋"/>
                <w:i w:val="0"/>
                <w:iCs w:val="0"/>
                <w:color w:val="auto"/>
                <w:kern w:val="0"/>
                <w:sz w:val="24"/>
                <w:szCs w:val="24"/>
                <w:u w:val="none"/>
                <w:lang w:val="en-US" w:eastAsia="zh-CN" w:bidi="ar"/>
              </w:rPr>
              <w:t>”标记的指标是一般技术指标要求，一项不满足扣1分。扣完为止。</w:t>
            </w:r>
          </w:p>
          <w:p w14:paraId="3F38C3F3">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注：负偏离评审依据：①所提供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技术偏离表内容与招标参数要求提供的证明文件内容描述不一致，视为负偏离。</w:t>
            </w:r>
          </w:p>
        </w:tc>
        <w:tc>
          <w:tcPr>
            <w:tcW w:w="599" w:type="pct"/>
            <w:tcBorders>
              <w:top w:val="single" w:color="auto" w:sz="4" w:space="0"/>
              <w:left w:val="single" w:color="auto" w:sz="4" w:space="0"/>
              <w:bottom w:val="single" w:color="auto" w:sz="4" w:space="0"/>
              <w:right w:val="single" w:color="auto" w:sz="4" w:space="0"/>
            </w:tcBorders>
            <w:noWrap w:val="0"/>
            <w:vAlign w:val="center"/>
          </w:tcPr>
          <w:p w14:paraId="049851B6">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24分</w:t>
            </w:r>
          </w:p>
        </w:tc>
      </w:tr>
      <w:bookmarkEnd w:id="230"/>
      <w:tr w14:paraId="0EFA35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C6550E">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2</w:t>
            </w:r>
          </w:p>
        </w:tc>
        <w:tc>
          <w:tcPr>
            <w:tcW w:w="685" w:type="pct"/>
            <w:tcBorders>
              <w:top w:val="single" w:color="auto" w:sz="4" w:space="0"/>
              <w:left w:val="single" w:color="auto" w:sz="4" w:space="0"/>
              <w:bottom w:val="single" w:color="auto" w:sz="4" w:space="0"/>
              <w:right w:val="single" w:color="auto" w:sz="4" w:space="0"/>
            </w:tcBorders>
            <w:noWrap w:val="0"/>
            <w:vAlign w:val="center"/>
          </w:tcPr>
          <w:p w14:paraId="1FEFDA74">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仿宋" w:hAnsi="仿宋" w:eastAsia="仿宋" w:cs="仿宋"/>
                <w:color w:val="auto"/>
                <w:kern w:val="2"/>
                <w:sz w:val="24"/>
                <w:szCs w:val="24"/>
                <w:highlight w:val="none"/>
                <w:lang w:eastAsia="zh-CN"/>
              </w:rPr>
            </w:pPr>
            <w:r>
              <w:rPr>
                <w:rFonts w:hint="eastAsia" w:ascii="仿宋" w:hAnsi="仿宋" w:eastAsia="仿宋" w:cs="仿宋"/>
                <w:i w:val="0"/>
                <w:iCs w:val="0"/>
                <w:color w:val="auto"/>
                <w:kern w:val="0"/>
                <w:sz w:val="24"/>
                <w:szCs w:val="24"/>
                <w:u w:val="none"/>
                <w:lang w:val="en-US" w:eastAsia="zh-CN" w:bidi="ar"/>
              </w:rPr>
              <w:t>服务方案</w:t>
            </w:r>
          </w:p>
        </w:tc>
        <w:tc>
          <w:tcPr>
            <w:tcW w:w="3357" w:type="pct"/>
            <w:tcBorders>
              <w:top w:val="single" w:color="auto" w:sz="4" w:space="0"/>
              <w:left w:val="single" w:color="auto" w:sz="4" w:space="0"/>
              <w:bottom w:val="single" w:color="auto" w:sz="4" w:space="0"/>
              <w:right w:val="single" w:color="auto" w:sz="4" w:space="0"/>
            </w:tcBorders>
            <w:noWrap w:val="0"/>
            <w:vAlign w:val="center"/>
          </w:tcPr>
          <w:p w14:paraId="156F70EB">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i w:val="0"/>
                <w:iCs w:val="0"/>
                <w:color w:val="auto"/>
                <w:kern w:val="0"/>
                <w:sz w:val="24"/>
                <w:szCs w:val="24"/>
                <w:u w:val="none"/>
                <w:lang w:val="en-US" w:eastAsia="zh-CN" w:bidi="ar"/>
              </w:rPr>
              <w:t>供应商针对本项目提供技术服务方案，方案内容包含但不限于①项目作业业态与服务范围；②现场施工方案；③地质背景及校园环境、管线布置理解；④工作方法选择；⑤项目技术要求；⑥数据处理方法、流程；⑦项目团队配置及规划；⑧工器具设备配置方案；⑨供货设备的质量保障措施及保证等。工作方法选择可靠、技术要求明确、工区现场情况熟悉、方案编制全部满足招标要求的得18分，每缺少一项内容扣2分，</w:t>
            </w:r>
            <w:r>
              <w:rPr>
                <w:rFonts w:hint="eastAsia" w:ascii="仿宋" w:hAnsi="仿宋" w:eastAsia="仿宋" w:cs="仿宋"/>
                <w:color w:val="auto"/>
                <w:kern w:val="0"/>
                <w:sz w:val="24"/>
                <w:szCs w:val="24"/>
                <w:highlight w:val="none"/>
                <w:lang w:val="zh-CN"/>
              </w:rPr>
              <w:t>每项内容中每有一处内容缺陷</w:t>
            </w:r>
            <w:r>
              <w:rPr>
                <w:rFonts w:hint="eastAsia" w:ascii="仿宋" w:hAnsi="仿宋" w:eastAsia="仿宋" w:cs="仿宋"/>
                <w:i w:val="0"/>
                <w:iCs w:val="0"/>
                <w:color w:val="auto"/>
                <w:kern w:val="0"/>
                <w:sz w:val="24"/>
                <w:szCs w:val="24"/>
                <w:u w:val="none"/>
                <w:lang w:val="en-US" w:eastAsia="zh-CN" w:bidi="ar"/>
              </w:rPr>
              <w:t>扣1分，扣完为止。(缺陷是指：存在不适用项目实际情况的情形、凭空编造、内容前后不一致、前后逻辑错误、涉及的规范及标准错误、地点区域错误、内容遗漏、不符合项目需求等)。</w:t>
            </w:r>
          </w:p>
        </w:tc>
        <w:tc>
          <w:tcPr>
            <w:tcW w:w="599" w:type="pct"/>
            <w:tcBorders>
              <w:top w:val="single" w:color="auto" w:sz="4" w:space="0"/>
              <w:left w:val="single" w:color="auto" w:sz="4" w:space="0"/>
              <w:bottom w:val="single" w:color="auto" w:sz="4" w:space="0"/>
              <w:right w:val="single" w:color="auto" w:sz="4" w:space="0"/>
            </w:tcBorders>
            <w:noWrap w:val="0"/>
            <w:vAlign w:val="center"/>
          </w:tcPr>
          <w:p w14:paraId="675D95DC">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18分</w:t>
            </w:r>
          </w:p>
        </w:tc>
      </w:tr>
      <w:tr w14:paraId="2387F8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tcBorders>
              <w:top w:val="single" w:color="auto" w:sz="4" w:space="0"/>
            </w:tcBorders>
            <w:shd w:val="clear" w:color="auto" w:fill="auto"/>
            <w:noWrap w:val="0"/>
            <w:vAlign w:val="center"/>
          </w:tcPr>
          <w:p w14:paraId="3D955445">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3</w:t>
            </w:r>
          </w:p>
        </w:tc>
        <w:tc>
          <w:tcPr>
            <w:tcW w:w="685" w:type="pct"/>
            <w:tcBorders>
              <w:top w:val="single" w:color="auto" w:sz="4" w:space="0"/>
            </w:tcBorders>
            <w:noWrap w:val="0"/>
            <w:vAlign w:val="center"/>
          </w:tcPr>
          <w:p w14:paraId="27428F42">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仿宋" w:hAnsi="仿宋" w:eastAsia="仿宋" w:cs="仿宋"/>
                <w:color w:val="auto"/>
                <w:kern w:val="2"/>
                <w:sz w:val="24"/>
                <w:szCs w:val="24"/>
                <w:highlight w:val="none"/>
              </w:rPr>
            </w:pPr>
            <w:r>
              <w:rPr>
                <w:rFonts w:hint="eastAsia" w:ascii="仿宋" w:hAnsi="仿宋" w:eastAsia="仿宋" w:cs="仿宋"/>
                <w:i w:val="0"/>
                <w:iCs w:val="0"/>
                <w:color w:val="auto"/>
                <w:kern w:val="0"/>
                <w:sz w:val="24"/>
                <w:szCs w:val="24"/>
                <w:u w:val="none"/>
                <w:lang w:val="en-US" w:eastAsia="zh-CN" w:bidi="ar"/>
              </w:rPr>
              <w:t>进度控制方案</w:t>
            </w:r>
          </w:p>
        </w:tc>
        <w:tc>
          <w:tcPr>
            <w:tcW w:w="3357" w:type="pct"/>
            <w:tcBorders>
              <w:top w:val="single" w:color="auto" w:sz="4" w:space="0"/>
            </w:tcBorders>
            <w:noWrap w:val="0"/>
            <w:vAlign w:val="center"/>
          </w:tcPr>
          <w:p w14:paraId="349D1D18">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color w:val="auto"/>
                <w:kern w:val="2"/>
                <w:sz w:val="24"/>
                <w:szCs w:val="24"/>
                <w:highlight w:val="none"/>
              </w:rPr>
            </w:pPr>
            <w:r>
              <w:rPr>
                <w:rFonts w:hint="eastAsia" w:ascii="仿宋" w:hAnsi="仿宋" w:eastAsia="仿宋" w:cs="仿宋"/>
                <w:i w:val="0"/>
                <w:iCs w:val="0"/>
                <w:color w:val="auto"/>
                <w:kern w:val="0"/>
                <w:sz w:val="24"/>
                <w:szCs w:val="24"/>
                <w:u w:val="none"/>
                <w:lang w:val="en-US" w:eastAsia="zh-CN" w:bidi="ar"/>
              </w:rPr>
              <w:t>进度控制方案包括但不限于：①进度控制目标；②进度控制要点；③进度控制措施等。内容齐全且完全满足项目要求得3分，每缺少一项内容扣1分，</w:t>
            </w:r>
            <w:r>
              <w:rPr>
                <w:rFonts w:hint="eastAsia" w:ascii="仿宋" w:hAnsi="仿宋" w:eastAsia="仿宋" w:cs="仿宋"/>
                <w:color w:val="auto"/>
                <w:kern w:val="0"/>
                <w:sz w:val="24"/>
                <w:szCs w:val="24"/>
                <w:highlight w:val="none"/>
                <w:lang w:val="zh-CN"/>
              </w:rPr>
              <w:t>每项内容中每有一处内容缺陷</w:t>
            </w:r>
            <w:r>
              <w:rPr>
                <w:rFonts w:hint="eastAsia" w:ascii="仿宋" w:hAnsi="仿宋" w:eastAsia="仿宋" w:cs="仿宋"/>
                <w:i w:val="0"/>
                <w:iCs w:val="0"/>
                <w:color w:val="auto"/>
                <w:kern w:val="0"/>
                <w:sz w:val="24"/>
                <w:szCs w:val="24"/>
                <w:u w:val="none"/>
                <w:lang w:val="en-US" w:eastAsia="zh-CN" w:bidi="ar"/>
              </w:rPr>
              <w:t>扣0.5分，扣完为止。(缺陷是指：存在不适用项目实际情况的情形、凭空编造、内容前后不一致、前后逻辑错误、涉及的规范及标准错误、地点区域错误、内容遗漏、不符合项目需求等)。</w:t>
            </w:r>
          </w:p>
        </w:tc>
        <w:tc>
          <w:tcPr>
            <w:tcW w:w="599" w:type="pct"/>
            <w:tcBorders>
              <w:top w:val="single" w:color="auto" w:sz="4" w:space="0"/>
            </w:tcBorders>
            <w:noWrap w:val="0"/>
            <w:vAlign w:val="center"/>
          </w:tcPr>
          <w:p w14:paraId="7AF8688F">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3分</w:t>
            </w:r>
          </w:p>
        </w:tc>
      </w:tr>
      <w:tr w14:paraId="5402AF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tcBorders>
              <w:top w:val="single" w:color="auto" w:sz="4" w:space="0"/>
            </w:tcBorders>
            <w:shd w:val="clear" w:color="auto" w:fill="auto"/>
            <w:noWrap w:val="0"/>
            <w:vAlign w:val="center"/>
          </w:tcPr>
          <w:p w14:paraId="4D5EAFA2">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4</w:t>
            </w:r>
          </w:p>
        </w:tc>
        <w:tc>
          <w:tcPr>
            <w:tcW w:w="685" w:type="pct"/>
            <w:tcBorders>
              <w:top w:val="single" w:color="auto" w:sz="4" w:space="0"/>
            </w:tcBorders>
            <w:noWrap w:val="0"/>
            <w:vAlign w:val="center"/>
          </w:tcPr>
          <w:p w14:paraId="387540F6">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仿宋" w:hAnsi="仿宋" w:eastAsia="仿宋" w:cs="仿宋"/>
                <w:color w:val="auto"/>
                <w:kern w:val="2"/>
                <w:sz w:val="24"/>
                <w:szCs w:val="24"/>
                <w:highlight w:val="none"/>
              </w:rPr>
            </w:pPr>
            <w:r>
              <w:rPr>
                <w:rFonts w:hint="eastAsia" w:ascii="仿宋" w:hAnsi="仿宋" w:eastAsia="仿宋" w:cs="仿宋"/>
                <w:i w:val="0"/>
                <w:iCs w:val="0"/>
                <w:color w:val="auto"/>
                <w:kern w:val="0"/>
                <w:sz w:val="24"/>
                <w:szCs w:val="24"/>
                <w:u w:val="none"/>
                <w:lang w:val="en-US" w:eastAsia="zh-CN" w:bidi="ar"/>
              </w:rPr>
              <w:t>质量控制方案</w:t>
            </w:r>
          </w:p>
        </w:tc>
        <w:tc>
          <w:tcPr>
            <w:tcW w:w="3357" w:type="pct"/>
            <w:tcBorders>
              <w:top w:val="single" w:color="auto" w:sz="4" w:space="0"/>
            </w:tcBorders>
            <w:noWrap w:val="0"/>
            <w:vAlign w:val="center"/>
          </w:tcPr>
          <w:p w14:paraId="15C4EBBE">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color w:val="auto"/>
                <w:kern w:val="2"/>
                <w:sz w:val="24"/>
                <w:szCs w:val="24"/>
                <w:highlight w:val="none"/>
              </w:rPr>
            </w:pPr>
            <w:r>
              <w:rPr>
                <w:rFonts w:hint="eastAsia" w:ascii="仿宋" w:hAnsi="仿宋" w:eastAsia="仿宋" w:cs="仿宋"/>
                <w:i w:val="0"/>
                <w:iCs w:val="0"/>
                <w:color w:val="auto"/>
                <w:kern w:val="0"/>
                <w:sz w:val="24"/>
                <w:szCs w:val="24"/>
                <w:u w:val="none"/>
                <w:lang w:val="en-US" w:eastAsia="zh-CN" w:bidi="ar"/>
              </w:rPr>
              <w:t>质量控制方案包括但不限于：①质量控制目标；②质量控制要点；③质量控制措施。内容齐全且完全满足项目要求得3分，每缺少一项内容扣1分，</w:t>
            </w:r>
            <w:r>
              <w:rPr>
                <w:rFonts w:hint="eastAsia" w:ascii="仿宋" w:hAnsi="仿宋" w:eastAsia="仿宋" w:cs="仿宋"/>
                <w:color w:val="auto"/>
                <w:kern w:val="0"/>
                <w:sz w:val="24"/>
                <w:szCs w:val="24"/>
                <w:highlight w:val="none"/>
                <w:lang w:val="zh-CN"/>
              </w:rPr>
              <w:t>每项内容中每有一处内容缺陷</w:t>
            </w:r>
            <w:r>
              <w:rPr>
                <w:rFonts w:hint="eastAsia" w:ascii="仿宋" w:hAnsi="仿宋" w:eastAsia="仿宋" w:cs="仿宋"/>
                <w:i w:val="0"/>
                <w:iCs w:val="0"/>
                <w:color w:val="auto"/>
                <w:kern w:val="0"/>
                <w:sz w:val="24"/>
                <w:szCs w:val="24"/>
                <w:u w:val="none"/>
                <w:lang w:val="en-US" w:eastAsia="zh-CN" w:bidi="ar"/>
              </w:rPr>
              <w:t>扣0.5分，扣完为止。(缺陷是指：存在不适用项目实际情况的情形、凭空编造、内容前后不一致、前后逻辑错误、涉及的规范及标准错误、地点区域错误、内容遗漏、不符合项目需求等)。</w:t>
            </w:r>
          </w:p>
        </w:tc>
        <w:tc>
          <w:tcPr>
            <w:tcW w:w="599" w:type="pct"/>
            <w:tcBorders>
              <w:top w:val="single" w:color="auto" w:sz="4" w:space="0"/>
            </w:tcBorders>
            <w:noWrap w:val="0"/>
            <w:vAlign w:val="center"/>
          </w:tcPr>
          <w:p w14:paraId="0D31D81E">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3分</w:t>
            </w:r>
          </w:p>
        </w:tc>
      </w:tr>
      <w:tr w14:paraId="55EC12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shd w:val="clear" w:color="auto" w:fill="auto"/>
            <w:noWrap w:val="0"/>
            <w:vAlign w:val="center"/>
          </w:tcPr>
          <w:p w14:paraId="34D40C93">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5</w:t>
            </w:r>
          </w:p>
        </w:tc>
        <w:tc>
          <w:tcPr>
            <w:tcW w:w="685" w:type="pct"/>
            <w:noWrap w:val="0"/>
            <w:vAlign w:val="center"/>
          </w:tcPr>
          <w:p w14:paraId="5AFED89F">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仿宋" w:hAnsi="仿宋" w:eastAsia="仿宋" w:cs="仿宋"/>
                <w:color w:val="auto"/>
                <w:kern w:val="2"/>
                <w:sz w:val="24"/>
                <w:szCs w:val="24"/>
                <w:highlight w:val="none"/>
                <w:lang w:eastAsia="zh-CN"/>
              </w:rPr>
            </w:pPr>
            <w:r>
              <w:rPr>
                <w:rFonts w:hint="eastAsia" w:ascii="仿宋" w:hAnsi="仿宋" w:eastAsia="仿宋" w:cs="仿宋"/>
                <w:i w:val="0"/>
                <w:iCs w:val="0"/>
                <w:color w:val="auto"/>
                <w:kern w:val="0"/>
                <w:sz w:val="24"/>
                <w:szCs w:val="24"/>
                <w:u w:val="none"/>
                <w:lang w:val="en-US" w:eastAsia="zh-CN" w:bidi="ar"/>
              </w:rPr>
              <w:t>安全控制方案</w:t>
            </w:r>
          </w:p>
        </w:tc>
        <w:tc>
          <w:tcPr>
            <w:tcW w:w="3357" w:type="pct"/>
            <w:noWrap w:val="0"/>
            <w:vAlign w:val="center"/>
          </w:tcPr>
          <w:p w14:paraId="6242FB80">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i w:val="0"/>
                <w:iCs w:val="0"/>
                <w:color w:val="auto"/>
                <w:kern w:val="0"/>
                <w:sz w:val="24"/>
                <w:szCs w:val="24"/>
                <w:u w:val="none"/>
                <w:lang w:val="en-US" w:eastAsia="zh-CN" w:bidi="ar"/>
              </w:rPr>
              <w:t>安全控制方案包括但不限于：①安全控制目标；②安全控制要点；③安全控制措施；④应急预案。内容齐全且完全满足项目要求得4分，每缺少一项内容扣1分，</w:t>
            </w:r>
            <w:r>
              <w:rPr>
                <w:rFonts w:hint="eastAsia" w:ascii="仿宋" w:hAnsi="仿宋" w:eastAsia="仿宋" w:cs="仿宋"/>
                <w:color w:val="auto"/>
                <w:kern w:val="0"/>
                <w:sz w:val="24"/>
                <w:szCs w:val="24"/>
                <w:highlight w:val="none"/>
                <w:lang w:val="zh-CN"/>
              </w:rPr>
              <w:t>每项内容中每有一处内容缺陷</w:t>
            </w:r>
            <w:r>
              <w:rPr>
                <w:rFonts w:hint="eastAsia" w:ascii="仿宋" w:hAnsi="仿宋" w:eastAsia="仿宋" w:cs="仿宋"/>
                <w:i w:val="0"/>
                <w:iCs w:val="0"/>
                <w:color w:val="auto"/>
                <w:kern w:val="0"/>
                <w:sz w:val="24"/>
                <w:szCs w:val="24"/>
                <w:u w:val="none"/>
                <w:lang w:val="en-US" w:eastAsia="zh-CN" w:bidi="ar"/>
              </w:rPr>
              <w:t>扣0.5分，扣完为止。(缺陷是指：存在不适用项目实际情况的情形、凭空编造、内容前后不一致、前后逻辑错误、涉及的规范及标准错误、地点区域错误、内容遗漏、不符合项目需求等)。</w:t>
            </w:r>
          </w:p>
        </w:tc>
        <w:tc>
          <w:tcPr>
            <w:tcW w:w="599" w:type="pct"/>
            <w:noWrap w:val="0"/>
            <w:vAlign w:val="center"/>
          </w:tcPr>
          <w:p w14:paraId="742BAFAC">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4分</w:t>
            </w:r>
          </w:p>
        </w:tc>
      </w:tr>
      <w:tr w14:paraId="611D3B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113" w:type="dxa"/>
            <w:left w:w="125" w:type="dxa"/>
            <w:bottom w:w="113" w:type="dxa"/>
            <w:right w:w="125" w:type="dxa"/>
          </w:tblCellMar>
        </w:tblPrEx>
        <w:trPr>
          <w:trHeight w:val="90" w:hRule="atLeast"/>
        </w:trPr>
        <w:tc>
          <w:tcPr>
            <w:tcW w:w="358" w:type="pct"/>
            <w:noWrap w:val="0"/>
            <w:vAlign w:val="center"/>
          </w:tcPr>
          <w:p w14:paraId="28FA72E3">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6</w:t>
            </w:r>
          </w:p>
        </w:tc>
        <w:tc>
          <w:tcPr>
            <w:tcW w:w="685" w:type="pct"/>
            <w:noWrap w:val="0"/>
            <w:vAlign w:val="center"/>
          </w:tcPr>
          <w:p w14:paraId="6A4F9BAB">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仿宋" w:hAnsi="仿宋" w:eastAsia="仿宋" w:cs="仿宋"/>
                <w:color w:val="auto"/>
                <w:kern w:val="2"/>
                <w:sz w:val="24"/>
                <w:szCs w:val="24"/>
                <w:highlight w:val="none"/>
              </w:rPr>
            </w:pPr>
            <w:r>
              <w:rPr>
                <w:rFonts w:hint="eastAsia" w:ascii="仿宋" w:hAnsi="仿宋" w:eastAsia="仿宋" w:cs="仿宋"/>
                <w:i w:val="0"/>
                <w:iCs w:val="0"/>
                <w:color w:val="auto"/>
                <w:kern w:val="0"/>
                <w:sz w:val="24"/>
                <w:szCs w:val="24"/>
                <w:u w:val="none"/>
                <w:lang w:val="en-US" w:eastAsia="zh-CN" w:bidi="ar"/>
              </w:rPr>
              <w:t>售后服务</w:t>
            </w:r>
          </w:p>
        </w:tc>
        <w:tc>
          <w:tcPr>
            <w:tcW w:w="3357" w:type="pct"/>
            <w:noWrap w:val="0"/>
            <w:vAlign w:val="center"/>
          </w:tcPr>
          <w:p w14:paraId="49C4BF57">
            <w:pPr>
              <w:keepNext w:val="0"/>
              <w:keepLines w:val="0"/>
              <w:pageBreakBefore w:val="0"/>
              <w:widowControl/>
              <w:suppressLineNumbers w:val="0"/>
              <w:kinsoku/>
              <w:wordWrap/>
              <w:overflowPunct/>
              <w:topLinePunct w:val="0"/>
              <w:autoSpaceDE/>
              <w:autoSpaceDN/>
              <w:bidi w:val="0"/>
              <w:spacing w:line="360" w:lineRule="auto"/>
              <w:jc w:val="left"/>
              <w:textAlignment w:val="center"/>
              <w:rPr>
                <w:rFonts w:hint="eastAsia" w:ascii="仿宋" w:hAnsi="仿宋" w:eastAsia="仿宋" w:cs="仿宋"/>
                <w:color w:val="auto"/>
                <w:kern w:val="2"/>
                <w:sz w:val="24"/>
                <w:szCs w:val="24"/>
                <w:highlight w:val="none"/>
                <w:lang w:val="en-US"/>
              </w:rPr>
            </w:pPr>
            <w:r>
              <w:rPr>
                <w:rFonts w:hint="eastAsia" w:ascii="仿宋" w:hAnsi="仿宋" w:eastAsia="仿宋" w:cs="仿宋"/>
                <w:i w:val="0"/>
                <w:iCs w:val="0"/>
                <w:color w:val="auto"/>
                <w:kern w:val="0"/>
                <w:sz w:val="24"/>
                <w:szCs w:val="24"/>
                <w:u w:val="none"/>
                <w:lang w:val="en-US" w:eastAsia="zh-CN" w:bidi="ar"/>
              </w:rPr>
              <w:t>投标人提供针对本项目的售后服务方案，方案内容包括但不限于①售后服务承诺；②售后服务体系；③培训计划；内容齐全且完全满足项目要求得3分，每缺少一项内容扣1分，</w:t>
            </w:r>
            <w:r>
              <w:rPr>
                <w:rFonts w:hint="eastAsia" w:ascii="仿宋" w:hAnsi="仿宋" w:eastAsia="仿宋" w:cs="仿宋"/>
                <w:color w:val="auto"/>
                <w:kern w:val="0"/>
                <w:sz w:val="24"/>
                <w:szCs w:val="24"/>
                <w:highlight w:val="none"/>
                <w:lang w:val="zh-CN"/>
              </w:rPr>
              <w:t>每项内容中每有一处内容缺陷</w:t>
            </w:r>
            <w:r>
              <w:rPr>
                <w:rFonts w:hint="eastAsia" w:ascii="仿宋" w:hAnsi="仿宋" w:eastAsia="仿宋" w:cs="仿宋"/>
                <w:i w:val="0"/>
                <w:iCs w:val="0"/>
                <w:color w:val="auto"/>
                <w:kern w:val="0"/>
                <w:sz w:val="24"/>
                <w:szCs w:val="24"/>
                <w:u w:val="none"/>
                <w:lang w:val="en-US" w:eastAsia="zh-CN" w:bidi="ar"/>
              </w:rPr>
              <w:t>扣0.5分，扣完为止。(缺陷是指：存在不适用项目实际情况的情形、凭空编造、内容前后不一致、前后逻辑错误、涉及的规范及标准错误、地点区域错误、内容遗漏、不符合项目需求等)。</w:t>
            </w:r>
          </w:p>
        </w:tc>
        <w:tc>
          <w:tcPr>
            <w:tcW w:w="599" w:type="pct"/>
            <w:noWrap w:val="0"/>
            <w:vAlign w:val="center"/>
          </w:tcPr>
          <w:p w14:paraId="2251E8C3">
            <w:pPr>
              <w:keepNext w:val="0"/>
              <w:keepLines w:val="0"/>
              <w:pageBreakBefore w:val="0"/>
              <w:widowControl w:val="0"/>
              <w:kinsoku/>
              <w:wordWrap/>
              <w:overflowPunct/>
              <w:topLinePunct w:val="0"/>
              <w:autoSpaceDE/>
              <w:autoSpaceDN/>
              <w:bidi w:val="0"/>
              <w:spacing w:line="360" w:lineRule="auto"/>
              <w:jc w:val="center"/>
              <w:textAlignment w:val="top"/>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3分</w:t>
            </w:r>
          </w:p>
        </w:tc>
      </w:tr>
    </w:tbl>
    <w:p w14:paraId="1BDF348A">
      <w:pPr>
        <w:pStyle w:val="18"/>
        <w:spacing w:line="360" w:lineRule="auto"/>
        <w:jc w:val="center"/>
        <w:rPr>
          <w:rFonts w:hint="eastAsia" w:ascii="仿宋" w:hAnsi="仿宋" w:eastAsia="仿宋" w:cs="仿宋"/>
          <w:b/>
          <w:bCs/>
          <w:color w:val="auto"/>
          <w:sz w:val="24"/>
          <w:szCs w:val="24"/>
          <w:highlight w:val="none"/>
          <w:lang w:val="en-US" w:eastAsia="zh-CN"/>
        </w:rPr>
      </w:pPr>
    </w:p>
    <w:p w14:paraId="5A6CA1F2">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报价部分评</w:t>
      </w:r>
      <w:r>
        <w:rPr>
          <w:rFonts w:hint="eastAsia" w:ascii="仿宋" w:hAnsi="仿宋" w:eastAsia="仿宋" w:cs="仿宋"/>
          <w:b/>
          <w:bCs/>
          <w:color w:val="auto"/>
          <w:sz w:val="24"/>
          <w:szCs w:val="24"/>
          <w:highlight w:val="none"/>
          <w:lang w:val="zh-CN"/>
        </w:rPr>
        <w:t>审</w:t>
      </w:r>
      <w:r>
        <w:rPr>
          <w:rFonts w:hint="eastAsia" w:ascii="仿宋" w:hAnsi="仿宋" w:eastAsia="仿宋" w:cs="仿宋"/>
          <w:b/>
          <w:bCs/>
          <w:color w:val="auto"/>
          <w:sz w:val="24"/>
          <w:szCs w:val="24"/>
          <w:highlight w:val="none"/>
        </w:rPr>
        <w:t>标准（</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0分）</w:t>
      </w:r>
    </w:p>
    <w:tbl>
      <w:tblPr>
        <w:tblStyle w:val="31"/>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7760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6C3E21BB">
            <w:pPr>
              <w:autoSpaceDE w:val="0"/>
              <w:autoSpaceDN w:val="0"/>
              <w:adjustRightInd w:val="0"/>
              <w:spacing w:line="360" w:lineRule="auto"/>
              <w:jc w:val="cente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序号</w:t>
            </w:r>
          </w:p>
        </w:tc>
        <w:tc>
          <w:tcPr>
            <w:tcW w:w="1661" w:type="dxa"/>
            <w:gridSpan w:val="2"/>
            <w:vAlign w:val="center"/>
          </w:tcPr>
          <w:p w14:paraId="36E649FA">
            <w:pPr>
              <w:autoSpaceDE w:val="0"/>
              <w:autoSpaceDN w:val="0"/>
              <w:adjustRightInd w:val="0"/>
              <w:spacing w:line="360" w:lineRule="auto"/>
              <w:jc w:val="cente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评审因素</w:t>
            </w:r>
          </w:p>
        </w:tc>
        <w:tc>
          <w:tcPr>
            <w:tcW w:w="6301" w:type="dxa"/>
            <w:vAlign w:val="center"/>
          </w:tcPr>
          <w:p w14:paraId="53845678">
            <w:pPr>
              <w:autoSpaceDE w:val="0"/>
              <w:autoSpaceDN w:val="0"/>
              <w:adjustRightInd w:val="0"/>
              <w:spacing w:line="360" w:lineRule="auto"/>
              <w:jc w:val="cente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评审标准</w:t>
            </w:r>
          </w:p>
        </w:tc>
      </w:tr>
      <w:tr w14:paraId="1CEE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171F6C68">
            <w:pPr>
              <w:autoSpaceDE w:val="0"/>
              <w:autoSpaceDN w:val="0"/>
              <w:adjustRightInd w:val="0"/>
              <w:spacing w:line="360" w:lineRule="auto"/>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1</w:t>
            </w:r>
          </w:p>
        </w:tc>
        <w:tc>
          <w:tcPr>
            <w:tcW w:w="1661" w:type="dxa"/>
            <w:gridSpan w:val="2"/>
            <w:vMerge w:val="restart"/>
            <w:vAlign w:val="center"/>
          </w:tcPr>
          <w:p w14:paraId="73B83ABC">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投标报价</w:t>
            </w:r>
          </w:p>
        </w:tc>
        <w:tc>
          <w:tcPr>
            <w:tcW w:w="6301" w:type="dxa"/>
            <w:vAlign w:val="center"/>
          </w:tcPr>
          <w:p w14:paraId="7E719364">
            <w:pPr>
              <w:autoSpaceDE w:val="0"/>
              <w:autoSpaceDN w:val="0"/>
              <w:adjustRightInd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评标基准价即满足招标文件要求且投标价格最低的投标报价。</w:t>
            </w:r>
          </w:p>
          <w:p w14:paraId="2E6D959C">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投标报价得分=（评标基准价/投标报价）×</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w:t>
            </w:r>
          </w:p>
        </w:tc>
      </w:tr>
      <w:tr w14:paraId="53C4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555" w:type="dxa"/>
            <w:vMerge w:val="continue"/>
            <w:vAlign w:val="center"/>
          </w:tcPr>
          <w:p w14:paraId="5D4F1CC6">
            <w:pPr>
              <w:autoSpaceDE w:val="0"/>
              <w:autoSpaceDN w:val="0"/>
              <w:adjustRightInd w:val="0"/>
              <w:spacing w:line="360" w:lineRule="auto"/>
              <w:jc w:val="center"/>
              <w:rPr>
                <w:rFonts w:hint="eastAsia" w:ascii="仿宋" w:hAnsi="仿宋" w:eastAsia="仿宋" w:cs="仿宋"/>
                <w:bCs/>
                <w:color w:val="auto"/>
                <w:sz w:val="24"/>
                <w:szCs w:val="24"/>
                <w:highlight w:val="none"/>
                <w:lang w:val="zh-CN"/>
              </w:rPr>
            </w:pPr>
          </w:p>
        </w:tc>
        <w:tc>
          <w:tcPr>
            <w:tcW w:w="1661" w:type="dxa"/>
            <w:gridSpan w:val="2"/>
            <w:vMerge w:val="continue"/>
            <w:vAlign w:val="center"/>
          </w:tcPr>
          <w:p w14:paraId="2119283C">
            <w:pPr>
              <w:autoSpaceDE w:val="0"/>
              <w:autoSpaceDN w:val="0"/>
              <w:adjustRightInd w:val="0"/>
              <w:spacing w:line="360" w:lineRule="auto"/>
              <w:jc w:val="center"/>
              <w:rPr>
                <w:rFonts w:hint="eastAsia" w:ascii="仿宋" w:hAnsi="仿宋" w:eastAsia="仿宋" w:cs="仿宋"/>
                <w:color w:val="auto"/>
                <w:sz w:val="24"/>
                <w:szCs w:val="24"/>
                <w:highlight w:val="none"/>
                <w:lang w:val="zh-CN"/>
              </w:rPr>
            </w:pPr>
          </w:p>
        </w:tc>
        <w:tc>
          <w:tcPr>
            <w:tcW w:w="6301" w:type="dxa"/>
            <w:vAlign w:val="center"/>
          </w:tcPr>
          <w:p w14:paraId="122A1144">
            <w:pPr>
              <w:snapToGrid w:val="0"/>
              <w:spacing w:line="360" w:lineRule="auto"/>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报价合理性审查</w:t>
            </w:r>
            <w:r>
              <w:rPr>
                <w:rFonts w:hint="eastAsia" w:ascii="仿宋" w:hAnsi="仿宋" w:eastAsia="仿宋" w:cs="仿宋"/>
                <w:b/>
                <w:bCs/>
                <w:color w:val="auto"/>
                <w:sz w:val="24"/>
                <w:szCs w:val="24"/>
                <w:highlight w:val="none"/>
                <w:lang w:eastAsia="zh-CN"/>
              </w:rPr>
              <w:t>：</w:t>
            </w:r>
          </w:p>
          <w:p w14:paraId="6EB2FFA9">
            <w:pPr>
              <w:snapToGrid w:val="0"/>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7A6C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2C37EBE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57" w:type="dxa"/>
            <w:vMerge w:val="restart"/>
            <w:vAlign w:val="center"/>
          </w:tcPr>
          <w:p w14:paraId="4048B1B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政府采购价格折扣优惠政策说明</w:t>
            </w:r>
          </w:p>
        </w:tc>
        <w:tc>
          <w:tcPr>
            <w:tcW w:w="1104" w:type="dxa"/>
            <w:vAlign w:val="center"/>
          </w:tcPr>
          <w:p w14:paraId="4A43DD7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中小企业</w:t>
            </w:r>
          </w:p>
        </w:tc>
        <w:tc>
          <w:tcPr>
            <w:tcW w:w="6301" w:type="dxa"/>
            <w:vAlign w:val="center"/>
          </w:tcPr>
          <w:p w14:paraId="46DBEA5A">
            <w:pPr>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本项目为非专门面向中小企业（含中型、小型、微型企业）采购项目；</w:t>
            </w:r>
            <w:r>
              <w:rPr>
                <w:rFonts w:hint="eastAsia" w:ascii="仿宋" w:hAnsi="仿宋" w:eastAsia="仿宋" w:cs="仿宋"/>
                <w:color w:val="auto"/>
                <w:sz w:val="24"/>
                <w:szCs w:val="24"/>
                <w:highlight w:val="none"/>
              </w:rPr>
              <w:t>根据《政府采购促进中小企业发展管理办法》（财库[2020]46号）的规定，执行价格评审优惠的扶持政策；</w:t>
            </w:r>
          </w:p>
        </w:tc>
      </w:tr>
      <w:tr w14:paraId="1CD6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62921EE7">
            <w:pPr>
              <w:spacing w:line="360" w:lineRule="auto"/>
              <w:jc w:val="center"/>
              <w:rPr>
                <w:rFonts w:hint="eastAsia" w:ascii="仿宋" w:hAnsi="仿宋" w:eastAsia="仿宋" w:cs="仿宋"/>
                <w:color w:val="auto"/>
                <w:sz w:val="24"/>
                <w:szCs w:val="24"/>
                <w:highlight w:val="none"/>
              </w:rPr>
            </w:pPr>
          </w:p>
        </w:tc>
        <w:tc>
          <w:tcPr>
            <w:tcW w:w="557" w:type="dxa"/>
            <w:vMerge w:val="continue"/>
            <w:vAlign w:val="center"/>
          </w:tcPr>
          <w:p w14:paraId="0B9E6674">
            <w:pPr>
              <w:spacing w:line="360" w:lineRule="auto"/>
              <w:jc w:val="center"/>
              <w:rPr>
                <w:rFonts w:hint="eastAsia" w:ascii="仿宋" w:hAnsi="仿宋" w:eastAsia="仿宋" w:cs="仿宋"/>
                <w:color w:val="auto"/>
                <w:sz w:val="24"/>
                <w:szCs w:val="24"/>
                <w:highlight w:val="none"/>
              </w:rPr>
            </w:pPr>
          </w:p>
        </w:tc>
        <w:tc>
          <w:tcPr>
            <w:tcW w:w="1104" w:type="dxa"/>
            <w:vAlign w:val="center"/>
          </w:tcPr>
          <w:p w14:paraId="2E1E7B3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监狱企业</w:t>
            </w:r>
          </w:p>
        </w:tc>
        <w:tc>
          <w:tcPr>
            <w:tcW w:w="6301" w:type="dxa"/>
            <w:vAlign w:val="center"/>
          </w:tcPr>
          <w:p w14:paraId="3FCC665A">
            <w:pPr>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根据财库〔2014〕68号《财政部司法部关于政府采购支持监狱企业发展有关问题的通知》，能够</w:t>
            </w:r>
            <w:r>
              <w:rPr>
                <w:rFonts w:hint="eastAsia" w:ascii="仿宋" w:hAnsi="仿宋" w:eastAsia="仿宋" w:cs="仿宋"/>
                <w:color w:val="auto"/>
                <w:sz w:val="24"/>
                <w:szCs w:val="24"/>
                <w:highlight w:val="none"/>
              </w:rPr>
              <w:t>提供由省级以上监狱管理局、戒毒管理局（含新疆生产建设兵团）出具的“属于监狱企业的证明文件”的监狱企业，</w:t>
            </w:r>
            <w:r>
              <w:rPr>
                <w:rFonts w:hint="eastAsia" w:ascii="仿宋" w:hAnsi="仿宋" w:eastAsia="仿宋" w:cs="仿宋"/>
                <w:bCs/>
                <w:color w:val="auto"/>
                <w:sz w:val="24"/>
                <w:szCs w:val="24"/>
                <w:highlight w:val="none"/>
              </w:rPr>
              <w:t>视同小型。</w:t>
            </w:r>
          </w:p>
        </w:tc>
      </w:tr>
      <w:tr w14:paraId="3813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4CF69368">
            <w:pPr>
              <w:spacing w:line="360" w:lineRule="auto"/>
              <w:jc w:val="center"/>
              <w:rPr>
                <w:rFonts w:hint="eastAsia" w:ascii="仿宋" w:hAnsi="仿宋" w:eastAsia="仿宋" w:cs="仿宋"/>
                <w:color w:val="auto"/>
                <w:sz w:val="24"/>
                <w:szCs w:val="24"/>
                <w:highlight w:val="none"/>
              </w:rPr>
            </w:pPr>
          </w:p>
        </w:tc>
        <w:tc>
          <w:tcPr>
            <w:tcW w:w="557" w:type="dxa"/>
            <w:vMerge w:val="continue"/>
            <w:vAlign w:val="center"/>
          </w:tcPr>
          <w:p w14:paraId="1309A0FC">
            <w:pPr>
              <w:spacing w:line="360" w:lineRule="auto"/>
              <w:jc w:val="center"/>
              <w:rPr>
                <w:rFonts w:hint="eastAsia" w:ascii="仿宋" w:hAnsi="仿宋" w:eastAsia="仿宋" w:cs="仿宋"/>
                <w:color w:val="auto"/>
                <w:sz w:val="24"/>
                <w:szCs w:val="24"/>
                <w:highlight w:val="none"/>
              </w:rPr>
            </w:pPr>
          </w:p>
        </w:tc>
        <w:tc>
          <w:tcPr>
            <w:tcW w:w="1104" w:type="dxa"/>
            <w:vAlign w:val="center"/>
          </w:tcPr>
          <w:p w14:paraId="7128D4C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福利企业</w:t>
            </w:r>
          </w:p>
        </w:tc>
        <w:tc>
          <w:tcPr>
            <w:tcW w:w="6301" w:type="dxa"/>
            <w:vAlign w:val="center"/>
          </w:tcPr>
          <w:p w14:paraId="2EEA1A9E">
            <w:pPr>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color w:val="auto"/>
                <w:sz w:val="24"/>
                <w:szCs w:val="24"/>
                <w:highlight w:val="none"/>
              </w:rPr>
              <w:t>自拟格式的</w:t>
            </w:r>
            <w:r>
              <w:rPr>
                <w:rFonts w:hint="eastAsia" w:ascii="仿宋" w:hAnsi="仿宋" w:eastAsia="仿宋" w:cs="仿宋"/>
                <w:bCs/>
                <w:color w:val="auto"/>
                <w:sz w:val="24"/>
                <w:szCs w:val="24"/>
                <w:highlight w:val="none"/>
              </w:rPr>
              <w:t>《残疾人福利性单位声明函》的残疾人福利性单位，视同小型。</w:t>
            </w:r>
          </w:p>
        </w:tc>
      </w:tr>
      <w:tr w14:paraId="704C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764BF904">
            <w:pPr>
              <w:spacing w:line="360" w:lineRule="auto"/>
              <w:rPr>
                <w:rFonts w:ascii="仿宋" w:hAnsi="仿宋" w:eastAsia="仿宋" w:cs="仿宋"/>
                <w:b/>
                <w:sz w:val="24"/>
                <w:highlight w:val="none"/>
                <w:lang w:val="zh-CN"/>
              </w:rPr>
            </w:pPr>
            <w:r>
              <w:rPr>
                <w:rFonts w:hint="eastAsia" w:ascii="仿宋" w:hAnsi="仿宋" w:eastAsia="仿宋" w:cs="仿宋"/>
                <w:b/>
                <w:sz w:val="24"/>
                <w:highlight w:val="none"/>
                <w:lang w:val="zh-CN"/>
              </w:rPr>
              <w:t>评分注意事项：</w:t>
            </w:r>
          </w:p>
          <w:p w14:paraId="17E3DB94">
            <w:pPr>
              <w:spacing w:line="360" w:lineRule="auto"/>
              <w:rPr>
                <w:rFonts w:ascii="仿宋" w:hAnsi="仿宋" w:eastAsia="仿宋" w:cs="仿宋"/>
                <w:b/>
                <w:sz w:val="24"/>
                <w:highlight w:val="none"/>
                <w:lang w:val="zh-CN"/>
              </w:rPr>
            </w:pPr>
            <w:r>
              <w:rPr>
                <w:rFonts w:hint="eastAsia" w:ascii="仿宋" w:hAnsi="仿宋" w:eastAsia="仿宋" w:cs="仿宋"/>
                <w:b/>
                <w:sz w:val="24"/>
                <w:highlight w:val="none"/>
                <w:lang w:val="zh-CN"/>
              </w:rPr>
              <w:t xml:space="preserve">    </w:t>
            </w:r>
            <w:r>
              <w:rPr>
                <w:rFonts w:hint="eastAsia" w:ascii="仿宋" w:hAnsi="仿宋" w:eastAsia="仿宋" w:cs="仿宋"/>
                <w:sz w:val="24"/>
                <w:highlight w:val="none"/>
                <w:lang w:val="zh-CN"/>
              </w:rPr>
              <w:t>因落实政府采购政策进行价格调整的，评标委员会应记录价格调整的依据、计算过程及计算结果。</w:t>
            </w:r>
          </w:p>
        </w:tc>
      </w:tr>
    </w:tbl>
    <w:p w14:paraId="4C297000">
      <w:pPr>
        <w:pStyle w:val="13"/>
        <w:tabs>
          <w:tab w:val="left" w:pos="600"/>
        </w:tabs>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4.5.1投标人总分=报价部分得分+技术、商务部分得分，结果保留两位小数。</w:t>
      </w:r>
    </w:p>
    <w:p w14:paraId="6563585C">
      <w:pPr>
        <w:spacing w:line="360" w:lineRule="auto"/>
        <w:ind w:firstLine="480" w:firstLineChars="200"/>
        <w:rPr>
          <w:rFonts w:ascii="仿宋" w:hAnsi="仿宋" w:eastAsia="仿宋" w:cs="仿宋"/>
          <w:sz w:val="24"/>
          <w:highlight w:val="none"/>
        </w:rPr>
      </w:pPr>
      <w:bookmarkStart w:id="231" w:name="_Toc217446060"/>
      <w:r>
        <w:rPr>
          <w:rFonts w:hint="eastAsia" w:ascii="仿宋" w:hAnsi="仿宋" w:eastAsia="仿宋" w:cs="仿宋"/>
          <w:sz w:val="24"/>
          <w:highlight w:val="none"/>
        </w:rPr>
        <w:t>5. 终止招标</w:t>
      </w:r>
    </w:p>
    <w:p w14:paraId="743C0BB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采购人、采购代理机构在发布招标公告、资格预审公告或者发出投标邀请书后，除因重大变故采购任务取消情况外，不得擅自终止招标活动。</w:t>
      </w:r>
    </w:p>
    <w:p w14:paraId="1876123D">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3BF6E80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 定标</w:t>
      </w:r>
      <w:bookmarkEnd w:id="231"/>
      <w:bookmarkStart w:id="232" w:name="_Toc217446061"/>
    </w:p>
    <w:p w14:paraId="1CD0590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6.1. 定标原则</w:t>
      </w:r>
      <w:bookmarkEnd w:id="232"/>
      <w:r>
        <w:rPr>
          <w:rFonts w:hint="eastAsia" w:ascii="仿宋" w:hAnsi="仿宋" w:eastAsia="仿宋" w:cs="仿宋"/>
          <w:sz w:val="24"/>
          <w:highlight w:val="none"/>
        </w:rPr>
        <w:t>：本项目根据评标委员会推荐的中标候选人名单，按顺序确定中标人。</w:t>
      </w:r>
    </w:p>
    <w:p w14:paraId="5ABDA00A">
      <w:pPr>
        <w:spacing w:line="360" w:lineRule="auto"/>
        <w:ind w:firstLine="480" w:firstLineChars="200"/>
        <w:rPr>
          <w:rFonts w:ascii="仿宋" w:hAnsi="仿宋" w:eastAsia="仿宋" w:cs="仿宋"/>
          <w:sz w:val="24"/>
          <w:highlight w:val="none"/>
        </w:rPr>
      </w:pPr>
      <w:bookmarkStart w:id="233" w:name="_Toc217446062"/>
      <w:r>
        <w:rPr>
          <w:rFonts w:hint="eastAsia" w:ascii="仿宋" w:hAnsi="仿宋" w:eastAsia="仿宋" w:cs="仿宋"/>
          <w:sz w:val="24"/>
          <w:highlight w:val="none"/>
        </w:rPr>
        <w:t>6.2. 定标程序</w:t>
      </w:r>
      <w:bookmarkEnd w:id="233"/>
    </w:p>
    <w:p w14:paraId="2931A05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24A64F1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6.2.2 采购代理机构在评标结束后两个工作日内将评标报告送至采购人。</w:t>
      </w:r>
    </w:p>
    <w:p w14:paraId="405763E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6.2.3 采购人应当自收到评标报告之日起5个工作日内在评标报告推荐的中标候选人中按顺序确定中标人。</w:t>
      </w:r>
    </w:p>
    <w:p w14:paraId="331DA22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6.2.4 根据采购人确定的中标人，采购人在招标公告发布的媒体上发布中标公告，同时向中标人发出中标通知书。</w:t>
      </w:r>
    </w:p>
    <w:p w14:paraId="18BC4CD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6.2.5 采购人不退回投标文件和其他投标资料。</w:t>
      </w:r>
    </w:p>
    <w:bookmarkEnd w:id="225"/>
    <w:p w14:paraId="5CD607FC">
      <w:pPr>
        <w:spacing w:line="360" w:lineRule="auto"/>
        <w:ind w:firstLine="480" w:firstLineChars="200"/>
        <w:rPr>
          <w:rFonts w:ascii="仿宋" w:hAnsi="仿宋" w:eastAsia="仿宋" w:cs="仿宋"/>
          <w:sz w:val="24"/>
          <w:highlight w:val="none"/>
        </w:rPr>
      </w:pPr>
      <w:bookmarkStart w:id="234" w:name="_Toc208849022"/>
      <w:bookmarkStart w:id="235" w:name="_Toc183582297"/>
      <w:bookmarkStart w:id="236" w:name="_Toc183682432"/>
      <w:bookmarkStart w:id="237" w:name="_Toc217446105"/>
      <w:r>
        <w:rPr>
          <w:rFonts w:hint="eastAsia" w:ascii="仿宋" w:hAnsi="仿宋" w:eastAsia="仿宋" w:cs="仿宋"/>
          <w:sz w:val="24"/>
          <w:highlight w:val="none"/>
        </w:rPr>
        <w:t xml:space="preserve">7. </w:t>
      </w:r>
      <w:bookmarkEnd w:id="234"/>
      <w:bookmarkEnd w:id="235"/>
      <w:bookmarkEnd w:id="236"/>
      <w:bookmarkEnd w:id="237"/>
      <w:r>
        <w:rPr>
          <w:rFonts w:hint="eastAsia" w:ascii="仿宋" w:hAnsi="仿宋" w:eastAsia="仿宋" w:cs="仿宋"/>
          <w:sz w:val="24"/>
          <w:highlight w:val="none"/>
        </w:rPr>
        <w:t>评标专家在政府采购活动中承担以下义务：</w:t>
      </w:r>
    </w:p>
    <w:p w14:paraId="5F413D05">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7.1 遵纪守法，客观、公正、廉洁地履行职责。</w:t>
      </w:r>
    </w:p>
    <w:p w14:paraId="7F6056E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2576370E">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7.3 保守秘密。不得透露招标项目情况，不得泄漏投标人的投标文件及知悉的商业秘密，不得向投标人透露评标情况。</w:t>
      </w:r>
    </w:p>
    <w:p w14:paraId="55A58DB0">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7.4 发现投标人在政府采购活动中有不正当竞争或恶意串通等违规行为，及时向政府采购评标工作的组织者或财政部门报告并加以制止。</w:t>
      </w:r>
    </w:p>
    <w:p w14:paraId="6580DD21">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发现采购人、采购代理机构及其工作人员在招标活动中有干预评标、发表倾向性和歧视性言论、受贿或者接受投标人的其他好处及其他违法违规行为，及时向财政部门报告。</w:t>
      </w:r>
    </w:p>
    <w:p w14:paraId="62508AE8">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7.5 配合采购人或者采购代理机构答复投标人质疑，配合投诉处理工作等事宜。</w:t>
      </w:r>
    </w:p>
    <w:p w14:paraId="50399CD2">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7.6 法律、法规和规章规定的其他义务。</w:t>
      </w:r>
    </w:p>
    <w:p w14:paraId="36C9DDDA">
      <w:pPr>
        <w:widowControl/>
        <w:autoSpaceDE w:val="0"/>
        <w:autoSpaceDN w:val="0"/>
        <w:spacing w:line="360" w:lineRule="auto"/>
        <w:ind w:firstLine="482" w:firstLineChars="200"/>
        <w:textAlignment w:val="bottom"/>
        <w:rPr>
          <w:rFonts w:ascii="仿宋" w:hAnsi="仿宋" w:eastAsia="仿宋" w:cs="仿宋"/>
          <w:b/>
          <w:sz w:val="24"/>
          <w:highlight w:val="none"/>
        </w:rPr>
      </w:pPr>
      <w:r>
        <w:rPr>
          <w:rFonts w:hint="eastAsia" w:ascii="仿宋" w:hAnsi="仿宋" w:eastAsia="仿宋" w:cs="仿宋"/>
          <w:b/>
          <w:sz w:val="24"/>
          <w:highlight w:val="none"/>
        </w:rPr>
        <w:t>8</w:t>
      </w:r>
      <w:r>
        <w:rPr>
          <w:rFonts w:hint="eastAsia" w:ascii="仿宋" w:hAnsi="仿宋" w:eastAsia="仿宋" w:cs="仿宋"/>
          <w:sz w:val="24"/>
          <w:highlight w:val="none"/>
        </w:rPr>
        <w:t xml:space="preserve">. </w:t>
      </w:r>
      <w:r>
        <w:rPr>
          <w:rFonts w:hint="eastAsia" w:ascii="仿宋" w:hAnsi="仿宋" w:eastAsia="仿宋" w:cs="仿宋"/>
          <w:b/>
          <w:sz w:val="24"/>
          <w:highlight w:val="none"/>
        </w:rPr>
        <w:t>评标专家在招标活动中应当遵守以下工作纪律：</w:t>
      </w:r>
    </w:p>
    <w:p w14:paraId="5D40FA0F">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8.1 应邀按时参加评标活动。遇特殊情况不能出席或途中遇阻不能按时参加评标的，应及时告知财政部门或者采购人或者采购代理机构，不得私自转托他人。</w:t>
      </w:r>
    </w:p>
    <w:p w14:paraId="6BD552FC">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8.2 不得参加与自己有利害关系的招标项目的评标活动。对与自己有利害关系的评标项目，如受到邀请，应主动提出回避。财政部门、采购人或采购代理机构也可要求该评标专家回避。</w:t>
      </w:r>
    </w:p>
    <w:p w14:paraId="07CA5559">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0B97B997">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8.3 评标过程中关闭通讯设备，不得与外界联系。</w:t>
      </w:r>
    </w:p>
    <w:p w14:paraId="437567F5">
      <w:pPr>
        <w:widowControl/>
        <w:autoSpaceDE w:val="0"/>
        <w:autoSpaceDN w:val="0"/>
        <w:spacing w:line="360" w:lineRule="auto"/>
        <w:ind w:firstLine="480" w:firstLineChars="200"/>
        <w:textAlignment w:val="bottom"/>
        <w:rPr>
          <w:rFonts w:ascii="仿宋" w:hAnsi="仿宋" w:eastAsia="仿宋" w:cs="仿宋"/>
          <w:sz w:val="24"/>
          <w:highlight w:val="none"/>
        </w:rPr>
      </w:pPr>
      <w:r>
        <w:rPr>
          <w:rFonts w:hint="eastAsia" w:ascii="仿宋" w:hAnsi="仿宋" w:eastAsia="仿宋" w:cs="仿宋"/>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6267DCFB">
      <w:pPr>
        <w:pStyle w:val="3"/>
        <w:rPr>
          <w:rFonts w:ascii="仿宋" w:hAnsi="仿宋" w:eastAsia="仿宋" w:cs="仿宋"/>
          <w:highlight w:val="none"/>
        </w:rPr>
      </w:pPr>
      <w:r>
        <w:rPr>
          <w:rFonts w:hint="eastAsia" w:ascii="仿宋" w:hAnsi="仿宋" w:eastAsia="仿宋" w:cs="仿宋"/>
          <w:b w:val="0"/>
          <w:bCs w:val="0"/>
          <w:szCs w:val="24"/>
          <w:highlight w:val="none"/>
        </w:rPr>
        <w:br w:type="page"/>
      </w:r>
      <w:bookmarkStart w:id="238" w:name="_Toc3329"/>
      <w:bookmarkStart w:id="239" w:name="_Toc22113"/>
      <w:r>
        <w:rPr>
          <w:rFonts w:hint="eastAsia" w:ascii="仿宋" w:hAnsi="仿宋" w:eastAsia="仿宋" w:cs="仿宋"/>
          <w:highlight w:val="none"/>
        </w:rPr>
        <w:t>第六章  拟签订的合同文本</w:t>
      </w:r>
      <w:bookmarkEnd w:id="238"/>
      <w:bookmarkEnd w:id="239"/>
    </w:p>
    <w:p w14:paraId="3E51CD65">
      <w:pPr>
        <w:pStyle w:val="7"/>
        <w:spacing w:line="360" w:lineRule="auto"/>
        <w:ind w:firstLine="480"/>
        <w:jc w:val="center"/>
        <w:rPr>
          <w:rFonts w:ascii="仿宋" w:hAnsi="仿宋" w:eastAsia="仿宋" w:cs="仿宋"/>
          <w:sz w:val="24"/>
          <w:highlight w:val="none"/>
        </w:rPr>
      </w:pPr>
      <w:r>
        <w:rPr>
          <w:rFonts w:hint="eastAsia" w:ascii="仿宋" w:hAnsi="仿宋" w:eastAsia="仿宋" w:cs="仿宋"/>
          <w:sz w:val="24"/>
          <w:highlight w:val="none"/>
        </w:rPr>
        <w:t>本合同仅供参考，最终以与采购人实际签订合同为准</w:t>
      </w:r>
    </w:p>
    <w:p w14:paraId="1395BE97">
      <w:pPr>
        <w:keepNext w:val="0"/>
        <w:keepLines w:val="0"/>
        <w:pageBreakBefore w:val="0"/>
        <w:shd w:val="clear" w:fill="FFFFFF" w:themeFill="background1"/>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合同编号：</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 xml:space="preserve">            </w:t>
      </w:r>
    </w:p>
    <w:p w14:paraId="59C0F3FE">
      <w:pPr>
        <w:keepNext w:val="0"/>
        <w:keepLines w:val="0"/>
        <w:pageBreakBefore w:val="0"/>
        <w:shd w:val="clear" w:fill="FFFFFF" w:themeFill="background1"/>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甲方（采购人）：</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p>
    <w:p w14:paraId="502771E0">
      <w:pPr>
        <w:keepNext w:val="0"/>
        <w:keepLines w:val="0"/>
        <w:pageBreakBefore w:val="0"/>
        <w:shd w:val="clear" w:fill="FFFFFF" w:themeFill="background1"/>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住所地：</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 xml:space="preserve">                                  </w:t>
      </w:r>
    </w:p>
    <w:p w14:paraId="65E0F660">
      <w:pPr>
        <w:keepNext w:val="0"/>
        <w:keepLines w:val="0"/>
        <w:pageBreakBefore w:val="0"/>
        <w:shd w:val="clear" w:fill="FFFFFF" w:themeFill="background1"/>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乙方（成交人）：</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p>
    <w:p w14:paraId="1EB12FF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0"/>
        <w:jc w:val="left"/>
        <w:textAlignment w:val="auto"/>
        <w:rPr>
          <w:rFonts w:hint="eastAsia" w:ascii="方正仿宋_GB2312" w:hAnsi="方正仿宋_GB2312" w:eastAsia="方正仿宋_GB2312" w:cs="方正仿宋_GB2312"/>
          <w:color w:val="auto"/>
          <w:sz w:val="24"/>
          <w:szCs w:val="24"/>
          <w:highlight w:val="none"/>
          <w:u w:val="single"/>
          <w:shd w:val="clear" w:color="auto" w:fill="auto"/>
        </w:rPr>
      </w:pPr>
      <w:r>
        <w:rPr>
          <w:rFonts w:hint="eastAsia" w:ascii="方正仿宋_GB2312" w:hAnsi="方正仿宋_GB2312" w:eastAsia="方正仿宋_GB2312" w:cs="方正仿宋_GB2312"/>
          <w:color w:val="auto"/>
          <w:sz w:val="24"/>
          <w:szCs w:val="24"/>
          <w:highlight w:val="none"/>
          <w:shd w:val="clear" w:color="auto" w:fill="auto"/>
          <w:lang w:val="zh-CN"/>
        </w:rPr>
        <w:t>住所地：</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p>
    <w:p w14:paraId="08B65AD3">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乙方于</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年</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月</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日参加了</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（采购人） </w:t>
      </w:r>
      <w:r>
        <w:rPr>
          <w:rFonts w:hint="eastAsia" w:ascii="方正仿宋_GB2312" w:hAnsi="方正仿宋_GB2312" w:eastAsia="方正仿宋_GB2312" w:cs="方正仿宋_GB2312"/>
          <w:color w:val="auto"/>
          <w:sz w:val="24"/>
          <w:szCs w:val="24"/>
          <w:highlight w:val="none"/>
          <w:shd w:val="clear" w:color="auto" w:fill="auto"/>
          <w:lang w:val="zh-CN"/>
        </w:rPr>
        <w:t xml:space="preserve">组织的“ </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（项目名称、项目编号）  </w:t>
      </w:r>
      <w:r>
        <w:rPr>
          <w:rFonts w:hint="eastAsia" w:ascii="方正仿宋_GB2312" w:hAnsi="方正仿宋_GB2312" w:eastAsia="方正仿宋_GB2312" w:cs="方正仿宋_GB2312"/>
          <w:color w:val="auto"/>
          <w:sz w:val="24"/>
          <w:szCs w:val="24"/>
          <w:highlight w:val="none"/>
          <w:shd w:val="clear" w:color="auto" w:fill="auto"/>
          <w:lang w:val="zh-CN"/>
        </w:rPr>
        <w:t>”政府采购活动，经评审小组评审确定乙方为</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（包及包名称） </w:t>
      </w:r>
      <w:r>
        <w:rPr>
          <w:rFonts w:hint="eastAsia" w:ascii="方正仿宋_GB2312" w:hAnsi="方正仿宋_GB2312" w:eastAsia="方正仿宋_GB2312" w:cs="方正仿宋_GB2312"/>
          <w:color w:val="auto"/>
          <w:sz w:val="24"/>
          <w:szCs w:val="24"/>
          <w:highlight w:val="none"/>
          <w:shd w:val="clear" w:color="auto" w:fill="auto"/>
          <w:lang w:val="zh-CN"/>
        </w:rPr>
        <w:t xml:space="preserve"> 成交人，按照《中华人民共和国民法典》、《中华人民共和国政府采购法》和相关的法律法规规定，以及采购文件要求，经甲乙双方协商一致，签订本政府采购合同。</w:t>
      </w:r>
    </w:p>
    <w:p w14:paraId="76A61689">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第一条 合同标的</w:t>
      </w:r>
    </w:p>
    <w:p w14:paraId="50A58169">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服务名称：</w:t>
      </w:r>
    </w:p>
    <w:p w14:paraId="7970E21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服务内容：</w:t>
      </w:r>
    </w:p>
    <w:p w14:paraId="6BD91DEE">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技术标准：</w:t>
      </w:r>
    </w:p>
    <w:p w14:paraId="3DA753EE">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328142FF">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第二条  合同总金额</w:t>
      </w:r>
    </w:p>
    <w:p w14:paraId="7817F428">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合同总金额为人民币（大写）：</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 xml:space="preserve">） </w:t>
      </w:r>
    </w:p>
    <w:p w14:paraId="3534C3B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此价格为合同执行不变价，不因国家政策变化而变化，该价款包括所投项目相关人工费、保险费、税费，及服务过程工作人员的往返交通、住宿、餐食、差费、杂费等所有技术和服务费用，除此之外，甲方不再向乙方支付其他任何费用。</w:t>
      </w:r>
    </w:p>
    <w:p w14:paraId="62E81683">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4A3F163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第三条  服务交付</w:t>
      </w:r>
    </w:p>
    <w:p w14:paraId="190290DE">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 xml:space="preserve">1、交付日期： </w:t>
      </w:r>
    </w:p>
    <w:p w14:paraId="639FCDC8">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2、交付地点：</w:t>
      </w:r>
    </w:p>
    <w:p w14:paraId="3236D952">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369AF726">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eastAsia="zh-CN"/>
        </w:rPr>
      </w:pPr>
      <w:r>
        <w:rPr>
          <w:rFonts w:hint="eastAsia" w:ascii="方正仿宋_GB2312" w:hAnsi="方正仿宋_GB2312" w:eastAsia="方正仿宋_GB2312" w:cs="方正仿宋_GB2312"/>
          <w:color w:val="auto"/>
          <w:sz w:val="24"/>
          <w:szCs w:val="24"/>
          <w:highlight w:val="none"/>
          <w:shd w:val="clear" w:color="auto" w:fill="auto"/>
          <w:lang w:val="zh-CN"/>
        </w:rPr>
        <w:t xml:space="preserve">第四条  </w:t>
      </w:r>
      <w:r>
        <w:rPr>
          <w:rFonts w:hint="eastAsia" w:ascii="方正仿宋_GB2312" w:hAnsi="方正仿宋_GB2312" w:eastAsia="方正仿宋_GB2312" w:cs="方正仿宋_GB2312"/>
          <w:color w:val="auto"/>
          <w:sz w:val="24"/>
          <w:szCs w:val="24"/>
          <w:highlight w:val="none"/>
          <w:shd w:val="clear" w:color="auto" w:fill="auto"/>
          <w:lang w:val="en-US" w:eastAsia="zh-CN"/>
        </w:rPr>
        <w:t>服务标准</w:t>
      </w:r>
    </w:p>
    <w:p w14:paraId="4974A34F">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1、甲方应当</w:t>
      </w:r>
      <w:r>
        <w:rPr>
          <w:rFonts w:hint="eastAsia" w:ascii="方正仿宋_GB2312" w:hAnsi="方正仿宋_GB2312" w:eastAsia="方正仿宋_GB2312" w:cs="方正仿宋_GB2312"/>
          <w:color w:val="auto"/>
          <w:sz w:val="24"/>
          <w:szCs w:val="24"/>
          <w:highlight w:val="none"/>
          <w:shd w:val="clear" w:color="auto" w:fill="auto"/>
          <w:lang w:val="en-US" w:eastAsia="zh-CN"/>
        </w:rPr>
        <w:t>符合</w:t>
      </w:r>
      <w:r>
        <w:rPr>
          <w:rFonts w:hint="eastAsia" w:ascii="方正仿宋_GB2312" w:hAnsi="方正仿宋_GB2312" w:eastAsia="方正仿宋_GB2312" w:cs="方正仿宋_GB2312"/>
          <w:color w:val="auto"/>
          <w:sz w:val="24"/>
          <w:szCs w:val="24"/>
          <w:highlight w:val="none"/>
          <w:shd w:val="clear" w:color="auto" w:fill="auto"/>
          <w:lang w:val="zh-CN"/>
        </w:rPr>
        <w:t>国家、行业验收标准，以及合同约定。乙方应对提交的服务成果作出全面检查和整理，并列出清单，作为甲方验收和使用技术条件依据，清单应随提交的服务成果交给甲方。</w:t>
      </w:r>
    </w:p>
    <w:p w14:paraId="16A3A3EC">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en-US" w:eastAsia="zh-CN"/>
        </w:rPr>
        <w:t>2</w:t>
      </w:r>
      <w:r>
        <w:rPr>
          <w:rFonts w:hint="eastAsia" w:ascii="方正仿宋_GB2312" w:hAnsi="方正仿宋_GB2312" w:eastAsia="方正仿宋_GB2312" w:cs="方正仿宋_GB2312"/>
          <w:color w:val="auto"/>
          <w:sz w:val="24"/>
          <w:szCs w:val="24"/>
          <w:highlight w:val="none"/>
          <w:shd w:val="clear" w:color="auto" w:fill="auto"/>
          <w:lang w:val="zh-CN"/>
        </w:rPr>
        <w:t>、乙方在指定地点提交服务成果后，甲乙双方应依据采购文件、响应文件等文件材料的要求共同验收。</w:t>
      </w:r>
    </w:p>
    <w:p w14:paraId="668889A8">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1111EC8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w:t>
      </w:r>
      <w:r>
        <w:rPr>
          <w:rFonts w:hint="eastAsia" w:ascii="方正仿宋_GB2312" w:hAnsi="方正仿宋_GB2312" w:eastAsia="方正仿宋_GB2312" w:cs="方正仿宋_GB2312"/>
          <w:color w:val="auto"/>
          <w:sz w:val="24"/>
          <w:szCs w:val="24"/>
          <w:highlight w:val="none"/>
          <w:shd w:val="clear" w:color="auto" w:fill="auto"/>
          <w:lang w:val="en-US" w:eastAsia="zh-CN"/>
        </w:rPr>
        <w:t>五</w:t>
      </w:r>
      <w:r>
        <w:rPr>
          <w:rFonts w:hint="eastAsia" w:ascii="方正仿宋_GB2312" w:hAnsi="方正仿宋_GB2312" w:eastAsia="方正仿宋_GB2312" w:cs="方正仿宋_GB2312"/>
          <w:color w:val="auto"/>
          <w:sz w:val="24"/>
          <w:szCs w:val="24"/>
          <w:highlight w:val="none"/>
          <w:shd w:val="clear" w:color="auto" w:fill="auto"/>
          <w:lang w:val="zh-CN"/>
        </w:rPr>
        <w:t>条  款项支付</w:t>
      </w:r>
    </w:p>
    <w:p w14:paraId="014E312D">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1、服务成果交付甲方，经甲乙双方共同验收合格后由甲方负责办理支付手续。</w:t>
      </w:r>
    </w:p>
    <w:p w14:paraId="5BDE661B">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2、允许并鼓励乙方提供电子发票，甲方自收到发票之日起</w:t>
      </w:r>
      <w:r>
        <w:rPr>
          <w:rFonts w:hint="eastAsia" w:ascii="方正仿宋_GB2312" w:hAnsi="方正仿宋_GB2312" w:eastAsia="方正仿宋_GB2312" w:cs="方正仿宋_GB2312"/>
          <w:color w:val="auto"/>
          <w:sz w:val="24"/>
          <w:szCs w:val="24"/>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个工作日内支付资金，并不得附加未经约定的其他条件。</w:t>
      </w:r>
    </w:p>
    <w:p w14:paraId="33A37192">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 xml:space="preserve">3、付款方式 </w:t>
      </w:r>
    </w:p>
    <w:p w14:paraId="30EC1C86">
      <w:pPr>
        <w:keepNext w:val="0"/>
        <w:keepLines w:val="0"/>
        <w:pageBreakBefore w:val="0"/>
        <w:shd w:val="clear" w:fill="FFFFFF" w:themeFill="background1"/>
        <w:tabs>
          <w:tab w:val="left" w:pos="840"/>
        </w:tabs>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3.1</w:t>
      </w:r>
      <w:r>
        <w:rPr>
          <w:rFonts w:hint="eastAsia" w:ascii="方正仿宋_GB2312" w:hAnsi="方正仿宋_GB2312" w:eastAsia="方正仿宋_GB2312" w:cs="方正仿宋_GB2312"/>
          <w:color w:val="auto"/>
          <w:sz w:val="24"/>
          <w:szCs w:val="24"/>
          <w:highlight w:val="none"/>
          <w:lang w:eastAsia="zh-CN"/>
        </w:rPr>
        <w:t>合同签订后,</w:t>
      </w:r>
      <w:r>
        <w:rPr>
          <w:rFonts w:hint="eastAsia" w:ascii="方正仿宋_GB2312" w:hAnsi="方正仿宋_GB2312" w:eastAsia="方正仿宋_GB2312" w:cs="方正仿宋_GB2312"/>
          <w:color w:val="auto"/>
          <w:sz w:val="24"/>
          <w:szCs w:val="24"/>
          <w:highlight w:val="none"/>
          <w:lang w:val="en-US" w:eastAsia="zh-CN"/>
        </w:rPr>
        <w:t>项目</w:t>
      </w:r>
      <w:r>
        <w:rPr>
          <w:rFonts w:hint="eastAsia" w:ascii="方正仿宋_GB2312" w:hAnsi="方正仿宋_GB2312" w:eastAsia="方正仿宋_GB2312" w:cs="方正仿宋_GB2312"/>
          <w:color w:val="auto"/>
          <w:sz w:val="24"/>
          <w:szCs w:val="24"/>
          <w:highlight w:val="none"/>
          <w:lang w:eastAsia="zh-CN"/>
        </w:rPr>
        <w:t>完成，经验收合格出具书面验收报告后，支付合同金额的95%，留合同金额的</w:t>
      </w:r>
      <w:r>
        <w:rPr>
          <w:rFonts w:hint="eastAsia" w:ascii="方正仿宋_GB2312" w:hAnsi="方正仿宋_GB2312" w:eastAsia="方正仿宋_GB2312" w:cs="方正仿宋_GB2312"/>
          <w:color w:val="auto"/>
          <w:sz w:val="24"/>
          <w:szCs w:val="24"/>
          <w:highlight w:val="none"/>
          <w:lang w:eastAsia="zh-CN"/>
        </w:rPr>
        <w:softHyphen/>
      </w:r>
      <w:r>
        <w:rPr>
          <w:rFonts w:hint="eastAsia" w:ascii="方正仿宋_GB2312" w:hAnsi="方正仿宋_GB2312" w:eastAsia="方正仿宋_GB2312" w:cs="方正仿宋_GB2312"/>
          <w:color w:val="auto"/>
          <w:sz w:val="24"/>
          <w:szCs w:val="24"/>
          <w:highlight w:val="none"/>
          <w:lang w:eastAsia="zh-CN"/>
        </w:rPr>
        <w:softHyphen/>
      </w:r>
      <w:r>
        <w:rPr>
          <w:rFonts w:hint="eastAsia" w:ascii="方正仿宋_GB2312" w:hAnsi="方正仿宋_GB2312" w:eastAsia="方正仿宋_GB2312" w:cs="方正仿宋_GB2312"/>
          <w:color w:val="auto"/>
          <w:sz w:val="24"/>
          <w:szCs w:val="24"/>
          <w:highlight w:val="none"/>
          <w:lang w:eastAsia="zh-CN"/>
        </w:rPr>
        <w:softHyphen/>
      </w:r>
      <w:r>
        <w:rPr>
          <w:rFonts w:hint="eastAsia" w:ascii="方正仿宋_GB2312" w:hAnsi="方正仿宋_GB2312" w:eastAsia="方正仿宋_GB2312" w:cs="方正仿宋_GB2312"/>
          <w:color w:val="auto"/>
          <w:sz w:val="24"/>
          <w:szCs w:val="24"/>
          <w:highlight w:val="none"/>
          <w:lang w:eastAsia="zh-CN"/>
        </w:rPr>
        <w:t>5%的进度款，经再次验收合格后付款。</w:t>
      </w:r>
    </w:p>
    <w:p w14:paraId="743A9E74">
      <w:pPr>
        <w:keepNext w:val="0"/>
        <w:keepLines w:val="0"/>
        <w:pageBreakBefore w:val="0"/>
        <w:shd w:val="clear" w:fill="FFFFFF" w:themeFill="background1"/>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2101B5EC">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w:t>
      </w:r>
      <w:r>
        <w:rPr>
          <w:rFonts w:hint="eastAsia" w:ascii="方正仿宋_GB2312" w:hAnsi="方正仿宋_GB2312" w:eastAsia="方正仿宋_GB2312" w:cs="方正仿宋_GB2312"/>
          <w:color w:val="auto"/>
          <w:sz w:val="24"/>
          <w:szCs w:val="24"/>
          <w:highlight w:val="none"/>
          <w:shd w:val="clear" w:color="auto" w:fill="auto"/>
          <w:lang w:val="en-US" w:eastAsia="zh-CN"/>
        </w:rPr>
        <w:t>六</w:t>
      </w:r>
      <w:r>
        <w:rPr>
          <w:rFonts w:hint="eastAsia" w:ascii="方正仿宋_GB2312" w:hAnsi="方正仿宋_GB2312" w:eastAsia="方正仿宋_GB2312" w:cs="方正仿宋_GB2312"/>
          <w:color w:val="auto"/>
          <w:sz w:val="24"/>
          <w:szCs w:val="24"/>
          <w:highlight w:val="none"/>
          <w:shd w:val="clear" w:color="auto" w:fill="auto"/>
          <w:lang w:val="zh-CN"/>
        </w:rPr>
        <w:t>条  甲方责任</w:t>
      </w:r>
    </w:p>
    <w:p w14:paraId="69330A3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1、及时办理付款手续。</w:t>
      </w:r>
    </w:p>
    <w:p w14:paraId="1314DD4B">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2、协助乙方办理有关事宜。</w:t>
      </w:r>
    </w:p>
    <w:p w14:paraId="0DC41906">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3、对合同条款及所知悉的乙方商业秘密负有保密义务。</w:t>
      </w:r>
    </w:p>
    <w:p w14:paraId="1DB13E01">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6955CD0B">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w:t>
      </w:r>
      <w:r>
        <w:rPr>
          <w:rFonts w:hint="eastAsia" w:ascii="方正仿宋_GB2312" w:hAnsi="方正仿宋_GB2312" w:eastAsia="方正仿宋_GB2312" w:cs="方正仿宋_GB2312"/>
          <w:color w:val="auto"/>
          <w:sz w:val="24"/>
          <w:szCs w:val="24"/>
          <w:highlight w:val="none"/>
          <w:shd w:val="clear" w:color="auto" w:fill="auto"/>
          <w:lang w:val="en-US" w:eastAsia="zh-CN"/>
        </w:rPr>
        <w:t>七</w:t>
      </w:r>
      <w:r>
        <w:rPr>
          <w:rFonts w:hint="eastAsia" w:ascii="方正仿宋_GB2312" w:hAnsi="方正仿宋_GB2312" w:eastAsia="方正仿宋_GB2312" w:cs="方正仿宋_GB2312"/>
          <w:color w:val="auto"/>
          <w:sz w:val="24"/>
          <w:szCs w:val="24"/>
          <w:highlight w:val="none"/>
          <w:shd w:val="clear" w:color="auto" w:fill="auto"/>
          <w:lang w:val="zh-CN"/>
        </w:rPr>
        <w:t>条  乙方责任</w:t>
      </w:r>
    </w:p>
    <w:p w14:paraId="37773DA0">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1、保证所提供服务为响应文件承诺服务，符合相关法律法规规定并且满足甲方的需求，保证</w:t>
      </w:r>
      <w:r>
        <w:rPr>
          <w:rFonts w:hint="eastAsia" w:ascii="方正仿宋_GB2312" w:hAnsi="方正仿宋_GB2312" w:eastAsia="方正仿宋_GB2312" w:cs="方正仿宋_GB2312"/>
          <w:color w:val="auto"/>
          <w:sz w:val="24"/>
          <w:szCs w:val="24"/>
          <w:highlight w:val="none"/>
          <w:shd w:val="clear" w:color="auto" w:fill="auto"/>
          <w:lang w:val="en-US" w:eastAsia="zh-CN"/>
        </w:rPr>
        <w:t>服务质量</w:t>
      </w:r>
      <w:r>
        <w:rPr>
          <w:rFonts w:hint="eastAsia" w:ascii="方正仿宋_GB2312" w:hAnsi="方正仿宋_GB2312" w:eastAsia="方正仿宋_GB2312" w:cs="方正仿宋_GB2312"/>
          <w:color w:val="auto"/>
          <w:sz w:val="24"/>
          <w:szCs w:val="24"/>
          <w:highlight w:val="none"/>
          <w:shd w:val="clear" w:color="auto" w:fill="auto"/>
          <w:lang w:val="zh-CN"/>
        </w:rPr>
        <w:t>。</w:t>
      </w:r>
    </w:p>
    <w:p w14:paraId="5CA88043">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en-US" w:eastAsia="zh-CN"/>
        </w:rPr>
        <w:t>2</w:t>
      </w:r>
      <w:r>
        <w:rPr>
          <w:rFonts w:hint="eastAsia" w:ascii="方正仿宋_GB2312" w:hAnsi="方正仿宋_GB2312" w:eastAsia="方正仿宋_GB2312" w:cs="方正仿宋_GB2312"/>
          <w:color w:val="auto"/>
          <w:sz w:val="24"/>
          <w:szCs w:val="24"/>
          <w:highlight w:val="none"/>
          <w:shd w:val="clear" w:color="auto" w:fill="auto"/>
          <w:lang w:val="zh-CN"/>
        </w:rPr>
        <w:t>、保证其所供服务不存在侵犯第三方知识产权的行为，否则由此产生的损失由乙方承担。</w:t>
      </w:r>
    </w:p>
    <w:p w14:paraId="0B88C2B1">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6E8A135C">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w:t>
      </w:r>
      <w:r>
        <w:rPr>
          <w:rFonts w:hint="eastAsia" w:ascii="方正仿宋_GB2312" w:hAnsi="方正仿宋_GB2312" w:eastAsia="方正仿宋_GB2312" w:cs="方正仿宋_GB2312"/>
          <w:color w:val="auto"/>
          <w:sz w:val="24"/>
          <w:szCs w:val="24"/>
          <w:highlight w:val="none"/>
          <w:shd w:val="clear" w:color="auto" w:fill="auto"/>
          <w:lang w:val="en-US" w:eastAsia="zh-CN"/>
        </w:rPr>
        <w:t>八</w:t>
      </w:r>
      <w:r>
        <w:rPr>
          <w:rFonts w:hint="eastAsia" w:ascii="方正仿宋_GB2312" w:hAnsi="方正仿宋_GB2312" w:eastAsia="方正仿宋_GB2312" w:cs="方正仿宋_GB2312"/>
          <w:color w:val="auto"/>
          <w:sz w:val="24"/>
          <w:szCs w:val="24"/>
          <w:highlight w:val="none"/>
          <w:shd w:val="clear" w:color="auto" w:fill="auto"/>
          <w:lang w:val="zh-CN"/>
        </w:rPr>
        <w:t>条  违约责任</w:t>
      </w:r>
    </w:p>
    <w:p w14:paraId="7DCFE570">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1、乙方所供服务成果及与之配套项目等不符合合同约定标准，甲方有权拒收。</w:t>
      </w:r>
    </w:p>
    <w:p w14:paraId="3B383B5B">
      <w:pPr>
        <w:keepNext w:val="0"/>
        <w:keepLines w:val="0"/>
        <w:pageBreakBefore w:val="0"/>
        <w:shd w:val="clear" w:fill="FFFFFF" w:themeFill="background1"/>
        <w:kinsoku/>
        <w:wordWrap/>
        <w:overflowPunct/>
        <w:topLinePunct w:val="0"/>
        <w:bidi w:val="0"/>
        <w:snapToGrid/>
        <w:spacing w:line="540" w:lineRule="exact"/>
        <w:ind w:firstLine="480" w:firstLineChars="200"/>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en-US" w:eastAsia="zh-CN"/>
        </w:rPr>
        <w:t>2</w:t>
      </w:r>
      <w:r>
        <w:rPr>
          <w:rFonts w:hint="eastAsia" w:ascii="方正仿宋_GB2312" w:hAnsi="方正仿宋_GB2312" w:eastAsia="方正仿宋_GB2312" w:cs="方正仿宋_GB2312"/>
          <w:color w:val="auto"/>
          <w:sz w:val="24"/>
          <w:szCs w:val="24"/>
          <w:highlight w:val="none"/>
          <w:shd w:val="clear" w:color="auto" w:fill="auto"/>
          <w:lang w:val="zh-CN"/>
        </w:rPr>
        <w:t>、因甲方过错而给乙方造成的损失，由甲方负担。</w:t>
      </w:r>
    </w:p>
    <w:p w14:paraId="12C9F25C">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0381E82B">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w:t>
      </w:r>
      <w:r>
        <w:rPr>
          <w:rFonts w:hint="eastAsia" w:ascii="方正仿宋_GB2312" w:hAnsi="方正仿宋_GB2312" w:eastAsia="方正仿宋_GB2312" w:cs="方正仿宋_GB2312"/>
          <w:color w:val="auto"/>
          <w:sz w:val="24"/>
          <w:szCs w:val="24"/>
          <w:highlight w:val="none"/>
          <w:shd w:val="clear" w:color="auto" w:fill="auto"/>
          <w:lang w:val="en-US" w:eastAsia="zh-CN"/>
        </w:rPr>
        <w:t>九</w:t>
      </w:r>
      <w:r>
        <w:rPr>
          <w:rFonts w:hint="eastAsia" w:ascii="方正仿宋_GB2312" w:hAnsi="方正仿宋_GB2312" w:eastAsia="方正仿宋_GB2312" w:cs="方正仿宋_GB2312"/>
          <w:color w:val="auto"/>
          <w:sz w:val="24"/>
          <w:szCs w:val="24"/>
          <w:highlight w:val="none"/>
          <w:shd w:val="clear" w:color="auto" w:fill="auto"/>
          <w:lang w:val="zh-CN"/>
        </w:rPr>
        <w:t>条  不可抗力</w:t>
      </w:r>
    </w:p>
    <w:p w14:paraId="1F3D2BB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p>
    <w:p w14:paraId="4F463E9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18DABA82">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第十条  保密</w:t>
      </w:r>
    </w:p>
    <w:p w14:paraId="330A6251">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7ECFC534">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08F38754">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第十</w:t>
      </w:r>
      <w:r>
        <w:rPr>
          <w:rFonts w:hint="eastAsia" w:ascii="方正仿宋_GB2312" w:hAnsi="方正仿宋_GB2312" w:eastAsia="方正仿宋_GB2312" w:cs="方正仿宋_GB2312"/>
          <w:color w:val="auto"/>
          <w:sz w:val="24"/>
          <w:szCs w:val="24"/>
          <w:highlight w:val="none"/>
          <w:shd w:val="clear" w:color="auto" w:fill="auto"/>
          <w:lang w:val="en-US" w:eastAsia="zh-CN"/>
        </w:rPr>
        <w:t>一</w:t>
      </w:r>
      <w:r>
        <w:rPr>
          <w:rFonts w:hint="eastAsia" w:ascii="方正仿宋_GB2312" w:hAnsi="方正仿宋_GB2312" w:eastAsia="方正仿宋_GB2312" w:cs="方正仿宋_GB2312"/>
          <w:color w:val="auto"/>
          <w:sz w:val="24"/>
          <w:szCs w:val="24"/>
          <w:highlight w:val="none"/>
          <w:shd w:val="clear" w:color="auto" w:fill="auto"/>
          <w:lang w:val="zh-CN"/>
        </w:rPr>
        <w:t>条  争议解决</w:t>
      </w:r>
    </w:p>
    <w:p w14:paraId="5AF6A9FB">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甲乙双方在合同履行中发生争议，应通过协商解决。如协商不成，可以向合同签订地法院提起诉讼。</w:t>
      </w:r>
    </w:p>
    <w:p w14:paraId="65F22099">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244F7998">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第十</w:t>
      </w:r>
      <w:r>
        <w:rPr>
          <w:rFonts w:hint="eastAsia" w:ascii="方正仿宋_GB2312" w:hAnsi="方正仿宋_GB2312" w:eastAsia="方正仿宋_GB2312" w:cs="方正仿宋_GB2312"/>
          <w:color w:val="auto"/>
          <w:sz w:val="24"/>
          <w:szCs w:val="24"/>
          <w:highlight w:val="none"/>
          <w:shd w:val="clear" w:color="auto" w:fill="auto"/>
          <w:lang w:val="en-US" w:eastAsia="zh-CN"/>
        </w:rPr>
        <w:t>二</w:t>
      </w:r>
      <w:r>
        <w:rPr>
          <w:rFonts w:hint="eastAsia" w:ascii="方正仿宋_GB2312" w:hAnsi="方正仿宋_GB2312" w:eastAsia="方正仿宋_GB2312" w:cs="方正仿宋_GB2312"/>
          <w:color w:val="auto"/>
          <w:sz w:val="24"/>
          <w:szCs w:val="24"/>
          <w:highlight w:val="none"/>
          <w:shd w:val="clear" w:color="auto" w:fill="auto"/>
          <w:lang w:val="zh-CN"/>
        </w:rPr>
        <w:t>条  合同生效及其他</w:t>
      </w:r>
    </w:p>
    <w:p w14:paraId="653982D0">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1、除采购文件规定且甲方事先书面同意外，乙方不得部分或者全部转让、分包履行其应履行的合同项下的义务。</w:t>
      </w:r>
    </w:p>
    <w:p w14:paraId="045D99AD">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 xml:space="preserve">2、合同由甲、乙双方法定代表人（或者被授权代表）签字并加盖单位公章。 </w:t>
      </w:r>
    </w:p>
    <w:p w14:paraId="01766EF9">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3、本合同一式</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份，甲方</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份，乙方</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份。</w:t>
      </w:r>
    </w:p>
    <w:p w14:paraId="1C30EBC1">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6C7998A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第十</w:t>
      </w:r>
      <w:r>
        <w:rPr>
          <w:rFonts w:hint="eastAsia" w:ascii="方正仿宋_GB2312" w:hAnsi="方正仿宋_GB2312" w:eastAsia="方正仿宋_GB2312" w:cs="方正仿宋_GB2312"/>
          <w:color w:val="auto"/>
          <w:sz w:val="24"/>
          <w:szCs w:val="24"/>
          <w:highlight w:val="none"/>
          <w:shd w:val="clear" w:color="auto" w:fill="auto"/>
          <w:lang w:val="en-US" w:eastAsia="zh-CN"/>
        </w:rPr>
        <w:t>三</w:t>
      </w:r>
      <w:r>
        <w:rPr>
          <w:rFonts w:hint="eastAsia" w:ascii="方正仿宋_GB2312" w:hAnsi="方正仿宋_GB2312" w:eastAsia="方正仿宋_GB2312" w:cs="方正仿宋_GB2312"/>
          <w:color w:val="auto"/>
          <w:sz w:val="24"/>
          <w:szCs w:val="24"/>
          <w:highlight w:val="none"/>
          <w:shd w:val="clear" w:color="auto" w:fill="auto"/>
          <w:lang w:val="zh-CN"/>
        </w:rPr>
        <w:t xml:space="preserve">条   </w:t>
      </w:r>
      <w:r>
        <w:rPr>
          <w:rFonts w:hint="eastAsia" w:ascii="方正仿宋_GB2312" w:hAnsi="方正仿宋_GB2312" w:eastAsia="方正仿宋_GB2312" w:cs="方正仿宋_GB2312"/>
          <w:color w:val="auto"/>
          <w:sz w:val="24"/>
          <w:szCs w:val="24"/>
          <w:highlight w:val="none"/>
          <w:shd w:val="clear" w:color="auto" w:fill="auto"/>
          <w:lang w:val="en-US" w:eastAsia="zh-CN"/>
        </w:rPr>
        <w:t>合同履约期</w:t>
      </w:r>
      <w:r>
        <w:rPr>
          <w:rFonts w:hint="eastAsia" w:ascii="方正仿宋_GB2312" w:hAnsi="方正仿宋_GB2312" w:eastAsia="方正仿宋_GB2312" w:cs="方正仿宋_GB2312"/>
          <w:color w:val="auto"/>
          <w:sz w:val="24"/>
          <w:szCs w:val="24"/>
          <w:highlight w:val="none"/>
          <w:shd w:val="clear" w:color="auto" w:fill="auto"/>
          <w:lang w:val="zh-CN"/>
        </w:rPr>
        <w:t>限</w:t>
      </w:r>
    </w:p>
    <w:p w14:paraId="6C2FC270">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本合同</w:t>
      </w:r>
      <w:r>
        <w:rPr>
          <w:rFonts w:hint="eastAsia" w:ascii="方正仿宋_GB2312" w:hAnsi="方正仿宋_GB2312" w:eastAsia="方正仿宋_GB2312" w:cs="方正仿宋_GB2312"/>
          <w:color w:val="auto"/>
          <w:sz w:val="24"/>
          <w:szCs w:val="24"/>
          <w:highlight w:val="none"/>
          <w:shd w:val="clear" w:color="auto" w:fill="auto"/>
          <w:lang w:val="en-US" w:eastAsia="zh-CN"/>
        </w:rPr>
        <w:t>合同履约期</w:t>
      </w:r>
      <w:r>
        <w:rPr>
          <w:rFonts w:hint="eastAsia" w:ascii="方正仿宋_GB2312" w:hAnsi="方正仿宋_GB2312" w:eastAsia="方正仿宋_GB2312" w:cs="方正仿宋_GB2312"/>
          <w:color w:val="auto"/>
          <w:sz w:val="24"/>
          <w:szCs w:val="24"/>
          <w:highlight w:val="none"/>
          <w:shd w:val="clear" w:color="auto" w:fill="auto"/>
          <w:lang w:val="zh-CN"/>
        </w:rPr>
        <w:t>限为</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年；</w:t>
      </w:r>
      <w:r>
        <w:rPr>
          <w:rFonts w:hint="eastAsia" w:ascii="方正仿宋_GB2312" w:hAnsi="方正仿宋_GB2312" w:eastAsia="方正仿宋_GB2312" w:cs="方正仿宋_GB2312"/>
          <w:color w:val="auto"/>
          <w:sz w:val="24"/>
          <w:szCs w:val="24"/>
          <w:highlight w:val="none"/>
          <w:shd w:val="clear" w:color="auto" w:fill="auto"/>
          <w:lang w:val="en-US" w:eastAsia="zh-CN"/>
        </w:rPr>
        <w:t>合同履约期</w:t>
      </w:r>
      <w:r>
        <w:rPr>
          <w:rFonts w:hint="eastAsia" w:ascii="方正仿宋_GB2312" w:hAnsi="方正仿宋_GB2312" w:eastAsia="方正仿宋_GB2312" w:cs="方正仿宋_GB2312"/>
          <w:color w:val="auto"/>
          <w:sz w:val="24"/>
          <w:szCs w:val="24"/>
          <w:highlight w:val="none"/>
          <w:shd w:val="clear" w:color="auto" w:fill="auto"/>
          <w:lang w:val="zh-CN"/>
        </w:rPr>
        <w:t xml:space="preserve">限自 </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年</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月</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日起至</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年</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月</w:t>
      </w:r>
      <w:r>
        <w:rPr>
          <w:rFonts w:hint="eastAsia" w:ascii="方正仿宋_GB2312" w:hAnsi="方正仿宋_GB2312" w:eastAsia="方正仿宋_GB2312" w:cs="方正仿宋_GB2312"/>
          <w:color w:val="auto"/>
          <w:sz w:val="24"/>
          <w:szCs w:val="24"/>
          <w:highlight w:val="none"/>
          <w:u w:val="single"/>
          <w:shd w:val="clear" w:color="auto" w:fill="auto"/>
          <w:lang w:val="zh-CN"/>
        </w:rPr>
        <w:t xml:space="preserve">   </w:t>
      </w:r>
      <w:r>
        <w:rPr>
          <w:rFonts w:hint="eastAsia" w:ascii="方正仿宋_GB2312" w:hAnsi="方正仿宋_GB2312" w:eastAsia="方正仿宋_GB2312" w:cs="方正仿宋_GB2312"/>
          <w:color w:val="auto"/>
          <w:sz w:val="24"/>
          <w:szCs w:val="24"/>
          <w:highlight w:val="none"/>
          <w:shd w:val="clear" w:color="auto" w:fill="auto"/>
          <w:lang w:val="zh-CN"/>
        </w:rPr>
        <w:t>日止。</w:t>
      </w:r>
    </w:p>
    <w:p w14:paraId="6D98737D">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w:t>
      </w:r>
    </w:p>
    <w:p w14:paraId="158A468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第十</w:t>
      </w:r>
      <w:r>
        <w:rPr>
          <w:rFonts w:hint="eastAsia" w:ascii="方正仿宋_GB2312" w:hAnsi="方正仿宋_GB2312" w:eastAsia="方正仿宋_GB2312" w:cs="方正仿宋_GB2312"/>
          <w:color w:val="auto"/>
          <w:sz w:val="24"/>
          <w:szCs w:val="24"/>
          <w:highlight w:val="none"/>
          <w:shd w:val="clear" w:color="auto" w:fill="auto"/>
          <w:lang w:val="en-US" w:eastAsia="zh-CN"/>
        </w:rPr>
        <w:t>四</w:t>
      </w:r>
      <w:r>
        <w:rPr>
          <w:rFonts w:hint="eastAsia" w:ascii="方正仿宋_GB2312" w:hAnsi="方正仿宋_GB2312" w:eastAsia="方正仿宋_GB2312" w:cs="方正仿宋_GB2312"/>
          <w:color w:val="auto"/>
          <w:sz w:val="24"/>
          <w:szCs w:val="24"/>
          <w:highlight w:val="none"/>
          <w:shd w:val="clear" w:color="auto" w:fill="auto"/>
          <w:lang w:val="zh-CN"/>
        </w:rPr>
        <w:t>条  下列文件为本合同不可分割部分</w:t>
      </w:r>
    </w:p>
    <w:p w14:paraId="44F6EE9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1、政府采购采购文件（包括澄清、修改）；</w:t>
      </w:r>
    </w:p>
    <w:p w14:paraId="3CD188E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2、乙方响应文件；</w:t>
      </w:r>
    </w:p>
    <w:p w14:paraId="3A6D44F9">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3、成交通知书；</w:t>
      </w:r>
    </w:p>
    <w:p w14:paraId="43DCD18A">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4、成交人在评审过程中做出的有关澄清、说明、承诺或者补正文件；</w:t>
      </w:r>
    </w:p>
    <w:p w14:paraId="54A9C7D8">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ind w:firstLine="482"/>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5、政府采购委托协议书；</w:t>
      </w:r>
    </w:p>
    <w:p w14:paraId="31148CF8">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textAlignment w:val="auto"/>
        <w:rPr>
          <w:rFonts w:hint="eastAsia" w:ascii="方正仿宋_GB2312" w:hAnsi="方正仿宋_GB2312" w:eastAsia="方正仿宋_GB2312" w:cs="方正仿宋_GB2312"/>
          <w:color w:val="auto"/>
          <w:sz w:val="24"/>
          <w:szCs w:val="24"/>
          <w:highlight w:val="none"/>
          <w:shd w:val="clear" w:color="auto" w:fill="auto"/>
          <w:lang w:val="zh-CN"/>
        </w:rPr>
      </w:pPr>
    </w:p>
    <w:p w14:paraId="24A0529D">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甲    方：                             乙    方：</w:t>
      </w:r>
    </w:p>
    <w:p w14:paraId="05F3D84C">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单位名称(公章)：                       单位名称(公章)：</w:t>
      </w:r>
    </w:p>
    <w:p w14:paraId="6677F335">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 xml:space="preserve">法定代表人（被授权代表）签字：         法定代表人（被授权代表）签字：                </w:t>
      </w:r>
    </w:p>
    <w:p w14:paraId="4B78824A">
      <w:pPr>
        <w:keepNext w:val="0"/>
        <w:keepLines w:val="0"/>
        <w:pageBreakBefore w:val="0"/>
        <w:shd w:val="clear" w:fill="FFFFFF" w:themeFill="background1"/>
        <w:kinsoku/>
        <w:wordWrap/>
        <w:overflowPunct/>
        <w:topLinePunct w:val="0"/>
        <w:autoSpaceDE w:val="0"/>
        <w:autoSpaceDN w:val="0"/>
        <w:bidi w:val="0"/>
        <w:adjustRightInd w:val="0"/>
        <w:snapToGrid/>
        <w:spacing w:line="540" w:lineRule="exact"/>
        <w:textAlignment w:val="auto"/>
        <w:rPr>
          <w:rFonts w:hint="eastAsia" w:ascii="方正仿宋_GB2312" w:hAnsi="方正仿宋_GB2312" w:eastAsia="方正仿宋_GB2312" w:cs="方正仿宋_GB2312"/>
          <w:color w:val="auto"/>
          <w:sz w:val="24"/>
          <w:szCs w:val="24"/>
          <w:highlight w:val="none"/>
          <w:shd w:val="clear" w:color="auto" w:fill="auto"/>
          <w:lang w:val="zh-CN"/>
        </w:rPr>
      </w:pPr>
      <w:r>
        <w:rPr>
          <w:rFonts w:hint="eastAsia" w:ascii="方正仿宋_GB2312" w:hAnsi="方正仿宋_GB2312" w:eastAsia="方正仿宋_GB2312" w:cs="方正仿宋_GB2312"/>
          <w:color w:val="auto"/>
          <w:sz w:val="24"/>
          <w:szCs w:val="24"/>
          <w:highlight w:val="none"/>
          <w:shd w:val="clear" w:color="auto" w:fill="auto"/>
          <w:lang w:val="zh-CN"/>
        </w:rPr>
        <w:t>电    话：                             电    话：</w:t>
      </w:r>
    </w:p>
    <w:p w14:paraId="17573895">
      <w:pPr>
        <w:keepNext w:val="0"/>
        <w:keepLines w:val="0"/>
        <w:pageBreakBefore w:val="0"/>
        <w:shd w:val="clear" w:fill="FFFFFF" w:themeFill="background1"/>
        <w:tabs>
          <w:tab w:val="left" w:pos="7820"/>
        </w:tabs>
        <w:kinsoku/>
        <w:wordWrap/>
        <w:overflowPunct/>
        <w:topLinePunct w:val="0"/>
        <w:autoSpaceDE w:val="0"/>
        <w:autoSpaceDN w:val="0"/>
        <w:bidi w:val="0"/>
        <w:adjustRightInd w:val="0"/>
        <w:snapToGrid/>
        <w:spacing w:line="540" w:lineRule="exac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shd w:val="clear" w:color="auto" w:fill="auto"/>
          <w:lang w:val="zh-CN"/>
        </w:rPr>
        <w:t>年   月   日                           年   月   日</w:t>
      </w:r>
    </w:p>
    <w:p w14:paraId="190186FC">
      <w:pPr>
        <w:pStyle w:val="30"/>
        <w:spacing w:line="360" w:lineRule="auto"/>
        <w:rPr>
          <w:rFonts w:ascii="仿宋" w:hAnsi="仿宋" w:eastAsia="仿宋" w:cs="仿宋"/>
          <w:sz w:val="24"/>
          <w:szCs w:val="24"/>
          <w:highlight w:val="none"/>
        </w:rPr>
      </w:pPr>
    </w:p>
    <w:sectPr>
      <w:footerReference r:id="rId1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E757A5C-9FF1-4D35-8951-07FEFC7A6A9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A9F7F0D8-2B39-41B5-A98E-5882536020BF}"/>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方正仿宋_GB2312">
    <w:panose1 w:val="02000000000000000000"/>
    <w:charset w:val="86"/>
    <w:family w:val="auto"/>
    <w:pitch w:val="default"/>
    <w:sig w:usb0="A00002BF" w:usb1="184F6CFA" w:usb2="00000012" w:usb3="00000000" w:csb0="00040001" w:csb1="00000000"/>
    <w:embedRegular r:id="rId3" w:fontKey="{2B8312AE-31ED-44AE-8AA6-96FC16ED1FB3}"/>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4C269">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D1E36">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6AFE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2DB87">
    <w:pPr>
      <w:pStyle w:val="17"/>
      <w:jc w:val="center"/>
      <w:rPr>
        <w:rFonts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20CA7">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5CC20CA7">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1D672">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9FB1C">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389FB1C">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388">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9BBE57">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69BBE57">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AFD2">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01B4E">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ADC0B">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893B4">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60554">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97A35"/>
    <w:multiLevelType w:val="singleLevel"/>
    <w:tmpl w:val="83B97A35"/>
    <w:lvl w:ilvl="0" w:tentative="0">
      <w:start w:val="2"/>
      <w:numFmt w:val="chineseCounting"/>
      <w:suff w:val="nothing"/>
      <w:lvlText w:val="%1、"/>
      <w:lvlJc w:val="left"/>
      <w:rPr>
        <w:rFonts w:hint="eastAsia"/>
      </w:rPr>
    </w:lvl>
  </w:abstractNum>
  <w:abstractNum w:abstractNumId="1">
    <w:nsid w:val="8B732088"/>
    <w:multiLevelType w:val="singleLevel"/>
    <w:tmpl w:val="8B732088"/>
    <w:lvl w:ilvl="0" w:tentative="0">
      <w:start w:val="1"/>
      <w:numFmt w:val="decimal"/>
      <w:lvlText w:val="%1)"/>
      <w:lvlJc w:val="left"/>
      <w:pPr>
        <w:ind w:left="425" w:hanging="425"/>
      </w:pPr>
      <w:rPr>
        <w:rFonts w:hint="default"/>
      </w:rPr>
    </w:lvl>
  </w:abstractNum>
  <w:abstractNum w:abstractNumId="2">
    <w:nsid w:val="A378AFF7"/>
    <w:multiLevelType w:val="singleLevel"/>
    <w:tmpl w:val="A378AFF7"/>
    <w:lvl w:ilvl="0" w:tentative="0">
      <w:start w:val="4"/>
      <w:numFmt w:val="chineseCounting"/>
      <w:suff w:val="space"/>
      <w:lvlText w:val="第%1章"/>
      <w:lvlJc w:val="left"/>
      <w:rPr>
        <w:rFonts w:hint="eastAsia"/>
      </w:rPr>
    </w:lvl>
  </w:abstractNum>
  <w:abstractNum w:abstractNumId="3">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4"/>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4">
    <w:nsid w:val="D15A3400"/>
    <w:multiLevelType w:val="singleLevel"/>
    <w:tmpl w:val="D15A3400"/>
    <w:lvl w:ilvl="0" w:tentative="0">
      <w:start w:val="4"/>
      <w:numFmt w:val="decimal"/>
      <w:suff w:val="nothing"/>
      <w:lvlText w:val="%1、"/>
      <w:lvlJc w:val="left"/>
    </w:lvl>
  </w:abstractNum>
  <w:abstractNum w:abstractNumId="5">
    <w:nsid w:val="D3886DE8"/>
    <w:multiLevelType w:val="singleLevel"/>
    <w:tmpl w:val="D3886DE8"/>
    <w:lvl w:ilvl="0" w:tentative="0">
      <w:start w:val="1"/>
      <w:numFmt w:val="decimal"/>
      <w:lvlText w:val="%1."/>
      <w:lvlJc w:val="left"/>
      <w:pPr>
        <w:tabs>
          <w:tab w:val="left" w:pos="312"/>
        </w:tabs>
      </w:pPr>
    </w:lvl>
  </w:abstractNum>
  <w:abstractNum w:abstractNumId="6">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5"/>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7">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3"/>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180D856"/>
    <w:multiLevelType w:val="singleLevel"/>
    <w:tmpl w:val="6180D856"/>
    <w:lvl w:ilvl="0" w:tentative="0">
      <w:start w:val="1"/>
      <w:numFmt w:val="decimal"/>
      <w:lvlText w:val="%1)"/>
      <w:lvlJc w:val="left"/>
      <w:pPr>
        <w:ind w:left="425" w:hanging="425"/>
      </w:pPr>
      <w:rPr>
        <w:rFonts w:hint="default"/>
      </w:rPr>
    </w:lvl>
  </w:abstractNum>
  <w:num w:numId="1">
    <w:abstractNumId w:val="3"/>
  </w:num>
  <w:num w:numId="2">
    <w:abstractNumId w:val="6"/>
  </w:num>
  <w:num w:numId="3">
    <w:abstractNumId w:val="7"/>
  </w:num>
  <w:num w:numId="4">
    <w:abstractNumId w:val="0"/>
  </w:num>
  <w:num w:numId="5">
    <w:abstractNumId w:val="2"/>
  </w:num>
  <w:num w:numId="6">
    <w:abstractNumId w:val="8"/>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xZjRkYmY2NWJhNjA4MmU4YTc0NDY4YTNlNjVmNjgifQ=="/>
    <w:docVar w:name="KSO_WPS_MARK_KEY" w:val="2542d0e4-db01-47bc-9e30-3b31ec68f3a9"/>
  </w:docVars>
  <w:rsids>
    <w:rsidRoot w:val="006D6F44"/>
    <w:rsid w:val="00083A7D"/>
    <w:rsid w:val="00085DA1"/>
    <w:rsid w:val="001119CD"/>
    <w:rsid w:val="001343B1"/>
    <w:rsid w:val="00177ECA"/>
    <w:rsid w:val="002021CC"/>
    <w:rsid w:val="0022674C"/>
    <w:rsid w:val="00252FC0"/>
    <w:rsid w:val="002C54C8"/>
    <w:rsid w:val="00360E24"/>
    <w:rsid w:val="003C111D"/>
    <w:rsid w:val="00436CBC"/>
    <w:rsid w:val="004672B9"/>
    <w:rsid w:val="0049263D"/>
    <w:rsid w:val="004D5BB6"/>
    <w:rsid w:val="005F58DE"/>
    <w:rsid w:val="00634FF2"/>
    <w:rsid w:val="006351B6"/>
    <w:rsid w:val="006B79D1"/>
    <w:rsid w:val="006D6F44"/>
    <w:rsid w:val="0073556F"/>
    <w:rsid w:val="00754BD2"/>
    <w:rsid w:val="00971785"/>
    <w:rsid w:val="00975909"/>
    <w:rsid w:val="00A17CC3"/>
    <w:rsid w:val="00A21929"/>
    <w:rsid w:val="00AD511E"/>
    <w:rsid w:val="00AF6717"/>
    <w:rsid w:val="00BD6145"/>
    <w:rsid w:val="00BE32F3"/>
    <w:rsid w:val="00CC135F"/>
    <w:rsid w:val="00D651EE"/>
    <w:rsid w:val="00DF7C4C"/>
    <w:rsid w:val="00ED07B6"/>
    <w:rsid w:val="00F72CA9"/>
    <w:rsid w:val="00F846DC"/>
    <w:rsid w:val="0102159D"/>
    <w:rsid w:val="011A058D"/>
    <w:rsid w:val="014F219D"/>
    <w:rsid w:val="015529D7"/>
    <w:rsid w:val="016043AA"/>
    <w:rsid w:val="01893B08"/>
    <w:rsid w:val="019D73AC"/>
    <w:rsid w:val="01B110AA"/>
    <w:rsid w:val="01FE02D2"/>
    <w:rsid w:val="020236B3"/>
    <w:rsid w:val="021A27AB"/>
    <w:rsid w:val="02563B57"/>
    <w:rsid w:val="025E09B4"/>
    <w:rsid w:val="026F3743"/>
    <w:rsid w:val="02731484"/>
    <w:rsid w:val="02B20C36"/>
    <w:rsid w:val="02BC0090"/>
    <w:rsid w:val="02C00F6B"/>
    <w:rsid w:val="030A4F07"/>
    <w:rsid w:val="03122727"/>
    <w:rsid w:val="036C34DA"/>
    <w:rsid w:val="03870C59"/>
    <w:rsid w:val="040C416E"/>
    <w:rsid w:val="044A50D4"/>
    <w:rsid w:val="04735682"/>
    <w:rsid w:val="04AB0032"/>
    <w:rsid w:val="04FC007E"/>
    <w:rsid w:val="05164823"/>
    <w:rsid w:val="05681A7F"/>
    <w:rsid w:val="057C2119"/>
    <w:rsid w:val="05C148D2"/>
    <w:rsid w:val="05EC445F"/>
    <w:rsid w:val="062F620E"/>
    <w:rsid w:val="06371391"/>
    <w:rsid w:val="06380170"/>
    <w:rsid w:val="06815A00"/>
    <w:rsid w:val="07235BE6"/>
    <w:rsid w:val="07294B7B"/>
    <w:rsid w:val="0734173C"/>
    <w:rsid w:val="07830DF3"/>
    <w:rsid w:val="079D7527"/>
    <w:rsid w:val="079F3753"/>
    <w:rsid w:val="07A82607"/>
    <w:rsid w:val="08275C22"/>
    <w:rsid w:val="082F62F4"/>
    <w:rsid w:val="089A1160"/>
    <w:rsid w:val="092B1742"/>
    <w:rsid w:val="094665B2"/>
    <w:rsid w:val="0965366A"/>
    <w:rsid w:val="096E011F"/>
    <w:rsid w:val="09884C41"/>
    <w:rsid w:val="09B71227"/>
    <w:rsid w:val="09C82F26"/>
    <w:rsid w:val="0A1931E8"/>
    <w:rsid w:val="0A2A256E"/>
    <w:rsid w:val="0A8366CB"/>
    <w:rsid w:val="0A8649B5"/>
    <w:rsid w:val="0A8E1890"/>
    <w:rsid w:val="0AC31F95"/>
    <w:rsid w:val="0B084C39"/>
    <w:rsid w:val="0B0D4C33"/>
    <w:rsid w:val="0B1229A8"/>
    <w:rsid w:val="0B3F3282"/>
    <w:rsid w:val="0BF7590B"/>
    <w:rsid w:val="0C476893"/>
    <w:rsid w:val="0C4F5747"/>
    <w:rsid w:val="0C71390F"/>
    <w:rsid w:val="0C776A4C"/>
    <w:rsid w:val="0CB47CA0"/>
    <w:rsid w:val="0CCD48BE"/>
    <w:rsid w:val="0CE57811"/>
    <w:rsid w:val="0D850FBB"/>
    <w:rsid w:val="0D86113E"/>
    <w:rsid w:val="0D8853B5"/>
    <w:rsid w:val="0DBA12E6"/>
    <w:rsid w:val="0DC83A03"/>
    <w:rsid w:val="0DD87DE8"/>
    <w:rsid w:val="0E2B3F92"/>
    <w:rsid w:val="0E415563"/>
    <w:rsid w:val="0E5F3020"/>
    <w:rsid w:val="0EB16245"/>
    <w:rsid w:val="0EB36461"/>
    <w:rsid w:val="0EDC703A"/>
    <w:rsid w:val="0F2310FF"/>
    <w:rsid w:val="0F3D3F7D"/>
    <w:rsid w:val="0F887012"/>
    <w:rsid w:val="0FE635D7"/>
    <w:rsid w:val="104A6951"/>
    <w:rsid w:val="1079078B"/>
    <w:rsid w:val="10906A1B"/>
    <w:rsid w:val="10A06571"/>
    <w:rsid w:val="10CB5F5E"/>
    <w:rsid w:val="10D963A0"/>
    <w:rsid w:val="110E794C"/>
    <w:rsid w:val="113A22D2"/>
    <w:rsid w:val="116A4DD1"/>
    <w:rsid w:val="11BD1DA0"/>
    <w:rsid w:val="11DA1F57"/>
    <w:rsid w:val="12A85BB1"/>
    <w:rsid w:val="12BE7F9E"/>
    <w:rsid w:val="12C33AC5"/>
    <w:rsid w:val="12EB7568"/>
    <w:rsid w:val="137D923C"/>
    <w:rsid w:val="138F6400"/>
    <w:rsid w:val="13954387"/>
    <w:rsid w:val="139A199E"/>
    <w:rsid w:val="13C46A1B"/>
    <w:rsid w:val="13CA0C09"/>
    <w:rsid w:val="13D33102"/>
    <w:rsid w:val="1415056B"/>
    <w:rsid w:val="143F42F3"/>
    <w:rsid w:val="14795A57"/>
    <w:rsid w:val="14B27574"/>
    <w:rsid w:val="14F00AA2"/>
    <w:rsid w:val="15015A4D"/>
    <w:rsid w:val="15121A08"/>
    <w:rsid w:val="15655FDB"/>
    <w:rsid w:val="157B135B"/>
    <w:rsid w:val="15802E15"/>
    <w:rsid w:val="15B12FCF"/>
    <w:rsid w:val="15EF3EF3"/>
    <w:rsid w:val="15F829AC"/>
    <w:rsid w:val="1606156C"/>
    <w:rsid w:val="16161E94"/>
    <w:rsid w:val="161F43DC"/>
    <w:rsid w:val="16393655"/>
    <w:rsid w:val="164107F7"/>
    <w:rsid w:val="16B65467"/>
    <w:rsid w:val="1763654B"/>
    <w:rsid w:val="178722FE"/>
    <w:rsid w:val="17C23271"/>
    <w:rsid w:val="17C90AA4"/>
    <w:rsid w:val="17D82A95"/>
    <w:rsid w:val="17E71A50"/>
    <w:rsid w:val="17F73A57"/>
    <w:rsid w:val="181B2A69"/>
    <w:rsid w:val="184879E1"/>
    <w:rsid w:val="18A04871"/>
    <w:rsid w:val="18AF5EEB"/>
    <w:rsid w:val="18B43502"/>
    <w:rsid w:val="18E3544F"/>
    <w:rsid w:val="18E831AB"/>
    <w:rsid w:val="18F757FE"/>
    <w:rsid w:val="191D49D0"/>
    <w:rsid w:val="1934019F"/>
    <w:rsid w:val="19403168"/>
    <w:rsid w:val="194A3288"/>
    <w:rsid w:val="19796F48"/>
    <w:rsid w:val="19AF2B69"/>
    <w:rsid w:val="19BC1F42"/>
    <w:rsid w:val="19F85670"/>
    <w:rsid w:val="1A3C3108"/>
    <w:rsid w:val="1A9133CF"/>
    <w:rsid w:val="1AB570BD"/>
    <w:rsid w:val="1AEC1B21"/>
    <w:rsid w:val="1BB750B7"/>
    <w:rsid w:val="1BD46B05"/>
    <w:rsid w:val="1BDE0896"/>
    <w:rsid w:val="1BEA2D97"/>
    <w:rsid w:val="1BF846A0"/>
    <w:rsid w:val="1BFFFBFE"/>
    <w:rsid w:val="1C0D1768"/>
    <w:rsid w:val="1C111736"/>
    <w:rsid w:val="1C37598E"/>
    <w:rsid w:val="1C8E3164"/>
    <w:rsid w:val="1C9033DD"/>
    <w:rsid w:val="1D1907E7"/>
    <w:rsid w:val="1D22539B"/>
    <w:rsid w:val="1D5252D9"/>
    <w:rsid w:val="1D7A639C"/>
    <w:rsid w:val="1DC57731"/>
    <w:rsid w:val="1DD957B9"/>
    <w:rsid w:val="1DE008F5"/>
    <w:rsid w:val="1DE226F6"/>
    <w:rsid w:val="1E395337"/>
    <w:rsid w:val="1E624A31"/>
    <w:rsid w:val="1E8A260F"/>
    <w:rsid w:val="1EC77C48"/>
    <w:rsid w:val="1EDA6996"/>
    <w:rsid w:val="1EEE29A8"/>
    <w:rsid w:val="1F280811"/>
    <w:rsid w:val="1F78690B"/>
    <w:rsid w:val="1FB57B5F"/>
    <w:rsid w:val="1FDC1A61"/>
    <w:rsid w:val="1FFDCA18"/>
    <w:rsid w:val="20001D6A"/>
    <w:rsid w:val="201C198C"/>
    <w:rsid w:val="206A5E42"/>
    <w:rsid w:val="20A17691"/>
    <w:rsid w:val="211A4921"/>
    <w:rsid w:val="2139587A"/>
    <w:rsid w:val="21417A0D"/>
    <w:rsid w:val="21771570"/>
    <w:rsid w:val="21DA4DF2"/>
    <w:rsid w:val="22431452"/>
    <w:rsid w:val="224C47AB"/>
    <w:rsid w:val="226A4C31"/>
    <w:rsid w:val="22A30143"/>
    <w:rsid w:val="22BD7457"/>
    <w:rsid w:val="22D24584"/>
    <w:rsid w:val="22DB49BE"/>
    <w:rsid w:val="22E67C91"/>
    <w:rsid w:val="234611FA"/>
    <w:rsid w:val="23953F30"/>
    <w:rsid w:val="23A43B4C"/>
    <w:rsid w:val="2435126F"/>
    <w:rsid w:val="2446522A"/>
    <w:rsid w:val="244C35C8"/>
    <w:rsid w:val="24612064"/>
    <w:rsid w:val="246C62EA"/>
    <w:rsid w:val="246F29AA"/>
    <w:rsid w:val="24750ADE"/>
    <w:rsid w:val="247E49C4"/>
    <w:rsid w:val="24AE1898"/>
    <w:rsid w:val="24B938D9"/>
    <w:rsid w:val="25090731"/>
    <w:rsid w:val="25140E84"/>
    <w:rsid w:val="25317169"/>
    <w:rsid w:val="25331ACA"/>
    <w:rsid w:val="256F4866"/>
    <w:rsid w:val="25893620"/>
    <w:rsid w:val="25A91F14"/>
    <w:rsid w:val="25C51585"/>
    <w:rsid w:val="25E92311"/>
    <w:rsid w:val="265359DC"/>
    <w:rsid w:val="26592325"/>
    <w:rsid w:val="267C3185"/>
    <w:rsid w:val="26BE554B"/>
    <w:rsid w:val="26E52AD8"/>
    <w:rsid w:val="26F96584"/>
    <w:rsid w:val="27072C08"/>
    <w:rsid w:val="276071C9"/>
    <w:rsid w:val="27AF63B3"/>
    <w:rsid w:val="27B23302"/>
    <w:rsid w:val="27BC2A5B"/>
    <w:rsid w:val="27C41578"/>
    <w:rsid w:val="27C55263"/>
    <w:rsid w:val="27DF86BE"/>
    <w:rsid w:val="27E40FE2"/>
    <w:rsid w:val="27E47234"/>
    <w:rsid w:val="27EC60E8"/>
    <w:rsid w:val="2838132E"/>
    <w:rsid w:val="285A264F"/>
    <w:rsid w:val="2863070C"/>
    <w:rsid w:val="286B1703"/>
    <w:rsid w:val="28BE433A"/>
    <w:rsid w:val="28CA467C"/>
    <w:rsid w:val="28D601EB"/>
    <w:rsid w:val="28EC2915"/>
    <w:rsid w:val="29134581"/>
    <w:rsid w:val="291E0523"/>
    <w:rsid w:val="29271AA1"/>
    <w:rsid w:val="29355407"/>
    <w:rsid w:val="29891E41"/>
    <w:rsid w:val="299F1664"/>
    <w:rsid w:val="29DB1AEB"/>
    <w:rsid w:val="29DB4666"/>
    <w:rsid w:val="29DE5D3A"/>
    <w:rsid w:val="2A104310"/>
    <w:rsid w:val="2A181229"/>
    <w:rsid w:val="2A204819"/>
    <w:rsid w:val="2A7C60C8"/>
    <w:rsid w:val="2AD05870"/>
    <w:rsid w:val="2AEC5A97"/>
    <w:rsid w:val="2AF43C32"/>
    <w:rsid w:val="2B1A4D1A"/>
    <w:rsid w:val="2B731B25"/>
    <w:rsid w:val="2B7F9D69"/>
    <w:rsid w:val="2BAA609E"/>
    <w:rsid w:val="2BC32A58"/>
    <w:rsid w:val="2CD63AFA"/>
    <w:rsid w:val="2CD7274E"/>
    <w:rsid w:val="2D1C121E"/>
    <w:rsid w:val="2D7453B7"/>
    <w:rsid w:val="2D7B3FB5"/>
    <w:rsid w:val="2DDBFD16"/>
    <w:rsid w:val="2DEEB59A"/>
    <w:rsid w:val="2E536EC1"/>
    <w:rsid w:val="2E986820"/>
    <w:rsid w:val="2ED718A0"/>
    <w:rsid w:val="2EF20488"/>
    <w:rsid w:val="2EF42085"/>
    <w:rsid w:val="2EF44200"/>
    <w:rsid w:val="2F406DDF"/>
    <w:rsid w:val="2F6F7DFC"/>
    <w:rsid w:val="2F9028FF"/>
    <w:rsid w:val="2FB4672A"/>
    <w:rsid w:val="2FB971F8"/>
    <w:rsid w:val="2FBE2607"/>
    <w:rsid w:val="2FCAC8DF"/>
    <w:rsid w:val="2FF65D56"/>
    <w:rsid w:val="2FF97270"/>
    <w:rsid w:val="2FFF637F"/>
    <w:rsid w:val="301A2DFD"/>
    <w:rsid w:val="303B7C0D"/>
    <w:rsid w:val="30517510"/>
    <w:rsid w:val="306164E3"/>
    <w:rsid w:val="306B247C"/>
    <w:rsid w:val="30C95219"/>
    <w:rsid w:val="30D701EF"/>
    <w:rsid w:val="310F3486"/>
    <w:rsid w:val="312406A1"/>
    <w:rsid w:val="31AB69D8"/>
    <w:rsid w:val="31AD06C5"/>
    <w:rsid w:val="31B07BB6"/>
    <w:rsid w:val="31D609DB"/>
    <w:rsid w:val="31E01A47"/>
    <w:rsid w:val="31F14CA6"/>
    <w:rsid w:val="32024E86"/>
    <w:rsid w:val="322D5E7C"/>
    <w:rsid w:val="32382833"/>
    <w:rsid w:val="323B5CA2"/>
    <w:rsid w:val="3278A520"/>
    <w:rsid w:val="329A43D4"/>
    <w:rsid w:val="329E236C"/>
    <w:rsid w:val="32BA306B"/>
    <w:rsid w:val="338D3D76"/>
    <w:rsid w:val="33A13E0A"/>
    <w:rsid w:val="33DC6096"/>
    <w:rsid w:val="33FF6CC7"/>
    <w:rsid w:val="340F73E6"/>
    <w:rsid w:val="34101053"/>
    <w:rsid w:val="3492329A"/>
    <w:rsid w:val="34BB756E"/>
    <w:rsid w:val="34DB111B"/>
    <w:rsid w:val="34E97A94"/>
    <w:rsid w:val="34F849EF"/>
    <w:rsid w:val="35040F15"/>
    <w:rsid w:val="352F2BEC"/>
    <w:rsid w:val="35466E38"/>
    <w:rsid w:val="35803742"/>
    <w:rsid w:val="35B93AAE"/>
    <w:rsid w:val="35DB7EC8"/>
    <w:rsid w:val="35E46E43"/>
    <w:rsid w:val="36BB532C"/>
    <w:rsid w:val="36C62A73"/>
    <w:rsid w:val="374271D8"/>
    <w:rsid w:val="37461371"/>
    <w:rsid w:val="3776528F"/>
    <w:rsid w:val="377BE217"/>
    <w:rsid w:val="378D6B0A"/>
    <w:rsid w:val="37C07966"/>
    <w:rsid w:val="37C47CD5"/>
    <w:rsid w:val="37C64260"/>
    <w:rsid w:val="37D739CE"/>
    <w:rsid w:val="37F214F9"/>
    <w:rsid w:val="37FE0133"/>
    <w:rsid w:val="385B52F0"/>
    <w:rsid w:val="38662298"/>
    <w:rsid w:val="388D51B3"/>
    <w:rsid w:val="38E01351"/>
    <w:rsid w:val="391C5552"/>
    <w:rsid w:val="391F2D12"/>
    <w:rsid w:val="39700927"/>
    <w:rsid w:val="39804AD4"/>
    <w:rsid w:val="39A22AAB"/>
    <w:rsid w:val="39F37552"/>
    <w:rsid w:val="3A0309EE"/>
    <w:rsid w:val="3A52002D"/>
    <w:rsid w:val="3ADE2D8C"/>
    <w:rsid w:val="3AE42FBA"/>
    <w:rsid w:val="3AF034F0"/>
    <w:rsid w:val="3B2E583A"/>
    <w:rsid w:val="3B5E2C18"/>
    <w:rsid w:val="3B756F45"/>
    <w:rsid w:val="3BAF0A77"/>
    <w:rsid w:val="3BB32D4D"/>
    <w:rsid w:val="3BFF6FFB"/>
    <w:rsid w:val="3C223F60"/>
    <w:rsid w:val="3C3A521C"/>
    <w:rsid w:val="3C9B3F0D"/>
    <w:rsid w:val="3CED4ADC"/>
    <w:rsid w:val="3CFD6405"/>
    <w:rsid w:val="3D18555E"/>
    <w:rsid w:val="3D2E69FE"/>
    <w:rsid w:val="3D2F4655"/>
    <w:rsid w:val="3D516CC2"/>
    <w:rsid w:val="3DC00139"/>
    <w:rsid w:val="3DEF89C1"/>
    <w:rsid w:val="3DFF4317"/>
    <w:rsid w:val="3E3C34CE"/>
    <w:rsid w:val="3E3D0FF4"/>
    <w:rsid w:val="3E68075C"/>
    <w:rsid w:val="3E6C3FB1"/>
    <w:rsid w:val="3EA76402"/>
    <w:rsid w:val="3EBC7034"/>
    <w:rsid w:val="3EFFD2FD"/>
    <w:rsid w:val="3F143436"/>
    <w:rsid w:val="3F161F71"/>
    <w:rsid w:val="3F3DD201"/>
    <w:rsid w:val="3F7D6E3A"/>
    <w:rsid w:val="3FB62B17"/>
    <w:rsid w:val="3FEF44C9"/>
    <w:rsid w:val="3FF35E0E"/>
    <w:rsid w:val="3FF658FE"/>
    <w:rsid w:val="3FFB25B6"/>
    <w:rsid w:val="400D3BD6"/>
    <w:rsid w:val="404C3770"/>
    <w:rsid w:val="405A5539"/>
    <w:rsid w:val="406003BF"/>
    <w:rsid w:val="40635C12"/>
    <w:rsid w:val="408732FB"/>
    <w:rsid w:val="40A50767"/>
    <w:rsid w:val="40A869C3"/>
    <w:rsid w:val="40FA58B4"/>
    <w:rsid w:val="41016309"/>
    <w:rsid w:val="410F49D4"/>
    <w:rsid w:val="412E1653"/>
    <w:rsid w:val="41686388"/>
    <w:rsid w:val="41A549A6"/>
    <w:rsid w:val="41AD023F"/>
    <w:rsid w:val="41F92C23"/>
    <w:rsid w:val="423A5F76"/>
    <w:rsid w:val="427B4863"/>
    <w:rsid w:val="428C078D"/>
    <w:rsid w:val="42EE6E5E"/>
    <w:rsid w:val="434370AD"/>
    <w:rsid w:val="434F15AD"/>
    <w:rsid w:val="43A37B4B"/>
    <w:rsid w:val="44054362"/>
    <w:rsid w:val="44240C8C"/>
    <w:rsid w:val="443A4EE8"/>
    <w:rsid w:val="44AF0345"/>
    <w:rsid w:val="44B435E3"/>
    <w:rsid w:val="44BB02A4"/>
    <w:rsid w:val="44C10289"/>
    <w:rsid w:val="44F71EFD"/>
    <w:rsid w:val="44FFB928"/>
    <w:rsid w:val="4541586E"/>
    <w:rsid w:val="45464C32"/>
    <w:rsid w:val="45B46040"/>
    <w:rsid w:val="45CF2E79"/>
    <w:rsid w:val="45D3718B"/>
    <w:rsid w:val="45DC4237"/>
    <w:rsid w:val="45FBF037"/>
    <w:rsid w:val="46290CE3"/>
    <w:rsid w:val="463E174E"/>
    <w:rsid w:val="46927A9B"/>
    <w:rsid w:val="469A25DB"/>
    <w:rsid w:val="471E7C15"/>
    <w:rsid w:val="472E08A8"/>
    <w:rsid w:val="475A49C5"/>
    <w:rsid w:val="476C0877"/>
    <w:rsid w:val="479C6D8B"/>
    <w:rsid w:val="47AD2F34"/>
    <w:rsid w:val="47B05A7D"/>
    <w:rsid w:val="47D76015"/>
    <w:rsid w:val="47ED3A86"/>
    <w:rsid w:val="480908C5"/>
    <w:rsid w:val="481B23A6"/>
    <w:rsid w:val="4825684B"/>
    <w:rsid w:val="4828061F"/>
    <w:rsid w:val="48855A71"/>
    <w:rsid w:val="48B00A3D"/>
    <w:rsid w:val="48B85E47"/>
    <w:rsid w:val="48CA1527"/>
    <w:rsid w:val="49153B3D"/>
    <w:rsid w:val="49245DCD"/>
    <w:rsid w:val="49267254"/>
    <w:rsid w:val="493D00FA"/>
    <w:rsid w:val="49492F43"/>
    <w:rsid w:val="495C67D2"/>
    <w:rsid w:val="49A63EF1"/>
    <w:rsid w:val="49AB391A"/>
    <w:rsid w:val="49F64E79"/>
    <w:rsid w:val="4A6022F2"/>
    <w:rsid w:val="4A630034"/>
    <w:rsid w:val="4AD9363D"/>
    <w:rsid w:val="4B833E6A"/>
    <w:rsid w:val="4B881494"/>
    <w:rsid w:val="4BBE19C6"/>
    <w:rsid w:val="4BF36A46"/>
    <w:rsid w:val="4C0B634F"/>
    <w:rsid w:val="4C15185F"/>
    <w:rsid w:val="4C993E74"/>
    <w:rsid w:val="4CC27294"/>
    <w:rsid w:val="4CC63226"/>
    <w:rsid w:val="4CE90CC5"/>
    <w:rsid w:val="4D227280"/>
    <w:rsid w:val="4D6E0922"/>
    <w:rsid w:val="4D8F77B4"/>
    <w:rsid w:val="4D9C1893"/>
    <w:rsid w:val="4DB07692"/>
    <w:rsid w:val="4DC70DA7"/>
    <w:rsid w:val="4DDC6134"/>
    <w:rsid w:val="4DDD1F01"/>
    <w:rsid w:val="4E0B6A19"/>
    <w:rsid w:val="4E2C0B7D"/>
    <w:rsid w:val="4ED44C65"/>
    <w:rsid w:val="4F166C4D"/>
    <w:rsid w:val="4F2628D1"/>
    <w:rsid w:val="4F3F4BCC"/>
    <w:rsid w:val="4F443F90"/>
    <w:rsid w:val="4F5B752C"/>
    <w:rsid w:val="4F8D1BA3"/>
    <w:rsid w:val="4F9B4859"/>
    <w:rsid w:val="4FB7928B"/>
    <w:rsid w:val="4FDF379E"/>
    <w:rsid w:val="50180913"/>
    <w:rsid w:val="5042188F"/>
    <w:rsid w:val="505617CA"/>
    <w:rsid w:val="50673ADC"/>
    <w:rsid w:val="506E2BAE"/>
    <w:rsid w:val="50750031"/>
    <w:rsid w:val="50BC224C"/>
    <w:rsid w:val="50D852D8"/>
    <w:rsid w:val="50F639B0"/>
    <w:rsid w:val="514D15D6"/>
    <w:rsid w:val="515B2E61"/>
    <w:rsid w:val="51EC0F1C"/>
    <w:rsid w:val="5223325C"/>
    <w:rsid w:val="52284DBE"/>
    <w:rsid w:val="52B54CF0"/>
    <w:rsid w:val="52BF3272"/>
    <w:rsid w:val="52E16E5F"/>
    <w:rsid w:val="530E3233"/>
    <w:rsid w:val="531000A5"/>
    <w:rsid w:val="532454E6"/>
    <w:rsid w:val="533B7DA0"/>
    <w:rsid w:val="53852DC9"/>
    <w:rsid w:val="5386726D"/>
    <w:rsid w:val="538B429A"/>
    <w:rsid w:val="540519ED"/>
    <w:rsid w:val="54AB6860"/>
    <w:rsid w:val="5503669C"/>
    <w:rsid w:val="55435F41"/>
    <w:rsid w:val="558B011B"/>
    <w:rsid w:val="55A7171D"/>
    <w:rsid w:val="55E661CC"/>
    <w:rsid w:val="55F52488"/>
    <w:rsid w:val="56015FA8"/>
    <w:rsid w:val="56102EB5"/>
    <w:rsid w:val="561B060A"/>
    <w:rsid w:val="56680EAC"/>
    <w:rsid w:val="567E11E9"/>
    <w:rsid w:val="56933C1B"/>
    <w:rsid w:val="569819EA"/>
    <w:rsid w:val="56A63FEE"/>
    <w:rsid w:val="573C5F32"/>
    <w:rsid w:val="576458AF"/>
    <w:rsid w:val="576C30D0"/>
    <w:rsid w:val="576F1DC6"/>
    <w:rsid w:val="57883566"/>
    <w:rsid w:val="579923B0"/>
    <w:rsid w:val="57CD4B47"/>
    <w:rsid w:val="586B76F6"/>
    <w:rsid w:val="588F18DC"/>
    <w:rsid w:val="58977827"/>
    <w:rsid w:val="58BE57B5"/>
    <w:rsid w:val="58D00F8B"/>
    <w:rsid w:val="58D74A3D"/>
    <w:rsid w:val="59044790"/>
    <w:rsid w:val="591F6B66"/>
    <w:rsid w:val="592D018B"/>
    <w:rsid w:val="596072BA"/>
    <w:rsid w:val="59611BE3"/>
    <w:rsid w:val="59875AED"/>
    <w:rsid w:val="59983E95"/>
    <w:rsid w:val="59AC0B12"/>
    <w:rsid w:val="59CD102D"/>
    <w:rsid w:val="59D14FBA"/>
    <w:rsid w:val="59EEC8CD"/>
    <w:rsid w:val="5A1629CD"/>
    <w:rsid w:val="5A2473C4"/>
    <w:rsid w:val="5A517EA9"/>
    <w:rsid w:val="5A700229"/>
    <w:rsid w:val="5A8D547E"/>
    <w:rsid w:val="5AB67D0C"/>
    <w:rsid w:val="5AE14FD0"/>
    <w:rsid w:val="5AE42ACB"/>
    <w:rsid w:val="5AE96B71"/>
    <w:rsid w:val="5AEB1782"/>
    <w:rsid w:val="5AFA22EF"/>
    <w:rsid w:val="5B062A42"/>
    <w:rsid w:val="5B0F64E3"/>
    <w:rsid w:val="5B123195"/>
    <w:rsid w:val="5B2578B9"/>
    <w:rsid w:val="5B266C40"/>
    <w:rsid w:val="5B266F2F"/>
    <w:rsid w:val="5BA83AF9"/>
    <w:rsid w:val="5BCA1926"/>
    <w:rsid w:val="5C337973"/>
    <w:rsid w:val="5C3A6E47"/>
    <w:rsid w:val="5C5D3D2F"/>
    <w:rsid w:val="5C7A5E0A"/>
    <w:rsid w:val="5CA51281"/>
    <w:rsid w:val="5CE42047"/>
    <w:rsid w:val="5CE6248D"/>
    <w:rsid w:val="5CFE4C15"/>
    <w:rsid w:val="5D79574D"/>
    <w:rsid w:val="5D9A56C3"/>
    <w:rsid w:val="5DAB4405"/>
    <w:rsid w:val="5DBD1BFF"/>
    <w:rsid w:val="5DBF3AD3"/>
    <w:rsid w:val="5DC15346"/>
    <w:rsid w:val="5E007C1C"/>
    <w:rsid w:val="5E024A48"/>
    <w:rsid w:val="5E096C5A"/>
    <w:rsid w:val="5E1216FE"/>
    <w:rsid w:val="5E402EA6"/>
    <w:rsid w:val="5E6FA3C4"/>
    <w:rsid w:val="5E6FE56C"/>
    <w:rsid w:val="5E826883"/>
    <w:rsid w:val="5EE72824"/>
    <w:rsid w:val="5EFB4188"/>
    <w:rsid w:val="5F26668D"/>
    <w:rsid w:val="5F313E05"/>
    <w:rsid w:val="5F64242D"/>
    <w:rsid w:val="5F775E67"/>
    <w:rsid w:val="5F806C73"/>
    <w:rsid w:val="5F876CE7"/>
    <w:rsid w:val="5FD90725"/>
    <w:rsid w:val="5FDF5411"/>
    <w:rsid w:val="5FE330BE"/>
    <w:rsid w:val="60077FCA"/>
    <w:rsid w:val="602A0F80"/>
    <w:rsid w:val="60577705"/>
    <w:rsid w:val="60E05AE3"/>
    <w:rsid w:val="611D1FCC"/>
    <w:rsid w:val="616427FD"/>
    <w:rsid w:val="61F97775"/>
    <w:rsid w:val="62031A89"/>
    <w:rsid w:val="62113437"/>
    <w:rsid w:val="62115888"/>
    <w:rsid w:val="621912AD"/>
    <w:rsid w:val="62584A3A"/>
    <w:rsid w:val="627D34D2"/>
    <w:rsid w:val="62BB05B6"/>
    <w:rsid w:val="630062FA"/>
    <w:rsid w:val="630705E5"/>
    <w:rsid w:val="63597E24"/>
    <w:rsid w:val="63606B41"/>
    <w:rsid w:val="641451FA"/>
    <w:rsid w:val="643C6AED"/>
    <w:rsid w:val="64736B8B"/>
    <w:rsid w:val="647E16CD"/>
    <w:rsid w:val="6488619D"/>
    <w:rsid w:val="64A9266B"/>
    <w:rsid w:val="64CC50D8"/>
    <w:rsid w:val="64E75692"/>
    <w:rsid w:val="654A79CF"/>
    <w:rsid w:val="657607C4"/>
    <w:rsid w:val="659737D4"/>
    <w:rsid w:val="65C77271"/>
    <w:rsid w:val="65FC516D"/>
    <w:rsid w:val="6609614F"/>
    <w:rsid w:val="66584881"/>
    <w:rsid w:val="667F2FEE"/>
    <w:rsid w:val="669D12B6"/>
    <w:rsid w:val="66A46E09"/>
    <w:rsid w:val="66B72E1E"/>
    <w:rsid w:val="66BC48FC"/>
    <w:rsid w:val="66FD3027"/>
    <w:rsid w:val="66FFBAED"/>
    <w:rsid w:val="67130C6E"/>
    <w:rsid w:val="675AA506"/>
    <w:rsid w:val="675E2E21"/>
    <w:rsid w:val="677F9728"/>
    <w:rsid w:val="67AE2497"/>
    <w:rsid w:val="67DB2DD0"/>
    <w:rsid w:val="67FE3809"/>
    <w:rsid w:val="68D14B51"/>
    <w:rsid w:val="69142CD5"/>
    <w:rsid w:val="693F4F4A"/>
    <w:rsid w:val="6953779A"/>
    <w:rsid w:val="697C371B"/>
    <w:rsid w:val="697D4817"/>
    <w:rsid w:val="69931944"/>
    <w:rsid w:val="699C0F47"/>
    <w:rsid w:val="69B78B1B"/>
    <w:rsid w:val="69FD7706"/>
    <w:rsid w:val="6A1237D7"/>
    <w:rsid w:val="6A1D7E55"/>
    <w:rsid w:val="6A2829D5"/>
    <w:rsid w:val="6A3324F3"/>
    <w:rsid w:val="6A574FAB"/>
    <w:rsid w:val="6A793230"/>
    <w:rsid w:val="6ADC556D"/>
    <w:rsid w:val="6B2B3DFF"/>
    <w:rsid w:val="6B3959A4"/>
    <w:rsid w:val="6B4A747F"/>
    <w:rsid w:val="6BAC3191"/>
    <w:rsid w:val="6C183D6E"/>
    <w:rsid w:val="6C376397"/>
    <w:rsid w:val="6C4C5660"/>
    <w:rsid w:val="6C53360D"/>
    <w:rsid w:val="6C5A7C87"/>
    <w:rsid w:val="6C8859AD"/>
    <w:rsid w:val="6C9F2CF6"/>
    <w:rsid w:val="6CBE13CE"/>
    <w:rsid w:val="6CBE317C"/>
    <w:rsid w:val="6CD02EB0"/>
    <w:rsid w:val="6D064B23"/>
    <w:rsid w:val="6D083A4D"/>
    <w:rsid w:val="6D1014FE"/>
    <w:rsid w:val="6D5928BA"/>
    <w:rsid w:val="6D6A1239"/>
    <w:rsid w:val="6D851EEC"/>
    <w:rsid w:val="6D8C12D3"/>
    <w:rsid w:val="6D8D367B"/>
    <w:rsid w:val="6D9143ED"/>
    <w:rsid w:val="6DA13F45"/>
    <w:rsid w:val="6DBCE7C3"/>
    <w:rsid w:val="6DBFD625"/>
    <w:rsid w:val="6DC24EEE"/>
    <w:rsid w:val="6DC81F1F"/>
    <w:rsid w:val="6DCB0E05"/>
    <w:rsid w:val="6DFD2582"/>
    <w:rsid w:val="6E4D867F"/>
    <w:rsid w:val="6E721EEF"/>
    <w:rsid w:val="6EF7651C"/>
    <w:rsid w:val="6EFFF064"/>
    <w:rsid w:val="6F767D3E"/>
    <w:rsid w:val="6FBF6367"/>
    <w:rsid w:val="6FEF54E0"/>
    <w:rsid w:val="6FF7B3E8"/>
    <w:rsid w:val="6FFF4323"/>
    <w:rsid w:val="6FFFADB6"/>
    <w:rsid w:val="703379DD"/>
    <w:rsid w:val="7065389B"/>
    <w:rsid w:val="707A1AB0"/>
    <w:rsid w:val="707A560C"/>
    <w:rsid w:val="70841E70"/>
    <w:rsid w:val="70CB508D"/>
    <w:rsid w:val="70D95DDC"/>
    <w:rsid w:val="712169D1"/>
    <w:rsid w:val="715C7408"/>
    <w:rsid w:val="71784278"/>
    <w:rsid w:val="71E03B95"/>
    <w:rsid w:val="723A72F5"/>
    <w:rsid w:val="724E21E5"/>
    <w:rsid w:val="72541E8D"/>
    <w:rsid w:val="72FD2525"/>
    <w:rsid w:val="7397DD91"/>
    <w:rsid w:val="73B54BAD"/>
    <w:rsid w:val="73CF2113"/>
    <w:rsid w:val="73FFDB5F"/>
    <w:rsid w:val="74493C73"/>
    <w:rsid w:val="7454695B"/>
    <w:rsid w:val="74650381"/>
    <w:rsid w:val="74767078"/>
    <w:rsid w:val="74925369"/>
    <w:rsid w:val="74A54E21"/>
    <w:rsid w:val="74B90B5D"/>
    <w:rsid w:val="74C27582"/>
    <w:rsid w:val="74FD4A5E"/>
    <w:rsid w:val="74FF29B5"/>
    <w:rsid w:val="755A5A0C"/>
    <w:rsid w:val="757B4FC6"/>
    <w:rsid w:val="757B6040"/>
    <w:rsid w:val="75956A44"/>
    <w:rsid w:val="75B143F1"/>
    <w:rsid w:val="75ED6880"/>
    <w:rsid w:val="7623487F"/>
    <w:rsid w:val="763D5B78"/>
    <w:rsid w:val="7654306E"/>
    <w:rsid w:val="76F31C74"/>
    <w:rsid w:val="76FEB3A5"/>
    <w:rsid w:val="773504DF"/>
    <w:rsid w:val="77733860"/>
    <w:rsid w:val="778525FB"/>
    <w:rsid w:val="779B7F76"/>
    <w:rsid w:val="779FE9BC"/>
    <w:rsid w:val="77FBAB6A"/>
    <w:rsid w:val="77FFB6DC"/>
    <w:rsid w:val="78085BF3"/>
    <w:rsid w:val="78252301"/>
    <w:rsid w:val="782E6982"/>
    <w:rsid w:val="78586342"/>
    <w:rsid w:val="786077DD"/>
    <w:rsid w:val="787D213D"/>
    <w:rsid w:val="78B43685"/>
    <w:rsid w:val="78BB2C66"/>
    <w:rsid w:val="78DB9237"/>
    <w:rsid w:val="78F85C68"/>
    <w:rsid w:val="79304E75"/>
    <w:rsid w:val="795641A9"/>
    <w:rsid w:val="79587EB2"/>
    <w:rsid w:val="79664F44"/>
    <w:rsid w:val="799040F2"/>
    <w:rsid w:val="799A33AB"/>
    <w:rsid w:val="79CA1FEE"/>
    <w:rsid w:val="79D815F5"/>
    <w:rsid w:val="79DA536E"/>
    <w:rsid w:val="79E41D48"/>
    <w:rsid w:val="79E7C61A"/>
    <w:rsid w:val="7A2D500A"/>
    <w:rsid w:val="7A707C15"/>
    <w:rsid w:val="7A715CD2"/>
    <w:rsid w:val="7A8157E9"/>
    <w:rsid w:val="7AF4245F"/>
    <w:rsid w:val="7B152F32"/>
    <w:rsid w:val="7B5F3D7C"/>
    <w:rsid w:val="7B7B66DC"/>
    <w:rsid w:val="7B8E6410"/>
    <w:rsid w:val="7BAD2C98"/>
    <w:rsid w:val="7BBA5457"/>
    <w:rsid w:val="7BBF9810"/>
    <w:rsid w:val="7BDA540C"/>
    <w:rsid w:val="7BE60C94"/>
    <w:rsid w:val="7BFF7AFD"/>
    <w:rsid w:val="7C0B3F04"/>
    <w:rsid w:val="7C3A6597"/>
    <w:rsid w:val="7C4D62CB"/>
    <w:rsid w:val="7C6F6241"/>
    <w:rsid w:val="7C885555"/>
    <w:rsid w:val="7C8B6DF3"/>
    <w:rsid w:val="7C9712F4"/>
    <w:rsid w:val="7CD512EC"/>
    <w:rsid w:val="7D1172F8"/>
    <w:rsid w:val="7D1FEE82"/>
    <w:rsid w:val="7D5209D5"/>
    <w:rsid w:val="7D771121"/>
    <w:rsid w:val="7D7A4E9D"/>
    <w:rsid w:val="7D8F00A7"/>
    <w:rsid w:val="7D9F0FBC"/>
    <w:rsid w:val="7DADF253"/>
    <w:rsid w:val="7DBE3A17"/>
    <w:rsid w:val="7DBF0B02"/>
    <w:rsid w:val="7DE30207"/>
    <w:rsid w:val="7DFB760A"/>
    <w:rsid w:val="7E3C65F7"/>
    <w:rsid w:val="7E554132"/>
    <w:rsid w:val="7E7A44AA"/>
    <w:rsid w:val="7E927FC5"/>
    <w:rsid w:val="7E9FDE6B"/>
    <w:rsid w:val="7ECB45B9"/>
    <w:rsid w:val="7ED94418"/>
    <w:rsid w:val="7EDF483A"/>
    <w:rsid w:val="7EE27891"/>
    <w:rsid w:val="7EEB5927"/>
    <w:rsid w:val="7EFC7936"/>
    <w:rsid w:val="7EFFC97F"/>
    <w:rsid w:val="7EFFFD2E"/>
    <w:rsid w:val="7F08297D"/>
    <w:rsid w:val="7F1D01D6"/>
    <w:rsid w:val="7F313C82"/>
    <w:rsid w:val="7F564BDA"/>
    <w:rsid w:val="7F653046"/>
    <w:rsid w:val="7F7D9DEB"/>
    <w:rsid w:val="7F89586C"/>
    <w:rsid w:val="7F9164CE"/>
    <w:rsid w:val="7F95E8B4"/>
    <w:rsid w:val="7F9CB18A"/>
    <w:rsid w:val="7FADF7C0"/>
    <w:rsid w:val="7FB7A80B"/>
    <w:rsid w:val="7FBF327E"/>
    <w:rsid w:val="7FD12D6F"/>
    <w:rsid w:val="7FDE6739"/>
    <w:rsid w:val="7FEFA53F"/>
    <w:rsid w:val="7FF94CDA"/>
    <w:rsid w:val="7FFB9EB3"/>
    <w:rsid w:val="7FFC4290"/>
    <w:rsid w:val="7FFFD0A0"/>
    <w:rsid w:val="7FFFFAD7"/>
    <w:rsid w:val="87CFAB8E"/>
    <w:rsid w:val="8BD74304"/>
    <w:rsid w:val="8D634CDB"/>
    <w:rsid w:val="8F68A527"/>
    <w:rsid w:val="8F789424"/>
    <w:rsid w:val="8F9706C9"/>
    <w:rsid w:val="9B2F2ADC"/>
    <w:rsid w:val="9EF66EE0"/>
    <w:rsid w:val="9EFB3563"/>
    <w:rsid w:val="9F97EC00"/>
    <w:rsid w:val="A7F7F91C"/>
    <w:rsid w:val="A9AB7A9B"/>
    <w:rsid w:val="ADD46EDD"/>
    <w:rsid w:val="AEABC48A"/>
    <w:rsid w:val="B1FB5076"/>
    <w:rsid w:val="B5BDD65C"/>
    <w:rsid w:val="B6DFDD80"/>
    <w:rsid w:val="B8E927E7"/>
    <w:rsid w:val="BBAB8E09"/>
    <w:rsid w:val="BD65EBCB"/>
    <w:rsid w:val="BFBDC20E"/>
    <w:rsid w:val="BFFE079D"/>
    <w:rsid w:val="BFFFEA63"/>
    <w:rsid w:val="C7EF6AEB"/>
    <w:rsid w:val="C945925D"/>
    <w:rsid w:val="CF76C739"/>
    <w:rsid w:val="CFBE814B"/>
    <w:rsid w:val="D67E4B68"/>
    <w:rsid w:val="D7DFDA42"/>
    <w:rsid w:val="D9FFC1A9"/>
    <w:rsid w:val="DAD7B73E"/>
    <w:rsid w:val="DD33DEDD"/>
    <w:rsid w:val="DDD75562"/>
    <w:rsid w:val="DE7B222A"/>
    <w:rsid w:val="DED4A1BC"/>
    <w:rsid w:val="DF1B76C1"/>
    <w:rsid w:val="DF62E881"/>
    <w:rsid w:val="DF7966C9"/>
    <w:rsid w:val="DFFE36B8"/>
    <w:rsid w:val="E3FB6444"/>
    <w:rsid w:val="E7BBD27E"/>
    <w:rsid w:val="E7CB77A9"/>
    <w:rsid w:val="EBF518AC"/>
    <w:rsid w:val="EBF7516A"/>
    <w:rsid w:val="EBFC1873"/>
    <w:rsid w:val="ED13D98C"/>
    <w:rsid w:val="EE7D20AD"/>
    <w:rsid w:val="EEFBF1DF"/>
    <w:rsid w:val="EF4D1FEA"/>
    <w:rsid w:val="EF7F15A6"/>
    <w:rsid w:val="F13FB03C"/>
    <w:rsid w:val="F17E7E2F"/>
    <w:rsid w:val="F1EF97AE"/>
    <w:rsid w:val="F2A9933B"/>
    <w:rsid w:val="F4FF81D3"/>
    <w:rsid w:val="F59F8FCE"/>
    <w:rsid w:val="F5ED6D08"/>
    <w:rsid w:val="F5F68D38"/>
    <w:rsid w:val="F5FF6F46"/>
    <w:rsid w:val="F6FEAD60"/>
    <w:rsid w:val="F7ED6871"/>
    <w:rsid w:val="F7F79F1B"/>
    <w:rsid w:val="F7FDD197"/>
    <w:rsid w:val="F9B35B36"/>
    <w:rsid w:val="F9DB647A"/>
    <w:rsid w:val="F9EFB95B"/>
    <w:rsid w:val="F9FB8B8C"/>
    <w:rsid w:val="FB79B4F3"/>
    <w:rsid w:val="FB97B7C2"/>
    <w:rsid w:val="FBB73E5B"/>
    <w:rsid w:val="FBBBFB9D"/>
    <w:rsid w:val="FBCD8A13"/>
    <w:rsid w:val="FBDC768F"/>
    <w:rsid w:val="FBDE18B1"/>
    <w:rsid w:val="FC5F11C2"/>
    <w:rsid w:val="FD7B7CC1"/>
    <w:rsid w:val="FD7F9FCC"/>
    <w:rsid w:val="FDBC7B39"/>
    <w:rsid w:val="FDFBF091"/>
    <w:rsid w:val="FDFF52F8"/>
    <w:rsid w:val="FDFFB1D5"/>
    <w:rsid w:val="FE71A0CD"/>
    <w:rsid w:val="FECF892D"/>
    <w:rsid w:val="FED7BB51"/>
    <w:rsid w:val="FF17AFC9"/>
    <w:rsid w:val="FF577D15"/>
    <w:rsid w:val="FF77F982"/>
    <w:rsid w:val="FFBDAD5C"/>
    <w:rsid w:val="FFCFA644"/>
    <w:rsid w:val="FFD6297E"/>
    <w:rsid w:val="FFDFF7A3"/>
    <w:rsid w:val="FFF6EB8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8"/>
    <w:qFormat/>
    <w:uiPriority w:val="0"/>
    <w:pPr>
      <w:keepNext/>
      <w:keepLines/>
      <w:spacing w:before="340" w:after="330" w:line="578" w:lineRule="auto"/>
      <w:outlineLvl w:val="0"/>
    </w:pPr>
    <w:rPr>
      <w:kern w:val="44"/>
      <w:sz w:val="44"/>
      <w:szCs w:val="44"/>
    </w:rPr>
  </w:style>
  <w:style w:type="paragraph" w:styleId="3">
    <w:name w:val="heading 2"/>
    <w:basedOn w:val="1"/>
    <w:next w:val="1"/>
    <w:qFormat/>
    <w:uiPriority w:val="0"/>
    <w:pPr>
      <w:keepLines/>
      <w:spacing w:before="260" w:after="260" w:line="360" w:lineRule="auto"/>
      <w:jc w:val="center"/>
      <w:outlineLvl w:val="1"/>
    </w:pPr>
    <w:rPr>
      <w:rFonts w:ascii="Arial" w:hAnsi="Arial"/>
      <w:b/>
      <w:bCs/>
      <w:sz w:val="30"/>
      <w:szCs w:val="32"/>
    </w:rPr>
  </w:style>
  <w:style w:type="paragraph" w:styleId="4">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5">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6">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firstLineChars="200"/>
    </w:pPr>
  </w:style>
  <w:style w:type="paragraph" w:styleId="8">
    <w:name w:val="caption"/>
    <w:basedOn w:val="1"/>
    <w:next w:val="1"/>
    <w:qFormat/>
    <w:uiPriority w:val="0"/>
    <w:rPr>
      <w:rFonts w:ascii="Arial" w:hAnsi="Arial" w:eastAsia="黑体" w:cs="Arial"/>
      <w:sz w:val="20"/>
      <w:szCs w:val="20"/>
    </w:rPr>
  </w:style>
  <w:style w:type="paragraph" w:styleId="9">
    <w:name w:val="toa heading"/>
    <w:basedOn w:val="1"/>
    <w:next w:val="1"/>
    <w:qFormat/>
    <w:uiPriority w:val="0"/>
    <w:pPr>
      <w:spacing w:before="120"/>
    </w:pPr>
    <w:rPr>
      <w:rFonts w:ascii="Cambria" w:hAnsi="Cambria"/>
      <w:sz w:val="24"/>
    </w:rPr>
  </w:style>
  <w:style w:type="paragraph" w:styleId="10">
    <w:name w:val="annotation text"/>
    <w:basedOn w:val="1"/>
    <w:link w:val="58"/>
    <w:qFormat/>
    <w:uiPriority w:val="0"/>
    <w:pPr>
      <w:jc w:val="left"/>
    </w:pPr>
  </w:style>
  <w:style w:type="paragraph" w:styleId="11">
    <w:name w:val="Body Text"/>
    <w:basedOn w:val="1"/>
    <w:next w:val="12"/>
    <w:qFormat/>
    <w:uiPriority w:val="0"/>
    <w:pPr>
      <w:spacing w:after="120"/>
    </w:pPr>
  </w:style>
  <w:style w:type="paragraph" w:customStyle="1" w:styleId="12">
    <w:name w:val="Default"/>
    <w:unhideWhenUsed/>
    <w:qFormat/>
    <w:uiPriority w:val="99"/>
    <w:pPr>
      <w:widowControl w:val="0"/>
      <w:autoSpaceDE w:val="0"/>
      <w:autoSpaceDN w:val="0"/>
      <w:adjustRightInd w:val="0"/>
    </w:pPr>
    <w:rPr>
      <w:rFonts w:hint="eastAsia" w:ascii="宋体" w:hAnsi="宋体" w:eastAsia="宋体" w:cs="Times New Roman"/>
      <w:color w:val="000000"/>
      <w:sz w:val="24"/>
      <w:szCs w:val="22"/>
      <w:lang w:val="en-US" w:eastAsia="zh-CN" w:bidi="ar-SA"/>
    </w:rPr>
  </w:style>
  <w:style w:type="paragraph" w:styleId="13">
    <w:name w:val="Body Text Indent"/>
    <w:basedOn w:val="1"/>
    <w:qFormat/>
    <w:uiPriority w:val="0"/>
    <w:pPr>
      <w:ind w:firstLine="630"/>
    </w:pPr>
    <w:rPr>
      <w:sz w:val="32"/>
      <w:szCs w:val="20"/>
    </w:rPr>
  </w:style>
  <w:style w:type="paragraph" w:styleId="14">
    <w:name w:val="Plain Text"/>
    <w:basedOn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57"/>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99"/>
    <w:pPr>
      <w:snapToGrid w:val="0"/>
    </w:pPr>
    <w:rPr>
      <w:rFonts w:ascii="Arial" w:hAnsi="Arial" w:cs="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qFormat/>
    <w:uiPriority w:val="0"/>
    <w:pPr>
      <w:spacing w:line="480" w:lineRule="auto"/>
    </w:pPr>
    <w:rPr>
      <w:rFonts w:ascii="Times New Roman" w:hAnsi="Times New Roman"/>
      <w:sz w:val="30"/>
    </w:rPr>
  </w:style>
  <w:style w:type="paragraph" w:styleId="21">
    <w:name w:val="toc 4"/>
    <w:basedOn w:val="1"/>
    <w:next w:val="1"/>
    <w:qFormat/>
    <w:uiPriority w:val="0"/>
    <w:pPr>
      <w:ind w:left="1260" w:leftChars="600"/>
    </w:pPr>
  </w:style>
  <w:style w:type="paragraph" w:styleId="22">
    <w:name w:val="index heading"/>
    <w:basedOn w:val="1"/>
    <w:next w:val="23"/>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unhideWhenUsed/>
    <w:qFormat/>
    <w:uiPriority w:val="0"/>
  </w:style>
  <w:style w:type="paragraph" w:styleId="24">
    <w:name w:val="footnote text"/>
    <w:basedOn w:val="1"/>
    <w:qFormat/>
    <w:uiPriority w:val="0"/>
    <w:pPr>
      <w:snapToGrid w:val="0"/>
      <w:jc w:val="left"/>
    </w:pPr>
    <w:rPr>
      <w:sz w:val="18"/>
    </w:rPr>
  </w:style>
  <w:style w:type="paragraph" w:styleId="25">
    <w:name w:val="List 5"/>
    <w:basedOn w:val="1"/>
    <w:qFormat/>
    <w:uiPriority w:val="0"/>
    <w:pPr>
      <w:ind w:left="2100" w:hanging="420"/>
    </w:pPr>
    <w:rPr>
      <w:rFonts w:eastAsia="楷体_GB2312"/>
      <w:sz w:val="32"/>
      <w:szCs w:val="20"/>
    </w:rPr>
  </w:style>
  <w:style w:type="paragraph" w:styleId="26">
    <w:name w:val="Normal (Web)"/>
    <w:basedOn w:val="1"/>
    <w:next w:val="1"/>
    <w:qFormat/>
    <w:uiPriority w:val="0"/>
    <w:pPr>
      <w:widowControl/>
      <w:spacing w:before="100" w:beforeAutospacing="1" w:after="100" w:afterAutospacing="1"/>
      <w:jc w:val="left"/>
    </w:pPr>
    <w:rPr>
      <w:rFonts w:ascii="宋体" w:hAnsi="宋体"/>
      <w:kern w:val="0"/>
      <w:sz w:val="18"/>
      <w:szCs w:val="18"/>
    </w:rPr>
  </w:style>
  <w:style w:type="paragraph" w:styleId="27">
    <w:name w:val="Title"/>
    <w:basedOn w:val="1"/>
    <w:next w:val="1"/>
    <w:qFormat/>
    <w:uiPriority w:val="10"/>
    <w:pPr>
      <w:spacing w:before="240" w:after="60"/>
      <w:jc w:val="center"/>
      <w:outlineLvl w:val="0"/>
    </w:pPr>
    <w:rPr>
      <w:rFonts w:ascii="Cambria" w:hAnsi="Cambria"/>
      <w:b/>
      <w:bCs/>
      <w:sz w:val="32"/>
      <w:szCs w:val="32"/>
    </w:rPr>
  </w:style>
  <w:style w:type="paragraph" w:styleId="28">
    <w:name w:val="annotation subject"/>
    <w:basedOn w:val="10"/>
    <w:next w:val="10"/>
    <w:link w:val="59"/>
    <w:qFormat/>
    <w:uiPriority w:val="0"/>
    <w:rPr>
      <w:b/>
      <w:bCs/>
    </w:rPr>
  </w:style>
  <w:style w:type="paragraph" w:styleId="29">
    <w:name w:val="Body Text First Indent"/>
    <w:basedOn w:val="11"/>
    <w:next w:val="1"/>
    <w:qFormat/>
    <w:uiPriority w:val="0"/>
    <w:pPr>
      <w:ind w:firstLine="420" w:firstLineChars="100"/>
    </w:pPr>
  </w:style>
  <w:style w:type="paragraph" w:styleId="30">
    <w:name w:val="Body Text First Indent 2"/>
    <w:basedOn w:val="13"/>
    <w:qFormat/>
    <w:uiPriority w:val="0"/>
    <w:pPr>
      <w:ind w:firstLine="420"/>
    </w:pPr>
  </w:style>
  <w:style w:type="table" w:styleId="32">
    <w:name w:val="Table Grid"/>
    <w:basedOn w:val="3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22"/>
    <w:rPr>
      <w:b/>
      <w:bCs/>
    </w:rPr>
  </w:style>
  <w:style w:type="character" w:styleId="35">
    <w:name w:val="Hyperlink"/>
    <w:basedOn w:val="33"/>
    <w:qFormat/>
    <w:uiPriority w:val="0"/>
    <w:rPr>
      <w:rFonts w:ascii="Times New Roman" w:hAnsi="Times New Roman" w:eastAsia="微软雅黑" w:cs="Times New Roman"/>
      <w:color w:val="0000FF"/>
      <w:u w:val="single"/>
    </w:rPr>
  </w:style>
  <w:style w:type="character" w:styleId="36">
    <w:name w:val="annotation reference"/>
    <w:basedOn w:val="33"/>
    <w:qFormat/>
    <w:uiPriority w:val="0"/>
    <w:rPr>
      <w:sz w:val="21"/>
      <w:szCs w:val="21"/>
    </w:rPr>
  </w:style>
  <w:style w:type="paragraph" w:customStyle="1" w:styleId="37">
    <w:name w:val="C503-正文格式"/>
    <w:basedOn w:val="1"/>
    <w:qFormat/>
    <w:uiPriority w:val="0"/>
    <w:pPr>
      <w:spacing w:line="360" w:lineRule="auto"/>
      <w:ind w:firstLine="480" w:firstLineChars="200"/>
    </w:pPr>
    <w:rPr>
      <w:rFonts w:ascii="Times New Roman" w:hAnsi="Times New Roman"/>
      <w:sz w:val="24"/>
      <w:szCs w:val="20"/>
      <w:lang w:val="zh-CN"/>
    </w:rPr>
  </w:style>
  <w:style w:type="paragraph" w:customStyle="1" w:styleId="3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9">
    <w:name w:val="_Style 1"/>
    <w:qFormat/>
    <w:uiPriority w:val="0"/>
    <w:pPr>
      <w:widowControl w:val="0"/>
      <w:jc w:val="both"/>
    </w:pPr>
    <w:rPr>
      <w:rFonts w:ascii="Calibri" w:hAnsi="Calibri" w:eastAsia="Times New Roman" w:cs="Times New Roman"/>
      <w:kern w:val="2"/>
      <w:sz w:val="21"/>
      <w:szCs w:val="22"/>
      <w:lang w:val="en-US" w:eastAsia="zh-CN" w:bidi="ar-SA"/>
    </w:rPr>
  </w:style>
  <w:style w:type="paragraph" w:styleId="40">
    <w:name w:val="Quote"/>
    <w:basedOn w:val="1"/>
    <w:next w:val="1"/>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1">
    <w:name w:val="3）三级标题 与下段同页"/>
    <w:basedOn w:val="1"/>
    <w:qFormat/>
    <w:uiPriority w:val="0"/>
    <w:pPr>
      <w:keepNext/>
      <w:spacing w:beforeLines="50" w:afterLines="50"/>
      <w:jc w:val="center"/>
      <w:outlineLvl w:val="2"/>
    </w:pPr>
    <w:rPr>
      <w:rFonts w:ascii="仿宋_GB2312" w:eastAsia="仿宋_GB2312"/>
      <w:b/>
      <w:sz w:val="32"/>
    </w:rPr>
  </w:style>
  <w:style w:type="character" w:customStyle="1" w:styleId="42">
    <w:name w:val="NormalCharacter"/>
    <w:link w:val="43"/>
    <w:qFormat/>
    <w:uiPriority w:val="0"/>
  </w:style>
  <w:style w:type="paragraph" w:customStyle="1" w:styleId="43">
    <w:name w:val="UserStyle_5"/>
    <w:basedOn w:val="1"/>
    <w:link w:val="42"/>
    <w:qFormat/>
    <w:uiPriority w:val="0"/>
    <w:pPr>
      <w:widowControl/>
      <w:spacing w:after="160" w:line="240" w:lineRule="exact"/>
      <w:jc w:val="left"/>
      <w:textAlignment w:val="baseline"/>
    </w:pPr>
  </w:style>
  <w:style w:type="character" w:customStyle="1" w:styleId="44">
    <w:name w:val="UserStyle_3"/>
    <w:qFormat/>
    <w:uiPriority w:val="0"/>
    <w:rPr>
      <w:rFonts w:ascii="宋体" w:hAnsi="宋体" w:eastAsia="宋体"/>
      <w:b/>
      <w:sz w:val="32"/>
      <w:szCs w:val="32"/>
    </w:rPr>
  </w:style>
  <w:style w:type="paragraph" w:customStyle="1" w:styleId="45">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4正文"/>
    <w:basedOn w:val="1"/>
    <w:qFormat/>
    <w:uiPriority w:val="0"/>
    <w:pPr>
      <w:snapToGrid w:val="0"/>
      <w:spacing w:line="360" w:lineRule="auto"/>
      <w:ind w:firstLine="480" w:firstLineChars="200"/>
    </w:pPr>
    <w:rPr>
      <w:rFonts w:eastAsia="仿宋"/>
      <w:sz w:val="24"/>
    </w:rPr>
  </w:style>
  <w:style w:type="paragraph" w:customStyle="1" w:styleId="47">
    <w:name w:val="首行缩进:  0.85 厘米"/>
    <w:basedOn w:val="1"/>
    <w:qFormat/>
    <w:uiPriority w:val="0"/>
    <w:pPr>
      <w:widowControl/>
      <w:spacing w:after="100" w:line="360" w:lineRule="auto"/>
      <w:ind w:firstLine="482"/>
      <w:jc w:val="left"/>
    </w:pPr>
    <w:rPr>
      <w:kern w:val="0"/>
      <w:sz w:val="24"/>
      <w:lang w:eastAsia="en-US"/>
    </w:rPr>
  </w:style>
  <w:style w:type="character" w:customStyle="1" w:styleId="48">
    <w:name w:val="标题 1 Char"/>
    <w:link w:val="2"/>
    <w:qFormat/>
    <w:uiPriority w:val="0"/>
    <w:rPr>
      <w:rFonts w:ascii="Calibri" w:hAnsi="Calibri" w:eastAsia="宋体" w:cs="Times New Roman"/>
      <w:kern w:val="44"/>
      <w:sz w:val="44"/>
      <w:szCs w:val="44"/>
    </w:rPr>
  </w:style>
  <w:style w:type="paragraph" w:customStyle="1" w:styleId="49">
    <w:name w:val="Table Paragraph"/>
    <w:basedOn w:val="1"/>
    <w:unhideWhenUsed/>
    <w:qFormat/>
    <w:uiPriority w:val="1"/>
    <w:rPr>
      <w:sz w:val="24"/>
    </w:rPr>
  </w:style>
  <w:style w:type="paragraph" w:customStyle="1" w:styleId="50">
    <w:name w:val="列出段落1"/>
    <w:basedOn w:val="1"/>
    <w:qFormat/>
    <w:uiPriority w:val="0"/>
    <w:pPr>
      <w:spacing w:line="360" w:lineRule="auto"/>
      <w:ind w:firstLine="420" w:firstLineChars="200"/>
    </w:pPr>
    <w:rPr>
      <w:rFonts w:ascii="等线" w:hAnsi="等线"/>
      <w:szCs w:val="22"/>
    </w:rPr>
  </w:style>
  <w:style w:type="paragraph" w:customStyle="1" w:styleId="51">
    <w:name w:val="样式 正文缩进 + 首行缩进:  2 字符"/>
    <w:basedOn w:val="7"/>
    <w:qFormat/>
    <w:uiPriority w:val="0"/>
    <w:pPr>
      <w:spacing w:line="360" w:lineRule="auto"/>
      <w:ind w:firstLine="200"/>
    </w:pPr>
    <w:rPr>
      <w:rFonts w:cs="宋体"/>
      <w:sz w:val="24"/>
      <w:szCs w:val="20"/>
    </w:rPr>
  </w:style>
  <w:style w:type="paragraph" w:customStyle="1" w:styleId="52">
    <w:name w:val="WPS Plain"/>
    <w:basedOn w:val="1"/>
    <w:qFormat/>
    <w:uiPriority w:val="0"/>
    <w:pPr>
      <w:widowControl/>
      <w:jc w:val="left"/>
    </w:pPr>
    <w:rPr>
      <w:rFonts w:ascii="Times New Roman"/>
      <w:sz w:val="24"/>
    </w:rPr>
  </w:style>
  <w:style w:type="paragraph" w:customStyle="1" w:styleId="53">
    <w:name w:val="普通(网站)1"/>
    <w:basedOn w:val="1"/>
    <w:qFormat/>
    <w:uiPriority w:val="0"/>
    <w:pPr>
      <w:jc w:val="left"/>
    </w:pPr>
    <w:rPr>
      <w:kern w:val="0"/>
      <w:sz w:val="24"/>
    </w:rPr>
  </w:style>
  <w:style w:type="paragraph" w:customStyle="1" w:styleId="54">
    <w:name w:val="Body text|1"/>
    <w:basedOn w:val="1"/>
    <w:qFormat/>
    <w:uiPriority w:val="0"/>
    <w:pPr>
      <w:spacing w:line="290" w:lineRule="auto"/>
      <w:ind w:firstLine="400"/>
    </w:pPr>
    <w:rPr>
      <w:rFonts w:ascii="宋体" w:hAnsi="宋体" w:cs="宋体"/>
      <w:sz w:val="22"/>
      <w:szCs w:val="22"/>
      <w:lang w:val="zh-CN" w:bidi="zh-CN"/>
    </w:rPr>
  </w:style>
  <w:style w:type="paragraph" w:customStyle="1" w:styleId="55">
    <w:name w:val="纯文本1"/>
    <w:basedOn w:val="1"/>
    <w:qFormat/>
    <w:uiPriority w:val="0"/>
    <w:rPr>
      <w:rFonts w:ascii="宋体" w:hAnsi="Courier New"/>
      <w:szCs w:val="22"/>
    </w:rPr>
  </w:style>
  <w:style w:type="paragraph" w:styleId="56">
    <w:name w:val="List Paragraph"/>
    <w:basedOn w:val="1"/>
    <w:qFormat/>
    <w:uiPriority w:val="99"/>
    <w:pPr>
      <w:ind w:firstLine="420" w:firstLineChars="200"/>
    </w:pPr>
  </w:style>
  <w:style w:type="character" w:customStyle="1" w:styleId="57">
    <w:name w:val="批注框文本 Char"/>
    <w:basedOn w:val="33"/>
    <w:link w:val="16"/>
    <w:qFormat/>
    <w:uiPriority w:val="0"/>
    <w:rPr>
      <w:rFonts w:ascii="Calibri" w:hAnsi="Calibri"/>
      <w:kern w:val="2"/>
      <w:sz w:val="18"/>
      <w:szCs w:val="18"/>
    </w:rPr>
  </w:style>
  <w:style w:type="character" w:customStyle="1" w:styleId="58">
    <w:name w:val="批注文字 Char"/>
    <w:basedOn w:val="33"/>
    <w:link w:val="10"/>
    <w:qFormat/>
    <w:uiPriority w:val="0"/>
    <w:rPr>
      <w:rFonts w:ascii="Calibri" w:hAnsi="Calibri"/>
      <w:kern w:val="2"/>
      <w:sz w:val="21"/>
      <w:szCs w:val="24"/>
    </w:rPr>
  </w:style>
  <w:style w:type="character" w:customStyle="1" w:styleId="59">
    <w:name w:val="批注主题 Char"/>
    <w:basedOn w:val="58"/>
    <w:link w:val="28"/>
    <w:qFormat/>
    <w:uiPriority w:val="0"/>
    <w:rPr>
      <w:rFonts w:ascii="Calibri" w:hAnsi="Calibri"/>
      <w:b/>
      <w:bCs/>
      <w:kern w:val="2"/>
      <w:sz w:val="21"/>
      <w:szCs w:val="24"/>
    </w:rPr>
  </w:style>
  <w:style w:type="paragraph" w:customStyle="1" w:styleId="60">
    <w:name w:val="普通(网站)2"/>
    <w:basedOn w:val="1"/>
    <w:qFormat/>
    <w:uiPriority w:val="0"/>
    <w:pPr>
      <w:jc w:val="left"/>
    </w:pPr>
    <w:rPr>
      <w:rFonts w:ascii="Times New Roman" w:hAnsi="Times New Roman"/>
      <w:kern w:val="0"/>
      <w:sz w:val="24"/>
    </w:rPr>
  </w:style>
  <w:style w:type="paragraph" w:customStyle="1" w:styleId="61">
    <w:name w:val="普通(网站)3"/>
    <w:basedOn w:val="1"/>
    <w:qFormat/>
    <w:uiPriority w:val="0"/>
    <w:pPr>
      <w:jc w:val="left"/>
    </w:pPr>
    <w:rPr>
      <w:kern w:val="0"/>
      <w:sz w:val="24"/>
    </w:rPr>
  </w:style>
  <w:style w:type="paragraph" w:customStyle="1" w:styleId="62">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3">
    <w:name w:val="题注5"/>
    <w:basedOn w:val="1"/>
    <w:next w:val="8"/>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5">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6">
    <w:name w:val="列表段落1"/>
    <w:basedOn w:val="1"/>
    <w:qFormat/>
    <w:uiPriority w:val="0"/>
    <w:pPr>
      <w:ind w:firstLine="420" w:firstLineChars="200"/>
    </w:pPr>
    <w:rPr>
      <w:rFonts w:cs="黑体"/>
      <w:szCs w:val="22"/>
    </w:rPr>
  </w:style>
  <w:style w:type="character" w:customStyle="1" w:styleId="67">
    <w:name w:val="font41"/>
    <w:basedOn w:val="33"/>
    <w:qFormat/>
    <w:uiPriority w:val="0"/>
    <w:rPr>
      <w:rFonts w:ascii="Arial" w:hAnsi="Arial" w:cs="Arial"/>
      <w:color w:val="000000"/>
      <w:sz w:val="20"/>
      <w:szCs w:val="20"/>
      <w:u w:val="none"/>
    </w:rPr>
  </w:style>
  <w:style w:type="character" w:customStyle="1" w:styleId="68">
    <w:name w:val="font241"/>
    <w:basedOn w:val="33"/>
    <w:qFormat/>
    <w:uiPriority w:val="0"/>
    <w:rPr>
      <w:rFonts w:ascii="方正黑体_GBK" w:hAnsi="方正黑体_GBK" w:eastAsia="方正黑体_GBK" w:cs="方正黑体_GBK"/>
      <w:color w:val="000000"/>
      <w:sz w:val="44"/>
      <w:szCs w:val="44"/>
      <w:u w:val="none"/>
    </w:rPr>
  </w:style>
  <w:style w:type="character" w:customStyle="1" w:styleId="69">
    <w:name w:val="font11"/>
    <w:basedOn w:val="33"/>
    <w:qFormat/>
    <w:uiPriority w:val="0"/>
    <w:rPr>
      <w:rFonts w:hint="default" w:ascii="Times New Roman" w:hAnsi="Times New Roman" w:cs="Times New Roman"/>
      <w:color w:val="000000"/>
      <w:sz w:val="44"/>
      <w:szCs w:val="44"/>
      <w:u w:val="none"/>
    </w:rPr>
  </w:style>
  <w:style w:type="character" w:customStyle="1" w:styleId="70">
    <w:name w:val="font91"/>
    <w:basedOn w:val="33"/>
    <w:qFormat/>
    <w:uiPriority w:val="0"/>
    <w:rPr>
      <w:rFonts w:hint="default" w:ascii="Times New Roman" w:hAnsi="Times New Roman" w:cs="Times New Roman"/>
      <w:color w:val="000000"/>
      <w:sz w:val="28"/>
      <w:szCs w:val="28"/>
      <w:u w:val="none"/>
    </w:rPr>
  </w:style>
  <w:style w:type="character" w:customStyle="1" w:styleId="71">
    <w:name w:val="font121"/>
    <w:basedOn w:val="33"/>
    <w:qFormat/>
    <w:uiPriority w:val="0"/>
    <w:rPr>
      <w:rFonts w:hint="eastAsia" w:ascii="宋体" w:hAnsi="宋体" w:eastAsia="宋体" w:cs="宋体"/>
      <w:color w:val="000000"/>
      <w:sz w:val="28"/>
      <w:szCs w:val="28"/>
      <w:u w:val="none"/>
    </w:rPr>
  </w:style>
  <w:style w:type="character" w:customStyle="1" w:styleId="72">
    <w:name w:val="font251"/>
    <w:basedOn w:val="33"/>
    <w:qFormat/>
    <w:uiPriority w:val="0"/>
    <w:rPr>
      <w:rFonts w:hint="default" w:ascii="Times New Roman" w:hAnsi="Times New Roman" w:cs="Times New Roman"/>
      <w:color w:val="000000"/>
      <w:sz w:val="44"/>
      <w:szCs w:val="44"/>
      <w:u w:val="none"/>
    </w:rPr>
  </w:style>
  <w:style w:type="character" w:customStyle="1" w:styleId="73">
    <w:name w:val="font101"/>
    <w:basedOn w:val="33"/>
    <w:qFormat/>
    <w:uiPriority w:val="0"/>
    <w:rPr>
      <w:rFonts w:hint="eastAsia" w:ascii="方正仿宋_GBK" w:hAnsi="方正仿宋_GBK" w:eastAsia="方正仿宋_GBK" w:cs="方正仿宋_GBK"/>
      <w:color w:val="000000"/>
      <w:sz w:val="44"/>
      <w:szCs w:val="44"/>
      <w:u w:val="none"/>
    </w:rPr>
  </w:style>
  <w:style w:type="character" w:customStyle="1" w:styleId="74">
    <w:name w:val="font131"/>
    <w:basedOn w:val="33"/>
    <w:qFormat/>
    <w:uiPriority w:val="0"/>
    <w:rPr>
      <w:rFonts w:hint="eastAsia" w:ascii="方正仿宋_GBK" w:hAnsi="方正仿宋_GBK" w:eastAsia="方正仿宋_GBK" w:cs="方正仿宋_GBK"/>
      <w:color w:val="000000"/>
      <w:sz w:val="28"/>
      <w:szCs w:val="28"/>
      <w:u w:val="none"/>
    </w:rPr>
  </w:style>
  <w:style w:type="character" w:customStyle="1" w:styleId="75">
    <w:name w:val="font261"/>
    <w:basedOn w:val="33"/>
    <w:qFormat/>
    <w:uiPriority w:val="0"/>
    <w:rPr>
      <w:rFonts w:ascii="Arial" w:hAnsi="Arial" w:cs="Arial"/>
      <w:color w:val="000000"/>
      <w:sz w:val="28"/>
      <w:szCs w:val="28"/>
      <w:u w:val="none"/>
    </w:rPr>
  </w:style>
  <w:style w:type="character" w:customStyle="1" w:styleId="76">
    <w:name w:val="font191"/>
    <w:basedOn w:val="33"/>
    <w:qFormat/>
    <w:uiPriority w:val="0"/>
    <w:rPr>
      <w:rFonts w:hint="eastAsia" w:ascii="宋体" w:hAnsi="宋体" w:eastAsia="宋体" w:cs="宋体"/>
      <w:color w:val="000000"/>
      <w:sz w:val="28"/>
      <w:szCs w:val="28"/>
      <w:u w:val="none"/>
    </w:rPr>
  </w:style>
  <w:style w:type="character" w:customStyle="1" w:styleId="77">
    <w:name w:val="font271"/>
    <w:basedOn w:val="33"/>
    <w:qFormat/>
    <w:uiPriority w:val="0"/>
    <w:rPr>
      <w:rFonts w:hint="default" w:ascii="Times New Roman" w:hAnsi="Times New Roman" w:cs="Times New Roman"/>
      <w:color w:val="000000"/>
      <w:sz w:val="28"/>
      <w:szCs w:val="28"/>
      <w:u w:val="none"/>
    </w:rPr>
  </w:style>
  <w:style w:type="character" w:customStyle="1" w:styleId="78">
    <w:name w:val="font231"/>
    <w:basedOn w:val="33"/>
    <w:qFormat/>
    <w:uiPriority w:val="0"/>
    <w:rPr>
      <w:rFonts w:hint="eastAsia" w:ascii="方正仿宋_GBK" w:hAnsi="方正仿宋_GBK" w:eastAsia="方正仿宋_GBK" w:cs="方正仿宋_GBK"/>
      <w:color w:val="000000"/>
      <w:sz w:val="48"/>
      <w:szCs w:val="48"/>
      <w:u w:val="none"/>
    </w:rPr>
  </w:style>
  <w:style w:type="character" w:customStyle="1" w:styleId="79">
    <w:name w:val="font81"/>
    <w:basedOn w:val="33"/>
    <w:qFormat/>
    <w:uiPriority w:val="0"/>
    <w:rPr>
      <w:rFonts w:hint="default" w:ascii="Times New Roman" w:hAnsi="Times New Roman" w:cs="Times New Roman"/>
      <w:color w:val="000000"/>
      <w:sz w:val="48"/>
      <w:szCs w:val="48"/>
      <w:u w:val="none"/>
    </w:rPr>
  </w:style>
  <w:style w:type="character" w:customStyle="1" w:styleId="80">
    <w:name w:val="font51"/>
    <w:basedOn w:val="33"/>
    <w:qFormat/>
    <w:uiPriority w:val="0"/>
    <w:rPr>
      <w:rFonts w:hint="default" w:ascii="方正仿宋_GBK" w:hAnsi="方正仿宋_GBK" w:eastAsia="方正仿宋_GBK" w:cs="方正仿宋_GBK"/>
      <w:color w:val="000000"/>
      <w:sz w:val="22"/>
      <w:szCs w:val="22"/>
      <w:u w:val="none"/>
    </w:rPr>
  </w:style>
  <w:style w:type="character" w:customStyle="1" w:styleId="81">
    <w:name w:val="font71"/>
    <w:basedOn w:val="33"/>
    <w:qFormat/>
    <w:uiPriority w:val="0"/>
    <w:rPr>
      <w:rFonts w:hint="default" w:ascii="方正仿宋_GBK" w:hAnsi="方正仿宋_GBK" w:eastAsia="方正仿宋_GBK" w:cs="方正仿宋_GBK"/>
      <w:color w:val="FF0000"/>
      <w:sz w:val="22"/>
      <w:szCs w:val="22"/>
      <w:u w:val="none"/>
    </w:rPr>
  </w:style>
  <w:style w:type="paragraph" w:customStyle="1" w:styleId="82">
    <w:name w:val="WPSOffice手动目录 1"/>
    <w:qFormat/>
    <w:uiPriority w:val="0"/>
    <w:rPr>
      <w:rFonts w:ascii="Times New Roman" w:hAnsi="Times New Roman" w:eastAsia="宋体" w:cs="Times New Roman"/>
      <w:lang w:val="en-US" w:eastAsia="zh-CN" w:bidi="ar-SA"/>
    </w:rPr>
  </w:style>
  <w:style w:type="paragraph" w:customStyle="1" w:styleId="83">
    <w:name w:val="null9"/>
    <w:qFormat/>
    <w:uiPriority w:val="0"/>
    <w:rPr>
      <w:rFonts w:hint="eastAsia" w:ascii="Times New Roman" w:hAnsi="Times New Roman" w:eastAsia="宋体" w:cs="Times New Roman"/>
      <w:sz w:val="18"/>
      <w:szCs w:val="18"/>
      <w:lang w:val="en-US" w:eastAsia="zh-CN" w:bidi="ar-SA"/>
    </w:rPr>
  </w:style>
  <w:style w:type="paragraph" w:customStyle="1" w:styleId="84">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5">
    <w:name w:val="网格型1"/>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6">
    <w:name w:val="LO-Normal"/>
    <w:qFormat/>
    <w:uiPriority w:val="0"/>
    <w:pPr>
      <w:suppressAutoHyphens/>
    </w:pPr>
    <w:rPr>
      <w:rFonts w:ascii="Times New Roman" w:hAnsi="Times New Roman" w:eastAsia="宋体" w:cs="Times New Roman"/>
      <w:sz w:val="24"/>
      <w:szCs w:val="24"/>
      <w:lang w:val="en-US" w:eastAsia="zh-CN" w:bidi="ar-SA"/>
    </w:rPr>
  </w:style>
  <w:style w:type="paragraph" w:customStyle="1" w:styleId="87">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8">
    <w:name w:val="正文（绿盟科技）"/>
    <w:qFormat/>
    <w:uiPriority w:val="0"/>
    <w:pPr>
      <w:spacing w:line="300" w:lineRule="auto"/>
    </w:pPr>
    <w:rPr>
      <w:rFonts w:ascii="Arial" w:hAnsi="Arial" w:eastAsia="宋体" w:cs="Times New Roman"/>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114</Pages>
  <Words>1711</Words>
  <Characters>2030</Characters>
  <Lines>93</Lines>
  <Paragraphs>104</Paragraphs>
  <TotalTime>55</TotalTime>
  <ScaleCrop>false</ScaleCrop>
  <LinksUpToDate>false</LinksUpToDate>
  <CharactersWithSpaces>2097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2023-02-24T01:34:00Z</dcterms:created>
  <dc:creator>lenovo</dc:creator>
  <cp:lastModifiedBy>招标代理</cp:lastModifiedBy>
  <cp:lastPrinted>2024-05-31T21:14:00Z</cp:lastPrinted>
  <dcterms:modified xsi:type="dcterms:W3CDTF">2026-06-29T09:16:29Z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5A8645D6BD2245B4963664C8BD27E02B_13</vt:lpwstr>
  </property>
  <property fmtid="{D5CDD505-2E9C-101B-9397-08002B2CF9AE}" pid="4" name="KSOTemplateDocerSaveRecord">
    <vt:lpwstr>eyJoZGlkIjoiOTA3OGU5ZmNjY2FlNTJmNjEzYjJhMzY5MWJkMWY3NWYiLCJ1c2VySWQiOiIxNDkxODAwMzI3In0=</vt:lpwstr>
  </property>
</Properties>
</file>