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9EEB67">
      <w:pPr>
        <w:adjustRightInd w:val="0"/>
        <w:snapToGrid w:val="0"/>
        <w:jc w:val="left"/>
        <w:rPr>
          <w:rFonts w:hint="eastAsia" w:ascii="仿宋" w:hAnsi="仿宋" w:eastAsia="仿宋" w:cs="仿宋"/>
          <w:color w:val="auto"/>
          <w:highlight w:val="none"/>
        </w:rPr>
      </w:pPr>
    </w:p>
    <w:p w14:paraId="5E7B1485">
      <w:pPr>
        <w:adjustRightInd w:val="0"/>
        <w:snapToGrid w:val="0"/>
        <w:jc w:val="left"/>
        <w:rPr>
          <w:rFonts w:hint="eastAsia" w:ascii="仿宋" w:hAnsi="仿宋" w:eastAsia="仿宋" w:cs="仿宋"/>
          <w:color w:val="auto"/>
          <w:highlight w:val="none"/>
        </w:rPr>
      </w:pPr>
      <w:r>
        <w:rPr>
          <w:rFonts w:hint="eastAsia" w:ascii="仿宋" w:hAnsi="仿宋" w:eastAsia="仿宋" w:cs="仿宋"/>
          <w:color w:val="auto"/>
          <w:highlight w:val="none"/>
        </w:rPr>
        <w:drawing>
          <wp:inline distT="0" distB="0" distL="0" distR="0">
            <wp:extent cx="985520" cy="795655"/>
            <wp:effectExtent l="0" t="0" r="5080" b="444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985520" cy="795655"/>
                    </a:xfrm>
                    <a:prstGeom prst="rect">
                      <a:avLst/>
                    </a:prstGeom>
                    <a:noFill/>
                    <a:ln>
                      <a:noFill/>
                    </a:ln>
                  </pic:spPr>
                </pic:pic>
              </a:graphicData>
            </a:graphic>
          </wp:inline>
        </w:drawing>
      </w:r>
    </w:p>
    <w:p w14:paraId="281E85E1">
      <w:pPr>
        <w:adjustRightInd w:val="0"/>
        <w:snapToGrid w:val="0"/>
        <w:spacing w:line="480" w:lineRule="exact"/>
        <w:jc w:val="center"/>
        <w:rPr>
          <w:rFonts w:hint="eastAsia" w:ascii="仿宋" w:hAnsi="仿宋" w:eastAsia="仿宋" w:cs="仿宋"/>
          <w:bCs/>
          <w:color w:val="auto"/>
          <w:sz w:val="48"/>
          <w:szCs w:val="48"/>
          <w:highlight w:val="none"/>
        </w:rPr>
      </w:pPr>
    </w:p>
    <w:p w14:paraId="43486172">
      <w:pPr>
        <w:adjustRightInd w:val="0"/>
        <w:snapToGrid w:val="0"/>
        <w:spacing w:line="480" w:lineRule="exact"/>
        <w:jc w:val="center"/>
        <w:rPr>
          <w:rFonts w:hint="eastAsia" w:ascii="仿宋" w:hAnsi="仿宋" w:eastAsia="仿宋" w:cs="仿宋"/>
          <w:bCs/>
          <w:color w:val="auto"/>
          <w:sz w:val="48"/>
          <w:szCs w:val="48"/>
          <w:highlight w:val="none"/>
        </w:rPr>
      </w:pPr>
      <w:r>
        <w:rPr>
          <w:rFonts w:hint="eastAsia" w:ascii="仿宋" w:hAnsi="仿宋" w:eastAsia="仿宋" w:cs="仿宋"/>
          <w:bCs/>
          <w:color w:val="auto"/>
          <w:sz w:val="48"/>
          <w:szCs w:val="48"/>
          <w:highlight w:val="none"/>
        </w:rPr>
        <w:t>招 标 文 件</w:t>
      </w:r>
    </w:p>
    <w:p w14:paraId="4B5D7485">
      <w:pPr>
        <w:jc w:val="cente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lang w:val="en-US" w:eastAsia="zh-CN"/>
        </w:rPr>
        <w:t>公开招标-服务</w:t>
      </w:r>
      <w:r>
        <w:rPr>
          <w:rFonts w:hint="eastAsia" w:ascii="仿宋" w:hAnsi="仿宋" w:eastAsia="仿宋" w:cs="仿宋"/>
          <w:b/>
          <w:bCs/>
          <w:color w:val="auto"/>
          <w:sz w:val="28"/>
          <w:szCs w:val="28"/>
          <w:highlight w:val="none"/>
          <w:lang w:eastAsia="zh-CN"/>
        </w:rPr>
        <w:t>）</w:t>
      </w:r>
    </w:p>
    <w:p w14:paraId="01253B25">
      <w:pPr>
        <w:ind w:left="1574" w:right="-191" w:rightChars="-91" w:hanging="1574" w:hangingChars="492"/>
        <w:rPr>
          <w:rFonts w:hint="eastAsia" w:ascii="仿宋" w:hAnsi="仿宋" w:eastAsia="仿宋" w:cs="仿宋"/>
          <w:bCs/>
          <w:color w:val="auto"/>
          <w:kern w:val="0"/>
          <w:sz w:val="32"/>
          <w:szCs w:val="32"/>
          <w:highlight w:val="none"/>
        </w:rPr>
      </w:pPr>
    </w:p>
    <w:p w14:paraId="02BC04DF">
      <w:pPr>
        <w:ind w:left="1574" w:right="-191" w:rightChars="-91" w:hanging="1574" w:hangingChars="492"/>
        <w:rPr>
          <w:rFonts w:hint="eastAsia" w:ascii="仿宋" w:hAnsi="仿宋" w:eastAsia="仿宋" w:cs="仿宋"/>
          <w:bCs/>
          <w:color w:val="auto"/>
          <w:sz w:val="32"/>
          <w:highlight w:val="none"/>
          <w:lang w:eastAsia="zh-CN"/>
        </w:rPr>
      </w:pPr>
      <w:r>
        <w:rPr>
          <w:rFonts w:hint="eastAsia" w:ascii="仿宋" w:hAnsi="仿宋" w:eastAsia="仿宋" w:cs="仿宋"/>
          <w:bCs/>
          <w:color w:val="auto"/>
          <w:kern w:val="0"/>
          <w:sz w:val="32"/>
          <w:szCs w:val="32"/>
          <w:highlight w:val="none"/>
        </w:rPr>
        <w:t>项目名称：</w:t>
      </w:r>
      <w:r>
        <w:rPr>
          <w:rFonts w:hint="eastAsia" w:ascii="仿宋" w:hAnsi="仿宋" w:eastAsia="仿宋" w:cs="仿宋"/>
          <w:bCs/>
          <w:color w:val="auto"/>
          <w:sz w:val="32"/>
          <w:highlight w:val="none"/>
          <w:lang w:eastAsia="zh-CN"/>
        </w:rPr>
        <w:t>2026年新疆农业大学教职工健康体检项目</w:t>
      </w:r>
    </w:p>
    <w:p w14:paraId="2A026E38">
      <w:pPr>
        <w:adjustRightInd w:val="0"/>
        <w:snapToGrid w:val="0"/>
        <w:spacing w:line="480" w:lineRule="exact"/>
        <w:rPr>
          <w:rFonts w:hint="eastAsia" w:ascii="仿宋" w:hAnsi="仿宋" w:eastAsia="仿宋" w:cs="仿宋"/>
          <w:bCs/>
          <w:color w:val="auto"/>
          <w:kern w:val="0"/>
          <w:sz w:val="32"/>
          <w:szCs w:val="32"/>
          <w:highlight w:val="none"/>
        </w:rPr>
      </w:pPr>
    </w:p>
    <w:p w14:paraId="1BABD549">
      <w:pPr>
        <w:adjustRightInd w:val="0"/>
        <w:snapToGrid w:val="0"/>
        <w:spacing w:line="480" w:lineRule="exact"/>
        <w:rPr>
          <w:rFonts w:hint="eastAsia" w:ascii="仿宋" w:hAnsi="仿宋" w:eastAsia="仿宋" w:cs="仿宋"/>
          <w:bCs/>
          <w:color w:val="auto"/>
          <w:kern w:val="0"/>
          <w:sz w:val="32"/>
          <w:szCs w:val="32"/>
          <w:highlight w:val="none"/>
          <w:lang w:eastAsia="zh-CN"/>
        </w:rPr>
      </w:pPr>
      <w:r>
        <w:rPr>
          <w:rFonts w:hint="eastAsia" w:ascii="仿宋" w:hAnsi="仿宋" w:eastAsia="仿宋" w:cs="仿宋"/>
          <w:bCs/>
          <w:color w:val="auto"/>
          <w:kern w:val="0"/>
          <w:sz w:val="32"/>
          <w:szCs w:val="32"/>
          <w:highlight w:val="none"/>
        </w:rPr>
        <w:t>采购人(盖章)：</w:t>
      </w:r>
      <w:r>
        <w:rPr>
          <w:rFonts w:hint="eastAsia" w:ascii="仿宋" w:hAnsi="仿宋" w:eastAsia="仿宋" w:cs="仿宋"/>
          <w:bCs/>
          <w:color w:val="auto"/>
          <w:sz w:val="32"/>
          <w:highlight w:val="none"/>
          <w:lang w:eastAsia="zh-CN"/>
        </w:rPr>
        <w:t>新疆农业大学</w:t>
      </w:r>
    </w:p>
    <w:p w14:paraId="003989C3">
      <w:pPr>
        <w:adjustRightInd w:val="0"/>
        <w:snapToGrid w:val="0"/>
        <w:spacing w:line="480" w:lineRule="exact"/>
        <w:rPr>
          <w:rFonts w:hint="eastAsia" w:ascii="仿宋" w:hAnsi="仿宋" w:eastAsia="仿宋" w:cs="仿宋"/>
          <w:bCs/>
          <w:color w:val="auto"/>
          <w:sz w:val="32"/>
          <w:szCs w:val="32"/>
          <w:highlight w:val="none"/>
        </w:rPr>
      </w:pPr>
    </w:p>
    <w:p w14:paraId="0ED11C22">
      <w:pPr>
        <w:adjustRightInd w:val="0"/>
        <w:snapToGrid w:val="0"/>
        <w:spacing w:line="276" w:lineRule="auto"/>
        <w:rPr>
          <w:rFonts w:hint="eastAsia" w:ascii="仿宋" w:hAnsi="仿宋" w:eastAsia="仿宋" w:cs="仿宋"/>
          <w:bCs/>
          <w:color w:val="auto"/>
          <w:sz w:val="32"/>
          <w:szCs w:val="24"/>
          <w:highlight w:val="none"/>
          <w:lang w:val="en-US" w:eastAsia="zh-CN"/>
        </w:rPr>
      </w:pPr>
      <w:r>
        <w:rPr>
          <w:rFonts w:hint="eastAsia" w:ascii="仿宋" w:hAnsi="仿宋" w:eastAsia="仿宋" w:cs="仿宋"/>
          <w:bCs/>
          <w:color w:val="auto"/>
          <w:sz w:val="32"/>
          <w:szCs w:val="24"/>
          <w:highlight w:val="none"/>
        </w:rPr>
        <w:t>联系人：</w:t>
      </w:r>
      <w:r>
        <w:rPr>
          <w:rFonts w:hint="eastAsia" w:ascii="仿宋" w:hAnsi="仿宋" w:eastAsia="仿宋" w:cs="仿宋"/>
          <w:bCs/>
          <w:color w:val="auto"/>
          <w:sz w:val="32"/>
          <w:szCs w:val="24"/>
          <w:highlight w:val="none"/>
          <w:lang w:val="en-US" w:eastAsia="zh-CN"/>
        </w:rPr>
        <w:t>宁海燕</w:t>
      </w:r>
    </w:p>
    <w:p w14:paraId="54C23D22">
      <w:pPr>
        <w:adjustRightInd w:val="0"/>
        <w:snapToGrid w:val="0"/>
        <w:spacing w:line="276" w:lineRule="auto"/>
        <w:jc w:val="center"/>
        <w:rPr>
          <w:rFonts w:hint="eastAsia" w:ascii="仿宋" w:hAnsi="仿宋" w:eastAsia="仿宋" w:cs="仿宋"/>
          <w:bCs/>
          <w:color w:val="auto"/>
          <w:sz w:val="32"/>
          <w:szCs w:val="24"/>
          <w:highlight w:val="none"/>
        </w:rPr>
      </w:pPr>
    </w:p>
    <w:p w14:paraId="4A1C3D66">
      <w:pPr>
        <w:adjustRightInd w:val="0"/>
        <w:snapToGrid w:val="0"/>
        <w:spacing w:line="276" w:lineRule="auto"/>
        <w:jc w:val="left"/>
        <w:rPr>
          <w:rFonts w:hint="eastAsia" w:ascii="仿宋" w:hAnsi="仿宋" w:eastAsia="仿宋" w:cs="仿宋"/>
          <w:bCs/>
          <w:color w:val="auto"/>
          <w:sz w:val="32"/>
          <w:szCs w:val="24"/>
          <w:highlight w:val="none"/>
          <w:lang w:val="en-US" w:eastAsia="zh-CN"/>
        </w:rPr>
      </w:pPr>
      <w:r>
        <w:rPr>
          <w:rFonts w:hint="eastAsia" w:ascii="仿宋" w:hAnsi="仿宋" w:eastAsia="仿宋" w:cs="仿宋"/>
          <w:bCs/>
          <w:color w:val="auto"/>
          <w:sz w:val="32"/>
          <w:szCs w:val="24"/>
          <w:highlight w:val="none"/>
        </w:rPr>
        <w:t>电话：</w:t>
      </w:r>
      <w:r>
        <w:rPr>
          <w:rFonts w:hint="eastAsia" w:ascii="仿宋" w:hAnsi="仿宋" w:eastAsia="仿宋" w:cs="仿宋"/>
          <w:bCs/>
          <w:color w:val="auto"/>
          <w:sz w:val="32"/>
          <w:szCs w:val="32"/>
          <w:highlight w:val="none"/>
          <w:lang w:val="en-US" w:eastAsia="zh-CN"/>
        </w:rPr>
        <w:t>0991-8762621</w:t>
      </w:r>
    </w:p>
    <w:p w14:paraId="52359579">
      <w:pPr>
        <w:rPr>
          <w:rFonts w:hint="eastAsia" w:ascii="仿宋" w:hAnsi="仿宋" w:eastAsia="仿宋" w:cs="仿宋"/>
          <w:color w:val="auto"/>
          <w:highlight w:val="none"/>
        </w:rPr>
      </w:pPr>
    </w:p>
    <w:p w14:paraId="5A2A4FFC">
      <w:pPr>
        <w:adjustRightInd w:val="0"/>
        <w:snapToGrid w:val="0"/>
        <w:spacing w:line="480" w:lineRule="exact"/>
        <w:jc w:val="left"/>
        <w:rPr>
          <w:rFonts w:hint="eastAsia" w:ascii="仿宋" w:hAnsi="仿宋" w:eastAsia="仿宋" w:cs="仿宋"/>
          <w:bCs/>
          <w:color w:val="auto"/>
          <w:kern w:val="0"/>
          <w:sz w:val="32"/>
          <w:szCs w:val="32"/>
          <w:highlight w:val="none"/>
        </w:rPr>
      </w:pPr>
      <w:r>
        <w:rPr>
          <w:rFonts w:hint="eastAsia" w:ascii="仿宋" w:hAnsi="仿宋" w:eastAsia="仿宋" w:cs="仿宋"/>
          <w:bCs/>
          <w:color w:val="auto"/>
          <w:kern w:val="0"/>
          <w:sz w:val="32"/>
          <w:szCs w:val="32"/>
          <w:highlight w:val="none"/>
        </w:rPr>
        <w:t>—————————————————————————————</w:t>
      </w:r>
    </w:p>
    <w:p w14:paraId="35A8C444">
      <w:pPr>
        <w:adjustRightInd w:val="0"/>
        <w:snapToGrid w:val="0"/>
        <w:spacing w:line="480" w:lineRule="exact"/>
        <w:jc w:val="center"/>
        <w:rPr>
          <w:rFonts w:hint="eastAsia" w:ascii="仿宋" w:hAnsi="仿宋" w:eastAsia="仿宋" w:cs="仿宋"/>
          <w:bCs/>
          <w:color w:val="auto"/>
          <w:sz w:val="32"/>
          <w:szCs w:val="32"/>
          <w:highlight w:val="none"/>
        </w:rPr>
      </w:pPr>
      <w:bookmarkStart w:id="338" w:name="_GoBack"/>
      <w:bookmarkEnd w:id="338"/>
    </w:p>
    <w:p w14:paraId="1CDEE17F">
      <w:pPr>
        <w:adjustRightInd w:val="0"/>
        <w:snapToGrid w:val="0"/>
        <w:spacing w:line="480" w:lineRule="exact"/>
        <w:rPr>
          <w:rFonts w:hint="eastAsia" w:ascii="仿宋" w:hAnsi="仿宋" w:eastAsia="仿宋" w:cs="仿宋"/>
          <w:bCs/>
          <w:color w:val="auto"/>
          <w:sz w:val="32"/>
          <w:szCs w:val="32"/>
          <w:highlight w:val="none"/>
        </w:rPr>
      </w:pPr>
    </w:p>
    <w:p w14:paraId="48E9508C">
      <w:pPr>
        <w:adjustRightInd w:val="0"/>
        <w:snapToGrid w:val="0"/>
        <w:spacing w:line="480" w:lineRule="exact"/>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采购代理机构</w:t>
      </w:r>
      <w:r>
        <w:rPr>
          <w:rFonts w:hint="eastAsia" w:ascii="仿宋" w:hAnsi="仿宋" w:eastAsia="仿宋" w:cs="仿宋"/>
          <w:color w:val="auto"/>
          <w:sz w:val="32"/>
          <w:szCs w:val="32"/>
          <w:highlight w:val="none"/>
        </w:rPr>
        <w:t>(盖章)</w:t>
      </w:r>
      <w:r>
        <w:rPr>
          <w:rFonts w:hint="eastAsia" w:ascii="仿宋" w:hAnsi="仿宋" w:eastAsia="仿宋" w:cs="仿宋"/>
          <w:bCs/>
          <w:color w:val="auto"/>
          <w:sz w:val="32"/>
          <w:szCs w:val="32"/>
          <w:highlight w:val="none"/>
        </w:rPr>
        <w:t>：新疆新世纪招标有限公司</w:t>
      </w:r>
    </w:p>
    <w:p w14:paraId="16244D1B">
      <w:pPr>
        <w:adjustRightInd w:val="0"/>
        <w:snapToGrid w:val="0"/>
        <w:spacing w:line="480" w:lineRule="exact"/>
        <w:rPr>
          <w:rFonts w:hint="eastAsia" w:ascii="仿宋" w:hAnsi="仿宋" w:eastAsia="仿宋" w:cs="仿宋"/>
          <w:bCs/>
          <w:color w:val="auto"/>
          <w:sz w:val="32"/>
          <w:szCs w:val="32"/>
          <w:highlight w:val="none"/>
        </w:rPr>
      </w:pPr>
    </w:p>
    <w:p w14:paraId="6FFE116B">
      <w:pPr>
        <w:adjustRightInd w:val="0"/>
        <w:snapToGrid w:val="0"/>
        <w:spacing w:line="480" w:lineRule="exact"/>
        <w:rPr>
          <w:rFonts w:hint="eastAsia" w:ascii="仿宋" w:hAnsi="仿宋" w:eastAsia="仿宋" w:cs="仿宋"/>
          <w:bCs/>
          <w:color w:val="auto"/>
          <w:sz w:val="32"/>
          <w:szCs w:val="32"/>
          <w:highlight w:val="none"/>
          <w:lang w:val="en-US" w:eastAsia="zh-CN"/>
        </w:rPr>
      </w:pPr>
      <w:r>
        <w:rPr>
          <w:rFonts w:hint="eastAsia" w:ascii="仿宋" w:hAnsi="仿宋" w:eastAsia="仿宋" w:cs="仿宋"/>
          <w:bCs/>
          <w:color w:val="auto"/>
          <w:sz w:val="32"/>
          <w:szCs w:val="32"/>
          <w:highlight w:val="none"/>
        </w:rPr>
        <w:t>联系人：</w:t>
      </w:r>
      <w:r>
        <w:rPr>
          <w:rFonts w:hint="eastAsia" w:ascii="仿宋" w:hAnsi="仿宋" w:eastAsia="仿宋" w:cs="仿宋"/>
          <w:bCs/>
          <w:color w:val="auto"/>
          <w:sz w:val="32"/>
          <w:szCs w:val="32"/>
          <w:highlight w:val="none"/>
          <w:lang w:val="en-US" w:eastAsia="zh-CN"/>
        </w:rPr>
        <w:t>马丹阳</w:t>
      </w:r>
    </w:p>
    <w:p w14:paraId="1F97C145">
      <w:pPr>
        <w:adjustRightInd w:val="0"/>
        <w:snapToGrid w:val="0"/>
        <w:spacing w:line="480" w:lineRule="exact"/>
        <w:jc w:val="center"/>
        <w:rPr>
          <w:rFonts w:hint="eastAsia" w:ascii="仿宋" w:hAnsi="仿宋" w:eastAsia="仿宋" w:cs="仿宋"/>
          <w:bCs/>
          <w:color w:val="auto"/>
          <w:sz w:val="32"/>
          <w:szCs w:val="32"/>
          <w:highlight w:val="none"/>
        </w:rPr>
      </w:pPr>
    </w:p>
    <w:p w14:paraId="3DDC8E12">
      <w:pPr>
        <w:adjustRightInd w:val="0"/>
        <w:snapToGrid w:val="0"/>
        <w:spacing w:line="480" w:lineRule="exact"/>
        <w:rPr>
          <w:rFonts w:hint="eastAsia" w:ascii="仿宋" w:hAnsi="仿宋" w:eastAsia="仿宋" w:cs="仿宋"/>
          <w:bCs/>
          <w:color w:val="auto"/>
          <w:sz w:val="32"/>
          <w:szCs w:val="32"/>
          <w:highlight w:val="none"/>
          <w:lang w:val="en-US" w:eastAsia="zh-CN"/>
        </w:rPr>
      </w:pPr>
      <w:r>
        <w:rPr>
          <w:rFonts w:hint="eastAsia" w:ascii="仿宋" w:hAnsi="仿宋" w:eastAsia="仿宋" w:cs="仿宋"/>
          <w:bCs/>
          <w:color w:val="auto"/>
          <w:kern w:val="0"/>
          <w:sz w:val="32"/>
          <w:szCs w:val="32"/>
          <w:highlight w:val="none"/>
        </w:rPr>
        <w:t>电话</w:t>
      </w:r>
      <w:r>
        <w:rPr>
          <w:rFonts w:hint="eastAsia" w:ascii="仿宋" w:hAnsi="仿宋" w:eastAsia="仿宋" w:cs="仿宋"/>
          <w:bCs/>
          <w:color w:val="auto"/>
          <w:sz w:val="32"/>
          <w:szCs w:val="32"/>
          <w:highlight w:val="none"/>
        </w:rPr>
        <w:t>：0991-4661782</w:t>
      </w:r>
    </w:p>
    <w:p w14:paraId="481DCC4D">
      <w:pPr>
        <w:adjustRightInd w:val="0"/>
        <w:snapToGrid w:val="0"/>
        <w:spacing w:line="480" w:lineRule="exact"/>
        <w:rPr>
          <w:rFonts w:hint="eastAsia" w:ascii="仿宋" w:hAnsi="仿宋" w:eastAsia="仿宋" w:cs="仿宋"/>
          <w:bCs/>
          <w:color w:val="auto"/>
          <w:sz w:val="32"/>
          <w:szCs w:val="32"/>
          <w:highlight w:val="none"/>
        </w:rPr>
      </w:pPr>
    </w:p>
    <w:p w14:paraId="26F4AA3D">
      <w:pPr>
        <w:adjustRightInd w:val="0"/>
        <w:snapToGrid w:val="0"/>
        <w:spacing w:line="480" w:lineRule="exact"/>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t>地址：乌鲁木齐市新兴街20号凤凰大厦五楼</w:t>
      </w:r>
    </w:p>
    <w:p w14:paraId="0201236A">
      <w:pPr>
        <w:adjustRightInd w:val="0"/>
        <w:snapToGrid w:val="0"/>
        <w:spacing w:line="480" w:lineRule="exact"/>
        <w:rPr>
          <w:rFonts w:hint="eastAsia" w:ascii="仿宋" w:hAnsi="仿宋" w:eastAsia="仿宋" w:cs="仿宋"/>
          <w:bCs/>
          <w:color w:val="auto"/>
          <w:sz w:val="32"/>
          <w:szCs w:val="32"/>
          <w:highlight w:val="none"/>
        </w:rPr>
      </w:pPr>
    </w:p>
    <w:p w14:paraId="3038F1FE">
      <w:pPr>
        <w:widowControl/>
        <w:jc w:val="left"/>
        <w:rPr>
          <w:rFonts w:hint="eastAsia" w:ascii="仿宋" w:hAnsi="仿宋" w:eastAsia="仿宋" w:cs="仿宋"/>
          <w:b/>
          <w:bCs/>
          <w:color w:val="auto"/>
          <w:highlight w:val="none"/>
        </w:rPr>
      </w:pPr>
      <w:r>
        <w:rPr>
          <w:rFonts w:hint="eastAsia" w:ascii="仿宋" w:hAnsi="仿宋" w:eastAsia="仿宋" w:cs="仿宋"/>
          <w:b/>
          <w:bCs/>
          <w:color w:val="auto"/>
          <w:highlight w:val="none"/>
        </w:rPr>
        <w:br w:type="page"/>
      </w:r>
    </w:p>
    <w:p w14:paraId="4BF7D7DE">
      <w:pPr>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目录</w:t>
      </w:r>
    </w:p>
    <w:p w14:paraId="21ABB3EE">
      <w:pPr>
        <w:pStyle w:val="25"/>
        <w:tabs>
          <w:tab w:val="right" w:leader="dot" w:pos="9354"/>
        </w:tabs>
        <w:rPr>
          <w:color w:val="auto"/>
          <w:highlight w:val="none"/>
        </w:rPr>
      </w:pP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TOC \o "1-3" \h \u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_Toc25338 </w:instrText>
      </w:r>
      <w:r>
        <w:rPr>
          <w:rFonts w:hint="eastAsia" w:ascii="仿宋" w:hAnsi="仿宋" w:eastAsia="仿宋" w:cs="仿宋"/>
          <w:color w:val="auto"/>
          <w:highlight w:val="none"/>
        </w:rPr>
        <w:fldChar w:fldCharType="separate"/>
      </w:r>
      <w:r>
        <w:rPr>
          <w:rFonts w:hint="eastAsia" w:ascii="仿宋" w:hAnsi="仿宋" w:eastAsia="仿宋" w:cs="仿宋"/>
          <w:bCs/>
          <w:color w:val="auto"/>
          <w:szCs w:val="32"/>
          <w:highlight w:val="none"/>
        </w:rPr>
        <w:t>招标公告</w:t>
      </w:r>
      <w:r>
        <w:rPr>
          <w:color w:val="auto"/>
          <w:highlight w:val="none"/>
        </w:rPr>
        <w:tab/>
      </w:r>
      <w:r>
        <w:rPr>
          <w:color w:val="auto"/>
          <w:highlight w:val="none"/>
        </w:rPr>
        <w:fldChar w:fldCharType="begin"/>
      </w:r>
      <w:r>
        <w:rPr>
          <w:color w:val="auto"/>
          <w:highlight w:val="none"/>
        </w:rPr>
        <w:instrText xml:space="preserve"> PAGEREF _Toc25338 \h </w:instrText>
      </w:r>
      <w:r>
        <w:rPr>
          <w:color w:val="auto"/>
          <w:highlight w:val="none"/>
        </w:rPr>
        <w:fldChar w:fldCharType="separate"/>
      </w:r>
      <w:r>
        <w:rPr>
          <w:color w:val="auto"/>
          <w:highlight w:val="none"/>
        </w:rPr>
        <w:t>1</w:t>
      </w:r>
      <w:r>
        <w:rPr>
          <w:color w:val="auto"/>
          <w:highlight w:val="none"/>
        </w:rPr>
        <w:fldChar w:fldCharType="end"/>
      </w:r>
      <w:r>
        <w:rPr>
          <w:rFonts w:hint="eastAsia" w:ascii="仿宋" w:hAnsi="仿宋" w:eastAsia="仿宋" w:cs="仿宋"/>
          <w:color w:val="auto"/>
          <w:highlight w:val="none"/>
        </w:rPr>
        <w:fldChar w:fldCharType="end"/>
      </w:r>
    </w:p>
    <w:p w14:paraId="7E7A8027">
      <w:pPr>
        <w:pStyle w:val="25"/>
        <w:tabs>
          <w:tab w:val="right" w:leader="dot" w:pos="9354"/>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_Toc10824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投标人须知前附表</w:t>
      </w:r>
      <w:r>
        <w:rPr>
          <w:color w:val="auto"/>
          <w:highlight w:val="none"/>
        </w:rPr>
        <w:tab/>
      </w:r>
      <w:r>
        <w:rPr>
          <w:color w:val="auto"/>
          <w:highlight w:val="none"/>
        </w:rPr>
        <w:fldChar w:fldCharType="begin"/>
      </w:r>
      <w:r>
        <w:rPr>
          <w:color w:val="auto"/>
          <w:highlight w:val="none"/>
        </w:rPr>
        <w:instrText xml:space="preserve"> PAGEREF _Toc10824 \h </w:instrText>
      </w:r>
      <w:r>
        <w:rPr>
          <w:color w:val="auto"/>
          <w:highlight w:val="none"/>
        </w:rPr>
        <w:fldChar w:fldCharType="separate"/>
      </w:r>
      <w:r>
        <w:rPr>
          <w:color w:val="auto"/>
          <w:highlight w:val="none"/>
        </w:rPr>
        <w:t>3</w:t>
      </w:r>
      <w:r>
        <w:rPr>
          <w:color w:val="auto"/>
          <w:highlight w:val="none"/>
        </w:rPr>
        <w:fldChar w:fldCharType="end"/>
      </w:r>
      <w:r>
        <w:rPr>
          <w:rFonts w:hint="eastAsia" w:ascii="仿宋" w:hAnsi="仿宋" w:eastAsia="仿宋" w:cs="仿宋"/>
          <w:color w:val="auto"/>
          <w:highlight w:val="none"/>
        </w:rPr>
        <w:fldChar w:fldCharType="end"/>
      </w:r>
    </w:p>
    <w:p w14:paraId="2407EA95">
      <w:pPr>
        <w:pStyle w:val="25"/>
        <w:tabs>
          <w:tab w:val="right" w:leader="dot" w:pos="9354"/>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_Toc10815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第一章 投标人须知</w:t>
      </w:r>
      <w:r>
        <w:rPr>
          <w:color w:val="auto"/>
          <w:highlight w:val="none"/>
        </w:rPr>
        <w:tab/>
      </w:r>
      <w:r>
        <w:rPr>
          <w:color w:val="auto"/>
          <w:highlight w:val="none"/>
        </w:rPr>
        <w:fldChar w:fldCharType="begin"/>
      </w:r>
      <w:r>
        <w:rPr>
          <w:color w:val="auto"/>
          <w:highlight w:val="none"/>
        </w:rPr>
        <w:instrText xml:space="preserve"> PAGEREF _Toc10815 \h </w:instrText>
      </w:r>
      <w:r>
        <w:rPr>
          <w:color w:val="auto"/>
          <w:highlight w:val="none"/>
        </w:rPr>
        <w:fldChar w:fldCharType="separate"/>
      </w:r>
      <w:r>
        <w:rPr>
          <w:color w:val="auto"/>
          <w:highlight w:val="none"/>
        </w:rPr>
        <w:t>6</w:t>
      </w:r>
      <w:r>
        <w:rPr>
          <w:color w:val="auto"/>
          <w:highlight w:val="none"/>
        </w:rPr>
        <w:fldChar w:fldCharType="end"/>
      </w:r>
      <w:r>
        <w:rPr>
          <w:rFonts w:hint="eastAsia" w:ascii="仿宋" w:hAnsi="仿宋" w:eastAsia="仿宋" w:cs="仿宋"/>
          <w:color w:val="auto"/>
          <w:highlight w:val="none"/>
        </w:rPr>
        <w:fldChar w:fldCharType="end"/>
      </w:r>
    </w:p>
    <w:p w14:paraId="3C8F2AFF">
      <w:pPr>
        <w:pStyle w:val="31"/>
        <w:tabs>
          <w:tab w:val="right" w:leader="dot" w:pos="9354"/>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_Toc12831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lang w:val="en-US" w:eastAsia="zh-CN"/>
        </w:rPr>
        <w:t>一</w:t>
      </w:r>
      <w:r>
        <w:rPr>
          <w:rFonts w:hint="eastAsia" w:ascii="仿宋" w:hAnsi="仿宋" w:eastAsia="仿宋" w:cs="仿宋"/>
          <w:color w:val="auto"/>
          <w:szCs w:val="24"/>
          <w:highlight w:val="none"/>
          <w:lang w:eastAsia="zh-CN"/>
        </w:rPr>
        <w:t>、</w:t>
      </w:r>
      <w:r>
        <w:rPr>
          <w:rFonts w:hint="eastAsia" w:ascii="仿宋" w:hAnsi="仿宋" w:eastAsia="仿宋" w:cs="仿宋"/>
          <w:color w:val="auto"/>
          <w:szCs w:val="24"/>
          <w:highlight w:val="none"/>
        </w:rPr>
        <w:t>总则</w:t>
      </w:r>
      <w:r>
        <w:rPr>
          <w:color w:val="auto"/>
          <w:highlight w:val="none"/>
        </w:rPr>
        <w:tab/>
      </w:r>
      <w:r>
        <w:rPr>
          <w:color w:val="auto"/>
          <w:highlight w:val="none"/>
        </w:rPr>
        <w:fldChar w:fldCharType="begin"/>
      </w:r>
      <w:r>
        <w:rPr>
          <w:color w:val="auto"/>
          <w:highlight w:val="none"/>
        </w:rPr>
        <w:instrText xml:space="preserve"> PAGEREF _Toc12831 \h </w:instrText>
      </w:r>
      <w:r>
        <w:rPr>
          <w:color w:val="auto"/>
          <w:highlight w:val="none"/>
        </w:rPr>
        <w:fldChar w:fldCharType="separate"/>
      </w:r>
      <w:r>
        <w:rPr>
          <w:color w:val="auto"/>
          <w:highlight w:val="none"/>
        </w:rPr>
        <w:t>6</w:t>
      </w:r>
      <w:r>
        <w:rPr>
          <w:color w:val="auto"/>
          <w:highlight w:val="none"/>
        </w:rPr>
        <w:fldChar w:fldCharType="end"/>
      </w:r>
      <w:r>
        <w:rPr>
          <w:rFonts w:hint="eastAsia" w:ascii="仿宋" w:hAnsi="仿宋" w:eastAsia="仿宋" w:cs="仿宋"/>
          <w:color w:val="auto"/>
          <w:highlight w:val="none"/>
        </w:rPr>
        <w:fldChar w:fldCharType="end"/>
      </w:r>
    </w:p>
    <w:p w14:paraId="4FCC818F">
      <w:pPr>
        <w:pStyle w:val="31"/>
        <w:tabs>
          <w:tab w:val="right" w:leader="dot" w:pos="9354"/>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_Toc11320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lang w:val="en-US" w:eastAsia="zh-CN"/>
        </w:rPr>
        <w:t>二、</w:t>
      </w:r>
      <w:r>
        <w:rPr>
          <w:rFonts w:hint="eastAsia" w:ascii="仿宋" w:hAnsi="仿宋" w:eastAsia="仿宋" w:cs="仿宋"/>
          <w:color w:val="auto"/>
          <w:szCs w:val="24"/>
          <w:highlight w:val="none"/>
        </w:rPr>
        <w:t>招标文件</w:t>
      </w:r>
      <w:r>
        <w:rPr>
          <w:color w:val="auto"/>
          <w:highlight w:val="none"/>
        </w:rPr>
        <w:tab/>
      </w:r>
      <w:r>
        <w:rPr>
          <w:color w:val="auto"/>
          <w:highlight w:val="none"/>
        </w:rPr>
        <w:fldChar w:fldCharType="begin"/>
      </w:r>
      <w:r>
        <w:rPr>
          <w:color w:val="auto"/>
          <w:highlight w:val="none"/>
        </w:rPr>
        <w:instrText xml:space="preserve"> PAGEREF _Toc11320 \h </w:instrText>
      </w:r>
      <w:r>
        <w:rPr>
          <w:color w:val="auto"/>
          <w:highlight w:val="none"/>
        </w:rPr>
        <w:fldChar w:fldCharType="separate"/>
      </w:r>
      <w:r>
        <w:rPr>
          <w:color w:val="auto"/>
          <w:highlight w:val="none"/>
        </w:rPr>
        <w:t>7</w:t>
      </w:r>
      <w:r>
        <w:rPr>
          <w:color w:val="auto"/>
          <w:highlight w:val="none"/>
        </w:rPr>
        <w:fldChar w:fldCharType="end"/>
      </w:r>
      <w:r>
        <w:rPr>
          <w:rFonts w:hint="eastAsia" w:ascii="仿宋" w:hAnsi="仿宋" w:eastAsia="仿宋" w:cs="仿宋"/>
          <w:color w:val="auto"/>
          <w:highlight w:val="none"/>
        </w:rPr>
        <w:fldChar w:fldCharType="end"/>
      </w:r>
    </w:p>
    <w:p w14:paraId="1732EAB8">
      <w:pPr>
        <w:pStyle w:val="31"/>
        <w:tabs>
          <w:tab w:val="right" w:leader="dot" w:pos="9354"/>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_Toc6771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lang w:val="en-US" w:eastAsia="zh-CN"/>
        </w:rPr>
        <w:t>三、</w:t>
      </w:r>
      <w:r>
        <w:rPr>
          <w:rFonts w:hint="eastAsia" w:ascii="仿宋" w:hAnsi="仿宋" w:eastAsia="仿宋" w:cs="仿宋"/>
          <w:color w:val="auto"/>
          <w:szCs w:val="24"/>
          <w:highlight w:val="none"/>
        </w:rPr>
        <w:t>投标文件</w:t>
      </w:r>
      <w:r>
        <w:rPr>
          <w:color w:val="auto"/>
          <w:highlight w:val="none"/>
        </w:rPr>
        <w:tab/>
      </w:r>
      <w:r>
        <w:rPr>
          <w:color w:val="auto"/>
          <w:highlight w:val="none"/>
        </w:rPr>
        <w:fldChar w:fldCharType="begin"/>
      </w:r>
      <w:r>
        <w:rPr>
          <w:color w:val="auto"/>
          <w:highlight w:val="none"/>
        </w:rPr>
        <w:instrText xml:space="preserve"> PAGEREF _Toc6771 \h </w:instrText>
      </w:r>
      <w:r>
        <w:rPr>
          <w:color w:val="auto"/>
          <w:highlight w:val="none"/>
        </w:rPr>
        <w:fldChar w:fldCharType="separate"/>
      </w:r>
      <w:r>
        <w:rPr>
          <w:color w:val="auto"/>
          <w:highlight w:val="none"/>
        </w:rPr>
        <w:t>9</w:t>
      </w:r>
      <w:r>
        <w:rPr>
          <w:color w:val="auto"/>
          <w:highlight w:val="none"/>
        </w:rPr>
        <w:fldChar w:fldCharType="end"/>
      </w:r>
      <w:r>
        <w:rPr>
          <w:rFonts w:hint="eastAsia" w:ascii="仿宋" w:hAnsi="仿宋" w:eastAsia="仿宋" w:cs="仿宋"/>
          <w:color w:val="auto"/>
          <w:highlight w:val="none"/>
        </w:rPr>
        <w:fldChar w:fldCharType="end"/>
      </w:r>
    </w:p>
    <w:p w14:paraId="704AB91F">
      <w:pPr>
        <w:pStyle w:val="31"/>
        <w:tabs>
          <w:tab w:val="right" w:leader="dot" w:pos="9354"/>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_Toc17696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lang w:val="en-US" w:eastAsia="zh-CN"/>
        </w:rPr>
        <w:t>四、</w:t>
      </w:r>
      <w:r>
        <w:rPr>
          <w:rFonts w:hint="eastAsia" w:ascii="仿宋" w:hAnsi="仿宋" w:eastAsia="仿宋" w:cs="仿宋"/>
          <w:color w:val="auto"/>
          <w:szCs w:val="24"/>
          <w:highlight w:val="none"/>
        </w:rPr>
        <w:t>投标</w:t>
      </w:r>
      <w:r>
        <w:rPr>
          <w:color w:val="auto"/>
          <w:highlight w:val="none"/>
        </w:rPr>
        <w:tab/>
      </w:r>
      <w:r>
        <w:rPr>
          <w:color w:val="auto"/>
          <w:highlight w:val="none"/>
        </w:rPr>
        <w:fldChar w:fldCharType="begin"/>
      </w:r>
      <w:r>
        <w:rPr>
          <w:color w:val="auto"/>
          <w:highlight w:val="none"/>
        </w:rPr>
        <w:instrText xml:space="preserve"> PAGEREF _Toc17696 \h </w:instrText>
      </w:r>
      <w:r>
        <w:rPr>
          <w:color w:val="auto"/>
          <w:highlight w:val="none"/>
        </w:rPr>
        <w:fldChar w:fldCharType="separate"/>
      </w:r>
      <w:r>
        <w:rPr>
          <w:color w:val="auto"/>
          <w:highlight w:val="none"/>
        </w:rPr>
        <w:t>11</w:t>
      </w:r>
      <w:r>
        <w:rPr>
          <w:color w:val="auto"/>
          <w:highlight w:val="none"/>
        </w:rPr>
        <w:fldChar w:fldCharType="end"/>
      </w:r>
      <w:r>
        <w:rPr>
          <w:rFonts w:hint="eastAsia" w:ascii="仿宋" w:hAnsi="仿宋" w:eastAsia="仿宋" w:cs="仿宋"/>
          <w:color w:val="auto"/>
          <w:highlight w:val="none"/>
        </w:rPr>
        <w:fldChar w:fldCharType="end"/>
      </w:r>
    </w:p>
    <w:p w14:paraId="0A41E6BC">
      <w:pPr>
        <w:pStyle w:val="31"/>
        <w:tabs>
          <w:tab w:val="right" w:leader="dot" w:pos="9354"/>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_Toc1069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lang w:val="en-US" w:eastAsia="zh-CN"/>
        </w:rPr>
        <w:t>五、</w:t>
      </w:r>
      <w:r>
        <w:rPr>
          <w:rFonts w:hint="eastAsia" w:ascii="仿宋" w:hAnsi="仿宋" w:eastAsia="仿宋" w:cs="仿宋"/>
          <w:color w:val="auto"/>
          <w:szCs w:val="24"/>
          <w:highlight w:val="none"/>
        </w:rPr>
        <w:t>开标</w:t>
      </w:r>
      <w:r>
        <w:rPr>
          <w:color w:val="auto"/>
          <w:highlight w:val="none"/>
        </w:rPr>
        <w:tab/>
      </w:r>
      <w:r>
        <w:rPr>
          <w:color w:val="auto"/>
          <w:highlight w:val="none"/>
        </w:rPr>
        <w:fldChar w:fldCharType="begin"/>
      </w:r>
      <w:r>
        <w:rPr>
          <w:color w:val="auto"/>
          <w:highlight w:val="none"/>
        </w:rPr>
        <w:instrText xml:space="preserve"> PAGEREF _Toc1069 \h </w:instrText>
      </w:r>
      <w:r>
        <w:rPr>
          <w:color w:val="auto"/>
          <w:highlight w:val="none"/>
        </w:rPr>
        <w:fldChar w:fldCharType="separate"/>
      </w:r>
      <w:r>
        <w:rPr>
          <w:color w:val="auto"/>
          <w:highlight w:val="none"/>
        </w:rPr>
        <w:t>11</w:t>
      </w:r>
      <w:r>
        <w:rPr>
          <w:color w:val="auto"/>
          <w:highlight w:val="none"/>
        </w:rPr>
        <w:fldChar w:fldCharType="end"/>
      </w:r>
      <w:r>
        <w:rPr>
          <w:rFonts w:hint="eastAsia" w:ascii="仿宋" w:hAnsi="仿宋" w:eastAsia="仿宋" w:cs="仿宋"/>
          <w:color w:val="auto"/>
          <w:highlight w:val="none"/>
        </w:rPr>
        <w:fldChar w:fldCharType="end"/>
      </w:r>
    </w:p>
    <w:p w14:paraId="4BFCF31D">
      <w:pPr>
        <w:pStyle w:val="31"/>
        <w:tabs>
          <w:tab w:val="right" w:leader="dot" w:pos="9354"/>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_Toc27701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lang w:val="en-US" w:eastAsia="zh-CN"/>
        </w:rPr>
        <w:t>六、</w:t>
      </w:r>
      <w:r>
        <w:rPr>
          <w:rFonts w:hint="eastAsia" w:ascii="仿宋" w:hAnsi="仿宋" w:eastAsia="仿宋" w:cs="仿宋"/>
          <w:color w:val="auto"/>
          <w:szCs w:val="24"/>
          <w:highlight w:val="none"/>
        </w:rPr>
        <w:t>评标</w:t>
      </w:r>
      <w:r>
        <w:rPr>
          <w:color w:val="auto"/>
          <w:highlight w:val="none"/>
        </w:rPr>
        <w:tab/>
      </w:r>
      <w:r>
        <w:rPr>
          <w:color w:val="auto"/>
          <w:highlight w:val="none"/>
        </w:rPr>
        <w:fldChar w:fldCharType="begin"/>
      </w:r>
      <w:r>
        <w:rPr>
          <w:color w:val="auto"/>
          <w:highlight w:val="none"/>
        </w:rPr>
        <w:instrText xml:space="preserve"> PAGEREF _Toc27701 \h </w:instrText>
      </w:r>
      <w:r>
        <w:rPr>
          <w:color w:val="auto"/>
          <w:highlight w:val="none"/>
        </w:rPr>
        <w:fldChar w:fldCharType="separate"/>
      </w:r>
      <w:r>
        <w:rPr>
          <w:color w:val="auto"/>
          <w:highlight w:val="none"/>
        </w:rPr>
        <w:t>12</w:t>
      </w:r>
      <w:r>
        <w:rPr>
          <w:color w:val="auto"/>
          <w:highlight w:val="none"/>
        </w:rPr>
        <w:fldChar w:fldCharType="end"/>
      </w:r>
      <w:r>
        <w:rPr>
          <w:rFonts w:hint="eastAsia" w:ascii="仿宋" w:hAnsi="仿宋" w:eastAsia="仿宋" w:cs="仿宋"/>
          <w:color w:val="auto"/>
          <w:highlight w:val="none"/>
        </w:rPr>
        <w:fldChar w:fldCharType="end"/>
      </w:r>
    </w:p>
    <w:p w14:paraId="28FC3C78">
      <w:pPr>
        <w:pStyle w:val="31"/>
        <w:tabs>
          <w:tab w:val="right" w:leader="dot" w:pos="9354"/>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_Toc23874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lang w:val="en-US" w:eastAsia="zh-CN"/>
        </w:rPr>
        <w:t>七、</w:t>
      </w:r>
      <w:r>
        <w:rPr>
          <w:rFonts w:hint="eastAsia" w:ascii="仿宋" w:hAnsi="仿宋" w:eastAsia="仿宋" w:cs="仿宋"/>
          <w:color w:val="auto"/>
          <w:szCs w:val="24"/>
          <w:highlight w:val="none"/>
        </w:rPr>
        <w:t>定标及合同授予</w:t>
      </w:r>
      <w:r>
        <w:rPr>
          <w:color w:val="auto"/>
          <w:highlight w:val="none"/>
        </w:rPr>
        <w:tab/>
      </w:r>
      <w:r>
        <w:rPr>
          <w:color w:val="auto"/>
          <w:highlight w:val="none"/>
        </w:rPr>
        <w:fldChar w:fldCharType="begin"/>
      </w:r>
      <w:r>
        <w:rPr>
          <w:color w:val="auto"/>
          <w:highlight w:val="none"/>
        </w:rPr>
        <w:instrText xml:space="preserve"> PAGEREF _Toc23874 \h </w:instrText>
      </w:r>
      <w:r>
        <w:rPr>
          <w:color w:val="auto"/>
          <w:highlight w:val="none"/>
        </w:rPr>
        <w:fldChar w:fldCharType="separate"/>
      </w:r>
      <w:r>
        <w:rPr>
          <w:color w:val="auto"/>
          <w:highlight w:val="none"/>
        </w:rPr>
        <w:t>12</w:t>
      </w:r>
      <w:r>
        <w:rPr>
          <w:color w:val="auto"/>
          <w:highlight w:val="none"/>
        </w:rPr>
        <w:fldChar w:fldCharType="end"/>
      </w:r>
      <w:r>
        <w:rPr>
          <w:rFonts w:hint="eastAsia" w:ascii="仿宋" w:hAnsi="仿宋" w:eastAsia="仿宋" w:cs="仿宋"/>
          <w:color w:val="auto"/>
          <w:highlight w:val="none"/>
        </w:rPr>
        <w:fldChar w:fldCharType="end"/>
      </w:r>
    </w:p>
    <w:p w14:paraId="03B62C1C">
      <w:pPr>
        <w:pStyle w:val="31"/>
        <w:tabs>
          <w:tab w:val="right" w:leader="dot" w:pos="9354"/>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_Toc1183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八、纪律和监督</w:t>
      </w:r>
      <w:r>
        <w:rPr>
          <w:color w:val="auto"/>
          <w:highlight w:val="none"/>
        </w:rPr>
        <w:tab/>
      </w:r>
      <w:r>
        <w:rPr>
          <w:color w:val="auto"/>
          <w:highlight w:val="none"/>
        </w:rPr>
        <w:fldChar w:fldCharType="begin"/>
      </w:r>
      <w:r>
        <w:rPr>
          <w:color w:val="auto"/>
          <w:highlight w:val="none"/>
        </w:rPr>
        <w:instrText xml:space="preserve"> PAGEREF _Toc1183 \h </w:instrText>
      </w:r>
      <w:r>
        <w:rPr>
          <w:color w:val="auto"/>
          <w:highlight w:val="none"/>
        </w:rPr>
        <w:fldChar w:fldCharType="separate"/>
      </w:r>
      <w:r>
        <w:rPr>
          <w:color w:val="auto"/>
          <w:highlight w:val="none"/>
        </w:rPr>
        <w:t>13</w:t>
      </w:r>
      <w:r>
        <w:rPr>
          <w:color w:val="auto"/>
          <w:highlight w:val="none"/>
        </w:rPr>
        <w:fldChar w:fldCharType="end"/>
      </w:r>
      <w:r>
        <w:rPr>
          <w:rFonts w:hint="eastAsia" w:ascii="仿宋" w:hAnsi="仿宋" w:eastAsia="仿宋" w:cs="仿宋"/>
          <w:color w:val="auto"/>
          <w:highlight w:val="none"/>
        </w:rPr>
        <w:fldChar w:fldCharType="end"/>
      </w:r>
    </w:p>
    <w:p w14:paraId="75A160C0">
      <w:pPr>
        <w:pStyle w:val="25"/>
        <w:tabs>
          <w:tab w:val="right" w:leader="dot" w:pos="9354"/>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_Toc32050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第二章 评标办法</w:t>
      </w:r>
      <w:r>
        <w:rPr>
          <w:color w:val="auto"/>
          <w:highlight w:val="none"/>
        </w:rPr>
        <w:tab/>
      </w:r>
      <w:r>
        <w:rPr>
          <w:color w:val="auto"/>
          <w:highlight w:val="none"/>
        </w:rPr>
        <w:fldChar w:fldCharType="begin"/>
      </w:r>
      <w:r>
        <w:rPr>
          <w:color w:val="auto"/>
          <w:highlight w:val="none"/>
        </w:rPr>
        <w:instrText xml:space="preserve"> PAGEREF _Toc32050 \h </w:instrText>
      </w:r>
      <w:r>
        <w:rPr>
          <w:color w:val="auto"/>
          <w:highlight w:val="none"/>
        </w:rPr>
        <w:fldChar w:fldCharType="separate"/>
      </w:r>
      <w:r>
        <w:rPr>
          <w:color w:val="auto"/>
          <w:highlight w:val="none"/>
        </w:rPr>
        <w:t>15</w:t>
      </w:r>
      <w:r>
        <w:rPr>
          <w:color w:val="auto"/>
          <w:highlight w:val="none"/>
        </w:rPr>
        <w:fldChar w:fldCharType="end"/>
      </w:r>
      <w:r>
        <w:rPr>
          <w:rFonts w:hint="eastAsia" w:ascii="仿宋" w:hAnsi="仿宋" w:eastAsia="仿宋" w:cs="仿宋"/>
          <w:color w:val="auto"/>
          <w:highlight w:val="none"/>
        </w:rPr>
        <w:fldChar w:fldCharType="end"/>
      </w:r>
    </w:p>
    <w:p w14:paraId="62DEC7B4">
      <w:pPr>
        <w:pStyle w:val="31"/>
        <w:tabs>
          <w:tab w:val="right" w:leader="dot" w:pos="9354"/>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_Toc27880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评审办法前附表</w:t>
      </w:r>
      <w:r>
        <w:rPr>
          <w:color w:val="auto"/>
          <w:highlight w:val="none"/>
        </w:rPr>
        <w:tab/>
      </w:r>
      <w:r>
        <w:rPr>
          <w:color w:val="auto"/>
          <w:highlight w:val="none"/>
        </w:rPr>
        <w:fldChar w:fldCharType="begin"/>
      </w:r>
      <w:r>
        <w:rPr>
          <w:color w:val="auto"/>
          <w:highlight w:val="none"/>
        </w:rPr>
        <w:instrText xml:space="preserve"> PAGEREF _Toc27880 \h </w:instrText>
      </w:r>
      <w:r>
        <w:rPr>
          <w:color w:val="auto"/>
          <w:highlight w:val="none"/>
        </w:rPr>
        <w:fldChar w:fldCharType="separate"/>
      </w:r>
      <w:r>
        <w:rPr>
          <w:color w:val="auto"/>
          <w:highlight w:val="none"/>
        </w:rPr>
        <w:t>15</w:t>
      </w:r>
      <w:r>
        <w:rPr>
          <w:color w:val="auto"/>
          <w:highlight w:val="none"/>
        </w:rPr>
        <w:fldChar w:fldCharType="end"/>
      </w:r>
      <w:r>
        <w:rPr>
          <w:rFonts w:hint="eastAsia" w:ascii="仿宋" w:hAnsi="仿宋" w:eastAsia="仿宋" w:cs="仿宋"/>
          <w:color w:val="auto"/>
          <w:highlight w:val="none"/>
        </w:rPr>
        <w:fldChar w:fldCharType="end"/>
      </w:r>
    </w:p>
    <w:p w14:paraId="428D533E">
      <w:pPr>
        <w:pStyle w:val="31"/>
        <w:tabs>
          <w:tab w:val="right" w:leader="dot" w:pos="9354"/>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_Toc24870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lang w:val="en-US" w:eastAsia="zh-CN"/>
        </w:rPr>
        <w:t>一、</w:t>
      </w:r>
      <w:r>
        <w:rPr>
          <w:rFonts w:hint="eastAsia" w:ascii="仿宋" w:hAnsi="仿宋" w:eastAsia="仿宋" w:cs="仿宋"/>
          <w:color w:val="auto"/>
          <w:szCs w:val="24"/>
          <w:highlight w:val="none"/>
        </w:rPr>
        <w:t>评标方法</w:t>
      </w:r>
      <w:r>
        <w:rPr>
          <w:color w:val="auto"/>
          <w:highlight w:val="none"/>
        </w:rPr>
        <w:tab/>
      </w:r>
      <w:r>
        <w:rPr>
          <w:color w:val="auto"/>
          <w:highlight w:val="none"/>
        </w:rPr>
        <w:fldChar w:fldCharType="begin"/>
      </w:r>
      <w:r>
        <w:rPr>
          <w:color w:val="auto"/>
          <w:highlight w:val="none"/>
        </w:rPr>
        <w:instrText xml:space="preserve"> PAGEREF _Toc24870 \h </w:instrText>
      </w:r>
      <w:r>
        <w:rPr>
          <w:color w:val="auto"/>
          <w:highlight w:val="none"/>
        </w:rPr>
        <w:fldChar w:fldCharType="separate"/>
      </w:r>
      <w:r>
        <w:rPr>
          <w:color w:val="auto"/>
          <w:highlight w:val="none"/>
        </w:rPr>
        <w:t>18</w:t>
      </w:r>
      <w:r>
        <w:rPr>
          <w:color w:val="auto"/>
          <w:highlight w:val="none"/>
        </w:rPr>
        <w:fldChar w:fldCharType="end"/>
      </w:r>
      <w:r>
        <w:rPr>
          <w:rFonts w:hint="eastAsia" w:ascii="仿宋" w:hAnsi="仿宋" w:eastAsia="仿宋" w:cs="仿宋"/>
          <w:color w:val="auto"/>
          <w:highlight w:val="none"/>
        </w:rPr>
        <w:fldChar w:fldCharType="end"/>
      </w:r>
    </w:p>
    <w:p w14:paraId="71011C85">
      <w:pPr>
        <w:pStyle w:val="31"/>
        <w:tabs>
          <w:tab w:val="right" w:leader="dot" w:pos="9354"/>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_Toc2878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lang w:val="en-US" w:eastAsia="zh-CN"/>
        </w:rPr>
        <w:t>二、</w:t>
      </w:r>
      <w:r>
        <w:rPr>
          <w:rFonts w:hint="eastAsia" w:ascii="仿宋" w:hAnsi="仿宋" w:eastAsia="仿宋" w:cs="仿宋"/>
          <w:color w:val="auto"/>
          <w:szCs w:val="24"/>
          <w:highlight w:val="none"/>
        </w:rPr>
        <w:t>评审标准</w:t>
      </w:r>
      <w:r>
        <w:rPr>
          <w:color w:val="auto"/>
          <w:highlight w:val="none"/>
        </w:rPr>
        <w:tab/>
      </w:r>
      <w:r>
        <w:rPr>
          <w:color w:val="auto"/>
          <w:highlight w:val="none"/>
        </w:rPr>
        <w:fldChar w:fldCharType="begin"/>
      </w:r>
      <w:r>
        <w:rPr>
          <w:color w:val="auto"/>
          <w:highlight w:val="none"/>
        </w:rPr>
        <w:instrText xml:space="preserve"> PAGEREF _Toc2878 \h </w:instrText>
      </w:r>
      <w:r>
        <w:rPr>
          <w:color w:val="auto"/>
          <w:highlight w:val="none"/>
        </w:rPr>
        <w:fldChar w:fldCharType="separate"/>
      </w:r>
      <w:r>
        <w:rPr>
          <w:color w:val="auto"/>
          <w:highlight w:val="none"/>
        </w:rPr>
        <w:t>18</w:t>
      </w:r>
      <w:r>
        <w:rPr>
          <w:color w:val="auto"/>
          <w:highlight w:val="none"/>
        </w:rPr>
        <w:fldChar w:fldCharType="end"/>
      </w:r>
      <w:r>
        <w:rPr>
          <w:rFonts w:hint="eastAsia" w:ascii="仿宋" w:hAnsi="仿宋" w:eastAsia="仿宋" w:cs="仿宋"/>
          <w:color w:val="auto"/>
          <w:highlight w:val="none"/>
        </w:rPr>
        <w:fldChar w:fldCharType="end"/>
      </w:r>
    </w:p>
    <w:p w14:paraId="529DD12A">
      <w:pPr>
        <w:pStyle w:val="31"/>
        <w:tabs>
          <w:tab w:val="right" w:leader="dot" w:pos="9354"/>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_Toc17839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lang w:val="en-US" w:eastAsia="zh-CN"/>
        </w:rPr>
        <w:t>三、</w:t>
      </w:r>
      <w:r>
        <w:rPr>
          <w:rFonts w:hint="eastAsia" w:ascii="仿宋" w:hAnsi="仿宋" w:eastAsia="仿宋" w:cs="仿宋"/>
          <w:color w:val="auto"/>
          <w:szCs w:val="24"/>
          <w:highlight w:val="none"/>
        </w:rPr>
        <w:t>评标程序</w:t>
      </w:r>
      <w:r>
        <w:rPr>
          <w:color w:val="auto"/>
          <w:highlight w:val="none"/>
        </w:rPr>
        <w:tab/>
      </w:r>
      <w:r>
        <w:rPr>
          <w:color w:val="auto"/>
          <w:highlight w:val="none"/>
        </w:rPr>
        <w:fldChar w:fldCharType="begin"/>
      </w:r>
      <w:r>
        <w:rPr>
          <w:color w:val="auto"/>
          <w:highlight w:val="none"/>
        </w:rPr>
        <w:instrText xml:space="preserve"> PAGEREF _Toc17839 \h </w:instrText>
      </w:r>
      <w:r>
        <w:rPr>
          <w:color w:val="auto"/>
          <w:highlight w:val="none"/>
        </w:rPr>
        <w:fldChar w:fldCharType="separate"/>
      </w:r>
      <w:r>
        <w:rPr>
          <w:color w:val="auto"/>
          <w:highlight w:val="none"/>
        </w:rPr>
        <w:t>18</w:t>
      </w:r>
      <w:r>
        <w:rPr>
          <w:color w:val="auto"/>
          <w:highlight w:val="none"/>
        </w:rPr>
        <w:fldChar w:fldCharType="end"/>
      </w:r>
      <w:r>
        <w:rPr>
          <w:rFonts w:hint="eastAsia" w:ascii="仿宋" w:hAnsi="仿宋" w:eastAsia="仿宋" w:cs="仿宋"/>
          <w:color w:val="auto"/>
          <w:highlight w:val="none"/>
        </w:rPr>
        <w:fldChar w:fldCharType="end"/>
      </w:r>
    </w:p>
    <w:p w14:paraId="223E70AE">
      <w:pPr>
        <w:pStyle w:val="25"/>
        <w:tabs>
          <w:tab w:val="right" w:leader="dot" w:pos="9354"/>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_Toc17563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第三章 合同</w:t>
      </w:r>
      <w:r>
        <w:rPr>
          <w:rFonts w:hint="eastAsia" w:ascii="仿宋" w:hAnsi="仿宋" w:eastAsia="仿宋" w:cs="仿宋"/>
          <w:color w:val="auto"/>
          <w:szCs w:val="24"/>
          <w:highlight w:val="none"/>
          <w:lang w:val="en-US" w:eastAsia="zh-CN"/>
        </w:rPr>
        <w:t>文本</w:t>
      </w:r>
      <w:r>
        <w:rPr>
          <w:color w:val="auto"/>
          <w:highlight w:val="none"/>
        </w:rPr>
        <w:tab/>
      </w:r>
      <w:r>
        <w:rPr>
          <w:color w:val="auto"/>
          <w:highlight w:val="none"/>
        </w:rPr>
        <w:fldChar w:fldCharType="begin"/>
      </w:r>
      <w:r>
        <w:rPr>
          <w:color w:val="auto"/>
          <w:highlight w:val="none"/>
        </w:rPr>
        <w:instrText xml:space="preserve"> PAGEREF _Toc17563 \h </w:instrText>
      </w:r>
      <w:r>
        <w:rPr>
          <w:color w:val="auto"/>
          <w:highlight w:val="none"/>
        </w:rPr>
        <w:fldChar w:fldCharType="separate"/>
      </w:r>
      <w:r>
        <w:rPr>
          <w:color w:val="auto"/>
          <w:highlight w:val="none"/>
        </w:rPr>
        <w:t>23</w:t>
      </w:r>
      <w:r>
        <w:rPr>
          <w:color w:val="auto"/>
          <w:highlight w:val="none"/>
        </w:rPr>
        <w:fldChar w:fldCharType="end"/>
      </w:r>
      <w:r>
        <w:rPr>
          <w:rFonts w:hint="eastAsia" w:ascii="仿宋" w:hAnsi="仿宋" w:eastAsia="仿宋" w:cs="仿宋"/>
          <w:color w:val="auto"/>
          <w:highlight w:val="none"/>
        </w:rPr>
        <w:fldChar w:fldCharType="end"/>
      </w:r>
    </w:p>
    <w:p w14:paraId="384C033C">
      <w:pPr>
        <w:pStyle w:val="25"/>
        <w:tabs>
          <w:tab w:val="right" w:leader="dot" w:pos="9354"/>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_Toc29646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 xml:space="preserve">第四章 </w:t>
      </w:r>
      <w:r>
        <w:rPr>
          <w:rFonts w:hint="eastAsia" w:ascii="仿宋" w:hAnsi="仿宋" w:eastAsia="仿宋" w:cs="仿宋"/>
          <w:color w:val="auto"/>
          <w:szCs w:val="24"/>
          <w:highlight w:val="none"/>
          <w:lang w:eastAsia="zh-CN"/>
        </w:rPr>
        <w:t>服务标准和要求</w:t>
      </w:r>
      <w:r>
        <w:rPr>
          <w:color w:val="auto"/>
          <w:highlight w:val="none"/>
        </w:rPr>
        <w:tab/>
      </w:r>
      <w:r>
        <w:rPr>
          <w:color w:val="auto"/>
          <w:highlight w:val="none"/>
        </w:rPr>
        <w:fldChar w:fldCharType="begin"/>
      </w:r>
      <w:r>
        <w:rPr>
          <w:color w:val="auto"/>
          <w:highlight w:val="none"/>
        </w:rPr>
        <w:instrText xml:space="preserve"> PAGEREF _Toc29646 \h </w:instrText>
      </w:r>
      <w:r>
        <w:rPr>
          <w:color w:val="auto"/>
          <w:highlight w:val="none"/>
        </w:rPr>
        <w:fldChar w:fldCharType="separate"/>
      </w:r>
      <w:r>
        <w:rPr>
          <w:color w:val="auto"/>
          <w:highlight w:val="none"/>
        </w:rPr>
        <w:t>27</w:t>
      </w:r>
      <w:r>
        <w:rPr>
          <w:color w:val="auto"/>
          <w:highlight w:val="none"/>
        </w:rPr>
        <w:fldChar w:fldCharType="end"/>
      </w:r>
      <w:r>
        <w:rPr>
          <w:rFonts w:hint="eastAsia" w:ascii="仿宋" w:hAnsi="仿宋" w:eastAsia="仿宋" w:cs="仿宋"/>
          <w:color w:val="auto"/>
          <w:highlight w:val="none"/>
        </w:rPr>
        <w:fldChar w:fldCharType="end"/>
      </w:r>
    </w:p>
    <w:p w14:paraId="02A2C186">
      <w:pPr>
        <w:pStyle w:val="25"/>
        <w:tabs>
          <w:tab w:val="right" w:leader="dot" w:pos="9354"/>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_Toc24189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第五章 投标文件格式</w:t>
      </w:r>
      <w:r>
        <w:rPr>
          <w:color w:val="auto"/>
          <w:highlight w:val="none"/>
        </w:rPr>
        <w:tab/>
      </w:r>
      <w:r>
        <w:rPr>
          <w:color w:val="auto"/>
          <w:highlight w:val="none"/>
        </w:rPr>
        <w:fldChar w:fldCharType="begin"/>
      </w:r>
      <w:r>
        <w:rPr>
          <w:color w:val="auto"/>
          <w:highlight w:val="none"/>
        </w:rPr>
        <w:instrText xml:space="preserve"> PAGEREF _Toc24189 \h </w:instrText>
      </w:r>
      <w:r>
        <w:rPr>
          <w:color w:val="auto"/>
          <w:highlight w:val="none"/>
        </w:rPr>
        <w:fldChar w:fldCharType="separate"/>
      </w:r>
      <w:r>
        <w:rPr>
          <w:color w:val="auto"/>
          <w:highlight w:val="none"/>
        </w:rPr>
        <w:t>39</w:t>
      </w:r>
      <w:r>
        <w:rPr>
          <w:color w:val="auto"/>
          <w:highlight w:val="none"/>
        </w:rPr>
        <w:fldChar w:fldCharType="end"/>
      </w:r>
      <w:r>
        <w:rPr>
          <w:rFonts w:hint="eastAsia" w:ascii="仿宋" w:hAnsi="仿宋" w:eastAsia="仿宋" w:cs="仿宋"/>
          <w:color w:val="auto"/>
          <w:highlight w:val="none"/>
        </w:rPr>
        <w:fldChar w:fldCharType="end"/>
      </w:r>
    </w:p>
    <w:p w14:paraId="27CD8328">
      <w:pPr>
        <w:pStyle w:val="31"/>
        <w:tabs>
          <w:tab w:val="right" w:leader="dot" w:pos="9354"/>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_Toc19270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lang w:val="en-US" w:eastAsia="zh-CN"/>
        </w:rPr>
        <w:t>一、</w:t>
      </w:r>
      <w:r>
        <w:rPr>
          <w:rFonts w:hint="eastAsia" w:ascii="仿宋" w:hAnsi="仿宋" w:eastAsia="仿宋" w:cs="仿宋"/>
          <w:color w:val="auto"/>
          <w:szCs w:val="24"/>
          <w:highlight w:val="none"/>
        </w:rPr>
        <w:t>开标一览表</w:t>
      </w:r>
      <w:r>
        <w:rPr>
          <w:color w:val="auto"/>
          <w:highlight w:val="none"/>
        </w:rPr>
        <w:tab/>
      </w:r>
      <w:r>
        <w:rPr>
          <w:color w:val="auto"/>
          <w:highlight w:val="none"/>
        </w:rPr>
        <w:fldChar w:fldCharType="begin"/>
      </w:r>
      <w:r>
        <w:rPr>
          <w:color w:val="auto"/>
          <w:highlight w:val="none"/>
        </w:rPr>
        <w:instrText xml:space="preserve"> PAGEREF _Toc19270 \h </w:instrText>
      </w:r>
      <w:r>
        <w:rPr>
          <w:color w:val="auto"/>
          <w:highlight w:val="none"/>
        </w:rPr>
        <w:fldChar w:fldCharType="separate"/>
      </w:r>
      <w:r>
        <w:rPr>
          <w:color w:val="auto"/>
          <w:highlight w:val="none"/>
        </w:rPr>
        <w:t>41</w:t>
      </w:r>
      <w:r>
        <w:rPr>
          <w:color w:val="auto"/>
          <w:highlight w:val="none"/>
        </w:rPr>
        <w:fldChar w:fldCharType="end"/>
      </w:r>
      <w:r>
        <w:rPr>
          <w:rFonts w:hint="eastAsia" w:ascii="仿宋" w:hAnsi="仿宋" w:eastAsia="仿宋" w:cs="仿宋"/>
          <w:color w:val="auto"/>
          <w:highlight w:val="none"/>
        </w:rPr>
        <w:fldChar w:fldCharType="end"/>
      </w:r>
    </w:p>
    <w:p w14:paraId="01F2130D">
      <w:pPr>
        <w:pStyle w:val="31"/>
        <w:tabs>
          <w:tab w:val="right" w:leader="dot" w:pos="9354"/>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_Toc19533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二、投标函</w:t>
      </w:r>
      <w:r>
        <w:rPr>
          <w:color w:val="auto"/>
          <w:highlight w:val="none"/>
        </w:rPr>
        <w:tab/>
      </w:r>
      <w:r>
        <w:rPr>
          <w:color w:val="auto"/>
          <w:highlight w:val="none"/>
        </w:rPr>
        <w:fldChar w:fldCharType="begin"/>
      </w:r>
      <w:r>
        <w:rPr>
          <w:color w:val="auto"/>
          <w:highlight w:val="none"/>
        </w:rPr>
        <w:instrText xml:space="preserve"> PAGEREF _Toc19533 \h </w:instrText>
      </w:r>
      <w:r>
        <w:rPr>
          <w:color w:val="auto"/>
          <w:highlight w:val="none"/>
        </w:rPr>
        <w:fldChar w:fldCharType="separate"/>
      </w:r>
      <w:r>
        <w:rPr>
          <w:color w:val="auto"/>
          <w:highlight w:val="none"/>
        </w:rPr>
        <w:t>42</w:t>
      </w:r>
      <w:r>
        <w:rPr>
          <w:color w:val="auto"/>
          <w:highlight w:val="none"/>
        </w:rPr>
        <w:fldChar w:fldCharType="end"/>
      </w:r>
      <w:r>
        <w:rPr>
          <w:rFonts w:hint="eastAsia" w:ascii="仿宋" w:hAnsi="仿宋" w:eastAsia="仿宋" w:cs="仿宋"/>
          <w:color w:val="auto"/>
          <w:highlight w:val="none"/>
        </w:rPr>
        <w:fldChar w:fldCharType="end"/>
      </w:r>
    </w:p>
    <w:p w14:paraId="6D27216D">
      <w:pPr>
        <w:pStyle w:val="31"/>
        <w:tabs>
          <w:tab w:val="right" w:leader="dot" w:pos="9354"/>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_Toc4096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lang w:val="en-US" w:eastAsia="zh-CN"/>
        </w:rPr>
        <w:t>三</w:t>
      </w:r>
      <w:r>
        <w:rPr>
          <w:rFonts w:hint="eastAsia" w:ascii="仿宋" w:hAnsi="仿宋" w:eastAsia="仿宋" w:cs="仿宋"/>
          <w:color w:val="auto"/>
          <w:szCs w:val="24"/>
          <w:highlight w:val="none"/>
        </w:rPr>
        <w:t>、投标价格明细表</w:t>
      </w:r>
      <w:r>
        <w:rPr>
          <w:color w:val="auto"/>
          <w:highlight w:val="none"/>
        </w:rPr>
        <w:tab/>
      </w:r>
      <w:r>
        <w:rPr>
          <w:color w:val="auto"/>
          <w:highlight w:val="none"/>
        </w:rPr>
        <w:fldChar w:fldCharType="begin"/>
      </w:r>
      <w:r>
        <w:rPr>
          <w:color w:val="auto"/>
          <w:highlight w:val="none"/>
        </w:rPr>
        <w:instrText xml:space="preserve"> PAGEREF _Toc4096 \h </w:instrText>
      </w:r>
      <w:r>
        <w:rPr>
          <w:color w:val="auto"/>
          <w:highlight w:val="none"/>
        </w:rPr>
        <w:fldChar w:fldCharType="separate"/>
      </w:r>
      <w:r>
        <w:rPr>
          <w:color w:val="auto"/>
          <w:highlight w:val="none"/>
        </w:rPr>
        <w:t>43</w:t>
      </w:r>
      <w:r>
        <w:rPr>
          <w:color w:val="auto"/>
          <w:highlight w:val="none"/>
        </w:rPr>
        <w:fldChar w:fldCharType="end"/>
      </w:r>
      <w:r>
        <w:rPr>
          <w:rFonts w:hint="eastAsia" w:ascii="仿宋" w:hAnsi="仿宋" w:eastAsia="仿宋" w:cs="仿宋"/>
          <w:color w:val="auto"/>
          <w:highlight w:val="none"/>
        </w:rPr>
        <w:fldChar w:fldCharType="end"/>
      </w:r>
    </w:p>
    <w:p w14:paraId="42948010">
      <w:pPr>
        <w:pStyle w:val="31"/>
        <w:tabs>
          <w:tab w:val="right" w:leader="dot" w:pos="9354"/>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_Toc22973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lang w:val="en-US" w:eastAsia="zh-CN"/>
        </w:rPr>
        <w:t>四</w:t>
      </w:r>
      <w:r>
        <w:rPr>
          <w:rFonts w:hint="eastAsia" w:ascii="仿宋" w:hAnsi="仿宋" w:eastAsia="仿宋" w:cs="仿宋"/>
          <w:color w:val="auto"/>
          <w:szCs w:val="24"/>
          <w:highlight w:val="none"/>
        </w:rPr>
        <w:t>、商务条款偏离表</w:t>
      </w:r>
      <w:r>
        <w:rPr>
          <w:color w:val="auto"/>
          <w:highlight w:val="none"/>
        </w:rPr>
        <w:tab/>
      </w:r>
      <w:r>
        <w:rPr>
          <w:color w:val="auto"/>
          <w:highlight w:val="none"/>
        </w:rPr>
        <w:fldChar w:fldCharType="begin"/>
      </w:r>
      <w:r>
        <w:rPr>
          <w:color w:val="auto"/>
          <w:highlight w:val="none"/>
        </w:rPr>
        <w:instrText xml:space="preserve"> PAGEREF _Toc22973 \h </w:instrText>
      </w:r>
      <w:r>
        <w:rPr>
          <w:color w:val="auto"/>
          <w:highlight w:val="none"/>
        </w:rPr>
        <w:fldChar w:fldCharType="separate"/>
      </w:r>
      <w:r>
        <w:rPr>
          <w:color w:val="auto"/>
          <w:highlight w:val="none"/>
        </w:rPr>
        <w:t>44</w:t>
      </w:r>
      <w:r>
        <w:rPr>
          <w:color w:val="auto"/>
          <w:highlight w:val="none"/>
        </w:rPr>
        <w:fldChar w:fldCharType="end"/>
      </w:r>
      <w:r>
        <w:rPr>
          <w:rFonts w:hint="eastAsia" w:ascii="仿宋" w:hAnsi="仿宋" w:eastAsia="仿宋" w:cs="仿宋"/>
          <w:color w:val="auto"/>
          <w:highlight w:val="none"/>
        </w:rPr>
        <w:fldChar w:fldCharType="end"/>
      </w:r>
    </w:p>
    <w:p w14:paraId="4AAB64D2">
      <w:pPr>
        <w:pStyle w:val="31"/>
        <w:tabs>
          <w:tab w:val="right" w:leader="dot" w:pos="9354"/>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_Toc17012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lang w:val="en-US" w:eastAsia="zh-CN"/>
        </w:rPr>
        <w:t>五</w:t>
      </w:r>
      <w:r>
        <w:rPr>
          <w:rFonts w:hint="eastAsia" w:ascii="仿宋" w:hAnsi="仿宋" w:eastAsia="仿宋" w:cs="仿宋"/>
          <w:color w:val="auto"/>
          <w:szCs w:val="24"/>
          <w:highlight w:val="none"/>
        </w:rPr>
        <w:t>、技术条款偏离表</w:t>
      </w:r>
      <w:r>
        <w:rPr>
          <w:color w:val="auto"/>
          <w:highlight w:val="none"/>
        </w:rPr>
        <w:tab/>
      </w:r>
      <w:r>
        <w:rPr>
          <w:color w:val="auto"/>
          <w:highlight w:val="none"/>
        </w:rPr>
        <w:fldChar w:fldCharType="begin"/>
      </w:r>
      <w:r>
        <w:rPr>
          <w:color w:val="auto"/>
          <w:highlight w:val="none"/>
        </w:rPr>
        <w:instrText xml:space="preserve"> PAGEREF _Toc17012 \h </w:instrText>
      </w:r>
      <w:r>
        <w:rPr>
          <w:color w:val="auto"/>
          <w:highlight w:val="none"/>
        </w:rPr>
        <w:fldChar w:fldCharType="separate"/>
      </w:r>
      <w:r>
        <w:rPr>
          <w:color w:val="auto"/>
          <w:highlight w:val="none"/>
        </w:rPr>
        <w:t>45</w:t>
      </w:r>
      <w:r>
        <w:rPr>
          <w:color w:val="auto"/>
          <w:highlight w:val="none"/>
        </w:rPr>
        <w:fldChar w:fldCharType="end"/>
      </w:r>
      <w:r>
        <w:rPr>
          <w:rFonts w:hint="eastAsia" w:ascii="仿宋" w:hAnsi="仿宋" w:eastAsia="仿宋" w:cs="仿宋"/>
          <w:color w:val="auto"/>
          <w:highlight w:val="none"/>
        </w:rPr>
        <w:fldChar w:fldCharType="end"/>
      </w:r>
    </w:p>
    <w:p w14:paraId="394D3F05">
      <w:pPr>
        <w:pStyle w:val="31"/>
        <w:tabs>
          <w:tab w:val="right" w:leader="dot" w:pos="9354"/>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_Toc26938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lang w:val="en-US" w:eastAsia="zh-CN"/>
        </w:rPr>
        <w:t>六</w:t>
      </w:r>
      <w:r>
        <w:rPr>
          <w:rFonts w:hint="eastAsia" w:ascii="仿宋" w:hAnsi="仿宋" w:eastAsia="仿宋" w:cs="仿宋"/>
          <w:color w:val="auto"/>
          <w:szCs w:val="24"/>
          <w:highlight w:val="none"/>
        </w:rPr>
        <w:t>、法定代表人身份证明书</w:t>
      </w:r>
      <w:r>
        <w:rPr>
          <w:color w:val="auto"/>
          <w:highlight w:val="none"/>
        </w:rPr>
        <w:tab/>
      </w:r>
      <w:r>
        <w:rPr>
          <w:color w:val="auto"/>
          <w:highlight w:val="none"/>
        </w:rPr>
        <w:fldChar w:fldCharType="begin"/>
      </w:r>
      <w:r>
        <w:rPr>
          <w:color w:val="auto"/>
          <w:highlight w:val="none"/>
        </w:rPr>
        <w:instrText xml:space="preserve"> PAGEREF _Toc26938 \h </w:instrText>
      </w:r>
      <w:r>
        <w:rPr>
          <w:color w:val="auto"/>
          <w:highlight w:val="none"/>
        </w:rPr>
        <w:fldChar w:fldCharType="separate"/>
      </w:r>
      <w:r>
        <w:rPr>
          <w:color w:val="auto"/>
          <w:highlight w:val="none"/>
        </w:rPr>
        <w:t>46</w:t>
      </w:r>
      <w:r>
        <w:rPr>
          <w:color w:val="auto"/>
          <w:highlight w:val="none"/>
        </w:rPr>
        <w:fldChar w:fldCharType="end"/>
      </w:r>
      <w:r>
        <w:rPr>
          <w:rFonts w:hint="eastAsia" w:ascii="仿宋" w:hAnsi="仿宋" w:eastAsia="仿宋" w:cs="仿宋"/>
          <w:color w:val="auto"/>
          <w:highlight w:val="none"/>
        </w:rPr>
        <w:fldChar w:fldCharType="end"/>
      </w:r>
    </w:p>
    <w:p w14:paraId="25035A2F">
      <w:pPr>
        <w:pStyle w:val="31"/>
        <w:tabs>
          <w:tab w:val="right" w:leader="dot" w:pos="9354"/>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_Toc31259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lang w:val="en-US" w:eastAsia="zh-CN"/>
        </w:rPr>
        <w:t>七</w:t>
      </w:r>
      <w:r>
        <w:rPr>
          <w:rFonts w:hint="eastAsia" w:ascii="仿宋" w:hAnsi="仿宋" w:eastAsia="仿宋" w:cs="仿宋"/>
          <w:color w:val="auto"/>
          <w:szCs w:val="24"/>
          <w:highlight w:val="none"/>
        </w:rPr>
        <w:t>、法定代表人授权委托书</w:t>
      </w:r>
      <w:r>
        <w:rPr>
          <w:color w:val="auto"/>
          <w:highlight w:val="none"/>
        </w:rPr>
        <w:tab/>
      </w:r>
      <w:r>
        <w:rPr>
          <w:color w:val="auto"/>
          <w:highlight w:val="none"/>
        </w:rPr>
        <w:fldChar w:fldCharType="begin"/>
      </w:r>
      <w:r>
        <w:rPr>
          <w:color w:val="auto"/>
          <w:highlight w:val="none"/>
        </w:rPr>
        <w:instrText xml:space="preserve"> PAGEREF _Toc31259 \h </w:instrText>
      </w:r>
      <w:r>
        <w:rPr>
          <w:color w:val="auto"/>
          <w:highlight w:val="none"/>
        </w:rPr>
        <w:fldChar w:fldCharType="separate"/>
      </w:r>
      <w:r>
        <w:rPr>
          <w:color w:val="auto"/>
          <w:highlight w:val="none"/>
        </w:rPr>
        <w:t>47</w:t>
      </w:r>
      <w:r>
        <w:rPr>
          <w:color w:val="auto"/>
          <w:highlight w:val="none"/>
        </w:rPr>
        <w:fldChar w:fldCharType="end"/>
      </w:r>
      <w:r>
        <w:rPr>
          <w:rFonts w:hint="eastAsia" w:ascii="仿宋" w:hAnsi="仿宋" w:eastAsia="仿宋" w:cs="仿宋"/>
          <w:color w:val="auto"/>
          <w:highlight w:val="none"/>
        </w:rPr>
        <w:fldChar w:fldCharType="end"/>
      </w:r>
    </w:p>
    <w:p w14:paraId="0881240C">
      <w:pPr>
        <w:pStyle w:val="31"/>
        <w:tabs>
          <w:tab w:val="right" w:leader="dot" w:pos="9354"/>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_Toc10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lang w:val="en-US" w:eastAsia="zh-CN"/>
        </w:rPr>
        <w:t>八</w:t>
      </w:r>
      <w:r>
        <w:rPr>
          <w:rFonts w:hint="eastAsia" w:ascii="仿宋" w:hAnsi="仿宋" w:eastAsia="仿宋" w:cs="仿宋"/>
          <w:color w:val="auto"/>
          <w:szCs w:val="24"/>
          <w:highlight w:val="none"/>
        </w:rPr>
        <w:t>、</w:t>
      </w:r>
      <w:r>
        <w:rPr>
          <w:rFonts w:hint="eastAsia" w:ascii="仿宋" w:hAnsi="仿宋" w:eastAsia="仿宋" w:cs="仿宋"/>
          <w:bCs/>
          <w:color w:val="auto"/>
          <w:szCs w:val="24"/>
          <w:highlight w:val="none"/>
        </w:rPr>
        <w:t>投标人资格条件证明材料</w:t>
      </w:r>
      <w:r>
        <w:rPr>
          <w:color w:val="auto"/>
          <w:highlight w:val="none"/>
        </w:rPr>
        <w:tab/>
      </w:r>
      <w:r>
        <w:rPr>
          <w:color w:val="auto"/>
          <w:highlight w:val="none"/>
        </w:rPr>
        <w:fldChar w:fldCharType="begin"/>
      </w:r>
      <w:r>
        <w:rPr>
          <w:color w:val="auto"/>
          <w:highlight w:val="none"/>
        </w:rPr>
        <w:instrText xml:space="preserve"> PAGEREF _Toc10 \h </w:instrText>
      </w:r>
      <w:r>
        <w:rPr>
          <w:color w:val="auto"/>
          <w:highlight w:val="none"/>
        </w:rPr>
        <w:fldChar w:fldCharType="separate"/>
      </w:r>
      <w:r>
        <w:rPr>
          <w:color w:val="auto"/>
          <w:highlight w:val="none"/>
        </w:rPr>
        <w:t>48</w:t>
      </w:r>
      <w:r>
        <w:rPr>
          <w:color w:val="auto"/>
          <w:highlight w:val="none"/>
        </w:rPr>
        <w:fldChar w:fldCharType="end"/>
      </w:r>
      <w:r>
        <w:rPr>
          <w:rFonts w:hint="eastAsia" w:ascii="仿宋" w:hAnsi="仿宋" w:eastAsia="仿宋" w:cs="仿宋"/>
          <w:color w:val="auto"/>
          <w:highlight w:val="none"/>
        </w:rPr>
        <w:fldChar w:fldCharType="end"/>
      </w:r>
    </w:p>
    <w:p w14:paraId="7BD8178D">
      <w:pPr>
        <w:pStyle w:val="31"/>
        <w:tabs>
          <w:tab w:val="right" w:leader="dot" w:pos="9354"/>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_Toc21469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lang w:val="en-US" w:eastAsia="zh-CN"/>
        </w:rPr>
        <w:t>九</w:t>
      </w:r>
      <w:r>
        <w:rPr>
          <w:rFonts w:hint="eastAsia" w:ascii="仿宋" w:hAnsi="仿宋" w:eastAsia="仿宋" w:cs="仿宋"/>
          <w:color w:val="auto"/>
          <w:szCs w:val="24"/>
          <w:highlight w:val="none"/>
        </w:rPr>
        <w:t>、投标人近年类似项目情况表</w:t>
      </w:r>
      <w:r>
        <w:rPr>
          <w:color w:val="auto"/>
          <w:highlight w:val="none"/>
        </w:rPr>
        <w:tab/>
      </w:r>
      <w:r>
        <w:rPr>
          <w:color w:val="auto"/>
          <w:highlight w:val="none"/>
        </w:rPr>
        <w:fldChar w:fldCharType="begin"/>
      </w:r>
      <w:r>
        <w:rPr>
          <w:color w:val="auto"/>
          <w:highlight w:val="none"/>
        </w:rPr>
        <w:instrText xml:space="preserve"> PAGEREF _Toc21469 \h </w:instrText>
      </w:r>
      <w:r>
        <w:rPr>
          <w:color w:val="auto"/>
          <w:highlight w:val="none"/>
        </w:rPr>
        <w:fldChar w:fldCharType="separate"/>
      </w:r>
      <w:r>
        <w:rPr>
          <w:color w:val="auto"/>
          <w:highlight w:val="none"/>
        </w:rPr>
        <w:t>56</w:t>
      </w:r>
      <w:r>
        <w:rPr>
          <w:color w:val="auto"/>
          <w:highlight w:val="none"/>
        </w:rPr>
        <w:fldChar w:fldCharType="end"/>
      </w:r>
      <w:r>
        <w:rPr>
          <w:rFonts w:hint="eastAsia" w:ascii="仿宋" w:hAnsi="仿宋" w:eastAsia="仿宋" w:cs="仿宋"/>
          <w:color w:val="auto"/>
          <w:highlight w:val="none"/>
        </w:rPr>
        <w:fldChar w:fldCharType="end"/>
      </w:r>
    </w:p>
    <w:p w14:paraId="4B741210">
      <w:pPr>
        <w:pStyle w:val="31"/>
        <w:tabs>
          <w:tab w:val="right" w:leader="dot" w:pos="9354"/>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_Toc30216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shd w:val="clear" w:color="auto" w:fill="FFFFFF" w:themeFill="background1"/>
          <w:lang w:val="en-US" w:eastAsia="zh-CN"/>
        </w:rPr>
        <w:t>十、</w:t>
      </w:r>
      <w:r>
        <w:rPr>
          <w:rFonts w:hint="eastAsia" w:ascii="仿宋" w:hAnsi="仿宋" w:eastAsia="仿宋" w:cs="仿宋"/>
          <w:bCs/>
          <w:color w:val="auto"/>
          <w:szCs w:val="24"/>
          <w:highlight w:val="none"/>
          <w:shd w:val="clear" w:color="auto" w:fill="FFFFFF" w:themeFill="background1"/>
        </w:rPr>
        <w:t>项目负责人简历表</w:t>
      </w:r>
      <w:r>
        <w:rPr>
          <w:color w:val="auto"/>
          <w:highlight w:val="none"/>
        </w:rPr>
        <w:tab/>
      </w:r>
      <w:r>
        <w:rPr>
          <w:color w:val="auto"/>
          <w:highlight w:val="none"/>
        </w:rPr>
        <w:fldChar w:fldCharType="begin"/>
      </w:r>
      <w:r>
        <w:rPr>
          <w:color w:val="auto"/>
          <w:highlight w:val="none"/>
        </w:rPr>
        <w:instrText xml:space="preserve"> PAGEREF _Toc30216 \h </w:instrText>
      </w:r>
      <w:r>
        <w:rPr>
          <w:color w:val="auto"/>
          <w:highlight w:val="none"/>
        </w:rPr>
        <w:fldChar w:fldCharType="separate"/>
      </w:r>
      <w:r>
        <w:rPr>
          <w:color w:val="auto"/>
          <w:highlight w:val="none"/>
        </w:rPr>
        <w:t>57</w:t>
      </w:r>
      <w:r>
        <w:rPr>
          <w:color w:val="auto"/>
          <w:highlight w:val="none"/>
        </w:rPr>
        <w:fldChar w:fldCharType="end"/>
      </w:r>
      <w:r>
        <w:rPr>
          <w:rFonts w:hint="eastAsia" w:ascii="仿宋" w:hAnsi="仿宋" w:eastAsia="仿宋" w:cs="仿宋"/>
          <w:color w:val="auto"/>
          <w:highlight w:val="none"/>
        </w:rPr>
        <w:fldChar w:fldCharType="end"/>
      </w:r>
    </w:p>
    <w:p w14:paraId="56D25C75">
      <w:pPr>
        <w:pStyle w:val="31"/>
        <w:tabs>
          <w:tab w:val="right" w:leader="dot" w:pos="9354"/>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_Toc13126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shd w:val="clear" w:color="auto" w:fill="FFFFFF" w:themeFill="background1"/>
          <w:lang w:val="en-US" w:eastAsia="zh-CN"/>
        </w:rPr>
        <w:t>十一</w:t>
      </w:r>
      <w:r>
        <w:rPr>
          <w:rFonts w:hint="eastAsia" w:ascii="仿宋" w:hAnsi="仿宋" w:eastAsia="仿宋" w:cs="仿宋"/>
          <w:color w:val="auto"/>
          <w:szCs w:val="24"/>
          <w:highlight w:val="none"/>
          <w:shd w:val="clear" w:color="auto" w:fill="FFFFFF" w:themeFill="background1"/>
        </w:rPr>
        <w:t>、拟派主要</w:t>
      </w:r>
      <w:r>
        <w:rPr>
          <w:rFonts w:hint="eastAsia" w:ascii="仿宋" w:hAnsi="仿宋" w:eastAsia="仿宋" w:cs="仿宋"/>
          <w:color w:val="auto"/>
          <w:szCs w:val="24"/>
          <w:highlight w:val="none"/>
          <w:shd w:val="clear" w:color="auto" w:fill="FFFFFF" w:themeFill="background1"/>
          <w:lang w:val="en-US" w:eastAsia="zh-CN"/>
        </w:rPr>
        <w:t>服务</w:t>
      </w:r>
      <w:r>
        <w:rPr>
          <w:rFonts w:hint="eastAsia" w:ascii="仿宋" w:hAnsi="仿宋" w:eastAsia="仿宋" w:cs="仿宋"/>
          <w:color w:val="auto"/>
          <w:szCs w:val="24"/>
          <w:highlight w:val="none"/>
          <w:shd w:val="clear" w:color="auto" w:fill="FFFFFF" w:themeFill="background1"/>
        </w:rPr>
        <w:t>人员情况表</w:t>
      </w:r>
      <w:r>
        <w:rPr>
          <w:color w:val="auto"/>
          <w:highlight w:val="none"/>
        </w:rPr>
        <w:tab/>
      </w:r>
      <w:r>
        <w:rPr>
          <w:color w:val="auto"/>
          <w:highlight w:val="none"/>
        </w:rPr>
        <w:fldChar w:fldCharType="begin"/>
      </w:r>
      <w:r>
        <w:rPr>
          <w:color w:val="auto"/>
          <w:highlight w:val="none"/>
        </w:rPr>
        <w:instrText xml:space="preserve"> PAGEREF _Toc13126 \h </w:instrText>
      </w:r>
      <w:r>
        <w:rPr>
          <w:color w:val="auto"/>
          <w:highlight w:val="none"/>
        </w:rPr>
        <w:fldChar w:fldCharType="separate"/>
      </w:r>
      <w:r>
        <w:rPr>
          <w:color w:val="auto"/>
          <w:highlight w:val="none"/>
        </w:rPr>
        <w:t>58</w:t>
      </w:r>
      <w:r>
        <w:rPr>
          <w:color w:val="auto"/>
          <w:highlight w:val="none"/>
        </w:rPr>
        <w:fldChar w:fldCharType="end"/>
      </w:r>
      <w:r>
        <w:rPr>
          <w:rFonts w:hint="eastAsia" w:ascii="仿宋" w:hAnsi="仿宋" w:eastAsia="仿宋" w:cs="仿宋"/>
          <w:color w:val="auto"/>
          <w:highlight w:val="none"/>
        </w:rPr>
        <w:fldChar w:fldCharType="end"/>
      </w:r>
    </w:p>
    <w:p w14:paraId="6144A568">
      <w:pPr>
        <w:pStyle w:val="31"/>
        <w:tabs>
          <w:tab w:val="right" w:leader="dot" w:pos="9354"/>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_Toc3513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十</w:t>
      </w:r>
      <w:r>
        <w:rPr>
          <w:rFonts w:hint="eastAsia" w:ascii="仿宋" w:hAnsi="仿宋" w:eastAsia="仿宋" w:cs="仿宋"/>
          <w:color w:val="auto"/>
          <w:szCs w:val="24"/>
          <w:highlight w:val="none"/>
          <w:lang w:val="en-US" w:eastAsia="zh-CN"/>
        </w:rPr>
        <w:t>二</w:t>
      </w:r>
      <w:r>
        <w:rPr>
          <w:rFonts w:hint="eastAsia" w:ascii="仿宋" w:hAnsi="仿宋" w:eastAsia="仿宋" w:cs="仿宋"/>
          <w:color w:val="auto"/>
          <w:szCs w:val="24"/>
          <w:highlight w:val="none"/>
        </w:rPr>
        <w:t>、</w:t>
      </w:r>
      <w:r>
        <w:rPr>
          <w:rFonts w:hint="eastAsia" w:ascii="仿宋" w:hAnsi="仿宋" w:eastAsia="仿宋" w:cs="仿宋"/>
          <w:color w:val="auto"/>
          <w:szCs w:val="24"/>
          <w:highlight w:val="none"/>
          <w:lang w:eastAsia="zh-CN"/>
        </w:rPr>
        <w:t>服务方案</w:t>
      </w:r>
      <w:r>
        <w:rPr>
          <w:color w:val="auto"/>
          <w:highlight w:val="none"/>
        </w:rPr>
        <w:tab/>
      </w:r>
      <w:r>
        <w:rPr>
          <w:color w:val="auto"/>
          <w:highlight w:val="none"/>
        </w:rPr>
        <w:fldChar w:fldCharType="begin"/>
      </w:r>
      <w:r>
        <w:rPr>
          <w:color w:val="auto"/>
          <w:highlight w:val="none"/>
        </w:rPr>
        <w:instrText xml:space="preserve"> PAGEREF _Toc3513 \h </w:instrText>
      </w:r>
      <w:r>
        <w:rPr>
          <w:color w:val="auto"/>
          <w:highlight w:val="none"/>
        </w:rPr>
        <w:fldChar w:fldCharType="separate"/>
      </w:r>
      <w:r>
        <w:rPr>
          <w:color w:val="auto"/>
          <w:highlight w:val="none"/>
        </w:rPr>
        <w:t>59</w:t>
      </w:r>
      <w:r>
        <w:rPr>
          <w:color w:val="auto"/>
          <w:highlight w:val="none"/>
        </w:rPr>
        <w:fldChar w:fldCharType="end"/>
      </w:r>
      <w:r>
        <w:rPr>
          <w:rFonts w:hint="eastAsia" w:ascii="仿宋" w:hAnsi="仿宋" w:eastAsia="仿宋" w:cs="仿宋"/>
          <w:color w:val="auto"/>
          <w:highlight w:val="none"/>
        </w:rPr>
        <w:fldChar w:fldCharType="end"/>
      </w:r>
    </w:p>
    <w:p w14:paraId="51843571">
      <w:pPr>
        <w:pStyle w:val="31"/>
        <w:tabs>
          <w:tab w:val="right" w:leader="dot" w:pos="9354"/>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_Toc3975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十</w:t>
      </w:r>
      <w:r>
        <w:rPr>
          <w:rFonts w:hint="eastAsia" w:ascii="仿宋" w:hAnsi="仿宋" w:eastAsia="仿宋" w:cs="仿宋"/>
          <w:color w:val="auto"/>
          <w:szCs w:val="24"/>
          <w:highlight w:val="none"/>
          <w:lang w:val="en-US" w:eastAsia="zh-CN"/>
        </w:rPr>
        <w:t>三</w:t>
      </w:r>
      <w:r>
        <w:rPr>
          <w:rFonts w:hint="eastAsia" w:ascii="仿宋" w:hAnsi="仿宋" w:eastAsia="仿宋" w:cs="仿宋"/>
          <w:color w:val="auto"/>
          <w:szCs w:val="24"/>
          <w:highlight w:val="none"/>
        </w:rPr>
        <w:t>、保证金缴纳证明材料</w:t>
      </w:r>
      <w:r>
        <w:rPr>
          <w:color w:val="auto"/>
          <w:highlight w:val="none"/>
        </w:rPr>
        <w:tab/>
      </w:r>
      <w:r>
        <w:rPr>
          <w:color w:val="auto"/>
          <w:highlight w:val="none"/>
        </w:rPr>
        <w:fldChar w:fldCharType="begin"/>
      </w:r>
      <w:r>
        <w:rPr>
          <w:color w:val="auto"/>
          <w:highlight w:val="none"/>
        </w:rPr>
        <w:instrText xml:space="preserve"> PAGEREF _Toc3975 \h </w:instrText>
      </w:r>
      <w:r>
        <w:rPr>
          <w:color w:val="auto"/>
          <w:highlight w:val="none"/>
        </w:rPr>
        <w:fldChar w:fldCharType="separate"/>
      </w:r>
      <w:r>
        <w:rPr>
          <w:color w:val="auto"/>
          <w:highlight w:val="none"/>
        </w:rPr>
        <w:t>60</w:t>
      </w:r>
      <w:r>
        <w:rPr>
          <w:color w:val="auto"/>
          <w:highlight w:val="none"/>
        </w:rPr>
        <w:fldChar w:fldCharType="end"/>
      </w:r>
      <w:r>
        <w:rPr>
          <w:rFonts w:hint="eastAsia" w:ascii="仿宋" w:hAnsi="仿宋" w:eastAsia="仿宋" w:cs="仿宋"/>
          <w:color w:val="auto"/>
          <w:highlight w:val="none"/>
        </w:rPr>
        <w:fldChar w:fldCharType="end"/>
      </w:r>
    </w:p>
    <w:p w14:paraId="4014B37C">
      <w:pPr>
        <w:pStyle w:val="31"/>
        <w:tabs>
          <w:tab w:val="right" w:leader="dot" w:pos="9354"/>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_Toc16286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十</w:t>
      </w:r>
      <w:r>
        <w:rPr>
          <w:rFonts w:hint="eastAsia" w:ascii="仿宋" w:hAnsi="仿宋" w:eastAsia="仿宋" w:cs="仿宋"/>
          <w:color w:val="auto"/>
          <w:szCs w:val="24"/>
          <w:highlight w:val="none"/>
          <w:lang w:val="en-US" w:eastAsia="zh-CN"/>
        </w:rPr>
        <w:t>四</w:t>
      </w:r>
      <w:r>
        <w:rPr>
          <w:rFonts w:hint="eastAsia" w:ascii="仿宋" w:hAnsi="仿宋" w:eastAsia="仿宋" w:cs="仿宋"/>
          <w:color w:val="auto"/>
          <w:szCs w:val="24"/>
          <w:highlight w:val="none"/>
        </w:rPr>
        <w:t>、其它需要提交的资料</w:t>
      </w:r>
      <w:r>
        <w:rPr>
          <w:color w:val="auto"/>
          <w:highlight w:val="none"/>
        </w:rPr>
        <w:tab/>
      </w:r>
      <w:r>
        <w:rPr>
          <w:color w:val="auto"/>
          <w:highlight w:val="none"/>
        </w:rPr>
        <w:fldChar w:fldCharType="begin"/>
      </w:r>
      <w:r>
        <w:rPr>
          <w:color w:val="auto"/>
          <w:highlight w:val="none"/>
        </w:rPr>
        <w:instrText xml:space="preserve"> PAGEREF _Toc16286 \h </w:instrText>
      </w:r>
      <w:r>
        <w:rPr>
          <w:color w:val="auto"/>
          <w:highlight w:val="none"/>
        </w:rPr>
        <w:fldChar w:fldCharType="separate"/>
      </w:r>
      <w:r>
        <w:rPr>
          <w:color w:val="auto"/>
          <w:highlight w:val="none"/>
        </w:rPr>
        <w:t>61</w:t>
      </w:r>
      <w:r>
        <w:rPr>
          <w:color w:val="auto"/>
          <w:highlight w:val="none"/>
        </w:rPr>
        <w:fldChar w:fldCharType="end"/>
      </w:r>
      <w:r>
        <w:rPr>
          <w:rFonts w:hint="eastAsia" w:ascii="仿宋" w:hAnsi="仿宋" w:eastAsia="仿宋" w:cs="仿宋"/>
          <w:color w:val="auto"/>
          <w:highlight w:val="none"/>
        </w:rPr>
        <w:fldChar w:fldCharType="end"/>
      </w:r>
    </w:p>
    <w:p w14:paraId="7E7854A0">
      <w:pPr>
        <w:pStyle w:val="25"/>
        <w:tabs>
          <w:tab w:val="right" w:leader="dot" w:pos="9354"/>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_Toc5129 </w:instrText>
      </w:r>
      <w:r>
        <w:rPr>
          <w:rFonts w:hint="eastAsia" w:ascii="仿宋" w:hAnsi="仿宋" w:eastAsia="仿宋" w:cs="仿宋"/>
          <w:color w:val="auto"/>
          <w:highlight w:val="none"/>
        </w:rPr>
        <w:fldChar w:fldCharType="separate"/>
      </w:r>
      <w:r>
        <w:rPr>
          <w:rFonts w:hint="eastAsia" w:ascii="仿宋" w:hAnsi="仿宋" w:eastAsia="仿宋" w:cs="仿宋"/>
          <w:color w:val="auto"/>
          <w:szCs w:val="24"/>
          <w:highlight w:val="none"/>
        </w:rPr>
        <w:t>第六章 补充条款</w:t>
      </w:r>
      <w:r>
        <w:rPr>
          <w:color w:val="auto"/>
          <w:highlight w:val="none"/>
        </w:rPr>
        <w:tab/>
      </w:r>
      <w:r>
        <w:rPr>
          <w:color w:val="auto"/>
          <w:highlight w:val="none"/>
        </w:rPr>
        <w:fldChar w:fldCharType="begin"/>
      </w:r>
      <w:r>
        <w:rPr>
          <w:color w:val="auto"/>
          <w:highlight w:val="none"/>
        </w:rPr>
        <w:instrText xml:space="preserve"> PAGEREF _Toc5129 \h </w:instrText>
      </w:r>
      <w:r>
        <w:rPr>
          <w:color w:val="auto"/>
          <w:highlight w:val="none"/>
        </w:rPr>
        <w:fldChar w:fldCharType="separate"/>
      </w:r>
      <w:r>
        <w:rPr>
          <w:color w:val="auto"/>
          <w:highlight w:val="none"/>
        </w:rPr>
        <w:t>62</w:t>
      </w:r>
      <w:r>
        <w:rPr>
          <w:color w:val="auto"/>
          <w:highlight w:val="none"/>
        </w:rPr>
        <w:fldChar w:fldCharType="end"/>
      </w:r>
      <w:r>
        <w:rPr>
          <w:rFonts w:hint="eastAsia" w:ascii="仿宋" w:hAnsi="仿宋" w:eastAsia="仿宋" w:cs="仿宋"/>
          <w:color w:val="auto"/>
          <w:highlight w:val="none"/>
        </w:rPr>
        <w:fldChar w:fldCharType="end"/>
      </w:r>
    </w:p>
    <w:p w14:paraId="5C578B57">
      <w:pPr>
        <w:pStyle w:val="31"/>
        <w:tabs>
          <w:tab w:val="right" w:leader="dot" w:pos="9354"/>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_Toc6435 </w:instrText>
      </w:r>
      <w:r>
        <w:rPr>
          <w:rFonts w:hint="eastAsia" w:ascii="仿宋" w:hAnsi="仿宋" w:eastAsia="仿宋" w:cs="仿宋"/>
          <w:color w:val="auto"/>
          <w:highlight w:val="none"/>
        </w:rPr>
        <w:fldChar w:fldCharType="separate"/>
      </w:r>
      <w:r>
        <w:rPr>
          <w:rFonts w:hint="eastAsia" w:ascii="仿宋" w:hAnsi="仿宋" w:eastAsia="仿宋" w:cs="仿宋"/>
          <w:color w:val="auto"/>
          <w:spacing w:val="6"/>
          <w:szCs w:val="24"/>
          <w:highlight w:val="none"/>
        </w:rPr>
        <w:t>附件</w:t>
      </w:r>
      <w:r>
        <w:rPr>
          <w:rFonts w:hint="eastAsia" w:ascii="仿宋" w:hAnsi="仿宋" w:eastAsia="仿宋" w:cs="仿宋"/>
          <w:color w:val="auto"/>
          <w:spacing w:val="6"/>
          <w:szCs w:val="24"/>
          <w:highlight w:val="none"/>
          <w:lang w:val="en-US" w:eastAsia="zh-CN"/>
        </w:rPr>
        <w:t>1</w:t>
      </w:r>
      <w:r>
        <w:rPr>
          <w:rFonts w:hint="eastAsia" w:ascii="仿宋" w:hAnsi="仿宋" w:eastAsia="仿宋" w:cs="仿宋"/>
          <w:color w:val="auto"/>
          <w:spacing w:val="6"/>
          <w:szCs w:val="24"/>
          <w:highlight w:val="none"/>
        </w:rPr>
        <w:t>、</w:t>
      </w:r>
      <w:r>
        <w:rPr>
          <w:rFonts w:hint="eastAsia" w:ascii="仿宋" w:hAnsi="仿宋" w:eastAsia="仿宋" w:cs="仿宋"/>
          <w:color w:val="auto"/>
          <w:spacing w:val="6"/>
          <w:szCs w:val="24"/>
          <w:highlight w:val="none"/>
          <w:lang w:val="en-US" w:eastAsia="zh-CN"/>
        </w:rPr>
        <w:t>中小企业扶持政策</w:t>
      </w:r>
      <w:r>
        <w:rPr>
          <w:color w:val="auto"/>
          <w:highlight w:val="none"/>
        </w:rPr>
        <w:tab/>
      </w:r>
      <w:r>
        <w:rPr>
          <w:color w:val="auto"/>
          <w:highlight w:val="none"/>
        </w:rPr>
        <w:fldChar w:fldCharType="begin"/>
      </w:r>
      <w:r>
        <w:rPr>
          <w:color w:val="auto"/>
          <w:highlight w:val="none"/>
        </w:rPr>
        <w:instrText xml:space="preserve"> PAGEREF _Toc6435 \h </w:instrText>
      </w:r>
      <w:r>
        <w:rPr>
          <w:color w:val="auto"/>
          <w:highlight w:val="none"/>
        </w:rPr>
        <w:fldChar w:fldCharType="separate"/>
      </w:r>
      <w:r>
        <w:rPr>
          <w:color w:val="auto"/>
          <w:highlight w:val="none"/>
        </w:rPr>
        <w:t>62</w:t>
      </w:r>
      <w:r>
        <w:rPr>
          <w:color w:val="auto"/>
          <w:highlight w:val="none"/>
        </w:rPr>
        <w:fldChar w:fldCharType="end"/>
      </w:r>
      <w:r>
        <w:rPr>
          <w:rFonts w:hint="eastAsia" w:ascii="仿宋" w:hAnsi="仿宋" w:eastAsia="仿宋" w:cs="仿宋"/>
          <w:color w:val="auto"/>
          <w:highlight w:val="none"/>
        </w:rPr>
        <w:fldChar w:fldCharType="end"/>
      </w:r>
    </w:p>
    <w:p w14:paraId="30DA88B8">
      <w:pPr>
        <w:pStyle w:val="31"/>
        <w:tabs>
          <w:tab w:val="right" w:leader="dot" w:pos="9354"/>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_Toc9637 </w:instrText>
      </w:r>
      <w:r>
        <w:rPr>
          <w:rFonts w:hint="eastAsia" w:ascii="仿宋" w:hAnsi="仿宋" w:eastAsia="仿宋" w:cs="仿宋"/>
          <w:color w:val="auto"/>
          <w:highlight w:val="none"/>
        </w:rPr>
        <w:fldChar w:fldCharType="separate"/>
      </w:r>
      <w:r>
        <w:rPr>
          <w:rFonts w:hint="eastAsia" w:ascii="仿宋" w:hAnsi="仿宋" w:eastAsia="仿宋" w:cs="仿宋"/>
          <w:color w:val="auto"/>
          <w:spacing w:val="6"/>
          <w:szCs w:val="24"/>
          <w:highlight w:val="none"/>
        </w:rPr>
        <w:t>附件</w:t>
      </w:r>
      <w:r>
        <w:rPr>
          <w:rFonts w:hint="eastAsia" w:ascii="仿宋" w:hAnsi="仿宋" w:eastAsia="仿宋" w:cs="仿宋"/>
          <w:color w:val="auto"/>
          <w:spacing w:val="6"/>
          <w:szCs w:val="24"/>
          <w:highlight w:val="none"/>
          <w:lang w:val="en-US" w:eastAsia="zh-CN"/>
        </w:rPr>
        <w:t>2</w:t>
      </w:r>
      <w:r>
        <w:rPr>
          <w:rFonts w:hint="eastAsia" w:ascii="仿宋" w:hAnsi="仿宋" w:eastAsia="仿宋" w:cs="仿宋"/>
          <w:color w:val="auto"/>
          <w:spacing w:val="6"/>
          <w:szCs w:val="24"/>
          <w:highlight w:val="none"/>
        </w:rPr>
        <w:t>、</w:t>
      </w:r>
      <w:r>
        <w:rPr>
          <w:rFonts w:hint="eastAsia" w:ascii="仿宋" w:hAnsi="仿宋" w:eastAsia="仿宋" w:cs="仿宋"/>
          <w:color w:val="auto"/>
          <w:spacing w:val="6"/>
          <w:szCs w:val="24"/>
          <w:highlight w:val="none"/>
          <w:lang w:val="en-US" w:eastAsia="zh-CN"/>
        </w:rPr>
        <w:t>残疾人企业扶持政策</w:t>
      </w:r>
      <w:r>
        <w:rPr>
          <w:color w:val="auto"/>
          <w:highlight w:val="none"/>
        </w:rPr>
        <w:tab/>
      </w:r>
      <w:r>
        <w:rPr>
          <w:color w:val="auto"/>
          <w:highlight w:val="none"/>
        </w:rPr>
        <w:fldChar w:fldCharType="begin"/>
      </w:r>
      <w:r>
        <w:rPr>
          <w:color w:val="auto"/>
          <w:highlight w:val="none"/>
        </w:rPr>
        <w:instrText xml:space="preserve"> PAGEREF _Toc9637 \h </w:instrText>
      </w:r>
      <w:r>
        <w:rPr>
          <w:color w:val="auto"/>
          <w:highlight w:val="none"/>
        </w:rPr>
        <w:fldChar w:fldCharType="separate"/>
      </w:r>
      <w:r>
        <w:rPr>
          <w:color w:val="auto"/>
          <w:highlight w:val="none"/>
        </w:rPr>
        <w:t>66</w:t>
      </w:r>
      <w:r>
        <w:rPr>
          <w:color w:val="auto"/>
          <w:highlight w:val="none"/>
        </w:rPr>
        <w:fldChar w:fldCharType="end"/>
      </w:r>
      <w:r>
        <w:rPr>
          <w:rFonts w:hint="eastAsia" w:ascii="仿宋" w:hAnsi="仿宋" w:eastAsia="仿宋" w:cs="仿宋"/>
          <w:color w:val="auto"/>
          <w:highlight w:val="none"/>
        </w:rPr>
        <w:fldChar w:fldCharType="end"/>
      </w:r>
    </w:p>
    <w:p w14:paraId="3285F159">
      <w:pPr>
        <w:pStyle w:val="31"/>
        <w:tabs>
          <w:tab w:val="right" w:leader="dot" w:pos="9354"/>
        </w:tabs>
        <w:rPr>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_Toc13799 </w:instrText>
      </w:r>
      <w:r>
        <w:rPr>
          <w:rFonts w:hint="eastAsia" w:ascii="仿宋" w:hAnsi="仿宋" w:eastAsia="仿宋" w:cs="仿宋"/>
          <w:color w:val="auto"/>
          <w:highlight w:val="none"/>
        </w:rPr>
        <w:fldChar w:fldCharType="separate"/>
      </w:r>
      <w:r>
        <w:rPr>
          <w:rFonts w:hint="eastAsia" w:ascii="仿宋" w:hAnsi="仿宋" w:eastAsia="仿宋" w:cs="仿宋"/>
          <w:color w:val="auto"/>
          <w:spacing w:val="6"/>
          <w:szCs w:val="24"/>
          <w:highlight w:val="none"/>
        </w:rPr>
        <w:t>附件</w:t>
      </w:r>
      <w:r>
        <w:rPr>
          <w:rFonts w:hint="eastAsia" w:ascii="仿宋" w:hAnsi="仿宋" w:eastAsia="仿宋" w:cs="仿宋"/>
          <w:color w:val="auto"/>
          <w:spacing w:val="6"/>
          <w:szCs w:val="24"/>
          <w:highlight w:val="none"/>
          <w:lang w:val="en-US" w:eastAsia="zh-CN"/>
        </w:rPr>
        <w:t>3</w:t>
      </w:r>
      <w:r>
        <w:rPr>
          <w:rFonts w:hint="eastAsia" w:ascii="仿宋" w:hAnsi="仿宋" w:eastAsia="仿宋" w:cs="仿宋"/>
          <w:color w:val="auto"/>
          <w:spacing w:val="6"/>
          <w:szCs w:val="24"/>
          <w:highlight w:val="none"/>
        </w:rPr>
        <w:t>、</w:t>
      </w:r>
      <w:r>
        <w:rPr>
          <w:rFonts w:hint="eastAsia" w:ascii="仿宋" w:hAnsi="仿宋" w:eastAsia="仿宋" w:cs="仿宋"/>
          <w:color w:val="auto"/>
          <w:spacing w:val="6"/>
          <w:szCs w:val="24"/>
          <w:highlight w:val="none"/>
          <w:lang w:val="en-US" w:eastAsia="zh-CN"/>
        </w:rPr>
        <w:t>监狱扶持政策</w:t>
      </w:r>
      <w:r>
        <w:rPr>
          <w:color w:val="auto"/>
          <w:highlight w:val="none"/>
        </w:rPr>
        <w:tab/>
      </w:r>
      <w:r>
        <w:rPr>
          <w:color w:val="auto"/>
          <w:highlight w:val="none"/>
        </w:rPr>
        <w:fldChar w:fldCharType="begin"/>
      </w:r>
      <w:r>
        <w:rPr>
          <w:color w:val="auto"/>
          <w:highlight w:val="none"/>
        </w:rPr>
        <w:instrText xml:space="preserve"> PAGEREF _Toc13799 \h </w:instrText>
      </w:r>
      <w:r>
        <w:rPr>
          <w:color w:val="auto"/>
          <w:highlight w:val="none"/>
        </w:rPr>
        <w:fldChar w:fldCharType="separate"/>
      </w:r>
      <w:r>
        <w:rPr>
          <w:color w:val="auto"/>
          <w:highlight w:val="none"/>
        </w:rPr>
        <w:t>68</w:t>
      </w:r>
      <w:r>
        <w:rPr>
          <w:color w:val="auto"/>
          <w:highlight w:val="none"/>
        </w:rPr>
        <w:fldChar w:fldCharType="end"/>
      </w:r>
      <w:r>
        <w:rPr>
          <w:rFonts w:hint="eastAsia" w:ascii="仿宋" w:hAnsi="仿宋" w:eastAsia="仿宋" w:cs="仿宋"/>
          <w:color w:val="auto"/>
          <w:highlight w:val="none"/>
        </w:rPr>
        <w:fldChar w:fldCharType="end"/>
      </w:r>
    </w:p>
    <w:p w14:paraId="76B88218">
      <w:pPr>
        <w:rPr>
          <w:rFonts w:hint="eastAsia" w:ascii="仿宋" w:hAnsi="仿宋" w:eastAsia="仿宋" w:cs="仿宋"/>
          <w:color w:val="auto"/>
          <w:sz w:val="24"/>
          <w:highlight w:val="none"/>
        </w:rPr>
      </w:pPr>
      <w:r>
        <w:rPr>
          <w:rFonts w:hint="eastAsia" w:ascii="仿宋" w:hAnsi="仿宋" w:eastAsia="仿宋" w:cs="仿宋"/>
          <w:color w:val="auto"/>
          <w:highlight w:val="none"/>
        </w:rPr>
        <w:fldChar w:fldCharType="end"/>
      </w:r>
    </w:p>
    <w:p w14:paraId="07DFEE24">
      <w:pPr>
        <w:spacing w:line="360" w:lineRule="auto"/>
        <w:jc w:val="center"/>
        <w:outlineLvl w:val="0"/>
        <w:rPr>
          <w:rFonts w:hint="eastAsia" w:ascii="仿宋" w:hAnsi="仿宋" w:eastAsia="仿宋" w:cs="仿宋"/>
          <w:b/>
          <w:bCs/>
          <w:color w:val="auto"/>
          <w:sz w:val="32"/>
          <w:szCs w:val="32"/>
          <w:highlight w:val="none"/>
        </w:rPr>
        <w:sectPr>
          <w:headerReference r:id="rId3" w:type="default"/>
          <w:footerReference r:id="rId4" w:type="default"/>
          <w:footerReference r:id="rId5" w:type="even"/>
          <w:pgSz w:w="11906" w:h="16838"/>
          <w:pgMar w:top="1361" w:right="1134" w:bottom="1361" w:left="1418" w:header="851" w:footer="992" w:gutter="0"/>
          <w:pgNumType w:start="1"/>
          <w:cols w:space="720" w:num="1"/>
          <w:docGrid w:type="lines" w:linePitch="312" w:charSpace="0"/>
        </w:sectPr>
      </w:pPr>
    </w:p>
    <w:p w14:paraId="33B9E51C">
      <w:pPr>
        <w:spacing w:line="360" w:lineRule="auto"/>
        <w:jc w:val="center"/>
        <w:outlineLvl w:val="0"/>
        <w:rPr>
          <w:rFonts w:hint="eastAsia" w:ascii="仿宋" w:hAnsi="仿宋" w:eastAsia="仿宋" w:cs="仿宋"/>
          <w:b/>
          <w:bCs/>
          <w:color w:val="auto"/>
          <w:sz w:val="24"/>
          <w:szCs w:val="24"/>
          <w:highlight w:val="none"/>
        </w:rPr>
      </w:pPr>
      <w:bookmarkStart w:id="0" w:name="_Toc25338"/>
      <w:r>
        <w:rPr>
          <w:rFonts w:hint="eastAsia" w:ascii="仿宋" w:hAnsi="仿宋" w:eastAsia="仿宋" w:cs="仿宋"/>
          <w:b/>
          <w:bCs/>
          <w:color w:val="auto"/>
          <w:sz w:val="32"/>
          <w:szCs w:val="32"/>
          <w:highlight w:val="none"/>
        </w:rPr>
        <w:t>招标公告</w:t>
      </w:r>
      <w:bookmarkEnd w:id="0"/>
    </w:p>
    <w:p w14:paraId="67D4A98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项目概况</w:t>
      </w:r>
    </w:p>
    <w:p w14:paraId="5A20A31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2026年新疆农业大学教职工健康体检项目</w:t>
      </w:r>
      <w:r>
        <w:rPr>
          <w:rFonts w:hint="eastAsia" w:ascii="仿宋" w:hAnsi="仿宋" w:eastAsia="仿宋" w:cs="仿宋"/>
          <w:color w:val="auto"/>
          <w:sz w:val="24"/>
          <w:szCs w:val="24"/>
          <w:highlight w:val="none"/>
        </w:rPr>
        <w:t>招标项目的潜在投标人应在政采云平台线上获取招标文件，并于</w:t>
      </w:r>
      <w:r>
        <w:rPr>
          <w:rFonts w:hint="eastAsia" w:ascii="仿宋" w:hAnsi="仿宋" w:eastAsia="仿宋" w:cs="仿宋"/>
          <w:color w:val="auto"/>
          <w:sz w:val="24"/>
          <w:szCs w:val="24"/>
          <w:highlight w:val="none"/>
          <w:lang w:eastAsia="zh-CN"/>
        </w:rPr>
        <w:t>2026年05月18日11:00</w:t>
      </w:r>
      <w:r>
        <w:rPr>
          <w:rFonts w:hint="eastAsia" w:ascii="仿宋" w:hAnsi="仿宋" w:eastAsia="仿宋" w:cs="仿宋"/>
          <w:color w:val="auto"/>
          <w:sz w:val="24"/>
          <w:szCs w:val="24"/>
          <w:highlight w:val="none"/>
        </w:rPr>
        <w:t>（北京时间）前递交投标文件。</w:t>
      </w:r>
    </w:p>
    <w:p w14:paraId="60F3AA5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一、项目基本情况</w:t>
      </w:r>
    </w:p>
    <w:p w14:paraId="0D9FC31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项目编号：</w:t>
      </w:r>
      <w:r>
        <w:rPr>
          <w:rFonts w:hint="eastAsia" w:ascii="仿宋" w:hAnsi="仿宋" w:eastAsia="仿宋" w:cs="仿宋"/>
          <w:color w:val="auto"/>
          <w:sz w:val="24"/>
          <w:szCs w:val="24"/>
          <w:highlight w:val="none"/>
          <w:lang w:eastAsia="zh-CN"/>
        </w:rPr>
        <w:t>XJXSJ-202</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lang w:eastAsia="zh-CN"/>
        </w:rPr>
        <w:t>（ZC）-</w:t>
      </w:r>
      <w:r>
        <w:rPr>
          <w:rFonts w:hint="eastAsia" w:ascii="仿宋" w:hAnsi="仿宋" w:eastAsia="仿宋" w:cs="仿宋"/>
          <w:color w:val="auto"/>
          <w:sz w:val="24"/>
          <w:szCs w:val="24"/>
          <w:highlight w:val="none"/>
          <w:lang w:val="en-US" w:eastAsia="zh-CN"/>
        </w:rPr>
        <w:t>233</w:t>
      </w:r>
    </w:p>
    <w:p w14:paraId="1971BF0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项目名称：</w:t>
      </w:r>
      <w:r>
        <w:rPr>
          <w:rFonts w:hint="eastAsia" w:ascii="仿宋" w:hAnsi="仿宋" w:eastAsia="仿宋" w:cs="仿宋"/>
          <w:color w:val="auto"/>
          <w:sz w:val="24"/>
          <w:szCs w:val="24"/>
          <w:highlight w:val="none"/>
          <w:lang w:eastAsia="zh-CN"/>
        </w:rPr>
        <w:t>2026年新疆农业大学教职工健康体检项目</w:t>
      </w:r>
    </w:p>
    <w:p w14:paraId="54211E0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采购方式：公开招标</w:t>
      </w:r>
    </w:p>
    <w:p w14:paraId="2594055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预算金额（元）：</w:t>
      </w:r>
      <w:r>
        <w:rPr>
          <w:rFonts w:hint="eastAsia" w:ascii="仿宋" w:hAnsi="仿宋" w:eastAsia="仿宋" w:cs="仿宋"/>
          <w:color w:val="auto"/>
          <w:sz w:val="24"/>
          <w:szCs w:val="24"/>
          <w:highlight w:val="none"/>
          <w:lang w:val="en-US" w:eastAsia="zh-CN"/>
        </w:rPr>
        <w:t>2000000.00</w:t>
      </w:r>
    </w:p>
    <w:p w14:paraId="24249EC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最高限价（元）：</w:t>
      </w:r>
      <w:r>
        <w:rPr>
          <w:rFonts w:hint="eastAsia" w:ascii="仿宋" w:hAnsi="仿宋" w:eastAsia="仿宋" w:cs="仿宋"/>
          <w:color w:val="auto"/>
          <w:sz w:val="24"/>
          <w:szCs w:val="32"/>
          <w:highlight w:val="none"/>
          <w:lang w:val="en-US" w:eastAsia="zh-CN"/>
        </w:rPr>
        <w:t>6000.00</w:t>
      </w:r>
    </w:p>
    <w:p w14:paraId="2AF2775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简要规格描述或项目基本概况介绍、用途：</w:t>
      </w:r>
      <w:r>
        <w:rPr>
          <w:rFonts w:hint="eastAsia" w:ascii="仿宋" w:hAnsi="仿宋" w:eastAsia="仿宋" w:cs="仿宋"/>
          <w:color w:val="auto"/>
          <w:sz w:val="24"/>
          <w:szCs w:val="24"/>
          <w:highlight w:val="none"/>
          <w:lang w:eastAsia="zh-CN"/>
        </w:rPr>
        <w:t>教职工健康体检</w:t>
      </w:r>
    </w:p>
    <w:p w14:paraId="38C4218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w:t>
      </w:r>
      <w:r>
        <w:rPr>
          <w:rFonts w:hint="eastAsia" w:ascii="仿宋" w:hAnsi="仿宋" w:eastAsia="仿宋" w:cs="仿宋"/>
          <w:color w:val="auto"/>
          <w:sz w:val="24"/>
          <w:szCs w:val="32"/>
          <w:highlight w:val="none"/>
          <w:lang w:val="en-US" w:eastAsia="zh-CN"/>
        </w:rPr>
        <w:t>同履约期限：集中体检天数为24个工作日，零星体检天数为96日历日</w:t>
      </w:r>
    </w:p>
    <w:p w14:paraId="3009710A">
      <w:pPr>
        <w:spacing w:line="360" w:lineRule="auto"/>
        <w:ind w:firstLine="480" w:firstLineChars="200"/>
        <w:rPr>
          <w:rFonts w:hint="default" w:ascii="仿宋" w:hAnsi="仿宋" w:eastAsia="仿宋" w:cs="仿宋"/>
          <w:color w:val="auto"/>
          <w:sz w:val="24"/>
          <w:szCs w:val="32"/>
          <w:highlight w:val="none"/>
          <w:lang w:val="en-US" w:eastAsia="zh-CN"/>
        </w:rPr>
      </w:pPr>
      <w:r>
        <w:rPr>
          <w:rFonts w:hint="eastAsia" w:ascii="仿宋" w:hAnsi="仿宋" w:eastAsia="仿宋" w:cs="仿宋"/>
          <w:color w:val="auto"/>
          <w:sz w:val="24"/>
          <w:szCs w:val="32"/>
          <w:highlight w:val="none"/>
          <w:lang w:val="en-US" w:eastAsia="zh-CN"/>
        </w:rPr>
        <w:t>备注：</w:t>
      </w:r>
      <w:r>
        <w:rPr>
          <w:rFonts w:hint="default" w:ascii="仿宋" w:hAnsi="仿宋" w:eastAsia="仿宋" w:cs="仿宋"/>
          <w:color w:val="auto"/>
          <w:sz w:val="24"/>
          <w:szCs w:val="32"/>
          <w:highlight w:val="none"/>
          <w:lang w:val="en-US" w:eastAsia="zh-CN"/>
        </w:rPr>
        <w:t>采购预算总价：</w:t>
      </w:r>
      <w:r>
        <w:rPr>
          <w:rFonts w:hint="eastAsia" w:ascii="仿宋" w:hAnsi="仿宋" w:eastAsia="仿宋" w:cs="仿宋"/>
          <w:color w:val="auto"/>
          <w:sz w:val="24"/>
          <w:szCs w:val="32"/>
          <w:highlight w:val="none"/>
          <w:lang w:val="en-US" w:eastAsia="zh-CN"/>
        </w:rPr>
        <w:t>20</w:t>
      </w:r>
      <w:r>
        <w:rPr>
          <w:rFonts w:hint="default" w:ascii="仿宋" w:hAnsi="仿宋" w:eastAsia="仿宋" w:cs="仿宋"/>
          <w:color w:val="auto"/>
          <w:sz w:val="24"/>
          <w:szCs w:val="32"/>
          <w:highlight w:val="none"/>
          <w:lang w:val="en-US" w:eastAsia="zh-CN"/>
        </w:rPr>
        <w:t>0万元</w:t>
      </w:r>
      <w:r>
        <w:rPr>
          <w:rFonts w:hint="eastAsia" w:ascii="仿宋" w:hAnsi="仿宋" w:eastAsia="仿宋" w:cs="仿宋"/>
          <w:color w:val="auto"/>
          <w:sz w:val="24"/>
          <w:szCs w:val="32"/>
          <w:highlight w:val="none"/>
          <w:lang w:val="en-US" w:eastAsia="zh-CN"/>
        </w:rPr>
        <w:t>，</w:t>
      </w:r>
      <w:r>
        <w:rPr>
          <w:rFonts w:hint="default" w:ascii="仿宋" w:hAnsi="仿宋" w:eastAsia="仿宋" w:cs="仿宋"/>
          <w:color w:val="auto"/>
          <w:sz w:val="24"/>
          <w:szCs w:val="32"/>
          <w:highlight w:val="none"/>
          <w:lang w:val="en-US" w:eastAsia="zh-CN"/>
        </w:rPr>
        <w:t>最高限价单价：</w:t>
      </w:r>
      <w:r>
        <w:rPr>
          <w:rFonts w:hint="eastAsia" w:ascii="仿宋" w:hAnsi="仿宋" w:eastAsia="仿宋" w:cs="仿宋"/>
          <w:color w:val="auto"/>
          <w:sz w:val="24"/>
          <w:szCs w:val="32"/>
          <w:highlight w:val="none"/>
          <w:lang w:val="en-US" w:eastAsia="zh-CN"/>
        </w:rPr>
        <w:t>详见招标文件，最高限价</w:t>
      </w:r>
      <w:r>
        <w:rPr>
          <w:rFonts w:hint="default" w:ascii="仿宋" w:hAnsi="仿宋" w:eastAsia="仿宋" w:cs="仿宋"/>
          <w:color w:val="auto"/>
          <w:sz w:val="24"/>
          <w:szCs w:val="32"/>
          <w:highlight w:val="none"/>
          <w:lang w:val="en-US" w:eastAsia="zh-CN"/>
        </w:rPr>
        <w:t>单价合计金额：6000元。说明：</w:t>
      </w:r>
      <w:r>
        <w:rPr>
          <w:rFonts w:hint="eastAsia" w:ascii="仿宋" w:hAnsi="仿宋" w:eastAsia="仿宋" w:cs="仿宋"/>
          <w:color w:val="auto"/>
          <w:sz w:val="24"/>
          <w:szCs w:val="32"/>
          <w:highlight w:val="none"/>
          <w:lang w:val="en-US" w:eastAsia="zh-CN"/>
        </w:rPr>
        <w:t>投标人</w:t>
      </w:r>
      <w:r>
        <w:rPr>
          <w:rFonts w:hint="default" w:ascii="仿宋" w:hAnsi="仿宋" w:eastAsia="仿宋" w:cs="仿宋"/>
          <w:color w:val="auto"/>
          <w:sz w:val="24"/>
          <w:szCs w:val="32"/>
          <w:highlight w:val="none"/>
          <w:lang w:val="en-US" w:eastAsia="zh-CN"/>
        </w:rPr>
        <w:t>只填报单价及单价合计金额，总价以实际发生为准，按实结算。</w:t>
      </w:r>
    </w:p>
    <w:p w14:paraId="28A2D50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本项目（否）接受联合体投标。</w:t>
      </w:r>
    </w:p>
    <w:p w14:paraId="10C9980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w:t>
      </w:r>
      <w:r>
        <w:rPr>
          <w:rFonts w:hint="eastAsia" w:ascii="仿宋" w:hAnsi="仿宋" w:eastAsia="仿宋" w:cs="仿宋"/>
          <w:color w:val="auto"/>
          <w:sz w:val="24"/>
          <w:szCs w:val="24"/>
          <w:highlight w:val="none"/>
          <w:lang w:val="en-US" w:eastAsia="zh-CN"/>
        </w:rPr>
        <w:t>投标人</w:t>
      </w:r>
      <w:r>
        <w:rPr>
          <w:rFonts w:hint="eastAsia" w:ascii="仿宋" w:hAnsi="仿宋" w:eastAsia="仿宋" w:cs="仿宋"/>
          <w:color w:val="auto"/>
          <w:sz w:val="24"/>
          <w:szCs w:val="24"/>
          <w:highlight w:val="none"/>
        </w:rPr>
        <w:t>的资格要求：</w:t>
      </w:r>
    </w:p>
    <w:p w14:paraId="1ABCBFD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满足《中华人民共和国政府采购法》第二十二条规定。</w:t>
      </w:r>
    </w:p>
    <w:p w14:paraId="3A7B3750">
      <w:pPr>
        <w:widowControl/>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投标人如在“信用中国”网站（www.creditchina.gov.cn）、中国政府采购网（www.ccgp.gov.cn）等渠道被列入失信被执行人、重大税收违法失信主体、政府采购严重违法失信行为记录名单，尚在处罚期内的将被拒绝参加本次采购活动。</w:t>
      </w:r>
    </w:p>
    <w:p w14:paraId="12DA12B4">
      <w:pPr>
        <w:widowControl/>
        <w:spacing w:line="360" w:lineRule="auto"/>
        <w:ind w:firstLine="480" w:firstLineChars="20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投标人须具备有效的《医疗机构执业许可证》和《放射诊疗许可证》。</w:t>
      </w:r>
    </w:p>
    <w:p w14:paraId="074D8260">
      <w:pPr>
        <w:widowControl/>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三、获取招标文件</w:t>
      </w:r>
    </w:p>
    <w:p w14:paraId="183858E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时间：202</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04</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lang w:val="en-US" w:eastAsia="zh-CN"/>
        </w:rPr>
        <w:t>27</w:t>
      </w:r>
      <w:r>
        <w:rPr>
          <w:rFonts w:hint="eastAsia" w:ascii="仿宋" w:hAnsi="仿宋" w:eastAsia="仿宋" w:cs="仿宋"/>
          <w:color w:val="auto"/>
          <w:sz w:val="24"/>
          <w:szCs w:val="24"/>
          <w:highlight w:val="none"/>
        </w:rPr>
        <w:t>日至202</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05</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lang w:val="en-US" w:eastAsia="zh-CN"/>
        </w:rPr>
        <w:t>07</w:t>
      </w:r>
      <w:r>
        <w:rPr>
          <w:rFonts w:hint="eastAsia" w:ascii="仿宋" w:hAnsi="仿宋" w:eastAsia="仿宋" w:cs="仿宋"/>
          <w:color w:val="auto"/>
          <w:sz w:val="24"/>
          <w:szCs w:val="24"/>
          <w:highlight w:val="none"/>
        </w:rPr>
        <w:t>日，每天上午00:00至1</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:00，下午1</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:00至23:59（北京时间，法定节假日除外）</w:t>
      </w:r>
    </w:p>
    <w:p w14:paraId="409E127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地点：政采云平台线上</w:t>
      </w:r>
    </w:p>
    <w:p w14:paraId="58B5E7C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方式：</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登录政采云平台https://www.zcygov.cn/在线申请获取</w:t>
      </w:r>
      <w:r>
        <w:rPr>
          <w:rFonts w:hint="eastAsia" w:ascii="仿宋" w:hAnsi="仿宋" w:eastAsia="仿宋" w:cs="仿宋"/>
          <w:color w:val="auto"/>
          <w:sz w:val="24"/>
          <w:szCs w:val="24"/>
          <w:highlight w:val="none"/>
          <w:lang w:eastAsia="zh-CN"/>
        </w:rPr>
        <w:t>招标文件</w:t>
      </w:r>
      <w:r>
        <w:rPr>
          <w:rFonts w:hint="eastAsia" w:ascii="仿宋" w:hAnsi="仿宋" w:eastAsia="仿宋" w:cs="仿宋"/>
          <w:color w:val="auto"/>
          <w:sz w:val="24"/>
          <w:szCs w:val="24"/>
          <w:highlight w:val="none"/>
        </w:rPr>
        <w:t>（进入“项目采购”应用，在获取</w:t>
      </w:r>
      <w:r>
        <w:rPr>
          <w:rFonts w:hint="eastAsia" w:ascii="仿宋" w:hAnsi="仿宋" w:eastAsia="仿宋" w:cs="仿宋"/>
          <w:color w:val="auto"/>
          <w:sz w:val="24"/>
          <w:szCs w:val="24"/>
          <w:highlight w:val="none"/>
          <w:lang w:eastAsia="zh-CN"/>
        </w:rPr>
        <w:t>招标文件</w:t>
      </w:r>
      <w:r>
        <w:rPr>
          <w:rFonts w:hint="eastAsia" w:ascii="仿宋" w:hAnsi="仿宋" w:eastAsia="仿宋" w:cs="仿宋"/>
          <w:color w:val="auto"/>
          <w:sz w:val="24"/>
          <w:szCs w:val="24"/>
          <w:highlight w:val="none"/>
        </w:rPr>
        <w:t>菜单中选择项目，申请获取</w:t>
      </w:r>
      <w:r>
        <w:rPr>
          <w:rFonts w:hint="eastAsia" w:ascii="仿宋" w:hAnsi="仿宋" w:eastAsia="仿宋" w:cs="仿宋"/>
          <w:color w:val="auto"/>
          <w:sz w:val="24"/>
          <w:szCs w:val="24"/>
          <w:highlight w:val="none"/>
          <w:lang w:eastAsia="zh-CN"/>
        </w:rPr>
        <w:t>招标文件</w:t>
      </w:r>
      <w:r>
        <w:rPr>
          <w:rFonts w:hint="eastAsia" w:ascii="仿宋" w:hAnsi="仿宋" w:eastAsia="仿宋" w:cs="仿宋"/>
          <w:color w:val="auto"/>
          <w:sz w:val="24"/>
          <w:szCs w:val="24"/>
          <w:highlight w:val="none"/>
        </w:rPr>
        <w:t>），或者点击采购公告底部潜在</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“获取</w:t>
      </w:r>
      <w:r>
        <w:rPr>
          <w:rFonts w:hint="eastAsia" w:ascii="仿宋" w:hAnsi="仿宋" w:eastAsia="仿宋" w:cs="仿宋"/>
          <w:color w:val="auto"/>
          <w:sz w:val="24"/>
          <w:szCs w:val="24"/>
          <w:highlight w:val="none"/>
          <w:lang w:eastAsia="zh-CN"/>
        </w:rPr>
        <w:t>招标文件</w:t>
      </w:r>
      <w:r>
        <w:rPr>
          <w:rFonts w:hint="eastAsia" w:ascii="仿宋" w:hAnsi="仿宋" w:eastAsia="仿宋" w:cs="仿宋"/>
          <w:color w:val="auto"/>
          <w:sz w:val="24"/>
          <w:szCs w:val="24"/>
          <w:highlight w:val="none"/>
        </w:rPr>
        <w:t>”，页面跳转后登陆，直接获取</w:t>
      </w:r>
      <w:r>
        <w:rPr>
          <w:rFonts w:hint="eastAsia" w:ascii="仿宋" w:hAnsi="仿宋" w:eastAsia="仿宋" w:cs="仿宋"/>
          <w:color w:val="auto"/>
          <w:sz w:val="24"/>
          <w:szCs w:val="24"/>
          <w:highlight w:val="none"/>
          <w:lang w:eastAsia="zh-CN"/>
        </w:rPr>
        <w:t>招标文件</w:t>
      </w:r>
      <w:r>
        <w:rPr>
          <w:rFonts w:hint="eastAsia" w:ascii="仿宋" w:hAnsi="仿宋" w:eastAsia="仿宋" w:cs="仿宋"/>
          <w:color w:val="auto"/>
          <w:sz w:val="24"/>
          <w:szCs w:val="24"/>
          <w:highlight w:val="none"/>
        </w:rPr>
        <w:t>。</w:t>
      </w:r>
    </w:p>
    <w:p w14:paraId="49D0339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售价（元）：0</w:t>
      </w:r>
    </w:p>
    <w:p w14:paraId="47C2F74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四、提交投标文件截止时间、开标时间和地点</w:t>
      </w:r>
    </w:p>
    <w:p w14:paraId="0ED75AE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提交投标文件截止时间：</w:t>
      </w:r>
      <w:r>
        <w:rPr>
          <w:rFonts w:hint="eastAsia" w:ascii="仿宋" w:hAnsi="仿宋" w:eastAsia="仿宋" w:cs="仿宋"/>
          <w:color w:val="auto"/>
          <w:sz w:val="24"/>
          <w:szCs w:val="24"/>
          <w:highlight w:val="none"/>
          <w:lang w:eastAsia="zh-CN"/>
        </w:rPr>
        <w:t>2026年05月18日11:00</w:t>
      </w:r>
      <w:r>
        <w:rPr>
          <w:rFonts w:hint="eastAsia" w:ascii="仿宋" w:hAnsi="仿宋" w:eastAsia="仿宋" w:cs="仿宋"/>
          <w:color w:val="auto"/>
          <w:sz w:val="24"/>
          <w:szCs w:val="24"/>
          <w:highlight w:val="none"/>
        </w:rPr>
        <w:t>（北京时间）</w:t>
      </w:r>
    </w:p>
    <w:p w14:paraId="116BF28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投标地点：请登录政采云投标客户端投标</w:t>
      </w:r>
    </w:p>
    <w:p w14:paraId="4CB28AE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开标时间：</w:t>
      </w:r>
      <w:r>
        <w:rPr>
          <w:rFonts w:hint="eastAsia" w:ascii="仿宋" w:hAnsi="仿宋" w:eastAsia="仿宋" w:cs="仿宋"/>
          <w:color w:val="auto"/>
          <w:sz w:val="24"/>
          <w:szCs w:val="24"/>
          <w:highlight w:val="none"/>
          <w:lang w:eastAsia="zh-CN"/>
        </w:rPr>
        <w:t>2026年05月18日11:00</w:t>
      </w:r>
      <w:r>
        <w:rPr>
          <w:rFonts w:hint="eastAsia" w:ascii="仿宋" w:hAnsi="仿宋" w:eastAsia="仿宋" w:cs="仿宋"/>
          <w:color w:val="auto"/>
          <w:sz w:val="24"/>
          <w:szCs w:val="24"/>
          <w:highlight w:val="none"/>
        </w:rPr>
        <w:t>（北京时间）</w:t>
      </w:r>
    </w:p>
    <w:p w14:paraId="1A112FF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开标地点：投标人登录政采云平台https://www.zcygov.cn/，进入“项目采购-开标评标-右边选择对应项目点击“进入项目”进入开标大厅。</w:t>
      </w:r>
    </w:p>
    <w:p w14:paraId="267BB84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五、公告期限</w:t>
      </w:r>
    </w:p>
    <w:p w14:paraId="2345FBA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自本公告发布之日起5个工作日。</w:t>
      </w:r>
    </w:p>
    <w:p w14:paraId="4E0AF9E3">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六、对本次采购提出询问，请按以下方式联系</w:t>
      </w:r>
    </w:p>
    <w:p w14:paraId="410FEDC7">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1.采购人信息</w:t>
      </w:r>
    </w:p>
    <w:p w14:paraId="0B0E69D5">
      <w:pPr>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名 称：</w:t>
      </w:r>
      <w:r>
        <w:rPr>
          <w:rFonts w:hint="eastAsia" w:ascii="仿宋" w:hAnsi="仿宋" w:eastAsia="仿宋" w:cs="仿宋"/>
          <w:color w:val="auto"/>
          <w:sz w:val="24"/>
          <w:szCs w:val="24"/>
          <w:highlight w:val="none"/>
          <w:lang w:eastAsia="zh-CN"/>
        </w:rPr>
        <w:t>新疆农业大学</w:t>
      </w:r>
    </w:p>
    <w:p w14:paraId="0DED1C43">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址：乌鲁木齐市</w:t>
      </w:r>
      <w:r>
        <w:rPr>
          <w:rFonts w:hint="eastAsia" w:ascii="仿宋" w:hAnsi="仿宋" w:eastAsia="仿宋" w:cs="仿宋"/>
          <w:color w:val="auto"/>
          <w:sz w:val="24"/>
          <w:szCs w:val="24"/>
          <w:highlight w:val="none"/>
          <w:lang w:eastAsia="zh-CN"/>
        </w:rPr>
        <w:t>农大</w:t>
      </w:r>
      <w:r>
        <w:rPr>
          <w:rFonts w:hint="eastAsia" w:ascii="仿宋" w:hAnsi="仿宋" w:eastAsia="仿宋" w:cs="仿宋"/>
          <w:color w:val="auto"/>
          <w:sz w:val="24"/>
          <w:szCs w:val="24"/>
          <w:highlight w:val="none"/>
          <w:lang w:val="en-US" w:eastAsia="zh-CN"/>
        </w:rPr>
        <w:t>东</w:t>
      </w:r>
      <w:r>
        <w:rPr>
          <w:rFonts w:hint="eastAsia" w:ascii="仿宋" w:hAnsi="仿宋" w:eastAsia="仿宋" w:cs="仿宋"/>
          <w:color w:val="auto"/>
          <w:sz w:val="24"/>
          <w:szCs w:val="24"/>
          <w:highlight w:val="none"/>
        </w:rPr>
        <w:t>路</w:t>
      </w:r>
      <w:r>
        <w:rPr>
          <w:rFonts w:hint="eastAsia" w:ascii="仿宋" w:hAnsi="仿宋" w:eastAsia="仿宋" w:cs="仿宋"/>
          <w:color w:val="auto"/>
          <w:sz w:val="24"/>
          <w:szCs w:val="24"/>
          <w:highlight w:val="none"/>
          <w:lang w:val="en-US" w:eastAsia="zh-CN"/>
        </w:rPr>
        <w:t>311</w:t>
      </w:r>
      <w:r>
        <w:rPr>
          <w:rFonts w:hint="eastAsia" w:ascii="仿宋" w:hAnsi="仿宋" w:eastAsia="仿宋" w:cs="仿宋"/>
          <w:color w:val="auto"/>
          <w:sz w:val="24"/>
          <w:szCs w:val="24"/>
          <w:highlight w:val="none"/>
        </w:rPr>
        <w:t>号</w:t>
      </w:r>
    </w:p>
    <w:p w14:paraId="620C4392">
      <w:pPr>
        <w:spacing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联系方式：</w:t>
      </w:r>
      <w:r>
        <w:rPr>
          <w:rFonts w:hint="eastAsia" w:ascii="仿宋" w:hAnsi="仿宋" w:eastAsia="仿宋" w:cs="仿宋"/>
          <w:color w:val="auto"/>
          <w:sz w:val="24"/>
          <w:szCs w:val="24"/>
          <w:highlight w:val="none"/>
          <w:lang w:val="en-US" w:eastAsia="zh-CN"/>
        </w:rPr>
        <w:t>0991-8762621</w:t>
      </w:r>
    </w:p>
    <w:p w14:paraId="23D963B8">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2.采购代理机构信息</w:t>
      </w:r>
    </w:p>
    <w:p w14:paraId="3AE25F75">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名 称：新疆新世纪招标有限公司</w:t>
      </w:r>
    </w:p>
    <w:p w14:paraId="53578F73">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址：乌鲁木齐市新兴街20号凤凰大厦五楼</w:t>
      </w:r>
    </w:p>
    <w:p w14:paraId="60A7EFE0">
      <w:pPr>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联系方式：</w:t>
      </w:r>
      <w:r>
        <w:rPr>
          <w:rFonts w:hint="eastAsia" w:ascii="仿宋" w:hAnsi="仿宋" w:eastAsia="仿宋" w:cs="仿宋"/>
          <w:color w:val="auto"/>
          <w:sz w:val="24"/>
          <w:szCs w:val="24"/>
          <w:highlight w:val="none"/>
          <w:lang w:val="en-US" w:eastAsia="zh-CN"/>
        </w:rPr>
        <w:t>18690890996</w:t>
      </w:r>
    </w:p>
    <w:p w14:paraId="6BE57445">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3.项目联系方式</w:t>
      </w:r>
    </w:p>
    <w:p w14:paraId="766E7DEE">
      <w:pPr>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项目联系人：</w:t>
      </w:r>
      <w:r>
        <w:rPr>
          <w:rFonts w:hint="eastAsia" w:ascii="仿宋" w:hAnsi="仿宋" w:eastAsia="仿宋" w:cs="仿宋"/>
          <w:color w:val="auto"/>
          <w:sz w:val="24"/>
          <w:szCs w:val="24"/>
          <w:highlight w:val="none"/>
          <w:lang w:val="en-US" w:eastAsia="zh-CN"/>
        </w:rPr>
        <w:t>马丹阳</w:t>
      </w:r>
    </w:p>
    <w:p w14:paraId="0560E093">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 话：0991-4661782</w:t>
      </w:r>
    </w:p>
    <w:p w14:paraId="4CEA1E82">
      <w:pPr>
        <w:pStyle w:val="8"/>
        <w:rPr>
          <w:rFonts w:hint="eastAsia" w:ascii="仿宋" w:hAnsi="仿宋" w:eastAsia="仿宋" w:cs="仿宋"/>
          <w:color w:val="auto"/>
          <w:highlight w:val="none"/>
        </w:rPr>
      </w:pPr>
    </w:p>
    <w:p w14:paraId="20CCF4FC">
      <w:pPr>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r>
    </w:p>
    <w:p w14:paraId="06BA5047">
      <w:pPr>
        <w:rPr>
          <w:rFonts w:hint="eastAsia" w:ascii="仿宋" w:hAnsi="仿宋" w:eastAsia="仿宋" w:cs="仿宋"/>
          <w:color w:val="auto"/>
          <w:sz w:val="24"/>
          <w:highlight w:val="none"/>
        </w:rPr>
        <w:sectPr>
          <w:footerReference r:id="rId6" w:type="default"/>
          <w:pgSz w:w="11906" w:h="16838"/>
          <w:pgMar w:top="1361" w:right="1134" w:bottom="1361" w:left="1418" w:header="851" w:footer="992" w:gutter="0"/>
          <w:pgNumType w:start="1"/>
          <w:cols w:space="720" w:num="1"/>
          <w:docGrid w:type="lines" w:linePitch="312" w:charSpace="0"/>
        </w:sectPr>
      </w:pPr>
    </w:p>
    <w:p w14:paraId="73F38540">
      <w:pPr>
        <w:spacing w:line="440" w:lineRule="exact"/>
        <w:jc w:val="center"/>
        <w:outlineLvl w:val="0"/>
        <w:rPr>
          <w:rFonts w:hint="eastAsia" w:ascii="仿宋" w:hAnsi="仿宋" w:eastAsia="仿宋" w:cs="仿宋"/>
          <w:b/>
          <w:color w:val="auto"/>
          <w:sz w:val="24"/>
          <w:szCs w:val="24"/>
          <w:highlight w:val="none"/>
        </w:rPr>
      </w:pPr>
      <w:bookmarkStart w:id="1" w:name="_Toc10824"/>
      <w:r>
        <w:rPr>
          <w:rFonts w:hint="eastAsia" w:ascii="仿宋" w:hAnsi="仿宋" w:eastAsia="仿宋" w:cs="仿宋"/>
          <w:b/>
          <w:color w:val="auto"/>
          <w:sz w:val="24"/>
          <w:szCs w:val="24"/>
          <w:highlight w:val="none"/>
        </w:rPr>
        <w:t>投标人须知前附表</w:t>
      </w:r>
      <w:bookmarkEnd w:id="1"/>
    </w:p>
    <w:tbl>
      <w:tblPr>
        <w:tblStyle w:val="40"/>
        <w:tblW w:w="90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57" w:type="dxa"/>
          <w:left w:w="57" w:type="dxa"/>
          <w:bottom w:w="57" w:type="dxa"/>
          <w:right w:w="57" w:type="dxa"/>
        </w:tblCellMar>
      </w:tblPr>
      <w:tblGrid>
        <w:gridCol w:w="597"/>
        <w:gridCol w:w="1410"/>
        <w:gridCol w:w="7073"/>
      </w:tblGrid>
      <w:tr w14:paraId="528739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87" w:hRule="atLeast"/>
          <w:jc w:val="center"/>
        </w:trPr>
        <w:tc>
          <w:tcPr>
            <w:tcW w:w="597" w:type="dxa"/>
            <w:vAlign w:val="center"/>
          </w:tcPr>
          <w:p w14:paraId="07317197">
            <w:pPr>
              <w:jc w:val="center"/>
              <w:rPr>
                <w:rFonts w:hint="eastAsia" w:ascii="仿宋" w:hAnsi="仿宋" w:eastAsia="仿宋" w:cs="仿宋"/>
                <w:b/>
                <w:color w:val="auto"/>
                <w:kern w:val="0"/>
                <w:szCs w:val="21"/>
                <w:highlight w:val="none"/>
              </w:rPr>
            </w:pPr>
            <w:r>
              <w:rPr>
                <w:rFonts w:hint="eastAsia" w:ascii="仿宋" w:hAnsi="仿宋" w:eastAsia="仿宋" w:cs="仿宋"/>
                <w:b/>
                <w:color w:val="auto"/>
                <w:kern w:val="0"/>
                <w:szCs w:val="21"/>
                <w:highlight w:val="none"/>
              </w:rPr>
              <w:t>项号</w:t>
            </w:r>
          </w:p>
        </w:tc>
        <w:tc>
          <w:tcPr>
            <w:tcW w:w="8483" w:type="dxa"/>
            <w:gridSpan w:val="2"/>
            <w:vAlign w:val="center"/>
          </w:tcPr>
          <w:p w14:paraId="660C8486">
            <w:pPr>
              <w:jc w:val="center"/>
              <w:rPr>
                <w:rFonts w:hint="eastAsia" w:ascii="仿宋" w:hAnsi="仿宋" w:eastAsia="仿宋" w:cs="仿宋"/>
                <w:b/>
                <w:color w:val="auto"/>
                <w:kern w:val="0"/>
                <w:szCs w:val="21"/>
                <w:highlight w:val="none"/>
              </w:rPr>
            </w:pPr>
            <w:r>
              <w:rPr>
                <w:rFonts w:hint="eastAsia" w:ascii="仿宋" w:hAnsi="仿宋" w:eastAsia="仿宋" w:cs="仿宋"/>
                <w:b/>
                <w:color w:val="auto"/>
                <w:kern w:val="0"/>
                <w:szCs w:val="21"/>
                <w:highlight w:val="none"/>
              </w:rPr>
              <w:t>编列内容</w:t>
            </w:r>
          </w:p>
        </w:tc>
      </w:tr>
      <w:tr w14:paraId="48B2AD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restart"/>
            <w:vAlign w:val="center"/>
          </w:tcPr>
          <w:p w14:paraId="631F3A7B">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w:t>
            </w:r>
          </w:p>
        </w:tc>
        <w:tc>
          <w:tcPr>
            <w:tcW w:w="1410" w:type="dxa"/>
            <w:vAlign w:val="center"/>
          </w:tcPr>
          <w:p w14:paraId="06DA83F6">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项目名称</w:t>
            </w:r>
          </w:p>
        </w:tc>
        <w:tc>
          <w:tcPr>
            <w:tcW w:w="7073" w:type="dxa"/>
            <w:vAlign w:val="center"/>
          </w:tcPr>
          <w:p w14:paraId="46FED05E">
            <w:pPr>
              <w:keepNext/>
              <w:keepLines w:val="0"/>
              <w:pageBreakBefore w:val="0"/>
              <w:widowControl/>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kern w:val="0"/>
                <w:szCs w:val="21"/>
                <w:highlight w:val="none"/>
                <w:lang w:eastAsia="zh-CN"/>
              </w:rPr>
            </w:pPr>
            <w:r>
              <w:rPr>
                <w:rFonts w:hint="eastAsia" w:ascii="仿宋" w:hAnsi="仿宋" w:eastAsia="仿宋" w:cs="仿宋"/>
                <w:color w:val="auto"/>
                <w:kern w:val="0"/>
                <w:szCs w:val="21"/>
                <w:highlight w:val="none"/>
                <w:lang w:eastAsia="zh-CN"/>
              </w:rPr>
              <w:t>2026年新疆农业大学教职工健康体检项目</w:t>
            </w:r>
          </w:p>
        </w:tc>
      </w:tr>
      <w:tr w14:paraId="64419B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5C39C16B">
            <w:pPr>
              <w:jc w:val="center"/>
              <w:rPr>
                <w:rFonts w:hint="eastAsia" w:ascii="仿宋" w:hAnsi="仿宋" w:eastAsia="仿宋" w:cs="仿宋"/>
                <w:color w:val="auto"/>
                <w:kern w:val="0"/>
                <w:szCs w:val="21"/>
                <w:highlight w:val="none"/>
              </w:rPr>
            </w:pPr>
          </w:p>
        </w:tc>
        <w:tc>
          <w:tcPr>
            <w:tcW w:w="1410" w:type="dxa"/>
            <w:vAlign w:val="center"/>
          </w:tcPr>
          <w:p w14:paraId="365A0AE7">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项目编号</w:t>
            </w:r>
          </w:p>
        </w:tc>
        <w:tc>
          <w:tcPr>
            <w:tcW w:w="7073" w:type="dxa"/>
            <w:vAlign w:val="center"/>
          </w:tcPr>
          <w:p w14:paraId="53AD51D0">
            <w:pPr>
              <w:keepNext/>
              <w:keepLines w:val="0"/>
              <w:pageBreakBefore w:val="0"/>
              <w:widowControl/>
              <w:kinsoku/>
              <w:wordWrap/>
              <w:overflowPunct/>
              <w:topLinePunct w:val="0"/>
              <w:autoSpaceDE/>
              <w:autoSpaceDN/>
              <w:bidi w:val="0"/>
              <w:adjustRightInd/>
              <w:snapToGrid/>
              <w:ind w:firstLine="210" w:firstLineChars="100"/>
              <w:jc w:val="left"/>
              <w:textAlignment w:val="auto"/>
              <w:rPr>
                <w:rFonts w:hint="default"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eastAsia="zh-CN"/>
              </w:rPr>
              <w:t>XJXSJ-2026（ZC）-</w:t>
            </w:r>
            <w:r>
              <w:rPr>
                <w:rFonts w:hint="eastAsia" w:ascii="仿宋" w:hAnsi="仿宋" w:eastAsia="仿宋" w:cs="仿宋"/>
                <w:color w:val="auto"/>
                <w:kern w:val="0"/>
                <w:szCs w:val="21"/>
                <w:highlight w:val="none"/>
                <w:lang w:val="en-US" w:eastAsia="zh-CN"/>
              </w:rPr>
              <w:t>233</w:t>
            </w:r>
          </w:p>
        </w:tc>
      </w:tr>
      <w:tr w14:paraId="787A15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6BD19D84">
            <w:pPr>
              <w:jc w:val="center"/>
              <w:rPr>
                <w:rFonts w:hint="eastAsia" w:ascii="仿宋" w:hAnsi="仿宋" w:eastAsia="仿宋" w:cs="仿宋"/>
                <w:color w:val="auto"/>
                <w:kern w:val="0"/>
                <w:szCs w:val="21"/>
                <w:highlight w:val="none"/>
              </w:rPr>
            </w:pPr>
          </w:p>
        </w:tc>
        <w:tc>
          <w:tcPr>
            <w:tcW w:w="1410" w:type="dxa"/>
            <w:vAlign w:val="center"/>
          </w:tcPr>
          <w:p w14:paraId="06F51068">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采购人</w:t>
            </w:r>
          </w:p>
        </w:tc>
        <w:tc>
          <w:tcPr>
            <w:tcW w:w="7073" w:type="dxa"/>
            <w:vAlign w:val="center"/>
          </w:tcPr>
          <w:p w14:paraId="320003BE">
            <w:pPr>
              <w:keepNext/>
              <w:keepLines w:val="0"/>
              <w:pageBreakBefore w:val="0"/>
              <w:widowControl/>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kern w:val="0"/>
                <w:szCs w:val="21"/>
                <w:highlight w:val="none"/>
                <w:lang w:eastAsia="zh-CN"/>
              </w:rPr>
            </w:pPr>
            <w:r>
              <w:rPr>
                <w:rFonts w:hint="eastAsia" w:ascii="仿宋" w:hAnsi="仿宋" w:eastAsia="仿宋" w:cs="仿宋"/>
                <w:color w:val="auto"/>
                <w:kern w:val="0"/>
                <w:szCs w:val="21"/>
                <w:highlight w:val="none"/>
                <w:lang w:eastAsia="zh-CN"/>
              </w:rPr>
              <w:t>新疆农业大学</w:t>
            </w:r>
          </w:p>
        </w:tc>
      </w:tr>
      <w:tr w14:paraId="3A55C0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585" w:hRule="atLeast"/>
          <w:jc w:val="center"/>
        </w:trPr>
        <w:tc>
          <w:tcPr>
            <w:tcW w:w="597" w:type="dxa"/>
            <w:vMerge w:val="continue"/>
            <w:vAlign w:val="center"/>
          </w:tcPr>
          <w:p w14:paraId="4A5394D2">
            <w:pPr>
              <w:jc w:val="center"/>
              <w:rPr>
                <w:rFonts w:hint="eastAsia" w:ascii="仿宋" w:hAnsi="仿宋" w:eastAsia="仿宋" w:cs="仿宋"/>
                <w:color w:val="auto"/>
                <w:kern w:val="0"/>
                <w:szCs w:val="21"/>
                <w:highlight w:val="none"/>
              </w:rPr>
            </w:pPr>
          </w:p>
        </w:tc>
        <w:tc>
          <w:tcPr>
            <w:tcW w:w="1410" w:type="dxa"/>
            <w:vAlign w:val="center"/>
          </w:tcPr>
          <w:p w14:paraId="645B288D">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采购代理机构</w:t>
            </w:r>
          </w:p>
        </w:tc>
        <w:tc>
          <w:tcPr>
            <w:tcW w:w="7073" w:type="dxa"/>
            <w:vAlign w:val="center"/>
          </w:tcPr>
          <w:p w14:paraId="2CE93CC6">
            <w:pPr>
              <w:keepNext/>
              <w:keepLines w:val="0"/>
              <w:pageBreakBefore w:val="0"/>
              <w:widowControl/>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新疆新世纪招标有限公司</w:t>
            </w:r>
          </w:p>
        </w:tc>
      </w:tr>
      <w:tr w14:paraId="663C56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4DE7153C">
            <w:pPr>
              <w:jc w:val="center"/>
              <w:rPr>
                <w:rFonts w:hint="eastAsia" w:ascii="仿宋" w:hAnsi="仿宋" w:eastAsia="仿宋" w:cs="仿宋"/>
                <w:color w:val="auto"/>
                <w:kern w:val="0"/>
                <w:szCs w:val="21"/>
                <w:highlight w:val="none"/>
              </w:rPr>
            </w:pPr>
          </w:p>
        </w:tc>
        <w:tc>
          <w:tcPr>
            <w:tcW w:w="1410" w:type="dxa"/>
            <w:vAlign w:val="center"/>
          </w:tcPr>
          <w:p w14:paraId="27B06FA7">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项目地点</w:t>
            </w:r>
          </w:p>
        </w:tc>
        <w:tc>
          <w:tcPr>
            <w:tcW w:w="7073" w:type="dxa"/>
            <w:vAlign w:val="center"/>
          </w:tcPr>
          <w:p w14:paraId="4D10BE5B">
            <w:pPr>
              <w:keepNext/>
              <w:keepLines w:val="0"/>
              <w:pageBreakBefore w:val="0"/>
              <w:widowControl/>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乌鲁木齐市</w:t>
            </w:r>
          </w:p>
        </w:tc>
      </w:tr>
      <w:tr w14:paraId="36342A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5FD0260A">
            <w:pPr>
              <w:jc w:val="center"/>
              <w:rPr>
                <w:rFonts w:hint="eastAsia" w:ascii="仿宋" w:hAnsi="仿宋" w:eastAsia="仿宋" w:cs="仿宋"/>
                <w:color w:val="auto"/>
                <w:kern w:val="0"/>
                <w:szCs w:val="21"/>
                <w:highlight w:val="none"/>
              </w:rPr>
            </w:pPr>
          </w:p>
        </w:tc>
        <w:tc>
          <w:tcPr>
            <w:tcW w:w="1410" w:type="dxa"/>
            <w:vAlign w:val="center"/>
          </w:tcPr>
          <w:p w14:paraId="2C055750">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资金来源</w:t>
            </w:r>
          </w:p>
        </w:tc>
        <w:tc>
          <w:tcPr>
            <w:tcW w:w="7073" w:type="dxa"/>
            <w:vAlign w:val="center"/>
          </w:tcPr>
          <w:p w14:paraId="4099B549">
            <w:pPr>
              <w:keepNext/>
              <w:keepLines w:val="0"/>
              <w:pageBreakBefore w:val="0"/>
              <w:widowControl/>
              <w:kinsoku/>
              <w:wordWrap/>
              <w:overflowPunct/>
              <w:topLinePunct w:val="0"/>
              <w:autoSpaceDE/>
              <w:autoSpaceDN/>
              <w:bidi w:val="0"/>
              <w:adjustRightInd/>
              <w:snapToGrid/>
              <w:ind w:firstLine="210" w:firstLineChars="100"/>
              <w:jc w:val="left"/>
              <w:textAlignment w:val="auto"/>
              <w:rPr>
                <w:rFonts w:hint="default"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福利费</w:t>
            </w:r>
          </w:p>
        </w:tc>
      </w:tr>
      <w:tr w14:paraId="14918B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37DDA7C6">
            <w:pPr>
              <w:jc w:val="center"/>
              <w:rPr>
                <w:rFonts w:hint="eastAsia" w:ascii="仿宋" w:hAnsi="仿宋" w:eastAsia="仿宋" w:cs="仿宋"/>
                <w:color w:val="auto"/>
                <w:kern w:val="0"/>
                <w:szCs w:val="21"/>
                <w:highlight w:val="none"/>
              </w:rPr>
            </w:pPr>
          </w:p>
        </w:tc>
        <w:tc>
          <w:tcPr>
            <w:tcW w:w="1410" w:type="dxa"/>
            <w:vAlign w:val="center"/>
          </w:tcPr>
          <w:p w14:paraId="3E641FD3">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采购预算金额</w:t>
            </w:r>
          </w:p>
        </w:tc>
        <w:tc>
          <w:tcPr>
            <w:tcW w:w="7073" w:type="dxa"/>
            <w:vAlign w:val="center"/>
          </w:tcPr>
          <w:p w14:paraId="0B73B803">
            <w:pPr>
              <w:keepNext/>
              <w:keepLines w:val="0"/>
              <w:pageBreakBefore w:val="0"/>
              <w:widowControl/>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2000000.00元</w:t>
            </w:r>
          </w:p>
        </w:tc>
      </w:tr>
      <w:tr w14:paraId="30EFAE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0C46E238">
            <w:pPr>
              <w:jc w:val="center"/>
              <w:rPr>
                <w:rFonts w:hint="eastAsia" w:ascii="仿宋" w:hAnsi="仿宋" w:eastAsia="仿宋" w:cs="仿宋"/>
                <w:color w:val="auto"/>
                <w:kern w:val="0"/>
                <w:szCs w:val="21"/>
                <w:highlight w:val="none"/>
              </w:rPr>
            </w:pPr>
          </w:p>
        </w:tc>
        <w:tc>
          <w:tcPr>
            <w:tcW w:w="1410" w:type="dxa"/>
            <w:vAlign w:val="center"/>
          </w:tcPr>
          <w:p w14:paraId="1E1951EB">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最高限价</w:t>
            </w:r>
          </w:p>
        </w:tc>
        <w:tc>
          <w:tcPr>
            <w:tcW w:w="7073" w:type="dxa"/>
            <w:vAlign w:val="center"/>
          </w:tcPr>
          <w:p w14:paraId="28CC9A7A">
            <w:pPr>
              <w:spacing w:line="288" w:lineRule="auto"/>
              <w:ind w:firstLine="420" w:firstLineChars="200"/>
              <w:jc w:val="left"/>
              <w:rPr>
                <w:rFonts w:hint="eastAsia" w:ascii="仿宋" w:hAnsi="仿宋" w:eastAsia="仿宋" w:cs="仿宋"/>
                <w:color w:val="auto"/>
                <w:kern w:val="0"/>
                <w:szCs w:val="21"/>
                <w:highlight w:val="none"/>
                <w:lang w:eastAsia="zh-CN"/>
              </w:rPr>
            </w:pPr>
            <w:r>
              <w:rPr>
                <w:rFonts w:hint="eastAsia" w:ascii="仿宋" w:hAnsi="仿宋" w:eastAsia="仿宋" w:cs="仿宋"/>
                <w:color w:val="auto"/>
                <w:kern w:val="0"/>
                <w:szCs w:val="21"/>
                <w:highlight w:val="none"/>
                <w:shd w:val="clear" w:color="auto" w:fill="FFFFFF" w:themeFill="background1"/>
                <w:lang w:val="en-US" w:eastAsia="zh-CN"/>
              </w:rPr>
              <w:t>最高限价单价及最高限价单价合计金额：详见</w:t>
            </w:r>
            <w:r>
              <w:rPr>
                <w:rFonts w:hint="eastAsia" w:ascii="仿宋" w:hAnsi="仿宋" w:eastAsia="仿宋" w:cs="仿宋"/>
                <w:color w:val="auto"/>
                <w:kern w:val="0"/>
                <w:szCs w:val="21"/>
                <w:highlight w:val="none"/>
                <w:lang w:eastAsia="zh-CN"/>
              </w:rPr>
              <w:t>招标文件</w:t>
            </w:r>
            <w:r>
              <w:rPr>
                <w:rFonts w:hint="eastAsia" w:ascii="仿宋" w:hAnsi="仿宋" w:eastAsia="仿宋" w:cs="仿宋"/>
                <w:color w:val="auto"/>
                <w:kern w:val="0"/>
                <w:szCs w:val="21"/>
                <w:highlight w:val="none"/>
              </w:rPr>
              <w:t>第四章“服务标准和要求”</w:t>
            </w:r>
            <w:r>
              <w:rPr>
                <w:rFonts w:hint="eastAsia" w:ascii="仿宋" w:hAnsi="仿宋" w:eastAsia="仿宋" w:cs="仿宋"/>
                <w:color w:val="auto"/>
                <w:kern w:val="0"/>
                <w:szCs w:val="21"/>
                <w:highlight w:val="none"/>
                <w:lang w:val="en-US" w:eastAsia="zh-CN"/>
              </w:rPr>
              <w:t>中“三、最高限价表”</w:t>
            </w:r>
          </w:p>
          <w:p w14:paraId="1C1C770C">
            <w:pPr>
              <w:keepNext/>
              <w:keepLines w:val="0"/>
              <w:pageBreakBefore w:val="0"/>
              <w:widowControl/>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shd w:val="clear" w:color="auto" w:fill="FFFFFF" w:themeFill="background1"/>
                <w:lang w:val="en-US" w:eastAsia="zh-CN"/>
              </w:rPr>
              <w:t>说明：投标人只填报单价及单价合计金额，总价以实际发生为准，按实结算。</w:t>
            </w:r>
          </w:p>
        </w:tc>
      </w:tr>
      <w:tr w14:paraId="599200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5929876E">
            <w:pPr>
              <w:jc w:val="center"/>
              <w:rPr>
                <w:rFonts w:hint="eastAsia" w:ascii="仿宋" w:hAnsi="仿宋" w:eastAsia="仿宋" w:cs="仿宋"/>
                <w:color w:val="auto"/>
                <w:kern w:val="0"/>
                <w:szCs w:val="21"/>
                <w:highlight w:val="none"/>
              </w:rPr>
            </w:pPr>
          </w:p>
        </w:tc>
        <w:tc>
          <w:tcPr>
            <w:tcW w:w="1410" w:type="dxa"/>
            <w:shd w:val="clear" w:color="auto" w:fill="auto"/>
            <w:vAlign w:val="center"/>
          </w:tcPr>
          <w:p w14:paraId="20E73394">
            <w:pPr>
              <w:keepNext/>
              <w:widowControl/>
              <w:jc w:val="distribute"/>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eastAsia="zh-CN"/>
              </w:rPr>
              <w:t>合同履约期限</w:t>
            </w:r>
          </w:p>
        </w:tc>
        <w:tc>
          <w:tcPr>
            <w:tcW w:w="7073" w:type="dxa"/>
            <w:shd w:val="clear" w:color="auto" w:fill="auto"/>
            <w:vAlign w:val="center"/>
          </w:tcPr>
          <w:p w14:paraId="36EA2684">
            <w:pPr>
              <w:keepNext/>
              <w:keepLines w:val="0"/>
              <w:pageBreakBefore w:val="0"/>
              <w:widowControl/>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集中体检天数为24个工作日，零星体检天数为96日历日</w:t>
            </w:r>
          </w:p>
        </w:tc>
      </w:tr>
      <w:tr w14:paraId="532171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595" w:hRule="atLeast"/>
          <w:jc w:val="center"/>
        </w:trPr>
        <w:tc>
          <w:tcPr>
            <w:tcW w:w="597" w:type="dxa"/>
            <w:vMerge w:val="continue"/>
            <w:vAlign w:val="center"/>
          </w:tcPr>
          <w:p w14:paraId="504F5A02">
            <w:pPr>
              <w:jc w:val="center"/>
              <w:rPr>
                <w:rFonts w:hint="eastAsia" w:ascii="仿宋" w:hAnsi="仿宋" w:eastAsia="仿宋" w:cs="仿宋"/>
                <w:color w:val="auto"/>
                <w:kern w:val="0"/>
                <w:szCs w:val="21"/>
                <w:highlight w:val="none"/>
              </w:rPr>
            </w:pPr>
          </w:p>
        </w:tc>
        <w:tc>
          <w:tcPr>
            <w:tcW w:w="1410" w:type="dxa"/>
            <w:shd w:val="clear" w:color="auto" w:fill="auto"/>
            <w:vAlign w:val="center"/>
          </w:tcPr>
          <w:p w14:paraId="4849C73C">
            <w:pPr>
              <w:keepNext/>
              <w:widowControl/>
              <w:jc w:val="distribute"/>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eastAsia="zh-CN"/>
              </w:rPr>
              <w:t>服务地点</w:t>
            </w:r>
          </w:p>
        </w:tc>
        <w:tc>
          <w:tcPr>
            <w:tcW w:w="7073" w:type="dxa"/>
            <w:shd w:val="clear" w:color="auto" w:fill="auto"/>
            <w:vAlign w:val="center"/>
          </w:tcPr>
          <w:p w14:paraId="17364C19">
            <w:pPr>
              <w:keepNext/>
              <w:keepLines w:val="0"/>
              <w:pageBreakBefore w:val="0"/>
              <w:widowControl/>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Cs w:val="21"/>
                <w:highlight w:val="none"/>
              </w:rPr>
              <w:t>乌鲁木齐市</w:t>
            </w:r>
          </w:p>
        </w:tc>
      </w:tr>
      <w:tr w14:paraId="42B042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27B8AD77">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w:t>
            </w:r>
          </w:p>
        </w:tc>
        <w:tc>
          <w:tcPr>
            <w:tcW w:w="1410" w:type="dxa"/>
            <w:vAlign w:val="center"/>
          </w:tcPr>
          <w:p w14:paraId="76CB735F">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采购范围</w:t>
            </w:r>
          </w:p>
        </w:tc>
        <w:tc>
          <w:tcPr>
            <w:tcW w:w="7073" w:type="dxa"/>
            <w:vAlign w:val="center"/>
          </w:tcPr>
          <w:p w14:paraId="3F6A9EE8">
            <w:pPr>
              <w:keepNext/>
              <w:keepLines w:val="0"/>
              <w:pageBreakBefore w:val="0"/>
              <w:widowControl/>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eastAsia="zh-CN"/>
              </w:rPr>
              <w:t>2026年新疆农业大学教职工健康体检项目</w:t>
            </w:r>
            <w:r>
              <w:rPr>
                <w:rFonts w:hint="eastAsia" w:ascii="仿宋" w:hAnsi="仿宋" w:eastAsia="仿宋" w:cs="仿宋"/>
                <w:color w:val="auto"/>
                <w:kern w:val="0"/>
                <w:szCs w:val="21"/>
                <w:highlight w:val="none"/>
              </w:rPr>
              <w:t>范围内</w:t>
            </w:r>
            <w:r>
              <w:rPr>
                <w:rFonts w:hint="eastAsia" w:ascii="仿宋" w:hAnsi="仿宋" w:eastAsia="仿宋" w:cs="仿宋"/>
                <w:color w:val="auto"/>
                <w:kern w:val="0"/>
                <w:szCs w:val="21"/>
                <w:highlight w:val="none"/>
                <w:lang w:val="en-US" w:eastAsia="zh-CN"/>
              </w:rPr>
              <w:t>对应</w:t>
            </w:r>
            <w:r>
              <w:rPr>
                <w:rFonts w:hint="eastAsia" w:ascii="仿宋" w:hAnsi="仿宋" w:eastAsia="仿宋" w:cs="仿宋"/>
                <w:color w:val="auto"/>
                <w:kern w:val="0"/>
                <w:szCs w:val="21"/>
                <w:highlight w:val="none"/>
              </w:rPr>
              <w:t>的所有工作内容，关于采购范围的详细说明见招标文件第四章“</w:t>
            </w:r>
            <w:r>
              <w:rPr>
                <w:rFonts w:hint="eastAsia" w:ascii="仿宋" w:hAnsi="仿宋" w:eastAsia="仿宋" w:cs="仿宋"/>
                <w:color w:val="auto"/>
                <w:kern w:val="0"/>
                <w:szCs w:val="21"/>
                <w:highlight w:val="none"/>
                <w:lang w:eastAsia="zh-CN"/>
              </w:rPr>
              <w:t>服务标准和要求</w:t>
            </w:r>
            <w:r>
              <w:rPr>
                <w:rFonts w:hint="eastAsia" w:ascii="仿宋" w:hAnsi="仿宋" w:eastAsia="仿宋" w:cs="仿宋"/>
                <w:color w:val="auto"/>
                <w:kern w:val="0"/>
                <w:szCs w:val="21"/>
                <w:highlight w:val="none"/>
              </w:rPr>
              <w:t>”。</w:t>
            </w:r>
          </w:p>
        </w:tc>
      </w:tr>
      <w:tr w14:paraId="43E88C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restart"/>
            <w:vAlign w:val="center"/>
          </w:tcPr>
          <w:p w14:paraId="462AB5B9">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3</w:t>
            </w:r>
          </w:p>
        </w:tc>
        <w:tc>
          <w:tcPr>
            <w:tcW w:w="1410" w:type="dxa"/>
            <w:vAlign w:val="center"/>
          </w:tcPr>
          <w:p w14:paraId="69CF713E">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采购方式</w:t>
            </w:r>
          </w:p>
        </w:tc>
        <w:tc>
          <w:tcPr>
            <w:tcW w:w="7073" w:type="dxa"/>
            <w:vAlign w:val="center"/>
          </w:tcPr>
          <w:p w14:paraId="274C3DD0">
            <w:pPr>
              <w:keepNext/>
              <w:keepLines w:val="0"/>
              <w:pageBreakBefore w:val="0"/>
              <w:widowControl/>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公开招标</w:t>
            </w:r>
          </w:p>
        </w:tc>
      </w:tr>
      <w:tr w14:paraId="708577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735C06DD">
            <w:pPr>
              <w:jc w:val="center"/>
              <w:rPr>
                <w:rFonts w:hint="eastAsia" w:ascii="仿宋" w:hAnsi="仿宋" w:eastAsia="仿宋" w:cs="仿宋"/>
                <w:color w:val="auto"/>
                <w:kern w:val="0"/>
                <w:szCs w:val="21"/>
                <w:highlight w:val="none"/>
              </w:rPr>
            </w:pPr>
          </w:p>
        </w:tc>
        <w:tc>
          <w:tcPr>
            <w:tcW w:w="1410" w:type="dxa"/>
            <w:vAlign w:val="center"/>
          </w:tcPr>
          <w:p w14:paraId="0FCA990B">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资格审查方式</w:t>
            </w:r>
          </w:p>
        </w:tc>
        <w:tc>
          <w:tcPr>
            <w:tcW w:w="7073" w:type="dxa"/>
            <w:vAlign w:val="center"/>
          </w:tcPr>
          <w:p w14:paraId="4E77333E">
            <w:pPr>
              <w:keepNext/>
              <w:keepLines w:val="0"/>
              <w:pageBreakBefore w:val="0"/>
              <w:widowControl/>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资格后审</w:t>
            </w:r>
          </w:p>
        </w:tc>
      </w:tr>
      <w:tr w14:paraId="1EF316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restart"/>
            <w:vAlign w:val="center"/>
          </w:tcPr>
          <w:p w14:paraId="4C525654">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4</w:t>
            </w:r>
          </w:p>
        </w:tc>
        <w:tc>
          <w:tcPr>
            <w:tcW w:w="1410" w:type="dxa"/>
            <w:vAlign w:val="center"/>
          </w:tcPr>
          <w:p w14:paraId="394971FD">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评审办法</w:t>
            </w:r>
          </w:p>
        </w:tc>
        <w:tc>
          <w:tcPr>
            <w:tcW w:w="7073" w:type="dxa"/>
            <w:vAlign w:val="center"/>
          </w:tcPr>
          <w:p w14:paraId="008D5E6E">
            <w:pPr>
              <w:keepNext/>
              <w:keepLines w:val="0"/>
              <w:pageBreakBefore w:val="0"/>
              <w:widowControl/>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综合评分法</w:t>
            </w:r>
          </w:p>
        </w:tc>
      </w:tr>
      <w:tr w14:paraId="4724C8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Merge w:val="continue"/>
            <w:vAlign w:val="center"/>
          </w:tcPr>
          <w:p w14:paraId="77D755CC">
            <w:pPr>
              <w:jc w:val="center"/>
              <w:rPr>
                <w:rFonts w:hint="eastAsia" w:ascii="仿宋" w:hAnsi="仿宋" w:eastAsia="仿宋" w:cs="仿宋"/>
                <w:color w:val="auto"/>
                <w:kern w:val="0"/>
                <w:szCs w:val="21"/>
                <w:highlight w:val="none"/>
              </w:rPr>
            </w:pPr>
          </w:p>
        </w:tc>
        <w:tc>
          <w:tcPr>
            <w:tcW w:w="1410" w:type="dxa"/>
            <w:vAlign w:val="center"/>
          </w:tcPr>
          <w:p w14:paraId="6BBD8F52">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定标方法</w:t>
            </w:r>
          </w:p>
        </w:tc>
        <w:tc>
          <w:tcPr>
            <w:tcW w:w="7073" w:type="dxa"/>
            <w:vAlign w:val="center"/>
          </w:tcPr>
          <w:p w14:paraId="38ABAB9D">
            <w:pPr>
              <w:keepNext/>
              <w:keepLines w:val="0"/>
              <w:pageBreakBefore w:val="0"/>
              <w:widowControl/>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kern w:val="0"/>
                <w:szCs w:val="21"/>
                <w:highlight w:val="none"/>
                <w:lang w:eastAsia="zh-CN"/>
              </w:rPr>
            </w:pPr>
            <w:r>
              <w:rPr>
                <w:rFonts w:hint="eastAsia" w:ascii="仿宋" w:hAnsi="仿宋" w:eastAsia="仿宋" w:cs="仿宋"/>
                <w:color w:val="auto"/>
                <w:kern w:val="0"/>
                <w:szCs w:val="21"/>
                <w:highlight w:val="none"/>
              </w:rPr>
              <w:t>评标委员会推荐三名中标候选人</w:t>
            </w:r>
          </w:p>
        </w:tc>
      </w:tr>
      <w:tr w14:paraId="265A5E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53A6E0A4">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5</w:t>
            </w:r>
          </w:p>
        </w:tc>
        <w:tc>
          <w:tcPr>
            <w:tcW w:w="1410" w:type="dxa"/>
            <w:vAlign w:val="center"/>
          </w:tcPr>
          <w:p w14:paraId="473462FE">
            <w:pPr>
              <w:keepNext/>
              <w:widowControl/>
              <w:jc w:val="distribute"/>
              <w:rPr>
                <w:rFonts w:hint="eastAsia" w:ascii="仿宋" w:hAnsi="仿宋" w:eastAsia="仿宋" w:cs="仿宋"/>
                <w:color w:val="auto"/>
                <w:kern w:val="0"/>
                <w:szCs w:val="21"/>
                <w:highlight w:val="none"/>
                <w:lang w:eastAsia="zh-CN"/>
              </w:rPr>
            </w:pPr>
            <w:r>
              <w:rPr>
                <w:rFonts w:hint="eastAsia" w:ascii="仿宋" w:hAnsi="仿宋" w:eastAsia="仿宋" w:cs="仿宋"/>
                <w:color w:val="auto"/>
                <w:kern w:val="0"/>
                <w:szCs w:val="21"/>
                <w:highlight w:val="none"/>
                <w:lang w:eastAsia="zh-CN"/>
              </w:rPr>
              <w:t>投标人的资格要求</w:t>
            </w:r>
          </w:p>
        </w:tc>
        <w:tc>
          <w:tcPr>
            <w:tcW w:w="7073" w:type="dxa"/>
            <w:vAlign w:val="center"/>
          </w:tcPr>
          <w:p w14:paraId="60915F4A">
            <w:pPr>
              <w:keepNext/>
              <w:keepLines w:val="0"/>
              <w:pageBreakBefore w:val="0"/>
              <w:widowControl/>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highlight w:val="none"/>
              </w:rPr>
            </w:pPr>
            <w:r>
              <w:rPr>
                <w:rFonts w:hint="eastAsia" w:ascii="仿宋" w:hAnsi="仿宋" w:eastAsia="仿宋" w:cs="仿宋"/>
                <w:color w:val="auto"/>
                <w:highlight w:val="none"/>
              </w:rPr>
              <w:t>1</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满足《中华人民共和国政府采购法》第二十二条规定。</w:t>
            </w:r>
          </w:p>
          <w:p w14:paraId="13285FF3">
            <w:pPr>
              <w:keepNext/>
              <w:keepLines w:val="0"/>
              <w:pageBreakBefore w:val="0"/>
              <w:widowControl/>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2、</w:t>
            </w:r>
            <w:r>
              <w:rPr>
                <w:rFonts w:hint="eastAsia" w:ascii="仿宋" w:hAnsi="仿宋" w:eastAsia="仿宋" w:cs="仿宋"/>
                <w:color w:val="auto"/>
                <w:highlight w:val="none"/>
              </w:rPr>
              <w:t>投标人如在“信用中国”网站（www.creditchina.gov.cn）、中国政府采购网（www.ccgp.gov.cn）等渠道被列入失信被执行人、重大税收违法失信主体、政府采购严重违法失信行为记录名单，尚在处罚期内的将被拒绝参加本次采购活动。</w:t>
            </w:r>
          </w:p>
          <w:p w14:paraId="7CD9B790">
            <w:pPr>
              <w:keepNext/>
              <w:keepLines w:val="0"/>
              <w:pageBreakBefore w:val="0"/>
              <w:widowControl/>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3、</w:t>
            </w:r>
            <w:r>
              <w:rPr>
                <w:rFonts w:hint="eastAsia" w:ascii="仿宋" w:hAnsi="仿宋" w:eastAsia="仿宋" w:cs="仿宋"/>
                <w:color w:val="auto"/>
                <w:highlight w:val="none"/>
                <w:lang w:eastAsia="zh-CN"/>
              </w:rPr>
              <w:t>投标人须具备有效的《医疗机构执业许可证》和《放射诊疗许可证》。</w:t>
            </w:r>
          </w:p>
        </w:tc>
      </w:tr>
      <w:tr w14:paraId="2DD769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47C718DD">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6</w:t>
            </w:r>
          </w:p>
        </w:tc>
        <w:tc>
          <w:tcPr>
            <w:tcW w:w="1410" w:type="dxa"/>
            <w:vAlign w:val="center"/>
          </w:tcPr>
          <w:p w14:paraId="2AD6D253">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投标人不得存在的情形</w:t>
            </w:r>
          </w:p>
        </w:tc>
        <w:tc>
          <w:tcPr>
            <w:tcW w:w="7073" w:type="dxa"/>
            <w:vAlign w:val="center"/>
          </w:tcPr>
          <w:p w14:paraId="22CCD4F2">
            <w:pPr>
              <w:keepLines w:val="0"/>
              <w:pageBreakBefore w:val="0"/>
              <w:widowControl/>
              <w:kinsoku/>
              <w:wordWrap/>
              <w:overflowPunct/>
              <w:topLinePunct w:val="0"/>
              <w:autoSpaceDE/>
              <w:autoSpaceDN/>
              <w:bidi w:val="0"/>
              <w:adjustRightInd/>
              <w:snapToGrid/>
              <w:spacing w:line="288" w:lineRule="auto"/>
              <w:ind w:firstLine="210" w:firstLineChars="100"/>
              <w:jc w:val="left"/>
              <w:textAlignment w:val="auto"/>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1、本项目不接受联合体。</w:t>
            </w:r>
          </w:p>
          <w:p w14:paraId="7B3F09D7">
            <w:pPr>
              <w:keepLines w:val="0"/>
              <w:pageBreakBefore w:val="0"/>
              <w:widowControl/>
              <w:kinsoku/>
              <w:wordWrap/>
              <w:overflowPunct/>
              <w:topLinePunct w:val="0"/>
              <w:autoSpaceDE/>
              <w:autoSpaceDN/>
              <w:bidi w:val="0"/>
              <w:adjustRightInd/>
              <w:snapToGrid/>
              <w:spacing w:line="288" w:lineRule="auto"/>
              <w:ind w:firstLine="210" w:firstLineChars="100"/>
              <w:jc w:val="left"/>
              <w:textAlignment w:val="auto"/>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2、单位负责人为同一人或者存在直接控股、管理关系的不同投标人，不得参加同一合同项下的政府采购活动。</w:t>
            </w:r>
          </w:p>
          <w:p w14:paraId="3B575EF0">
            <w:pPr>
              <w:keepLines w:val="0"/>
              <w:pageBreakBefore w:val="0"/>
              <w:widowControl/>
              <w:kinsoku/>
              <w:wordWrap/>
              <w:overflowPunct/>
              <w:topLinePunct w:val="0"/>
              <w:autoSpaceDE/>
              <w:autoSpaceDN/>
              <w:bidi w:val="0"/>
              <w:adjustRightInd/>
              <w:snapToGrid/>
              <w:spacing w:line="288" w:lineRule="auto"/>
              <w:ind w:firstLine="210" w:firstLineChars="100"/>
              <w:jc w:val="left"/>
              <w:textAlignment w:val="auto"/>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3、除单一来源采购项目外，为采购项目提供整体设计、规范编制或者项目管理、监理、检测等服务的投标人，不得再参加该采购项目的其他采购活动。</w:t>
            </w:r>
          </w:p>
          <w:p w14:paraId="2EFD5C1B">
            <w:pPr>
              <w:keepNext/>
              <w:keepLines w:val="0"/>
              <w:pageBreakBefore w:val="0"/>
              <w:widowControl/>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4、投标人处于被责令停业、财产被接管、冻结和破产状态，以及投标资格被取消或者被暂停且在暂停期内。</w:t>
            </w:r>
          </w:p>
          <w:p w14:paraId="37889D5B">
            <w:pPr>
              <w:keepNext/>
              <w:keepLines w:val="0"/>
              <w:pageBreakBefore w:val="0"/>
              <w:widowControl/>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5、法律规定的其它情形。</w:t>
            </w:r>
          </w:p>
        </w:tc>
      </w:tr>
      <w:tr w14:paraId="7E8BAF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0A0E6205">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7</w:t>
            </w:r>
          </w:p>
        </w:tc>
        <w:tc>
          <w:tcPr>
            <w:tcW w:w="1410" w:type="dxa"/>
            <w:vAlign w:val="center"/>
          </w:tcPr>
          <w:p w14:paraId="7F9A63FD">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招标文件费</w:t>
            </w:r>
          </w:p>
        </w:tc>
        <w:tc>
          <w:tcPr>
            <w:tcW w:w="7073" w:type="dxa"/>
            <w:vAlign w:val="center"/>
          </w:tcPr>
          <w:p w14:paraId="4F827EA7">
            <w:pPr>
              <w:keepNext/>
              <w:keepLines w:val="0"/>
              <w:pageBreakBefore w:val="0"/>
              <w:widowControl/>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0元</w:t>
            </w:r>
          </w:p>
        </w:tc>
      </w:tr>
      <w:tr w14:paraId="32CB48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2632841D">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8</w:t>
            </w:r>
          </w:p>
        </w:tc>
        <w:tc>
          <w:tcPr>
            <w:tcW w:w="1410" w:type="dxa"/>
            <w:vAlign w:val="center"/>
          </w:tcPr>
          <w:p w14:paraId="31CBCF65">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投标保证金</w:t>
            </w:r>
          </w:p>
        </w:tc>
        <w:tc>
          <w:tcPr>
            <w:tcW w:w="7073" w:type="dxa"/>
            <w:vAlign w:val="center"/>
          </w:tcPr>
          <w:p w14:paraId="16EEA756">
            <w:pPr>
              <w:keepLines w:val="0"/>
              <w:pageBreakBefore w:val="0"/>
              <w:widowControl/>
              <w:kinsoku/>
              <w:wordWrap/>
              <w:overflowPunct/>
              <w:topLinePunct w:val="0"/>
              <w:autoSpaceDE/>
              <w:autoSpaceDN/>
              <w:bidi w:val="0"/>
              <w:adjustRightInd/>
              <w:snapToGrid/>
              <w:spacing w:line="288" w:lineRule="auto"/>
              <w:ind w:firstLine="210" w:firstLineChars="100"/>
              <w:jc w:val="left"/>
              <w:textAlignment w:val="auto"/>
              <w:rPr>
                <w:rFonts w:hint="eastAsia" w:ascii="仿宋" w:hAnsi="仿宋" w:eastAsia="仿宋" w:cs="仿宋"/>
                <w:color w:val="auto"/>
                <w:kern w:val="0"/>
                <w:szCs w:val="21"/>
                <w:highlight w:val="none"/>
                <w:shd w:val="clear" w:color="auto" w:fill="FFFFFF" w:themeFill="background1"/>
                <w:lang w:val="en-US" w:eastAsia="zh-CN"/>
              </w:rPr>
            </w:pPr>
            <w:r>
              <w:rPr>
                <w:rFonts w:hint="eastAsia" w:ascii="仿宋" w:hAnsi="仿宋" w:eastAsia="仿宋" w:cs="仿宋"/>
                <w:color w:val="auto"/>
                <w:kern w:val="0"/>
                <w:szCs w:val="21"/>
                <w:highlight w:val="none"/>
                <w:shd w:val="clear" w:color="auto" w:fill="FFFFFF" w:themeFill="background1"/>
                <w:lang w:val="en-US" w:eastAsia="zh-CN"/>
              </w:rPr>
              <w:t>1、</w:t>
            </w:r>
            <w:r>
              <w:rPr>
                <w:rFonts w:hint="eastAsia" w:ascii="仿宋" w:hAnsi="仿宋" w:eastAsia="仿宋" w:cs="仿宋"/>
                <w:color w:val="auto"/>
                <w:kern w:val="0"/>
                <w:szCs w:val="21"/>
                <w:highlight w:val="none"/>
                <w:shd w:val="clear" w:color="auto" w:fill="FFFFFF" w:themeFill="background1"/>
              </w:rPr>
              <w:t>投标保证金</w:t>
            </w:r>
            <w:r>
              <w:rPr>
                <w:rFonts w:hint="eastAsia" w:ascii="仿宋" w:hAnsi="仿宋" w:eastAsia="仿宋" w:cs="仿宋"/>
                <w:color w:val="auto"/>
                <w:kern w:val="0"/>
                <w:szCs w:val="21"/>
                <w:highlight w:val="none"/>
                <w:shd w:val="clear" w:color="auto" w:fill="FFFFFF" w:themeFill="background1"/>
                <w:lang w:val="en-US" w:eastAsia="zh-CN"/>
              </w:rPr>
              <w:t>金额：40000.00元</w:t>
            </w:r>
          </w:p>
          <w:p w14:paraId="342595B4">
            <w:pPr>
              <w:keepLines w:val="0"/>
              <w:pageBreakBefore w:val="0"/>
              <w:widowControl/>
              <w:kinsoku/>
              <w:wordWrap/>
              <w:overflowPunct/>
              <w:topLinePunct w:val="0"/>
              <w:autoSpaceDE/>
              <w:autoSpaceDN/>
              <w:bidi w:val="0"/>
              <w:adjustRightInd/>
              <w:snapToGrid/>
              <w:spacing w:line="288" w:lineRule="auto"/>
              <w:ind w:firstLine="210" w:firstLineChars="100"/>
              <w:jc w:val="left"/>
              <w:textAlignment w:val="auto"/>
              <w:rPr>
                <w:rFonts w:hint="eastAsia" w:ascii="仿宋" w:hAnsi="仿宋" w:eastAsia="仿宋" w:cs="仿宋"/>
                <w:color w:val="auto"/>
                <w:kern w:val="0"/>
                <w:szCs w:val="21"/>
                <w:highlight w:val="none"/>
                <w:shd w:val="clear" w:color="auto" w:fill="FFFFFF" w:themeFill="background1"/>
                <w:lang w:val="en-US" w:eastAsia="zh-CN"/>
              </w:rPr>
            </w:pPr>
            <w:r>
              <w:rPr>
                <w:rFonts w:hint="eastAsia" w:ascii="仿宋" w:hAnsi="仿宋" w:eastAsia="仿宋" w:cs="仿宋"/>
                <w:color w:val="auto"/>
                <w:kern w:val="0"/>
                <w:szCs w:val="21"/>
                <w:highlight w:val="none"/>
                <w:shd w:val="clear" w:color="auto" w:fill="FFFFFF" w:themeFill="background1"/>
                <w:lang w:val="en-US" w:eastAsia="zh-CN"/>
              </w:rPr>
              <w:t>2、提交截止时间：同投标文件递交截止时间</w:t>
            </w:r>
          </w:p>
          <w:p w14:paraId="6A41B922">
            <w:pPr>
              <w:keepLines w:val="0"/>
              <w:pageBreakBefore w:val="0"/>
              <w:widowControl/>
              <w:kinsoku/>
              <w:wordWrap/>
              <w:overflowPunct/>
              <w:topLinePunct w:val="0"/>
              <w:autoSpaceDE/>
              <w:autoSpaceDN/>
              <w:bidi w:val="0"/>
              <w:adjustRightInd/>
              <w:snapToGrid/>
              <w:spacing w:line="288" w:lineRule="auto"/>
              <w:ind w:firstLine="210" w:firstLineChars="100"/>
              <w:jc w:val="left"/>
              <w:textAlignment w:val="auto"/>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lang w:val="en-US" w:eastAsia="zh-CN"/>
              </w:rPr>
              <w:t>3、提交形式：</w:t>
            </w:r>
            <w:r>
              <w:rPr>
                <w:rFonts w:hint="eastAsia" w:ascii="仿宋" w:hAnsi="仿宋" w:eastAsia="仿宋" w:cs="仿宋"/>
                <w:color w:val="auto"/>
                <w:kern w:val="0"/>
                <w:szCs w:val="21"/>
                <w:highlight w:val="none"/>
                <w:shd w:val="clear" w:color="auto" w:fill="FFFFFF" w:themeFill="background1"/>
              </w:rPr>
              <w:t>投标保证金以支票、汇票、本票或者金融机构、担保机构出具的保函等非现金形式提交至采购代理机构。</w:t>
            </w:r>
          </w:p>
          <w:p w14:paraId="421A5C2C">
            <w:pPr>
              <w:keepLines w:val="0"/>
              <w:pageBreakBefore w:val="0"/>
              <w:widowControl/>
              <w:kinsoku/>
              <w:wordWrap/>
              <w:overflowPunct/>
              <w:topLinePunct w:val="0"/>
              <w:autoSpaceDE/>
              <w:autoSpaceDN/>
              <w:bidi w:val="0"/>
              <w:adjustRightInd/>
              <w:snapToGrid/>
              <w:spacing w:line="288" w:lineRule="auto"/>
              <w:ind w:firstLine="210" w:firstLineChars="100"/>
              <w:jc w:val="left"/>
              <w:textAlignment w:val="auto"/>
              <w:rPr>
                <w:rFonts w:hint="eastAsia" w:ascii="仿宋" w:hAnsi="仿宋" w:eastAsia="仿宋" w:cs="仿宋"/>
                <w:color w:val="auto"/>
                <w:kern w:val="0"/>
                <w:szCs w:val="21"/>
                <w:highlight w:val="none"/>
                <w:shd w:val="clear" w:color="auto" w:fill="FFFFFF" w:themeFill="background1"/>
                <w:lang w:val="en-US" w:eastAsia="zh-CN"/>
              </w:rPr>
            </w:pPr>
            <w:r>
              <w:rPr>
                <w:rFonts w:hint="eastAsia" w:ascii="仿宋" w:hAnsi="仿宋" w:eastAsia="仿宋" w:cs="仿宋"/>
                <w:color w:val="auto"/>
                <w:kern w:val="0"/>
                <w:szCs w:val="21"/>
                <w:highlight w:val="none"/>
                <w:shd w:val="clear" w:color="auto" w:fill="FFFFFF" w:themeFill="background1"/>
                <w:lang w:val="en-US" w:eastAsia="zh-CN"/>
              </w:rPr>
              <w:t>4、银行账户信息</w:t>
            </w:r>
          </w:p>
          <w:p w14:paraId="194AD7E2">
            <w:pPr>
              <w:keepLines w:val="0"/>
              <w:pageBreakBefore w:val="0"/>
              <w:widowControl/>
              <w:kinsoku/>
              <w:wordWrap/>
              <w:overflowPunct/>
              <w:topLinePunct w:val="0"/>
              <w:autoSpaceDE/>
              <w:autoSpaceDN/>
              <w:bidi w:val="0"/>
              <w:adjustRightInd/>
              <w:snapToGrid/>
              <w:spacing w:line="288" w:lineRule="auto"/>
              <w:ind w:firstLine="210" w:firstLineChars="100"/>
              <w:jc w:val="left"/>
              <w:textAlignment w:val="auto"/>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采购代理机构名称：新疆新世纪招标有限公司</w:t>
            </w:r>
          </w:p>
          <w:p w14:paraId="24389E02">
            <w:pPr>
              <w:keepLines w:val="0"/>
              <w:pageBreakBefore w:val="0"/>
              <w:widowControl/>
              <w:kinsoku/>
              <w:wordWrap/>
              <w:overflowPunct/>
              <w:topLinePunct w:val="0"/>
              <w:autoSpaceDE/>
              <w:autoSpaceDN/>
              <w:bidi w:val="0"/>
              <w:adjustRightInd/>
              <w:snapToGrid/>
              <w:spacing w:line="288" w:lineRule="auto"/>
              <w:ind w:firstLine="210" w:firstLineChars="100"/>
              <w:jc w:val="left"/>
              <w:textAlignment w:val="auto"/>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纳税人识别号：91650100726988855F</w:t>
            </w:r>
          </w:p>
          <w:p w14:paraId="6C4A07F5">
            <w:pPr>
              <w:keepLines w:val="0"/>
              <w:pageBreakBefore w:val="0"/>
              <w:widowControl/>
              <w:kinsoku/>
              <w:wordWrap/>
              <w:overflowPunct/>
              <w:topLinePunct w:val="0"/>
              <w:autoSpaceDE/>
              <w:autoSpaceDN/>
              <w:bidi w:val="0"/>
              <w:adjustRightInd/>
              <w:snapToGrid/>
              <w:spacing w:line="288" w:lineRule="auto"/>
              <w:ind w:firstLine="210" w:firstLineChars="100"/>
              <w:jc w:val="left"/>
              <w:textAlignment w:val="auto"/>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开户行：中国农业银行乌鲁木齐新民西街支行</w:t>
            </w:r>
          </w:p>
          <w:p w14:paraId="2723FF8D">
            <w:pPr>
              <w:keepLines w:val="0"/>
              <w:pageBreakBefore w:val="0"/>
              <w:widowControl/>
              <w:kinsoku/>
              <w:wordWrap/>
              <w:overflowPunct/>
              <w:topLinePunct w:val="0"/>
              <w:autoSpaceDE/>
              <w:autoSpaceDN/>
              <w:bidi w:val="0"/>
              <w:adjustRightInd/>
              <w:snapToGrid/>
              <w:spacing w:line="288" w:lineRule="auto"/>
              <w:ind w:firstLine="210" w:firstLineChars="100"/>
              <w:jc w:val="left"/>
              <w:textAlignment w:val="auto"/>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账号：30014701040000595</w:t>
            </w:r>
          </w:p>
          <w:p w14:paraId="113B83E8">
            <w:pPr>
              <w:keepLines w:val="0"/>
              <w:pageBreakBefore w:val="0"/>
              <w:widowControl/>
              <w:kinsoku/>
              <w:wordWrap/>
              <w:overflowPunct/>
              <w:topLinePunct w:val="0"/>
              <w:autoSpaceDE/>
              <w:autoSpaceDN/>
              <w:bidi w:val="0"/>
              <w:adjustRightInd/>
              <w:snapToGrid/>
              <w:spacing w:line="288" w:lineRule="auto"/>
              <w:ind w:firstLine="210" w:firstLineChars="100"/>
              <w:jc w:val="left"/>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shd w:val="clear" w:color="auto" w:fill="FFFFFF" w:themeFill="background1"/>
                <w:lang w:val="en-US" w:eastAsia="zh-CN"/>
              </w:rPr>
              <w:t>5、投标人在提交投标保证金时需备注项目名称简称。</w:t>
            </w:r>
          </w:p>
        </w:tc>
      </w:tr>
      <w:tr w14:paraId="1128F3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7CA7B9C5">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9</w:t>
            </w:r>
          </w:p>
        </w:tc>
        <w:tc>
          <w:tcPr>
            <w:tcW w:w="1410" w:type="dxa"/>
            <w:vAlign w:val="center"/>
          </w:tcPr>
          <w:p w14:paraId="6ED89D30">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现场踏勘</w:t>
            </w:r>
          </w:p>
        </w:tc>
        <w:tc>
          <w:tcPr>
            <w:tcW w:w="7073" w:type="dxa"/>
            <w:vAlign w:val="center"/>
          </w:tcPr>
          <w:p w14:paraId="3F09CCBD">
            <w:pPr>
              <w:keepLines w:val="0"/>
              <w:pageBreakBefore w:val="0"/>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不组织</w:t>
            </w:r>
          </w:p>
        </w:tc>
      </w:tr>
      <w:tr w14:paraId="6583A0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7F500F63">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10</w:t>
            </w:r>
          </w:p>
        </w:tc>
        <w:tc>
          <w:tcPr>
            <w:tcW w:w="1410" w:type="dxa"/>
            <w:vAlign w:val="center"/>
          </w:tcPr>
          <w:p w14:paraId="3B1E135B">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招标答疑</w:t>
            </w:r>
          </w:p>
        </w:tc>
        <w:tc>
          <w:tcPr>
            <w:tcW w:w="7073" w:type="dxa"/>
            <w:vAlign w:val="center"/>
          </w:tcPr>
          <w:p w14:paraId="50CA851B">
            <w:pPr>
              <w:keepLines w:val="0"/>
              <w:pageBreakBefore w:val="0"/>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提出询问的，应当在投标文件递交截止时间15日前以书面形式（加盖公章）递交至新疆新世纪招标有限公司，否则采购人不作任何解释。</w:t>
            </w:r>
          </w:p>
          <w:p w14:paraId="1A013D4E">
            <w:pPr>
              <w:keepLines w:val="0"/>
              <w:pageBreakBefore w:val="0"/>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对招标文件提出质疑的，应当在获取招标文件或者招标文件公告期限届满之日起7个工作日内一次性以书面形式（按照财政部制定的质疑函范本编写）提出并递交至采购代理机构。</w:t>
            </w:r>
          </w:p>
          <w:p w14:paraId="7AAC3DF3">
            <w:pPr>
              <w:keepLines w:val="0"/>
              <w:pageBreakBefore w:val="0"/>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质疑接收人：</w:t>
            </w:r>
            <w:r>
              <w:rPr>
                <w:rFonts w:hint="eastAsia" w:ascii="仿宋" w:hAnsi="仿宋" w:eastAsia="仿宋" w:cs="仿宋"/>
                <w:color w:val="auto"/>
                <w:szCs w:val="21"/>
                <w:highlight w:val="none"/>
                <w:lang w:val="en-US" w:eastAsia="zh-CN"/>
              </w:rPr>
              <w:t>马丹阳</w:t>
            </w:r>
            <w:r>
              <w:rPr>
                <w:rFonts w:hint="eastAsia" w:ascii="仿宋" w:hAnsi="仿宋" w:eastAsia="仿宋" w:cs="仿宋"/>
                <w:color w:val="auto"/>
                <w:szCs w:val="21"/>
                <w:highlight w:val="none"/>
              </w:rPr>
              <w:t>；联系方式：0991-4661782。</w:t>
            </w:r>
          </w:p>
          <w:p w14:paraId="35AF6960">
            <w:pPr>
              <w:keepLines w:val="0"/>
              <w:pageBreakBefore w:val="0"/>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rPr>
              <w:t>注：1、投标人必须在法定质疑期内一次性提出针对同一采购程序环节的质疑；</w:t>
            </w:r>
            <w:r>
              <w:rPr>
                <w:rFonts w:hint="eastAsia" w:ascii="仿宋" w:hAnsi="仿宋" w:eastAsia="仿宋" w:cs="仿宋"/>
                <w:color w:val="auto"/>
                <w:szCs w:val="21"/>
                <w:highlight w:val="none"/>
              </w:rPr>
              <w:t>投标人投诉的事项不得超出已质疑事项的范围。2、</w:t>
            </w:r>
            <w:r>
              <w:rPr>
                <w:rFonts w:hint="eastAsia" w:ascii="仿宋" w:hAnsi="仿宋" w:eastAsia="仿宋" w:cs="仿宋"/>
                <w:color w:val="auto"/>
                <w:kern w:val="0"/>
                <w:szCs w:val="21"/>
                <w:highlight w:val="none"/>
              </w:rPr>
              <w:t>投标人</w:t>
            </w:r>
            <w:r>
              <w:rPr>
                <w:rFonts w:hint="eastAsia" w:ascii="仿宋" w:hAnsi="仿宋" w:eastAsia="仿宋" w:cs="仿宋"/>
                <w:color w:val="auto"/>
                <w:szCs w:val="21"/>
                <w:highlight w:val="none"/>
              </w:rPr>
              <w:t>在国家法律规定的时间内未提出书面疑问，视为对招标文件的技术参数、资格条件、评审方法、合同文本等所有内容无异议。</w:t>
            </w:r>
          </w:p>
        </w:tc>
      </w:tr>
      <w:tr w14:paraId="370A3D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185D35A5">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11</w:t>
            </w:r>
          </w:p>
        </w:tc>
        <w:tc>
          <w:tcPr>
            <w:tcW w:w="1410" w:type="dxa"/>
            <w:vAlign w:val="center"/>
          </w:tcPr>
          <w:p w14:paraId="56E5B007">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投标文件</w:t>
            </w:r>
          </w:p>
        </w:tc>
        <w:tc>
          <w:tcPr>
            <w:tcW w:w="7073" w:type="dxa"/>
            <w:shd w:val="clear" w:color="auto" w:fill="auto"/>
            <w:vAlign w:val="center"/>
          </w:tcPr>
          <w:p w14:paraId="17D7AE84">
            <w:pPr>
              <w:keepNext/>
              <w:keepLines w:val="0"/>
              <w:pageBreakBefore w:val="0"/>
              <w:widowControl/>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 xml:space="preserve">1、本次采购采用电子交易方式，电子交易平台为“政采云平台（https://www.zcygov.cn/）”。投标人参与本项目电子交易活动前，应注册成为政府采购云平台正式投标人。编制电子投标文件前还需申领CA证书并绑定帐号。投标人应充分考虑完成平台注册、申领CA证书等所需的时间。因未注册入库、未办理CA数字证书等原因造成无法投标或投标失败等后果由投标人自行承担。 </w:t>
            </w:r>
          </w:p>
          <w:p w14:paraId="065D4942">
            <w:pPr>
              <w:keepNext/>
              <w:keepLines w:val="0"/>
              <w:pageBreakBefore w:val="0"/>
              <w:widowControl/>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 xml:space="preserve">2、投标人将政采云电子交易客户端下载、安装完成后，可通过账号密码或CA登录客户端进行投标文件制作。在使用政采云投标客户端时，建议使用WIN7及以上操作系统。客户端请至新疆政府采购网（www.ccgp-xinjiang.gov.cn）下载专区查看，如有问题可拨打政采云客户服务热线95763进行咨询。 </w:t>
            </w:r>
          </w:p>
          <w:p w14:paraId="60FCFACE">
            <w:pPr>
              <w:keepNext/>
              <w:keepLines w:val="0"/>
              <w:pageBreakBefore w:val="0"/>
              <w:widowControl/>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3、加密的电子投标文件应在投标文件递交截止时间前通过政采云平台上传完成。逾期上传或者未上传指定地点的投标文件，不予受理。</w:t>
            </w:r>
          </w:p>
          <w:p w14:paraId="196E10C0">
            <w:pPr>
              <w:keepNext/>
              <w:keepLines w:val="0"/>
              <w:pageBreakBefore w:val="0"/>
              <w:widowControl/>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4、投标人在开标前须提前配置好电脑浏览器，开标时请使用制作加密电子投标文件的CA锁进行解密及报价确认。本项目投标文件解密时间定为30分钟，如因自身原因导致无法正常解密，后果由投标人自行承担。</w:t>
            </w:r>
          </w:p>
          <w:p w14:paraId="22E4F1ED">
            <w:pPr>
              <w:keepNext/>
              <w:keepLines w:val="0"/>
              <w:pageBreakBefore w:val="0"/>
              <w:widowControl/>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5、如遇“政采云平台（https://www.zcygov.cn/）”电子交易规则调整，以最新要求为准。</w:t>
            </w:r>
          </w:p>
        </w:tc>
      </w:tr>
      <w:tr w14:paraId="70CE62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1CE5CB67">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12</w:t>
            </w:r>
          </w:p>
        </w:tc>
        <w:tc>
          <w:tcPr>
            <w:tcW w:w="1410" w:type="dxa"/>
            <w:vAlign w:val="center"/>
          </w:tcPr>
          <w:p w14:paraId="3C85E10A">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投标文件递交</w:t>
            </w:r>
          </w:p>
        </w:tc>
        <w:tc>
          <w:tcPr>
            <w:tcW w:w="7073" w:type="dxa"/>
            <w:shd w:val="clear" w:color="auto" w:fill="auto"/>
            <w:vAlign w:val="center"/>
          </w:tcPr>
          <w:p w14:paraId="4641B6F8">
            <w:pPr>
              <w:keepLines w:val="0"/>
              <w:pageBreakBefore w:val="0"/>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截止时间：</w:t>
            </w:r>
            <w:r>
              <w:rPr>
                <w:rFonts w:hint="eastAsia" w:ascii="仿宋" w:hAnsi="仿宋" w:eastAsia="仿宋" w:cs="仿宋"/>
                <w:color w:val="auto"/>
                <w:kern w:val="0"/>
                <w:szCs w:val="21"/>
                <w:highlight w:val="none"/>
                <w:u w:val="single"/>
                <w:lang w:eastAsia="zh-CN"/>
              </w:rPr>
              <w:t>2026年05月18日11:00</w:t>
            </w:r>
            <w:r>
              <w:rPr>
                <w:rFonts w:hint="eastAsia" w:ascii="仿宋" w:hAnsi="仿宋" w:eastAsia="仿宋" w:cs="仿宋"/>
                <w:color w:val="auto"/>
                <w:kern w:val="0"/>
                <w:szCs w:val="21"/>
                <w:highlight w:val="none"/>
              </w:rPr>
              <w:t>（北京时间）</w:t>
            </w:r>
          </w:p>
          <w:p w14:paraId="5DE409FC">
            <w:pPr>
              <w:keepNext/>
              <w:keepLines w:val="0"/>
              <w:pageBreakBefore w:val="0"/>
              <w:widowControl/>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递交地点：政采云平台（https://www.zcygov.cn/）</w:t>
            </w:r>
          </w:p>
        </w:tc>
      </w:tr>
      <w:tr w14:paraId="23D34B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128D156A">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13</w:t>
            </w:r>
          </w:p>
        </w:tc>
        <w:tc>
          <w:tcPr>
            <w:tcW w:w="1410" w:type="dxa"/>
            <w:vAlign w:val="center"/>
          </w:tcPr>
          <w:p w14:paraId="64B9BA04">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开标</w:t>
            </w:r>
          </w:p>
        </w:tc>
        <w:tc>
          <w:tcPr>
            <w:tcW w:w="7073" w:type="dxa"/>
            <w:shd w:val="clear" w:color="auto" w:fill="auto"/>
            <w:vAlign w:val="center"/>
          </w:tcPr>
          <w:p w14:paraId="2625B5C3">
            <w:pPr>
              <w:keepLines w:val="0"/>
              <w:pageBreakBefore w:val="0"/>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kern w:val="0"/>
                <w:szCs w:val="21"/>
                <w:highlight w:val="none"/>
                <w:u w:val="single"/>
              </w:rPr>
            </w:pPr>
            <w:r>
              <w:rPr>
                <w:rFonts w:hint="eastAsia" w:ascii="仿宋" w:hAnsi="仿宋" w:eastAsia="仿宋" w:cs="仿宋"/>
                <w:color w:val="auto"/>
                <w:kern w:val="0"/>
                <w:szCs w:val="21"/>
                <w:highlight w:val="none"/>
              </w:rPr>
              <w:t>时间：</w:t>
            </w:r>
            <w:r>
              <w:rPr>
                <w:rFonts w:hint="eastAsia" w:ascii="仿宋" w:hAnsi="仿宋" w:eastAsia="仿宋" w:cs="仿宋"/>
                <w:color w:val="auto"/>
                <w:kern w:val="0"/>
                <w:szCs w:val="21"/>
                <w:highlight w:val="none"/>
                <w:u w:val="single"/>
                <w:lang w:eastAsia="zh-CN"/>
              </w:rPr>
              <w:t>2026年05月18日11:00</w:t>
            </w:r>
            <w:r>
              <w:rPr>
                <w:rFonts w:hint="eastAsia" w:ascii="仿宋" w:hAnsi="仿宋" w:eastAsia="仿宋" w:cs="仿宋"/>
                <w:color w:val="auto"/>
                <w:kern w:val="0"/>
                <w:szCs w:val="21"/>
                <w:highlight w:val="none"/>
              </w:rPr>
              <w:t>（北京时间）</w:t>
            </w:r>
          </w:p>
          <w:p w14:paraId="2344B9E9">
            <w:pPr>
              <w:keepNext/>
              <w:keepLines w:val="0"/>
              <w:pageBreakBefore w:val="0"/>
              <w:widowControl/>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地点：政采云平台（https://www.zcygov.cn/）</w:t>
            </w:r>
          </w:p>
        </w:tc>
      </w:tr>
      <w:tr w14:paraId="6723A4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638990E9">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14</w:t>
            </w:r>
          </w:p>
        </w:tc>
        <w:tc>
          <w:tcPr>
            <w:tcW w:w="1410" w:type="dxa"/>
            <w:vAlign w:val="center"/>
          </w:tcPr>
          <w:p w14:paraId="4DF98F8C">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投标有效期</w:t>
            </w:r>
          </w:p>
        </w:tc>
        <w:tc>
          <w:tcPr>
            <w:tcW w:w="7073" w:type="dxa"/>
            <w:vAlign w:val="center"/>
          </w:tcPr>
          <w:p w14:paraId="1FC01D84">
            <w:pPr>
              <w:keepNext/>
              <w:keepLines w:val="0"/>
              <w:pageBreakBefore w:val="0"/>
              <w:widowControl/>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自投标截止之日90日历日</w:t>
            </w:r>
          </w:p>
        </w:tc>
      </w:tr>
      <w:tr w14:paraId="2A97C8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1E428071">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15</w:t>
            </w:r>
          </w:p>
        </w:tc>
        <w:tc>
          <w:tcPr>
            <w:tcW w:w="1410" w:type="dxa"/>
            <w:vAlign w:val="center"/>
          </w:tcPr>
          <w:p w14:paraId="3A81AEAF">
            <w:pPr>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公告发布媒体</w:t>
            </w:r>
          </w:p>
        </w:tc>
        <w:tc>
          <w:tcPr>
            <w:tcW w:w="7073" w:type="dxa"/>
            <w:vAlign w:val="center"/>
          </w:tcPr>
          <w:p w14:paraId="62E2091B">
            <w:pPr>
              <w:keepLines w:val="0"/>
              <w:pageBreakBefore w:val="0"/>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kern w:val="0"/>
                <w:szCs w:val="21"/>
                <w:highlight w:val="none"/>
                <w:u w:val="single"/>
              </w:rPr>
            </w:pPr>
            <w:r>
              <w:rPr>
                <w:rFonts w:hint="eastAsia" w:ascii="仿宋" w:hAnsi="仿宋" w:eastAsia="仿宋" w:cs="仿宋"/>
                <w:color w:val="auto"/>
                <w:kern w:val="0"/>
                <w:szCs w:val="21"/>
                <w:highlight w:val="none"/>
                <w:shd w:val="clear" w:color="auto" w:fill="FFFFFF" w:themeFill="background1"/>
              </w:rPr>
              <w:t>新疆政府采购网</w:t>
            </w:r>
          </w:p>
        </w:tc>
      </w:tr>
      <w:tr w14:paraId="70B2E3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54BFBABD">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16</w:t>
            </w:r>
          </w:p>
        </w:tc>
        <w:tc>
          <w:tcPr>
            <w:tcW w:w="1410" w:type="dxa"/>
            <w:vAlign w:val="center"/>
          </w:tcPr>
          <w:p w14:paraId="29E4BB01">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履约保证金</w:t>
            </w:r>
          </w:p>
        </w:tc>
        <w:tc>
          <w:tcPr>
            <w:tcW w:w="7073" w:type="dxa"/>
            <w:vAlign w:val="center"/>
          </w:tcPr>
          <w:p w14:paraId="31471930">
            <w:pPr>
              <w:keepLines w:val="0"/>
              <w:pageBreakBefore w:val="0"/>
              <w:kinsoku/>
              <w:wordWrap/>
              <w:overflowPunct/>
              <w:topLinePunct w:val="0"/>
              <w:autoSpaceDE/>
              <w:autoSpaceDN/>
              <w:bidi w:val="0"/>
              <w:adjustRightInd/>
              <w:snapToGrid/>
              <w:spacing w:line="288" w:lineRule="auto"/>
              <w:ind w:firstLine="210" w:firstLineChars="100"/>
              <w:jc w:val="left"/>
              <w:textAlignment w:val="auto"/>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1、履约保证金金额：</w:t>
            </w:r>
            <w:r>
              <w:rPr>
                <w:rFonts w:hint="eastAsia" w:ascii="仿宋" w:hAnsi="仿宋" w:eastAsia="仿宋" w:cs="仿宋"/>
                <w:color w:val="auto"/>
                <w:kern w:val="0"/>
                <w:szCs w:val="21"/>
                <w:highlight w:val="none"/>
                <w:lang w:val="en-US" w:eastAsia="zh-CN"/>
              </w:rPr>
              <w:t>无。</w:t>
            </w:r>
          </w:p>
          <w:p w14:paraId="31AF8C61">
            <w:pPr>
              <w:keepNext/>
              <w:keepLines w:val="0"/>
              <w:pageBreakBefore w:val="0"/>
              <w:widowControl/>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kern w:val="0"/>
                <w:szCs w:val="21"/>
                <w:highlight w:val="none"/>
                <w:lang w:eastAsia="zh-CN"/>
              </w:rPr>
            </w:pPr>
            <w:r>
              <w:rPr>
                <w:rFonts w:hint="eastAsia" w:ascii="仿宋" w:hAnsi="仿宋" w:eastAsia="仿宋" w:cs="仿宋"/>
                <w:color w:val="auto"/>
                <w:kern w:val="0"/>
                <w:szCs w:val="21"/>
                <w:highlight w:val="none"/>
                <w:shd w:val="clear" w:color="auto" w:fill="FFFFFF" w:themeFill="background1"/>
              </w:rPr>
              <w:t>2、</w:t>
            </w:r>
            <w:r>
              <w:rPr>
                <w:rFonts w:hint="eastAsia" w:ascii="仿宋" w:hAnsi="仿宋" w:eastAsia="仿宋" w:cs="仿宋"/>
                <w:color w:val="auto"/>
                <w:kern w:val="0"/>
                <w:szCs w:val="21"/>
                <w:highlight w:val="none"/>
                <w:shd w:val="clear" w:color="auto" w:fill="FFFFFF" w:themeFill="background1"/>
                <w:lang w:eastAsia="zh-CN"/>
              </w:rPr>
              <w:t>投标人</w:t>
            </w:r>
            <w:r>
              <w:rPr>
                <w:rFonts w:hint="eastAsia" w:ascii="仿宋" w:hAnsi="仿宋" w:eastAsia="仿宋" w:cs="仿宋"/>
                <w:color w:val="auto"/>
                <w:kern w:val="0"/>
                <w:szCs w:val="21"/>
                <w:highlight w:val="none"/>
                <w:shd w:val="clear" w:color="auto" w:fill="FFFFFF" w:themeFill="background1"/>
              </w:rPr>
              <w:t>应当以支票、汇票、本票或者金融机构、担保机构出具的保函等非现金形式提交履约保证金。</w:t>
            </w:r>
          </w:p>
        </w:tc>
      </w:tr>
      <w:tr w14:paraId="11D943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1248" w:hRule="atLeast"/>
          <w:jc w:val="center"/>
        </w:trPr>
        <w:tc>
          <w:tcPr>
            <w:tcW w:w="597" w:type="dxa"/>
            <w:vAlign w:val="center"/>
          </w:tcPr>
          <w:p w14:paraId="0EDEB885">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17</w:t>
            </w:r>
          </w:p>
        </w:tc>
        <w:tc>
          <w:tcPr>
            <w:tcW w:w="1410" w:type="dxa"/>
            <w:vAlign w:val="center"/>
          </w:tcPr>
          <w:p w14:paraId="3AD8A846">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中小企业政策说明</w:t>
            </w:r>
          </w:p>
        </w:tc>
        <w:tc>
          <w:tcPr>
            <w:tcW w:w="7073" w:type="dxa"/>
            <w:vAlign w:val="center"/>
          </w:tcPr>
          <w:p w14:paraId="4E4E312E">
            <w:pPr>
              <w:keepNext/>
              <w:keepLines w:val="0"/>
              <w:pageBreakBefore w:val="0"/>
              <w:widowControl/>
              <w:numPr>
                <w:ilvl w:val="0"/>
                <w:numId w:val="0"/>
              </w:numPr>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3845216A">
            <w:pPr>
              <w:keepNext/>
              <w:keepLines w:val="0"/>
              <w:pageBreakBefore w:val="0"/>
              <w:widowControl/>
              <w:numPr>
                <w:ilvl w:val="0"/>
                <w:numId w:val="0"/>
              </w:numPr>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2、在政府采购活动中，投标人提供的货物、工程或者服务符合下列情形的，享受中小企业扶持政策：（一）在货物采购项目中，货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w:t>
            </w:r>
          </w:p>
          <w:p w14:paraId="1E8B5ABA">
            <w:pPr>
              <w:keepNext/>
              <w:keepLines w:val="0"/>
              <w:pageBreakBefore w:val="0"/>
              <w:widowControl/>
              <w:numPr>
                <w:ilvl w:val="0"/>
                <w:numId w:val="0"/>
              </w:numPr>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3、在货物采购项目中，投标人提供的货物既有中小企业制造货物，也有大型企业制造货物的，不享受本办法规定的中小企业扶持政策。</w:t>
            </w:r>
          </w:p>
          <w:p w14:paraId="0B482C84">
            <w:pPr>
              <w:keepNext/>
              <w:keepLines w:val="0"/>
              <w:pageBreakBefore w:val="0"/>
              <w:widowControl/>
              <w:numPr>
                <w:ilvl w:val="0"/>
                <w:numId w:val="0"/>
              </w:numPr>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4、以联合体形式参加政府采购活动，联合体各方均为中小企业的，联合体视同中小企业。其中，联合体各方均为小微企业的，联合体视同小微企业。</w:t>
            </w:r>
          </w:p>
          <w:p w14:paraId="5C9ABA26">
            <w:pPr>
              <w:keepNext/>
              <w:keepLines w:val="0"/>
              <w:pageBreakBefore w:val="0"/>
              <w:widowControl/>
              <w:numPr>
                <w:ilvl w:val="0"/>
                <w:numId w:val="0"/>
              </w:numPr>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5、投标人经享受扶持政策获得政府采购合同的，小微企业不得将合同分包给大中型企业，中型企业不得将合同分包给大型企业；</w:t>
            </w:r>
          </w:p>
          <w:p w14:paraId="37C62828">
            <w:pPr>
              <w:keepNext/>
              <w:keepLines w:val="0"/>
              <w:pageBreakBefore w:val="0"/>
              <w:widowControl/>
              <w:numPr>
                <w:ilvl w:val="0"/>
                <w:numId w:val="0"/>
              </w:numPr>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6、残疾人福利性单位和监狱企业视同小型、微型企业。</w:t>
            </w:r>
          </w:p>
          <w:p w14:paraId="37EDE47D">
            <w:pPr>
              <w:keepNext/>
              <w:keepLines w:val="0"/>
              <w:pageBreakBefore w:val="0"/>
              <w:widowControl/>
              <w:numPr>
                <w:ilvl w:val="0"/>
                <w:numId w:val="0"/>
              </w:numPr>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 w:val="21"/>
                <w:szCs w:val="21"/>
                <w:highlight w:val="none"/>
                <w:lang w:val="en-US" w:eastAsia="zh-CN" w:bidi="ar-SA"/>
              </w:rPr>
              <w:t>7</w:t>
            </w:r>
            <w:r>
              <w:rPr>
                <w:rFonts w:hint="eastAsia" w:ascii="仿宋" w:hAnsi="仿宋" w:eastAsia="仿宋" w:cs="仿宋"/>
                <w:color w:val="auto"/>
                <w:kern w:val="0"/>
                <w:szCs w:val="21"/>
                <w:highlight w:val="none"/>
              </w:rPr>
              <w:t>、根据“关于印发中小企业划型标准规定的通知(工信部联企业〔2011〕300号)”等有关规定，本项目标的所属行业为</w:t>
            </w:r>
            <w:r>
              <w:rPr>
                <w:rFonts w:hint="eastAsia" w:ascii="仿宋" w:hAnsi="仿宋" w:eastAsia="仿宋" w:cs="仿宋"/>
                <w:color w:val="auto"/>
                <w:kern w:val="0"/>
                <w:szCs w:val="21"/>
                <w:highlight w:val="none"/>
                <w:shd w:val="clear" w:color="auto" w:fill="FFFFFF" w:themeFill="background1"/>
              </w:rPr>
              <w:t>其他未列明行业</w:t>
            </w:r>
            <w:r>
              <w:rPr>
                <w:rFonts w:hint="eastAsia" w:ascii="仿宋" w:hAnsi="仿宋" w:eastAsia="仿宋" w:cs="仿宋"/>
                <w:color w:val="auto"/>
                <w:kern w:val="0"/>
                <w:szCs w:val="21"/>
                <w:highlight w:val="none"/>
              </w:rPr>
              <w:t>。</w:t>
            </w:r>
          </w:p>
        </w:tc>
      </w:tr>
      <w:tr w14:paraId="3A8DE1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6A246CDB">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18</w:t>
            </w:r>
          </w:p>
        </w:tc>
        <w:tc>
          <w:tcPr>
            <w:tcW w:w="1410" w:type="dxa"/>
            <w:vAlign w:val="center"/>
          </w:tcPr>
          <w:p w14:paraId="7DED8DB7">
            <w:pPr>
              <w:keepNext/>
              <w:widowControl/>
              <w:jc w:val="distribut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val="en-US" w:eastAsia="zh-CN"/>
              </w:rPr>
              <w:t>合同</w:t>
            </w:r>
            <w:r>
              <w:rPr>
                <w:rFonts w:hint="eastAsia" w:ascii="仿宋" w:hAnsi="仿宋" w:eastAsia="仿宋" w:cs="仿宋"/>
                <w:color w:val="auto"/>
                <w:kern w:val="0"/>
                <w:szCs w:val="21"/>
                <w:highlight w:val="none"/>
              </w:rPr>
              <w:t>分包</w:t>
            </w:r>
          </w:p>
        </w:tc>
        <w:tc>
          <w:tcPr>
            <w:tcW w:w="7073" w:type="dxa"/>
            <w:vAlign w:val="center"/>
          </w:tcPr>
          <w:p w14:paraId="0F6044F9">
            <w:pPr>
              <w:keepNext/>
              <w:keepLines w:val="0"/>
              <w:pageBreakBefore w:val="0"/>
              <w:widowControl/>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eastAsia="zh-CN"/>
              </w:rPr>
              <w:t>☑</w:t>
            </w:r>
            <w:r>
              <w:rPr>
                <w:rFonts w:hint="eastAsia" w:ascii="仿宋" w:hAnsi="仿宋" w:eastAsia="仿宋" w:cs="仿宋"/>
                <w:color w:val="auto"/>
                <w:kern w:val="0"/>
                <w:szCs w:val="21"/>
                <w:highlight w:val="none"/>
              </w:rPr>
              <w:t>不允许分包</w:t>
            </w:r>
          </w:p>
          <w:p w14:paraId="11DB1170">
            <w:pPr>
              <w:keepNext/>
              <w:keepLines w:val="0"/>
              <w:pageBreakBefore w:val="0"/>
              <w:widowControl/>
              <w:kinsoku/>
              <w:wordWrap/>
              <w:overflowPunct/>
              <w:topLinePunct w:val="0"/>
              <w:autoSpaceDE/>
              <w:autoSpaceDN/>
              <w:bidi w:val="0"/>
              <w:adjustRightInd/>
              <w:snapToGrid/>
              <w:ind w:firstLine="210" w:firstLineChars="100"/>
              <w:jc w:val="left"/>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eastAsia="zh-CN"/>
              </w:rPr>
              <w:t>□</w:t>
            </w:r>
            <w:r>
              <w:rPr>
                <w:rFonts w:hint="eastAsia" w:ascii="仿宋" w:hAnsi="仿宋" w:eastAsia="仿宋" w:cs="仿宋"/>
                <w:color w:val="auto"/>
                <w:kern w:val="0"/>
                <w:szCs w:val="21"/>
                <w:highlight w:val="none"/>
              </w:rPr>
              <w:t>允许分包</w:t>
            </w:r>
            <w:r>
              <w:rPr>
                <w:rFonts w:hint="eastAsia" w:ascii="仿宋" w:hAnsi="仿宋" w:eastAsia="仿宋" w:cs="仿宋"/>
                <w:color w:val="auto"/>
                <w:kern w:val="0"/>
                <w:szCs w:val="21"/>
                <w:highlight w:val="none"/>
                <w:u w:val="none"/>
                <w:lang w:val="en-US" w:eastAsia="zh-CN"/>
              </w:rPr>
              <w:t>。</w:t>
            </w:r>
            <w:r>
              <w:rPr>
                <w:rFonts w:hint="eastAsia" w:ascii="仿宋" w:hAnsi="仿宋" w:eastAsia="仿宋" w:cs="仿宋"/>
                <w:color w:val="auto"/>
                <w:kern w:val="0"/>
                <w:szCs w:val="21"/>
                <w:highlight w:val="none"/>
                <w:u w:val="none"/>
              </w:rPr>
              <w:t xml:space="preserve"> </w:t>
            </w:r>
          </w:p>
        </w:tc>
      </w:tr>
      <w:tr w14:paraId="0CD746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468" w:hRule="atLeast"/>
          <w:jc w:val="center"/>
        </w:trPr>
        <w:tc>
          <w:tcPr>
            <w:tcW w:w="597" w:type="dxa"/>
            <w:vAlign w:val="center"/>
          </w:tcPr>
          <w:p w14:paraId="5F53522D">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val="en-US" w:eastAsia="zh-CN"/>
              </w:rPr>
              <w:t>19</w:t>
            </w:r>
          </w:p>
        </w:tc>
        <w:tc>
          <w:tcPr>
            <w:tcW w:w="1410" w:type="dxa"/>
            <w:shd w:val="clear" w:color="auto" w:fill="auto"/>
            <w:vAlign w:val="center"/>
          </w:tcPr>
          <w:p w14:paraId="21C4580C">
            <w:pPr>
              <w:keepNext/>
              <w:widowControl/>
              <w:jc w:val="distribute"/>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Cs w:val="21"/>
                <w:highlight w:val="none"/>
              </w:rPr>
              <w:t>说明</w:t>
            </w:r>
          </w:p>
        </w:tc>
        <w:tc>
          <w:tcPr>
            <w:tcW w:w="7073" w:type="dxa"/>
            <w:shd w:val="clear" w:color="auto" w:fill="auto"/>
            <w:vAlign w:val="center"/>
          </w:tcPr>
          <w:p w14:paraId="3FB115EE">
            <w:pPr>
              <w:keepNext/>
              <w:widowControl/>
              <w:ind w:firstLine="420" w:firstLineChars="200"/>
              <w:jc w:val="left"/>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1、招标文件中所述政策法规、标准规范等文件，如有新文件则按新文件执行，如已废止则仅为参考。</w:t>
            </w:r>
          </w:p>
          <w:p w14:paraId="164FB438">
            <w:pPr>
              <w:keepNext/>
              <w:widowControl/>
              <w:ind w:firstLine="420" w:firstLineChars="200"/>
              <w:jc w:val="left"/>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2、投标人须根据招标文件要求在投标文件中提供评审所需的相应证明材料扫描件。</w:t>
            </w:r>
          </w:p>
          <w:p w14:paraId="6C1AF736">
            <w:pPr>
              <w:keepNext/>
              <w:widowControl/>
              <w:ind w:firstLine="420" w:firstLineChars="200"/>
              <w:jc w:val="left"/>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3、最低报价不能作为中标的保证。</w:t>
            </w:r>
          </w:p>
          <w:p w14:paraId="6874B3B5">
            <w:pPr>
              <w:keepNext/>
              <w:keepLines w:val="0"/>
              <w:pageBreakBefore w:val="0"/>
              <w:widowControl/>
              <w:numPr>
                <w:ilvl w:val="0"/>
                <w:numId w:val="0"/>
              </w:numPr>
              <w:kinsoku/>
              <w:wordWrap/>
              <w:overflowPunct/>
              <w:topLinePunct w:val="0"/>
              <w:autoSpaceDE/>
              <w:autoSpaceDN/>
              <w:bidi w:val="0"/>
              <w:adjustRightInd/>
              <w:snapToGrid/>
              <w:ind w:firstLine="420" w:firstLineChars="200"/>
              <w:jc w:val="left"/>
              <w:textAlignment w:val="auto"/>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4、</w:t>
            </w:r>
            <w:r>
              <w:rPr>
                <w:rFonts w:hint="eastAsia" w:ascii="仿宋" w:hAnsi="仿宋" w:eastAsia="仿宋" w:cs="仿宋"/>
                <w:color w:val="auto"/>
                <w:kern w:val="0"/>
                <w:szCs w:val="21"/>
                <w:highlight w:val="none"/>
              </w:rPr>
              <w:t>本表内容如与后文内容不一致处，以本表为准。</w:t>
            </w:r>
          </w:p>
        </w:tc>
      </w:tr>
    </w:tbl>
    <w:p w14:paraId="09625969">
      <w:pPr>
        <w:spacing w:line="360" w:lineRule="auto"/>
        <w:jc w:val="center"/>
        <w:outlineLvl w:val="0"/>
        <w:rPr>
          <w:rFonts w:hint="eastAsia" w:ascii="仿宋" w:hAnsi="仿宋" w:eastAsia="仿宋" w:cs="仿宋"/>
          <w:b/>
          <w:color w:val="auto"/>
          <w:sz w:val="24"/>
          <w:szCs w:val="24"/>
          <w:highlight w:val="none"/>
        </w:rPr>
      </w:pPr>
      <w:bookmarkStart w:id="2" w:name="_BookMark_3"/>
      <w:bookmarkEnd w:id="2"/>
      <w:r>
        <w:rPr>
          <w:rFonts w:hint="eastAsia" w:ascii="仿宋" w:hAnsi="仿宋" w:eastAsia="仿宋" w:cs="仿宋"/>
          <w:color w:val="auto"/>
          <w:kern w:val="0"/>
          <w:sz w:val="24"/>
          <w:szCs w:val="24"/>
          <w:highlight w:val="none"/>
        </w:rPr>
        <w:br w:type="page"/>
      </w:r>
      <w:bookmarkStart w:id="3" w:name="_Toc10815"/>
      <w:r>
        <w:rPr>
          <w:rFonts w:hint="eastAsia" w:ascii="仿宋" w:hAnsi="仿宋" w:eastAsia="仿宋" w:cs="仿宋"/>
          <w:b/>
          <w:color w:val="auto"/>
          <w:sz w:val="24"/>
          <w:szCs w:val="24"/>
          <w:highlight w:val="none"/>
        </w:rPr>
        <w:t>第一章 投标人须知</w:t>
      </w:r>
      <w:bookmarkEnd w:id="3"/>
      <w:bookmarkStart w:id="4" w:name="_BookMark_2"/>
      <w:bookmarkEnd w:id="4"/>
    </w:p>
    <w:p w14:paraId="17F5FFAD">
      <w:pPr>
        <w:tabs>
          <w:tab w:val="center" w:pos="4832"/>
          <w:tab w:val="left" w:pos="7140"/>
        </w:tabs>
        <w:spacing w:line="360" w:lineRule="auto"/>
        <w:ind w:firstLine="472" w:firstLineChars="196"/>
        <w:jc w:val="left"/>
        <w:outlineLvl w:val="1"/>
        <w:rPr>
          <w:rFonts w:hint="eastAsia" w:ascii="仿宋" w:hAnsi="仿宋" w:eastAsia="仿宋" w:cs="仿宋"/>
          <w:b/>
          <w:color w:val="auto"/>
          <w:sz w:val="24"/>
          <w:szCs w:val="24"/>
          <w:highlight w:val="none"/>
        </w:rPr>
      </w:pPr>
      <w:bookmarkStart w:id="5" w:name="_Toc10298"/>
      <w:bookmarkStart w:id="6" w:name="_Toc130252597"/>
      <w:bookmarkStart w:id="7" w:name="_Toc31299"/>
      <w:bookmarkStart w:id="8" w:name="_Toc12831"/>
      <w:r>
        <w:rPr>
          <w:rFonts w:hint="eastAsia" w:ascii="仿宋" w:hAnsi="仿宋" w:eastAsia="仿宋" w:cs="仿宋"/>
          <w:b/>
          <w:color w:val="auto"/>
          <w:sz w:val="24"/>
          <w:szCs w:val="24"/>
          <w:highlight w:val="none"/>
          <w:lang w:val="en-US" w:eastAsia="zh-CN"/>
        </w:rPr>
        <w:t>一</w:t>
      </w:r>
      <w:r>
        <w:rPr>
          <w:rFonts w:hint="eastAsia" w:ascii="仿宋" w:hAnsi="仿宋" w:eastAsia="仿宋" w:cs="仿宋"/>
          <w:b/>
          <w:color w:val="auto"/>
          <w:sz w:val="24"/>
          <w:szCs w:val="24"/>
          <w:highlight w:val="none"/>
          <w:lang w:eastAsia="zh-CN"/>
        </w:rPr>
        <w:t>、</w:t>
      </w:r>
      <w:r>
        <w:rPr>
          <w:rFonts w:hint="eastAsia" w:ascii="仿宋" w:hAnsi="仿宋" w:eastAsia="仿宋" w:cs="仿宋"/>
          <w:b/>
          <w:color w:val="auto"/>
          <w:sz w:val="24"/>
          <w:szCs w:val="24"/>
          <w:highlight w:val="none"/>
        </w:rPr>
        <w:t>总则</w:t>
      </w:r>
      <w:bookmarkEnd w:id="5"/>
      <w:bookmarkEnd w:id="6"/>
      <w:bookmarkEnd w:id="7"/>
      <w:bookmarkEnd w:id="8"/>
    </w:p>
    <w:p w14:paraId="70F0C09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1.1采购项目概况</w:t>
      </w:r>
    </w:p>
    <w:p w14:paraId="6BE0677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1.1.1项目名称：见</w:t>
      </w:r>
      <w:r>
        <w:rPr>
          <w:rFonts w:hint="eastAsia" w:ascii="仿宋" w:hAnsi="仿宋" w:eastAsia="仿宋" w:cs="仿宋"/>
          <w:color w:val="auto"/>
          <w:kern w:val="0"/>
          <w:sz w:val="24"/>
          <w:szCs w:val="24"/>
          <w:highlight w:val="none"/>
          <w:lang w:eastAsia="zh-CN"/>
        </w:rPr>
        <w:t>投标人</w:t>
      </w:r>
      <w:r>
        <w:rPr>
          <w:rFonts w:hint="eastAsia" w:ascii="仿宋" w:hAnsi="仿宋" w:eastAsia="仿宋" w:cs="仿宋"/>
          <w:color w:val="auto"/>
          <w:kern w:val="0"/>
          <w:sz w:val="24"/>
          <w:szCs w:val="24"/>
          <w:highlight w:val="none"/>
        </w:rPr>
        <w:t>须知前附表。</w:t>
      </w:r>
    </w:p>
    <w:p w14:paraId="2BEA4A88">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w:t>
      </w:r>
      <w:r>
        <w:rPr>
          <w:rFonts w:hint="eastAsia" w:ascii="仿宋" w:hAnsi="仿宋" w:eastAsia="仿宋" w:cs="仿宋"/>
          <w:color w:val="auto"/>
          <w:kern w:val="0"/>
          <w:sz w:val="24"/>
          <w:szCs w:val="24"/>
          <w:highlight w:val="none"/>
          <w:lang w:val="en-US" w:eastAsia="zh-CN"/>
        </w:rPr>
        <w:t>2</w:t>
      </w:r>
      <w:r>
        <w:rPr>
          <w:rFonts w:hint="eastAsia" w:ascii="仿宋" w:hAnsi="仿宋" w:eastAsia="仿宋" w:cs="仿宋"/>
          <w:color w:val="auto"/>
          <w:kern w:val="0"/>
          <w:sz w:val="24"/>
          <w:szCs w:val="24"/>
          <w:highlight w:val="none"/>
        </w:rPr>
        <w:t>项目编号：见</w:t>
      </w:r>
      <w:r>
        <w:rPr>
          <w:rFonts w:hint="eastAsia" w:ascii="仿宋" w:hAnsi="仿宋" w:eastAsia="仿宋" w:cs="仿宋"/>
          <w:color w:val="auto"/>
          <w:kern w:val="0"/>
          <w:sz w:val="24"/>
          <w:szCs w:val="24"/>
          <w:highlight w:val="none"/>
          <w:lang w:eastAsia="zh-CN"/>
        </w:rPr>
        <w:t>投标人</w:t>
      </w:r>
      <w:r>
        <w:rPr>
          <w:rFonts w:hint="eastAsia" w:ascii="仿宋" w:hAnsi="仿宋" w:eastAsia="仿宋" w:cs="仿宋"/>
          <w:color w:val="auto"/>
          <w:kern w:val="0"/>
          <w:sz w:val="24"/>
          <w:szCs w:val="24"/>
          <w:highlight w:val="none"/>
        </w:rPr>
        <w:t>须知前附表。</w:t>
      </w:r>
    </w:p>
    <w:p w14:paraId="03F5F9B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w:t>
      </w:r>
      <w:r>
        <w:rPr>
          <w:rFonts w:hint="eastAsia" w:ascii="仿宋" w:hAnsi="仿宋" w:eastAsia="仿宋" w:cs="仿宋"/>
          <w:color w:val="auto"/>
          <w:kern w:val="0"/>
          <w:sz w:val="24"/>
          <w:szCs w:val="24"/>
          <w:highlight w:val="none"/>
          <w:lang w:val="en-US" w:eastAsia="zh-CN"/>
        </w:rPr>
        <w:t>3</w:t>
      </w:r>
      <w:r>
        <w:rPr>
          <w:rFonts w:hint="eastAsia" w:ascii="仿宋" w:hAnsi="仿宋" w:eastAsia="仿宋" w:cs="仿宋"/>
          <w:color w:val="auto"/>
          <w:kern w:val="0"/>
          <w:sz w:val="24"/>
          <w:szCs w:val="24"/>
          <w:highlight w:val="none"/>
        </w:rPr>
        <w:t>采购人：见投标人须知前附表。</w:t>
      </w:r>
    </w:p>
    <w:p w14:paraId="174544C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w:t>
      </w:r>
      <w:r>
        <w:rPr>
          <w:rFonts w:hint="eastAsia" w:ascii="仿宋" w:hAnsi="仿宋" w:eastAsia="仿宋" w:cs="仿宋"/>
          <w:color w:val="auto"/>
          <w:kern w:val="0"/>
          <w:sz w:val="24"/>
          <w:szCs w:val="24"/>
          <w:highlight w:val="none"/>
          <w:lang w:val="en-US" w:eastAsia="zh-CN"/>
        </w:rPr>
        <w:t>4</w:t>
      </w:r>
      <w:r>
        <w:rPr>
          <w:rFonts w:hint="eastAsia" w:ascii="仿宋" w:hAnsi="仿宋" w:eastAsia="仿宋" w:cs="仿宋"/>
          <w:color w:val="auto"/>
          <w:kern w:val="0"/>
          <w:sz w:val="24"/>
          <w:szCs w:val="24"/>
          <w:highlight w:val="none"/>
        </w:rPr>
        <w:t>采购代理机构：见投标人须知前附表。</w:t>
      </w:r>
    </w:p>
    <w:p w14:paraId="2EBDB08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w:t>
      </w:r>
      <w:r>
        <w:rPr>
          <w:rFonts w:hint="eastAsia" w:ascii="仿宋" w:hAnsi="仿宋" w:eastAsia="仿宋" w:cs="仿宋"/>
          <w:color w:val="auto"/>
          <w:kern w:val="0"/>
          <w:sz w:val="24"/>
          <w:szCs w:val="24"/>
          <w:highlight w:val="none"/>
          <w:lang w:val="en-US" w:eastAsia="zh-CN"/>
        </w:rPr>
        <w:t>5</w:t>
      </w:r>
      <w:r>
        <w:rPr>
          <w:rFonts w:hint="eastAsia" w:ascii="仿宋" w:hAnsi="仿宋" w:eastAsia="仿宋" w:cs="仿宋"/>
          <w:color w:val="auto"/>
          <w:kern w:val="0"/>
          <w:sz w:val="24"/>
          <w:szCs w:val="24"/>
          <w:highlight w:val="none"/>
        </w:rPr>
        <w:t>项目地点：见投标人须知前附表。</w:t>
      </w:r>
    </w:p>
    <w:p w14:paraId="2B34A9C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w:t>
      </w:r>
      <w:r>
        <w:rPr>
          <w:rFonts w:hint="eastAsia" w:ascii="仿宋" w:hAnsi="仿宋" w:eastAsia="仿宋" w:cs="仿宋"/>
          <w:color w:val="auto"/>
          <w:kern w:val="0"/>
          <w:sz w:val="24"/>
          <w:szCs w:val="24"/>
          <w:highlight w:val="none"/>
          <w:lang w:val="en-US" w:eastAsia="zh-CN"/>
        </w:rPr>
        <w:t>6</w:t>
      </w:r>
      <w:r>
        <w:rPr>
          <w:rFonts w:hint="eastAsia" w:ascii="仿宋" w:hAnsi="仿宋" w:eastAsia="仿宋" w:cs="仿宋"/>
          <w:color w:val="auto"/>
          <w:kern w:val="0"/>
          <w:sz w:val="24"/>
          <w:szCs w:val="24"/>
          <w:highlight w:val="none"/>
        </w:rPr>
        <w:t>资金来源：见投标人须知前附表。</w:t>
      </w:r>
    </w:p>
    <w:p w14:paraId="389F0D7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w:t>
      </w:r>
      <w:r>
        <w:rPr>
          <w:rFonts w:hint="eastAsia" w:ascii="仿宋" w:hAnsi="仿宋" w:eastAsia="仿宋" w:cs="仿宋"/>
          <w:color w:val="auto"/>
          <w:kern w:val="0"/>
          <w:sz w:val="24"/>
          <w:szCs w:val="24"/>
          <w:highlight w:val="none"/>
          <w:lang w:val="en-US" w:eastAsia="zh-CN"/>
        </w:rPr>
        <w:t>7</w:t>
      </w:r>
      <w:r>
        <w:rPr>
          <w:rFonts w:hint="eastAsia" w:ascii="仿宋" w:hAnsi="仿宋" w:eastAsia="仿宋" w:cs="仿宋"/>
          <w:color w:val="auto"/>
          <w:kern w:val="0"/>
          <w:sz w:val="24"/>
          <w:szCs w:val="24"/>
          <w:highlight w:val="none"/>
        </w:rPr>
        <w:t>采购预算金额：见投标人须知前附表。</w:t>
      </w:r>
    </w:p>
    <w:p w14:paraId="20C973E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w:t>
      </w:r>
      <w:r>
        <w:rPr>
          <w:rFonts w:hint="eastAsia" w:ascii="仿宋" w:hAnsi="仿宋" w:eastAsia="仿宋" w:cs="仿宋"/>
          <w:color w:val="auto"/>
          <w:kern w:val="0"/>
          <w:sz w:val="24"/>
          <w:szCs w:val="24"/>
          <w:highlight w:val="none"/>
          <w:lang w:val="en-US" w:eastAsia="zh-CN"/>
        </w:rPr>
        <w:t>8</w:t>
      </w:r>
      <w:r>
        <w:rPr>
          <w:rFonts w:hint="eastAsia" w:ascii="仿宋" w:hAnsi="仿宋" w:eastAsia="仿宋" w:cs="仿宋"/>
          <w:color w:val="auto"/>
          <w:kern w:val="0"/>
          <w:sz w:val="24"/>
          <w:szCs w:val="24"/>
          <w:highlight w:val="none"/>
        </w:rPr>
        <w:t>最高限价：见投标人须知前附表。</w:t>
      </w:r>
    </w:p>
    <w:p w14:paraId="194326D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w:t>
      </w:r>
      <w:r>
        <w:rPr>
          <w:rFonts w:hint="eastAsia" w:ascii="仿宋" w:hAnsi="仿宋" w:eastAsia="仿宋" w:cs="仿宋"/>
          <w:color w:val="auto"/>
          <w:kern w:val="0"/>
          <w:sz w:val="24"/>
          <w:szCs w:val="24"/>
          <w:highlight w:val="none"/>
          <w:lang w:val="en-US" w:eastAsia="zh-CN"/>
        </w:rPr>
        <w:t>9</w:t>
      </w:r>
      <w:r>
        <w:rPr>
          <w:rFonts w:hint="eastAsia" w:ascii="仿宋" w:hAnsi="仿宋" w:eastAsia="仿宋" w:cs="仿宋"/>
          <w:color w:val="auto"/>
          <w:kern w:val="0"/>
          <w:sz w:val="24"/>
          <w:szCs w:val="24"/>
          <w:highlight w:val="none"/>
          <w:lang w:eastAsia="zh-CN"/>
        </w:rPr>
        <w:t>合同履约期限</w:t>
      </w:r>
      <w:r>
        <w:rPr>
          <w:rFonts w:hint="eastAsia" w:ascii="仿宋" w:hAnsi="仿宋" w:eastAsia="仿宋" w:cs="仿宋"/>
          <w:color w:val="auto"/>
          <w:kern w:val="0"/>
          <w:sz w:val="24"/>
          <w:szCs w:val="24"/>
          <w:highlight w:val="none"/>
        </w:rPr>
        <w:t>：见投标人须知前附表。</w:t>
      </w:r>
    </w:p>
    <w:p w14:paraId="1990D6B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1.1.1</w:t>
      </w:r>
      <w:r>
        <w:rPr>
          <w:rFonts w:hint="eastAsia" w:ascii="仿宋" w:hAnsi="仿宋" w:eastAsia="仿宋" w:cs="仿宋"/>
          <w:color w:val="auto"/>
          <w:kern w:val="0"/>
          <w:sz w:val="24"/>
          <w:szCs w:val="24"/>
          <w:highlight w:val="none"/>
          <w:lang w:val="en-US" w:eastAsia="zh-CN"/>
        </w:rPr>
        <w:t>0</w:t>
      </w:r>
      <w:r>
        <w:rPr>
          <w:rFonts w:hint="eastAsia" w:ascii="仿宋" w:hAnsi="仿宋" w:eastAsia="仿宋" w:cs="仿宋"/>
          <w:color w:val="auto"/>
          <w:kern w:val="0"/>
          <w:sz w:val="24"/>
          <w:szCs w:val="24"/>
          <w:highlight w:val="none"/>
          <w:lang w:eastAsia="zh-CN"/>
        </w:rPr>
        <w:t>服务地点</w:t>
      </w:r>
      <w:r>
        <w:rPr>
          <w:rFonts w:hint="eastAsia" w:ascii="仿宋" w:hAnsi="仿宋" w:eastAsia="仿宋" w:cs="仿宋"/>
          <w:color w:val="auto"/>
          <w:kern w:val="0"/>
          <w:sz w:val="24"/>
          <w:szCs w:val="24"/>
          <w:highlight w:val="none"/>
        </w:rPr>
        <w:t>：见投标人须知前附表。</w:t>
      </w:r>
    </w:p>
    <w:p w14:paraId="5654F46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1.2采购范围：见投标人须知前附表。</w:t>
      </w:r>
    </w:p>
    <w:p w14:paraId="5AD75178">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1.3采购方式和资格审查方式</w:t>
      </w:r>
    </w:p>
    <w:p w14:paraId="66A88B1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1.3.1采购方式：见投标人须知前附表。</w:t>
      </w:r>
    </w:p>
    <w:p w14:paraId="2040560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1.3.2资格审查方式：见投标人须知前附表。</w:t>
      </w:r>
    </w:p>
    <w:p w14:paraId="38FEB36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1.4 评审办法及定标方法</w:t>
      </w:r>
    </w:p>
    <w:p w14:paraId="4CACC4C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1.4.1评审办法：见投标人须知前附表。</w:t>
      </w:r>
    </w:p>
    <w:p w14:paraId="2AABCD3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1.4.2定标方法：见投标人须知前附表。</w:t>
      </w:r>
    </w:p>
    <w:p w14:paraId="2149ACE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1.5</w:t>
      </w:r>
      <w:r>
        <w:rPr>
          <w:rFonts w:hint="eastAsia" w:ascii="仿宋" w:hAnsi="仿宋" w:eastAsia="仿宋" w:cs="仿宋"/>
          <w:color w:val="auto"/>
          <w:kern w:val="0"/>
          <w:sz w:val="24"/>
          <w:szCs w:val="24"/>
          <w:highlight w:val="none"/>
          <w:lang w:eastAsia="zh-CN"/>
        </w:rPr>
        <w:t>投标人的资格要求</w:t>
      </w:r>
      <w:r>
        <w:rPr>
          <w:rFonts w:hint="eastAsia" w:ascii="仿宋" w:hAnsi="仿宋" w:eastAsia="仿宋" w:cs="仿宋"/>
          <w:color w:val="auto"/>
          <w:kern w:val="0"/>
          <w:sz w:val="24"/>
          <w:szCs w:val="24"/>
          <w:highlight w:val="none"/>
        </w:rPr>
        <w:t>：见投标人须知前附表。</w:t>
      </w:r>
    </w:p>
    <w:p w14:paraId="343509C8">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1.6投标人不得存在的情形：见投标人须知前附表。</w:t>
      </w:r>
    </w:p>
    <w:p w14:paraId="542610D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1.7费用承担</w:t>
      </w:r>
    </w:p>
    <w:p w14:paraId="3D8A79D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1.7.1招标文件费：见投标人须知前附表。</w:t>
      </w:r>
    </w:p>
    <w:p w14:paraId="1FFF546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1.7.2投标人应承担其编制投标文件与递交投标文件所涉及的一切费用，无论投标结果如何，采购人及采购代理机构对上述费用不作任何补偿。采购代理咨询费由中标人支付。</w:t>
      </w:r>
    </w:p>
    <w:p w14:paraId="42AD739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1.8投标保证金：见投标人须知前附表。</w:t>
      </w:r>
    </w:p>
    <w:p w14:paraId="72EEF7B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1.9现场踏勘</w:t>
      </w:r>
    </w:p>
    <w:p w14:paraId="5D598C2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1.9.1投标人须知前附表如规定组织踏勘现场的，采购人或采购代理机构按投标人须知前附表规定的时间、地点组织投标人踏勘项目现场。</w:t>
      </w:r>
    </w:p>
    <w:p w14:paraId="04D730E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1.9.2投标人踏勘现场发生的费用自理。</w:t>
      </w:r>
    </w:p>
    <w:p w14:paraId="61928EC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1.9.3除采购人或采购代理机构的原因外，投标人自行负责在踏勘现场中所发生的人员伤亡和财产损失。</w:t>
      </w:r>
    </w:p>
    <w:p w14:paraId="25141C5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1.9.4采购人或采购代理机构在踏勘现场中介绍的项目有关情况，供投标人在编制投标文件时参考，采购人或采购代理机构不对投标人据此作出的判断和决策负责。</w:t>
      </w:r>
    </w:p>
    <w:p w14:paraId="6E19E73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1.10招标答疑</w:t>
      </w:r>
    </w:p>
    <w:p w14:paraId="14F3FF3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1.10.1投标人若有询问或质疑，应按投标人须知前附表规定的时间、方式向采购人或采购代理机构提出，要求采购人对招标文件予以澄清。</w:t>
      </w:r>
    </w:p>
    <w:p w14:paraId="579C967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1.11投标文件：见投标人须知前附表。</w:t>
      </w:r>
    </w:p>
    <w:p w14:paraId="661DDEE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1.12投标文件递交：见投标人须知前附表。</w:t>
      </w:r>
    </w:p>
    <w:p w14:paraId="35ED1C4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1.13开标：见投标人须知前附表。</w:t>
      </w:r>
    </w:p>
    <w:p w14:paraId="71AE107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1.14投标有效期：见投标人须知前附表。</w:t>
      </w:r>
    </w:p>
    <w:p w14:paraId="2BA814E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1.15公告发布媒体：见投标人须知前附表。</w:t>
      </w:r>
    </w:p>
    <w:p w14:paraId="407454F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1.16履约保证金：见投标人须知前附表。</w:t>
      </w:r>
    </w:p>
    <w:p w14:paraId="13CE3E7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1.17中小企业政策说明：见投标人须知前附表。</w:t>
      </w:r>
    </w:p>
    <w:p w14:paraId="3E21286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1.18合同分包：见投标人须知前附表。</w:t>
      </w:r>
    </w:p>
    <w:p w14:paraId="7988019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r>
        <w:rPr>
          <w:rFonts w:hint="eastAsia" w:ascii="仿宋" w:hAnsi="仿宋" w:eastAsia="仿宋" w:cs="仿宋"/>
          <w:color w:val="auto"/>
          <w:kern w:val="0"/>
          <w:sz w:val="24"/>
          <w:szCs w:val="24"/>
          <w:highlight w:val="none"/>
          <w:lang w:val="en-US" w:eastAsia="zh-CN"/>
        </w:rPr>
        <w:t>19</w:t>
      </w:r>
      <w:r>
        <w:rPr>
          <w:rFonts w:hint="eastAsia" w:ascii="仿宋" w:hAnsi="仿宋" w:eastAsia="仿宋" w:cs="仿宋"/>
          <w:color w:val="auto"/>
          <w:kern w:val="0"/>
          <w:sz w:val="24"/>
          <w:szCs w:val="24"/>
          <w:highlight w:val="none"/>
        </w:rPr>
        <w:t>保密</w:t>
      </w:r>
    </w:p>
    <w:p w14:paraId="3312A9D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参与招标投标活动的各方应当对招标文件和投标文件中的商业和技术等秘密保密，否则应当承担相应的法律责任。</w:t>
      </w:r>
    </w:p>
    <w:p w14:paraId="14DCDD5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r>
        <w:rPr>
          <w:rFonts w:hint="eastAsia" w:ascii="仿宋" w:hAnsi="仿宋" w:eastAsia="仿宋" w:cs="仿宋"/>
          <w:color w:val="auto"/>
          <w:kern w:val="0"/>
          <w:sz w:val="24"/>
          <w:szCs w:val="24"/>
          <w:highlight w:val="none"/>
          <w:lang w:val="en-US" w:eastAsia="zh-CN"/>
        </w:rPr>
        <w:t>20</w:t>
      </w:r>
      <w:r>
        <w:rPr>
          <w:rFonts w:hint="eastAsia" w:ascii="仿宋" w:hAnsi="仿宋" w:eastAsia="仿宋" w:cs="仿宋"/>
          <w:color w:val="auto"/>
          <w:kern w:val="0"/>
          <w:sz w:val="24"/>
          <w:szCs w:val="24"/>
          <w:highlight w:val="none"/>
        </w:rPr>
        <w:t>语言文字</w:t>
      </w:r>
    </w:p>
    <w:p w14:paraId="76716F2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除专用术语外，与招标投标有关的语言均应当使用中文。必要时专用术语应附有中文注释。</w:t>
      </w:r>
    </w:p>
    <w:p w14:paraId="46AB747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1.2</w:t>
      </w:r>
      <w:r>
        <w:rPr>
          <w:rFonts w:hint="eastAsia" w:ascii="仿宋" w:hAnsi="仿宋" w:eastAsia="仿宋" w:cs="仿宋"/>
          <w:color w:val="auto"/>
          <w:kern w:val="0"/>
          <w:sz w:val="24"/>
          <w:szCs w:val="24"/>
          <w:highlight w:val="none"/>
          <w:lang w:val="en-US" w:eastAsia="zh-CN"/>
        </w:rPr>
        <w:t>1</w:t>
      </w:r>
      <w:r>
        <w:rPr>
          <w:rFonts w:hint="eastAsia" w:ascii="仿宋" w:hAnsi="仿宋" w:eastAsia="仿宋" w:cs="仿宋"/>
          <w:color w:val="auto"/>
          <w:kern w:val="0"/>
          <w:sz w:val="24"/>
          <w:szCs w:val="24"/>
          <w:highlight w:val="none"/>
        </w:rPr>
        <w:t>计量单位</w:t>
      </w:r>
    </w:p>
    <w:p w14:paraId="1CA967A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所有计量均采用中华人民共和国法定计量单位。</w:t>
      </w:r>
    </w:p>
    <w:p w14:paraId="63D3CAE6">
      <w:pPr>
        <w:tabs>
          <w:tab w:val="center" w:pos="4832"/>
          <w:tab w:val="left" w:pos="7140"/>
        </w:tabs>
        <w:spacing w:line="360" w:lineRule="auto"/>
        <w:ind w:firstLine="472" w:firstLineChars="196"/>
        <w:jc w:val="left"/>
        <w:outlineLvl w:val="1"/>
        <w:rPr>
          <w:rFonts w:hint="eastAsia" w:ascii="仿宋" w:hAnsi="仿宋" w:eastAsia="仿宋" w:cs="仿宋"/>
          <w:b/>
          <w:color w:val="auto"/>
          <w:sz w:val="24"/>
          <w:szCs w:val="24"/>
          <w:highlight w:val="none"/>
        </w:rPr>
      </w:pPr>
      <w:bookmarkStart w:id="9" w:name="_Toc13326"/>
      <w:bookmarkStart w:id="10" w:name="_Toc535592196"/>
      <w:bookmarkStart w:id="11" w:name="_Toc9197"/>
      <w:bookmarkStart w:id="12" w:name="_Toc11320"/>
      <w:r>
        <w:rPr>
          <w:rFonts w:hint="eastAsia" w:ascii="仿宋" w:hAnsi="仿宋" w:eastAsia="仿宋" w:cs="仿宋"/>
          <w:b/>
          <w:color w:val="auto"/>
          <w:sz w:val="24"/>
          <w:szCs w:val="24"/>
          <w:highlight w:val="none"/>
          <w:lang w:val="en-US" w:eastAsia="zh-CN"/>
        </w:rPr>
        <w:t>二、</w:t>
      </w:r>
      <w:r>
        <w:rPr>
          <w:rFonts w:hint="eastAsia" w:ascii="仿宋" w:hAnsi="仿宋" w:eastAsia="仿宋" w:cs="仿宋"/>
          <w:b/>
          <w:color w:val="auto"/>
          <w:sz w:val="24"/>
          <w:szCs w:val="24"/>
          <w:highlight w:val="none"/>
        </w:rPr>
        <w:t>招标文件</w:t>
      </w:r>
      <w:bookmarkEnd w:id="9"/>
      <w:bookmarkEnd w:id="10"/>
      <w:bookmarkEnd w:id="11"/>
      <w:bookmarkEnd w:id="12"/>
    </w:p>
    <w:p w14:paraId="39052F7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2.1 招标文件的组成</w:t>
      </w:r>
    </w:p>
    <w:p w14:paraId="4B5CB61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（1）招标公告</w:t>
      </w:r>
    </w:p>
    <w:p w14:paraId="415A3BA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（2）投标人须知前附表</w:t>
      </w:r>
    </w:p>
    <w:p w14:paraId="4097837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（3）投标人须知</w:t>
      </w:r>
    </w:p>
    <w:p w14:paraId="17E35A9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（4）评标办法</w:t>
      </w:r>
    </w:p>
    <w:p w14:paraId="241A2A7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（5）合同</w:t>
      </w:r>
      <w:r>
        <w:rPr>
          <w:rFonts w:hint="eastAsia" w:ascii="仿宋" w:hAnsi="仿宋" w:eastAsia="仿宋" w:cs="仿宋"/>
          <w:color w:val="auto"/>
          <w:kern w:val="0"/>
          <w:sz w:val="24"/>
          <w:szCs w:val="24"/>
          <w:highlight w:val="none"/>
          <w:lang w:val="en-US" w:eastAsia="zh-CN"/>
        </w:rPr>
        <w:t>文本</w:t>
      </w:r>
      <w:r>
        <w:rPr>
          <w:rFonts w:hint="eastAsia" w:ascii="仿宋" w:hAnsi="仿宋" w:eastAsia="仿宋" w:cs="仿宋"/>
          <w:color w:val="auto"/>
          <w:kern w:val="0"/>
          <w:sz w:val="24"/>
          <w:szCs w:val="24"/>
          <w:highlight w:val="none"/>
        </w:rPr>
        <w:t>；</w:t>
      </w:r>
    </w:p>
    <w:p w14:paraId="2884E58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w:t>
      </w:r>
      <w:r>
        <w:rPr>
          <w:rFonts w:hint="eastAsia" w:ascii="仿宋" w:hAnsi="仿宋" w:eastAsia="仿宋" w:cs="仿宋"/>
          <w:color w:val="auto"/>
          <w:kern w:val="0"/>
          <w:sz w:val="24"/>
          <w:szCs w:val="24"/>
          <w:highlight w:val="none"/>
          <w:lang w:eastAsia="zh-CN"/>
        </w:rPr>
        <w:t>服务标准和要求</w:t>
      </w:r>
      <w:r>
        <w:rPr>
          <w:rFonts w:hint="eastAsia" w:ascii="仿宋" w:hAnsi="仿宋" w:eastAsia="仿宋" w:cs="仿宋"/>
          <w:color w:val="auto"/>
          <w:kern w:val="0"/>
          <w:sz w:val="24"/>
          <w:szCs w:val="24"/>
          <w:highlight w:val="none"/>
        </w:rPr>
        <w:t>；</w:t>
      </w:r>
    </w:p>
    <w:p w14:paraId="4DC3236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（7）投标文件格式；</w:t>
      </w:r>
    </w:p>
    <w:p w14:paraId="3CA967F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（8）补充条款。</w:t>
      </w:r>
    </w:p>
    <w:p w14:paraId="17A8E06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（9）根据本章第2.4款对招标文件所作的澄清、修改，构成招标文件的组成部分。</w:t>
      </w:r>
    </w:p>
    <w:p w14:paraId="28FC149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2.2招标文件的获取</w:t>
      </w:r>
    </w:p>
    <w:p w14:paraId="571935C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凡有意参加并符合投标人须知前附表“</w:t>
      </w:r>
      <w:r>
        <w:rPr>
          <w:rFonts w:hint="eastAsia" w:ascii="仿宋" w:hAnsi="仿宋" w:eastAsia="仿宋" w:cs="仿宋"/>
          <w:color w:val="auto"/>
          <w:kern w:val="0"/>
          <w:sz w:val="24"/>
          <w:szCs w:val="24"/>
          <w:highlight w:val="none"/>
          <w:lang w:eastAsia="zh-CN"/>
        </w:rPr>
        <w:t>投标人的资格要求</w:t>
      </w:r>
      <w:r>
        <w:rPr>
          <w:rFonts w:hint="eastAsia" w:ascii="仿宋" w:hAnsi="仿宋" w:eastAsia="仿宋" w:cs="仿宋"/>
          <w:color w:val="auto"/>
          <w:kern w:val="0"/>
          <w:sz w:val="24"/>
          <w:szCs w:val="24"/>
          <w:highlight w:val="none"/>
        </w:rPr>
        <w:t>”的投标人，均可获取招标文件。</w:t>
      </w:r>
    </w:p>
    <w:p w14:paraId="74E87B7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2.3招标文件的澄清</w:t>
      </w:r>
    </w:p>
    <w:p w14:paraId="10008BD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2.3.1 投标人应当仔细阅读和检查招标文件的全部内容。如发现缺失或附件不全，应当及时向采购人提出，以便补齐。如有疑问，应当在投标人须知前附表规定的时间、方式向采购人提出，要求采购人对招标文件予以澄清。</w:t>
      </w:r>
    </w:p>
    <w:p w14:paraId="5A08CA5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2.3.2 招标文件的澄清将按照投标人须知前附表规定的时间、方式发布，但不指明澄清问题的来源。</w:t>
      </w:r>
    </w:p>
    <w:p w14:paraId="19B17A7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2.4招标文件的修改</w:t>
      </w:r>
    </w:p>
    <w:p w14:paraId="433BCB5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2.4.1 招标文件的修改将按照投标人须知前附表规定的时间、方式发布，但不指明澄清问题的来源。</w:t>
      </w:r>
    </w:p>
    <w:p w14:paraId="49A57188">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2.4.2 在投标人须知前附表规定的截止时间前，无论出于何种原因，采购人或采购代理机构可主动地或在解答潜在投标人提出的澄清问题时对招标文件进行修改。</w:t>
      </w:r>
    </w:p>
    <w:p w14:paraId="7218658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2.4.3 招标文件的修改部分是招标文件的组成部分对投标人具有约束力。</w:t>
      </w:r>
    </w:p>
    <w:p w14:paraId="36E0E3E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2.4.4 当采购人发放的招标文件及招标文件的答疑文件、修改文件、补充文件前后不一致，发生矛盾情况时，以最后发出的为准。</w:t>
      </w:r>
    </w:p>
    <w:p w14:paraId="57B33DF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2.4.5 如果招标文件各个组成部分之间出现歧义或相互矛盾，或任何文件中呈现明显的或不符合逻辑等的错误，或在文件编写过程中经常出现的打印错误等，投标人应将需要澄清的内容在投标人须知前附表规定的时间之前提出。根据合同条款中的相关约定，如果投标人在投标过程中未能发现并对有关歧义、矛盾或错误提出澄清请求，而在中标后发现并提出，中标人将必须接受由采购人依据合同有关条款而做出的书面澄清。</w:t>
      </w:r>
    </w:p>
    <w:p w14:paraId="2958907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2.5由于本项目采用电子招标方式，潜在投标人的名单将在提交投标文件截止时间后才会解密。因此，采购人或采购代理机构无法通过传统的传真或邮件方式，将招标文件的澄清或修改内容逐一通知到每位已获取招标文件的潜在投标人。为确保信息的及时性和准确性，澄清或修改的内容将仅在政采云平台以更正公告的形式发布。潜在投标人需密切关注该网站，及时查看并下载相关更正公告。若因潜在投标人未能及时查看或下载相关更正公告，而导致的一切后果，将由潜在投标人自行承担。</w:t>
      </w:r>
    </w:p>
    <w:p w14:paraId="6B32FA74">
      <w:pPr>
        <w:tabs>
          <w:tab w:val="center" w:pos="4832"/>
          <w:tab w:val="left" w:pos="7140"/>
        </w:tabs>
        <w:spacing w:line="360" w:lineRule="auto"/>
        <w:ind w:firstLine="472" w:firstLineChars="196"/>
        <w:jc w:val="left"/>
        <w:outlineLvl w:val="1"/>
        <w:rPr>
          <w:rFonts w:hint="eastAsia" w:ascii="仿宋" w:hAnsi="仿宋" w:eastAsia="仿宋" w:cs="仿宋"/>
          <w:b/>
          <w:color w:val="auto"/>
          <w:sz w:val="24"/>
          <w:szCs w:val="24"/>
          <w:highlight w:val="none"/>
        </w:rPr>
      </w:pPr>
      <w:bookmarkStart w:id="13" w:name="_BookMark_6"/>
      <w:bookmarkEnd w:id="13"/>
      <w:bookmarkStart w:id="14" w:name="_Toc6771"/>
      <w:bookmarkStart w:id="15" w:name="_Toc5120"/>
      <w:bookmarkStart w:id="16" w:name="_Toc7644"/>
      <w:bookmarkStart w:id="17" w:name="_Toc535592197"/>
      <w:r>
        <w:rPr>
          <w:rFonts w:hint="eastAsia" w:ascii="仿宋" w:hAnsi="仿宋" w:eastAsia="仿宋" w:cs="仿宋"/>
          <w:b/>
          <w:color w:val="auto"/>
          <w:sz w:val="24"/>
          <w:szCs w:val="24"/>
          <w:highlight w:val="none"/>
          <w:lang w:val="en-US" w:eastAsia="zh-CN"/>
        </w:rPr>
        <w:t>三、</w:t>
      </w:r>
      <w:r>
        <w:rPr>
          <w:rFonts w:hint="eastAsia" w:ascii="仿宋" w:hAnsi="仿宋" w:eastAsia="仿宋" w:cs="仿宋"/>
          <w:b/>
          <w:color w:val="auto"/>
          <w:sz w:val="24"/>
          <w:szCs w:val="24"/>
          <w:highlight w:val="none"/>
        </w:rPr>
        <w:t>投标文件</w:t>
      </w:r>
      <w:bookmarkEnd w:id="14"/>
      <w:bookmarkEnd w:id="15"/>
      <w:bookmarkEnd w:id="16"/>
      <w:bookmarkEnd w:id="17"/>
    </w:p>
    <w:p w14:paraId="51508DC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3.1 投标文件的组成：</w:t>
      </w:r>
    </w:p>
    <w:p w14:paraId="5CDFB724">
      <w:pPr>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lang w:val="en-US" w:eastAsia="zh-CN"/>
        </w:rPr>
        <w:t>1</w:t>
      </w: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rPr>
        <w:t>、开标一览表</w:t>
      </w:r>
    </w:p>
    <w:p w14:paraId="232D2346">
      <w:pPr>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lang w:val="en-US" w:eastAsia="zh-CN"/>
        </w:rPr>
        <w:t>2</w:t>
      </w: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rPr>
        <w:t>、投标函</w:t>
      </w:r>
    </w:p>
    <w:p w14:paraId="695497F6">
      <w:pPr>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lang w:val="en-US" w:eastAsia="zh-CN"/>
        </w:rPr>
        <w:t>3</w:t>
      </w: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rPr>
        <w:t>、投标价格明细表</w:t>
      </w:r>
    </w:p>
    <w:p w14:paraId="430272C9">
      <w:pPr>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lang w:val="en-US" w:eastAsia="zh-CN"/>
        </w:rPr>
        <w:t>4</w:t>
      </w: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rPr>
        <w:t>、商务条款偏离表</w:t>
      </w:r>
    </w:p>
    <w:p w14:paraId="24E8EA57">
      <w:pPr>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lang w:val="en-US" w:eastAsia="zh-CN"/>
        </w:rPr>
        <w:t>5</w:t>
      </w: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rPr>
        <w:t>、技术条款偏离表</w:t>
      </w:r>
    </w:p>
    <w:p w14:paraId="395D3C95">
      <w:pPr>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lang w:val="en-US" w:eastAsia="zh-CN"/>
        </w:rPr>
        <w:t>6</w:t>
      </w: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rPr>
        <w:t>、法定代表人身份证明书</w:t>
      </w:r>
    </w:p>
    <w:p w14:paraId="6650D748">
      <w:pPr>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lang w:val="en-US" w:eastAsia="zh-CN"/>
        </w:rPr>
        <w:t>7</w:t>
      </w: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rPr>
        <w:t>、法定代表人授权委托书</w:t>
      </w:r>
    </w:p>
    <w:p w14:paraId="7740F7DB">
      <w:pPr>
        <w:spacing w:line="360" w:lineRule="auto"/>
        <w:ind w:firstLine="480" w:firstLineChars="200"/>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lang w:val="en-US" w:eastAsia="zh-CN"/>
        </w:rPr>
        <w:t>8</w:t>
      </w:r>
      <w:r>
        <w:rPr>
          <w:rFonts w:hint="eastAsia" w:ascii="仿宋" w:hAnsi="仿宋" w:eastAsia="仿宋" w:cs="仿宋"/>
          <w:bCs/>
          <w:color w:val="auto"/>
          <w:sz w:val="24"/>
          <w:szCs w:val="24"/>
          <w:highlight w:val="none"/>
          <w:lang w:eastAsia="zh-CN"/>
        </w:rPr>
        <w:t>）、投标人资格条件证明材料</w:t>
      </w:r>
    </w:p>
    <w:p w14:paraId="7D9F0458">
      <w:pPr>
        <w:spacing w:line="360" w:lineRule="auto"/>
        <w:ind w:firstLine="480" w:firstLineChars="200"/>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lang w:val="en-US" w:eastAsia="zh-CN"/>
        </w:rPr>
        <w:t>9</w:t>
      </w:r>
      <w:r>
        <w:rPr>
          <w:rFonts w:hint="eastAsia" w:ascii="仿宋" w:hAnsi="仿宋" w:eastAsia="仿宋" w:cs="仿宋"/>
          <w:bCs/>
          <w:color w:val="auto"/>
          <w:sz w:val="24"/>
          <w:szCs w:val="24"/>
          <w:highlight w:val="none"/>
          <w:lang w:eastAsia="zh-CN"/>
        </w:rPr>
        <w:t>）、投标人近年类似项目情况表</w:t>
      </w:r>
    </w:p>
    <w:p w14:paraId="7BC92119">
      <w:pPr>
        <w:spacing w:line="360" w:lineRule="auto"/>
        <w:ind w:firstLine="480" w:firstLineChars="200"/>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lang w:val="en-US" w:eastAsia="zh-CN"/>
        </w:rPr>
        <w:t>10</w:t>
      </w:r>
      <w:r>
        <w:rPr>
          <w:rFonts w:hint="eastAsia" w:ascii="仿宋" w:hAnsi="仿宋" w:eastAsia="仿宋" w:cs="仿宋"/>
          <w:bCs/>
          <w:color w:val="auto"/>
          <w:sz w:val="24"/>
          <w:szCs w:val="24"/>
          <w:highlight w:val="none"/>
          <w:lang w:eastAsia="zh-CN"/>
        </w:rPr>
        <w:t>）、项目负责人简历表</w:t>
      </w:r>
    </w:p>
    <w:p w14:paraId="0F20AE22">
      <w:pPr>
        <w:spacing w:line="360" w:lineRule="auto"/>
        <w:ind w:firstLine="480" w:firstLineChars="200"/>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lang w:val="en-US" w:eastAsia="zh-CN"/>
        </w:rPr>
        <w:t>11</w:t>
      </w:r>
      <w:r>
        <w:rPr>
          <w:rFonts w:hint="eastAsia" w:ascii="仿宋" w:hAnsi="仿宋" w:eastAsia="仿宋" w:cs="仿宋"/>
          <w:bCs/>
          <w:color w:val="auto"/>
          <w:sz w:val="24"/>
          <w:szCs w:val="24"/>
          <w:highlight w:val="none"/>
          <w:lang w:eastAsia="zh-CN"/>
        </w:rPr>
        <w:t>）、拟派主要服务人员情况表</w:t>
      </w:r>
    </w:p>
    <w:p w14:paraId="183093F5">
      <w:pPr>
        <w:spacing w:line="360" w:lineRule="auto"/>
        <w:ind w:firstLine="480" w:firstLineChars="200"/>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lang w:val="en-US" w:eastAsia="zh-CN"/>
        </w:rPr>
        <w:t>12</w:t>
      </w:r>
      <w:r>
        <w:rPr>
          <w:rFonts w:hint="eastAsia" w:ascii="仿宋" w:hAnsi="仿宋" w:eastAsia="仿宋" w:cs="仿宋"/>
          <w:bCs/>
          <w:color w:val="auto"/>
          <w:sz w:val="24"/>
          <w:szCs w:val="24"/>
          <w:highlight w:val="none"/>
          <w:lang w:eastAsia="zh-CN"/>
        </w:rPr>
        <w:t>）、服务方案</w:t>
      </w:r>
    </w:p>
    <w:p w14:paraId="0F83733A">
      <w:pPr>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lang w:val="en-US" w:eastAsia="zh-CN"/>
        </w:rPr>
        <w:t>13</w:t>
      </w:r>
      <w:r>
        <w:rPr>
          <w:rFonts w:hint="eastAsia" w:ascii="仿宋" w:hAnsi="仿宋" w:eastAsia="仿宋" w:cs="仿宋"/>
          <w:bCs/>
          <w:color w:val="auto"/>
          <w:sz w:val="24"/>
          <w:szCs w:val="24"/>
          <w:highlight w:val="none"/>
          <w:lang w:eastAsia="zh-CN"/>
        </w:rPr>
        <w:t>）、</w:t>
      </w:r>
      <w:r>
        <w:rPr>
          <w:rFonts w:hint="eastAsia" w:ascii="仿宋" w:hAnsi="仿宋" w:eastAsia="仿宋" w:cs="仿宋"/>
          <w:color w:val="auto"/>
          <w:kern w:val="0"/>
          <w:sz w:val="24"/>
          <w:szCs w:val="24"/>
          <w:highlight w:val="none"/>
        </w:rPr>
        <w:t>保证金缴纳证明材料</w:t>
      </w:r>
    </w:p>
    <w:p w14:paraId="60DED2DC">
      <w:pPr>
        <w:spacing w:line="360" w:lineRule="auto"/>
        <w:ind w:firstLine="480" w:firstLineChars="200"/>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lang w:val="en-US" w:eastAsia="zh-CN"/>
        </w:rPr>
        <w:t>14</w:t>
      </w:r>
      <w:r>
        <w:rPr>
          <w:rFonts w:hint="eastAsia" w:ascii="仿宋" w:hAnsi="仿宋" w:eastAsia="仿宋" w:cs="仿宋"/>
          <w:bCs/>
          <w:color w:val="auto"/>
          <w:sz w:val="24"/>
          <w:szCs w:val="24"/>
          <w:highlight w:val="none"/>
          <w:lang w:eastAsia="zh-CN"/>
        </w:rPr>
        <w:t>）、其它需要提交的资料</w:t>
      </w:r>
    </w:p>
    <w:p w14:paraId="4C33005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 投标价格</w:t>
      </w:r>
    </w:p>
    <w:p w14:paraId="73CF439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3.2.1投标价格应包括投标人履行本项目合同（如果中标）所必须的所有成本费用和中标人应承担的一切税费；未列和没有填写的项目费用，采购人将视为已包括在投标价格中。</w:t>
      </w:r>
    </w:p>
    <w:p w14:paraId="60C63A4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3.2.2 投标人的投标价格不得超出本项目</w:t>
      </w:r>
      <w:r>
        <w:rPr>
          <w:rFonts w:hint="eastAsia" w:ascii="仿宋" w:hAnsi="仿宋" w:eastAsia="仿宋" w:cs="仿宋"/>
          <w:color w:val="auto"/>
          <w:kern w:val="0"/>
          <w:sz w:val="24"/>
          <w:szCs w:val="24"/>
          <w:highlight w:val="none"/>
          <w:lang w:eastAsia="zh-CN"/>
        </w:rPr>
        <w:t>最高限价</w:t>
      </w:r>
      <w:r>
        <w:rPr>
          <w:rFonts w:hint="eastAsia" w:ascii="仿宋" w:hAnsi="仿宋" w:eastAsia="仿宋" w:cs="仿宋"/>
          <w:color w:val="auto"/>
          <w:kern w:val="0"/>
          <w:sz w:val="24"/>
          <w:szCs w:val="24"/>
          <w:highlight w:val="none"/>
        </w:rPr>
        <w:t>。</w:t>
      </w:r>
    </w:p>
    <w:p w14:paraId="219460F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3.3 投标有效期</w:t>
      </w:r>
    </w:p>
    <w:p w14:paraId="1E37407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3.3.1 在投标人须知前附表规定的投标有效期内，投标人不得要求撤销或修改其投标文件。</w:t>
      </w:r>
    </w:p>
    <w:p w14:paraId="6CB23D8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3.3.2 出现特殊情况需要延长投标有效期的，采购人将通知所有投标人延长投标有效期。投标人同意延长的，应当相应延长其投标保证金的有效期，但不得要求或被允许修改或撤销其投标文件；投标人拒绝延长的，其投标失效，但投标人有权收回其投标保证金。</w:t>
      </w:r>
    </w:p>
    <w:p w14:paraId="137A6CB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 投标保证金</w:t>
      </w:r>
    </w:p>
    <w:p w14:paraId="2982FF2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3.4.1 投标人应于投标截止时间前按投标人须知前附表规定数额提交投标保证金。未提交投标保证金的，将被视为非响应性投标而予以拒绝。联合体投标的，其投标保证金由牵头人递交，并应符合投标人须知前附表的规定。</w:t>
      </w:r>
    </w:p>
    <w:p w14:paraId="52435CD5">
      <w:pPr>
        <w:shd w:val="clear" w:color="auto" w:fill="FFFFFF"/>
        <w:snapToGrid w:val="0"/>
        <w:spacing w:line="384" w:lineRule="auto"/>
        <w:ind w:firstLine="360" w:firstLineChars="150"/>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3.4.2</w:t>
      </w:r>
      <w:r>
        <w:rPr>
          <w:rFonts w:hint="eastAsia" w:ascii="仿宋" w:hAnsi="仿宋" w:eastAsia="仿宋" w:cs="仿宋"/>
          <w:color w:val="auto"/>
          <w:sz w:val="24"/>
          <w:szCs w:val="24"/>
          <w:highlight w:val="none"/>
        </w:rPr>
        <w:t>投标保证金以支票、汇票、本票或者金融机构、担保机构出具的保函等非现金形式提交至采购代理机构。</w:t>
      </w:r>
    </w:p>
    <w:p w14:paraId="78D1B7DD">
      <w:pPr>
        <w:shd w:val="clear" w:color="auto" w:fill="FFFFFF"/>
        <w:snapToGrid w:val="0"/>
        <w:spacing w:line="384" w:lineRule="auto"/>
        <w:ind w:firstLine="360" w:firstLineChars="15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3.4.3投标保证金是为了保护采购人免遭因投标人的行为而蒙受损失。采购人在因投标人的行为受到损害时可根据相关法律规定没收投标人的投标保证金。</w:t>
      </w:r>
    </w:p>
    <w:p w14:paraId="31DCD44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3.4.4 采购人或者采购代理机构应当自中标通知书发出之日起5个工作日内退还未中标人的投标保证金，自采购合同签订之日起5个工作日内退还中标人的投标保证金。</w:t>
      </w:r>
    </w:p>
    <w:p w14:paraId="615BECC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3.4.5投标保证金有效期与投标有效期一致。</w:t>
      </w:r>
    </w:p>
    <w:p w14:paraId="74F26D3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3.4.6有下列情形之一的，投标保证金不予退还：</w:t>
      </w:r>
    </w:p>
    <w:p w14:paraId="402D9B6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rPr>
        <w:t>（1）开标后在投标有效期内，投标人撤</w:t>
      </w:r>
      <w:r>
        <w:rPr>
          <w:rFonts w:hint="eastAsia" w:ascii="仿宋" w:hAnsi="仿宋" w:eastAsia="仿宋" w:cs="仿宋"/>
          <w:color w:val="auto"/>
          <w:kern w:val="0"/>
          <w:sz w:val="24"/>
          <w:szCs w:val="24"/>
          <w:highlight w:val="none"/>
          <w:lang w:val="en-US" w:eastAsia="zh-CN"/>
        </w:rPr>
        <w:t>销</w:t>
      </w:r>
      <w:r>
        <w:rPr>
          <w:rFonts w:hint="eastAsia" w:ascii="仿宋" w:hAnsi="仿宋" w:eastAsia="仿宋" w:cs="仿宋"/>
          <w:color w:val="auto"/>
          <w:kern w:val="0"/>
          <w:sz w:val="24"/>
          <w:szCs w:val="24"/>
          <w:highlight w:val="none"/>
        </w:rPr>
        <w:t>其投标</w:t>
      </w:r>
      <w:r>
        <w:rPr>
          <w:rFonts w:hint="eastAsia" w:ascii="仿宋" w:hAnsi="仿宋" w:eastAsia="仿宋" w:cs="仿宋"/>
          <w:color w:val="auto"/>
          <w:kern w:val="0"/>
          <w:sz w:val="24"/>
          <w:szCs w:val="24"/>
          <w:highlight w:val="none"/>
          <w:lang w:val="en-US" w:eastAsia="zh-CN"/>
        </w:rPr>
        <w:t>的</w:t>
      </w: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val="en-US" w:eastAsia="zh-CN"/>
        </w:rPr>
        <w:t xml:space="preserve"> </w:t>
      </w:r>
    </w:p>
    <w:p w14:paraId="71FF965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val="en-US" w:eastAsia="zh-CN"/>
        </w:rPr>
        <w:t>2</w:t>
      </w:r>
      <w:r>
        <w:rPr>
          <w:rFonts w:hint="eastAsia" w:ascii="仿宋" w:hAnsi="仿宋" w:eastAsia="仿宋" w:cs="仿宋"/>
          <w:color w:val="auto"/>
          <w:kern w:val="0"/>
          <w:sz w:val="24"/>
          <w:szCs w:val="24"/>
          <w:highlight w:val="none"/>
        </w:rPr>
        <w:t>）中标后无正当理由不与采购人签订合同的；</w:t>
      </w:r>
    </w:p>
    <w:p w14:paraId="13DC604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val="en-US" w:eastAsia="zh-CN"/>
        </w:rPr>
        <w:t>3</w:t>
      </w:r>
      <w:r>
        <w:rPr>
          <w:rFonts w:hint="eastAsia" w:ascii="仿宋" w:hAnsi="仿宋" w:eastAsia="仿宋" w:cs="仿宋"/>
          <w:color w:val="auto"/>
          <w:kern w:val="0"/>
          <w:sz w:val="24"/>
          <w:szCs w:val="24"/>
          <w:highlight w:val="none"/>
        </w:rPr>
        <w:t>）中标人与采购人订立背离合同实质性内容的其他协议；</w:t>
      </w:r>
    </w:p>
    <w:p w14:paraId="76484E6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val="en-US" w:eastAsia="zh-CN"/>
        </w:rPr>
        <w:t>4</w:t>
      </w:r>
      <w:r>
        <w:rPr>
          <w:rFonts w:hint="eastAsia" w:ascii="仿宋" w:hAnsi="仿宋" w:eastAsia="仿宋" w:cs="仿宋"/>
          <w:color w:val="auto"/>
          <w:kern w:val="0"/>
          <w:sz w:val="24"/>
          <w:szCs w:val="24"/>
          <w:highlight w:val="none"/>
        </w:rPr>
        <w:t>）将中标项目转让给他人，或者在投标文件中未说明，且未经采购</w:t>
      </w:r>
      <w:r>
        <w:rPr>
          <w:rFonts w:hint="eastAsia" w:ascii="仿宋" w:hAnsi="仿宋" w:eastAsia="仿宋" w:cs="仿宋"/>
          <w:color w:val="auto"/>
          <w:kern w:val="0"/>
          <w:sz w:val="24"/>
          <w:szCs w:val="24"/>
          <w:highlight w:val="none"/>
          <w:lang w:val="en-US" w:eastAsia="zh-CN"/>
        </w:rPr>
        <w:t>人</w:t>
      </w:r>
      <w:r>
        <w:rPr>
          <w:rFonts w:hint="eastAsia" w:ascii="仿宋" w:hAnsi="仿宋" w:eastAsia="仿宋" w:cs="仿宋"/>
          <w:color w:val="auto"/>
          <w:kern w:val="0"/>
          <w:sz w:val="24"/>
          <w:szCs w:val="24"/>
          <w:highlight w:val="none"/>
        </w:rPr>
        <w:t>同意，将中标项目分包给他人的；</w:t>
      </w:r>
    </w:p>
    <w:p w14:paraId="35B27EF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val="en-US" w:eastAsia="zh-CN"/>
        </w:rPr>
        <w:t>5</w:t>
      </w:r>
      <w:r>
        <w:rPr>
          <w:rFonts w:hint="eastAsia" w:ascii="仿宋" w:hAnsi="仿宋" w:eastAsia="仿宋" w:cs="仿宋"/>
          <w:color w:val="auto"/>
          <w:kern w:val="0"/>
          <w:sz w:val="24"/>
          <w:szCs w:val="24"/>
          <w:highlight w:val="none"/>
        </w:rPr>
        <w:t>）存在串通投标行为的；</w:t>
      </w:r>
    </w:p>
    <w:p w14:paraId="5306B3E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val="en-US" w:eastAsia="zh-CN"/>
        </w:rPr>
        <w:t>6</w:t>
      </w:r>
      <w:r>
        <w:rPr>
          <w:rFonts w:hint="eastAsia" w:ascii="仿宋" w:hAnsi="仿宋" w:eastAsia="仿宋" w:cs="仿宋"/>
          <w:color w:val="auto"/>
          <w:kern w:val="0"/>
          <w:sz w:val="24"/>
          <w:szCs w:val="24"/>
          <w:highlight w:val="none"/>
        </w:rPr>
        <w:t>）存在弄虚作假或提供虚假材料谋取中标的；</w:t>
      </w:r>
    </w:p>
    <w:p w14:paraId="794957C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val="en-US" w:eastAsia="zh-CN"/>
        </w:rPr>
        <w:t>7</w:t>
      </w:r>
      <w:r>
        <w:rPr>
          <w:rFonts w:hint="eastAsia" w:ascii="仿宋" w:hAnsi="仿宋" w:eastAsia="仿宋" w:cs="仿宋"/>
          <w:color w:val="auto"/>
          <w:kern w:val="0"/>
          <w:sz w:val="24"/>
          <w:szCs w:val="24"/>
          <w:highlight w:val="none"/>
        </w:rPr>
        <w:t>）投标人其他未按招标文件规定和合同约定履行义务的行为。</w:t>
      </w:r>
    </w:p>
    <w:p w14:paraId="5DAECA8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val="en-US" w:eastAsia="zh-CN"/>
        </w:rPr>
        <w:t>8</w:t>
      </w: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val="en-US" w:eastAsia="zh-CN"/>
        </w:rPr>
        <w:t>法律法规规定的其它情形</w:t>
      </w:r>
    </w:p>
    <w:p w14:paraId="1589A4D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3.5 投标文件的编制</w:t>
      </w:r>
    </w:p>
    <w:p w14:paraId="0CA20DF8">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3.5.1投标文件应按第五章“投标文件格式”进行编写，如有必要，可以增加附页，作为投标文件的组成部分。</w:t>
      </w:r>
    </w:p>
    <w:p w14:paraId="34F044F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3.5.2投标文件应当对招标文件有关采购范围、技术与服务要求等实质性内容做出响应。</w:t>
      </w:r>
    </w:p>
    <w:p w14:paraId="79AF7D9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bookmarkStart w:id="18" w:name="_BookMark_7"/>
      <w:bookmarkEnd w:id="18"/>
      <w:bookmarkStart w:id="19" w:name="_Toc535592198"/>
      <w:r>
        <w:rPr>
          <w:rFonts w:hint="eastAsia" w:ascii="仿宋" w:hAnsi="仿宋" w:eastAsia="仿宋" w:cs="仿宋"/>
          <w:color w:val="auto"/>
          <w:kern w:val="0"/>
          <w:sz w:val="24"/>
          <w:szCs w:val="24"/>
          <w:highlight w:val="none"/>
          <w:shd w:val="clear" w:color="auto" w:fill="FFFFFF" w:themeFill="background1"/>
        </w:rPr>
        <w:t>3.5.3电子投标文件的制作须使用相应的制作工具软件。</w:t>
      </w:r>
    </w:p>
    <w:p w14:paraId="3EB356E3">
      <w:pPr>
        <w:widowControl/>
        <w:shd w:val="clear" w:color="auto" w:fill="FFFFFF"/>
        <w:snapToGrid w:val="0"/>
        <w:spacing w:line="360" w:lineRule="auto"/>
        <w:ind w:firstLine="480" w:firstLineChars="200"/>
        <w:rPr>
          <w:rFonts w:hint="eastAsia" w:ascii="仿宋" w:hAnsi="仿宋" w:eastAsia="仿宋" w:cs="仿宋"/>
          <w:color w:val="auto"/>
          <w:sz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3.5.</w:t>
      </w:r>
      <w:r>
        <w:rPr>
          <w:rFonts w:hint="eastAsia" w:ascii="仿宋" w:hAnsi="仿宋" w:eastAsia="仿宋" w:cs="仿宋"/>
          <w:color w:val="auto"/>
          <w:kern w:val="0"/>
          <w:sz w:val="24"/>
          <w:szCs w:val="24"/>
          <w:highlight w:val="none"/>
          <w:shd w:val="clear" w:color="auto" w:fill="FFFFFF" w:themeFill="background1"/>
          <w:lang w:val="en-US" w:eastAsia="zh-CN"/>
        </w:rPr>
        <w:t>4</w:t>
      </w:r>
      <w:r>
        <w:rPr>
          <w:rFonts w:hint="eastAsia" w:ascii="仿宋" w:hAnsi="仿宋" w:eastAsia="仿宋" w:cs="仿宋"/>
          <w:color w:val="auto"/>
          <w:kern w:val="0"/>
          <w:sz w:val="24"/>
          <w:szCs w:val="24"/>
          <w:highlight w:val="none"/>
          <w:shd w:val="clear" w:color="auto" w:fill="FFFFFF" w:themeFill="background1"/>
        </w:rPr>
        <w:t>电子招投标文件具有法律效力，与其他形式的招投标文件在内容和格式上等同，若投标文件与招标文件要求不一致，其内容影响成交结果时，责任由投标人自行承担。投标人递交的电子投标文件因投标人自身原因而导致无法导入电子辅助评标系统，该投标文件视为无效投标文件，将导致其投标被拒绝</w:t>
      </w:r>
      <w:r>
        <w:rPr>
          <w:rFonts w:hint="eastAsia" w:ascii="仿宋" w:hAnsi="仿宋" w:eastAsia="仿宋" w:cs="仿宋"/>
          <w:color w:val="auto"/>
          <w:sz w:val="24"/>
          <w:highlight w:val="none"/>
          <w:shd w:val="clear" w:color="auto" w:fill="FFFFFF" w:themeFill="background1"/>
        </w:rPr>
        <w:t>。</w:t>
      </w:r>
    </w:p>
    <w:p w14:paraId="4656CDFA">
      <w:pPr>
        <w:tabs>
          <w:tab w:val="center" w:pos="4832"/>
          <w:tab w:val="left" w:pos="7140"/>
        </w:tabs>
        <w:spacing w:line="360" w:lineRule="auto"/>
        <w:ind w:firstLine="472" w:firstLineChars="196"/>
        <w:jc w:val="left"/>
        <w:outlineLvl w:val="1"/>
        <w:rPr>
          <w:rFonts w:hint="eastAsia" w:ascii="仿宋" w:hAnsi="仿宋" w:eastAsia="仿宋" w:cs="仿宋"/>
          <w:b/>
          <w:color w:val="auto"/>
          <w:sz w:val="24"/>
          <w:szCs w:val="24"/>
          <w:highlight w:val="none"/>
        </w:rPr>
      </w:pPr>
      <w:bookmarkStart w:id="20" w:name="_Toc834"/>
      <w:bookmarkStart w:id="21" w:name="_Toc17696"/>
      <w:bookmarkStart w:id="22" w:name="_Toc24066"/>
      <w:r>
        <w:rPr>
          <w:rFonts w:hint="eastAsia" w:ascii="仿宋" w:hAnsi="仿宋" w:eastAsia="仿宋" w:cs="仿宋"/>
          <w:b/>
          <w:color w:val="auto"/>
          <w:sz w:val="24"/>
          <w:szCs w:val="24"/>
          <w:highlight w:val="none"/>
          <w:lang w:val="en-US" w:eastAsia="zh-CN"/>
        </w:rPr>
        <w:t>四、</w:t>
      </w:r>
      <w:r>
        <w:rPr>
          <w:rFonts w:hint="eastAsia" w:ascii="仿宋" w:hAnsi="仿宋" w:eastAsia="仿宋" w:cs="仿宋"/>
          <w:b/>
          <w:color w:val="auto"/>
          <w:sz w:val="24"/>
          <w:szCs w:val="24"/>
          <w:highlight w:val="none"/>
        </w:rPr>
        <w:t>投标</w:t>
      </w:r>
      <w:bookmarkEnd w:id="19"/>
      <w:bookmarkEnd w:id="20"/>
      <w:bookmarkEnd w:id="21"/>
      <w:bookmarkEnd w:id="22"/>
    </w:p>
    <w:p w14:paraId="28759641">
      <w:pPr>
        <w:tabs>
          <w:tab w:val="center" w:pos="4832"/>
          <w:tab w:val="left" w:pos="7140"/>
        </w:tabs>
        <w:spacing w:line="360" w:lineRule="auto"/>
        <w:ind w:firstLine="470" w:firstLineChars="196"/>
        <w:jc w:val="left"/>
        <w:rPr>
          <w:rFonts w:hint="eastAsia" w:ascii="仿宋" w:hAnsi="仿宋" w:eastAsia="仿宋" w:cs="仿宋"/>
          <w:bCs/>
          <w:color w:val="auto"/>
          <w:sz w:val="24"/>
          <w:szCs w:val="24"/>
          <w:highlight w:val="none"/>
        </w:rPr>
      </w:pPr>
      <w:bookmarkStart w:id="23" w:name="_BookMark_8"/>
      <w:bookmarkEnd w:id="23"/>
      <w:bookmarkStart w:id="24" w:name="_Toc535592199"/>
      <w:r>
        <w:rPr>
          <w:rFonts w:hint="eastAsia" w:ascii="仿宋" w:hAnsi="仿宋" w:eastAsia="仿宋" w:cs="仿宋"/>
          <w:bCs/>
          <w:color w:val="auto"/>
          <w:sz w:val="24"/>
          <w:szCs w:val="24"/>
          <w:highlight w:val="none"/>
        </w:rPr>
        <w:t xml:space="preserve">4.1本次采购采用电子交易方式，电子交易平台为“政采云平台（https://www.zcygov.cn/）”。投标人参与本项目电子交易活动前，应注册成为政府采购云平台投标人。编制电子投标文件前还需申领CA证书并绑定帐号。投标人应充分考虑完成平台注册、申领CA证书等所需的时间。因未注册入库、未办理CA数字证书等原因造成无法投标或投标失败等后果由投标人自行承担。 </w:t>
      </w:r>
    </w:p>
    <w:p w14:paraId="030994A8">
      <w:pPr>
        <w:tabs>
          <w:tab w:val="center" w:pos="4832"/>
          <w:tab w:val="left" w:pos="7140"/>
        </w:tabs>
        <w:spacing w:line="360" w:lineRule="auto"/>
        <w:ind w:firstLine="470" w:firstLineChars="196"/>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4.2投标人将政采云电子交易客户端下载、安装完成后，可通过账号密码或CA登录客户端进行投标文件制作。在使用政采云投标客户端时，建议使用WIN7及以上操作系统。客户端请至新疆政府采购网（www.ccgp-xinjiang.gov.cn）下载专区查看，如有问题可拨打政采云客户服务热线95763进行咨询。</w:t>
      </w:r>
    </w:p>
    <w:p w14:paraId="3C8C72ED">
      <w:pPr>
        <w:tabs>
          <w:tab w:val="center" w:pos="4832"/>
          <w:tab w:val="left" w:pos="7140"/>
        </w:tabs>
        <w:spacing w:line="360" w:lineRule="auto"/>
        <w:ind w:firstLine="470" w:firstLineChars="196"/>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4.3投标文件的递交</w:t>
      </w:r>
    </w:p>
    <w:p w14:paraId="0CC0EA3E">
      <w:pPr>
        <w:tabs>
          <w:tab w:val="center" w:pos="4832"/>
          <w:tab w:val="left" w:pos="7140"/>
        </w:tabs>
        <w:spacing w:line="360" w:lineRule="auto"/>
        <w:ind w:firstLine="470" w:firstLineChars="196"/>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4.3.1加密的电子投标文件应在投标文件递交截止时间前通过政采云平台上传完成。逾期上传或者未上传指定地点的投标文件，采购人不予受理。</w:t>
      </w:r>
    </w:p>
    <w:p w14:paraId="5F16EC6F">
      <w:pPr>
        <w:tabs>
          <w:tab w:val="center" w:pos="4832"/>
          <w:tab w:val="left" w:pos="7140"/>
        </w:tabs>
        <w:spacing w:line="360" w:lineRule="auto"/>
        <w:ind w:firstLine="470" w:firstLineChars="196"/>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4.3.2采购人事先约定延长投标文件递交截止时间的，采购人与投标人以前的投标截止期方面的全部权利、责任和义务，将适用延长至新的投标截止期。</w:t>
      </w:r>
    </w:p>
    <w:p w14:paraId="547883CE">
      <w:pPr>
        <w:tabs>
          <w:tab w:val="center" w:pos="4832"/>
          <w:tab w:val="left" w:pos="7140"/>
        </w:tabs>
        <w:spacing w:line="360" w:lineRule="auto"/>
        <w:ind w:firstLine="470" w:firstLineChars="196"/>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4.3.3投标人或其投标文件存在下列情形之一的，采购人对其投标文件不予受理：</w:t>
      </w:r>
    </w:p>
    <w:p w14:paraId="09DC659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（1）逾期上传的</w:t>
      </w:r>
      <w:r>
        <w:rPr>
          <w:rFonts w:hint="eastAsia" w:ascii="仿宋" w:hAnsi="仿宋" w:eastAsia="仿宋" w:cs="仿宋"/>
          <w:color w:val="auto"/>
          <w:kern w:val="0"/>
          <w:sz w:val="24"/>
          <w:szCs w:val="24"/>
          <w:highlight w:val="none"/>
          <w:lang w:eastAsia="zh-CN"/>
        </w:rPr>
        <w:t>投标文件</w:t>
      </w:r>
      <w:r>
        <w:rPr>
          <w:rFonts w:hint="eastAsia" w:ascii="仿宋" w:hAnsi="仿宋" w:eastAsia="仿宋" w:cs="仿宋"/>
          <w:color w:val="auto"/>
          <w:kern w:val="0"/>
          <w:sz w:val="24"/>
          <w:szCs w:val="24"/>
          <w:highlight w:val="none"/>
        </w:rPr>
        <w:t>；</w:t>
      </w:r>
    </w:p>
    <w:p w14:paraId="28E841E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rPr>
        <w:t>（2）未上传指定地点的</w:t>
      </w:r>
      <w:r>
        <w:rPr>
          <w:rFonts w:hint="eastAsia" w:ascii="仿宋" w:hAnsi="仿宋" w:eastAsia="仿宋" w:cs="仿宋"/>
          <w:color w:val="auto"/>
          <w:kern w:val="0"/>
          <w:sz w:val="24"/>
          <w:szCs w:val="24"/>
          <w:highlight w:val="none"/>
          <w:lang w:eastAsia="zh-CN"/>
        </w:rPr>
        <w:t>投标文件；</w:t>
      </w:r>
    </w:p>
    <w:p w14:paraId="021D568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val="en-US" w:eastAsia="zh-CN"/>
        </w:rPr>
        <w:t>3</w:t>
      </w:r>
      <w:r>
        <w:rPr>
          <w:rFonts w:hint="eastAsia" w:ascii="仿宋" w:hAnsi="仿宋" w:eastAsia="仿宋" w:cs="仿宋"/>
          <w:color w:val="auto"/>
          <w:kern w:val="0"/>
          <w:sz w:val="24"/>
          <w:szCs w:val="24"/>
          <w:highlight w:val="none"/>
        </w:rPr>
        <w:t>）未按要求加密的</w:t>
      </w:r>
      <w:r>
        <w:rPr>
          <w:rFonts w:hint="eastAsia" w:ascii="仿宋" w:hAnsi="仿宋" w:eastAsia="仿宋" w:cs="仿宋"/>
          <w:color w:val="auto"/>
          <w:kern w:val="0"/>
          <w:sz w:val="24"/>
          <w:szCs w:val="24"/>
          <w:highlight w:val="none"/>
          <w:lang w:eastAsia="zh-CN"/>
        </w:rPr>
        <w:t>投标文件；</w:t>
      </w:r>
    </w:p>
    <w:p w14:paraId="3616039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val="en-US" w:eastAsia="zh-CN"/>
        </w:rPr>
        <w:t>4</w:t>
      </w:r>
      <w:r>
        <w:rPr>
          <w:rFonts w:hint="eastAsia" w:ascii="仿宋" w:hAnsi="仿宋" w:eastAsia="仿宋" w:cs="仿宋"/>
          <w:color w:val="auto"/>
          <w:kern w:val="0"/>
          <w:sz w:val="24"/>
          <w:szCs w:val="24"/>
          <w:highlight w:val="none"/>
        </w:rPr>
        <w:t>）未</w:t>
      </w:r>
      <w:r>
        <w:rPr>
          <w:rFonts w:hint="eastAsia" w:ascii="仿宋" w:hAnsi="仿宋" w:eastAsia="仿宋" w:cs="仿宋"/>
          <w:color w:val="auto"/>
          <w:kern w:val="0"/>
          <w:sz w:val="24"/>
          <w:szCs w:val="24"/>
          <w:highlight w:val="none"/>
          <w:lang w:val="en-US" w:eastAsia="zh-CN"/>
        </w:rPr>
        <w:t>在规定时间内解密的</w:t>
      </w:r>
      <w:r>
        <w:rPr>
          <w:rFonts w:hint="eastAsia" w:ascii="仿宋" w:hAnsi="仿宋" w:eastAsia="仿宋" w:cs="仿宋"/>
          <w:color w:val="auto"/>
          <w:kern w:val="0"/>
          <w:sz w:val="24"/>
          <w:szCs w:val="24"/>
          <w:highlight w:val="none"/>
          <w:lang w:eastAsia="zh-CN"/>
        </w:rPr>
        <w:t>投标文件</w:t>
      </w:r>
      <w:r>
        <w:rPr>
          <w:rFonts w:hint="eastAsia" w:ascii="仿宋" w:hAnsi="仿宋" w:eastAsia="仿宋" w:cs="仿宋"/>
          <w:color w:val="auto"/>
          <w:kern w:val="0"/>
          <w:sz w:val="24"/>
          <w:szCs w:val="24"/>
          <w:highlight w:val="none"/>
        </w:rPr>
        <w:t>。</w:t>
      </w:r>
    </w:p>
    <w:p w14:paraId="497D10D6">
      <w:pPr>
        <w:tabs>
          <w:tab w:val="center" w:pos="4832"/>
          <w:tab w:val="left" w:pos="7140"/>
        </w:tabs>
        <w:spacing w:line="360" w:lineRule="auto"/>
        <w:ind w:firstLine="470" w:firstLineChars="196"/>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4.4投标文件的修改与撤回</w:t>
      </w:r>
    </w:p>
    <w:p w14:paraId="0FF9CBB0">
      <w:pPr>
        <w:tabs>
          <w:tab w:val="center" w:pos="4832"/>
          <w:tab w:val="left" w:pos="7140"/>
        </w:tabs>
        <w:spacing w:line="360" w:lineRule="auto"/>
        <w:ind w:firstLine="470" w:firstLineChars="196"/>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4.4.1投标人应在投标须知前附表中规定的截止时间前，可以撤回已上传的投标文件。如要修改，必须在撤回并修改后在规定的投标文件递交截止时间之前将修改后的投标文件再重新上传。在投标文件递交截止时间之后，投标人不得对上传的投标文件撤销或修改。</w:t>
      </w:r>
    </w:p>
    <w:p w14:paraId="05C36AE6">
      <w:pPr>
        <w:tabs>
          <w:tab w:val="center" w:pos="4832"/>
          <w:tab w:val="left" w:pos="7140"/>
        </w:tabs>
        <w:spacing w:line="360" w:lineRule="auto"/>
        <w:ind w:firstLine="470" w:firstLineChars="196"/>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4.5投标文件格式</w:t>
      </w:r>
    </w:p>
    <w:p w14:paraId="028E53EC">
      <w:pPr>
        <w:tabs>
          <w:tab w:val="center" w:pos="4832"/>
          <w:tab w:val="left" w:pos="7140"/>
        </w:tabs>
        <w:spacing w:line="360" w:lineRule="auto"/>
        <w:ind w:firstLine="470" w:firstLineChars="196"/>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4.5.1投标文件格式见第五章。</w:t>
      </w:r>
    </w:p>
    <w:p w14:paraId="7966EA41">
      <w:pPr>
        <w:tabs>
          <w:tab w:val="center" w:pos="4832"/>
          <w:tab w:val="left" w:pos="7140"/>
        </w:tabs>
        <w:spacing w:line="360" w:lineRule="auto"/>
        <w:ind w:firstLine="470" w:firstLineChars="196"/>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4.5.2投标人应使用本招标文件后面提供的投标文件格式填写，如不够用时，投标人可按同样格式自行编制和填补，如果本招标文件未提供格式的，投标人可自行编制。</w:t>
      </w:r>
    </w:p>
    <w:p w14:paraId="42BA6FCE">
      <w:pPr>
        <w:tabs>
          <w:tab w:val="center" w:pos="4832"/>
          <w:tab w:val="left" w:pos="7140"/>
        </w:tabs>
        <w:spacing w:line="360" w:lineRule="auto"/>
        <w:ind w:firstLine="472" w:firstLineChars="196"/>
        <w:jc w:val="left"/>
        <w:outlineLvl w:val="1"/>
        <w:rPr>
          <w:rFonts w:hint="eastAsia" w:ascii="仿宋" w:hAnsi="仿宋" w:eastAsia="仿宋" w:cs="仿宋"/>
          <w:b/>
          <w:color w:val="auto"/>
          <w:sz w:val="24"/>
          <w:szCs w:val="24"/>
          <w:highlight w:val="none"/>
        </w:rPr>
      </w:pPr>
      <w:bookmarkStart w:id="25" w:name="_Toc8957"/>
      <w:bookmarkStart w:id="26" w:name="_Toc1069"/>
      <w:bookmarkStart w:id="27" w:name="_Toc29839"/>
      <w:r>
        <w:rPr>
          <w:rFonts w:hint="eastAsia" w:ascii="仿宋" w:hAnsi="仿宋" w:eastAsia="仿宋" w:cs="仿宋"/>
          <w:b/>
          <w:color w:val="auto"/>
          <w:sz w:val="24"/>
          <w:szCs w:val="24"/>
          <w:highlight w:val="none"/>
          <w:lang w:val="en-US" w:eastAsia="zh-CN"/>
        </w:rPr>
        <w:t>五、</w:t>
      </w:r>
      <w:r>
        <w:rPr>
          <w:rFonts w:hint="eastAsia" w:ascii="仿宋" w:hAnsi="仿宋" w:eastAsia="仿宋" w:cs="仿宋"/>
          <w:b/>
          <w:color w:val="auto"/>
          <w:sz w:val="24"/>
          <w:szCs w:val="24"/>
          <w:highlight w:val="none"/>
        </w:rPr>
        <w:t>开标</w:t>
      </w:r>
      <w:bookmarkEnd w:id="24"/>
      <w:bookmarkEnd w:id="25"/>
      <w:bookmarkEnd w:id="26"/>
      <w:bookmarkEnd w:id="27"/>
    </w:p>
    <w:p w14:paraId="3B86860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5.1 开标时间和地点</w:t>
      </w:r>
    </w:p>
    <w:p w14:paraId="6DBCDF38">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采购人或采购代理机构将在投标人须知前附表规定的时间、地点公开开标，所有潜在投标人均可</w:t>
      </w:r>
      <w:r>
        <w:rPr>
          <w:rFonts w:hint="eastAsia" w:ascii="仿宋" w:hAnsi="仿宋" w:eastAsia="仿宋" w:cs="仿宋"/>
          <w:color w:val="auto"/>
          <w:sz w:val="24"/>
          <w:szCs w:val="24"/>
          <w:highlight w:val="none"/>
        </w:rPr>
        <w:t>登录政采云平台https://www.zcygov.cn/，进入“项目采购-开标评标-右边选择对应项目点击“进入项目”进入开标大厅。</w:t>
      </w:r>
    </w:p>
    <w:p w14:paraId="57A1797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5.2 开标程序</w:t>
      </w:r>
    </w:p>
    <w:p w14:paraId="5DDA5528">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按下列程序进行开标：</w:t>
      </w:r>
    </w:p>
    <w:p w14:paraId="782B39F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（1）投标人解密投标文件</w:t>
      </w:r>
    </w:p>
    <w:p w14:paraId="52CE789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（2）唱标</w:t>
      </w:r>
    </w:p>
    <w:p w14:paraId="5746D14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（3）投标人确认</w:t>
      </w:r>
    </w:p>
    <w:p w14:paraId="7B93070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（4）开标结束</w:t>
      </w:r>
    </w:p>
    <w:p w14:paraId="0A34963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5.3投标人代表对开标过程和开标记录有疑义，以及认为采购人、采购代理机构相关工作人员有需要回避的情形的，应当场提出询问或者回避申请。采购人、采购代理机构对投标人代表提出的询问或者回避申请应当及时处理。投标人未参加开标的，视同认可开标结果。</w:t>
      </w:r>
    </w:p>
    <w:p w14:paraId="728C91D4">
      <w:pPr>
        <w:tabs>
          <w:tab w:val="center" w:pos="4832"/>
          <w:tab w:val="left" w:pos="7140"/>
        </w:tabs>
        <w:spacing w:line="360" w:lineRule="auto"/>
        <w:ind w:firstLine="472" w:firstLineChars="196"/>
        <w:jc w:val="left"/>
        <w:outlineLvl w:val="1"/>
        <w:rPr>
          <w:rFonts w:hint="eastAsia" w:ascii="仿宋" w:hAnsi="仿宋" w:eastAsia="仿宋" w:cs="仿宋"/>
          <w:b/>
          <w:color w:val="auto"/>
          <w:sz w:val="24"/>
          <w:szCs w:val="24"/>
          <w:highlight w:val="none"/>
        </w:rPr>
      </w:pPr>
      <w:bookmarkStart w:id="28" w:name="_BookMark_9"/>
      <w:bookmarkEnd w:id="28"/>
      <w:bookmarkStart w:id="29" w:name="_Toc31963"/>
      <w:bookmarkStart w:id="30" w:name="_Toc14199"/>
      <w:bookmarkStart w:id="31" w:name="_Toc27701"/>
      <w:bookmarkStart w:id="32" w:name="_Toc535592200"/>
      <w:r>
        <w:rPr>
          <w:rFonts w:hint="eastAsia" w:ascii="仿宋" w:hAnsi="仿宋" w:eastAsia="仿宋" w:cs="仿宋"/>
          <w:b/>
          <w:color w:val="auto"/>
          <w:sz w:val="24"/>
          <w:szCs w:val="24"/>
          <w:highlight w:val="none"/>
          <w:lang w:val="en-US" w:eastAsia="zh-CN"/>
        </w:rPr>
        <w:t>六、</w:t>
      </w:r>
      <w:r>
        <w:rPr>
          <w:rFonts w:hint="eastAsia" w:ascii="仿宋" w:hAnsi="仿宋" w:eastAsia="仿宋" w:cs="仿宋"/>
          <w:b/>
          <w:color w:val="auto"/>
          <w:sz w:val="24"/>
          <w:szCs w:val="24"/>
          <w:highlight w:val="none"/>
        </w:rPr>
        <w:t>评标</w:t>
      </w:r>
      <w:bookmarkEnd w:id="29"/>
      <w:bookmarkEnd w:id="30"/>
      <w:bookmarkEnd w:id="31"/>
      <w:bookmarkEnd w:id="32"/>
    </w:p>
    <w:p w14:paraId="6643B46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6.1 评标委员会</w:t>
      </w:r>
    </w:p>
    <w:p w14:paraId="3456738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6.1.1 评标由采购人按照《政府采购评标专家管理办法》财库〔2016〕198号，依法组建的评标委员会负责。评标委员会由采购人熟悉相关业务的代表，以及有关技术、经济等方面的专家组成。</w:t>
      </w:r>
    </w:p>
    <w:p w14:paraId="2064B39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6.1.2 评标委员会成员有下列情形之一的，应当回避：</w:t>
      </w:r>
    </w:p>
    <w:p w14:paraId="47D25FC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（1）参加采购活动前三年内,与投标人存在劳动关系,或者担任过投标人的董事、监事,或者是投标人的控股股东或实际控制人。</w:t>
      </w:r>
    </w:p>
    <w:p w14:paraId="2CA1FAF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（2）与投标人的法定代表人或者负责人有夫妻、直系血亲、三代以内旁系血亲或者近姻亲关系。</w:t>
      </w:r>
    </w:p>
    <w:p w14:paraId="2A0D30E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（3）与投标人有其他可能影响政府采购活动公平、公正进行的关系。</w:t>
      </w:r>
    </w:p>
    <w:p w14:paraId="34A2333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6.2 评标原则</w:t>
      </w:r>
    </w:p>
    <w:p w14:paraId="72C12A4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评标活动遵循公平、公正、科学和择优的原则。</w:t>
      </w:r>
    </w:p>
    <w:p w14:paraId="26A8FAA8">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6.3 评标</w:t>
      </w:r>
    </w:p>
    <w:p w14:paraId="403D55A8">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评标委员会按照招标文件中规定的方法、评标因素、标准和程序对投标文件进行评标。</w:t>
      </w:r>
    </w:p>
    <w:p w14:paraId="31B49595">
      <w:pPr>
        <w:tabs>
          <w:tab w:val="center" w:pos="4832"/>
          <w:tab w:val="left" w:pos="7140"/>
        </w:tabs>
        <w:spacing w:line="360" w:lineRule="auto"/>
        <w:ind w:firstLine="472" w:firstLineChars="196"/>
        <w:jc w:val="left"/>
        <w:outlineLvl w:val="1"/>
        <w:rPr>
          <w:rFonts w:hint="eastAsia" w:ascii="仿宋" w:hAnsi="仿宋" w:eastAsia="仿宋" w:cs="仿宋"/>
          <w:b/>
          <w:color w:val="auto"/>
          <w:sz w:val="24"/>
          <w:szCs w:val="24"/>
          <w:highlight w:val="none"/>
        </w:rPr>
      </w:pPr>
      <w:bookmarkStart w:id="33" w:name="_BookMark_10"/>
      <w:bookmarkEnd w:id="33"/>
      <w:bookmarkStart w:id="34" w:name="_Toc19793"/>
      <w:bookmarkStart w:id="35" w:name="_Toc535592201"/>
      <w:bookmarkStart w:id="36" w:name="_Toc23874"/>
      <w:bookmarkStart w:id="37" w:name="_Toc10869"/>
      <w:r>
        <w:rPr>
          <w:rFonts w:hint="eastAsia" w:ascii="仿宋" w:hAnsi="仿宋" w:eastAsia="仿宋" w:cs="仿宋"/>
          <w:b/>
          <w:color w:val="auto"/>
          <w:sz w:val="24"/>
          <w:szCs w:val="24"/>
          <w:highlight w:val="none"/>
          <w:lang w:val="en-US" w:eastAsia="zh-CN"/>
        </w:rPr>
        <w:t>七、</w:t>
      </w:r>
      <w:r>
        <w:rPr>
          <w:rFonts w:hint="eastAsia" w:ascii="仿宋" w:hAnsi="仿宋" w:eastAsia="仿宋" w:cs="仿宋"/>
          <w:b/>
          <w:color w:val="auto"/>
          <w:sz w:val="24"/>
          <w:szCs w:val="24"/>
          <w:highlight w:val="none"/>
        </w:rPr>
        <w:t>定标及合同授予</w:t>
      </w:r>
      <w:bookmarkEnd w:id="34"/>
      <w:bookmarkEnd w:id="35"/>
      <w:bookmarkEnd w:id="36"/>
      <w:bookmarkEnd w:id="37"/>
    </w:p>
    <w:p w14:paraId="69420EA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7.1 定标方法</w:t>
      </w:r>
    </w:p>
    <w:p w14:paraId="1257700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7.1.1 评标活动遵循公平、公正、科学和择优的原则。评标委员会按照招标文件中规定的方法、评标因素、标准和程序对投标文件进行评标，并按投标人须知前附表的规定向采购人推荐中标候选人。采购人依据评标委员会推荐的中标候选人确定中标人。</w:t>
      </w:r>
    </w:p>
    <w:p w14:paraId="49760A2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rPr>
        <w:t>7.1.2采购人从中标候选人中确定出中标人的原则：采购人应当确定排名第一的中标候选人为中标人。排名第一的中标候选人放弃中标、因不可抗力不能履行合同、拒绝与采购人签订合同，不按照招标文件要求提交履约保证金、或者被查实存在影响中标结果的违法行为等情形，不符合中标条件的，采购人可以按照评标委员会推荐的中标候选人名单排名依次确定其他中标候选人为中标人。</w:t>
      </w:r>
    </w:p>
    <w:p w14:paraId="0210AFB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7.2中标结果公告</w:t>
      </w:r>
    </w:p>
    <w:p w14:paraId="2F37BF8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在公告中标结果的同时，采购人或者采购代理机构向中标人发出中标通知书；对未通过资格审查的投标人，应当告知其未通过的原因。</w:t>
      </w:r>
    </w:p>
    <w:p w14:paraId="64D6043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7.3履约保证金</w:t>
      </w:r>
    </w:p>
    <w:p w14:paraId="3CADD19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7.3.1 在签订合同前，中标人应按投标人须知前附表规定的金额、形式向采购人提交履约保证金。联合体中标的，其履约保证金由牵头人提交，并应符合投标人须知前附表的规定。</w:t>
      </w:r>
    </w:p>
    <w:p w14:paraId="3A2D8E6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7.3.2 中标人未按要求提交履约保证金的，视为放弃中标，其投标保证金不予退还；给采购人造成的损失超过投标保证金数额的，中标人还应当对超过部分予以赔偿。</w:t>
      </w:r>
    </w:p>
    <w:p w14:paraId="23919EA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7.4签订合同</w:t>
      </w:r>
    </w:p>
    <w:p w14:paraId="1824877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7.4.1采购人应当自中标通知书发出之日起30日内，按照招标文件和中标人投标文件的规定，与中标人签订书面合同。</w:t>
      </w:r>
    </w:p>
    <w:p w14:paraId="5173051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7.4.2发出中标通知书后，采购人无正当理由拒签合同的，给中标人造成损失的，还应当赔偿中标人损失。</w:t>
      </w:r>
    </w:p>
    <w:p w14:paraId="0C6C4F3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7.4.3发出中标通知书后，中标人无正当理由拒签合同的，采购人将取消其中标资格，其投标保证金不予退还；给采购人造成的损失超过投标保证金数额的，中标人还应当对超过部分予以赔偿。</w:t>
      </w:r>
    </w:p>
    <w:p w14:paraId="018EF98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7.4.4</w:t>
      </w:r>
      <w:r>
        <w:rPr>
          <w:rFonts w:hint="eastAsia" w:ascii="仿宋" w:hAnsi="仿宋" w:eastAsia="仿宋" w:cs="仿宋"/>
          <w:color w:val="auto"/>
          <w:kern w:val="0"/>
          <w:sz w:val="24"/>
          <w:szCs w:val="24"/>
          <w:highlight w:val="none"/>
        </w:rPr>
        <w:t xml:space="preserve"> 中标人拒绝与采购人签订合同的，采购人可以按照评标报告推荐的中标候选人名单排序，确定下一候选人为中标人，也可以重新开展政府采购活动。</w:t>
      </w:r>
    </w:p>
    <w:p w14:paraId="5260BA3F">
      <w:pPr>
        <w:tabs>
          <w:tab w:val="center" w:pos="4832"/>
          <w:tab w:val="left" w:pos="7140"/>
        </w:tabs>
        <w:spacing w:line="360" w:lineRule="auto"/>
        <w:ind w:firstLine="472" w:firstLineChars="196"/>
        <w:jc w:val="left"/>
        <w:outlineLvl w:val="1"/>
        <w:rPr>
          <w:rFonts w:hint="eastAsia" w:ascii="仿宋" w:hAnsi="仿宋" w:eastAsia="仿宋" w:cs="仿宋"/>
          <w:b/>
          <w:color w:val="auto"/>
          <w:sz w:val="24"/>
          <w:szCs w:val="24"/>
          <w:highlight w:val="none"/>
        </w:rPr>
      </w:pPr>
      <w:bookmarkStart w:id="38" w:name="_BookMark_11"/>
      <w:bookmarkEnd w:id="38"/>
      <w:bookmarkStart w:id="39" w:name="_Toc24040"/>
      <w:bookmarkStart w:id="40" w:name="_Toc1183"/>
      <w:bookmarkStart w:id="41" w:name="_Toc535592202"/>
      <w:bookmarkStart w:id="42" w:name="_Toc30798"/>
      <w:bookmarkStart w:id="43" w:name="_Toc18355"/>
      <w:bookmarkStart w:id="44" w:name="_Toc14256"/>
      <w:r>
        <w:rPr>
          <w:rFonts w:hint="eastAsia" w:ascii="仿宋" w:hAnsi="仿宋" w:eastAsia="仿宋" w:cs="仿宋"/>
          <w:b/>
          <w:color w:val="auto"/>
          <w:sz w:val="24"/>
          <w:szCs w:val="24"/>
          <w:highlight w:val="none"/>
        </w:rPr>
        <w:t>八、纪律和监督</w:t>
      </w:r>
      <w:bookmarkEnd w:id="39"/>
      <w:bookmarkEnd w:id="40"/>
      <w:bookmarkEnd w:id="41"/>
      <w:bookmarkEnd w:id="42"/>
      <w:bookmarkEnd w:id="43"/>
      <w:bookmarkEnd w:id="44"/>
    </w:p>
    <w:p w14:paraId="029865E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8.1 对采购人的纪律要求</w:t>
      </w:r>
    </w:p>
    <w:p w14:paraId="5125DCD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采购人不得泄漏招标投标活动中应当保密的情况和资料，不得与投标人串通损害国家利益、社会公共利益或者他人合法权益。</w:t>
      </w:r>
    </w:p>
    <w:p w14:paraId="0C5721B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8.2 对投标人的纪律要求</w:t>
      </w:r>
    </w:p>
    <w:p w14:paraId="7934DA9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投标人不得相互串通投标或者与采购人串通投标，不得向采购人或者评标委员会成员行贿谋取中标，不得以他人名义投标或者以其他方式弄虚作假骗取中标；投标人不得以任何方式干扰、影响评标工作。</w:t>
      </w:r>
    </w:p>
    <w:p w14:paraId="7746690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8.3 对评标委员会成员的纪律要求</w:t>
      </w:r>
    </w:p>
    <w:p w14:paraId="74E970D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评标委员会成员不得收受他人的财物或者其他好处，不得向他人透露对投标文件的评标和比较、中标候选人的推荐情况以及评标有关的其他情况。在评标活动中，评标委员会成员不得擅离职守，影响评标程序正常进行，不得使用评标办法没有规定的评标因素和标准进行评标。</w:t>
      </w:r>
    </w:p>
    <w:p w14:paraId="511E590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8.4 对与评标活动有关的工作人员的纪律要求</w:t>
      </w:r>
    </w:p>
    <w:p w14:paraId="653DCEC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与评标活动有关的工作人员不得收受他人的财物或者其他好处，不得向他人透露对投标文件的评标和比较、中标候选人的推荐情况以及评标有关的其他情况。在评标活动中，与评标活动有关的工作人员不得擅离职守，影响评标程序正常进行。</w:t>
      </w:r>
    </w:p>
    <w:p w14:paraId="76CD270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8.5 监督</w:t>
      </w:r>
    </w:p>
    <w:p w14:paraId="68840C83">
      <w:pPr>
        <w:widowControl/>
        <w:shd w:val="clear" w:color="auto" w:fill="FFFFFF"/>
        <w:snapToGrid w:val="0"/>
        <w:spacing w:line="360" w:lineRule="auto"/>
        <w:ind w:firstLine="480" w:firstLineChars="200"/>
        <w:rPr>
          <w:rFonts w:hint="eastAsia" w:ascii="仿宋" w:hAnsi="仿宋" w:eastAsia="仿宋" w:cs="仿宋"/>
          <w:bCs/>
          <w:color w:val="auto"/>
          <w:kern w:val="0"/>
          <w:sz w:val="24"/>
          <w:szCs w:val="24"/>
          <w:highlight w:val="none"/>
        </w:rPr>
      </w:pPr>
      <w:r>
        <w:rPr>
          <w:rFonts w:hint="eastAsia" w:ascii="仿宋" w:hAnsi="仿宋" w:eastAsia="仿宋" w:cs="仿宋"/>
          <w:color w:val="auto"/>
          <w:kern w:val="0"/>
          <w:sz w:val="24"/>
          <w:szCs w:val="24"/>
          <w:highlight w:val="none"/>
        </w:rPr>
        <w:t>本项目的招标投标活动及其相关当事人应当接受有管辖权的监督部门依法实施的监督。</w:t>
      </w:r>
      <w:r>
        <w:rPr>
          <w:rFonts w:hint="eastAsia" w:ascii="仿宋" w:hAnsi="仿宋" w:eastAsia="仿宋" w:cs="仿宋"/>
          <w:bCs/>
          <w:color w:val="auto"/>
          <w:kern w:val="0"/>
          <w:sz w:val="24"/>
          <w:szCs w:val="24"/>
          <w:highlight w:val="none"/>
        </w:rPr>
        <w:br w:type="page"/>
      </w:r>
    </w:p>
    <w:p w14:paraId="7CA5C7D9">
      <w:pPr>
        <w:widowControl/>
        <w:shd w:val="clear" w:color="auto" w:fill="FFFFFF"/>
        <w:snapToGrid w:val="0"/>
        <w:spacing w:line="360" w:lineRule="auto"/>
        <w:jc w:val="center"/>
        <w:outlineLvl w:val="0"/>
        <w:rPr>
          <w:rFonts w:hint="eastAsia" w:ascii="仿宋" w:hAnsi="仿宋" w:eastAsia="仿宋" w:cs="仿宋"/>
          <w:b/>
          <w:color w:val="auto"/>
          <w:sz w:val="24"/>
          <w:szCs w:val="24"/>
          <w:highlight w:val="none"/>
        </w:rPr>
      </w:pPr>
      <w:bookmarkStart w:id="45" w:name="_Toc32050"/>
      <w:r>
        <w:rPr>
          <w:rFonts w:hint="eastAsia" w:ascii="仿宋" w:hAnsi="仿宋" w:eastAsia="仿宋" w:cs="仿宋"/>
          <w:b/>
          <w:color w:val="auto"/>
          <w:sz w:val="24"/>
          <w:szCs w:val="24"/>
          <w:highlight w:val="none"/>
        </w:rPr>
        <w:t>第二章 评标办法</w:t>
      </w:r>
      <w:bookmarkEnd w:id="45"/>
    </w:p>
    <w:p w14:paraId="15080F55">
      <w:pPr>
        <w:keepNext w:val="0"/>
        <w:keepLines w:val="0"/>
        <w:pageBreakBefore w:val="0"/>
        <w:widowControl w:val="0"/>
        <w:tabs>
          <w:tab w:val="center" w:pos="4832"/>
          <w:tab w:val="left" w:pos="7140"/>
        </w:tabs>
        <w:kinsoku/>
        <w:wordWrap/>
        <w:overflowPunct/>
        <w:topLinePunct w:val="0"/>
        <w:autoSpaceDE/>
        <w:autoSpaceDN/>
        <w:bidi w:val="0"/>
        <w:adjustRightInd/>
        <w:snapToGrid/>
        <w:spacing w:line="360" w:lineRule="auto"/>
        <w:jc w:val="center"/>
        <w:textAlignment w:val="auto"/>
        <w:outlineLvl w:val="1"/>
        <w:rPr>
          <w:rFonts w:hint="eastAsia" w:ascii="仿宋" w:hAnsi="仿宋" w:eastAsia="仿宋" w:cs="仿宋"/>
          <w:b/>
          <w:color w:val="auto"/>
          <w:sz w:val="24"/>
          <w:szCs w:val="24"/>
          <w:highlight w:val="none"/>
        </w:rPr>
      </w:pPr>
      <w:bookmarkStart w:id="46" w:name="_BookMark_1"/>
      <w:bookmarkEnd w:id="46"/>
      <w:bookmarkStart w:id="47" w:name="_Toc27880"/>
      <w:bookmarkStart w:id="48" w:name="_Toc58342531"/>
      <w:bookmarkStart w:id="49" w:name="_Toc501719166"/>
      <w:r>
        <w:rPr>
          <w:rFonts w:hint="eastAsia" w:ascii="仿宋" w:hAnsi="仿宋" w:eastAsia="仿宋" w:cs="仿宋"/>
          <w:b/>
          <w:color w:val="auto"/>
          <w:sz w:val="24"/>
          <w:szCs w:val="24"/>
          <w:highlight w:val="none"/>
        </w:rPr>
        <w:t>评审办法前附表</w:t>
      </w:r>
      <w:bookmarkEnd w:id="47"/>
      <w:bookmarkEnd w:id="48"/>
    </w:p>
    <w:tbl>
      <w:tblPr>
        <w:tblStyle w:val="40"/>
        <w:tblW w:w="91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12"/>
        <w:gridCol w:w="2783"/>
        <w:gridCol w:w="5744"/>
      </w:tblGrid>
      <w:tr w14:paraId="470DD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25" w:hRule="atLeast"/>
          <w:jc w:val="center"/>
        </w:trPr>
        <w:tc>
          <w:tcPr>
            <w:tcW w:w="612" w:type="dxa"/>
            <w:tcMar>
              <w:top w:w="0" w:type="dxa"/>
              <w:left w:w="28" w:type="dxa"/>
              <w:bottom w:w="0" w:type="dxa"/>
              <w:right w:w="28" w:type="dxa"/>
            </w:tcMar>
            <w:vAlign w:val="center"/>
          </w:tcPr>
          <w:p w14:paraId="7DD54F14">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序号</w:t>
            </w:r>
          </w:p>
        </w:tc>
        <w:tc>
          <w:tcPr>
            <w:tcW w:w="2783" w:type="dxa"/>
            <w:tcMar>
              <w:top w:w="0" w:type="dxa"/>
              <w:left w:w="28" w:type="dxa"/>
              <w:bottom w:w="0" w:type="dxa"/>
              <w:right w:w="28" w:type="dxa"/>
            </w:tcMar>
            <w:vAlign w:val="center"/>
          </w:tcPr>
          <w:p w14:paraId="06C6CB0B">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条款内容</w:t>
            </w:r>
          </w:p>
        </w:tc>
        <w:tc>
          <w:tcPr>
            <w:tcW w:w="5744" w:type="dxa"/>
            <w:tcMar>
              <w:top w:w="0" w:type="dxa"/>
              <w:left w:w="28" w:type="dxa"/>
              <w:bottom w:w="0" w:type="dxa"/>
              <w:right w:w="28" w:type="dxa"/>
            </w:tcMar>
            <w:vAlign w:val="center"/>
          </w:tcPr>
          <w:p w14:paraId="65972012">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编列内容</w:t>
            </w:r>
          </w:p>
        </w:tc>
      </w:tr>
      <w:tr w14:paraId="06247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30" w:hRule="atLeast"/>
          <w:jc w:val="center"/>
        </w:trPr>
        <w:tc>
          <w:tcPr>
            <w:tcW w:w="612" w:type="dxa"/>
            <w:tcMar>
              <w:top w:w="0" w:type="dxa"/>
              <w:left w:w="28" w:type="dxa"/>
              <w:bottom w:w="0" w:type="dxa"/>
              <w:right w:w="28" w:type="dxa"/>
            </w:tcMar>
            <w:vAlign w:val="center"/>
          </w:tcPr>
          <w:p w14:paraId="2AFE3258">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1</w:t>
            </w:r>
          </w:p>
        </w:tc>
        <w:tc>
          <w:tcPr>
            <w:tcW w:w="2783" w:type="dxa"/>
            <w:tcMar>
              <w:top w:w="0" w:type="dxa"/>
              <w:left w:w="28" w:type="dxa"/>
              <w:bottom w:w="0" w:type="dxa"/>
              <w:right w:w="28" w:type="dxa"/>
            </w:tcMar>
            <w:vAlign w:val="center"/>
          </w:tcPr>
          <w:p w14:paraId="78822EAB">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分值构成</w:t>
            </w:r>
          </w:p>
          <w:p w14:paraId="067953B9">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(总分100分)</w:t>
            </w:r>
          </w:p>
        </w:tc>
        <w:tc>
          <w:tcPr>
            <w:tcW w:w="5744" w:type="dxa"/>
            <w:tcMar>
              <w:top w:w="0" w:type="dxa"/>
              <w:left w:w="28" w:type="dxa"/>
              <w:bottom w:w="0" w:type="dxa"/>
              <w:right w:w="28" w:type="dxa"/>
            </w:tcMar>
            <w:vAlign w:val="center"/>
          </w:tcPr>
          <w:p w14:paraId="02FBDDD5">
            <w:pPr>
              <w:spacing w:line="360" w:lineRule="auto"/>
              <w:jc w:val="both"/>
              <w:rPr>
                <w:rFonts w:hint="eastAsia" w:ascii="仿宋" w:hAnsi="仿宋" w:eastAsia="仿宋" w:cs="仿宋"/>
                <w:color w:val="auto"/>
                <w:szCs w:val="21"/>
                <w:highlight w:val="none"/>
              </w:rPr>
            </w:pPr>
            <w:r>
              <w:rPr>
                <w:rFonts w:hint="eastAsia" w:ascii="仿宋" w:hAnsi="仿宋" w:eastAsia="仿宋" w:cs="仿宋"/>
                <w:color w:val="auto"/>
                <w:szCs w:val="21"/>
                <w:highlight w:val="none"/>
              </w:rPr>
              <w:t>1.详细评审部分</w:t>
            </w:r>
            <w:r>
              <w:rPr>
                <w:rFonts w:hint="eastAsia" w:ascii="仿宋" w:hAnsi="仿宋" w:eastAsia="仿宋" w:cs="仿宋"/>
                <w:color w:val="auto"/>
                <w:szCs w:val="21"/>
                <w:highlight w:val="none"/>
                <w:lang w:val="en-US" w:eastAsia="zh-CN"/>
              </w:rPr>
              <w:t>90</w:t>
            </w:r>
            <w:r>
              <w:rPr>
                <w:rFonts w:hint="eastAsia" w:ascii="仿宋" w:hAnsi="仿宋" w:eastAsia="仿宋" w:cs="仿宋"/>
                <w:color w:val="auto"/>
                <w:szCs w:val="21"/>
                <w:highlight w:val="none"/>
              </w:rPr>
              <w:t>分</w:t>
            </w:r>
          </w:p>
          <w:p w14:paraId="71090DC9">
            <w:pPr>
              <w:spacing w:line="360" w:lineRule="auto"/>
              <w:jc w:val="both"/>
              <w:rPr>
                <w:rFonts w:hint="eastAsia" w:ascii="仿宋" w:hAnsi="仿宋" w:eastAsia="仿宋" w:cs="仿宋"/>
                <w:color w:val="auto"/>
                <w:szCs w:val="21"/>
                <w:highlight w:val="none"/>
              </w:rPr>
            </w:pPr>
            <w:r>
              <w:rPr>
                <w:rFonts w:hint="eastAsia" w:ascii="仿宋" w:hAnsi="仿宋" w:eastAsia="仿宋" w:cs="仿宋"/>
                <w:color w:val="auto"/>
                <w:szCs w:val="21"/>
                <w:highlight w:val="none"/>
              </w:rPr>
              <w:t>2.投标报价部分</w:t>
            </w:r>
            <w:r>
              <w:rPr>
                <w:rFonts w:hint="eastAsia" w:ascii="仿宋" w:hAnsi="仿宋" w:eastAsia="仿宋" w:cs="仿宋"/>
                <w:color w:val="auto"/>
                <w:szCs w:val="21"/>
                <w:highlight w:val="none"/>
                <w:lang w:val="en-US" w:eastAsia="zh-CN"/>
              </w:rPr>
              <w:t>10</w:t>
            </w:r>
            <w:r>
              <w:rPr>
                <w:rFonts w:hint="eastAsia" w:ascii="仿宋" w:hAnsi="仿宋" w:eastAsia="仿宋" w:cs="仿宋"/>
                <w:color w:val="auto"/>
                <w:szCs w:val="21"/>
                <w:highlight w:val="none"/>
              </w:rPr>
              <w:t>分</w:t>
            </w:r>
          </w:p>
        </w:tc>
      </w:tr>
      <w:tr w14:paraId="61019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7" w:hRule="atLeast"/>
          <w:jc w:val="center"/>
        </w:trPr>
        <w:tc>
          <w:tcPr>
            <w:tcW w:w="612" w:type="dxa"/>
            <w:tcMar>
              <w:top w:w="0" w:type="dxa"/>
              <w:left w:w="28" w:type="dxa"/>
              <w:bottom w:w="0" w:type="dxa"/>
              <w:right w:w="28" w:type="dxa"/>
            </w:tcMar>
            <w:vAlign w:val="center"/>
          </w:tcPr>
          <w:p w14:paraId="717AFDEF">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2</w:t>
            </w:r>
          </w:p>
        </w:tc>
        <w:tc>
          <w:tcPr>
            <w:tcW w:w="2783" w:type="dxa"/>
            <w:tcMar>
              <w:top w:w="0" w:type="dxa"/>
              <w:left w:w="28" w:type="dxa"/>
              <w:bottom w:w="0" w:type="dxa"/>
              <w:right w:w="28" w:type="dxa"/>
            </w:tcMar>
            <w:vAlign w:val="center"/>
          </w:tcPr>
          <w:p w14:paraId="4A25573D">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资格审查</w:t>
            </w:r>
          </w:p>
        </w:tc>
        <w:tc>
          <w:tcPr>
            <w:tcW w:w="5744" w:type="dxa"/>
            <w:tcMar>
              <w:top w:w="0" w:type="dxa"/>
              <w:left w:w="28" w:type="dxa"/>
              <w:bottom w:w="0" w:type="dxa"/>
              <w:right w:w="28" w:type="dxa"/>
            </w:tcMar>
            <w:vAlign w:val="center"/>
          </w:tcPr>
          <w:p w14:paraId="172E7DA3">
            <w:pPr>
              <w:spacing w:line="360" w:lineRule="auto"/>
              <w:jc w:val="both"/>
              <w:rPr>
                <w:rFonts w:hint="eastAsia" w:ascii="仿宋" w:hAnsi="仿宋" w:eastAsia="仿宋" w:cs="仿宋"/>
                <w:color w:val="auto"/>
                <w:szCs w:val="21"/>
                <w:highlight w:val="none"/>
              </w:rPr>
            </w:pPr>
            <w:r>
              <w:rPr>
                <w:rFonts w:hint="eastAsia" w:ascii="仿宋" w:hAnsi="仿宋" w:eastAsia="仿宋" w:cs="仿宋"/>
                <w:color w:val="auto"/>
                <w:szCs w:val="21"/>
                <w:highlight w:val="none"/>
              </w:rPr>
              <w:t>详见《资格审查标准》</w:t>
            </w:r>
          </w:p>
        </w:tc>
      </w:tr>
      <w:tr w14:paraId="1FE1D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25" w:hRule="atLeast"/>
          <w:jc w:val="center"/>
        </w:trPr>
        <w:tc>
          <w:tcPr>
            <w:tcW w:w="612" w:type="dxa"/>
            <w:tcMar>
              <w:top w:w="0" w:type="dxa"/>
              <w:left w:w="28" w:type="dxa"/>
              <w:bottom w:w="0" w:type="dxa"/>
              <w:right w:w="28" w:type="dxa"/>
            </w:tcMar>
            <w:vAlign w:val="center"/>
          </w:tcPr>
          <w:p w14:paraId="47E452C7">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3</w:t>
            </w:r>
          </w:p>
        </w:tc>
        <w:tc>
          <w:tcPr>
            <w:tcW w:w="2783" w:type="dxa"/>
            <w:tcMar>
              <w:top w:w="0" w:type="dxa"/>
              <w:left w:w="28" w:type="dxa"/>
              <w:bottom w:w="0" w:type="dxa"/>
              <w:right w:w="28" w:type="dxa"/>
            </w:tcMar>
            <w:vAlign w:val="center"/>
          </w:tcPr>
          <w:p w14:paraId="3D07D325">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完备性及符合性审查</w:t>
            </w:r>
          </w:p>
        </w:tc>
        <w:tc>
          <w:tcPr>
            <w:tcW w:w="5744" w:type="dxa"/>
            <w:tcMar>
              <w:top w:w="0" w:type="dxa"/>
              <w:left w:w="28" w:type="dxa"/>
              <w:bottom w:w="0" w:type="dxa"/>
              <w:right w:w="28" w:type="dxa"/>
            </w:tcMar>
            <w:vAlign w:val="center"/>
          </w:tcPr>
          <w:p w14:paraId="62191333">
            <w:pPr>
              <w:spacing w:line="360" w:lineRule="auto"/>
              <w:jc w:val="both"/>
              <w:rPr>
                <w:rFonts w:hint="eastAsia" w:ascii="仿宋" w:hAnsi="仿宋" w:eastAsia="仿宋" w:cs="仿宋"/>
                <w:color w:val="auto"/>
                <w:szCs w:val="21"/>
                <w:highlight w:val="none"/>
              </w:rPr>
            </w:pPr>
            <w:r>
              <w:rPr>
                <w:rFonts w:hint="eastAsia" w:ascii="仿宋" w:hAnsi="仿宋" w:eastAsia="仿宋" w:cs="仿宋"/>
                <w:color w:val="auto"/>
                <w:szCs w:val="21"/>
                <w:highlight w:val="none"/>
              </w:rPr>
              <w:t>详见《</w:t>
            </w:r>
            <w:r>
              <w:rPr>
                <w:rFonts w:hint="eastAsia" w:ascii="仿宋" w:hAnsi="仿宋" w:eastAsia="仿宋" w:cs="仿宋"/>
                <w:color w:val="auto"/>
                <w:szCs w:val="21"/>
                <w:highlight w:val="none"/>
                <w:lang w:eastAsia="zh-CN"/>
              </w:rPr>
              <w:t>符合性审查标准</w:t>
            </w:r>
            <w:r>
              <w:rPr>
                <w:rFonts w:hint="eastAsia" w:ascii="仿宋" w:hAnsi="仿宋" w:eastAsia="仿宋" w:cs="仿宋"/>
                <w:color w:val="auto"/>
                <w:szCs w:val="21"/>
                <w:highlight w:val="none"/>
              </w:rPr>
              <w:t>》</w:t>
            </w:r>
          </w:p>
        </w:tc>
      </w:tr>
      <w:tr w14:paraId="5DA79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25" w:hRule="atLeast"/>
          <w:jc w:val="center"/>
        </w:trPr>
        <w:tc>
          <w:tcPr>
            <w:tcW w:w="612" w:type="dxa"/>
            <w:shd w:val="clear" w:color="auto" w:fill="auto"/>
            <w:tcMar>
              <w:top w:w="0" w:type="dxa"/>
              <w:left w:w="28" w:type="dxa"/>
              <w:bottom w:w="0" w:type="dxa"/>
              <w:right w:w="28" w:type="dxa"/>
            </w:tcMar>
            <w:vAlign w:val="center"/>
          </w:tcPr>
          <w:p w14:paraId="68F01544">
            <w:pPr>
              <w:spacing w:line="36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Cs w:val="21"/>
                <w:highlight w:val="none"/>
                <w:lang w:val="en-US" w:eastAsia="zh-CN"/>
              </w:rPr>
              <w:t>4</w:t>
            </w:r>
          </w:p>
        </w:tc>
        <w:tc>
          <w:tcPr>
            <w:tcW w:w="2783" w:type="dxa"/>
            <w:shd w:val="clear" w:color="auto" w:fill="auto"/>
            <w:tcMar>
              <w:top w:w="0" w:type="dxa"/>
              <w:left w:w="28" w:type="dxa"/>
              <w:bottom w:w="0" w:type="dxa"/>
              <w:right w:w="28" w:type="dxa"/>
            </w:tcMar>
            <w:vAlign w:val="center"/>
          </w:tcPr>
          <w:p w14:paraId="21CDAFD1">
            <w:pPr>
              <w:spacing w:line="36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Cs w:val="21"/>
                <w:highlight w:val="none"/>
              </w:rPr>
              <w:t>详细评审</w:t>
            </w:r>
          </w:p>
        </w:tc>
        <w:tc>
          <w:tcPr>
            <w:tcW w:w="5744" w:type="dxa"/>
            <w:tcMar>
              <w:top w:w="0" w:type="dxa"/>
              <w:left w:w="28" w:type="dxa"/>
              <w:bottom w:w="0" w:type="dxa"/>
              <w:right w:w="28" w:type="dxa"/>
            </w:tcMar>
            <w:vAlign w:val="center"/>
          </w:tcPr>
          <w:p w14:paraId="795A3152">
            <w:pPr>
              <w:spacing w:line="360" w:lineRule="auto"/>
              <w:jc w:val="both"/>
              <w:rPr>
                <w:rFonts w:hint="eastAsia" w:ascii="仿宋" w:hAnsi="仿宋" w:eastAsia="仿宋" w:cs="仿宋"/>
                <w:color w:val="auto"/>
                <w:szCs w:val="21"/>
                <w:highlight w:val="none"/>
              </w:rPr>
            </w:pPr>
            <w:r>
              <w:rPr>
                <w:rFonts w:hint="eastAsia" w:ascii="仿宋" w:hAnsi="仿宋" w:eastAsia="仿宋" w:cs="仿宋"/>
                <w:color w:val="auto"/>
                <w:szCs w:val="21"/>
                <w:highlight w:val="none"/>
              </w:rPr>
              <w:t>详见《详细评审标准》及本节第3.</w:t>
            </w:r>
            <w:r>
              <w:rPr>
                <w:rFonts w:hint="eastAsia" w:ascii="仿宋" w:hAnsi="仿宋" w:eastAsia="仿宋" w:cs="仿宋"/>
                <w:color w:val="auto"/>
                <w:szCs w:val="21"/>
                <w:highlight w:val="none"/>
                <w:lang w:val="en-US" w:eastAsia="zh-CN"/>
              </w:rPr>
              <w:t>5</w:t>
            </w:r>
            <w:r>
              <w:rPr>
                <w:rFonts w:hint="eastAsia" w:ascii="仿宋" w:hAnsi="仿宋" w:eastAsia="仿宋" w:cs="仿宋"/>
                <w:color w:val="auto"/>
                <w:szCs w:val="21"/>
                <w:highlight w:val="none"/>
              </w:rPr>
              <w:t>款</w:t>
            </w:r>
          </w:p>
        </w:tc>
      </w:tr>
    </w:tbl>
    <w:p w14:paraId="1E2E5CA6">
      <w:pPr>
        <w:widowControl/>
        <w:shd w:val="clear" w:color="auto" w:fill="FFFFFF"/>
        <w:snapToGrid w:val="0"/>
        <w:spacing w:line="276" w:lineRule="auto"/>
        <w:jc w:val="center"/>
        <w:rPr>
          <w:rFonts w:hint="eastAsia" w:ascii="仿宋" w:hAnsi="仿宋" w:eastAsia="仿宋" w:cs="仿宋"/>
          <w:b/>
          <w:color w:val="auto"/>
          <w:kern w:val="0"/>
          <w:sz w:val="24"/>
          <w:szCs w:val="24"/>
          <w:highlight w:val="none"/>
        </w:rPr>
      </w:pPr>
    </w:p>
    <w:p w14:paraId="38E504EA">
      <w:pPr>
        <w:widowControl/>
        <w:shd w:val="clear" w:color="auto" w:fill="FFFFFF"/>
        <w:snapToGrid w:val="0"/>
        <w:spacing w:line="276" w:lineRule="auto"/>
        <w:jc w:val="center"/>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《资格审查标准》</w:t>
      </w:r>
      <w:bookmarkEnd w:id="49"/>
    </w:p>
    <w:tbl>
      <w:tblPr>
        <w:tblStyle w:val="40"/>
        <w:tblW w:w="519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18"/>
        <w:gridCol w:w="3695"/>
        <w:gridCol w:w="4914"/>
      </w:tblGrid>
      <w:tr w14:paraId="4A289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434" w:type="pct"/>
            <w:vAlign w:val="center"/>
          </w:tcPr>
          <w:p w14:paraId="63256EE1">
            <w:pPr>
              <w:widowControl/>
              <w:shd w:val="clear" w:color="auto" w:fill="FFFFFF"/>
              <w:snapToGrid w:val="0"/>
              <w:spacing w:line="360" w:lineRule="auto"/>
              <w:jc w:val="center"/>
              <w:rPr>
                <w:rFonts w:hint="eastAsia" w:ascii="仿宋" w:hAnsi="仿宋" w:eastAsia="仿宋" w:cs="仿宋"/>
                <w:color w:val="auto"/>
                <w:kern w:val="0"/>
                <w:szCs w:val="24"/>
                <w:highlight w:val="none"/>
              </w:rPr>
            </w:pPr>
            <w:bookmarkStart w:id="50" w:name="_Toc501719167"/>
            <w:r>
              <w:rPr>
                <w:rFonts w:hint="eastAsia" w:ascii="仿宋" w:hAnsi="仿宋" w:eastAsia="仿宋" w:cs="仿宋"/>
                <w:color w:val="auto"/>
                <w:kern w:val="0"/>
                <w:szCs w:val="24"/>
                <w:highlight w:val="none"/>
              </w:rPr>
              <w:t>序号</w:t>
            </w:r>
          </w:p>
        </w:tc>
        <w:tc>
          <w:tcPr>
            <w:tcW w:w="1960" w:type="pct"/>
            <w:vAlign w:val="center"/>
          </w:tcPr>
          <w:p w14:paraId="6222D86E">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审查要求</w:t>
            </w:r>
          </w:p>
        </w:tc>
        <w:tc>
          <w:tcPr>
            <w:tcW w:w="2605" w:type="pct"/>
            <w:vAlign w:val="center"/>
          </w:tcPr>
          <w:p w14:paraId="259F3856">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要求说明</w:t>
            </w:r>
          </w:p>
        </w:tc>
      </w:tr>
      <w:tr w14:paraId="23A47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434" w:type="pct"/>
            <w:vAlign w:val="center"/>
          </w:tcPr>
          <w:p w14:paraId="0FA6C3E7">
            <w:pPr>
              <w:widowControl/>
              <w:shd w:val="clear" w:color="auto" w:fill="FFFFFF"/>
              <w:snapToGrid w:val="0"/>
              <w:spacing w:line="360" w:lineRule="auto"/>
              <w:jc w:val="center"/>
              <w:rPr>
                <w:rFonts w:hint="eastAsia" w:ascii="仿宋" w:hAnsi="仿宋" w:eastAsia="仿宋" w:cs="仿宋"/>
                <w:color w:val="auto"/>
                <w:kern w:val="0"/>
                <w:szCs w:val="24"/>
                <w:highlight w:val="none"/>
                <w:lang w:val="en-US" w:eastAsia="zh-CN"/>
              </w:rPr>
            </w:pPr>
            <w:r>
              <w:rPr>
                <w:rFonts w:hint="eastAsia" w:ascii="仿宋" w:hAnsi="仿宋" w:eastAsia="仿宋" w:cs="仿宋"/>
                <w:color w:val="auto"/>
                <w:kern w:val="0"/>
                <w:szCs w:val="24"/>
                <w:highlight w:val="none"/>
                <w:lang w:val="en-US" w:eastAsia="zh-CN"/>
              </w:rPr>
              <w:t>1</w:t>
            </w:r>
          </w:p>
        </w:tc>
        <w:tc>
          <w:tcPr>
            <w:tcW w:w="1960" w:type="pct"/>
            <w:shd w:val="clear" w:color="auto" w:fill="auto"/>
            <w:vAlign w:val="center"/>
          </w:tcPr>
          <w:p w14:paraId="266274DD">
            <w:pPr>
              <w:spacing w:line="288" w:lineRule="auto"/>
              <w:jc w:val="left"/>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rPr>
              <w:t>具有独立承担民事责任的能力</w:t>
            </w:r>
            <w:r>
              <w:rPr>
                <w:rFonts w:hint="eastAsia" w:ascii="仿宋" w:hAnsi="仿宋" w:eastAsia="仿宋" w:cs="仿宋"/>
                <w:color w:val="auto"/>
                <w:szCs w:val="21"/>
                <w:highlight w:val="none"/>
                <w:shd w:val="clear" w:color="auto" w:fill="FFFFFF" w:themeFill="background1"/>
                <w:lang w:eastAsia="zh-CN"/>
              </w:rPr>
              <w:t>。</w:t>
            </w:r>
          </w:p>
        </w:tc>
        <w:tc>
          <w:tcPr>
            <w:tcW w:w="2605" w:type="pct"/>
            <w:shd w:val="clear" w:color="auto" w:fill="auto"/>
            <w:vAlign w:val="center"/>
          </w:tcPr>
          <w:p w14:paraId="09DBD085">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color w:val="auto"/>
                <w:kern w:val="0"/>
                <w:szCs w:val="24"/>
                <w:highlight w:val="none"/>
                <w:lang w:val="en-US" w:eastAsia="zh-CN"/>
              </w:rPr>
            </w:pPr>
            <w:r>
              <w:rPr>
                <w:rFonts w:hint="eastAsia" w:ascii="仿宋" w:hAnsi="仿宋" w:eastAsia="仿宋" w:cs="仿宋"/>
                <w:color w:val="auto"/>
                <w:kern w:val="0"/>
                <w:szCs w:val="24"/>
                <w:highlight w:val="none"/>
                <w:lang w:val="en-US" w:eastAsia="zh-CN"/>
              </w:rPr>
              <w:t>1、如投标人是企业（包括合伙企业)，应提供在工商部门注册的有效“企业法人营业执照”或“营业执照”;</w:t>
            </w:r>
          </w:p>
          <w:p w14:paraId="71741604">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color w:val="auto"/>
                <w:kern w:val="0"/>
                <w:szCs w:val="24"/>
                <w:highlight w:val="none"/>
                <w:lang w:val="en-US" w:eastAsia="zh-CN"/>
              </w:rPr>
            </w:pPr>
            <w:r>
              <w:rPr>
                <w:rFonts w:hint="eastAsia" w:ascii="仿宋" w:hAnsi="仿宋" w:eastAsia="仿宋" w:cs="仿宋"/>
                <w:color w:val="auto"/>
                <w:kern w:val="0"/>
                <w:szCs w:val="24"/>
                <w:highlight w:val="none"/>
                <w:lang w:val="en-US" w:eastAsia="zh-CN"/>
              </w:rPr>
              <w:t>2、如投标人是事业单位，应提供有效的“事业单位法人证书”;</w:t>
            </w:r>
          </w:p>
          <w:p w14:paraId="5B72396B">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color w:val="auto"/>
                <w:kern w:val="0"/>
                <w:szCs w:val="24"/>
                <w:highlight w:val="none"/>
                <w:lang w:val="en-US" w:eastAsia="zh-CN"/>
              </w:rPr>
            </w:pPr>
            <w:r>
              <w:rPr>
                <w:rFonts w:hint="eastAsia" w:ascii="仿宋" w:hAnsi="仿宋" w:eastAsia="仿宋" w:cs="仿宋"/>
                <w:color w:val="auto"/>
                <w:kern w:val="0"/>
                <w:szCs w:val="24"/>
                <w:highlight w:val="none"/>
                <w:lang w:val="en-US" w:eastAsia="zh-CN"/>
              </w:rPr>
              <w:t>3、如投标人是非企业专业服务机构的，应提供执业许可证等证明文件;</w:t>
            </w:r>
          </w:p>
          <w:p w14:paraId="6EAA3767">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color w:val="auto"/>
                <w:kern w:val="0"/>
                <w:szCs w:val="24"/>
                <w:highlight w:val="none"/>
                <w:lang w:val="en-US" w:eastAsia="zh-CN"/>
              </w:rPr>
            </w:pPr>
            <w:r>
              <w:rPr>
                <w:rFonts w:hint="eastAsia" w:ascii="仿宋" w:hAnsi="仿宋" w:eastAsia="仿宋" w:cs="仿宋"/>
                <w:color w:val="auto"/>
                <w:kern w:val="0"/>
                <w:szCs w:val="24"/>
                <w:highlight w:val="none"/>
                <w:lang w:val="en-US" w:eastAsia="zh-CN"/>
              </w:rPr>
              <w:t>4、如投标人是个体工商户，应提供有效的“个体工商户营业执照”;</w:t>
            </w:r>
          </w:p>
          <w:p w14:paraId="25A7848F">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color w:val="auto"/>
                <w:kern w:val="0"/>
                <w:szCs w:val="24"/>
                <w:highlight w:val="none"/>
                <w:lang w:val="en-US" w:eastAsia="zh-CN"/>
              </w:rPr>
            </w:pPr>
            <w:r>
              <w:rPr>
                <w:rFonts w:hint="eastAsia" w:ascii="仿宋" w:hAnsi="仿宋" w:eastAsia="仿宋" w:cs="仿宋"/>
                <w:color w:val="auto"/>
                <w:kern w:val="0"/>
                <w:szCs w:val="24"/>
                <w:highlight w:val="none"/>
                <w:lang w:val="en-US" w:eastAsia="zh-CN"/>
              </w:rPr>
              <w:t>5、如投标人是自然人，应提供有效的自然人身份证明。</w:t>
            </w:r>
          </w:p>
        </w:tc>
      </w:tr>
      <w:tr w14:paraId="1317B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434" w:type="pct"/>
            <w:vAlign w:val="center"/>
          </w:tcPr>
          <w:p w14:paraId="4B31630D">
            <w:pPr>
              <w:widowControl/>
              <w:shd w:val="clear" w:color="auto" w:fill="FFFFFF"/>
              <w:snapToGrid w:val="0"/>
              <w:spacing w:line="360" w:lineRule="auto"/>
              <w:jc w:val="center"/>
              <w:rPr>
                <w:rFonts w:hint="eastAsia" w:ascii="仿宋" w:hAnsi="仿宋" w:eastAsia="仿宋" w:cs="仿宋"/>
                <w:color w:val="auto"/>
                <w:kern w:val="0"/>
                <w:szCs w:val="24"/>
                <w:highlight w:val="none"/>
                <w:lang w:val="en-US" w:eastAsia="zh-CN"/>
              </w:rPr>
            </w:pPr>
            <w:r>
              <w:rPr>
                <w:rFonts w:hint="eastAsia" w:ascii="仿宋" w:hAnsi="仿宋" w:eastAsia="仿宋" w:cs="仿宋"/>
                <w:color w:val="auto"/>
                <w:kern w:val="0"/>
                <w:szCs w:val="24"/>
                <w:highlight w:val="none"/>
                <w:lang w:val="en-US" w:eastAsia="zh-CN"/>
              </w:rPr>
              <w:t>2</w:t>
            </w:r>
          </w:p>
        </w:tc>
        <w:tc>
          <w:tcPr>
            <w:tcW w:w="1960" w:type="pct"/>
            <w:shd w:val="clear" w:color="auto" w:fill="auto"/>
            <w:vAlign w:val="center"/>
          </w:tcPr>
          <w:p w14:paraId="511AA615">
            <w:pPr>
              <w:spacing w:line="288" w:lineRule="auto"/>
              <w:jc w:val="left"/>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rPr>
              <w:t>具有良好的商业信誉和健全的财务会计制度</w:t>
            </w:r>
            <w:r>
              <w:rPr>
                <w:rFonts w:hint="eastAsia" w:ascii="仿宋" w:hAnsi="仿宋" w:eastAsia="仿宋" w:cs="仿宋"/>
                <w:color w:val="auto"/>
                <w:szCs w:val="21"/>
                <w:highlight w:val="none"/>
                <w:shd w:val="clear" w:color="auto" w:fill="FFFFFF" w:themeFill="background1"/>
                <w:lang w:eastAsia="zh-CN"/>
              </w:rPr>
              <w:t>。</w:t>
            </w:r>
          </w:p>
        </w:tc>
        <w:tc>
          <w:tcPr>
            <w:tcW w:w="2605" w:type="pct"/>
            <w:shd w:val="clear" w:color="auto" w:fill="auto"/>
            <w:vAlign w:val="center"/>
          </w:tcPr>
          <w:p w14:paraId="276C0F5D">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满足下述一条要求即可：</w:t>
            </w:r>
          </w:p>
          <w:p w14:paraId="22BB4925">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要求1、经审计的财务报告（</w:t>
            </w:r>
            <w:r>
              <w:rPr>
                <w:rFonts w:hint="eastAsia" w:ascii="仿宋" w:hAnsi="仿宋" w:eastAsia="仿宋" w:cs="仿宋"/>
                <w:color w:val="auto"/>
                <w:kern w:val="0"/>
                <w:szCs w:val="24"/>
                <w:highlight w:val="none"/>
                <w:lang w:eastAsia="zh-CN"/>
              </w:rPr>
              <w:t>2024年度或2025年度</w:t>
            </w:r>
            <w:r>
              <w:rPr>
                <w:rFonts w:hint="eastAsia" w:ascii="仿宋" w:hAnsi="仿宋" w:eastAsia="仿宋" w:cs="仿宋"/>
                <w:color w:val="auto"/>
                <w:kern w:val="0"/>
                <w:szCs w:val="24"/>
                <w:highlight w:val="none"/>
              </w:rPr>
              <w:t>，包括“四表-注”，即资产负债表、利润表、现金流量表、所有者权益变动表及其附注）或银行出具的资信证明（投标文件递交截止之日前六个月内任意一个月</w:t>
            </w:r>
            <w:r>
              <w:rPr>
                <w:rFonts w:hint="eastAsia" w:ascii="仿宋" w:hAnsi="仿宋" w:eastAsia="仿宋" w:cs="仿宋"/>
                <w:color w:val="auto"/>
                <w:kern w:val="0"/>
                <w:szCs w:val="24"/>
                <w:highlight w:val="none"/>
                <w:lang w:eastAsia="zh-CN"/>
              </w:rPr>
              <w:t>，</w:t>
            </w:r>
            <w:r>
              <w:rPr>
                <w:rFonts w:hint="eastAsia" w:ascii="仿宋" w:hAnsi="仿宋" w:eastAsia="仿宋" w:cs="仿宋"/>
                <w:color w:val="auto"/>
                <w:kern w:val="0"/>
                <w:szCs w:val="24"/>
                <w:highlight w:val="none"/>
                <w:lang w:val="en-US" w:eastAsia="zh-CN"/>
              </w:rPr>
              <w:t>不限制采购人主体</w:t>
            </w:r>
            <w:r>
              <w:rPr>
                <w:rFonts w:hint="eastAsia" w:ascii="仿宋" w:hAnsi="仿宋" w:eastAsia="仿宋" w:cs="仿宋"/>
                <w:color w:val="auto"/>
                <w:kern w:val="0"/>
                <w:szCs w:val="24"/>
                <w:highlight w:val="none"/>
              </w:rPr>
              <w:t>）。</w:t>
            </w:r>
          </w:p>
          <w:p w14:paraId="21311878">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color w:val="auto"/>
                <w:kern w:val="0"/>
                <w:szCs w:val="24"/>
                <w:highlight w:val="none"/>
                <w:lang w:val="en-US" w:eastAsia="zh-CN"/>
              </w:rPr>
            </w:pPr>
            <w:r>
              <w:rPr>
                <w:rFonts w:hint="eastAsia" w:ascii="仿宋" w:hAnsi="仿宋" w:eastAsia="仿宋" w:cs="仿宋"/>
                <w:color w:val="auto"/>
                <w:kern w:val="0"/>
                <w:szCs w:val="24"/>
                <w:highlight w:val="none"/>
              </w:rPr>
              <w:t>要求2、成立不足</w:t>
            </w:r>
            <w:r>
              <w:rPr>
                <w:rFonts w:hint="eastAsia" w:ascii="仿宋" w:hAnsi="仿宋" w:eastAsia="仿宋" w:cs="仿宋"/>
                <w:color w:val="auto"/>
                <w:kern w:val="0"/>
                <w:szCs w:val="24"/>
                <w:highlight w:val="none"/>
                <w:lang w:val="en-US" w:eastAsia="zh-CN"/>
              </w:rPr>
              <w:t>六</w:t>
            </w:r>
            <w:r>
              <w:rPr>
                <w:rFonts w:hint="eastAsia" w:ascii="仿宋" w:hAnsi="仿宋" w:eastAsia="仿宋" w:cs="仿宋"/>
                <w:color w:val="auto"/>
                <w:kern w:val="0"/>
                <w:szCs w:val="24"/>
                <w:highlight w:val="none"/>
              </w:rPr>
              <w:t>个月（以投标文件递交截止之日为期限）的投标人无需提供。</w:t>
            </w:r>
          </w:p>
        </w:tc>
      </w:tr>
      <w:tr w14:paraId="32A37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434" w:type="pct"/>
            <w:vAlign w:val="center"/>
          </w:tcPr>
          <w:p w14:paraId="0601F3D9">
            <w:pPr>
              <w:widowControl/>
              <w:shd w:val="clear" w:color="auto" w:fill="FFFFFF"/>
              <w:snapToGrid w:val="0"/>
              <w:spacing w:line="360" w:lineRule="auto"/>
              <w:jc w:val="center"/>
              <w:rPr>
                <w:rFonts w:hint="eastAsia" w:ascii="仿宋" w:hAnsi="仿宋" w:eastAsia="仿宋" w:cs="仿宋"/>
                <w:color w:val="auto"/>
                <w:kern w:val="0"/>
                <w:szCs w:val="24"/>
                <w:highlight w:val="none"/>
                <w:lang w:val="en-US" w:eastAsia="zh-CN"/>
              </w:rPr>
            </w:pPr>
            <w:r>
              <w:rPr>
                <w:rFonts w:hint="eastAsia" w:ascii="仿宋" w:hAnsi="仿宋" w:eastAsia="仿宋" w:cs="仿宋"/>
                <w:color w:val="auto"/>
                <w:kern w:val="0"/>
                <w:szCs w:val="24"/>
                <w:highlight w:val="none"/>
                <w:lang w:val="en-US" w:eastAsia="zh-CN"/>
              </w:rPr>
              <w:t>3</w:t>
            </w:r>
          </w:p>
        </w:tc>
        <w:tc>
          <w:tcPr>
            <w:tcW w:w="1960" w:type="pct"/>
            <w:shd w:val="clear" w:color="auto" w:fill="auto"/>
            <w:vAlign w:val="center"/>
          </w:tcPr>
          <w:p w14:paraId="247B387D">
            <w:pPr>
              <w:spacing w:line="288" w:lineRule="auto"/>
              <w:jc w:val="left"/>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rPr>
              <w:t>具有履行合同所必需的设备和专业技术能力</w:t>
            </w:r>
            <w:r>
              <w:rPr>
                <w:rFonts w:hint="eastAsia" w:ascii="仿宋" w:hAnsi="仿宋" w:eastAsia="仿宋" w:cs="仿宋"/>
                <w:color w:val="auto"/>
                <w:szCs w:val="21"/>
                <w:highlight w:val="none"/>
                <w:shd w:val="clear" w:color="auto" w:fill="FFFFFF" w:themeFill="background1"/>
                <w:lang w:eastAsia="zh-CN"/>
              </w:rPr>
              <w:t>。</w:t>
            </w:r>
          </w:p>
        </w:tc>
        <w:tc>
          <w:tcPr>
            <w:tcW w:w="2605" w:type="pct"/>
            <w:shd w:val="clear" w:color="auto" w:fill="auto"/>
            <w:vAlign w:val="center"/>
          </w:tcPr>
          <w:p w14:paraId="670BF9AE">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color w:val="auto"/>
                <w:kern w:val="0"/>
                <w:szCs w:val="24"/>
                <w:highlight w:val="none"/>
                <w:lang w:val="en-US" w:eastAsia="zh-CN"/>
              </w:rPr>
            </w:pPr>
            <w:r>
              <w:rPr>
                <w:rFonts w:hint="eastAsia" w:ascii="仿宋" w:hAnsi="仿宋" w:eastAsia="仿宋" w:cs="仿宋"/>
                <w:color w:val="auto"/>
                <w:kern w:val="0"/>
                <w:szCs w:val="24"/>
                <w:highlight w:val="none"/>
                <w:lang w:val="en-US" w:eastAsia="zh-CN"/>
              </w:rPr>
              <w:t>提供《具有履行合同所必需的设备和专业技术能力的承诺函》，加盖投标人章。</w:t>
            </w:r>
          </w:p>
        </w:tc>
      </w:tr>
      <w:tr w14:paraId="28F35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434" w:type="pct"/>
            <w:vAlign w:val="center"/>
          </w:tcPr>
          <w:p w14:paraId="1D85476E">
            <w:pPr>
              <w:widowControl/>
              <w:shd w:val="clear" w:color="auto" w:fill="FFFFFF"/>
              <w:snapToGrid w:val="0"/>
              <w:spacing w:line="360" w:lineRule="auto"/>
              <w:jc w:val="center"/>
              <w:rPr>
                <w:rFonts w:hint="eastAsia" w:ascii="仿宋" w:hAnsi="仿宋" w:eastAsia="仿宋" w:cs="仿宋"/>
                <w:color w:val="auto"/>
                <w:kern w:val="0"/>
                <w:szCs w:val="24"/>
                <w:highlight w:val="none"/>
                <w:lang w:val="en-US" w:eastAsia="zh-CN"/>
              </w:rPr>
            </w:pPr>
            <w:r>
              <w:rPr>
                <w:rFonts w:hint="eastAsia" w:ascii="仿宋" w:hAnsi="仿宋" w:eastAsia="仿宋" w:cs="仿宋"/>
                <w:color w:val="auto"/>
                <w:kern w:val="0"/>
                <w:szCs w:val="24"/>
                <w:highlight w:val="none"/>
                <w:lang w:val="en-US" w:eastAsia="zh-CN"/>
              </w:rPr>
              <w:t>4</w:t>
            </w:r>
          </w:p>
        </w:tc>
        <w:tc>
          <w:tcPr>
            <w:tcW w:w="1960" w:type="pct"/>
            <w:shd w:val="clear" w:color="auto" w:fill="auto"/>
            <w:vAlign w:val="center"/>
          </w:tcPr>
          <w:p w14:paraId="3C1EE9EC">
            <w:pPr>
              <w:spacing w:line="288" w:lineRule="auto"/>
              <w:jc w:val="left"/>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rPr>
              <w:t>有依法缴纳税收和社会保障资金的良好记录</w:t>
            </w:r>
            <w:r>
              <w:rPr>
                <w:rFonts w:hint="eastAsia" w:ascii="仿宋" w:hAnsi="仿宋" w:eastAsia="仿宋" w:cs="仿宋"/>
                <w:color w:val="auto"/>
                <w:szCs w:val="21"/>
                <w:highlight w:val="none"/>
                <w:shd w:val="clear" w:color="auto" w:fill="FFFFFF" w:themeFill="background1"/>
                <w:lang w:eastAsia="zh-CN"/>
              </w:rPr>
              <w:t>。</w:t>
            </w:r>
          </w:p>
        </w:tc>
        <w:tc>
          <w:tcPr>
            <w:tcW w:w="2605" w:type="pct"/>
            <w:shd w:val="clear" w:color="auto" w:fill="auto"/>
            <w:vAlign w:val="center"/>
          </w:tcPr>
          <w:p w14:paraId="1634592C">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1、依法缴纳税收的证明材料：</w:t>
            </w:r>
          </w:p>
          <w:p w14:paraId="3D675702">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投标人参加政府采购活动前一段时间（投标文件递交截止之日前六个月内任一个月）内缴纳税收的完税凭证（指各种完税证、缴款书、印花税票、扣（收）税凭证以及其他完税证明，提供上述任意一种即可）。</w:t>
            </w:r>
          </w:p>
          <w:p w14:paraId="28FCA865">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2、依法缴纳社会保障资金的证明材料：</w:t>
            </w:r>
          </w:p>
          <w:p w14:paraId="2A01CCA2">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投标人参加政府采购活动前一段时间（投标文件递交截止之日前六个月内任一个月）内缴纳社会保险的凭据，其他组织和自然人也需要提供缴纳税收的凭据和缴纳社会保险的凭据。</w:t>
            </w:r>
          </w:p>
          <w:p w14:paraId="3EE8ECE0">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rPr>
              <w:t>3、依法免税或不需要缴纳社会保障资金的投标人，应提供相应文件证明其依法免税或不需要缴纳社会保障资金。</w:t>
            </w:r>
          </w:p>
        </w:tc>
      </w:tr>
      <w:tr w14:paraId="42F6B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434" w:type="pct"/>
            <w:vAlign w:val="center"/>
          </w:tcPr>
          <w:p w14:paraId="6E9046E6">
            <w:pPr>
              <w:widowControl/>
              <w:shd w:val="clear" w:color="auto" w:fill="FFFFFF"/>
              <w:snapToGrid w:val="0"/>
              <w:spacing w:line="360" w:lineRule="auto"/>
              <w:jc w:val="center"/>
              <w:rPr>
                <w:rFonts w:hint="eastAsia" w:ascii="仿宋" w:hAnsi="仿宋" w:eastAsia="仿宋" w:cs="仿宋"/>
                <w:color w:val="auto"/>
                <w:kern w:val="0"/>
                <w:szCs w:val="24"/>
                <w:highlight w:val="none"/>
                <w:lang w:val="en-US" w:eastAsia="zh-CN"/>
              </w:rPr>
            </w:pPr>
            <w:r>
              <w:rPr>
                <w:rFonts w:hint="eastAsia" w:ascii="仿宋" w:hAnsi="仿宋" w:eastAsia="仿宋" w:cs="仿宋"/>
                <w:color w:val="auto"/>
                <w:kern w:val="0"/>
                <w:szCs w:val="24"/>
                <w:highlight w:val="none"/>
                <w:lang w:val="en-US" w:eastAsia="zh-CN"/>
              </w:rPr>
              <w:t>5</w:t>
            </w:r>
          </w:p>
        </w:tc>
        <w:tc>
          <w:tcPr>
            <w:tcW w:w="1960" w:type="pct"/>
            <w:shd w:val="clear" w:color="auto" w:fill="auto"/>
            <w:vAlign w:val="center"/>
          </w:tcPr>
          <w:p w14:paraId="2FAEA4BC">
            <w:pPr>
              <w:spacing w:line="288" w:lineRule="auto"/>
              <w:jc w:val="left"/>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rPr>
              <w:t>参加政府采购活动前三年内，在经营活动中没有重大违法记录</w:t>
            </w:r>
            <w:r>
              <w:rPr>
                <w:rFonts w:hint="eastAsia" w:ascii="仿宋" w:hAnsi="仿宋" w:eastAsia="仿宋" w:cs="仿宋"/>
                <w:color w:val="auto"/>
                <w:szCs w:val="21"/>
                <w:highlight w:val="none"/>
                <w:shd w:val="clear" w:color="auto" w:fill="FFFFFF" w:themeFill="background1"/>
                <w:lang w:eastAsia="zh-CN"/>
              </w:rPr>
              <w:t>。</w:t>
            </w:r>
          </w:p>
        </w:tc>
        <w:tc>
          <w:tcPr>
            <w:tcW w:w="2605" w:type="pct"/>
            <w:shd w:val="clear" w:color="auto" w:fill="auto"/>
            <w:vAlign w:val="center"/>
          </w:tcPr>
          <w:p w14:paraId="2E1DDE10">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kern w:val="0"/>
                <w:szCs w:val="24"/>
                <w:highlight w:val="none"/>
                <w:lang w:val="en-US" w:eastAsia="zh-CN"/>
              </w:rPr>
              <w:t>提供《参加政府采购活动前3年内在经营活动中没有重大违法记录的书面声明》，加盖投标人章。</w:t>
            </w:r>
          </w:p>
        </w:tc>
      </w:tr>
      <w:tr w14:paraId="46E6C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jc w:val="center"/>
        </w:trPr>
        <w:tc>
          <w:tcPr>
            <w:tcW w:w="434" w:type="pct"/>
            <w:vAlign w:val="center"/>
          </w:tcPr>
          <w:p w14:paraId="054DEF25">
            <w:pPr>
              <w:widowControl/>
              <w:shd w:val="clear" w:color="auto" w:fill="FFFFFF"/>
              <w:snapToGrid w:val="0"/>
              <w:spacing w:line="360" w:lineRule="auto"/>
              <w:jc w:val="center"/>
              <w:rPr>
                <w:rFonts w:hint="eastAsia" w:ascii="仿宋" w:hAnsi="仿宋" w:eastAsia="仿宋" w:cs="仿宋"/>
                <w:color w:val="auto"/>
                <w:kern w:val="0"/>
                <w:szCs w:val="24"/>
                <w:highlight w:val="none"/>
                <w:lang w:val="en-US" w:eastAsia="zh-CN"/>
              </w:rPr>
            </w:pPr>
            <w:r>
              <w:rPr>
                <w:rFonts w:hint="eastAsia" w:ascii="仿宋" w:hAnsi="仿宋" w:eastAsia="仿宋" w:cs="仿宋"/>
                <w:color w:val="auto"/>
                <w:kern w:val="0"/>
                <w:szCs w:val="24"/>
                <w:highlight w:val="none"/>
                <w:lang w:val="en-US" w:eastAsia="zh-CN"/>
              </w:rPr>
              <w:t>6</w:t>
            </w:r>
          </w:p>
        </w:tc>
        <w:tc>
          <w:tcPr>
            <w:tcW w:w="1960" w:type="pct"/>
            <w:shd w:val="clear" w:color="auto" w:fill="auto"/>
            <w:vAlign w:val="center"/>
          </w:tcPr>
          <w:p w14:paraId="3C302998">
            <w:pPr>
              <w:spacing w:line="360" w:lineRule="auto"/>
              <w:jc w:val="left"/>
              <w:rPr>
                <w:rFonts w:hint="eastAsia" w:ascii="仿宋" w:hAnsi="仿宋" w:eastAsia="仿宋" w:cs="仿宋"/>
                <w:color w:val="auto"/>
                <w:kern w:val="0"/>
                <w:sz w:val="21"/>
                <w:szCs w:val="24"/>
                <w:highlight w:val="none"/>
                <w:lang w:val="en-US" w:eastAsia="zh-CN" w:bidi="ar-SA"/>
              </w:rPr>
            </w:pPr>
            <w:r>
              <w:rPr>
                <w:rFonts w:hint="eastAsia" w:ascii="仿宋" w:hAnsi="仿宋" w:eastAsia="仿宋" w:cs="仿宋"/>
                <w:color w:val="auto"/>
                <w:kern w:val="0"/>
                <w:szCs w:val="24"/>
                <w:highlight w:val="none"/>
              </w:rPr>
              <w:t>投标人如在“信用中国”网站（www.creditchina.gov.cn）、中国政府采购网（www.ccgp.gov.cn）等渠道被列入失信被执行人、重大税收违法失信主体、政府采购严重违法失信行为记录名单，尚在处罚期内的将被拒绝参加本次采购活动。</w:t>
            </w:r>
          </w:p>
        </w:tc>
        <w:tc>
          <w:tcPr>
            <w:tcW w:w="2605" w:type="pct"/>
            <w:shd w:val="clear" w:color="auto" w:fill="auto"/>
            <w:vAlign w:val="center"/>
          </w:tcPr>
          <w:p w14:paraId="76456561">
            <w:pPr>
              <w:keepNext w:val="0"/>
              <w:keepLines w:val="0"/>
              <w:pageBreakBefore w:val="0"/>
              <w:widowControl w:val="0"/>
              <w:kinsoku/>
              <w:wordWrap/>
              <w:overflowPunct/>
              <w:topLinePunct w:val="0"/>
              <w:autoSpaceDE/>
              <w:autoSpaceDN/>
              <w:bidi w:val="0"/>
              <w:adjustRightInd/>
              <w:snapToGrid/>
              <w:spacing w:line="240" w:lineRule="auto"/>
              <w:ind w:firstLine="210" w:firstLineChars="100"/>
              <w:jc w:val="left"/>
              <w:textAlignment w:val="auto"/>
              <w:rPr>
                <w:rFonts w:hint="eastAsia" w:ascii="仿宋" w:hAnsi="仿宋" w:eastAsia="仿宋" w:cs="仿宋"/>
                <w:color w:val="auto"/>
                <w:kern w:val="0"/>
                <w:sz w:val="21"/>
                <w:szCs w:val="24"/>
                <w:highlight w:val="none"/>
                <w:lang w:val="en-US" w:eastAsia="zh-CN" w:bidi="ar-SA"/>
              </w:rPr>
            </w:pPr>
            <w:r>
              <w:rPr>
                <w:rFonts w:hint="eastAsia" w:ascii="仿宋" w:hAnsi="仿宋" w:eastAsia="仿宋" w:cs="仿宋"/>
                <w:color w:val="auto"/>
                <w:kern w:val="0"/>
                <w:szCs w:val="24"/>
                <w:highlight w:val="none"/>
              </w:rPr>
              <w:t>以采购人或者采购代理机构查询记录为准。</w:t>
            </w:r>
          </w:p>
        </w:tc>
      </w:tr>
      <w:tr w14:paraId="1C6A5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04" w:hRule="atLeast"/>
          <w:jc w:val="center"/>
        </w:trPr>
        <w:tc>
          <w:tcPr>
            <w:tcW w:w="434" w:type="pct"/>
            <w:vAlign w:val="center"/>
          </w:tcPr>
          <w:p w14:paraId="68A8426A">
            <w:pPr>
              <w:widowControl/>
              <w:shd w:val="clear" w:color="auto" w:fill="FFFFFF"/>
              <w:snapToGrid w:val="0"/>
              <w:spacing w:line="360" w:lineRule="auto"/>
              <w:jc w:val="center"/>
              <w:rPr>
                <w:rFonts w:hint="eastAsia" w:ascii="仿宋" w:hAnsi="仿宋" w:eastAsia="仿宋" w:cs="仿宋"/>
                <w:color w:val="auto"/>
                <w:kern w:val="0"/>
                <w:szCs w:val="24"/>
                <w:highlight w:val="none"/>
                <w:lang w:val="en-US" w:eastAsia="zh-CN"/>
              </w:rPr>
            </w:pPr>
            <w:r>
              <w:rPr>
                <w:rFonts w:hint="eastAsia" w:ascii="仿宋" w:hAnsi="仿宋" w:eastAsia="仿宋" w:cs="仿宋"/>
                <w:color w:val="auto"/>
                <w:kern w:val="0"/>
                <w:szCs w:val="24"/>
                <w:highlight w:val="none"/>
                <w:lang w:val="en-US" w:eastAsia="zh-CN"/>
              </w:rPr>
              <w:t>7</w:t>
            </w:r>
          </w:p>
        </w:tc>
        <w:tc>
          <w:tcPr>
            <w:tcW w:w="1960" w:type="pct"/>
            <w:shd w:val="clear" w:color="auto" w:fill="auto"/>
            <w:vAlign w:val="center"/>
          </w:tcPr>
          <w:p w14:paraId="79C70C03">
            <w:pPr>
              <w:spacing w:line="288" w:lineRule="auto"/>
              <w:jc w:val="left"/>
              <w:rPr>
                <w:rFonts w:hint="eastAsia" w:ascii="仿宋" w:hAnsi="仿宋" w:eastAsia="仿宋" w:cs="仿宋"/>
                <w:color w:val="auto"/>
                <w:kern w:val="0"/>
                <w:sz w:val="21"/>
                <w:szCs w:val="24"/>
                <w:highlight w:val="none"/>
                <w:lang w:val="en-US" w:eastAsia="zh-CN" w:bidi="ar-SA"/>
              </w:rPr>
            </w:pPr>
            <w:r>
              <w:rPr>
                <w:rFonts w:hint="eastAsia" w:ascii="仿宋" w:hAnsi="仿宋" w:eastAsia="仿宋" w:cs="仿宋"/>
                <w:color w:val="auto"/>
                <w:kern w:val="0"/>
                <w:szCs w:val="21"/>
                <w:highlight w:val="none"/>
                <w:shd w:val="clear" w:color="auto" w:fill="FFFFFF" w:themeFill="background1"/>
                <w:lang w:eastAsia="zh-CN"/>
              </w:rPr>
              <w:t>投标人须具备有效的《医疗机构执业许可证》和《放射诊疗许可证》。</w:t>
            </w:r>
          </w:p>
        </w:tc>
        <w:tc>
          <w:tcPr>
            <w:tcW w:w="2605" w:type="pct"/>
            <w:shd w:val="clear" w:color="auto" w:fill="auto"/>
            <w:vAlign w:val="center"/>
          </w:tcPr>
          <w:p w14:paraId="02031CD9">
            <w:pPr>
              <w:keepNext w:val="0"/>
              <w:keepLines w:val="0"/>
              <w:pageBreakBefore w:val="0"/>
              <w:widowControl w:val="0"/>
              <w:kinsoku/>
              <w:wordWrap/>
              <w:overflowPunct/>
              <w:topLinePunct w:val="0"/>
              <w:autoSpaceDE/>
              <w:autoSpaceDN/>
              <w:bidi w:val="0"/>
              <w:adjustRightInd/>
              <w:snapToGrid/>
              <w:spacing w:line="288" w:lineRule="auto"/>
              <w:ind w:firstLine="210" w:firstLineChars="100"/>
              <w:jc w:val="left"/>
              <w:textAlignment w:val="auto"/>
              <w:rPr>
                <w:rFonts w:hint="eastAsia" w:ascii="仿宋" w:hAnsi="仿宋" w:eastAsia="仿宋" w:cs="仿宋"/>
                <w:color w:val="auto"/>
                <w:kern w:val="0"/>
                <w:sz w:val="21"/>
                <w:szCs w:val="24"/>
                <w:highlight w:val="none"/>
                <w:lang w:val="en-US" w:eastAsia="zh-CN" w:bidi="ar-SA"/>
              </w:rPr>
            </w:pPr>
            <w:r>
              <w:rPr>
                <w:rFonts w:hint="eastAsia" w:ascii="仿宋" w:hAnsi="仿宋" w:eastAsia="仿宋" w:cs="仿宋"/>
                <w:color w:val="auto"/>
                <w:kern w:val="0"/>
                <w:szCs w:val="21"/>
                <w:highlight w:val="none"/>
                <w:shd w:val="clear" w:color="auto" w:fill="FFFFFF" w:themeFill="background1"/>
                <w:lang w:val="en-US" w:eastAsia="zh-CN"/>
              </w:rPr>
              <w:t>相应证件扫描件。</w:t>
            </w:r>
          </w:p>
        </w:tc>
      </w:tr>
      <w:tr w14:paraId="10EF0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50" w:hRule="atLeast"/>
          <w:jc w:val="center"/>
        </w:trPr>
        <w:tc>
          <w:tcPr>
            <w:tcW w:w="5000" w:type="pct"/>
            <w:gridSpan w:val="3"/>
            <w:vAlign w:val="center"/>
          </w:tcPr>
          <w:p w14:paraId="6C807894">
            <w:pPr>
              <w:widowControl/>
              <w:shd w:val="clear" w:color="auto" w:fill="FFFFFF"/>
              <w:snapToGrid w:val="0"/>
              <w:spacing w:line="360" w:lineRule="auto"/>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备注： 如果资格评审中有一项不满足审查标准的，采购人将认定该投标人不通过资格审查，投标文件将被拒绝评审。并且不允许投标人通过修改或撤销其不符合要求的差异或保留，使之成为具有响应性的投标。</w:t>
            </w:r>
          </w:p>
        </w:tc>
      </w:tr>
    </w:tbl>
    <w:p w14:paraId="1A44508C">
      <w:pPr>
        <w:widowControl/>
        <w:shd w:val="clear" w:color="auto" w:fill="FFFFFF"/>
        <w:snapToGrid w:val="0"/>
        <w:spacing w:line="276" w:lineRule="auto"/>
        <w:jc w:val="center"/>
        <w:rPr>
          <w:rFonts w:hint="eastAsia" w:ascii="仿宋" w:hAnsi="仿宋" w:eastAsia="仿宋" w:cs="仿宋"/>
          <w:b/>
          <w:color w:val="auto"/>
          <w:kern w:val="0"/>
          <w:sz w:val="24"/>
          <w:szCs w:val="24"/>
          <w:highlight w:val="none"/>
        </w:rPr>
      </w:pPr>
    </w:p>
    <w:p w14:paraId="2967AA62">
      <w:pPr>
        <w:widowControl/>
        <w:shd w:val="clear" w:color="auto" w:fill="FFFFFF"/>
        <w:snapToGrid w:val="0"/>
        <w:spacing w:line="276" w:lineRule="auto"/>
        <w:jc w:val="center"/>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w:t>
      </w:r>
      <w:r>
        <w:rPr>
          <w:rFonts w:hint="eastAsia" w:ascii="仿宋" w:hAnsi="仿宋" w:eastAsia="仿宋" w:cs="仿宋"/>
          <w:b/>
          <w:color w:val="auto"/>
          <w:kern w:val="0"/>
          <w:sz w:val="24"/>
          <w:szCs w:val="24"/>
          <w:highlight w:val="none"/>
          <w:lang w:eastAsia="zh-CN"/>
        </w:rPr>
        <w:t>符合性审查标准</w:t>
      </w:r>
      <w:r>
        <w:rPr>
          <w:rFonts w:hint="eastAsia" w:ascii="仿宋" w:hAnsi="仿宋" w:eastAsia="仿宋" w:cs="仿宋"/>
          <w:b/>
          <w:color w:val="auto"/>
          <w:kern w:val="0"/>
          <w:sz w:val="24"/>
          <w:szCs w:val="24"/>
          <w:highlight w:val="none"/>
        </w:rPr>
        <w:t>》</w:t>
      </w:r>
      <w:bookmarkEnd w:id="50"/>
    </w:p>
    <w:tbl>
      <w:tblPr>
        <w:tblStyle w:val="40"/>
        <w:tblW w:w="93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22"/>
        <w:gridCol w:w="4834"/>
        <w:gridCol w:w="3745"/>
      </w:tblGrid>
      <w:tr w14:paraId="4F90C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5" w:hRule="atLeast"/>
          <w:jc w:val="center"/>
        </w:trPr>
        <w:tc>
          <w:tcPr>
            <w:tcW w:w="722" w:type="dxa"/>
            <w:vAlign w:val="center"/>
          </w:tcPr>
          <w:p w14:paraId="33CD07A7">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序号</w:t>
            </w:r>
          </w:p>
        </w:tc>
        <w:tc>
          <w:tcPr>
            <w:tcW w:w="4834" w:type="dxa"/>
            <w:vAlign w:val="center"/>
          </w:tcPr>
          <w:p w14:paraId="6B984298">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审查要求</w:t>
            </w:r>
          </w:p>
        </w:tc>
        <w:tc>
          <w:tcPr>
            <w:tcW w:w="3745" w:type="dxa"/>
            <w:vAlign w:val="center"/>
          </w:tcPr>
          <w:p w14:paraId="035A93B0">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要求说明</w:t>
            </w:r>
          </w:p>
        </w:tc>
      </w:tr>
      <w:tr w14:paraId="2B448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5" w:hRule="atLeast"/>
          <w:jc w:val="center"/>
        </w:trPr>
        <w:tc>
          <w:tcPr>
            <w:tcW w:w="722" w:type="dxa"/>
            <w:vAlign w:val="center"/>
          </w:tcPr>
          <w:p w14:paraId="2B132F33">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1</w:t>
            </w:r>
          </w:p>
        </w:tc>
        <w:tc>
          <w:tcPr>
            <w:tcW w:w="4834" w:type="dxa"/>
            <w:vAlign w:val="center"/>
          </w:tcPr>
          <w:p w14:paraId="293DE452">
            <w:pPr>
              <w:widowControl/>
              <w:shd w:val="clear" w:color="auto" w:fill="FFFFFF"/>
              <w:snapToGrid w:val="0"/>
              <w:spacing w:line="360" w:lineRule="auto"/>
              <w:jc w:val="both"/>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投标文件必须按招标文件要求加盖</w:t>
            </w:r>
            <w:r>
              <w:rPr>
                <w:rFonts w:hint="eastAsia" w:ascii="仿宋" w:hAnsi="仿宋" w:eastAsia="仿宋" w:cs="仿宋"/>
                <w:color w:val="auto"/>
                <w:kern w:val="0"/>
                <w:szCs w:val="24"/>
                <w:highlight w:val="none"/>
                <w:lang w:eastAsia="zh-CN"/>
              </w:rPr>
              <w:t>投标人章</w:t>
            </w:r>
            <w:r>
              <w:rPr>
                <w:rFonts w:hint="eastAsia" w:ascii="仿宋" w:hAnsi="仿宋" w:eastAsia="仿宋" w:cs="仿宋"/>
                <w:color w:val="auto"/>
                <w:kern w:val="0"/>
                <w:szCs w:val="24"/>
                <w:highlight w:val="none"/>
              </w:rPr>
              <w:t>、</w:t>
            </w:r>
            <w:r>
              <w:rPr>
                <w:rFonts w:hint="eastAsia" w:ascii="仿宋" w:hAnsi="仿宋" w:eastAsia="仿宋" w:cs="仿宋"/>
                <w:color w:val="auto"/>
                <w:kern w:val="0"/>
                <w:szCs w:val="24"/>
                <w:highlight w:val="none"/>
                <w:lang w:eastAsia="zh-CN"/>
              </w:rPr>
              <w:t>法定代表人章（或签字）</w:t>
            </w:r>
            <w:r>
              <w:rPr>
                <w:rFonts w:hint="eastAsia" w:ascii="仿宋" w:hAnsi="仿宋" w:eastAsia="仿宋" w:cs="仿宋"/>
                <w:color w:val="auto"/>
                <w:kern w:val="0"/>
                <w:szCs w:val="24"/>
                <w:highlight w:val="none"/>
              </w:rPr>
              <w:t>。</w:t>
            </w:r>
          </w:p>
        </w:tc>
        <w:tc>
          <w:tcPr>
            <w:tcW w:w="3745" w:type="dxa"/>
            <w:vAlign w:val="center"/>
          </w:tcPr>
          <w:p w14:paraId="2B12F696">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w:t>
            </w:r>
          </w:p>
        </w:tc>
      </w:tr>
      <w:tr w14:paraId="0F2E4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5" w:hRule="atLeast"/>
          <w:jc w:val="center"/>
        </w:trPr>
        <w:tc>
          <w:tcPr>
            <w:tcW w:w="722" w:type="dxa"/>
            <w:vAlign w:val="center"/>
          </w:tcPr>
          <w:p w14:paraId="6AE4600A">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2</w:t>
            </w:r>
          </w:p>
        </w:tc>
        <w:tc>
          <w:tcPr>
            <w:tcW w:w="4834" w:type="dxa"/>
            <w:shd w:val="clear" w:color="auto" w:fill="auto"/>
            <w:vAlign w:val="center"/>
          </w:tcPr>
          <w:p w14:paraId="54F5B407">
            <w:pPr>
              <w:spacing w:line="288" w:lineRule="auto"/>
              <w:jc w:val="left"/>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lang w:val="en-US" w:eastAsia="zh-CN"/>
              </w:rPr>
              <w:t>投标</w:t>
            </w:r>
            <w:r>
              <w:rPr>
                <w:rFonts w:hint="eastAsia" w:ascii="仿宋" w:hAnsi="仿宋" w:eastAsia="仿宋" w:cs="仿宋"/>
                <w:color w:val="auto"/>
                <w:szCs w:val="21"/>
                <w:highlight w:val="none"/>
                <w:shd w:val="clear" w:color="auto" w:fill="FFFFFF" w:themeFill="background1"/>
                <w:lang w:eastAsia="zh-CN"/>
              </w:rPr>
              <w:t>价格（单价</w:t>
            </w:r>
            <w:r>
              <w:rPr>
                <w:rFonts w:hint="eastAsia" w:ascii="仿宋" w:hAnsi="仿宋" w:eastAsia="仿宋" w:cs="仿宋"/>
                <w:color w:val="auto"/>
                <w:szCs w:val="21"/>
                <w:highlight w:val="none"/>
                <w:shd w:val="clear" w:color="auto" w:fill="FFFFFF" w:themeFill="background1"/>
                <w:lang w:val="en-US" w:eastAsia="zh-CN"/>
              </w:rPr>
              <w:t>及</w:t>
            </w:r>
            <w:r>
              <w:rPr>
                <w:rFonts w:hint="eastAsia" w:ascii="仿宋" w:hAnsi="仿宋" w:eastAsia="仿宋" w:cs="仿宋"/>
                <w:color w:val="auto"/>
                <w:szCs w:val="21"/>
                <w:highlight w:val="none"/>
                <w:shd w:val="clear" w:color="auto" w:fill="FFFFFF" w:themeFill="background1"/>
                <w:lang w:eastAsia="zh-CN"/>
              </w:rPr>
              <w:t>单价合计金额）</w:t>
            </w:r>
            <w:r>
              <w:rPr>
                <w:rFonts w:hint="eastAsia" w:ascii="仿宋" w:hAnsi="仿宋" w:eastAsia="仿宋" w:cs="仿宋"/>
                <w:color w:val="auto"/>
                <w:szCs w:val="21"/>
                <w:highlight w:val="none"/>
                <w:shd w:val="clear" w:color="auto" w:fill="FFFFFF" w:themeFill="background1"/>
              </w:rPr>
              <w:t>不得超过</w:t>
            </w:r>
            <w:r>
              <w:rPr>
                <w:rFonts w:hint="eastAsia" w:ascii="仿宋" w:hAnsi="仿宋" w:eastAsia="仿宋" w:cs="仿宋"/>
                <w:color w:val="auto"/>
                <w:szCs w:val="21"/>
                <w:highlight w:val="none"/>
                <w:shd w:val="clear" w:color="auto" w:fill="FFFFFF" w:themeFill="background1"/>
                <w:lang w:eastAsia="zh-CN"/>
              </w:rPr>
              <w:t>投标人</w:t>
            </w:r>
            <w:r>
              <w:rPr>
                <w:rFonts w:hint="eastAsia" w:ascii="仿宋" w:hAnsi="仿宋" w:eastAsia="仿宋" w:cs="仿宋"/>
                <w:color w:val="auto"/>
                <w:szCs w:val="21"/>
                <w:highlight w:val="none"/>
                <w:shd w:val="clear" w:color="auto" w:fill="FFFFFF" w:themeFill="background1"/>
              </w:rPr>
              <w:t>须知前附表中的</w:t>
            </w:r>
            <w:r>
              <w:rPr>
                <w:rFonts w:hint="eastAsia" w:ascii="仿宋" w:hAnsi="仿宋" w:eastAsia="仿宋" w:cs="仿宋"/>
                <w:color w:val="auto"/>
                <w:szCs w:val="21"/>
                <w:highlight w:val="none"/>
                <w:shd w:val="clear" w:color="auto" w:fill="FFFFFF" w:themeFill="background1"/>
                <w:lang w:val="en-US" w:eastAsia="zh-CN"/>
              </w:rPr>
              <w:t>最高限价（</w:t>
            </w:r>
            <w:r>
              <w:rPr>
                <w:rFonts w:hint="eastAsia" w:ascii="仿宋" w:hAnsi="仿宋" w:eastAsia="仿宋" w:cs="仿宋"/>
                <w:color w:val="auto"/>
                <w:kern w:val="0"/>
                <w:szCs w:val="21"/>
                <w:highlight w:val="none"/>
                <w:shd w:val="clear" w:color="auto" w:fill="FFFFFF" w:themeFill="background1"/>
                <w:lang w:val="en-US" w:eastAsia="zh-CN"/>
              </w:rPr>
              <w:t>最高限价单价及最高限价单价合计金额</w:t>
            </w:r>
            <w:r>
              <w:rPr>
                <w:rFonts w:hint="eastAsia" w:ascii="仿宋" w:hAnsi="仿宋" w:eastAsia="仿宋" w:cs="仿宋"/>
                <w:color w:val="auto"/>
                <w:szCs w:val="21"/>
                <w:highlight w:val="none"/>
                <w:shd w:val="clear" w:color="auto" w:fill="FFFFFF" w:themeFill="background1"/>
                <w:lang w:val="en-US" w:eastAsia="zh-CN"/>
              </w:rPr>
              <w:t>）</w:t>
            </w:r>
            <w:r>
              <w:rPr>
                <w:rFonts w:hint="eastAsia" w:ascii="仿宋" w:hAnsi="仿宋" w:eastAsia="仿宋" w:cs="仿宋"/>
                <w:color w:val="auto"/>
                <w:szCs w:val="21"/>
                <w:highlight w:val="none"/>
                <w:shd w:val="clear" w:color="auto" w:fill="FFFFFF" w:themeFill="background1"/>
              </w:rPr>
              <w:t>。</w:t>
            </w:r>
          </w:p>
        </w:tc>
        <w:tc>
          <w:tcPr>
            <w:tcW w:w="3745" w:type="dxa"/>
            <w:shd w:val="clear" w:color="auto" w:fill="auto"/>
            <w:vAlign w:val="center"/>
          </w:tcPr>
          <w:p w14:paraId="18C64067">
            <w:pPr>
              <w:spacing w:line="288" w:lineRule="auto"/>
              <w:jc w:val="center"/>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rPr>
              <w:t>/</w:t>
            </w:r>
          </w:p>
        </w:tc>
      </w:tr>
      <w:tr w14:paraId="41D9C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5" w:hRule="atLeast"/>
          <w:jc w:val="center"/>
        </w:trPr>
        <w:tc>
          <w:tcPr>
            <w:tcW w:w="722" w:type="dxa"/>
            <w:shd w:val="clear" w:color="auto" w:fill="auto"/>
            <w:vAlign w:val="center"/>
          </w:tcPr>
          <w:p w14:paraId="6AEB7216">
            <w:pPr>
              <w:widowControl/>
              <w:shd w:val="clear" w:color="auto" w:fill="FFFFFF"/>
              <w:snapToGrid w:val="0"/>
              <w:spacing w:line="360" w:lineRule="auto"/>
              <w:jc w:val="center"/>
              <w:rPr>
                <w:rFonts w:hint="eastAsia" w:ascii="仿宋" w:hAnsi="仿宋" w:eastAsia="仿宋" w:cs="仿宋"/>
                <w:color w:val="auto"/>
                <w:kern w:val="0"/>
                <w:sz w:val="21"/>
                <w:szCs w:val="24"/>
                <w:highlight w:val="none"/>
                <w:lang w:val="en-US" w:eastAsia="zh-CN" w:bidi="ar-SA"/>
              </w:rPr>
            </w:pPr>
            <w:r>
              <w:rPr>
                <w:rFonts w:hint="eastAsia" w:ascii="仿宋" w:hAnsi="仿宋" w:eastAsia="仿宋" w:cs="仿宋"/>
                <w:color w:val="auto"/>
                <w:kern w:val="0"/>
                <w:szCs w:val="24"/>
                <w:highlight w:val="none"/>
              </w:rPr>
              <w:t>3</w:t>
            </w:r>
          </w:p>
        </w:tc>
        <w:tc>
          <w:tcPr>
            <w:tcW w:w="4834" w:type="dxa"/>
            <w:vAlign w:val="center"/>
          </w:tcPr>
          <w:p w14:paraId="3BA60265">
            <w:pPr>
              <w:widowControl/>
              <w:shd w:val="clear" w:color="auto" w:fill="FFFFFF"/>
              <w:snapToGrid w:val="0"/>
              <w:spacing w:line="360" w:lineRule="auto"/>
              <w:jc w:val="both"/>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投标价格明细表必须完整填写。</w:t>
            </w:r>
          </w:p>
        </w:tc>
        <w:tc>
          <w:tcPr>
            <w:tcW w:w="3745" w:type="dxa"/>
            <w:vAlign w:val="center"/>
          </w:tcPr>
          <w:p w14:paraId="307FB870">
            <w:pPr>
              <w:widowControl/>
              <w:shd w:val="clear" w:color="auto" w:fill="FFFFFF"/>
              <w:snapToGrid w:val="0"/>
              <w:spacing w:line="360" w:lineRule="auto"/>
              <w:jc w:val="center"/>
              <w:rPr>
                <w:rFonts w:hint="eastAsia" w:ascii="仿宋" w:hAnsi="仿宋" w:eastAsia="仿宋" w:cs="仿宋"/>
                <w:color w:val="auto"/>
                <w:kern w:val="0"/>
                <w:szCs w:val="24"/>
                <w:highlight w:val="none"/>
                <w:lang w:val="en-US" w:eastAsia="zh-CN"/>
              </w:rPr>
            </w:pPr>
            <w:r>
              <w:rPr>
                <w:rFonts w:hint="eastAsia" w:ascii="仿宋" w:hAnsi="仿宋" w:eastAsia="仿宋" w:cs="仿宋"/>
                <w:color w:val="auto"/>
                <w:kern w:val="0"/>
                <w:szCs w:val="24"/>
                <w:highlight w:val="none"/>
                <w:lang w:val="en-US" w:eastAsia="zh-CN"/>
              </w:rPr>
              <w:t>/</w:t>
            </w:r>
          </w:p>
        </w:tc>
      </w:tr>
      <w:tr w14:paraId="08B25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5" w:hRule="atLeast"/>
          <w:jc w:val="center"/>
        </w:trPr>
        <w:tc>
          <w:tcPr>
            <w:tcW w:w="722" w:type="dxa"/>
            <w:shd w:val="clear" w:color="auto" w:fill="auto"/>
            <w:vAlign w:val="center"/>
          </w:tcPr>
          <w:p w14:paraId="1F59E4FB">
            <w:pPr>
              <w:widowControl/>
              <w:shd w:val="clear" w:color="auto" w:fill="FFFFFF"/>
              <w:snapToGrid w:val="0"/>
              <w:spacing w:line="360" w:lineRule="auto"/>
              <w:jc w:val="center"/>
              <w:rPr>
                <w:rFonts w:hint="eastAsia" w:ascii="仿宋" w:hAnsi="仿宋" w:eastAsia="仿宋" w:cs="仿宋"/>
                <w:color w:val="auto"/>
                <w:kern w:val="0"/>
                <w:sz w:val="21"/>
                <w:szCs w:val="24"/>
                <w:highlight w:val="none"/>
                <w:lang w:val="en-US" w:eastAsia="zh-CN" w:bidi="ar-SA"/>
              </w:rPr>
            </w:pPr>
            <w:r>
              <w:rPr>
                <w:rFonts w:hint="eastAsia" w:ascii="仿宋" w:hAnsi="仿宋" w:eastAsia="仿宋" w:cs="仿宋"/>
                <w:color w:val="auto"/>
                <w:kern w:val="0"/>
                <w:szCs w:val="24"/>
                <w:highlight w:val="none"/>
              </w:rPr>
              <w:t>4</w:t>
            </w:r>
          </w:p>
        </w:tc>
        <w:tc>
          <w:tcPr>
            <w:tcW w:w="4834" w:type="dxa"/>
            <w:vAlign w:val="center"/>
          </w:tcPr>
          <w:p w14:paraId="1E7AF76B">
            <w:pPr>
              <w:widowControl/>
              <w:shd w:val="clear" w:color="auto" w:fill="FFFFFF"/>
              <w:snapToGrid w:val="0"/>
              <w:spacing w:line="360" w:lineRule="auto"/>
              <w:jc w:val="both"/>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lang w:eastAsia="zh-CN"/>
              </w:rPr>
              <w:t>合同履约期限</w:t>
            </w:r>
            <w:r>
              <w:rPr>
                <w:rFonts w:hint="eastAsia" w:ascii="仿宋" w:hAnsi="仿宋" w:eastAsia="仿宋" w:cs="仿宋"/>
                <w:color w:val="auto"/>
                <w:kern w:val="0"/>
                <w:szCs w:val="24"/>
                <w:highlight w:val="none"/>
              </w:rPr>
              <w:t>必须满足招标文件要求。</w:t>
            </w:r>
          </w:p>
        </w:tc>
        <w:tc>
          <w:tcPr>
            <w:tcW w:w="3745" w:type="dxa"/>
            <w:vAlign w:val="center"/>
          </w:tcPr>
          <w:p w14:paraId="7E90F99B">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w:t>
            </w:r>
          </w:p>
        </w:tc>
      </w:tr>
      <w:tr w14:paraId="0AD19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90" w:hRule="atLeast"/>
          <w:jc w:val="center"/>
        </w:trPr>
        <w:tc>
          <w:tcPr>
            <w:tcW w:w="722" w:type="dxa"/>
            <w:shd w:val="clear" w:color="auto" w:fill="auto"/>
            <w:tcMar>
              <w:top w:w="0" w:type="dxa"/>
              <w:left w:w="28" w:type="dxa"/>
              <w:bottom w:w="0" w:type="dxa"/>
              <w:right w:w="28" w:type="dxa"/>
            </w:tcMar>
            <w:vAlign w:val="center"/>
          </w:tcPr>
          <w:p w14:paraId="08DC2897">
            <w:pPr>
              <w:widowControl/>
              <w:shd w:val="clear" w:color="auto" w:fill="FFFFFF"/>
              <w:snapToGrid w:val="0"/>
              <w:spacing w:line="360" w:lineRule="auto"/>
              <w:jc w:val="center"/>
              <w:rPr>
                <w:rFonts w:hint="eastAsia" w:ascii="仿宋" w:hAnsi="仿宋" w:eastAsia="仿宋" w:cs="仿宋"/>
                <w:color w:val="auto"/>
                <w:kern w:val="0"/>
                <w:sz w:val="21"/>
                <w:szCs w:val="24"/>
                <w:highlight w:val="none"/>
                <w:lang w:val="en-US" w:eastAsia="zh-CN" w:bidi="ar-SA"/>
              </w:rPr>
            </w:pPr>
            <w:r>
              <w:rPr>
                <w:rFonts w:hint="eastAsia" w:ascii="仿宋" w:hAnsi="仿宋" w:eastAsia="仿宋" w:cs="仿宋"/>
                <w:color w:val="auto"/>
                <w:kern w:val="0"/>
                <w:szCs w:val="24"/>
                <w:highlight w:val="none"/>
              </w:rPr>
              <w:t>5</w:t>
            </w:r>
          </w:p>
        </w:tc>
        <w:tc>
          <w:tcPr>
            <w:tcW w:w="4834" w:type="dxa"/>
            <w:vAlign w:val="center"/>
          </w:tcPr>
          <w:p w14:paraId="43FAE19B">
            <w:pPr>
              <w:widowControl/>
              <w:shd w:val="clear" w:color="auto" w:fill="FFFFFF"/>
              <w:snapToGrid w:val="0"/>
              <w:spacing w:line="360" w:lineRule="auto"/>
              <w:jc w:val="both"/>
              <w:rPr>
                <w:rFonts w:hint="eastAsia" w:ascii="仿宋" w:hAnsi="仿宋" w:eastAsia="仿宋" w:cs="仿宋"/>
                <w:color w:val="auto"/>
                <w:highlight w:val="none"/>
                <w:lang w:val="en-US" w:eastAsia="zh-CN"/>
              </w:rPr>
            </w:pPr>
            <w:r>
              <w:rPr>
                <w:rFonts w:hint="eastAsia" w:ascii="仿宋" w:hAnsi="仿宋" w:eastAsia="仿宋" w:cs="仿宋"/>
                <w:color w:val="auto"/>
                <w:kern w:val="0"/>
                <w:szCs w:val="24"/>
                <w:highlight w:val="none"/>
                <w:lang w:val="en-US" w:eastAsia="zh-CN"/>
              </w:rPr>
              <w:t>项目负责人简历表必须提供。</w:t>
            </w:r>
          </w:p>
        </w:tc>
        <w:tc>
          <w:tcPr>
            <w:tcW w:w="3745" w:type="dxa"/>
            <w:tcMar>
              <w:top w:w="0" w:type="dxa"/>
              <w:left w:w="28" w:type="dxa"/>
              <w:bottom w:w="0" w:type="dxa"/>
              <w:right w:w="28" w:type="dxa"/>
            </w:tcMar>
            <w:vAlign w:val="center"/>
          </w:tcPr>
          <w:p w14:paraId="2B1C2FD5">
            <w:pPr>
              <w:widowControl/>
              <w:shd w:val="clear" w:color="auto" w:fill="FFFFFF"/>
              <w:snapToGrid w:val="0"/>
              <w:spacing w:line="360" w:lineRule="auto"/>
              <w:jc w:val="center"/>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w:t>
            </w:r>
          </w:p>
        </w:tc>
      </w:tr>
      <w:tr w14:paraId="686B6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0" w:hRule="atLeast"/>
          <w:jc w:val="center"/>
        </w:trPr>
        <w:tc>
          <w:tcPr>
            <w:tcW w:w="722" w:type="dxa"/>
            <w:shd w:val="clear" w:color="auto" w:fill="auto"/>
            <w:tcMar>
              <w:top w:w="0" w:type="dxa"/>
              <w:left w:w="28" w:type="dxa"/>
              <w:bottom w:w="0" w:type="dxa"/>
              <w:right w:w="28" w:type="dxa"/>
            </w:tcMar>
            <w:vAlign w:val="center"/>
          </w:tcPr>
          <w:p w14:paraId="2E37272A">
            <w:pPr>
              <w:widowControl/>
              <w:shd w:val="clear" w:color="auto" w:fill="FFFFFF"/>
              <w:snapToGrid w:val="0"/>
              <w:spacing w:line="360" w:lineRule="auto"/>
              <w:jc w:val="center"/>
              <w:rPr>
                <w:rFonts w:hint="eastAsia" w:ascii="仿宋" w:hAnsi="仿宋" w:eastAsia="仿宋" w:cs="仿宋"/>
                <w:color w:val="auto"/>
                <w:kern w:val="0"/>
                <w:sz w:val="21"/>
                <w:szCs w:val="24"/>
                <w:highlight w:val="none"/>
                <w:lang w:val="en-US" w:eastAsia="zh-CN" w:bidi="ar-SA"/>
              </w:rPr>
            </w:pPr>
            <w:r>
              <w:rPr>
                <w:rFonts w:hint="eastAsia" w:ascii="仿宋" w:hAnsi="仿宋" w:eastAsia="仿宋" w:cs="仿宋"/>
                <w:color w:val="auto"/>
                <w:kern w:val="0"/>
                <w:szCs w:val="24"/>
                <w:highlight w:val="none"/>
                <w:lang w:val="en-US" w:eastAsia="zh-CN"/>
              </w:rPr>
              <w:t>6</w:t>
            </w:r>
          </w:p>
        </w:tc>
        <w:tc>
          <w:tcPr>
            <w:tcW w:w="4834" w:type="dxa"/>
            <w:vAlign w:val="center"/>
          </w:tcPr>
          <w:p w14:paraId="71509BE4">
            <w:pPr>
              <w:widowControl/>
              <w:shd w:val="clear" w:color="auto" w:fill="FFFFFF"/>
              <w:snapToGrid w:val="0"/>
              <w:spacing w:line="360" w:lineRule="auto"/>
              <w:jc w:val="both"/>
              <w:rPr>
                <w:rFonts w:hint="eastAsia" w:ascii="仿宋" w:hAnsi="仿宋" w:eastAsia="仿宋" w:cs="仿宋"/>
                <w:color w:val="auto"/>
                <w:kern w:val="0"/>
                <w:szCs w:val="24"/>
                <w:highlight w:val="none"/>
              </w:rPr>
            </w:pPr>
            <w:r>
              <w:rPr>
                <w:rFonts w:hint="eastAsia" w:ascii="仿宋" w:hAnsi="仿宋" w:eastAsia="仿宋" w:cs="仿宋"/>
                <w:color w:val="auto"/>
                <w:highlight w:val="none"/>
                <w:lang w:val="en-US" w:eastAsia="zh-CN"/>
              </w:rPr>
              <w:t>拟派主要服务人员情况表</w:t>
            </w:r>
            <w:r>
              <w:rPr>
                <w:rFonts w:hint="eastAsia" w:ascii="仿宋" w:hAnsi="仿宋" w:eastAsia="仿宋" w:cs="仿宋"/>
                <w:color w:val="auto"/>
                <w:kern w:val="0"/>
                <w:szCs w:val="24"/>
                <w:highlight w:val="none"/>
                <w:lang w:val="en-US" w:eastAsia="zh-CN"/>
              </w:rPr>
              <w:t>必须提供。</w:t>
            </w:r>
          </w:p>
        </w:tc>
        <w:tc>
          <w:tcPr>
            <w:tcW w:w="3745" w:type="dxa"/>
            <w:tcMar>
              <w:top w:w="0" w:type="dxa"/>
              <w:left w:w="28" w:type="dxa"/>
              <w:bottom w:w="0" w:type="dxa"/>
              <w:right w:w="28" w:type="dxa"/>
            </w:tcMar>
            <w:vAlign w:val="center"/>
          </w:tcPr>
          <w:p w14:paraId="2922F686">
            <w:pPr>
              <w:spacing w:line="360" w:lineRule="auto"/>
              <w:jc w:val="both"/>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w:t>
            </w:r>
          </w:p>
        </w:tc>
      </w:tr>
      <w:tr w14:paraId="00276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84" w:hRule="atLeast"/>
          <w:jc w:val="center"/>
        </w:trPr>
        <w:tc>
          <w:tcPr>
            <w:tcW w:w="722" w:type="dxa"/>
            <w:shd w:val="clear" w:color="auto" w:fill="auto"/>
            <w:tcMar>
              <w:top w:w="0" w:type="dxa"/>
              <w:left w:w="28" w:type="dxa"/>
              <w:bottom w:w="0" w:type="dxa"/>
              <w:right w:w="28" w:type="dxa"/>
            </w:tcMar>
            <w:vAlign w:val="center"/>
          </w:tcPr>
          <w:p w14:paraId="1D76F82D">
            <w:pPr>
              <w:widowControl/>
              <w:shd w:val="clear" w:color="auto" w:fill="FFFFFF"/>
              <w:snapToGrid w:val="0"/>
              <w:spacing w:line="360" w:lineRule="auto"/>
              <w:jc w:val="center"/>
              <w:rPr>
                <w:rFonts w:hint="eastAsia" w:ascii="仿宋" w:hAnsi="仿宋" w:eastAsia="仿宋" w:cs="仿宋"/>
                <w:color w:val="auto"/>
                <w:kern w:val="0"/>
                <w:sz w:val="21"/>
                <w:szCs w:val="24"/>
                <w:highlight w:val="none"/>
                <w:lang w:val="en-US" w:eastAsia="zh-CN" w:bidi="ar-SA"/>
              </w:rPr>
            </w:pPr>
            <w:r>
              <w:rPr>
                <w:rFonts w:hint="eastAsia" w:ascii="仿宋" w:hAnsi="仿宋" w:eastAsia="仿宋" w:cs="仿宋"/>
                <w:color w:val="auto"/>
                <w:kern w:val="0"/>
                <w:szCs w:val="24"/>
                <w:highlight w:val="none"/>
                <w:lang w:val="en-US" w:eastAsia="zh-CN"/>
              </w:rPr>
              <w:t>7</w:t>
            </w:r>
          </w:p>
        </w:tc>
        <w:tc>
          <w:tcPr>
            <w:tcW w:w="4834" w:type="dxa"/>
            <w:shd w:val="clear" w:color="auto" w:fill="auto"/>
            <w:vAlign w:val="center"/>
          </w:tcPr>
          <w:p w14:paraId="0C2BB191">
            <w:pPr>
              <w:spacing w:line="360" w:lineRule="auto"/>
              <w:jc w:val="both"/>
              <w:rPr>
                <w:rFonts w:hint="eastAsia" w:ascii="仿宋" w:hAnsi="仿宋" w:eastAsia="仿宋" w:cs="仿宋"/>
                <w:color w:val="auto"/>
                <w:kern w:val="0"/>
                <w:sz w:val="21"/>
                <w:szCs w:val="24"/>
                <w:highlight w:val="none"/>
                <w:lang w:val="en-US" w:eastAsia="zh-CN" w:bidi="ar-SA"/>
              </w:rPr>
            </w:pPr>
            <w:r>
              <w:rPr>
                <w:rFonts w:hint="eastAsia" w:ascii="仿宋" w:hAnsi="仿宋" w:eastAsia="仿宋" w:cs="仿宋"/>
                <w:color w:val="auto"/>
                <w:kern w:val="0"/>
                <w:szCs w:val="24"/>
                <w:highlight w:val="none"/>
              </w:rPr>
              <w:t>投标保证金必须按照招标文件要求缴纳。</w:t>
            </w:r>
          </w:p>
        </w:tc>
        <w:tc>
          <w:tcPr>
            <w:tcW w:w="3745" w:type="dxa"/>
            <w:shd w:val="clear" w:color="auto" w:fill="auto"/>
            <w:tcMar>
              <w:top w:w="0" w:type="dxa"/>
              <w:left w:w="28" w:type="dxa"/>
              <w:bottom w:w="0" w:type="dxa"/>
              <w:right w:w="28" w:type="dxa"/>
            </w:tcMar>
            <w:vAlign w:val="center"/>
          </w:tcPr>
          <w:p w14:paraId="2F5C04CB">
            <w:pPr>
              <w:spacing w:line="360" w:lineRule="auto"/>
              <w:jc w:val="both"/>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保证金缴纳证明材料：汇款凭证或支票或汇票或保函或保证金收据等的扫描件。</w:t>
            </w:r>
          </w:p>
          <w:p w14:paraId="214A2E4A">
            <w:pPr>
              <w:spacing w:line="360" w:lineRule="auto"/>
              <w:jc w:val="both"/>
              <w:rPr>
                <w:rFonts w:hint="eastAsia" w:ascii="仿宋" w:hAnsi="仿宋" w:eastAsia="仿宋" w:cs="仿宋"/>
                <w:color w:val="auto"/>
                <w:kern w:val="0"/>
                <w:szCs w:val="24"/>
                <w:highlight w:val="none"/>
                <w:lang w:val="en-US" w:eastAsia="zh-CN"/>
              </w:rPr>
            </w:pPr>
            <w:r>
              <w:rPr>
                <w:rFonts w:hint="eastAsia" w:ascii="仿宋" w:hAnsi="仿宋" w:eastAsia="仿宋" w:cs="仿宋"/>
                <w:color w:val="auto"/>
                <w:kern w:val="0"/>
                <w:szCs w:val="24"/>
                <w:highlight w:val="none"/>
              </w:rPr>
              <w:t>注：采用电汇方式缴纳的，若投标人未提供上述证明材料，但采购代理机构已查实足额缴纳的，视为已按规定缴纳保证金。</w:t>
            </w:r>
          </w:p>
        </w:tc>
      </w:tr>
      <w:tr w14:paraId="430B8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0" w:hRule="atLeast"/>
          <w:jc w:val="center"/>
        </w:trPr>
        <w:tc>
          <w:tcPr>
            <w:tcW w:w="722" w:type="dxa"/>
            <w:shd w:val="clear" w:color="auto" w:fill="auto"/>
            <w:tcMar>
              <w:top w:w="0" w:type="dxa"/>
              <w:left w:w="28" w:type="dxa"/>
              <w:bottom w:w="0" w:type="dxa"/>
              <w:right w:w="28" w:type="dxa"/>
            </w:tcMar>
            <w:vAlign w:val="center"/>
          </w:tcPr>
          <w:p w14:paraId="51009F06">
            <w:pPr>
              <w:widowControl/>
              <w:shd w:val="clear" w:color="auto" w:fill="FFFFFF"/>
              <w:snapToGrid w:val="0"/>
              <w:spacing w:line="360" w:lineRule="auto"/>
              <w:jc w:val="center"/>
              <w:rPr>
                <w:rFonts w:hint="eastAsia" w:ascii="仿宋" w:hAnsi="仿宋" w:eastAsia="仿宋" w:cs="仿宋"/>
                <w:color w:val="auto"/>
                <w:kern w:val="0"/>
                <w:sz w:val="21"/>
                <w:szCs w:val="24"/>
                <w:highlight w:val="none"/>
                <w:lang w:val="en-US" w:eastAsia="zh-CN" w:bidi="ar-SA"/>
              </w:rPr>
            </w:pPr>
            <w:r>
              <w:rPr>
                <w:rFonts w:hint="eastAsia" w:ascii="仿宋" w:hAnsi="仿宋" w:eastAsia="仿宋" w:cs="仿宋"/>
                <w:color w:val="auto"/>
                <w:kern w:val="0"/>
                <w:sz w:val="21"/>
                <w:szCs w:val="24"/>
                <w:highlight w:val="none"/>
                <w:lang w:val="en-US" w:eastAsia="zh-CN" w:bidi="ar-SA"/>
              </w:rPr>
              <w:t>8</w:t>
            </w:r>
          </w:p>
        </w:tc>
        <w:tc>
          <w:tcPr>
            <w:tcW w:w="4834" w:type="dxa"/>
            <w:shd w:val="clear" w:color="auto" w:fill="auto"/>
            <w:vAlign w:val="center"/>
          </w:tcPr>
          <w:p w14:paraId="39C2D18E">
            <w:pPr>
              <w:widowControl/>
              <w:shd w:val="clear" w:color="auto" w:fill="FFFFFF"/>
              <w:snapToGrid w:val="0"/>
              <w:spacing w:line="360" w:lineRule="auto"/>
              <w:jc w:val="both"/>
              <w:rPr>
                <w:rFonts w:hint="eastAsia" w:ascii="仿宋" w:hAnsi="仿宋" w:eastAsia="仿宋" w:cs="仿宋"/>
                <w:color w:val="auto"/>
                <w:kern w:val="0"/>
                <w:sz w:val="21"/>
                <w:szCs w:val="24"/>
                <w:highlight w:val="none"/>
                <w:lang w:val="en-US" w:eastAsia="zh-CN" w:bidi="ar-SA"/>
              </w:rPr>
            </w:pPr>
            <w:r>
              <w:rPr>
                <w:rFonts w:hint="eastAsia" w:ascii="仿宋" w:hAnsi="仿宋" w:eastAsia="仿宋" w:cs="仿宋"/>
                <w:color w:val="auto"/>
                <w:kern w:val="0"/>
                <w:szCs w:val="24"/>
                <w:highlight w:val="none"/>
              </w:rPr>
              <w:t>投标文件符合招标文件全部实质性要求。</w:t>
            </w:r>
          </w:p>
        </w:tc>
        <w:tc>
          <w:tcPr>
            <w:tcW w:w="3745" w:type="dxa"/>
            <w:shd w:val="clear" w:color="auto" w:fill="auto"/>
            <w:tcMar>
              <w:top w:w="0" w:type="dxa"/>
              <w:left w:w="28" w:type="dxa"/>
              <w:bottom w:w="0" w:type="dxa"/>
              <w:right w:w="28" w:type="dxa"/>
            </w:tcMar>
            <w:vAlign w:val="center"/>
          </w:tcPr>
          <w:p w14:paraId="0571D9FC">
            <w:pPr>
              <w:widowControl/>
              <w:shd w:val="clear" w:color="auto" w:fill="FFFFFF"/>
              <w:snapToGrid w:val="0"/>
              <w:spacing w:line="360" w:lineRule="auto"/>
              <w:jc w:val="center"/>
              <w:rPr>
                <w:rFonts w:hint="eastAsia" w:ascii="仿宋" w:hAnsi="仿宋" w:eastAsia="仿宋" w:cs="仿宋"/>
                <w:color w:val="auto"/>
                <w:kern w:val="0"/>
                <w:sz w:val="21"/>
                <w:szCs w:val="24"/>
                <w:highlight w:val="none"/>
                <w:lang w:val="en-US" w:eastAsia="zh-CN" w:bidi="ar-SA"/>
              </w:rPr>
            </w:pPr>
            <w:r>
              <w:rPr>
                <w:rFonts w:hint="eastAsia" w:ascii="仿宋" w:hAnsi="仿宋" w:eastAsia="仿宋" w:cs="仿宋"/>
                <w:color w:val="auto"/>
                <w:kern w:val="0"/>
                <w:szCs w:val="24"/>
                <w:highlight w:val="none"/>
              </w:rPr>
              <w:t>/</w:t>
            </w:r>
          </w:p>
        </w:tc>
      </w:tr>
      <w:tr w14:paraId="0A88E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0" w:hRule="atLeast"/>
          <w:jc w:val="center"/>
        </w:trPr>
        <w:tc>
          <w:tcPr>
            <w:tcW w:w="9301" w:type="dxa"/>
            <w:gridSpan w:val="3"/>
            <w:vAlign w:val="center"/>
          </w:tcPr>
          <w:p w14:paraId="6A1BDEB5">
            <w:pPr>
              <w:widowControl/>
              <w:shd w:val="clear" w:color="auto" w:fill="FFFFFF"/>
              <w:snapToGrid w:val="0"/>
              <w:spacing w:line="360" w:lineRule="auto"/>
              <w:jc w:val="left"/>
              <w:rPr>
                <w:rFonts w:hint="eastAsia" w:ascii="仿宋" w:hAnsi="仿宋" w:eastAsia="仿宋" w:cs="仿宋"/>
                <w:color w:val="auto"/>
                <w:kern w:val="0"/>
                <w:szCs w:val="24"/>
                <w:highlight w:val="none"/>
              </w:rPr>
            </w:pPr>
            <w:r>
              <w:rPr>
                <w:rFonts w:hint="eastAsia" w:ascii="仿宋" w:hAnsi="仿宋" w:eastAsia="仿宋" w:cs="仿宋"/>
                <w:color w:val="auto"/>
                <w:kern w:val="0"/>
                <w:szCs w:val="24"/>
                <w:highlight w:val="none"/>
              </w:rPr>
              <w:t>备注：完备性及符合性审查中有一项不满足评审标准的，评标委员会将认定该投标人不通过完备性及符合性审查，不得进入下一阶段评审。并且不允许投标人通过修改或撤销其不符合要求的差异或保留，使之成为具有响应性的投标。</w:t>
            </w:r>
          </w:p>
        </w:tc>
      </w:tr>
    </w:tbl>
    <w:p w14:paraId="6812C767">
      <w:pPr>
        <w:rPr>
          <w:rFonts w:hint="eastAsia" w:ascii="仿宋" w:hAnsi="仿宋" w:eastAsia="仿宋" w:cs="仿宋"/>
          <w:b/>
          <w:color w:val="auto"/>
          <w:szCs w:val="24"/>
          <w:highlight w:val="none"/>
        </w:rPr>
      </w:pPr>
    </w:p>
    <w:p w14:paraId="7347DFA8">
      <w:pPr>
        <w:rPr>
          <w:rFonts w:hint="eastAsia" w:ascii="仿宋" w:hAnsi="仿宋" w:eastAsia="仿宋" w:cs="仿宋"/>
          <w:b/>
          <w:color w:val="auto"/>
          <w:szCs w:val="24"/>
          <w:highlight w:val="none"/>
        </w:rPr>
      </w:pPr>
    </w:p>
    <w:p w14:paraId="1EE21171">
      <w:pPr>
        <w:jc w:val="center"/>
        <w:rPr>
          <w:rFonts w:hint="eastAsia" w:ascii="仿宋" w:hAnsi="仿宋" w:eastAsia="仿宋" w:cs="仿宋"/>
          <w:color w:val="auto"/>
          <w:highlight w:val="none"/>
        </w:rPr>
      </w:pPr>
      <w:r>
        <w:rPr>
          <w:rFonts w:hint="eastAsia" w:ascii="仿宋" w:hAnsi="仿宋" w:eastAsia="仿宋" w:cs="仿宋"/>
          <w:b/>
          <w:color w:val="auto"/>
          <w:szCs w:val="24"/>
          <w:highlight w:val="none"/>
        </w:rPr>
        <w:t>《详细评审标准》</w:t>
      </w:r>
    </w:p>
    <w:tbl>
      <w:tblPr>
        <w:tblStyle w:val="40"/>
        <w:tblW w:w="91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57"/>
        <w:gridCol w:w="1508"/>
        <w:gridCol w:w="850"/>
        <w:gridCol w:w="6131"/>
      </w:tblGrid>
      <w:tr w14:paraId="04BFB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57" w:type="dxa"/>
            <w:vAlign w:val="center"/>
          </w:tcPr>
          <w:p w14:paraId="0F1B7E08">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序号</w:t>
            </w:r>
          </w:p>
        </w:tc>
        <w:tc>
          <w:tcPr>
            <w:tcW w:w="1508" w:type="dxa"/>
            <w:vAlign w:val="center"/>
          </w:tcPr>
          <w:p w14:paraId="715109B7">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评标项目</w:t>
            </w:r>
          </w:p>
        </w:tc>
        <w:tc>
          <w:tcPr>
            <w:tcW w:w="850" w:type="dxa"/>
            <w:vAlign w:val="center"/>
          </w:tcPr>
          <w:p w14:paraId="2B73E573">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标准分</w:t>
            </w:r>
          </w:p>
        </w:tc>
        <w:tc>
          <w:tcPr>
            <w:tcW w:w="6131" w:type="dxa"/>
            <w:vAlign w:val="center"/>
          </w:tcPr>
          <w:p w14:paraId="346AF218">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评标标准</w:t>
            </w:r>
          </w:p>
        </w:tc>
      </w:tr>
      <w:tr w14:paraId="028D4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57" w:type="dxa"/>
            <w:shd w:val="clear" w:color="auto" w:fill="auto"/>
            <w:vAlign w:val="center"/>
          </w:tcPr>
          <w:p w14:paraId="0348CFAF">
            <w:pPr>
              <w:spacing w:line="36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Cs w:val="21"/>
                <w:highlight w:val="none"/>
              </w:rPr>
              <w:t>1</w:t>
            </w:r>
          </w:p>
        </w:tc>
        <w:tc>
          <w:tcPr>
            <w:tcW w:w="1508" w:type="dxa"/>
            <w:shd w:val="clear" w:color="auto" w:fill="auto"/>
            <w:vAlign w:val="center"/>
          </w:tcPr>
          <w:p w14:paraId="448FF107">
            <w:pPr>
              <w:spacing w:line="36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Cs w:val="21"/>
                <w:highlight w:val="none"/>
                <w:lang w:val="en-US" w:eastAsia="zh-CN"/>
              </w:rPr>
              <w:t>投标</w:t>
            </w:r>
            <w:r>
              <w:rPr>
                <w:rFonts w:hint="eastAsia" w:ascii="仿宋" w:hAnsi="仿宋" w:eastAsia="仿宋" w:cs="仿宋"/>
                <w:color w:val="auto"/>
                <w:szCs w:val="21"/>
                <w:highlight w:val="none"/>
              </w:rPr>
              <w:t>报价得分</w:t>
            </w:r>
          </w:p>
        </w:tc>
        <w:tc>
          <w:tcPr>
            <w:tcW w:w="850" w:type="dxa"/>
            <w:shd w:val="clear" w:color="auto" w:fill="auto"/>
            <w:vAlign w:val="center"/>
          </w:tcPr>
          <w:p w14:paraId="3DC83AA7">
            <w:pPr>
              <w:spacing w:line="36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Cs w:val="21"/>
                <w:highlight w:val="none"/>
                <w:lang w:val="en-US" w:eastAsia="zh-CN"/>
              </w:rPr>
              <w:t>10</w:t>
            </w:r>
          </w:p>
        </w:tc>
        <w:tc>
          <w:tcPr>
            <w:tcW w:w="6131" w:type="dxa"/>
            <w:shd w:val="clear" w:color="auto" w:fill="auto"/>
            <w:vAlign w:val="center"/>
          </w:tcPr>
          <w:p w14:paraId="3D162E23">
            <w:pPr>
              <w:spacing w:line="288" w:lineRule="auto"/>
              <w:jc w:val="left"/>
              <w:rPr>
                <w:rFonts w:hint="eastAsia" w:ascii="仿宋" w:hAnsi="仿宋" w:eastAsia="仿宋" w:cs="仿宋"/>
                <w:color w:val="auto"/>
                <w:szCs w:val="21"/>
                <w:highlight w:val="none"/>
                <w:shd w:val="clear" w:color="auto" w:fill="FFFFFF" w:themeFill="background1"/>
                <w:lang w:eastAsia="zh-CN"/>
              </w:rPr>
            </w:pPr>
            <w:r>
              <w:rPr>
                <w:rFonts w:hint="eastAsia" w:ascii="仿宋" w:hAnsi="仿宋" w:eastAsia="仿宋" w:cs="仿宋"/>
                <w:color w:val="auto"/>
                <w:szCs w:val="21"/>
                <w:highlight w:val="none"/>
                <w:shd w:val="clear" w:color="auto" w:fill="FFFFFF" w:themeFill="background1"/>
                <w:lang w:eastAsia="zh-CN"/>
              </w:rPr>
              <w:t>1.</w:t>
            </w:r>
            <w:r>
              <w:rPr>
                <w:rFonts w:hint="eastAsia" w:ascii="仿宋" w:hAnsi="仿宋" w:eastAsia="仿宋" w:cs="仿宋"/>
                <w:color w:val="auto"/>
                <w:szCs w:val="21"/>
                <w:highlight w:val="none"/>
                <w:lang w:val="en-US" w:eastAsia="zh-CN"/>
              </w:rPr>
              <w:t>投标</w:t>
            </w:r>
            <w:r>
              <w:rPr>
                <w:rFonts w:hint="eastAsia" w:ascii="仿宋" w:hAnsi="仿宋" w:eastAsia="仿宋" w:cs="仿宋"/>
                <w:color w:val="auto"/>
                <w:szCs w:val="21"/>
                <w:highlight w:val="none"/>
                <w:shd w:val="clear" w:color="auto" w:fill="FFFFFF" w:themeFill="background1"/>
                <w:lang w:eastAsia="zh-CN"/>
              </w:rPr>
              <w:t>报价的确定</w:t>
            </w:r>
          </w:p>
          <w:p w14:paraId="5F763C68">
            <w:pPr>
              <w:spacing w:line="288" w:lineRule="auto"/>
              <w:jc w:val="left"/>
              <w:rPr>
                <w:rFonts w:hint="eastAsia" w:ascii="仿宋" w:hAnsi="仿宋" w:eastAsia="仿宋" w:cs="仿宋"/>
                <w:color w:val="auto"/>
                <w:szCs w:val="21"/>
                <w:highlight w:val="none"/>
                <w:shd w:val="clear" w:color="auto" w:fill="FFFFFF" w:themeFill="background1"/>
                <w:lang w:eastAsia="zh-CN"/>
              </w:rPr>
            </w:pPr>
            <w:r>
              <w:rPr>
                <w:rFonts w:hint="eastAsia" w:ascii="仿宋" w:hAnsi="仿宋" w:eastAsia="仿宋" w:cs="仿宋"/>
                <w:color w:val="auto"/>
                <w:szCs w:val="21"/>
                <w:highlight w:val="none"/>
                <w:lang w:val="en-US" w:eastAsia="zh-CN"/>
              </w:rPr>
              <w:t>投标</w:t>
            </w:r>
            <w:r>
              <w:rPr>
                <w:rFonts w:hint="eastAsia" w:ascii="仿宋" w:hAnsi="仿宋" w:eastAsia="仿宋" w:cs="仿宋"/>
                <w:color w:val="auto"/>
                <w:szCs w:val="21"/>
                <w:highlight w:val="none"/>
                <w:shd w:val="clear" w:color="auto" w:fill="FFFFFF" w:themeFill="background1"/>
                <w:lang w:eastAsia="zh-CN"/>
              </w:rPr>
              <w:t>报价是指经评审的且不超过</w:t>
            </w:r>
            <w:r>
              <w:rPr>
                <w:rFonts w:hint="eastAsia" w:ascii="仿宋" w:hAnsi="仿宋" w:eastAsia="仿宋" w:cs="仿宋"/>
                <w:color w:val="auto"/>
                <w:szCs w:val="21"/>
                <w:highlight w:val="none"/>
                <w:shd w:val="clear" w:color="auto" w:fill="FFFFFF" w:themeFill="background1"/>
                <w:lang w:val="en-US" w:eastAsia="zh-CN"/>
              </w:rPr>
              <w:t>最高限价</w:t>
            </w:r>
            <w:r>
              <w:rPr>
                <w:rFonts w:hint="eastAsia" w:ascii="仿宋" w:hAnsi="仿宋" w:eastAsia="仿宋" w:cs="仿宋"/>
                <w:color w:val="auto"/>
                <w:szCs w:val="21"/>
                <w:highlight w:val="none"/>
                <w:shd w:val="clear" w:color="auto" w:fill="FFFFFF" w:themeFill="background1"/>
                <w:lang w:eastAsia="zh-CN"/>
              </w:rPr>
              <w:t>的</w:t>
            </w:r>
            <w:r>
              <w:rPr>
                <w:rFonts w:hint="eastAsia" w:ascii="仿宋" w:hAnsi="仿宋" w:eastAsia="仿宋" w:cs="仿宋"/>
                <w:color w:val="auto"/>
                <w:szCs w:val="21"/>
                <w:highlight w:val="none"/>
                <w:lang w:val="en-US" w:eastAsia="zh-CN"/>
              </w:rPr>
              <w:t>投标</w:t>
            </w:r>
            <w:r>
              <w:rPr>
                <w:rFonts w:hint="eastAsia" w:ascii="仿宋" w:hAnsi="仿宋" w:eastAsia="仿宋" w:cs="仿宋"/>
                <w:color w:val="auto"/>
                <w:szCs w:val="21"/>
                <w:highlight w:val="none"/>
                <w:shd w:val="clear" w:color="auto" w:fill="FFFFFF" w:themeFill="background1"/>
                <w:lang w:eastAsia="zh-CN"/>
              </w:rPr>
              <w:t>价格（单价合计金额）</w:t>
            </w:r>
          </w:p>
          <w:p w14:paraId="18694321">
            <w:pPr>
              <w:spacing w:line="288" w:lineRule="auto"/>
              <w:jc w:val="left"/>
              <w:rPr>
                <w:rFonts w:hint="eastAsia" w:ascii="仿宋" w:hAnsi="仿宋" w:eastAsia="仿宋" w:cs="仿宋"/>
                <w:color w:val="auto"/>
                <w:szCs w:val="21"/>
                <w:highlight w:val="none"/>
                <w:shd w:val="clear" w:color="auto" w:fill="FFFFFF" w:themeFill="background1"/>
                <w:lang w:eastAsia="zh-CN"/>
              </w:rPr>
            </w:pPr>
            <w:r>
              <w:rPr>
                <w:rFonts w:hint="eastAsia" w:ascii="仿宋" w:hAnsi="仿宋" w:eastAsia="仿宋" w:cs="仿宋"/>
                <w:color w:val="auto"/>
                <w:szCs w:val="21"/>
                <w:highlight w:val="none"/>
                <w:shd w:val="clear" w:color="auto" w:fill="FFFFFF" w:themeFill="background1"/>
                <w:lang w:eastAsia="zh-CN"/>
              </w:rPr>
              <w:t>2.基准价的确定</w:t>
            </w:r>
          </w:p>
          <w:p w14:paraId="004B825D">
            <w:pPr>
              <w:spacing w:line="288" w:lineRule="auto"/>
              <w:jc w:val="left"/>
              <w:rPr>
                <w:rFonts w:hint="eastAsia" w:ascii="仿宋" w:hAnsi="仿宋" w:eastAsia="仿宋" w:cs="仿宋"/>
                <w:color w:val="auto"/>
                <w:szCs w:val="21"/>
                <w:highlight w:val="none"/>
                <w:shd w:val="clear" w:color="auto" w:fill="FFFFFF" w:themeFill="background1"/>
                <w:lang w:eastAsia="zh-CN"/>
              </w:rPr>
            </w:pPr>
            <w:r>
              <w:rPr>
                <w:rFonts w:hint="eastAsia" w:ascii="仿宋" w:hAnsi="仿宋" w:eastAsia="仿宋" w:cs="仿宋"/>
                <w:color w:val="auto"/>
                <w:szCs w:val="21"/>
                <w:highlight w:val="none"/>
                <w:shd w:val="clear" w:color="auto" w:fill="FFFFFF" w:themeFill="background1"/>
                <w:lang w:eastAsia="zh-CN"/>
              </w:rPr>
              <w:t>满足招标文件要求且最后</w:t>
            </w:r>
            <w:r>
              <w:rPr>
                <w:rFonts w:hint="eastAsia" w:ascii="仿宋" w:hAnsi="仿宋" w:eastAsia="仿宋" w:cs="仿宋"/>
                <w:color w:val="auto"/>
                <w:szCs w:val="21"/>
                <w:highlight w:val="none"/>
                <w:lang w:val="en-US" w:eastAsia="zh-CN"/>
              </w:rPr>
              <w:t>投标</w:t>
            </w:r>
            <w:r>
              <w:rPr>
                <w:rFonts w:hint="eastAsia" w:ascii="仿宋" w:hAnsi="仿宋" w:eastAsia="仿宋" w:cs="仿宋"/>
                <w:color w:val="auto"/>
                <w:szCs w:val="21"/>
                <w:highlight w:val="none"/>
                <w:shd w:val="clear" w:color="auto" w:fill="FFFFFF" w:themeFill="background1"/>
                <w:lang w:eastAsia="zh-CN"/>
              </w:rPr>
              <w:t>报价最低的投标人的价格为基准价</w:t>
            </w:r>
          </w:p>
          <w:p w14:paraId="3F016795">
            <w:pPr>
              <w:spacing w:line="288" w:lineRule="auto"/>
              <w:jc w:val="left"/>
              <w:rPr>
                <w:rFonts w:hint="eastAsia" w:ascii="仿宋" w:hAnsi="仿宋" w:eastAsia="仿宋" w:cs="仿宋"/>
                <w:color w:val="auto"/>
                <w:szCs w:val="21"/>
                <w:highlight w:val="none"/>
                <w:shd w:val="clear" w:color="auto" w:fill="FFFFFF" w:themeFill="background1"/>
                <w:lang w:eastAsia="zh-CN"/>
              </w:rPr>
            </w:pPr>
            <w:r>
              <w:rPr>
                <w:rFonts w:hint="eastAsia" w:ascii="仿宋" w:hAnsi="仿宋" w:eastAsia="仿宋" w:cs="仿宋"/>
                <w:color w:val="auto"/>
                <w:szCs w:val="21"/>
                <w:highlight w:val="none"/>
                <w:shd w:val="clear" w:color="auto" w:fill="FFFFFF" w:themeFill="background1"/>
                <w:lang w:eastAsia="zh-CN"/>
              </w:rPr>
              <w:t>3.</w:t>
            </w:r>
            <w:r>
              <w:rPr>
                <w:rFonts w:hint="eastAsia" w:ascii="仿宋" w:hAnsi="仿宋" w:eastAsia="仿宋" w:cs="仿宋"/>
                <w:color w:val="auto"/>
                <w:szCs w:val="21"/>
                <w:highlight w:val="none"/>
                <w:lang w:val="en-US" w:eastAsia="zh-CN"/>
              </w:rPr>
              <w:t>投标</w:t>
            </w:r>
            <w:r>
              <w:rPr>
                <w:rFonts w:hint="eastAsia" w:ascii="仿宋" w:hAnsi="仿宋" w:eastAsia="仿宋" w:cs="仿宋"/>
                <w:color w:val="auto"/>
                <w:szCs w:val="21"/>
                <w:highlight w:val="none"/>
                <w:shd w:val="clear" w:color="auto" w:fill="FFFFFF" w:themeFill="background1"/>
                <w:lang w:eastAsia="zh-CN"/>
              </w:rPr>
              <w:t>报价得分=(基准价／</w:t>
            </w:r>
            <w:r>
              <w:rPr>
                <w:rFonts w:hint="eastAsia" w:ascii="仿宋" w:hAnsi="仿宋" w:eastAsia="仿宋" w:cs="仿宋"/>
                <w:color w:val="auto"/>
                <w:szCs w:val="21"/>
                <w:highlight w:val="none"/>
                <w:lang w:val="en-US" w:eastAsia="zh-CN"/>
              </w:rPr>
              <w:t>投标</w:t>
            </w:r>
            <w:r>
              <w:rPr>
                <w:rFonts w:hint="eastAsia" w:ascii="仿宋" w:hAnsi="仿宋" w:eastAsia="仿宋" w:cs="仿宋"/>
                <w:color w:val="auto"/>
                <w:szCs w:val="21"/>
                <w:highlight w:val="none"/>
                <w:shd w:val="clear" w:color="auto" w:fill="FFFFFF" w:themeFill="background1"/>
                <w:lang w:eastAsia="zh-CN"/>
              </w:rPr>
              <w:t>报价)×10</w:t>
            </w:r>
          </w:p>
          <w:p w14:paraId="3BFF65DD">
            <w:pPr>
              <w:spacing w:line="288" w:lineRule="auto"/>
              <w:jc w:val="left"/>
              <w:rPr>
                <w:rFonts w:hint="eastAsia" w:ascii="仿宋" w:hAnsi="仿宋" w:eastAsia="仿宋" w:cs="仿宋"/>
                <w:color w:val="auto"/>
                <w:szCs w:val="21"/>
                <w:highlight w:val="none"/>
                <w:shd w:val="clear" w:color="auto" w:fill="FFFFFF" w:themeFill="background1"/>
                <w:lang w:eastAsia="zh-CN"/>
              </w:rPr>
            </w:pPr>
            <w:r>
              <w:rPr>
                <w:rFonts w:hint="eastAsia" w:ascii="仿宋" w:hAnsi="仿宋" w:eastAsia="仿宋" w:cs="仿宋"/>
                <w:color w:val="auto"/>
                <w:szCs w:val="21"/>
                <w:highlight w:val="none"/>
                <w:shd w:val="clear" w:color="auto" w:fill="FFFFFF" w:themeFill="background1"/>
                <w:lang w:eastAsia="zh-CN"/>
              </w:rPr>
              <w:t>4.分值计算保留小数点后两位，小数点后三位“四舍五入”。</w:t>
            </w:r>
          </w:p>
          <w:p w14:paraId="7AC4B419">
            <w:pPr>
              <w:jc w:val="left"/>
              <w:rPr>
                <w:rFonts w:hint="eastAsia" w:ascii="仿宋" w:hAnsi="仿宋" w:eastAsia="仿宋" w:cs="仿宋"/>
                <w:color w:val="auto"/>
                <w:kern w:val="2"/>
                <w:sz w:val="21"/>
                <w:szCs w:val="21"/>
                <w:highlight w:val="none"/>
                <w:shd w:val="clear" w:color="auto" w:fill="FFFFFF" w:themeFill="background1"/>
                <w:lang w:val="en-US" w:eastAsia="zh-CN" w:bidi="ar-SA"/>
              </w:rPr>
            </w:pPr>
            <w:r>
              <w:rPr>
                <w:rFonts w:hint="eastAsia" w:ascii="仿宋" w:hAnsi="仿宋" w:eastAsia="仿宋" w:cs="仿宋"/>
                <w:color w:val="auto"/>
                <w:szCs w:val="21"/>
                <w:highlight w:val="none"/>
                <w:shd w:val="clear" w:color="auto" w:fill="FFFFFF" w:themeFill="background1"/>
                <w:lang w:val="en-US" w:eastAsia="zh-CN"/>
              </w:rPr>
              <w:t>5.因落实政府采购政策对小微企业、残疾人福利性单位、监狱企业的价格给予10%价格扣除；以扣除后的价格参与评审，不重复享受价格扣除政策。</w:t>
            </w:r>
          </w:p>
        </w:tc>
      </w:tr>
      <w:tr w14:paraId="5D720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57" w:type="dxa"/>
            <w:shd w:val="clear" w:color="auto" w:fill="auto"/>
            <w:vAlign w:val="center"/>
          </w:tcPr>
          <w:p w14:paraId="6B8FA6C6">
            <w:pPr>
              <w:spacing w:line="36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Cs w:val="21"/>
                <w:highlight w:val="none"/>
              </w:rPr>
              <w:t>2</w:t>
            </w:r>
          </w:p>
        </w:tc>
        <w:tc>
          <w:tcPr>
            <w:tcW w:w="1508" w:type="dxa"/>
            <w:vAlign w:val="center"/>
          </w:tcPr>
          <w:p w14:paraId="13674F55">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类似业绩</w:t>
            </w:r>
          </w:p>
        </w:tc>
        <w:tc>
          <w:tcPr>
            <w:tcW w:w="850" w:type="dxa"/>
            <w:vAlign w:val="center"/>
          </w:tcPr>
          <w:p w14:paraId="3E0730DF">
            <w:pPr>
              <w:spacing w:line="360" w:lineRule="auto"/>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10</w:t>
            </w:r>
          </w:p>
        </w:tc>
        <w:tc>
          <w:tcPr>
            <w:tcW w:w="6131" w:type="dxa"/>
            <w:vAlign w:val="center"/>
          </w:tcPr>
          <w:p w14:paraId="09B57F97">
            <w:pPr>
              <w:ind w:firstLine="210" w:firstLineChars="100"/>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lang w:eastAsia="zh-CN"/>
              </w:rPr>
              <w:t>投标人</w:t>
            </w:r>
            <w:r>
              <w:rPr>
                <w:rFonts w:hint="eastAsia" w:ascii="仿宋" w:hAnsi="仿宋" w:eastAsia="仿宋" w:cs="仿宋"/>
                <w:color w:val="auto"/>
                <w:szCs w:val="21"/>
                <w:highlight w:val="none"/>
                <w:shd w:val="clear" w:color="auto" w:fill="FFFFFF" w:themeFill="background1"/>
              </w:rPr>
              <w:t>近三年（202</w:t>
            </w:r>
            <w:r>
              <w:rPr>
                <w:rFonts w:hint="eastAsia" w:ascii="仿宋" w:hAnsi="仿宋" w:eastAsia="仿宋" w:cs="仿宋"/>
                <w:color w:val="auto"/>
                <w:szCs w:val="21"/>
                <w:highlight w:val="none"/>
                <w:shd w:val="clear" w:color="auto" w:fill="FFFFFF" w:themeFill="background1"/>
                <w:lang w:val="en-US" w:eastAsia="zh-CN"/>
              </w:rPr>
              <w:t>3年1月</w:t>
            </w:r>
            <w:r>
              <w:rPr>
                <w:rFonts w:hint="eastAsia" w:ascii="仿宋" w:hAnsi="仿宋" w:eastAsia="仿宋" w:cs="仿宋"/>
                <w:color w:val="auto"/>
                <w:szCs w:val="21"/>
                <w:highlight w:val="none"/>
                <w:shd w:val="clear" w:color="auto" w:fill="FFFFFF" w:themeFill="background1"/>
              </w:rPr>
              <w:t>1日-至今，以合同签订时间为准）承接的类似业绩，每提供一项得2分，最多计</w:t>
            </w:r>
            <w:r>
              <w:rPr>
                <w:rFonts w:hint="eastAsia" w:ascii="仿宋" w:hAnsi="仿宋" w:eastAsia="仿宋" w:cs="仿宋"/>
                <w:color w:val="auto"/>
                <w:szCs w:val="21"/>
                <w:highlight w:val="none"/>
                <w:shd w:val="clear" w:color="auto" w:fill="FFFFFF" w:themeFill="background1"/>
                <w:lang w:val="en-US" w:eastAsia="zh-CN"/>
              </w:rPr>
              <w:t>5</w:t>
            </w:r>
            <w:r>
              <w:rPr>
                <w:rFonts w:hint="eastAsia" w:ascii="仿宋" w:hAnsi="仿宋" w:eastAsia="仿宋" w:cs="仿宋"/>
                <w:color w:val="auto"/>
                <w:szCs w:val="21"/>
                <w:highlight w:val="none"/>
                <w:shd w:val="clear" w:color="auto" w:fill="FFFFFF" w:themeFill="background1"/>
              </w:rPr>
              <w:t>项（须提供合同</w:t>
            </w:r>
            <w:r>
              <w:rPr>
                <w:rFonts w:hint="eastAsia" w:ascii="仿宋" w:hAnsi="仿宋" w:eastAsia="仿宋" w:cs="仿宋"/>
                <w:color w:val="auto"/>
                <w:szCs w:val="21"/>
                <w:highlight w:val="none"/>
                <w:shd w:val="clear" w:color="auto" w:fill="FFFFFF" w:themeFill="background1"/>
                <w:lang w:val="en-US" w:eastAsia="zh-CN"/>
              </w:rPr>
              <w:t>和中标通知书</w:t>
            </w:r>
            <w:r>
              <w:rPr>
                <w:rFonts w:hint="eastAsia" w:ascii="仿宋" w:hAnsi="仿宋" w:eastAsia="仿宋" w:cs="仿宋"/>
                <w:color w:val="auto"/>
                <w:szCs w:val="21"/>
                <w:highlight w:val="none"/>
                <w:shd w:val="clear" w:color="auto" w:fill="FFFFFF" w:themeFill="background1"/>
              </w:rPr>
              <w:t>）。</w:t>
            </w:r>
          </w:p>
        </w:tc>
      </w:tr>
      <w:tr w14:paraId="36519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57" w:type="dxa"/>
            <w:shd w:val="clear" w:color="auto" w:fill="auto"/>
            <w:vAlign w:val="center"/>
          </w:tcPr>
          <w:p w14:paraId="50C06355">
            <w:pPr>
              <w:spacing w:line="36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Cs w:val="21"/>
                <w:highlight w:val="none"/>
              </w:rPr>
              <w:t>3</w:t>
            </w:r>
          </w:p>
        </w:tc>
        <w:tc>
          <w:tcPr>
            <w:tcW w:w="1508" w:type="dxa"/>
            <w:vAlign w:val="center"/>
          </w:tcPr>
          <w:p w14:paraId="60C018B1">
            <w:pPr>
              <w:spacing w:line="360" w:lineRule="auto"/>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检查</w:t>
            </w:r>
            <w:r>
              <w:rPr>
                <w:rFonts w:hint="eastAsia" w:ascii="仿宋" w:hAnsi="仿宋" w:eastAsia="仿宋" w:cs="仿宋"/>
                <w:color w:val="auto"/>
                <w:szCs w:val="21"/>
                <w:highlight w:val="none"/>
              </w:rPr>
              <w:t>设备</w:t>
            </w:r>
          </w:p>
        </w:tc>
        <w:tc>
          <w:tcPr>
            <w:tcW w:w="850" w:type="dxa"/>
            <w:vAlign w:val="center"/>
          </w:tcPr>
          <w:p w14:paraId="24A68602">
            <w:pPr>
              <w:spacing w:line="360" w:lineRule="auto"/>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12</w:t>
            </w:r>
          </w:p>
        </w:tc>
        <w:tc>
          <w:tcPr>
            <w:tcW w:w="6131" w:type="dxa"/>
            <w:vAlign w:val="center"/>
          </w:tcPr>
          <w:p w14:paraId="57ED7000">
            <w:pPr>
              <w:ind w:firstLine="210" w:firstLineChars="100"/>
              <w:jc w:val="lef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投标人拟为本项目提供：</w:t>
            </w:r>
          </w:p>
          <w:p w14:paraId="6CA29A6E">
            <w:pPr>
              <w:ind w:firstLine="210" w:firstLineChars="100"/>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①彩超设备</w:t>
            </w:r>
            <w:r>
              <w:rPr>
                <w:rFonts w:hint="eastAsia" w:ascii="仿宋" w:hAnsi="仿宋" w:eastAsia="仿宋" w:cs="仿宋"/>
                <w:color w:val="auto"/>
                <w:szCs w:val="21"/>
                <w:highlight w:val="none"/>
                <w:shd w:val="clear" w:color="auto" w:fill="FFFFFF" w:themeFill="background1"/>
                <w:lang w:val="en-US" w:eastAsia="zh-CN"/>
              </w:rPr>
              <w:t>4台得</w:t>
            </w:r>
            <w:r>
              <w:rPr>
                <w:rFonts w:hint="eastAsia" w:ascii="仿宋" w:hAnsi="仿宋" w:eastAsia="仿宋" w:cs="仿宋"/>
                <w:color w:val="auto"/>
                <w:szCs w:val="21"/>
                <w:highlight w:val="none"/>
                <w:shd w:val="clear" w:color="auto" w:fill="FFFFFF" w:themeFill="background1"/>
              </w:rPr>
              <w:t>2分，每增加1台加</w:t>
            </w:r>
            <w:r>
              <w:rPr>
                <w:rFonts w:hint="eastAsia" w:ascii="仿宋" w:hAnsi="仿宋" w:eastAsia="仿宋" w:cs="仿宋"/>
                <w:color w:val="auto"/>
                <w:szCs w:val="21"/>
                <w:highlight w:val="none"/>
                <w:shd w:val="clear" w:color="auto" w:fill="FFFFFF" w:themeFill="background1"/>
                <w:lang w:val="en-US" w:eastAsia="zh-CN"/>
              </w:rPr>
              <w:t>2</w:t>
            </w:r>
            <w:r>
              <w:rPr>
                <w:rFonts w:hint="eastAsia" w:ascii="仿宋" w:hAnsi="仿宋" w:eastAsia="仿宋" w:cs="仿宋"/>
                <w:color w:val="auto"/>
                <w:szCs w:val="21"/>
                <w:highlight w:val="none"/>
                <w:shd w:val="clear" w:color="auto" w:fill="FFFFFF" w:themeFill="background1"/>
              </w:rPr>
              <w:t>分，本项最高得4分。</w:t>
            </w:r>
          </w:p>
          <w:p w14:paraId="28563854">
            <w:pPr>
              <w:ind w:firstLine="210" w:firstLineChars="100"/>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②</w:t>
            </w:r>
            <w:r>
              <w:rPr>
                <w:rFonts w:hint="eastAsia" w:ascii="仿宋" w:hAnsi="仿宋" w:eastAsia="仿宋" w:cs="仿宋"/>
                <w:color w:val="auto"/>
                <w:szCs w:val="21"/>
                <w:highlight w:val="none"/>
                <w:shd w:val="clear" w:color="auto" w:fill="FFFFFF" w:themeFill="background1"/>
                <w:lang w:val="en-US" w:eastAsia="zh-CN"/>
              </w:rPr>
              <w:t>核磁</w:t>
            </w:r>
            <w:r>
              <w:rPr>
                <w:rFonts w:hint="eastAsia" w:ascii="仿宋" w:hAnsi="仿宋" w:eastAsia="仿宋" w:cs="仿宋"/>
                <w:color w:val="auto"/>
                <w:szCs w:val="21"/>
                <w:highlight w:val="none"/>
                <w:shd w:val="clear" w:color="auto" w:fill="FFFFFF" w:themeFill="background1"/>
              </w:rPr>
              <w:t>设备</w:t>
            </w:r>
            <w:r>
              <w:rPr>
                <w:rFonts w:hint="eastAsia" w:ascii="仿宋" w:hAnsi="仿宋" w:eastAsia="仿宋" w:cs="仿宋"/>
                <w:color w:val="auto"/>
                <w:szCs w:val="21"/>
                <w:highlight w:val="none"/>
                <w:shd w:val="clear" w:color="auto" w:fill="FFFFFF" w:themeFill="background1"/>
                <w:lang w:val="en-US" w:eastAsia="zh-CN"/>
              </w:rPr>
              <w:t>1</w:t>
            </w:r>
            <w:r>
              <w:rPr>
                <w:rFonts w:hint="eastAsia" w:ascii="仿宋" w:hAnsi="仿宋" w:eastAsia="仿宋" w:cs="仿宋"/>
                <w:color w:val="auto"/>
                <w:szCs w:val="21"/>
                <w:highlight w:val="none"/>
                <w:shd w:val="clear" w:color="auto" w:fill="FFFFFF" w:themeFill="background1"/>
              </w:rPr>
              <w:t>台得2分，每增加1台得</w:t>
            </w:r>
            <w:r>
              <w:rPr>
                <w:rFonts w:hint="eastAsia" w:ascii="仿宋" w:hAnsi="仿宋" w:eastAsia="仿宋" w:cs="仿宋"/>
                <w:color w:val="auto"/>
                <w:szCs w:val="21"/>
                <w:highlight w:val="none"/>
                <w:shd w:val="clear" w:color="auto" w:fill="FFFFFF" w:themeFill="background1"/>
                <w:lang w:val="en-US" w:eastAsia="zh-CN"/>
              </w:rPr>
              <w:t>2</w:t>
            </w:r>
            <w:r>
              <w:rPr>
                <w:rFonts w:hint="eastAsia" w:ascii="仿宋" w:hAnsi="仿宋" w:eastAsia="仿宋" w:cs="仿宋"/>
                <w:color w:val="auto"/>
                <w:szCs w:val="21"/>
                <w:highlight w:val="none"/>
                <w:shd w:val="clear" w:color="auto" w:fill="FFFFFF" w:themeFill="background1"/>
              </w:rPr>
              <w:t>分，本项最高得4分。</w:t>
            </w:r>
          </w:p>
          <w:p w14:paraId="4F34FE1B">
            <w:pPr>
              <w:ind w:firstLine="210" w:firstLineChars="100"/>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③</w:t>
            </w:r>
            <w:r>
              <w:rPr>
                <w:rFonts w:hint="eastAsia" w:ascii="仿宋" w:hAnsi="仿宋" w:eastAsia="仿宋" w:cs="仿宋"/>
                <w:color w:val="auto"/>
                <w:szCs w:val="21"/>
                <w:highlight w:val="none"/>
                <w:shd w:val="clear" w:color="auto" w:fill="FFFFFF" w:themeFill="background1"/>
                <w:lang w:val="en-US" w:eastAsia="zh-CN"/>
              </w:rPr>
              <w:t>64排及以上</w:t>
            </w:r>
            <w:r>
              <w:rPr>
                <w:rFonts w:hint="eastAsia" w:ascii="仿宋" w:hAnsi="仿宋" w:eastAsia="仿宋" w:cs="仿宋"/>
                <w:color w:val="auto"/>
                <w:szCs w:val="21"/>
                <w:highlight w:val="none"/>
                <w:shd w:val="clear" w:color="auto" w:fill="FFFFFF" w:themeFill="background1"/>
              </w:rPr>
              <w:t>CT设备</w:t>
            </w:r>
            <w:r>
              <w:rPr>
                <w:rFonts w:hint="eastAsia" w:ascii="仿宋" w:hAnsi="仿宋" w:eastAsia="仿宋" w:cs="仿宋"/>
                <w:color w:val="auto"/>
                <w:szCs w:val="21"/>
                <w:highlight w:val="none"/>
                <w:shd w:val="clear" w:color="auto" w:fill="FFFFFF" w:themeFill="background1"/>
                <w:lang w:val="en-US" w:eastAsia="zh-CN"/>
              </w:rPr>
              <w:t>1</w:t>
            </w:r>
            <w:r>
              <w:rPr>
                <w:rFonts w:hint="eastAsia" w:ascii="仿宋" w:hAnsi="仿宋" w:eastAsia="仿宋" w:cs="仿宋"/>
                <w:color w:val="auto"/>
                <w:szCs w:val="21"/>
                <w:highlight w:val="none"/>
                <w:shd w:val="clear" w:color="auto" w:fill="FFFFFF" w:themeFill="background1"/>
              </w:rPr>
              <w:t>台得2分，每增加1台加</w:t>
            </w:r>
            <w:r>
              <w:rPr>
                <w:rFonts w:hint="eastAsia" w:ascii="仿宋" w:hAnsi="仿宋" w:eastAsia="仿宋" w:cs="仿宋"/>
                <w:color w:val="auto"/>
                <w:szCs w:val="21"/>
                <w:highlight w:val="none"/>
                <w:shd w:val="clear" w:color="auto" w:fill="FFFFFF" w:themeFill="background1"/>
                <w:lang w:val="en-US" w:eastAsia="zh-CN"/>
              </w:rPr>
              <w:t>2</w:t>
            </w:r>
            <w:r>
              <w:rPr>
                <w:rFonts w:hint="eastAsia" w:ascii="仿宋" w:hAnsi="仿宋" w:eastAsia="仿宋" w:cs="仿宋"/>
                <w:color w:val="auto"/>
                <w:szCs w:val="21"/>
                <w:highlight w:val="none"/>
                <w:shd w:val="clear" w:color="auto" w:fill="FFFFFF" w:themeFill="background1"/>
              </w:rPr>
              <w:t>分，本项最高得4分。</w:t>
            </w:r>
          </w:p>
          <w:p w14:paraId="40EC07B1">
            <w:pPr>
              <w:ind w:firstLine="210" w:firstLineChars="100"/>
              <w:jc w:val="left"/>
              <w:rPr>
                <w:rFonts w:hint="eastAsia" w:ascii="仿宋" w:hAnsi="仿宋" w:eastAsia="仿宋" w:cs="仿宋"/>
                <w:color w:val="auto"/>
                <w:szCs w:val="21"/>
                <w:highlight w:val="none"/>
                <w:shd w:val="clear" w:color="auto" w:fill="FFFFFF" w:themeFill="background1"/>
                <w:lang w:val="en-US" w:eastAsia="zh-CN"/>
              </w:rPr>
            </w:pPr>
            <w:r>
              <w:rPr>
                <w:rFonts w:hint="eastAsia" w:ascii="仿宋" w:hAnsi="仿宋" w:eastAsia="仿宋" w:cs="仿宋"/>
                <w:color w:val="auto"/>
                <w:szCs w:val="21"/>
                <w:highlight w:val="none"/>
                <w:shd w:val="clear" w:color="auto" w:fill="FFFFFF" w:themeFill="background1"/>
              </w:rPr>
              <w:t>注：</w:t>
            </w:r>
            <w:r>
              <w:rPr>
                <w:rFonts w:hint="eastAsia" w:ascii="仿宋" w:hAnsi="仿宋" w:eastAsia="仿宋" w:cs="仿宋"/>
                <w:color w:val="auto"/>
                <w:szCs w:val="21"/>
                <w:highlight w:val="none"/>
                <w:shd w:val="clear" w:color="auto" w:fill="FFFFFF" w:themeFill="background1"/>
                <w:lang w:val="en-US" w:eastAsia="zh-CN"/>
              </w:rPr>
              <w:t>须</w:t>
            </w:r>
            <w:r>
              <w:rPr>
                <w:rFonts w:hint="eastAsia" w:ascii="仿宋" w:hAnsi="仿宋" w:eastAsia="仿宋" w:cs="仿宋"/>
                <w:color w:val="auto"/>
                <w:szCs w:val="21"/>
                <w:highlight w:val="none"/>
                <w:shd w:val="clear" w:color="auto" w:fill="FFFFFF" w:themeFill="background1"/>
              </w:rPr>
              <w:t>提供设备采购合同或发票或设备</w:t>
            </w:r>
            <w:r>
              <w:rPr>
                <w:rFonts w:hint="eastAsia" w:ascii="仿宋" w:hAnsi="仿宋" w:eastAsia="仿宋" w:cs="仿宋"/>
                <w:color w:val="auto"/>
                <w:szCs w:val="21"/>
                <w:highlight w:val="none"/>
                <w:shd w:val="clear" w:color="auto" w:fill="FFFFFF" w:themeFill="background1"/>
                <w:lang w:val="en-US" w:eastAsia="zh-CN"/>
              </w:rPr>
              <w:t>实际摆放位置</w:t>
            </w:r>
            <w:r>
              <w:rPr>
                <w:rFonts w:hint="eastAsia" w:ascii="仿宋" w:hAnsi="仿宋" w:eastAsia="仿宋" w:cs="仿宋"/>
                <w:color w:val="auto"/>
                <w:szCs w:val="21"/>
                <w:highlight w:val="none"/>
                <w:shd w:val="clear" w:color="auto" w:fill="FFFFFF" w:themeFill="background1"/>
              </w:rPr>
              <w:t>照片。</w:t>
            </w:r>
          </w:p>
        </w:tc>
      </w:tr>
      <w:tr w14:paraId="6C9D6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57" w:type="dxa"/>
            <w:shd w:val="clear" w:color="auto" w:fill="auto"/>
            <w:vAlign w:val="center"/>
          </w:tcPr>
          <w:p w14:paraId="370D691B">
            <w:pPr>
              <w:spacing w:line="36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Cs w:val="21"/>
                <w:highlight w:val="none"/>
              </w:rPr>
              <w:t>4</w:t>
            </w:r>
          </w:p>
        </w:tc>
        <w:tc>
          <w:tcPr>
            <w:tcW w:w="1508" w:type="dxa"/>
            <w:vAlign w:val="center"/>
          </w:tcPr>
          <w:p w14:paraId="25CBDD67">
            <w:pPr>
              <w:spacing w:line="360" w:lineRule="auto"/>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rPr>
              <w:t>医资力量</w:t>
            </w:r>
          </w:p>
        </w:tc>
        <w:tc>
          <w:tcPr>
            <w:tcW w:w="850" w:type="dxa"/>
            <w:vAlign w:val="center"/>
          </w:tcPr>
          <w:p w14:paraId="6EFAB9BA">
            <w:pPr>
              <w:spacing w:line="360" w:lineRule="auto"/>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rPr>
              <w:t>12</w:t>
            </w:r>
          </w:p>
        </w:tc>
        <w:tc>
          <w:tcPr>
            <w:tcW w:w="6131" w:type="dxa"/>
            <w:vAlign w:val="center"/>
          </w:tcPr>
          <w:p w14:paraId="2AF70BD4">
            <w:pPr>
              <w:ind w:firstLine="210" w:firstLineChars="100"/>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lang w:eastAsia="zh-CN"/>
              </w:rPr>
              <w:t>投标人</w:t>
            </w:r>
            <w:r>
              <w:rPr>
                <w:rFonts w:hint="eastAsia" w:ascii="仿宋" w:hAnsi="仿宋" w:eastAsia="仿宋" w:cs="仿宋"/>
                <w:color w:val="auto"/>
                <w:szCs w:val="21"/>
                <w:highlight w:val="none"/>
                <w:shd w:val="clear" w:color="auto" w:fill="FFFFFF" w:themeFill="background1"/>
              </w:rPr>
              <w:t>针对本项目，拟派服务于本项目①超声科、②放射科、③检验科、④内科、⑤外科、⑥妇科的人员，每个科室每具有一个有高级(主任医师、副主任医师) 职称的人员得 1 分，每科室最多得2分，本项最多得12分。(人员不重复计分)</w:t>
            </w:r>
          </w:p>
          <w:p w14:paraId="0EC049F0">
            <w:pPr>
              <w:ind w:firstLine="210" w:firstLineChars="100"/>
              <w:jc w:val="left"/>
              <w:rPr>
                <w:rFonts w:hint="eastAsia" w:ascii="仿宋" w:hAnsi="仿宋" w:eastAsia="仿宋" w:cs="仿宋"/>
                <w:color w:val="auto"/>
                <w:szCs w:val="21"/>
                <w:highlight w:val="none"/>
                <w:shd w:val="clear" w:color="auto" w:fill="FFFFFF" w:themeFill="background1"/>
                <w:lang w:val="en-US" w:eastAsia="zh-CN"/>
              </w:rPr>
            </w:pPr>
            <w:r>
              <w:rPr>
                <w:rFonts w:hint="eastAsia" w:ascii="仿宋" w:hAnsi="仿宋" w:eastAsia="仿宋" w:cs="仿宋"/>
                <w:color w:val="auto"/>
                <w:szCs w:val="21"/>
                <w:highlight w:val="none"/>
                <w:shd w:val="clear" w:color="auto" w:fill="FFFFFF" w:themeFill="background1"/>
              </w:rPr>
              <w:t>注：须提供医师</w:t>
            </w:r>
            <w:r>
              <w:rPr>
                <w:rFonts w:hint="eastAsia" w:ascii="仿宋" w:hAnsi="仿宋" w:eastAsia="仿宋" w:cs="仿宋"/>
                <w:color w:val="auto"/>
                <w:szCs w:val="21"/>
                <w:highlight w:val="none"/>
                <w:shd w:val="clear" w:color="auto" w:fill="FFFFFF" w:themeFill="background1"/>
                <w:lang w:val="en-US" w:eastAsia="zh-CN"/>
              </w:rPr>
              <w:t>证件证明材料。</w:t>
            </w:r>
          </w:p>
        </w:tc>
      </w:tr>
      <w:tr w14:paraId="4B6A5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57" w:type="dxa"/>
            <w:shd w:val="clear" w:color="auto" w:fill="auto"/>
            <w:vAlign w:val="center"/>
          </w:tcPr>
          <w:p w14:paraId="70D8310D">
            <w:pPr>
              <w:spacing w:line="36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Cs w:val="21"/>
                <w:highlight w:val="none"/>
              </w:rPr>
              <w:t>5</w:t>
            </w:r>
          </w:p>
        </w:tc>
        <w:tc>
          <w:tcPr>
            <w:tcW w:w="1508" w:type="dxa"/>
            <w:vAlign w:val="center"/>
          </w:tcPr>
          <w:p w14:paraId="07BFA9FC">
            <w:pPr>
              <w:spacing w:line="360" w:lineRule="auto"/>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rPr>
              <w:t>服务方案</w:t>
            </w:r>
          </w:p>
        </w:tc>
        <w:tc>
          <w:tcPr>
            <w:tcW w:w="850" w:type="dxa"/>
            <w:vAlign w:val="center"/>
          </w:tcPr>
          <w:p w14:paraId="7C6FC031">
            <w:pPr>
              <w:spacing w:line="360" w:lineRule="auto"/>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rPr>
              <w:t>30</w:t>
            </w:r>
          </w:p>
        </w:tc>
        <w:tc>
          <w:tcPr>
            <w:tcW w:w="6131" w:type="dxa"/>
            <w:vAlign w:val="top"/>
          </w:tcPr>
          <w:p w14:paraId="6A5676DA">
            <w:pPr>
              <w:ind w:firstLine="210" w:firstLineChars="100"/>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服务方案包括但不限于：①体检实施前的注意事项</w:t>
            </w:r>
            <w:r>
              <w:rPr>
                <w:rFonts w:hint="eastAsia" w:ascii="仿宋" w:hAnsi="仿宋" w:eastAsia="仿宋" w:cs="仿宋"/>
                <w:color w:val="auto"/>
                <w:szCs w:val="21"/>
                <w:highlight w:val="none"/>
                <w:shd w:val="clear" w:color="auto" w:fill="FFFFFF" w:themeFill="background1"/>
                <w:lang w:eastAsia="zh-CN"/>
              </w:rPr>
              <w:t>，</w:t>
            </w:r>
            <w:r>
              <w:rPr>
                <w:rFonts w:hint="eastAsia" w:ascii="仿宋" w:hAnsi="仿宋" w:eastAsia="仿宋" w:cs="仿宋"/>
                <w:color w:val="auto"/>
                <w:szCs w:val="21"/>
                <w:highlight w:val="none"/>
                <w:shd w:val="clear" w:color="auto" w:fill="FFFFFF" w:themeFill="background1"/>
              </w:rPr>
              <w:t>②体检人数及日程安排</w:t>
            </w:r>
            <w:r>
              <w:rPr>
                <w:rFonts w:hint="eastAsia" w:ascii="仿宋" w:hAnsi="仿宋" w:eastAsia="仿宋" w:cs="仿宋"/>
                <w:color w:val="auto"/>
                <w:szCs w:val="21"/>
                <w:highlight w:val="none"/>
                <w:shd w:val="clear" w:color="auto" w:fill="FFFFFF" w:themeFill="background1"/>
                <w:lang w:eastAsia="zh-CN"/>
              </w:rPr>
              <w:t>，</w:t>
            </w:r>
            <w:r>
              <w:rPr>
                <w:rFonts w:hint="eastAsia" w:ascii="仿宋" w:hAnsi="仿宋" w:eastAsia="仿宋" w:cs="仿宋"/>
                <w:color w:val="auto"/>
                <w:szCs w:val="21"/>
                <w:highlight w:val="none"/>
                <w:shd w:val="clear" w:color="auto" w:fill="FFFFFF" w:themeFill="background1"/>
              </w:rPr>
              <w:t>③体检流程</w:t>
            </w:r>
            <w:r>
              <w:rPr>
                <w:rFonts w:hint="eastAsia" w:ascii="仿宋" w:hAnsi="仿宋" w:eastAsia="仿宋" w:cs="仿宋"/>
                <w:color w:val="auto"/>
                <w:szCs w:val="21"/>
                <w:highlight w:val="none"/>
                <w:shd w:val="clear" w:color="auto" w:fill="FFFFFF" w:themeFill="background1"/>
                <w:lang w:eastAsia="zh-CN"/>
              </w:rPr>
              <w:t>，</w:t>
            </w:r>
            <w:r>
              <w:rPr>
                <w:rFonts w:hint="eastAsia" w:ascii="仿宋" w:hAnsi="仿宋" w:eastAsia="仿宋" w:cs="仿宋"/>
                <w:color w:val="auto"/>
                <w:szCs w:val="21"/>
                <w:highlight w:val="none"/>
                <w:shd w:val="clear" w:color="auto" w:fill="FFFFFF" w:themeFill="background1"/>
              </w:rPr>
              <w:t>④体检引导及陪护</w:t>
            </w:r>
            <w:r>
              <w:rPr>
                <w:rFonts w:hint="eastAsia" w:ascii="仿宋" w:hAnsi="仿宋" w:eastAsia="仿宋" w:cs="仿宋"/>
                <w:color w:val="auto"/>
                <w:szCs w:val="21"/>
                <w:highlight w:val="none"/>
                <w:shd w:val="clear" w:color="auto" w:fill="FFFFFF" w:themeFill="background1"/>
                <w:lang w:eastAsia="zh-CN"/>
              </w:rPr>
              <w:t>，</w:t>
            </w:r>
            <w:r>
              <w:rPr>
                <w:rFonts w:hint="eastAsia" w:ascii="仿宋" w:hAnsi="仿宋" w:eastAsia="仿宋" w:cs="仿宋"/>
                <w:color w:val="auto"/>
                <w:szCs w:val="21"/>
                <w:highlight w:val="none"/>
                <w:shd w:val="clear" w:color="auto" w:fill="FFFFFF" w:themeFill="background1"/>
              </w:rPr>
              <w:t>⑤隐私保护措施</w:t>
            </w:r>
            <w:r>
              <w:rPr>
                <w:rFonts w:hint="eastAsia" w:ascii="仿宋" w:hAnsi="仿宋" w:eastAsia="仿宋" w:cs="仿宋"/>
                <w:color w:val="auto"/>
                <w:szCs w:val="21"/>
                <w:highlight w:val="none"/>
                <w:shd w:val="clear" w:color="auto" w:fill="FFFFFF" w:themeFill="background1"/>
                <w:lang w:eastAsia="zh-CN"/>
              </w:rPr>
              <w:t>，</w:t>
            </w:r>
            <w:r>
              <w:rPr>
                <w:rFonts w:hint="eastAsia" w:ascii="仿宋" w:hAnsi="仿宋" w:eastAsia="仿宋" w:cs="仿宋"/>
                <w:color w:val="auto"/>
                <w:szCs w:val="21"/>
                <w:highlight w:val="none"/>
                <w:shd w:val="clear" w:color="auto" w:fill="FFFFFF" w:themeFill="background1"/>
              </w:rPr>
              <w:t>⑥体检现场急救及其他意外防范措施</w:t>
            </w:r>
            <w:r>
              <w:rPr>
                <w:rFonts w:hint="eastAsia" w:ascii="仿宋" w:hAnsi="仿宋" w:eastAsia="仿宋" w:cs="仿宋"/>
                <w:color w:val="auto"/>
                <w:szCs w:val="21"/>
                <w:highlight w:val="none"/>
                <w:shd w:val="clear" w:color="auto" w:fill="FFFFFF" w:themeFill="background1"/>
                <w:lang w:eastAsia="zh-CN"/>
              </w:rPr>
              <w:t>，</w:t>
            </w:r>
            <w:r>
              <w:rPr>
                <w:rFonts w:hint="eastAsia" w:ascii="仿宋" w:hAnsi="仿宋" w:eastAsia="仿宋" w:cs="仿宋"/>
                <w:color w:val="auto"/>
                <w:szCs w:val="21"/>
                <w:highlight w:val="none"/>
                <w:shd w:val="clear" w:color="auto" w:fill="FFFFFF" w:themeFill="background1"/>
              </w:rPr>
              <w:t>⑦检出重大阳性指标处理流程</w:t>
            </w:r>
            <w:r>
              <w:rPr>
                <w:rFonts w:hint="eastAsia" w:ascii="仿宋" w:hAnsi="仿宋" w:eastAsia="仿宋" w:cs="仿宋"/>
                <w:color w:val="auto"/>
                <w:szCs w:val="21"/>
                <w:highlight w:val="none"/>
                <w:shd w:val="clear" w:color="auto" w:fill="FFFFFF" w:themeFill="background1"/>
                <w:lang w:eastAsia="zh-CN"/>
              </w:rPr>
              <w:t>，</w:t>
            </w:r>
            <w:r>
              <w:rPr>
                <w:rFonts w:hint="eastAsia" w:ascii="仿宋" w:hAnsi="仿宋" w:eastAsia="仿宋" w:cs="仿宋"/>
                <w:color w:val="auto"/>
                <w:szCs w:val="21"/>
                <w:highlight w:val="none"/>
                <w:shd w:val="clear" w:color="auto" w:fill="FFFFFF" w:themeFill="background1"/>
              </w:rPr>
              <w:t>⑧预约体检时间服务</w:t>
            </w:r>
            <w:r>
              <w:rPr>
                <w:rFonts w:hint="eastAsia" w:ascii="仿宋" w:hAnsi="仿宋" w:eastAsia="仿宋" w:cs="仿宋"/>
                <w:color w:val="auto"/>
                <w:szCs w:val="21"/>
                <w:highlight w:val="none"/>
                <w:shd w:val="clear" w:color="auto" w:fill="FFFFFF" w:themeFill="background1"/>
                <w:lang w:eastAsia="zh-CN"/>
              </w:rPr>
              <w:t>，</w:t>
            </w:r>
            <w:r>
              <w:rPr>
                <w:rFonts w:hint="eastAsia" w:ascii="仿宋" w:hAnsi="仿宋" w:eastAsia="仿宋" w:cs="仿宋"/>
                <w:color w:val="auto"/>
                <w:szCs w:val="21"/>
                <w:highlight w:val="none"/>
                <w:shd w:val="clear" w:color="auto" w:fill="FFFFFF" w:themeFill="background1"/>
              </w:rPr>
              <w:t>⑨检后提供上门解读报告服务</w:t>
            </w:r>
            <w:r>
              <w:rPr>
                <w:rFonts w:hint="eastAsia" w:ascii="仿宋" w:hAnsi="仿宋" w:eastAsia="仿宋" w:cs="仿宋"/>
                <w:color w:val="auto"/>
                <w:szCs w:val="21"/>
                <w:highlight w:val="none"/>
                <w:shd w:val="clear" w:color="auto" w:fill="FFFFFF" w:themeFill="background1"/>
                <w:lang w:eastAsia="zh-CN"/>
              </w:rPr>
              <w:t>，</w:t>
            </w:r>
            <w:r>
              <w:rPr>
                <w:rFonts w:hint="eastAsia" w:ascii="仿宋" w:hAnsi="仿宋" w:eastAsia="仿宋" w:cs="仿宋"/>
                <w:color w:val="auto"/>
                <w:szCs w:val="21"/>
                <w:highlight w:val="none"/>
                <w:shd w:val="clear" w:color="auto" w:fill="FFFFFF" w:themeFill="background1"/>
              </w:rPr>
              <w:t>⑩团体体检结果分析汇总方案</w:t>
            </w:r>
            <w:r>
              <w:rPr>
                <w:rFonts w:hint="eastAsia" w:ascii="仿宋" w:hAnsi="仿宋" w:eastAsia="仿宋" w:cs="仿宋"/>
                <w:color w:val="auto"/>
                <w:szCs w:val="21"/>
                <w:highlight w:val="none"/>
                <w:shd w:val="clear" w:color="auto" w:fill="FFFFFF" w:themeFill="background1"/>
                <w:lang w:eastAsia="zh-CN"/>
              </w:rPr>
              <w:t>；</w:t>
            </w:r>
            <w:r>
              <w:rPr>
                <w:rFonts w:hint="eastAsia" w:ascii="仿宋" w:hAnsi="仿宋" w:eastAsia="仿宋" w:cs="仿宋"/>
                <w:color w:val="auto"/>
                <w:szCs w:val="21"/>
                <w:highlight w:val="none"/>
                <w:shd w:val="clear" w:color="auto" w:fill="FFFFFF" w:themeFill="background1"/>
              </w:rPr>
              <w:t>10部分要素。</w:t>
            </w:r>
          </w:p>
          <w:p w14:paraId="6AB26360">
            <w:pPr>
              <w:ind w:firstLine="210" w:firstLineChars="100"/>
              <w:jc w:val="left"/>
              <w:rPr>
                <w:rFonts w:hint="eastAsia" w:ascii="仿宋" w:hAnsi="仿宋" w:eastAsia="仿宋" w:cs="仿宋"/>
                <w:color w:val="auto"/>
                <w:szCs w:val="21"/>
                <w:highlight w:val="none"/>
                <w:shd w:val="clear" w:color="auto" w:fill="FFFFFF" w:themeFill="background1"/>
                <w:lang w:val="en-US" w:eastAsia="zh-CN"/>
              </w:rPr>
            </w:pPr>
            <w:r>
              <w:rPr>
                <w:rFonts w:hint="eastAsia" w:ascii="仿宋" w:hAnsi="仿宋" w:eastAsia="仿宋" w:cs="仿宋"/>
                <w:color w:val="auto"/>
                <w:szCs w:val="21"/>
                <w:highlight w:val="none"/>
                <w:shd w:val="clear" w:color="auto" w:fill="FFFFFF" w:themeFill="background1"/>
              </w:rPr>
              <w:t>所有要素齐全且完全满足采购需求得</w:t>
            </w:r>
            <w:r>
              <w:rPr>
                <w:rFonts w:hint="eastAsia" w:ascii="仿宋" w:hAnsi="仿宋" w:eastAsia="仿宋" w:cs="仿宋"/>
                <w:color w:val="auto"/>
                <w:szCs w:val="21"/>
                <w:highlight w:val="none"/>
                <w:shd w:val="clear" w:color="auto" w:fill="FFFFFF" w:themeFill="background1"/>
                <w:lang w:val="en-US" w:eastAsia="zh-CN"/>
              </w:rPr>
              <w:t>30</w:t>
            </w:r>
            <w:r>
              <w:rPr>
                <w:rFonts w:hint="eastAsia" w:ascii="仿宋" w:hAnsi="仿宋" w:eastAsia="仿宋" w:cs="仿宋"/>
                <w:color w:val="auto"/>
                <w:szCs w:val="21"/>
                <w:highlight w:val="none"/>
                <w:shd w:val="clear" w:color="auto" w:fill="FFFFFF" w:themeFill="background1"/>
              </w:rPr>
              <w:t>分，每缺一个要素扣</w:t>
            </w:r>
            <w:r>
              <w:rPr>
                <w:rFonts w:hint="eastAsia" w:ascii="仿宋" w:hAnsi="仿宋" w:eastAsia="仿宋" w:cs="仿宋"/>
                <w:color w:val="auto"/>
                <w:szCs w:val="21"/>
                <w:highlight w:val="none"/>
                <w:shd w:val="clear" w:color="auto" w:fill="FFFFFF" w:themeFill="background1"/>
                <w:lang w:val="en-US" w:eastAsia="zh-CN"/>
              </w:rPr>
              <w:t>3</w:t>
            </w:r>
            <w:r>
              <w:rPr>
                <w:rFonts w:hint="eastAsia" w:ascii="仿宋" w:hAnsi="仿宋" w:eastAsia="仿宋" w:cs="仿宋"/>
                <w:color w:val="auto"/>
                <w:szCs w:val="21"/>
                <w:highlight w:val="none"/>
                <w:shd w:val="clear" w:color="auto" w:fill="FFFFFF" w:themeFill="background1"/>
              </w:rPr>
              <w:t>分，每个要素里每有一处内容缺陷扣</w:t>
            </w:r>
            <w:r>
              <w:rPr>
                <w:rFonts w:hint="eastAsia" w:ascii="仿宋" w:hAnsi="仿宋" w:eastAsia="仿宋" w:cs="仿宋"/>
                <w:color w:val="auto"/>
                <w:szCs w:val="21"/>
                <w:highlight w:val="none"/>
                <w:shd w:val="clear" w:color="auto" w:fill="FFFFFF" w:themeFill="background1"/>
                <w:lang w:val="en-US" w:eastAsia="zh-CN"/>
              </w:rPr>
              <w:t>1</w:t>
            </w:r>
            <w:r>
              <w:rPr>
                <w:rFonts w:hint="eastAsia" w:ascii="仿宋" w:hAnsi="仿宋" w:eastAsia="仿宋" w:cs="仿宋"/>
                <w:color w:val="auto"/>
                <w:szCs w:val="21"/>
                <w:highlight w:val="none"/>
                <w:shd w:val="clear" w:color="auto" w:fill="FFFFFF" w:themeFill="background1"/>
              </w:rPr>
              <w:t>分（扣完为止）。</w:t>
            </w:r>
          </w:p>
        </w:tc>
      </w:tr>
      <w:tr w14:paraId="18167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57" w:type="dxa"/>
            <w:shd w:val="clear" w:color="auto" w:fill="auto"/>
            <w:vAlign w:val="center"/>
          </w:tcPr>
          <w:p w14:paraId="59C2C150">
            <w:pPr>
              <w:spacing w:line="36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Cs w:val="21"/>
                <w:highlight w:val="none"/>
              </w:rPr>
              <w:t>6</w:t>
            </w:r>
          </w:p>
        </w:tc>
        <w:tc>
          <w:tcPr>
            <w:tcW w:w="1508" w:type="dxa"/>
            <w:vAlign w:val="center"/>
          </w:tcPr>
          <w:p w14:paraId="3080F963">
            <w:pPr>
              <w:spacing w:line="360" w:lineRule="auto"/>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rPr>
              <w:t>质控保障体系</w:t>
            </w:r>
          </w:p>
        </w:tc>
        <w:tc>
          <w:tcPr>
            <w:tcW w:w="850" w:type="dxa"/>
            <w:vAlign w:val="center"/>
          </w:tcPr>
          <w:p w14:paraId="5A287BF6">
            <w:pPr>
              <w:spacing w:line="360" w:lineRule="auto"/>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12</w:t>
            </w:r>
          </w:p>
        </w:tc>
        <w:tc>
          <w:tcPr>
            <w:tcW w:w="6131" w:type="dxa"/>
            <w:vAlign w:val="center"/>
          </w:tcPr>
          <w:p w14:paraId="4E02DBE8">
            <w:pPr>
              <w:ind w:firstLine="210" w:firstLineChars="100"/>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质控保障体系包括但不限于：①质控管理组织机构、质控岗位职责划分</w:t>
            </w:r>
            <w:r>
              <w:rPr>
                <w:rFonts w:hint="eastAsia" w:ascii="仿宋" w:hAnsi="仿宋" w:eastAsia="仿宋" w:cs="仿宋"/>
                <w:color w:val="auto"/>
                <w:szCs w:val="21"/>
                <w:highlight w:val="none"/>
                <w:shd w:val="clear" w:color="auto" w:fill="FFFFFF" w:themeFill="background1"/>
                <w:lang w:eastAsia="zh-CN"/>
              </w:rPr>
              <w:t>，</w:t>
            </w:r>
            <w:r>
              <w:rPr>
                <w:rFonts w:hint="eastAsia" w:ascii="仿宋" w:hAnsi="仿宋" w:eastAsia="仿宋" w:cs="仿宋"/>
                <w:color w:val="auto"/>
                <w:szCs w:val="21"/>
                <w:highlight w:val="none"/>
                <w:shd w:val="clear" w:color="auto" w:fill="FFFFFF" w:themeFill="background1"/>
              </w:rPr>
              <w:t>②质控手段、质控目标</w:t>
            </w:r>
            <w:r>
              <w:rPr>
                <w:rFonts w:hint="eastAsia" w:ascii="仿宋" w:hAnsi="仿宋" w:eastAsia="仿宋" w:cs="仿宋"/>
                <w:color w:val="auto"/>
                <w:szCs w:val="21"/>
                <w:highlight w:val="none"/>
                <w:shd w:val="clear" w:color="auto" w:fill="FFFFFF" w:themeFill="background1"/>
                <w:lang w:eastAsia="zh-CN"/>
              </w:rPr>
              <w:t>，</w:t>
            </w:r>
            <w:r>
              <w:rPr>
                <w:rFonts w:hint="eastAsia" w:ascii="仿宋" w:hAnsi="仿宋" w:eastAsia="仿宋" w:cs="仿宋"/>
                <w:color w:val="auto"/>
                <w:szCs w:val="21"/>
                <w:highlight w:val="none"/>
                <w:shd w:val="clear" w:color="auto" w:fill="FFFFFF" w:themeFill="background1"/>
              </w:rPr>
              <w:t>③质控指标、范围</w:t>
            </w:r>
            <w:r>
              <w:rPr>
                <w:rFonts w:hint="eastAsia" w:ascii="仿宋" w:hAnsi="仿宋" w:eastAsia="仿宋" w:cs="仿宋"/>
                <w:color w:val="auto"/>
                <w:szCs w:val="21"/>
                <w:highlight w:val="none"/>
                <w:shd w:val="clear" w:color="auto" w:fill="FFFFFF" w:themeFill="background1"/>
                <w:lang w:eastAsia="zh-CN"/>
              </w:rPr>
              <w:t>，</w:t>
            </w:r>
            <w:r>
              <w:rPr>
                <w:rFonts w:hint="eastAsia" w:ascii="仿宋" w:hAnsi="仿宋" w:eastAsia="仿宋" w:cs="仿宋"/>
                <w:color w:val="auto"/>
                <w:szCs w:val="21"/>
                <w:highlight w:val="none"/>
                <w:shd w:val="clear" w:color="auto" w:fill="FFFFFF" w:themeFill="background1"/>
              </w:rPr>
              <w:t>④健康危急值报告及处理流程</w:t>
            </w:r>
            <w:r>
              <w:rPr>
                <w:rFonts w:hint="eastAsia" w:ascii="仿宋" w:hAnsi="仿宋" w:eastAsia="仿宋" w:cs="仿宋"/>
                <w:color w:val="auto"/>
                <w:szCs w:val="21"/>
                <w:highlight w:val="none"/>
                <w:shd w:val="clear" w:color="auto" w:fill="FFFFFF" w:themeFill="background1"/>
                <w:lang w:eastAsia="zh-CN"/>
              </w:rPr>
              <w:t>；</w:t>
            </w:r>
            <w:r>
              <w:rPr>
                <w:rFonts w:hint="eastAsia" w:ascii="仿宋" w:hAnsi="仿宋" w:eastAsia="仿宋" w:cs="仿宋"/>
                <w:color w:val="auto"/>
                <w:szCs w:val="21"/>
                <w:highlight w:val="none"/>
                <w:shd w:val="clear" w:color="auto" w:fill="FFFFFF" w:themeFill="background1"/>
              </w:rPr>
              <w:t>4部分要素。</w:t>
            </w:r>
          </w:p>
          <w:p w14:paraId="74DC07EC">
            <w:pPr>
              <w:ind w:firstLine="210" w:firstLineChars="100"/>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所有要素齐全且完全满足采购需求得</w:t>
            </w:r>
            <w:r>
              <w:rPr>
                <w:rFonts w:hint="eastAsia" w:ascii="仿宋" w:hAnsi="仿宋" w:eastAsia="仿宋" w:cs="仿宋"/>
                <w:color w:val="auto"/>
                <w:szCs w:val="21"/>
                <w:highlight w:val="none"/>
                <w:shd w:val="clear" w:color="auto" w:fill="FFFFFF" w:themeFill="background1"/>
                <w:lang w:val="en-US" w:eastAsia="zh-CN"/>
              </w:rPr>
              <w:t>12</w:t>
            </w:r>
            <w:r>
              <w:rPr>
                <w:rFonts w:hint="eastAsia" w:ascii="仿宋" w:hAnsi="仿宋" w:eastAsia="仿宋" w:cs="仿宋"/>
                <w:color w:val="auto"/>
                <w:szCs w:val="21"/>
                <w:highlight w:val="none"/>
                <w:shd w:val="clear" w:color="auto" w:fill="FFFFFF" w:themeFill="background1"/>
              </w:rPr>
              <w:t>分，每缺一个要素扣</w:t>
            </w:r>
            <w:r>
              <w:rPr>
                <w:rFonts w:hint="eastAsia" w:ascii="仿宋" w:hAnsi="仿宋" w:eastAsia="仿宋" w:cs="仿宋"/>
                <w:color w:val="auto"/>
                <w:szCs w:val="21"/>
                <w:highlight w:val="none"/>
                <w:shd w:val="clear" w:color="auto" w:fill="FFFFFF" w:themeFill="background1"/>
                <w:lang w:val="en-US" w:eastAsia="zh-CN"/>
              </w:rPr>
              <w:t>3</w:t>
            </w:r>
            <w:r>
              <w:rPr>
                <w:rFonts w:hint="eastAsia" w:ascii="仿宋" w:hAnsi="仿宋" w:eastAsia="仿宋" w:cs="仿宋"/>
                <w:color w:val="auto"/>
                <w:szCs w:val="21"/>
                <w:highlight w:val="none"/>
                <w:shd w:val="clear" w:color="auto" w:fill="FFFFFF" w:themeFill="background1"/>
              </w:rPr>
              <w:t>分，每个要素里每有一处内容缺陷扣</w:t>
            </w:r>
            <w:r>
              <w:rPr>
                <w:rFonts w:hint="eastAsia" w:ascii="仿宋" w:hAnsi="仿宋" w:eastAsia="仿宋" w:cs="仿宋"/>
                <w:color w:val="auto"/>
                <w:szCs w:val="21"/>
                <w:highlight w:val="none"/>
                <w:shd w:val="clear" w:color="auto" w:fill="FFFFFF" w:themeFill="background1"/>
                <w:lang w:val="en-US" w:eastAsia="zh-CN"/>
              </w:rPr>
              <w:t>1</w:t>
            </w:r>
            <w:r>
              <w:rPr>
                <w:rFonts w:hint="eastAsia" w:ascii="仿宋" w:hAnsi="仿宋" w:eastAsia="仿宋" w:cs="仿宋"/>
                <w:color w:val="auto"/>
                <w:szCs w:val="21"/>
                <w:highlight w:val="none"/>
                <w:shd w:val="clear" w:color="auto" w:fill="FFFFFF" w:themeFill="background1"/>
              </w:rPr>
              <w:t>分（扣完为止）。</w:t>
            </w:r>
          </w:p>
        </w:tc>
      </w:tr>
      <w:tr w14:paraId="5D641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57" w:type="dxa"/>
            <w:shd w:val="clear" w:color="auto" w:fill="auto"/>
            <w:vAlign w:val="center"/>
          </w:tcPr>
          <w:p w14:paraId="539877E9">
            <w:pPr>
              <w:spacing w:line="36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Cs w:val="21"/>
                <w:highlight w:val="none"/>
              </w:rPr>
              <w:t>7</w:t>
            </w:r>
          </w:p>
        </w:tc>
        <w:tc>
          <w:tcPr>
            <w:tcW w:w="1508" w:type="dxa"/>
            <w:vAlign w:val="center"/>
          </w:tcPr>
          <w:p w14:paraId="0683DC8E">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检</w:t>
            </w:r>
            <w:r>
              <w:rPr>
                <w:rFonts w:hint="eastAsia" w:ascii="仿宋" w:hAnsi="仿宋" w:eastAsia="仿宋" w:cs="仿宋"/>
                <w:color w:val="auto"/>
                <w:szCs w:val="21"/>
                <w:highlight w:val="none"/>
                <w:lang w:eastAsia="zh-CN"/>
              </w:rPr>
              <w:t>后</w:t>
            </w:r>
            <w:r>
              <w:rPr>
                <w:rFonts w:hint="eastAsia" w:ascii="仿宋" w:hAnsi="仿宋" w:eastAsia="仿宋" w:cs="仿宋"/>
                <w:color w:val="auto"/>
                <w:szCs w:val="21"/>
                <w:highlight w:val="none"/>
              </w:rPr>
              <w:t>治疗服务措施</w:t>
            </w:r>
          </w:p>
        </w:tc>
        <w:tc>
          <w:tcPr>
            <w:tcW w:w="850" w:type="dxa"/>
            <w:vAlign w:val="center"/>
          </w:tcPr>
          <w:p w14:paraId="2875451E">
            <w:pPr>
              <w:spacing w:line="360" w:lineRule="auto"/>
              <w:jc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val="en-US" w:eastAsia="zh-CN"/>
              </w:rPr>
              <w:t>8</w:t>
            </w:r>
          </w:p>
        </w:tc>
        <w:tc>
          <w:tcPr>
            <w:tcW w:w="6131" w:type="dxa"/>
            <w:vAlign w:val="center"/>
          </w:tcPr>
          <w:p w14:paraId="17CB0E74">
            <w:pPr>
              <w:ind w:firstLine="210" w:firstLineChars="100"/>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后续治疗服务措施包括但不限于：当体检发现疾病需进一步治疗的提供就医绿色通道①复检方案</w:t>
            </w:r>
            <w:r>
              <w:rPr>
                <w:rFonts w:hint="eastAsia" w:ascii="仿宋" w:hAnsi="仿宋" w:eastAsia="仿宋" w:cs="仿宋"/>
                <w:color w:val="auto"/>
                <w:szCs w:val="21"/>
                <w:highlight w:val="none"/>
                <w:shd w:val="clear" w:color="auto" w:fill="FFFFFF" w:themeFill="background1"/>
                <w:lang w:eastAsia="zh-CN"/>
              </w:rPr>
              <w:t>，</w:t>
            </w:r>
            <w:r>
              <w:rPr>
                <w:rFonts w:hint="eastAsia" w:ascii="仿宋" w:hAnsi="仿宋" w:eastAsia="仿宋" w:cs="仿宋"/>
                <w:color w:val="auto"/>
                <w:szCs w:val="21"/>
                <w:highlight w:val="none"/>
                <w:shd w:val="clear" w:color="auto" w:fill="FFFFFF" w:themeFill="background1"/>
              </w:rPr>
              <w:t>②挂号方案</w:t>
            </w:r>
            <w:r>
              <w:rPr>
                <w:rFonts w:hint="eastAsia" w:ascii="仿宋" w:hAnsi="仿宋" w:eastAsia="仿宋" w:cs="仿宋"/>
                <w:color w:val="auto"/>
                <w:szCs w:val="21"/>
                <w:highlight w:val="none"/>
                <w:shd w:val="clear" w:color="auto" w:fill="FFFFFF" w:themeFill="background1"/>
                <w:lang w:eastAsia="zh-CN"/>
              </w:rPr>
              <w:t>，</w:t>
            </w:r>
            <w:r>
              <w:rPr>
                <w:rFonts w:hint="eastAsia" w:ascii="仿宋" w:hAnsi="仿宋" w:eastAsia="仿宋" w:cs="仿宋"/>
                <w:color w:val="auto"/>
                <w:szCs w:val="21"/>
                <w:highlight w:val="none"/>
                <w:shd w:val="clear" w:color="auto" w:fill="FFFFFF" w:themeFill="background1"/>
              </w:rPr>
              <w:t>③办理住院方案</w:t>
            </w:r>
            <w:r>
              <w:rPr>
                <w:rFonts w:hint="eastAsia" w:ascii="仿宋" w:hAnsi="仿宋" w:eastAsia="仿宋" w:cs="仿宋"/>
                <w:color w:val="auto"/>
                <w:szCs w:val="21"/>
                <w:highlight w:val="none"/>
                <w:shd w:val="clear" w:color="auto" w:fill="FFFFFF" w:themeFill="background1"/>
                <w:lang w:eastAsia="zh-CN"/>
              </w:rPr>
              <w:t>，</w:t>
            </w:r>
            <w:r>
              <w:rPr>
                <w:rFonts w:hint="eastAsia" w:ascii="仿宋" w:hAnsi="仿宋" w:eastAsia="仿宋" w:cs="仿宋"/>
                <w:color w:val="auto"/>
                <w:szCs w:val="21"/>
                <w:highlight w:val="none"/>
                <w:shd w:val="clear" w:color="auto" w:fill="FFFFFF" w:themeFill="background1"/>
              </w:rPr>
              <w:t>④专家会诊方案</w:t>
            </w:r>
            <w:r>
              <w:rPr>
                <w:rFonts w:hint="eastAsia" w:ascii="仿宋" w:hAnsi="仿宋" w:eastAsia="仿宋" w:cs="仿宋"/>
                <w:color w:val="auto"/>
                <w:szCs w:val="21"/>
                <w:highlight w:val="none"/>
                <w:shd w:val="clear" w:color="auto" w:fill="FFFFFF" w:themeFill="background1"/>
                <w:lang w:eastAsia="zh-CN"/>
              </w:rPr>
              <w:t>；</w:t>
            </w:r>
            <w:r>
              <w:rPr>
                <w:rFonts w:hint="eastAsia" w:ascii="仿宋" w:hAnsi="仿宋" w:eastAsia="仿宋" w:cs="仿宋"/>
                <w:color w:val="auto"/>
                <w:szCs w:val="21"/>
                <w:highlight w:val="none"/>
                <w:shd w:val="clear" w:color="auto" w:fill="FFFFFF" w:themeFill="background1"/>
              </w:rPr>
              <w:t>4部分要素。</w:t>
            </w:r>
          </w:p>
          <w:p w14:paraId="4DB98FC9">
            <w:pPr>
              <w:ind w:firstLine="210" w:firstLineChars="100"/>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所有要素齐全且完全满足采购需求得</w:t>
            </w:r>
            <w:r>
              <w:rPr>
                <w:rFonts w:hint="eastAsia" w:ascii="仿宋" w:hAnsi="仿宋" w:eastAsia="仿宋" w:cs="仿宋"/>
                <w:color w:val="auto"/>
                <w:szCs w:val="21"/>
                <w:highlight w:val="none"/>
                <w:shd w:val="clear" w:color="auto" w:fill="FFFFFF" w:themeFill="background1"/>
                <w:lang w:val="en-US" w:eastAsia="zh-CN"/>
              </w:rPr>
              <w:t>8</w:t>
            </w:r>
            <w:r>
              <w:rPr>
                <w:rFonts w:hint="eastAsia" w:ascii="仿宋" w:hAnsi="仿宋" w:eastAsia="仿宋" w:cs="仿宋"/>
                <w:color w:val="auto"/>
                <w:szCs w:val="21"/>
                <w:highlight w:val="none"/>
                <w:shd w:val="clear" w:color="auto" w:fill="FFFFFF" w:themeFill="background1"/>
              </w:rPr>
              <w:t>分，每缺一个要素扣</w:t>
            </w:r>
            <w:r>
              <w:rPr>
                <w:rFonts w:hint="eastAsia" w:ascii="仿宋" w:hAnsi="仿宋" w:eastAsia="仿宋" w:cs="仿宋"/>
                <w:color w:val="auto"/>
                <w:szCs w:val="21"/>
                <w:highlight w:val="none"/>
                <w:shd w:val="clear" w:color="auto" w:fill="FFFFFF" w:themeFill="background1"/>
                <w:lang w:val="en-US" w:eastAsia="zh-CN"/>
              </w:rPr>
              <w:t>2</w:t>
            </w:r>
            <w:r>
              <w:rPr>
                <w:rFonts w:hint="eastAsia" w:ascii="仿宋" w:hAnsi="仿宋" w:eastAsia="仿宋" w:cs="仿宋"/>
                <w:color w:val="auto"/>
                <w:szCs w:val="21"/>
                <w:highlight w:val="none"/>
                <w:shd w:val="clear" w:color="auto" w:fill="FFFFFF" w:themeFill="background1"/>
              </w:rPr>
              <w:t>分，每个要素里每有一处内容缺陷扣</w:t>
            </w:r>
            <w:r>
              <w:rPr>
                <w:rFonts w:hint="eastAsia" w:ascii="仿宋" w:hAnsi="仿宋" w:eastAsia="仿宋" w:cs="仿宋"/>
                <w:color w:val="auto"/>
                <w:szCs w:val="21"/>
                <w:highlight w:val="none"/>
                <w:shd w:val="clear" w:color="auto" w:fill="FFFFFF" w:themeFill="background1"/>
                <w:lang w:val="en-US" w:eastAsia="zh-CN"/>
              </w:rPr>
              <w:t>1</w:t>
            </w:r>
            <w:r>
              <w:rPr>
                <w:rFonts w:hint="eastAsia" w:ascii="仿宋" w:hAnsi="仿宋" w:eastAsia="仿宋" w:cs="仿宋"/>
                <w:color w:val="auto"/>
                <w:szCs w:val="21"/>
                <w:highlight w:val="none"/>
                <w:shd w:val="clear" w:color="auto" w:fill="FFFFFF" w:themeFill="background1"/>
              </w:rPr>
              <w:t>分（扣完为止）。</w:t>
            </w:r>
          </w:p>
        </w:tc>
      </w:tr>
      <w:tr w14:paraId="5CFBB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57" w:type="dxa"/>
            <w:shd w:val="clear" w:color="auto" w:fill="auto"/>
            <w:vAlign w:val="center"/>
          </w:tcPr>
          <w:p w14:paraId="31BB81E8">
            <w:pPr>
              <w:spacing w:line="360" w:lineRule="auto"/>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Cs w:val="21"/>
                <w:highlight w:val="none"/>
                <w:lang w:val="en-US" w:eastAsia="zh-CN"/>
              </w:rPr>
              <w:t>8</w:t>
            </w:r>
          </w:p>
        </w:tc>
        <w:tc>
          <w:tcPr>
            <w:tcW w:w="1508" w:type="dxa"/>
            <w:vAlign w:val="center"/>
          </w:tcPr>
          <w:p w14:paraId="50199EB6">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lang w:eastAsia="zh-CN"/>
              </w:rPr>
              <w:t>体检</w:t>
            </w:r>
            <w:r>
              <w:rPr>
                <w:rFonts w:hint="eastAsia" w:ascii="仿宋" w:hAnsi="仿宋" w:eastAsia="仿宋" w:cs="仿宋"/>
                <w:color w:val="auto"/>
                <w:szCs w:val="21"/>
                <w:highlight w:val="none"/>
              </w:rPr>
              <w:t>售后服务</w:t>
            </w:r>
          </w:p>
        </w:tc>
        <w:tc>
          <w:tcPr>
            <w:tcW w:w="850" w:type="dxa"/>
            <w:vAlign w:val="center"/>
          </w:tcPr>
          <w:p w14:paraId="59713DBE">
            <w:pPr>
              <w:spacing w:line="360" w:lineRule="auto"/>
              <w:jc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val="en-US" w:eastAsia="zh-CN"/>
              </w:rPr>
              <w:t>6</w:t>
            </w:r>
          </w:p>
        </w:tc>
        <w:tc>
          <w:tcPr>
            <w:tcW w:w="6131" w:type="dxa"/>
            <w:vAlign w:val="center"/>
          </w:tcPr>
          <w:p w14:paraId="17678FCC">
            <w:pPr>
              <w:ind w:firstLine="210" w:firstLineChars="100"/>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lang w:eastAsia="zh-CN"/>
              </w:rPr>
              <w:t>体检</w:t>
            </w:r>
            <w:r>
              <w:rPr>
                <w:rFonts w:hint="eastAsia" w:ascii="仿宋" w:hAnsi="仿宋" w:eastAsia="仿宋" w:cs="仿宋"/>
                <w:color w:val="auto"/>
                <w:szCs w:val="21"/>
                <w:highlight w:val="none"/>
                <w:shd w:val="clear" w:color="auto" w:fill="FFFFFF" w:themeFill="background1"/>
              </w:rPr>
              <w:t>售后服务包括但不限于：①检后健康指导、就医建议</w:t>
            </w:r>
            <w:r>
              <w:rPr>
                <w:rFonts w:hint="eastAsia" w:ascii="仿宋" w:hAnsi="仿宋" w:eastAsia="仿宋" w:cs="仿宋"/>
                <w:color w:val="auto"/>
                <w:szCs w:val="21"/>
                <w:highlight w:val="none"/>
                <w:shd w:val="clear" w:color="auto" w:fill="FFFFFF" w:themeFill="background1"/>
                <w:lang w:eastAsia="zh-CN"/>
              </w:rPr>
              <w:t>，</w:t>
            </w:r>
            <w:r>
              <w:rPr>
                <w:rFonts w:hint="eastAsia" w:ascii="仿宋" w:hAnsi="仿宋" w:eastAsia="仿宋" w:cs="仿宋"/>
                <w:color w:val="auto"/>
                <w:szCs w:val="21"/>
                <w:highlight w:val="none"/>
                <w:shd w:val="clear" w:color="auto" w:fill="FFFFFF" w:themeFill="background1"/>
              </w:rPr>
              <w:t>②上门咨询服务方案</w:t>
            </w:r>
            <w:r>
              <w:rPr>
                <w:rFonts w:hint="eastAsia" w:ascii="仿宋" w:hAnsi="仿宋" w:eastAsia="仿宋" w:cs="仿宋"/>
                <w:color w:val="auto"/>
                <w:szCs w:val="21"/>
                <w:highlight w:val="none"/>
                <w:shd w:val="clear" w:color="auto" w:fill="FFFFFF" w:themeFill="background1"/>
                <w:lang w:eastAsia="zh-CN"/>
              </w:rPr>
              <w:t>，</w:t>
            </w:r>
            <w:r>
              <w:rPr>
                <w:rFonts w:hint="eastAsia" w:ascii="仿宋" w:hAnsi="仿宋" w:eastAsia="仿宋" w:cs="仿宋"/>
                <w:color w:val="auto"/>
                <w:szCs w:val="21"/>
                <w:highlight w:val="none"/>
                <w:shd w:val="clear" w:color="auto" w:fill="FFFFFF" w:themeFill="background1"/>
              </w:rPr>
              <w:t>③档案及资料管理;</w:t>
            </w:r>
            <w:r>
              <w:rPr>
                <w:rFonts w:hint="eastAsia" w:ascii="仿宋" w:hAnsi="仿宋" w:eastAsia="仿宋" w:cs="仿宋"/>
                <w:color w:val="auto"/>
                <w:szCs w:val="21"/>
                <w:highlight w:val="none"/>
                <w:shd w:val="clear" w:color="auto" w:fill="FFFFFF" w:themeFill="background1"/>
                <w:lang w:val="en-US" w:eastAsia="zh-CN"/>
              </w:rPr>
              <w:t>3</w:t>
            </w:r>
            <w:r>
              <w:rPr>
                <w:rFonts w:hint="eastAsia" w:ascii="仿宋" w:hAnsi="仿宋" w:eastAsia="仿宋" w:cs="仿宋"/>
                <w:color w:val="auto"/>
                <w:szCs w:val="21"/>
                <w:highlight w:val="none"/>
                <w:shd w:val="clear" w:color="auto" w:fill="FFFFFF" w:themeFill="background1"/>
              </w:rPr>
              <w:t>部分要素。</w:t>
            </w:r>
          </w:p>
          <w:p w14:paraId="664E95FB">
            <w:pPr>
              <w:ind w:firstLine="210" w:firstLineChars="100"/>
              <w:jc w:val="left"/>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所有要素齐全且完全满足采购需求得</w:t>
            </w:r>
            <w:r>
              <w:rPr>
                <w:rFonts w:hint="eastAsia" w:ascii="仿宋" w:hAnsi="仿宋" w:eastAsia="仿宋" w:cs="仿宋"/>
                <w:color w:val="auto"/>
                <w:szCs w:val="21"/>
                <w:highlight w:val="none"/>
                <w:shd w:val="clear" w:color="auto" w:fill="FFFFFF" w:themeFill="background1"/>
                <w:lang w:val="en-US" w:eastAsia="zh-CN"/>
              </w:rPr>
              <w:t>6</w:t>
            </w:r>
            <w:r>
              <w:rPr>
                <w:rFonts w:hint="eastAsia" w:ascii="仿宋" w:hAnsi="仿宋" w:eastAsia="仿宋" w:cs="仿宋"/>
                <w:color w:val="auto"/>
                <w:szCs w:val="21"/>
                <w:highlight w:val="none"/>
                <w:shd w:val="clear" w:color="auto" w:fill="FFFFFF" w:themeFill="background1"/>
              </w:rPr>
              <w:t>分，每缺一个要素扣</w:t>
            </w:r>
            <w:r>
              <w:rPr>
                <w:rFonts w:hint="eastAsia" w:ascii="仿宋" w:hAnsi="仿宋" w:eastAsia="仿宋" w:cs="仿宋"/>
                <w:color w:val="auto"/>
                <w:szCs w:val="21"/>
                <w:highlight w:val="none"/>
                <w:shd w:val="clear" w:color="auto" w:fill="FFFFFF" w:themeFill="background1"/>
                <w:lang w:val="en-US" w:eastAsia="zh-CN"/>
              </w:rPr>
              <w:t>2</w:t>
            </w:r>
            <w:r>
              <w:rPr>
                <w:rFonts w:hint="eastAsia" w:ascii="仿宋" w:hAnsi="仿宋" w:eastAsia="仿宋" w:cs="仿宋"/>
                <w:color w:val="auto"/>
                <w:szCs w:val="21"/>
                <w:highlight w:val="none"/>
                <w:shd w:val="clear" w:color="auto" w:fill="FFFFFF" w:themeFill="background1"/>
              </w:rPr>
              <w:t>分，每个要素里每有一处内容缺陷扣</w:t>
            </w:r>
            <w:r>
              <w:rPr>
                <w:rFonts w:hint="eastAsia" w:ascii="仿宋" w:hAnsi="仿宋" w:eastAsia="仿宋" w:cs="仿宋"/>
                <w:color w:val="auto"/>
                <w:szCs w:val="21"/>
                <w:highlight w:val="none"/>
                <w:shd w:val="clear" w:color="auto" w:fill="FFFFFF" w:themeFill="background1"/>
                <w:lang w:val="en-US" w:eastAsia="zh-CN"/>
              </w:rPr>
              <w:t>1</w:t>
            </w:r>
            <w:r>
              <w:rPr>
                <w:rFonts w:hint="eastAsia" w:ascii="仿宋" w:hAnsi="仿宋" w:eastAsia="仿宋" w:cs="仿宋"/>
                <w:color w:val="auto"/>
                <w:szCs w:val="21"/>
                <w:highlight w:val="none"/>
                <w:shd w:val="clear" w:color="auto" w:fill="FFFFFF" w:themeFill="background1"/>
              </w:rPr>
              <w:t>分（扣完为止）。</w:t>
            </w:r>
          </w:p>
        </w:tc>
      </w:tr>
      <w:tr w14:paraId="7595B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2165" w:type="dxa"/>
            <w:gridSpan w:val="2"/>
            <w:vAlign w:val="center"/>
          </w:tcPr>
          <w:p w14:paraId="397B6875">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合计</w:t>
            </w:r>
          </w:p>
        </w:tc>
        <w:tc>
          <w:tcPr>
            <w:tcW w:w="850" w:type="dxa"/>
            <w:vAlign w:val="center"/>
          </w:tcPr>
          <w:p w14:paraId="60E7E73F">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10</w:t>
            </w:r>
            <w:r>
              <w:rPr>
                <w:rFonts w:hint="eastAsia" w:ascii="仿宋" w:hAnsi="仿宋" w:eastAsia="仿宋" w:cs="仿宋"/>
                <w:color w:val="auto"/>
                <w:szCs w:val="21"/>
                <w:highlight w:val="none"/>
              </w:rPr>
              <w:t>0</w:t>
            </w:r>
          </w:p>
        </w:tc>
        <w:tc>
          <w:tcPr>
            <w:tcW w:w="6131" w:type="dxa"/>
            <w:vAlign w:val="center"/>
          </w:tcPr>
          <w:p w14:paraId="73E04D4E">
            <w:pPr>
              <w:spacing w:line="360" w:lineRule="auto"/>
              <w:jc w:val="left"/>
              <w:rPr>
                <w:rFonts w:hint="eastAsia" w:ascii="仿宋" w:hAnsi="仿宋" w:eastAsia="仿宋" w:cs="仿宋"/>
                <w:color w:val="auto"/>
                <w:szCs w:val="21"/>
                <w:highlight w:val="none"/>
              </w:rPr>
            </w:pPr>
          </w:p>
        </w:tc>
      </w:tr>
      <w:tr w14:paraId="5B8CC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9146" w:type="dxa"/>
            <w:gridSpan w:val="4"/>
            <w:vAlign w:val="center"/>
          </w:tcPr>
          <w:p w14:paraId="5702D9D7">
            <w:pPr>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rPr>
              <w:t>说明：本评审内容中“内容缺陷”是指：①内容与实际情况不匹配、②不符合项目特点、③内容不完整或缺少关键节点、④未按采购需求针对描述、⑤存在描述内容过于简略、⑥缺失不全、⑦前后矛盾、⑧表述不清晰、⑨凭空编造、⑩逻辑混淆错误、⑪涉及的规范及标准错误不可能实现的情形等任意一种情形。</w:t>
            </w:r>
          </w:p>
        </w:tc>
      </w:tr>
    </w:tbl>
    <w:p w14:paraId="70C0B15E">
      <w:pPr>
        <w:widowControl/>
        <w:jc w:val="left"/>
        <w:rPr>
          <w:rFonts w:hint="eastAsia" w:ascii="仿宋" w:hAnsi="仿宋" w:eastAsia="仿宋" w:cs="仿宋"/>
          <w:color w:val="auto"/>
          <w:highlight w:val="none"/>
        </w:rPr>
      </w:pPr>
    </w:p>
    <w:p w14:paraId="5B92F5D4">
      <w:pPr>
        <w:tabs>
          <w:tab w:val="center" w:pos="4832"/>
          <w:tab w:val="left" w:pos="7140"/>
        </w:tabs>
        <w:spacing w:line="360" w:lineRule="auto"/>
        <w:ind w:firstLine="472" w:firstLineChars="196"/>
        <w:jc w:val="left"/>
        <w:outlineLvl w:val="1"/>
        <w:rPr>
          <w:rFonts w:hint="eastAsia" w:ascii="仿宋" w:hAnsi="仿宋" w:eastAsia="仿宋" w:cs="仿宋"/>
          <w:b/>
          <w:color w:val="auto"/>
          <w:sz w:val="24"/>
          <w:szCs w:val="24"/>
          <w:highlight w:val="none"/>
        </w:rPr>
      </w:pPr>
      <w:bookmarkStart w:id="51" w:name="_Toc13566"/>
      <w:bookmarkStart w:id="52" w:name="_Toc115977387"/>
      <w:bookmarkStart w:id="53" w:name="_Toc24870"/>
      <w:bookmarkStart w:id="54" w:name="_Toc12409"/>
      <w:bookmarkStart w:id="55" w:name="_Toc485312286"/>
      <w:r>
        <w:rPr>
          <w:rFonts w:hint="eastAsia" w:ascii="仿宋" w:hAnsi="仿宋" w:eastAsia="仿宋" w:cs="仿宋"/>
          <w:b/>
          <w:color w:val="auto"/>
          <w:sz w:val="24"/>
          <w:szCs w:val="24"/>
          <w:highlight w:val="none"/>
          <w:lang w:val="en-US" w:eastAsia="zh-CN"/>
        </w:rPr>
        <w:t>一、</w:t>
      </w:r>
      <w:r>
        <w:rPr>
          <w:rFonts w:hint="eastAsia" w:ascii="仿宋" w:hAnsi="仿宋" w:eastAsia="仿宋" w:cs="仿宋"/>
          <w:b/>
          <w:color w:val="auto"/>
          <w:sz w:val="24"/>
          <w:szCs w:val="24"/>
          <w:highlight w:val="none"/>
        </w:rPr>
        <w:t>评标方法</w:t>
      </w:r>
      <w:bookmarkEnd w:id="51"/>
      <w:bookmarkEnd w:id="52"/>
      <w:bookmarkEnd w:id="53"/>
      <w:bookmarkEnd w:id="54"/>
    </w:p>
    <w:p w14:paraId="24C3B14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本次评标采用综合评分法。评标委员会对满足招标文件实质性要求的投标文件，按照本节规定的评审标准进行评审。评标中各评委若发生意见分歧，以少数服从多数原则确定。</w:t>
      </w:r>
    </w:p>
    <w:p w14:paraId="74ED9668">
      <w:pPr>
        <w:tabs>
          <w:tab w:val="center" w:pos="4832"/>
          <w:tab w:val="left" w:pos="7140"/>
        </w:tabs>
        <w:spacing w:line="360" w:lineRule="auto"/>
        <w:ind w:firstLine="472" w:firstLineChars="196"/>
        <w:jc w:val="left"/>
        <w:outlineLvl w:val="1"/>
        <w:rPr>
          <w:rFonts w:hint="eastAsia" w:ascii="仿宋" w:hAnsi="仿宋" w:eastAsia="仿宋" w:cs="仿宋"/>
          <w:b/>
          <w:color w:val="auto"/>
          <w:sz w:val="24"/>
          <w:szCs w:val="24"/>
          <w:highlight w:val="none"/>
        </w:rPr>
      </w:pPr>
      <w:bookmarkStart w:id="56" w:name="_Toc115977388"/>
      <w:bookmarkStart w:id="57" w:name="_Toc8393"/>
      <w:bookmarkStart w:id="58" w:name="_Toc2089"/>
      <w:bookmarkStart w:id="59" w:name="_Toc2878"/>
      <w:r>
        <w:rPr>
          <w:rFonts w:hint="eastAsia" w:ascii="仿宋" w:hAnsi="仿宋" w:eastAsia="仿宋" w:cs="仿宋"/>
          <w:b/>
          <w:color w:val="auto"/>
          <w:sz w:val="24"/>
          <w:szCs w:val="24"/>
          <w:highlight w:val="none"/>
          <w:lang w:val="en-US" w:eastAsia="zh-CN"/>
        </w:rPr>
        <w:t>二、</w:t>
      </w:r>
      <w:r>
        <w:rPr>
          <w:rFonts w:hint="eastAsia" w:ascii="仿宋" w:hAnsi="仿宋" w:eastAsia="仿宋" w:cs="仿宋"/>
          <w:b/>
          <w:color w:val="auto"/>
          <w:sz w:val="24"/>
          <w:szCs w:val="24"/>
          <w:highlight w:val="none"/>
        </w:rPr>
        <w:t>评审标准</w:t>
      </w:r>
      <w:bookmarkEnd w:id="56"/>
      <w:bookmarkEnd w:id="57"/>
      <w:bookmarkEnd w:id="58"/>
      <w:bookmarkEnd w:id="59"/>
    </w:p>
    <w:p w14:paraId="4929CCD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2.1资格审查：评审因素和评审标准见《资格审查标准》。</w:t>
      </w:r>
    </w:p>
    <w:p w14:paraId="2093A3A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2.2完备性及符合性审查：评审因素和评审标准见《</w:t>
      </w:r>
      <w:r>
        <w:rPr>
          <w:rFonts w:hint="eastAsia" w:ascii="仿宋" w:hAnsi="仿宋" w:eastAsia="仿宋" w:cs="仿宋"/>
          <w:color w:val="auto"/>
          <w:kern w:val="0"/>
          <w:sz w:val="24"/>
          <w:szCs w:val="24"/>
          <w:highlight w:val="none"/>
          <w:lang w:eastAsia="zh-CN"/>
        </w:rPr>
        <w:t>符合性审查标准</w:t>
      </w:r>
      <w:r>
        <w:rPr>
          <w:rFonts w:hint="eastAsia" w:ascii="仿宋" w:hAnsi="仿宋" w:eastAsia="仿宋" w:cs="仿宋"/>
          <w:color w:val="auto"/>
          <w:kern w:val="0"/>
          <w:sz w:val="24"/>
          <w:szCs w:val="24"/>
          <w:highlight w:val="none"/>
        </w:rPr>
        <w:t>》。</w:t>
      </w:r>
    </w:p>
    <w:p w14:paraId="24F6F71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w:t>
      </w:r>
      <w:r>
        <w:rPr>
          <w:rFonts w:hint="eastAsia" w:ascii="仿宋" w:hAnsi="仿宋" w:eastAsia="仿宋" w:cs="仿宋"/>
          <w:color w:val="auto"/>
          <w:kern w:val="0"/>
          <w:sz w:val="24"/>
          <w:szCs w:val="24"/>
          <w:highlight w:val="none"/>
          <w:lang w:val="en-US" w:eastAsia="zh-CN"/>
        </w:rPr>
        <w:t>3</w:t>
      </w:r>
      <w:r>
        <w:rPr>
          <w:rFonts w:hint="eastAsia" w:ascii="仿宋" w:hAnsi="仿宋" w:eastAsia="仿宋" w:cs="仿宋"/>
          <w:color w:val="auto"/>
          <w:kern w:val="0"/>
          <w:sz w:val="24"/>
          <w:szCs w:val="24"/>
          <w:highlight w:val="none"/>
        </w:rPr>
        <w:t>详细评审：</w:t>
      </w:r>
    </w:p>
    <w:p w14:paraId="0F28705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w:t>
      </w:r>
      <w:r>
        <w:rPr>
          <w:rFonts w:hint="eastAsia" w:ascii="仿宋" w:hAnsi="仿宋" w:eastAsia="仿宋" w:cs="仿宋"/>
          <w:color w:val="auto"/>
          <w:kern w:val="0"/>
          <w:sz w:val="24"/>
          <w:szCs w:val="24"/>
          <w:highlight w:val="none"/>
          <w:lang w:val="en-US" w:eastAsia="zh-CN"/>
        </w:rPr>
        <w:t>3</w:t>
      </w:r>
      <w:r>
        <w:rPr>
          <w:rFonts w:hint="eastAsia" w:ascii="仿宋" w:hAnsi="仿宋" w:eastAsia="仿宋" w:cs="仿宋"/>
          <w:color w:val="auto"/>
          <w:kern w:val="0"/>
          <w:sz w:val="24"/>
          <w:szCs w:val="24"/>
          <w:highlight w:val="none"/>
        </w:rPr>
        <w:t>.1详细评审：评审因素和评审标准见《详细评审标准》及本节第3.</w:t>
      </w:r>
      <w:r>
        <w:rPr>
          <w:rFonts w:hint="eastAsia" w:ascii="仿宋" w:hAnsi="仿宋" w:eastAsia="仿宋" w:cs="仿宋"/>
          <w:color w:val="auto"/>
          <w:kern w:val="0"/>
          <w:sz w:val="24"/>
          <w:szCs w:val="24"/>
          <w:highlight w:val="none"/>
          <w:lang w:val="en-US" w:eastAsia="zh-CN"/>
        </w:rPr>
        <w:t>5</w:t>
      </w:r>
      <w:r>
        <w:rPr>
          <w:rFonts w:hint="eastAsia" w:ascii="仿宋" w:hAnsi="仿宋" w:eastAsia="仿宋" w:cs="仿宋"/>
          <w:color w:val="auto"/>
          <w:kern w:val="0"/>
          <w:sz w:val="24"/>
          <w:szCs w:val="24"/>
          <w:highlight w:val="none"/>
        </w:rPr>
        <w:t>款。</w:t>
      </w:r>
    </w:p>
    <w:p w14:paraId="535121B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w:t>
      </w:r>
      <w:r>
        <w:rPr>
          <w:rFonts w:hint="eastAsia" w:ascii="仿宋" w:hAnsi="仿宋" w:eastAsia="仿宋" w:cs="仿宋"/>
          <w:color w:val="auto"/>
          <w:kern w:val="0"/>
          <w:sz w:val="24"/>
          <w:szCs w:val="24"/>
          <w:highlight w:val="none"/>
          <w:lang w:val="en-US" w:eastAsia="zh-CN"/>
        </w:rPr>
        <w:t>3</w:t>
      </w:r>
      <w:r>
        <w:rPr>
          <w:rFonts w:hint="eastAsia" w:ascii="仿宋" w:hAnsi="仿宋" w:eastAsia="仿宋" w:cs="仿宋"/>
          <w:color w:val="auto"/>
          <w:kern w:val="0"/>
          <w:sz w:val="24"/>
          <w:szCs w:val="24"/>
          <w:highlight w:val="none"/>
        </w:rPr>
        <w:t>.2 投标报价评分标准：</w:t>
      </w:r>
    </w:p>
    <w:p w14:paraId="6B114AA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（1）分值构成：见评标办法前附表。</w:t>
      </w:r>
    </w:p>
    <w:p w14:paraId="29F75588">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（2）评标基准价的确定：见评标办法前附表。</w:t>
      </w:r>
    </w:p>
    <w:p w14:paraId="341F5AA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（3）投标报价得分的计算：见评标办法前附表。</w:t>
      </w:r>
    </w:p>
    <w:p w14:paraId="5CB25F03">
      <w:pPr>
        <w:tabs>
          <w:tab w:val="center" w:pos="4832"/>
          <w:tab w:val="left" w:pos="7140"/>
        </w:tabs>
        <w:spacing w:line="360" w:lineRule="auto"/>
        <w:ind w:firstLine="472" w:firstLineChars="196"/>
        <w:jc w:val="left"/>
        <w:outlineLvl w:val="1"/>
        <w:rPr>
          <w:rFonts w:hint="eastAsia" w:ascii="仿宋" w:hAnsi="仿宋" w:eastAsia="仿宋" w:cs="仿宋"/>
          <w:b/>
          <w:color w:val="auto"/>
          <w:sz w:val="24"/>
          <w:szCs w:val="24"/>
          <w:highlight w:val="none"/>
        </w:rPr>
      </w:pPr>
      <w:bookmarkStart w:id="60" w:name="_Toc17839"/>
      <w:bookmarkStart w:id="61" w:name="_Toc115977389"/>
      <w:bookmarkStart w:id="62" w:name="_Toc9713"/>
      <w:bookmarkStart w:id="63" w:name="_Toc24086"/>
      <w:r>
        <w:rPr>
          <w:rFonts w:hint="eastAsia" w:ascii="仿宋" w:hAnsi="仿宋" w:eastAsia="仿宋" w:cs="仿宋"/>
          <w:b/>
          <w:color w:val="auto"/>
          <w:sz w:val="24"/>
          <w:szCs w:val="24"/>
          <w:highlight w:val="none"/>
          <w:lang w:val="en-US" w:eastAsia="zh-CN"/>
        </w:rPr>
        <w:t>三、</w:t>
      </w:r>
      <w:r>
        <w:rPr>
          <w:rFonts w:hint="eastAsia" w:ascii="仿宋" w:hAnsi="仿宋" w:eastAsia="仿宋" w:cs="仿宋"/>
          <w:b/>
          <w:color w:val="auto"/>
          <w:sz w:val="24"/>
          <w:szCs w:val="24"/>
          <w:highlight w:val="none"/>
        </w:rPr>
        <w:t>评标程序</w:t>
      </w:r>
      <w:bookmarkEnd w:id="60"/>
      <w:bookmarkEnd w:id="61"/>
      <w:bookmarkEnd w:id="62"/>
      <w:bookmarkEnd w:id="63"/>
    </w:p>
    <w:p w14:paraId="447AFAF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3.1 基本程序</w:t>
      </w:r>
    </w:p>
    <w:p w14:paraId="5362D28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评标活动将按以下步骤进行：</w:t>
      </w:r>
    </w:p>
    <w:p w14:paraId="3A67BCD7">
      <w:pPr>
        <w:pStyle w:val="201"/>
        <w:widowControl/>
        <w:numPr>
          <w:ilvl w:val="0"/>
          <w:numId w:val="2"/>
        </w:numPr>
        <w:shd w:val="clear" w:color="auto" w:fill="FFFFFF"/>
        <w:snapToGrid w:val="0"/>
        <w:spacing w:line="360" w:lineRule="auto"/>
        <w:ind w:firstLineChars="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评标准备</w:t>
      </w:r>
    </w:p>
    <w:p w14:paraId="6BA0BE9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 资格审查</w:t>
      </w:r>
    </w:p>
    <w:p w14:paraId="5A31824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 完备性及符合性审查</w:t>
      </w:r>
    </w:p>
    <w:p w14:paraId="0241FC1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val="en-US" w:eastAsia="zh-CN"/>
        </w:rPr>
        <w:t>4</w:t>
      </w:r>
      <w:r>
        <w:rPr>
          <w:rFonts w:hint="eastAsia" w:ascii="仿宋" w:hAnsi="仿宋" w:eastAsia="仿宋" w:cs="仿宋"/>
          <w:color w:val="auto"/>
          <w:kern w:val="0"/>
          <w:sz w:val="24"/>
          <w:szCs w:val="24"/>
          <w:highlight w:val="none"/>
        </w:rPr>
        <w:t>） 详细评审</w:t>
      </w:r>
    </w:p>
    <w:p w14:paraId="7D3E886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val="en-US" w:eastAsia="zh-CN"/>
        </w:rPr>
        <w:t>5</w:t>
      </w:r>
      <w:r>
        <w:rPr>
          <w:rFonts w:hint="eastAsia" w:ascii="仿宋" w:hAnsi="仿宋" w:eastAsia="仿宋" w:cs="仿宋"/>
          <w:color w:val="auto"/>
          <w:kern w:val="0"/>
          <w:sz w:val="24"/>
          <w:szCs w:val="24"/>
          <w:highlight w:val="none"/>
        </w:rPr>
        <w:t>） 澄清、说明或补正</w:t>
      </w:r>
    </w:p>
    <w:p w14:paraId="53E3023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val="en-US" w:eastAsia="zh-CN"/>
        </w:rPr>
        <w:t>6</w:t>
      </w:r>
      <w:r>
        <w:rPr>
          <w:rFonts w:hint="eastAsia" w:ascii="仿宋" w:hAnsi="仿宋" w:eastAsia="仿宋" w:cs="仿宋"/>
          <w:color w:val="auto"/>
          <w:kern w:val="0"/>
          <w:sz w:val="24"/>
          <w:szCs w:val="24"/>
          <w:highlight w:val="none"/>
        </w:rPr>
        <w:t>） 推荐中标候选人及提交评标报告</w:t>
      </w:r>
    </w:p>
    <w:p w14:paraId="11FF278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 评标准备</w:t>
      </w:r>
    </w:p>
    <w:p w14:paraId="708669C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3.2.1评标委员会成员签到</w:t>
      </w:r>
    </w:p>
    <w:p w14:paraId="119E885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评标委员会成员到达评标现场时应当在签到表上签到以证明其出席。</w:t>
      </w:r>
    </w:p>
    <w:p w14:paraId="406260B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3.2.2 评标委员会的分工</w:t>
      </w:r>
    </w:p>
    <w:p w14:paraId="05A69ED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3.2.2.1评标委员会首先推选一名评标委员会主任。评标委员会主任负责评标活动的组织领导工作。评标委员会主任与评标委员会其它成员具有同等的评标权力。</w:t>
      </w:r>
    </w:p>
    <w:p w14:paraId="4BEAE9C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3.2.2.2 评标委员会主任除履行自己作为评标委员会成员独立评标的职责外，主要负责以下工作：</w:t>
      </w:r>
    </w:p>
    <w:p w14:paraId="2F0FCF6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（1）组织评标委员会成员学习招标文件；</w:t>
      </w:r>
    </w:p>
    <w:p w14:paraId="5CEFBBE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（2）汇总各评标委员会成员认为需要投标人澄清、说明或者补正的问题；</w:t>
      </w:r>
    </w:p>
    <w:p w14:paraId="62B2E19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（3）组织评标委员会对投标人质询并对投标人的答复进行评审；</w:t>
      </w:r>
    </w:p>
    <w:p w14:paraId="4001FFA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（4）对出现较大争议的事项进行书面记录；</w:t>
      </w:r>
    </w:p>
    <w:p w14:paraId="4374550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（5）组织收回评标过程中使用的文件、表格和评标记录以及其它资料，并查验评标记录的完整性及有效性；</w:t>
      </w:r>
    </w:p>
    <w:p w14:paraId="097BA21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（6）组织对评标结论进行复核确认；</w:t>
      </w:r>
    </w:p>
    <w:p w14:paraId="1281F85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（7）组织编写评标报告。</w:t>
      </w:r>
    </w:p>
    <w:p w14:paraId="6F5CE92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3.2.3 熟悉文件资料</w:t>
      </w:r>
    </w:p>
    <w:p w14:paraId="0B4B60C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3.2.3.1 评标委员会主任应当组织评标委员会成员认真研究招标文件，了解和熟悉招标目的、招标范围、</w:t>
      </w:r>
      <w:r>
        <w:rPr>
          <w:rFonts w:hint="eastAsia" w:ascii="仿宋" w:hAnsi="仿宋" w:eastAsia="仿宋" w:cs="仿宋"/>
          <w:color w:val="auto"/>
          <w:kern w:val="0"/>
          <w:sz w:val="24"/>
          <w:szCs w:val="24"/>
          <w:highlight w:val="none"/>
          <w:lang w:eastAsia="zh-CN"/>
        </w:rPr>
        <w:t>服务标准和要求</w:t>
      </w:r>
      <w:r>
        <w:rPr>
          <w:rFonts w:hint="eastAsia" w:ascii="仿宋" w:hAnsi="仿宋" w:eastAsia="仿宋" w:cs="仿宋"/>
          <w:color w:val="auto"/>
          <w:kern w:val="0"/>
          <w:sz w:val="24"/>
          <w:szCs w:val="24"/>
          <w:highlight w:val="none"/>
        </w:rPr>
        <w:t>，掌握评标标准和方法。</w:t>
      </w:r>
    </w:p>
    <w:p w14:paraId="6792C96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3.2.3.2 采购人或采购代理机构应当向评标委员会提供评标所需的信息和数据，包括：</w:t>
      </w:r>
    </w:p>
    <w:p w14:paraId="484EED9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（1）招标文件及其澄清修改等招标文件补充；</w:t>
      </w:r>
    </w:p>
    <w:p w14:paraId="537CCC0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（2）未在开标会上当场拒绝的各投标文件；</w:t>
      </w:r>
    </w:p>
    <w:p w14:paraId="4F72916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（3）开标会记录；</w:t>
      </w:r>
    </w:p>
    <w:p w14:paraId="36D69D5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（4）评标表格；</w:t>
      </w:r>
    </w:p>
    <w:p w14:paraId="2C7EFB7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（5）其它信息和数据。</w:t>
      </w:r>
    </w:p>
    <w:p w14:paraId="4FCF8E5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3.3资格审查</w:t>
      </w:r>
    </w:p>
    <w:p w14:paraId="4FE7FF7D">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采购人依据本章规定的评审因素和审查标准，对投标人的资格审查资料进行资格审查。资格审查有一项未通过审查标准，采购人将认定整个投标文件不响应招标文件而否决其投标，并且不允许投标人通过修改或撤销其不符合要求的差异或保留，使之成为具有响应性的投标。</w:t>
      </w:r>
    </w:p>
    <w:p w14:paraId="6B0495A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3.4完备性及符合性审查</w:t>
      </w:r>
    </w:p>
    <w:p w14:paraId="189B2A8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3.4.1 评标委员依据本章规定的评审因素和评审标准，对投标人的投标文件进行完备性及符合性审查。完备性及符合性审查有一项未通过评审标准，评标委员会将认定整个投标文件不响应招标文件而否决其投标，并且不允许投标人通过修改或撤销其不符合要求的差异或保留，使之成为具有响应性的投标。</w:t>
      </w:r>
    </w:p>
    <w:p w14:paraId="4666FF1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3.4.2 完备性及符合性审查条款是指对本招标项目产生了重大影响的重大偏差，而且纠正此类偏差将会对响应本次招标的其它投标人的竞争地位产生不公正的影响。</w:t>
      </w:r>
    </w:p>
    <w:p w14:paraId="53764BB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3.4.3细微偏差是指投标文件在实质上响应招标文件要求，但在个别地方存在疏漏或者提供了不完整的技术信息和数据等情况，并且补正这些遗漏和不完整不会对其它投标人造成不公平的结果。细微偏差不影响投标文件的有效性，评标委员会可要求存在细微偏差的投标人予以补正。</w:t>
      </w:r>
    </w:p>
    <w:p w14:paraId="473235B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3.4.4政府采购评审中出现下列情形之一的，评审委员会应当启动异常低价投标（响应）审查程序：</w:t>
      </w:r>
    </w:p>
    <w:p w14:paraId="0345399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1</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.投标（响应）报价低于全部通过符合性审查</w:t>
      </w:r>
      <w:r>
        <w:rPr>
          <w:rFonts w:hint="eastAsia" w:ascii="仿宋" w:hAnsi="仿宋" w:eastAsia="仿宋" w:cs="仿宋"/>
          <w:color w:val="auto"/>
          <w:kern w:val="0"/>
          <w:sz w:val="24"/>
          <w:szCs w:val="24"/>
          <w:highlight w:val="none"/>
          <w:lang w:eastAsia="zh-CN"/>
        </w:rPr>
        <w:t>投标人</w:t>
      </w:r>
      <w:r>
        <w:rPr>
          <w:rFonts w:hint="eastAsia" w:ascii="仿宋" w:hAnsi="仿宋" w:eastAsia="仿宋" w:cs="仿宋"/>
          <w:color w:val="auto"/>
          <w:kern w:val="0"/>
          <w:sz w:val="24"/>
          <w:szCs w:val="24"/>
          <w:highlight w:val="none"/>
        </w:rPr>
        <w:t>投标（响应）报价平均值50%的，即投标（响应）报价&lt;全部通过符合性审查</w:t>
      </w:r>
      <w:r>
        <w:rPr>
          <w:rFonts w:hint="eastAsia" w:ascii="仿宋" w:hAnsi="仿宋" w:eastAsia="仿宋" w:cs="仿宋"/>
          <w:color w:val="auto"/>
          <w:kern w:val="0"/>
          <w:sz w:val="24"/>
          <w:szCs w:val="24"/>
          <w:highlight w:val="none"/>
          <w:lang w:eastAsia="zh-CN"/>
        </w:rPr>
        <w:t>投标人</w:t>
      </w:r>
      <w:r>
        <w:rPr>
          <w:rFonts w:hint="eastAsia" w:ascii="仿宋" w:hAnsi="仿宋" w:eastAsia="仿宋" w:cs="仿宋"/>
          <w:color w:val="auto"/>
          <w:kern w:val="0"/>
          <w:sz w:val="24"/>
          <w:szCs w:val="24"/>
          <w:highlight w:val="none"/>
        </w:rPr>
        <w:t>投标（响应）报价平均值×50%；</w:t>
      </w:r>
    </w:p>
    <w:p w14:paraId="5D6F6BE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2</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.投标（响应）报价低于通过符合性审查的次低报价</w:t>
      </w:r>
      <w:r>
        <w:rPr>
          <w:rFonts w:hint="eastAsia" w:ascii="仿宋" w:hAnsi="仿宋" w:eastAsia="仿宋" w:cs="仿宋"/>
          <w:color w:val="auto"/>
          <w:kern w:val="0"/>
          <w:sz w:val="24"/>
          <w:szCs w:val="24"/>
          <w:highlight w:val="none"/>
          <w:lang w:eastAsia="zh-CN"/>
        </w:rPr>
        <w:t>投标人</w:t>
      </w:r>
      <w:r>
        <w:rPr>
          <w:rFonts w:hint="eastAsia" w:ascii="仿宋" w:hAnsi="仿宋" w:eastAsia="仿宋" w:cs="仿宋"/>
          <w:color w:val="auto"/>
          <w:kern w:val="0"/>
          <w:sz w:val="24"/>
          <w:szCs w:val="24"/>
          <w:highlight w:val="none"/>
        </w:rPr>
        <w:t>投标（响应）报价50%的，即投标（响应）报价&lt;通过符合性审查的次低报价</w:t>
      </w:r>
      <w:r>
        <w:rPr>
          <w:rFonts w:hint="eastAsia" w:ascii="仿宋" w:hAnsi="仿宋" w:eastAsia="仿宋" w:cs="仿宋"/>
          <w:color w:val="auto"/>
          <w:kern w:val="0"/>
          <w:sz w:val="24"/>
          <w:szCs w:val="24"/>
          <w:highlight w:val="none"/>
          <w:lang w:eastAsia="zh-CN"/>
        </w:rPr>
        <w:t>投标人</w:t>
      </w:r>
      <w:r>
        <w:rPr>
          <w:rFonts w:hint="eastAsia" w:ascii="仿宋" w:hAnsi="仿宋" w:eastAsia="仿宋" w:cs="仿宋"/>
          <w:color w:val="auto"/>
          <w:kern w:val="0"/>
          <w:sz w:val="24"/>
          <w:szCs w:val="24"/>
          <w:highlight w:val="none"/>
        </w:rPr>
        <w:t>投标（响应）报价×50%；</w:t>
      </w:r>
    </w:p>
    <w:p w14:paraId="2B4B5BF8">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3</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.投标（响应）报价低于采购项目最高限价45%的，即投标（响应）报价&lt;采购项目最高限价×45%；</w:t>
      </w:r>
    </w:p>
    <w:p w14:paraId="4A7A083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4</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.评审委员会基于专业判断，认为</w:t>
      </w:r>
      <w:r>
        <w:rPr>
          <w:rFonts w:hint="eastAsia" w:ascii="仿宋" w:hAnsi="仿宋" w:eastAsia="仿宋" w:cs="仿宋"/>
          <w:color w:val="auto"/>
          <w:kern w:val="0"/>
          <w:sz w:val="24"/>
          <w:szCs w:val="24"/>
          <w:highlight w:val="none"/>
          <w:lang w:eastAsia="zh-CN"/>
        </w:rPr>
        <w:t>投标人</w:t>
      </w:r>
      <w:r>
        <w:rPr>
          <w:rFonts w:hint="eastAsia" w:ascii="仿宋" w:hAnsi="仿宋" w:eastAsia="仿宋" w:cs="仿宋"/>
          <w:color w:val="auto"/>
          <w:kern w:val="0"/>
          <w:sz w:val="24"/>
          <w:szCs w:val="24"/>
          <w:highlight w:val="none"/>
        </w:rPr>
        <w:t>报价过低，有可能影响产品质量或者不能诚信履约的其他情形。</w:t>
      </w:r>
    </w:p>
    <w:p w14:paraId="5BA4D56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3.4.5评审委员会启动异常低价投标（响应）审查后，属于前述第1项至第4项情形的，应当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一般不少于30分钟。其中，属于第3项情形，投标人已随投标（响应）文件一并提交相关书面说明及必要的证明材料的，在评审现场可不再重复提交。</w:t>
      </w:r>
    </w:p>
    <w:p w14:paraId="362F009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3.4.6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p>
    <w:p w14:paraId="2D9017E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w:t>
      </w:r>
      <w:r>
        <w:rPr>
          <w:rFonts w:hint="eastAsia" w:ascii="仿宋" w:hAnsi="仿宋" w:eastAsia="仿宋" w:cs="仿宋"/>
          <w:color w:val="auto"/>
          <w:kern w:val="0"/>
          <w:sz w:val="24"/>
          <w:szCs w:val="24"/>
          <w:highlight w:val="none"/>
          <w:lang w:val="en-US" w:eastAsia="zh-CN"/>
        </w:rPr>
        <w:t>5</w:t>
      </w:r>
      <w:r>
        <w:rPr>
          <w:rFonts w:hint="eastAsia" w:ascii="仿宋" w:hAnsi="仿宋" w:eastAsia="仿宋" w:cs="仿宋"/>
          <w:color w:val="auto"/>
          <w:kern w:val="0"/>
          <w:sz w:val="24"/>
          <w:szCs w:val="24"/>
          <w:highlight w:val="none"/>
        </w:rPr>
        <w:t>详细评审</w:t>
      </w:r>
    </w:p>
    <w:p w14:paraId="498A022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w:t>
      </w:r>
      <w:r>
        <w:rPr>
          <w:rFonts w:hint="eastAsia" w:ascii="仿宋" w:hAnsi="仿宋" w:eastAsia="仿宋" w:cs="仿宋"/>
          <w:color w:val="auto"/>
          <w:kern w:val="0"/>
          <w:sz w:val="24"/>
          <w:szCs w:val="24"/>
          <w:highlight w:val="none"/>
          <w:lang w:val="en-US" w:eastAsia="zh-CN"/>
        </w:rPr>
        <w:t>5</w:t>
      </w:r>
      <w:r>
        <w:rPr>
          <w:rFonts w:hint="eastAsia" w:ascii="仿宋" w:hAnsi="仿宋" w:eastAsia="仿宋" w:cs="仿宋"/>
          <w:color w:val="auto"/>
          <w:kern w:val="0"/>
          <w:sz w:val="24"/>
          <w:szCs w:val="24"/>
          <w:highlight w:val="none"/>
        </w:rPr>
        <w:t>.1.只有通过了资格审查、完备性及符合性审查</w:t>
      </w:r>
      <w:r>
        <w:rPr>
          <w:rFonts w:hint="eastAsia" w:ascii="仿宋" w:hAnsi="仿宋" w:eastAsia="仿宋" w:cs="仿宋"/>
          <w:color w:val="auto"/>
          <w:kern w:val="0"/>
          <w:sz w:val="24"/>
          <w:szCs w:val="24"/>
          <w:highlight w:val="none"/>
          <w:lang w:val="en-US" w:eastAsia="zh-CN"/>
        </w:rPr>
        <w:t>的投标人</w:t>
      </w:r>
      <w:r>
        <w:rPr>
          <w:rFonts w:hint="eastAsia" w:ascii="仿宋" w:hAnsi="仿宋" w:eastAsia="仿宋" w:cs="仿宋"/>
          <w:color w:val="auto"/>
          <w:kern w:val="0"/>
          <w:sz w:val="24"/>
          <w:szCs w:val="24"/>
          <w:highlight w:val="none"/>
        </w:rPr>
        <w:t>不少于3个方可进入详细评审。</w:t>
      </w:r>
    </w:p>
    <w:p w14:paraId="1F27C62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3.5</w:t>
      </w:r>
      <w:r>
        <w:rPr>
          <w:rFonts w:hint="eastAsia" w:ascii="仿宋" w:hAnsi="仿宋" w:eastAsia="仿宋" w:cs="仿宋"/>
          <w:color w:val="auto"/>
          <w:kern w:val="0"/>
          <w:sz w:val="24"/>
          <w:szCs w:val="24"/>
          <w:highlight w:val="none"/>
        </w:rPr>
        <w:t>.2 澄清、说明和补正</w:t>
      </w:r>
    </w:p>
    <w:p w14:paraId="6811C20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3.5</w:t>
      </w:r>
      <w:r>
        <w:rPr>
          <w:rFonts w:hint="eastAsia" w:ascii="仿宋" w:hAnsi="仿宋" w:eastAsia="仿宋" w:cs="仿宋"/>
          <w:color w:val="auto"/>
          <w:kern w:val="0"/>
          <w:sz w:val="24"/>
          <w:szCs w:val="24"/>
          <w:highlight w:val="none"/>
        </w:rPr>
        <w:t>.2.1在不改变投标人投标文件实质性内容的前提下，评标委员会应当对投标文件进行基础性数据分析和整理，从而发现并提取其中可能存在的对招标范围理解的偏差、技术响应偏离、投标价格的算术性错误、错漏项、投标价格构成不合理、不平衡报价等存在明显异常的问题。</w:t>
      </w:r>
    </w:p>
    <w:p w14:paraId="027940C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3.5</w:t>
      </w:r>
      <w:r>
        <w:rPr>
          <w:rFonts w:hint="eastAsia" w:ascii="仿宋" w:hAnsi="仿宋" w:eastAsia="仿宋" w:cs="仿宋"/>
          <w:color w:val="auto"/>
          <w:kern w:val="0"/>
          <w:sz w:val="24"/>
          <w:szCs w:val="24"/>
          <w:highlight w:val="none"/>
        </w:rPr>
        <w:t>.2.2澄清、说明和补正内容不得改变投标文件的实质性内容（算术性错误修正的除外）。投标人的书面澄清、说明和补正属于投标文件的组成部分。</w:t>
      </w:r>
    </w:p>
    <w:p w14:paraId="70432F15">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3.5</w:t>
      </w:r>
      <w:r>
        <w:rPr>
          <w:rFonts w:hint="eastAsia" w:ascii="仿宋" w:hAnsi="仿宋" w:eastAsia="仿宋" w:cs="仿宋"/>
          <w:color w:val="auto"/>
          <w:kern w:val="0"/>
          <w:sz w:val="24"/>
          <w:szCs w:val="24"/>
          <w:highlight w:val="none"/>
        </w:rPr>
        <w:t>.2.3评标委员会针对需要投标人对所提交投标文件中不明确的内容进行书面澄清、说明或补正。澄清通知不得向投标人提出带有暗示性或诱导性问题，或向其明确投标文件中的遗漏和错误。投标人接到评标委员会发出的书面澄清通知后，应按评标委员会的要求提供书面澄清资料，并在规定的时间递交到指定地点。评标委员会不接受投标人主动提出的澄清、说明或补正。</w:t>
      </w:r>
    </w:p>
    <w:p w14:paraId="77612AA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3.5</w:t>
      </w:r>
      <w:r>
        <w:rPr>
          <w:rFonts w:hint="eastAsia" w:ascii="仿宋" w:hAnsi="仿宋" w:eastAsia="仿宋" w:cs="仿宋"/>
          <w:color w:val="auto"/>
          <w:kern w:val="0"/>
          <w:sz w:val="24"/>
          <w:szCs w:val="24"/>
          <w:highlight w:val="none"/>
        </w:rPr>
        <w:t>.2.4评标委员会对投标人提交的澄清、说明或补正有疑问的，可以要求投标人进一步澄清、说明或补正，直至满足评标委员会的要求。</w:t>
      </w:r>
    </w:p>
    <w:p w14:paraId="7B10DE96">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3.5</w:t>
      </w:r>
      <w:r>
        <w:rPr>
          <w:rFonts w:hint="eastAsia" w:ascii="仿宋" w:hAnsi="仿宋" w:eastAsia="仿宋" w:cs="仿宋"/>
          <w:color w:val="auto"/>
          <w:kern w:val="0"/>
          <w:sz w:val="24"/>
          <w:szCs w:val="24"/>
          <w:highlight w:val="none"/>
        </w:rPr>
        <w:t>.3评委评分：评委按照《详细评审标准》评分，投标人详细评审得分等于全部评委评分的算术平均值。</w:t>
      </w:r>
    </w:p>
    <w:p w14:paraId="61EBCAB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3.5</w:t>
      </w:r>
      <w:r>
        <w:rPr>
          <w:rFonts w:hint="eastAsia" w:ascii="仿宋" w:hAnsi="仿宋" w:eastAsia="仿宋" w:cs="仿宋"/>
          <w:color w:val="auto"/>
          <w:kern w:val="0"/>
          <w:sz w:val="24"/>
          <w:szCs w:val="24"/>
          <w:highlight w:val="none"/>
        </w:rPr>
        <w:t>.4 算术错误修正：投标价格有算术错误或前后不一致的，评标委员会按以下原则对投标价格进行修正：</w:t>
      </w:r>
    </w:p>
    <w:p w14:paraId="025CDAE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r>
        <w:rPr>
          <w:rFonts w:hint="eastAsia" w:ascii="仿宋" w:hAnsi="仿宋" w:eastAsia="仿宋" w:cs="仿宋"/>
          <w:color w:val="auto"/>
          <w:kern w:val="0"/>
          <w:sz w:val="24"/>
          <w:szCs w:val="24"/>
          <w:highlight w:val="none"/>
          <w:lang w:val="en-US" w:eastAsia="zh-CN"/>
        </w:rPr>
        <w:t>电子交易平台中报价与</w:t>
      </w:r>
      <w:r>
        <w:rPr>
          <w:rFonts w:hint="eastAsia" w:ascii="仿宋" w:hAnsi="仿宋" w:eastAsia="仿宋" w:cs="仿宋"/>
          <w:color w:val="auto"/>
          <w:kern w:val="0"/>
          <w:sz w:val="24"/>
          <w:szCs w:val="24"/>
          <w:highlight w:val="none"/>
        </w:rPr>
        <w:t>投标文件相应内容不一致的，以投标文件为准；</w:t>
      </w:r>
    </w:p>
    <w:p w14:paraId="36AF96C8">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w:t>
      </w:r>
      <w:r>
        <w:rPr>
          <w:rFonts w:hint="eastAsia" w:ascii="仿宋" w:hAnsi="仿宋" w:eastAsia="仿宋" w:cs="仿宋"/>
          <w:color w:val="auto"/>
          <w:kern w:val="0"/>
          <w:sz w:val="24"/>
          <w:szCs w:val="24"/>
          <w:highlight w:val="none"/>
          <w:lang w:eastAsia="zh-CN"/>
        </w:rPr>
        <w:t>开标一览表</w:t>
      </w:r>
      <w:r>
        <w:rPr>
          <w:rFonts w:hint="eastAsia" w:ascii="仿宋" w:hAnsi="仿宋" w:eastAsia="仿宋" w:cs="仿宋"/>
          <w:color w:val="auto"/>
          <w:kern w:val="0"/>
          <w:sz w:val="24"/>
          <w:szCs w:val="24"/>
          <w:highlight w:val="none"/>
        </w:rPr>
        <w:t>与投标文件中相应内容不一致的，以</w:t>
      </w:r>
      <w:r>
        <w:rPr>
          <w:rFonts w:hint="eastAsia" w:ascii="仿宋" w:hAnsi="仿宋" w:eastAsia="仿宋" w:cs="仿宋"/>
          <w:color w:val="auto"/>
          <w:kern w:val="0"/>
          <w:sz w:val="24"/>
          <w:szCs w:val="24"/>
          <w:highlight w:val="none"/>
          <w:lang w:eastAsia="zh-CN"/>
        </w:rPr>
        <w:t>开标一览表</w:t>
      </w:r>
      <w:r>
        <w:rPr>
          <w:rFonts w:hint="eastAsia" w:ascii="仿宋" w:hAnsi="仿宋" w:eastAsia="仿宋" w:cs="仿宋"/>
          <w:color w:val="auto"/>
          <w:kern w:val="0"/>
          <w:sz w:val="24"/>
          <w:szCs w:val="24"/>
          <w:highlight w:val="none"/>
        </w:rPr>
        <w:t>为准；</w:t>
      </w:r>
    </w:p>
    <w:p w14:paraId="3872DFB8">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（3）大写金额和小写金额不一致的，以大写金额为准；</w:t>
      </w:r>
    </w:p>
    <w:p w14:paraId="1014B342">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val="en-US" w:eastAsia="zh-CN"/>
        </w:rPr>
        <w:t>4</w:t>
      </w:r>
      <w:r>
        <w:rPr>
          <w:rFonts w:hint="eastAsia" w:ascii="仿宋" w:hAnsi="仿宋" w:eastAsia="仿宋" w:cs="仿宋"/>
          <w:color w:val="auto"/>
          <w:kern w:val="0"/>
          <w:sz w:val="24"/>
          <w:szCs w:val="24"/>
          <w:highlight w:val="none"/>
        </w:rPr>
        <w:t>）单价金额小数点或者百分比有明显错位的，以</w:t>
      </w:r>
      <w:r>
        <w:rPr>
          <w:rFonts w:hint="eastAsia" w:ascii="仿宋" w:hAnsi="仿宋" w:eastAsia="仿宋" w:cs="仿宋"/>
          <w:color w:val="auto"/>
          <w:kern w:val="0"/>
          <w:sz w:val="24"/>
          <w:szCs w:val="24"/>
          <w:highlight w:val="none"/>
          <w:lang w:eastAsia="zh-CN"/>
        </w:rPr>
        <w:t>开标一览表</w:t>
      </w:r>
      <w:r>
        <w:rPr>
          <w:rFonts w:hint="eastAsia" w:ascii="仿宋" w:hAnsi="仿宋" w:eastAsia="仿宋" w:cs="仿宋"/>
          <w:color w:val="auto"/>
          <w:kern w:val="0"/>
          <w:sz w:val="24"/>
          <w:szCs w:val="24"/>
          <w:highlight w:val="none"/>
        </w:rPr>
        <w:t>的总价为准，并修改单价；</w:t>
      </w:r>
    </w:p>
    <w:p w14:paraId="50D3BBD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val="en-US" w:eastAsia="zh-CN"/>
        </w:rPr>
        <w:t>5</w:t>
      </w:r>
      <w:r>
        <w:rPr>
          <w:rFonts w:hint="eastAsia" w:ascii="仿宋" w:hAnsi="仿宋" w:eastAsia="仿宋" w:cs="仿宋"/>
          <w:color w:val="auto"/>
          <w:kern w:val="0"/>
          <w:sz w:val="24"/>
          <w:szCs w:val="24"/>
          <w:highlight w:val="none"/>
        </w:rPr>
        <w:t>）总价金额与按单价汇总金额不一致的，以单价金额计算结果为准。</w:t>
      </w:r>
    </w:p>
    <w:p w14:paraId="409AF39B">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同时出现两种以上不一致的，按照</w:t>
      </w:r>
      <w:r>
        <w:rPr>
          <w:rFonts w:hint="eastAsia" w:ascii="仿宋" w:hAnsi="仿宋" w:eastAsia="仿宋" w:cs="仿宋"/>
          <w:color w:val="auto"/>
          <w:kern w:val="0"/>
          <w:sz w:val="24"/>
          <w:szCs w:val="24"/>
          <w:highlight w:val="none"/>
          <w:lang w:val="en-US" w:eastAsia="zh-CN"/>
        </w:rPr>
        <w:t>上述</w:t>
      </w:r>
      <w:r>
        <w:rPr>
          <w:rFonts w:hint="eastAsia" w:ascii="仿宋" w:hAnsi="仿宋" w:eastAsia="仿宋" w:cs="仿宋"/>
          <w:color w:val="auto"/>
          <w:kern w:val="0"/>
          <w:sz w:val="24"/>
          <w:szCs w:val="24"/>
          <w:highlight w:val="none"/>
        </w:rPr>
        <w:t>的顺序修正。修正后的报价经投标人确认后产生约束力，投标人不确认或不接受的，其投标无效。</w:t>
      </w:r>
    </w:p>
    <w:p w14:paraId="2AC8AD2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3.5</w:t>
      </w:r>
      <w:r>
        <w:rPr>
          <w:rFonts w:hint="eastAsia" w:ascii="仿宋" w:hAnsi="仿宋" w:eastAsia="仿宋" w:cs="仿宋"/>
          <w:color w:val="auto"/>
          <w:kern w:val="0"/>
          <w:sz w:val="24"/>
          <w:szCs w:val="24"/>
          <w:highlight w:val="none"/>
        </w:rPr>
        <w:t>.5投标报价评分：对投标报价进行投标报价得分计算，计算方法详见评标办法前附表。</w:t>
      </w:r>
    </w:p>
    <w:p w14:paraId="495D9A8E">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3.5</w:t>
      </w:r>
      <w:r>
        <w:rPr>
          <w:rFonts w:hint="eastAsia" w:ascii="仿宋" w:hAnsi="仿宋" w:eastAsia="仿宋" w:cs="仿宋"/>
          <w:color w:val="auto"/>
          <w:kern w:val="0"/>
          <w:sz w:val="24"/>
          <w:szCs w:val="24"/>
          <w:highlight w:val="none"/>
        </w:rPr>
        <w:t>.6汇总评分结果，评分分值计算保留小数点后两位，小数点后第三位“四舍五入”。</w:t>
      </w:r>
    </w:p>
    <w:p w14:paraId="42EED5E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3.5</w:t>
      </w:r>
      <w:r>
        <w:rPr>
          <w:rFonts w:hint="eastAsia" w:ascii="仿宋" w:hAnsi="仿宋" w:eastAsia="仿宋" w:cs="仿宋"/>
          <w:color w:val="auto"/>
          <w:kern w:val="0"/>
          <w:sz w:val="24"/>
          <w:szCs w:val="24"/>
          <w:highlight w:val="none"/>
        </w:rPr>
        <w:t>.7详细评审工作全部结束后，投标人总得分排序按照以下原则进行。</w:t>
      </w:r>
    </w:p>
    <w:p w14:paraId="563F1E64">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w:t>
      </w:r>
      <w:r>
        <w:rPr>
          <w:rFonts w:hint="eastAsia" w:ascii="仿宋" w:hAnsi="仿宋" w:eastAsia="仿宋" w:cs="仿宋"/>
          <w:color w:val="auto"/>
          <w:kern w:val="0"/>
          <w:sz w:val="24"/>
          <w:szCs w:val="24"/>
          <w:highlight w:val="none"/>
          <w:lang w:val="en-US" w:eastAsia="zh-CN"/>
        </w:rPr>
        <w:t>5</w:t>
      </w:r>
      <w:r>
        <w:rPr>
          <w:rFonts w:hint="eastAsia" w:ascii="仿宋" w:hAnsi="仿宋" w:eastAsia="仿宋" w:cs="仿宋"/>
          <w:color w:val="auto"/>
          <w:kern w:val="0"/>
          <w:sz w:val="24"/>
          <w:szCs w:val="24"/>
          <w:highlight w:val="none"/>
        </w:rPr>
        <w:t>.7.1按照总得分由高到低顺序对投标人进行排序；</w:t>
      </w:r>
    </w:p>
    <w:p w14:paraId="7DC54FD7">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w:t>
      </w:r>
      <w:r>
        <w:rPr>
          <w:rFonts w:hint="eastAsia" w:ascii="仿宋" w:hAnsi="仿宋" w:eastAsia="仿宋" w:cs="仿宋"/>
          <w:color w:val="auto"/>
          <w:kern w:val="0"/>
          <w:sz w:val="24"/>
          <w:szCs w:val="24"/>
          <w:highlight w:val="none"/>
          <w:lang w:val="en-US" w:eastAsia="zh-CN"/>
        </w:rPr>
        <w:t>5</w:t>
      </w:r>
      <w:r>
        <w:rPr>
          <w:rFonts w:hint="eastAsia" w:ascii="仿宋" w:hAnsi="仿宋" w:eastAsia="仿宋" w:cs="仿宋"/>
          <w:color w:val="auto"/>
          <w:kern w:val="0"/>
          <w:sz w:val="24"/>
          <w:szCs w:val="24"/>
          <w:highlight w:val="none"/>
        </w:rPr>
        <w:t>.7.2总得分相同时报价低的投标人排序靠前；</w:t>
      </w:r>
    </w:p>
    <w:p w14:paraId="556E054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rPr>
        <w:t>3.</w:t>
      </w:r>
      <w:r>
        <w:rPr>
          <w:rFonts w:hint="eastAsia" w:ascii="仿宋" w:hAnsi="仿宋" w:eastAsia="仿宋" w:cs="仿宋"/>
          <w:color w:val="auto"/>
          <w:kern w:val="0"/>
          <w:sz w:val="24"/>
          <w:szCs w:val="24"/>
          <w:highlight w:val="none"/>
          <w:lang w:val="en-US" w:eastAsia="zh-CN"/>
        </w:rPr>
        <w:t>5</w:t>
      </w:r>
      <w:r>
        <w:rPr>
          <w:rFonts w:hint="eastAsia" w:ascii="仿宋" w:hAnsi="仿宋" w:eastAsia="仿宋" w:cs="仿宋"/>
          <w:color w:val="auto"/>
          <w:kern w:val="0"/>
          <w:sz w:val="24"/>
          <w:szCs w:val="24"/>
          <w:highlight w:val="none"/>
        </w:rPr>
        <w:t>.7.3总得分相同且报价相同的投标人，由采购人确定排序顺序；</w:t>
      </w:r>
    </w:p>
    <w:p w14:paraId="11F34EB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w:t>
      </w:r>
      <w:r>
        <w:rPr>
          <w:rFonts w:hint="eastAsia" w:ascii="仿宋" w:hAnsi="仿宋" w:eastAsia="仿宋" w:cs="仿宋"/>
          <w:color w:val="auto"/>
          <w:kern w:val="0"/>
          <w:sz w:val="24"/>
          <w:szCs w:val="24"/>
          <w:highlight w:val="none"/>
          <w:lang w:val="en-US" w:eastAsia="zh-CN"/>
        </w:rPr>
        <w:t>6</w:t>
      </w:r>
      <w:r>
        <w:rPr>
          <w:rFonts w:hint="eastAsia" w:ascii="仿宋" w:hAnsi="仿宋" w:eastAsia="仿宋" w:cs="仿宋"/>
          <w:color w:val="auto"/>
          <w:kern w:val="0"/>
          <w:sz w:val="24"/>
          <w:szCs w:val="24"/>
          <w:highlight w:val="none"/>
        </w:rPr>
        <w:t>推荐中标候选人及提交评标报告</w:t>
      </w:r>
    </w:p>
    <w:p w14:paraId="330A3A8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w:t>
      </w:r>
      <w:r>
        <w:rPr>
          <w:rFonts w:hint="eastAsia" w:ascii="仿宋" w:hAnsi="仿宋" w:eastAsia="仿宋" w:cs="仿宋"/>
          <w:color w:val="auto"/>
          <w:kern w:val="0"/>
          <w:sz w:val="24"/>
          <w:szCs w:val="24"/>
          <w:highlight w:val="none"/>
          <w:lang w:val="en-US" w:eastAsia="zh-CN"/>
        </w:rPr>
        <w:t>6</w:t>
      </w:r>
      <w:r>
        <w:rPr>
          <w:rFonts w:hint="eastAsia" w:ascii="仿宋" w:hAnsi="仿宋" w:eastAsia="仿宋" w:cs="仿宋"/>
          <w:color w:val="auto"/>
          <w:kern w:val="0"/>
          <w:sz w:val="24"/>
          <w:szCs w:val="24"/>
          <w:highlight w:val="none"/>
        </w:rPr>
        <w:t>.1评标委员会推荐中标候选人，总得分排序第一的投标人将被确定为第一中标候选人，以此类推确定出规定数量的的中标候选人。</w:t>
      </w:r>
    </w:p>
    <w:p w14:paraId="5F17A18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w:t>
      </w:r>
      <w:r>
        <w:rPr>
          <w:rFonts w:hint="eastAsia" w:ascii="仿宋" w:hAnsi="仿宋" w:eastAsia="仿宋" w:cs="仿宋"/>
          <w:color w:val="auto"/>
          <w:kern w:val="0"/>
          <w:sz w:val="24"/>
          <w:szCs w:val="24"/>
          <w:highlight w:val="none"/>
          <w:lang w:val="en-US" w:eastAsia="zh-CN"/>
        </w:rPr>
        <w:t>6</w:t>
      </w:r>
      <w:r>
        <w:rPr>
          <w:rFonts w:hint="eastAsia" w:ascii="仿宋" w:hAnsi="仿宋" w:eastAsia="仿宋" w:cs="仿宋"/>
          <w:color w:val="auto"/>
          <w:kern w:val="0"/>
          <w:sz w:val="24"/>
          <w:szCs w:val="24"/>
          <w:highlight w:val="none"/>
        </w:rPr>
        <w:t>.2当通过了资格审查、完备性及符合性审查后，投标</w:t>
      </w:r>
      <w:r>
        <w:rPr>
          <w:rFonts w:hint="eastAsia" w:ascii="仿宋" w:hAnsi="仿宋" w:eastAsia="仿宋" w:cs="仿宋"/>
          <w:color w:val="auto"/>
          <w:kern w:val="0"/>
          <w:sz w:val="24"/>
          <w:szCs w:val="24"/>
          <w:highlight w:val="none"/>
          <w:lang w:val="en-US" w:eastAsia="zh-CN"/>
        </w:rPr>
        <w:t>人</w:t>
      </w:r>
      <w:r>
        <w:rPr>
          <w:rFonts w:hint="eastAsia" w:ascii="仿宋" w:hAnsi="仿宋" w:eastAsia="仿宋" w:cs="仿宋"/>
          <w:color w:val="auto"/>
          <w:kern w:val="0"/>
          <w:sz w:val="24"/>
          <w:szCs w:val="24"/>
          <w:highlight w:val="none"/>
        </w:rPr>
        <w:t>少于3个时，采购人应当依法重新招标。</w:t>
      </w:r>
    </w:p>
    <w:p w14:paraId="5B463E9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w:t>
      </w:r>
      <w:r>
        <w:rPr>
          <w:rFonts w:hint="eastAsia" w:ascii="仿宋" w:hAnsi="仿宋" w:eastAsia="仿宋" w:cs="仿宋"/>
          <w:color w:val="auto"/>
          <w:kern w:val="0"/>
          <w:sz w:val="24"/>
          <w:szCs w:val="24"/>
          <w:highlight w:val="none"/>
          <w:lang w:val="en-US" w:eastAsia="zh-CN"/>
        </w:rPr>
        <w:t>6</w:t>
      </w:r>
      <w:r>
        <w:rPr>
          <w:rFonts w:hint="eastAsia" w:ascii="仿宋" w:hAnsi="仿宋" w:eastAsia="仿宋" w:cs="仿宋"/>
          <w:color w:val="auto"/>
          <w:kern w:val="0"/>
          <w:sz w:val="24"/>
          <w:szCs w:val="24"/>
          <w:highlight w:val="none"/>
        </w:rPr>
        <w:t>.3 评标委员会完成评标后，应当向采购人提交书面评标报告。</w:t>
      </w:r>
    </w:p>
    <w:p w14:paraId="7F7115C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w:t>
      </w:r>
      <w:r>
        <w:rPr>
          <w:rFonts w:hint="eastAsia" w:ascii="仿宋" w:hAnsi="仿宋" w:eastAsia="仿宋" w:cs="仿宋"/>
          <w:color w:val="auto"/>
          <w:kern w:val="0"/>
          <w:sz w:val="24"/>
          <w:szCs w:val="24"/>
          <w:highlight w:val="none"/>
          <w:lang w:val="en-US" w:eastAsia="zh-CN"/>
        </w:rPr>
        <w:t>7</w:t>
      </w:r>
      <w:r>
        <w:rPr>
          <w:rFonts w:hint="eastAsia" w:ascii="仿宋" w:hAnsi="仿宋" w:eastAsia="仿宋" w:cs="仿宋"/>
          <w:color w:val="auto"/>
          <w:kern w:val="0"/>
          <w:sz w:val="24"/>
          <w:szCs w:val="24"/>
          <w:highlight w:val="none"/>
        </w:rPr>
        <w:t>特殊情况的处置程序</w:t>
      </w:r>
    </w:p>
    <w:p w14:paraId="32CF1653">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w:t>
      </w:r>
      <w:r>
        <w:rPr>
          <w:rFonts w:hint="eastAsia" w:ascii="仿宋" w:hAnsi="仿宋" w:eastAsia="仿宋" w:cs="仿宋"/>
          <w:color w:val="auto"/>
          <w:kern w:val="0"/>
          <w:sz w:val="24"/>
          <w:szCs w:val="24"/>
          <w:highlight w:val="none"/>
          <w:lang w:val="en-US" w:eastAsia="zh-CN"/>
        </w:rPr>
        <w:t>7</w:t>
      </w:r>
      <w:r>
        <w:rPr>
          <w:rFonts w:hint="eastAsia" w:ascii="仿宋" w:hAnsi="仿宋" w:eastAsia="仿宋" w:cs="仿宋"/>
          <w:color w:val="auto"/>
          <w:kern w:val="0"/>
          <w:sz w:val="24"/>
          <w:szCs w:val="24"/>
          <w:highlight w:val="none"/>
        </w:rPr>
        <w:t>.1 关于评标活动暂停</w:t>
      </w:r>
    </w:p>
    <w:p w14:paraId="64A3E0F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评标委员会应当执行连续评标的原则，按评标办法中规定的程序、内容、方法、标准完成全部评标工作。只有发生不可抗力导致评标工作无法继续时，评标活动方可暂停。发生评标暂停情况时，应当封存全部投标文件和评标记录，待不可抗力的影响结束且具备继续评标的条件时，由原评标委员会继续评标。</w:t>
      </w:r>
    </w:p>
    <w:p w14:paraId="505F78A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w:t>
      </w:r>
      <w:r>
        <w:rPr>
          <w:rFonts w:hint="eastAsia" w:ascii="仿宋" w:hAnsi="仿宋" w:eastAsia="仿宋" w:cs="仿宋"/>
          <w:color w:val="auto"/>
          <w:kern w:val="0"/>
          <w:sz w:val="24"/>
          <w:szCs w:val="24"/>
          <w:highlight w:val="none"/>
          <w:lang w:val="en-US" w:eastAsia="zh-CN"/>
        </w:rPr>
        <w:t>7</w:t>
      </w:r>
      <w:r>
        <w:rPr>
          <w:rFonts w:hint="eastAsia" w:ascii="仿宋" w:hAnsi="仿宋" w:eastAsia="仿宋" w:cs="仿宋"/>
          <w:color w:val="auto"/>
          <w:kern w:val="0"/>
          <w:sz w:val="24"/>
          <w:szCs w:val="24"/>
          <w:highlight w:val="none"/>
        </w:rPr>
        <w:t>.2关于评标中途更换评委</w:t>
      </w:r>
    </w:p>
    <w:p w14:paraId="5CE47EC0">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w:t>
      </w:r>
      <w:r>
        <w:rPr>
          <w:rFonts w:hint="eastAsia" w:ascii="仿宋" w:hAnsi="仿宋" w:eastAsia="仿宋" w:cs="仿宋"/>
          <w:color w:val="auto"/>
          <w:kern w:val="0"/>
          <w:sz w:val="24"/>
          <w:szCs w:val="24"/>
          <w:highlight w:val="none"/>
          <w:lang w:val="en-US" w:eastAsia="zh-CN"/>
        </w:rPr>
        <w:t>7</w:t>
      </w:r>
      <w:r>
        <w:rPr>
          <w:rFonts w:hint="eastAsia" w:ascii="仿宋" w:hAnsi="仿宋" w:eastAsia="仿宋" w:cs="仿宋"/>
          <w:color w:val="auto"/>
          <w:kern w:val="0"/>
          <w:sz w:val="24"/>
          <w:szCs w:val="24"/>
          <w:highlight w:val="none"/>
        </w:rPr>
        <w:t>.2.1 除非发生下列情况之一，评标委员会成员不得在评标中途更换：</w:t>
      </w:r>
    </w:p>
    <w:p w14:paraId="1EFAB00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（1）因不可抗拒的客观原因，不能到场或需在评标中途退出评标活动。</w:t>
      </w:r>
    </w:p>
    <w:p w14:paraId="7266599F">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（2）根据法律法规规定，某个或某几个评标委员会成员需要回避。</w:t>
      </w:r>
    </w:p>
    <w:p w14:paraId="2ACC9F1C">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w:t>
      </w:r>
      <w:r>
        <w:rPr>
          <w:rFonts w:hint="eastAsia" w:ascii="仿宋" w:hAnsi="仿宋" w:eastAsia="仿宋" w:cs="仿宋"/>
          <w:color w:val="auto"/>
          <w:kern w:val="0"/>
          <w:sz w:val="24"/>
          <w:szCs w:val="24"/>
          <w:highlight w:val="none"/>
          <w:lang w:val="en-US" w:eastAsia="zh-CN"/>
        </w:rPr>
        <w:t>7</w:t>
      </w:r>
      <w:r>
        <w:rPr>
          <w:rFonts w:hint="eastAsia" w:ascii="仿宋" w:hAnsi="仿宋" w:eastAsia="仿宋" w:cs="仿宋"/>
          <w:color w:val="auto"/>
          <w:kern w:val="0"/>
          <w:sz w:val="24"/>
          <w:szCs w:val="24"/>
          <w:highlight w:val="none"/>
        </w:rPr>
        <w:t>.2.2 退出评标的评标委员会成员，其已完成的评标行为无效，由更换的评委进行评标。</w:t>
      </w:r>
    </w:p>
    <w:p w14:paraId="33CA474A">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w:t>
      </w:r>
      <w:r>
        <w:rPr>
          <w:rFonts w:hint="eastAsia" w:ascii="仿宋" w:hAnsi="仿宋" w:eastAsia="仿宋" w:cs="仿宋"/>
          <w:color w:val="auto"/>
          <w:kern w:val="0"/>
          <w:sz w:val="24"/>
          <w:szCs w:val="24"/>
          <w:highlight w:val="none"/>
          <w:lang w:val="en-US" w:eastAsia="zh-CN"/>
        </w:rPr>
        <w:t>7</w:t>
      </w:r>
      <w:r>
        <w:rPr>
          <w:rFonts w:hint="eastAsia" w:ascii="仿宋" w:hAnsi="仿宋" w:eastAsia="仿宋" w:cs="仿宋"/>
          <w:color w:val="auto"/>
          <w:kern w:val="0"/>
          <w:sz w:val="24"/>
          <w:szCs w:val="24"/>
          <w:highlight w:val="none"/>
        </w:rPr>
        <w:t>.3 在评标环节中，需评标委员会就某项定性的评审结论做出表决的，由评标委员会全体成员按照少数服从多数的原则确定。</w:t>
      </w:r>
    </w:p>
    <w:bookmarkEnd w:id="55"/>
    <w:p w14:paraId="4109DD7D">
      <w:pP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r>
    </w:p>
    <w:p w14:paraId="1902AA74">
      <w:pPr>
        <w:spacing w:line="440" w:lineRule="exact"/>
        <w:jc w:val="center"/>
        <w:outlineLvl w:val="0"/>
        <w:rPr>
          <w:rFonts w:hint="eastAsia" w:ascii="仿宋" w:hAnsi="仿宋" w:eastAsia="仿宋" w:cs="仿宋"/>
          <w:b/>
          <w:color w:val="auto"/>
          <w:sz w:val="24"/>
          <w:szCs w:val="24"/>
          <w:highlight w:val="none"/>
          <w:lang w:val="en-US" w:eastAsia="zh-CN"/>
        </w:rPr>
      </w:pPr>
      <w:bookmarkStart w:id="64" w:name="_Toc17563"/>
      <w:r>
        <w:rPr>
          <w:rFonts w:hint="eastAsia" w:ascii="仿宋" w:hAnsi="仿宋" w:eastAsia="仿宋" w:cs="仿宋"/>
          <w:b/>
          <w:color w:val="auto"/>
          <w:sz w:val="24"/>
          <w:szCs w:val="24"/>
          <w:highlight w:val="none"/>
        </w:rPr>
        <w:t>第三章 合同</w:t>
      </w:r>
      <w:r>
        <w:rPr>
          <w:rFonts w:hint="eastAsia" w:ascii="仿宋" w:hAnsi="仿宋" w:eastAsia="仿宋" w:cs="仿宋"/>
          <w:b/>
          <w:color w:val="auto"/>
          <w:sz w:val="24"/>
          <w:szCs w:val="24"/>
          <w:highlight w:val="none"/>
          <w:lang w:val="en-US" w:eastAsia="zh-CN"/>
        </w:rPr>
        <w:t>文本</w:t>
      </w:r>
      <w:bookmarkEnd w:id="64"/>
    </w:p>
    <w:p w14:paraId="67F0628B">
      <w:pPr>
        <w:rPr>
          <w:rFonts w:hint="eastAsia" w:ascii="仿宋" w:hAnsi="仿宋" w:eastAsia="仿宋" w:cs="仿宋"/>
          <w:color w:val="auto"/>
          <w:highlight w:val="none"/>
        </w:rPr>
      </w:pPr>
    </w:p>
    <w:p w14:paraId="68530622">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注：本合同文本供参考，具体内容以双方签订的为准。</w:t>
      </w:r>
    </w:p>
    <w:p w14:paraId="5AFA20D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甲方： </w:t>
      </w:r>
    </w:p>
    <w:p w14:paraId="70B4300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乙方：</w:t>
      </w:r>
    </w:p>
    <w:p w14:paraId="1F07217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甲乙双方根据</w:t>
      </w:r>
      <w:r>
        <w:rPr>
          <w:rFonts w:hint="eastAsia" w:ascii="仿宋" w:hAnsi="仿宋" w:eastAsia="仿宋" w:cs="仿宋"/>
          <w:color w:val="auto"/>
          <w:kern w:val="0"/>
          <w:sz w:val="24"/>
          <w:szCs w:val="24"/>
          <w:highlight w:val="none"/>
          <w:u w:val="single"/>
        </w:rPr>
        <w:t xml:space="preserve">     (项目名称)   </w:t>
      </w:r>
      <w:r>
        <w:rPr>
          <w:rFonts w:hint="eastAsia" w:ascii="仿宋" w:hAnsi="仿宋" w:eastAsia="仿宋" w:cs="仿宋"/>
          <w:color w:val="auto"/>
          <w:kern w:val="0"/>
          <w:sz w:val="24"/>
          <w:szCs w:val="24"/>
          <w:highlight w:val="none"/>
        </w:rPr>
        <w:t>评标结果，以及按照《中华人民共和国民法典》的规定，经双方协商，本着平等互利和诚实信用的原则，一致同意签订本合同如下：</w:t>
      </w:r>
    </w:p>
    <w:p w14:paraId="1148B0C9">
      <w:pPr>
        <w:pStyle w:val="201"/>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b/>
          <w:color w:val="auto"/>
          <w:kern w:val="0"/>
          <w:sz w:val="24"/>
          <w:szCs w:val="24"/>
          <w:highlight w:val="none"/>
          <w:lang w:val="en-US" w:eastAsia="zh-CN"/>
        </w:rPr>
        <w:t>一、</w:t>
      </w:r>
      <w:r>
        <w:rPr>
          <w:rFonts w:hint="eastAsia" w:ascii="仿宋" w:hAnsi="仿宋" w:eastAsia="仿宋" w:cs="仿宋"/>
          <w:b/>
          <w:color w:val="auto"/>
          <w:kern w:val="0"/>
          <w:sz w:val="24"/>
          <w:szCs w:val="24"/>
          <w:highlight w:val="none"/>
        </w:rPr>
        <w:t>体检服务对象：</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u w:val="single"/>
          <w:lang w:val="en-US" w:eastAsia="zh-CN"/>
        </w:rPr>
        <w:t xml:space="preserve">            </w:t>
      </w:r>
    </w:p>
    <w:p w14:paraId="2B2A05E7">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二、体检费：</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u w:val="single"/>
          <w:lang w:val="en-US" w:eastAsia="zh-CN"/>
        </w:rPr>
        <w:t xml:space="preserve">            </w:t>
      </w:r>
    </w:p>
    <w:p w14:paraId="293E8869">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三、体检项目：</w:t>
      </w:r>
      <w:r>
        <w:rPr>
          <w:rFonts w:hint="eastAsia" w:ascii="仿宋" w:hAnsi="仿宋" w:eastAsia="仿宋" w:cs="仿宋"/>
          <w:color w:val="auto"/>
          <w:sz w:val="24"/>
          <w:szCs w:val="24"/>
          <w:highlight w:val="none"/>
          <w:u w:val="single"/>
        </w:rPr>
        <w:t>详见招标文件“第四章 服务</w:t>
      </w:r>
      <w:r>
        <w:rPr>
          <w:rFonts w:hint="eastAsia" w:ascii="仿宋" w:hAnsi="仿宋" w:eastAsia="仿宋" w:cs="仿宋"/>
          <w:color w:val="auto"/>
          <w:sz w:val="24"/>
          <w:szCs w:val="24"/>
          <w:highlight w:val="none"/>
          <w:u w:val="single"/>
          <w:lang w:val="en-US" w:eastAsia="zh-CN"/>
        </w:rPr>
        <w:t>标准和</w:t>
      </w:r>
      <w:r>
        <w:rPr>
          <w:rFonts w:hint="eastAsia" w:ascii="仿宋" w:hAnsi="仿宋" w:eastAsia="仿宋" w:cs="仿宋"/>
          <w:color w:val="auto"/>
          <w:sz w:val="24"/>
          <w:szCs w:val="24"/>
          <w:highlight w:val="none"/>
          <w:u w:val="single"/>
        </w:rPr>
        <w:t>要求”</w:t>
      </w:r>
      <w:r>
        <w:rPr>
          <w:rFonts w:hint="eastAsia" w:ascii="仿宋" w:hAnsi="仿宋" w:eastAsia="仿宋" w:cs="仿宋"/>
          <w:color w:val="auto"/>
          <w:sz w:val="24"/>
          <w:szCs w:val="24"/>
          <w:highlight w:val="none"/>
        </w:rPr>
        <w:t>。</w:t>
      </w:r>
    </w:p>
    <w:p w14:paraId="0FAE4553">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四、体检地点、时间及服务期限：</w:t>
      </w:r>
    </w:p>
    <w:p w14:paraId="4DBE551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1、服务地点：乙方体检中心内。</w:t>
      </w:r>
    </w:p>
    <w:p w14:paraId="463AC32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2、体检时间：具体以合同签订后双方约定的体检时间为准。</w:t>
      </w:r>
    </w:p>
    <w:p w14:paraId="28D240B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3、服务期限：</w:t>
      </w:r>
      <w:r>
        <w:rPr>
          <w:rFonts w:hint="eastAsia" w:ascii="仿宋" w:hAnsi="仿宋" w:eastAsia="仿宋" w:cs="仿宋"/>
          <w:color w:val="auto"/>
          <w:sz w:val="24"/>
          <w:szCs w:val="24"/>
          <w:highlight w:val="none"/>
          <w:u w:val="single"/>
          <w:lang w:val="en-US" w:eastAsia="zh-CN"/>
        </w:rPr>
        <w:t xml:space="preserve">         </w:t>
      </w:r>
    </w:p>
    <w:p w14:paraId="6124AB2D">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五、甲方权利与义务：</w:t>
      </w:r>
    </w:p>
    <w:p w14:paraId="2C45024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1、甲方有责任组织和安排本单位职工体检，负责向乙方提供需体检人员的姓名、年龄、性别、所属部门、联系电话等相关资料，并配合乙方体检人员身份核实，完成体检工作。</w:t>
      </w:r>
    </w:p>
    <w:p w14:paraId="451E93A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2、受检人员如有特殊要求,请与甲方单位协调人联系。</w:t>
      </w:r>
    </w:p>
    <w:p w14:paraId="660A30C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3、受检者前一晚清淡饮食,忌烟酒,少高脂高胆固醇食物。</w:t>
      </w:r>
    </w:p>
    <w:p w14:paraId="6315F2A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4、体检日早晨空腹抽血。</w:t>
      </w:r>
    </w:p>
    <w:p w14:paraId="22595A2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5、体检完毕，体检表统一交到乙方体检接待处。</w:t>
      </w:r>
    </w:p>
    <w:p w14:paraId="0BBF7CE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6、如果确有特殊原因个别未能体检者，甲方协调人与乙方联系妥善安排补检。</w:t>
      </w:r>
    </w:p>
    <w:p w14:paraId="7446DEE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7、甲方有权对乙方执行本合同书的情况进行检查监督，乙方应积极配合甲方进行调查，如实反映情况、妥善解决。</w:t>
      </w:r>
    </w:p>
    <w:p w14:paraId="269B3EB9">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六、乙方权利与义务：</w:t>
      </w:r>
    </w:p>
    <w:p w14:paraId="2834CCA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 乙方应认真遵守职业道德和行业规范，认真做好服务工作，保证体检现场工作和资料汇总按时完成。</w:t>
      </w:r>
    </w:p>
    <w:p w14:paraId="557D0A3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 乙方不能将体检业务转包给其他单位。</w:t>
      </w:r>
    </w:p>
    <w:p w14:paraId="34BD74D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 集中体检天数为（正常工作日）</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天，零星体检天数为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天，且每天体检须在当天上午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点前完成，每天体检在未完成甲方人员体检时间段内，不得安排非甲方人员进行体检。</w:t>
      </w:r>
    </w:p>
    <w:p w14:paraId="3677823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 乙方须对所有参加体检人员健康情况进行评价，编写教职工个人的体检总评报告，由体检中心加盖公章，内容包括参检人员的基本信息、检查结果、诊断及建议。</w:t>
      </w:r>
    </w:p>
    <w:p w14:paraId="0BA7B7A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（5）集中体检完毕后的   个日历天内将该时间段内体检人员体检结果以纸质形式按学院、部门整理提交给甲方，零星体检结束后的   个日历天内将剩余体检结果以纸质形式按学院、部门整理提交给甲方。</w:t>
      </w:r>
    </w:p>
    <w:p w14:paraId="4CC1F25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（6）体检结束后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日内，以 Excel 电子表格和Word 电子文档形式刻录成光盘交甲方；以 Excel 电子表格形式汇总全体参检人员的个人全部体检项目结果报告（包括阳性、阴性结果）；以 Word 电子文档形式汇总全体参检人员各病征异常率、疾病患病率，对所有参加体检人员健康情况进行评价。</w:t>
      </w:r>
    </w:p>
    <w:p w14:paraId="42619F4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 乙方应对体检结果负责，每一份体检结果必须单独封装；未征得甲方的同意，乙方不得将体检结果告诉第三人。乙方必须将甲方 49 岁及以下参检女教职工查环、查孕情况按要求送达甲方。</w:t>
      </w:r>
    </w:p>
    <w:p w14:paraId="4FF072E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 必须按甲方规定的时间完成现场检查和健康情况的评价。</w:t>
      </w:r>
    </w:p>
    <w:p w14:paraId="151A79C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 集中体检时间段内，免费安排每份价值不低于人民币 10 元、营养丰富的冷热早餐给采购方参检人员食用。</w:t>
      </w:r>
    </w:p>
    <w:p w14:paraId="01C835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 乙方应为甲方提供礼貌、热情、周到的服务。</w:t>
      </w:r>
    </w:p>
    <w:p w14:paraId="2CE0F62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 体检必须按规程操作，按行业规范确定体检方案和方法，以防止意外事故发生。</w:t>
      </w:r>
    </w:p>
    <w:p w14:paraId="2F491FD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 对体检过程中发生的事件能够进行及时有效的处理，须设立服务质量投诉电话和服务质量征求意见表，对有关问题应及时答复和采取相应的改进措施。</w:t>
      </w:r>
    </w:p>
    <w:p w14:paraId="789000B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 所有检查项目必须在乙方的体检中心内完成，体检中心范围内须有清晰准确的体检引导标志牌及体检导诊员。</w:t>
      </w:r>
    </w:p>
    <w:p w14:paraId="782CA99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 体检过程中，发现疑似恶性肿瘤、心脑血管病高危状态、传染病（如结核病）等特殊情况，乙方应立即反馈给本人。</w:t>
      </w:r>
    </w:p>
    <w:p w14:paraId="6DC6A51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 乙方负责做好体检登记和体检资料的制作和发放（如体检表、体检须知等），甲方因各种原因漏报体检人员，乙方应及时与采购方联系确定，并予即时补办。前台登记不得随意要求甲方体检人员增加项目。</w:t>
      </w:r>
    </w:p>
    <w:p w14:paraId="56D1E0C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 乙方在服务期间由于自身责任造成甲方的一切损失，由乙方负责赔偿。</w:t>
      </w:r>
    </w:p>
    <w:p w14:paraId="180C0FE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(17) 乙方未按服务项目要求完成或完成不彻底，须按要求重新安排体检，且甲方有权减扣合同付款金额直至终止合约，由此造成的一切后果由乙方承担。</w:t>
      </w:r>
    </w:p>
    <w:p w14:paraId="753ED89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 体检结束，送达体检结果后，乙方应免费派专家到甲方指定地点举行体检结果分析暨健康讲座二次及以上。</w:t>
      </w:r>
    </w:p>
    <w:p w14:paraId="35B358DF">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七、结算及付款方式：</w:t>
      </w:r>
      <w:r>
        <w:rPr>
          <w:rFonts w:hint="eastAsia" w:ascii="仿宋" w:hAnsi="仿宋" w:eastAsia="仿宋" w:cs="仿宋"/>
          <w:color w:val="auto"/>
          <w:sz w:val="24"/>
          <w:szCs w:val="24"/>
          <w:highlight w:val="none"/>
        </w:rPr>
        <w:t>最终以甲方实际体检员工数进行结算。乙方须在甲方体检完毕之日起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个工作日内将全部体检报告提交给甲方。甲方在收到体检报告、并接收到乙方出具的结算报表及足额、正规的医疗发票后，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个工作日内一次性把体检费汇至乙方账户上。</w:t>
      </w:r>
    </w:p>
    <w:p w14:paraId="687E8BB1">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八、违约责任</w:t>
      </w:r>
    </w:p>
    <w:p w14:paraId="1B87A34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以上条款由甲乙双方共同遵守，如无不可抗拒因素，任何一方不得违约。若有违反本协议者，由此造成的损失全部由违约方承担。其它违约责任按《中华人民共和国民法典》处理。</w:t>
      </w:r>
    </w:p>
    <w:p w14:paraId="6354601D">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九、合同终止</w:t>
      </w:r>
    </w:p>
    <w:p w14:paraId="3F75DFF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如果一方严重违反合同，并在收到对方违约通知书后在30 天内仍未能改正违约的，另一方可立即终止本合同。</w:t>
      </w:r>
    </w:p>
    <w:p w14:paraId="2BF200A0">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十、法律诉讼</w:t>
      </w:r>
    </w:p>
    <w:p w14:paraId="04E7ED5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签约双方在履约中发生争执和分歧，双方应通过友好协商解决，若经协商不能达成协议时，则向合同签订所在地人民法院提起诉讼。受理期间，双方应继续执行合同其余部分。</w:t>
      </w:r>
    </w:p>
    <w:p w14:paraId="484C80C3">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十一、廉政条约</w:t>
      </w:r>
    </w:p>
    <w:p w14:paraId="793E355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甲、乙双方所有人员严格遵守国家廉政方面的规定。</w:t>
      </w:r>
    </w:p>
    <w:p w14:paraId="668C852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十二、其他</w:t>
      </w:r>
    </w:p>
    <w:p w14:paraId="622A0E2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12.1 本合同一式 6 份，具有同等法律效力，甲方执 4 份、乙方执 2 份。本合同在甲乙双方法人代表或其授权代表签字盖章后生效，如双方签字的日期不一致时以最后一个日期为准；如合同有一方未填写日期，即以另一方日期为准。</w:t>
      </w:r>
    </w:p>
    <w:p w14:paraId="37DEF83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12.2下列文件是本合同的一部分，并与本合同一起阅读和解释：</w:t>
      </w:r>
    </w:p>
    <w:p w14:paraId="601AB9C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（1）中标通知书；</w:t>
      </w:r>
    </w:p>
    <w:p w14:paraId="2C4FE87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（2）乙方提交的</w:t>
      </w:r>
      <w:r>
        <w:rPr>
          <w:rFonts w:hint="eastAsia" w:ascii="仿宋" w:hAnsi="仿宋" w:eastAsia="仿宋" w:cs="仿宋"/>
          <w:color w:val="auto"/>
          <w:sz w:val="24"/>
          <w:szCs w:val="24"/>
          <w:highlight w:val="none"/>
          <w:lang w:val="en-US" w:eastAsia="zh-CN"/>
        </w:rPr>
        <w:t>投标</w:t>
      </w:r>
      <w:r>
        <w:rPr>
          <w:rFonts w:hint="eastAsia" w:ascii="仿宋" w:hAnsi="仿宋" w:eastAsia="仿宋" w:cs="仿宋"/>
          <w:color w:val="auto"/>
          <w:sz w:val="24"/>
          <w:szCs w:val="24"/>
          <w:highlight w:val="none"/>
        </w:rPr>
        <w:t>文件；</w:t>
      </w:r>
    </w:p>
    <w:p w14:paraId="54A1AE5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（3）招标文件。</w:t>
      </w:r>
    </w:p>
    <w:p w14:paraId="332498E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12.3本合同末尽事宜，以招投标文件为准，并由双方协商处理。</w:t>
      </w:r>
    </w:p>
    <w:p w14:paraId="34B9358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12.4如一方地址、电话、传真号码、银行账号有变更，应在变更当日内书面通知对方，否则，应承担相应责任。</w:t>
      </w:r>
    </w:p>
    <w:p w14:paraId="7AFDBF09">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十三、合同签约地点：</w:t>
      </w:r>
      <w:r>
        <w:rPr>
          <w:rFonts w:hint="eastAsia" w:ascii="仿宋" w:hAnsi="仿宋" w:eastAsia="仿宋" w:cs="仿宋"/>
          <w:color w:val="auto"/>
          <w:sz w:val="24"/>
          <w:szCs w:val="24"/>
          <w:highlight w:val="none"/>
        </w:rPr>
        <w:t>乌鲁木齐市</w:t>
      </w:r>
    </w:p>
    <w:p w14:paraId="4F2F6B14">
      <w:pPr>
        <w:spacing w:line="360" w:lineRule="auto"/>
        <w:rPr>
          <w:rFonts w:hint="eastAsia" w:ascii="仿宋" w:hAnsi="仿宋" w:eastAsia="仿宋" w:cs="仿宋"/>
          <w:b/>
          <w:color w:val="auto"/>
          <w:sz w:val="24"/>
          <w:szCs w:val="24"/>
          <w:highlight w:val="none"/>
        </w:rPr>
      </w:pPr>
    </w:p>
    <w:p w14:paraId="03CE76AA">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甲方：                                     乙方：</w:t>
      </w:r>
    </w:p>
    <w:p w14:paraId="5F9E9E11">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法人代表：                                 法人代表：</w:t>
      </w:r>
    </w:p>
    <w:p w14:paraId="10C7CFDD">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签约代表：                                 签约代表：</w:t>
      </w:r>
    </w:p>
    <w:p w14:paraId="61E59431">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地址：                                     地址：</w:t>
      </w:r>
    </w:p>
    <w:p w14:paraId="35359265">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账号：                                     账号：</w:t>
      </w:r>
    </w:p>
    <w:p w14:paraId="6D844720">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电话：                                     电话：</w:t>
      </w:r>
    </w:p>
    <w:p w14:paraId="5CEF69A1">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签约日期： 年 月 日                        签约日期： 年 月 日</w:t>
      </w:r>
    </w:p>
    <w:p w14:paraId="75AFE21F">
      <w:pPr>
        <w:spacing w:line="560" w:lineRule="exact"/>
        <w:rPr>
          <w:rFonts w:hint="eastAsia" w:ascii="仿宋" w:hAnsi="仿宋" w:eastAsia="仿宋" w:cs="仿宋"/>
          <w:b/>
          <w:color w:val="auto"/>
          <w:sz w:val="24"/>
          <w:szCs w:val="24"/>
          <w:highlight w:val="none"/>
        </w:rPr>
      </w:pPr>
    </w:p>
    <w:p w14:paraId="6D0B1A30">
      <w:pP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r>
    </w:p>
    <w:p w14:paraId="1978D6B6">
      <w:pPr>
        <w:spacing w:line="440" w:lineRule="exact"/>
        <w:jc w:val="center"/>
        <w:outlineLvl w:val="0"/>
        <w:rPr>
          <w:rFonts w:hint="eastAsia" w:ascii="仿宋" w:hAnsi="仿宋" w:eastAsia="仿宋" w:cs="仿宋"/>
          <w:bCs/>
          <w:color w:val="auto"/>
          <w:sz w:val="24"/>
          <w:szCs w:val="24"/>
          <w:highlight w:val="none"/>
          <w:lang w:eastAsia="zh-CN"/>
        </w:rPr>
      </w:pPr>
      <w:bookmarkStart w:id="65" w:name="_Toc29646"/>
      <w:r>
        <w:rPr>
          <w:rFonts w:hint="eastAsia" w:ascii="仿宋" w:hAnsi="仿宋" w:eastAsia="仿宋" w:cs="仿宋"/>
          <w:b/>
          <w:color w:val="auto"/>
          <w:sz w:val="24"/>
          <w:szCs w:val="24"/>
          <w:highlight w:val="none"/>
        </w:rPr>
        <w:t xml:space="preserve">第四章 </w:t>
      </w:r>
      <w:bookmarkStart w:id="66" w:name="_Toc138639090"/>
      <w:bookmarkEnd w:id="66"/>
      <w:bookmarkStart w:id="67" w:name="_Toc138638719"/>
      <w:bookmarkEnd w:id="67"/>
      <w:bookmarkStart w:id="68" w:name="_Toc138639145"/>
      <w:bookmarkEnd w:id="68"/>
      <w:bookmarkStart w:id="69" w:name="_Toc138638718"/>
      <w:bookmarkEnd w:id="69"/>
      <w:bookmarkStart w:id="70" w:name="_Toc138638773"/>
      <w:bookmarkEnd w:id="70"/>
      <w:bookmarkStart w:id="71" w:name="_Toc138638884"/>
      <w:bookmarkEnd w:id="71"/>
      <w:bookmarkStart w:id="72" w:name="_Toc138638510"/>
      <w:bookmarkEnd w:id="72"/>
      <w:bookmarkStart w:id="73" w:name="_合同文件的组成及解释顺序"/>
      <w:bookmarkEnd w:id="73"/>
      <w:bookmarkStart w:id="74" w:name="_Toc138639091"/>
      <w:bookmarkEnd w:id="74"/>
      <w:bookmarkStart w:id="75" w:name="_Toc138638538"/>
      <w:bookmarkEnd w:id="75"/>
      <w:bookmarkStart w:id="76" w:name="_Toc138638509"/>
      <w:bookmarkEnd w:id="76"/>
      <w:bookmarkStart w:id="77" w:name="_Toc138638907"/>
      <w:bookmarkEnd w:id="77"/>
      <w:bookmarkStart w:id="78" w:name="_Toc138638910"/>
      <w:bookmarkEnd w:id="78"/>
      <w:bookmarkStart w:id="79" w:name="_Toc138638702"/>
      <w:bookmarkEnd w:id="79"/>
      <w:bookmarkStart w:id="80" w:name="_Toc138638535"/>
      <w:bookmarkEnd w:id="80"/>
      <w:bookmarkStart w:id="81" w:name="_Toc138638534"/>
      <w:bookmarkEnd w:id="81"/>
      <w:bookmarkStart w:id="82" w:name="_Toc138639074"/>
      <w:bookmarkEnd w:id="82"/>
      <w:bookmarkStart w:id="83" w:name="_Toc138638906"/>
      <w:bookmarkEnd w:id="83"/>
      <w:bookmarkStart w:id="84" w:name="_Toc138638883"/>
      <w:bookmarkEnd w:id="84"/>
      <w:bookmarkStart w:id="85" w:name="_Toc531016893"/>
      <w:r>
        <w:rPr>
          <w:rFonts w:hint="eastAsia" w:ascii="仿宋" w:hAnsi="仿宋" w:eastAsia="仿宋" w:cs="仿宋"/>
          <w:b/>
          <w:color w:val="auto"/>
          <w:sz w:val="24"/>
          <w:szCs w:val="24"/>
          <w:highlight w:val="none"/>
          <w:lang w:eastAsia="zh-CN"/>
        </w:rPr>
        <w:t>服务标准和要求</w:t>
      </w:r>
      <w:bookmarkEnd w:id="65"/>
    </w:p>
    <w:p w14:paraId="2139BBBD">
      <w:pPr>
        <w:widowControl/>
        <w:jc w:val="center"/>
        <w:outlineLvl w:val="1"/>
        <w:rPr>
          <w:rFonts w:hint="eastAsia" w:ascii="仿宋" w:hAnsi="仿宋" w:eastAsia="仿宋" w:cs="仿宋"/>
          <w:b/>
          <w:bCs/>
          <w:color w:val="auto"/>
          <w:kern w:val="0"/>
          <w:sz w:val="28"/>
          <w:szCs w:val="40"/>
          <w:highlight w:val="none"/>
        </w:rPr>
      </w:pPr>
      <w:bookmarkStart w:id="86" w:name="_Toc32322"/>
      <w:bookmarkStart w:id="87" w:name="_Toc24829"/>
      <w:r>
        <w:rPr>
          <w:rFonts w:hint="eastAsia" w:ascii="仿宋" w:hAnsi="仿宋" w:eastAsia="仿宋" w:cs="仿宋"/>
          <w:b/>
          <w:bCs/>
          <w:color w:val="auto"/>
          <w:kern w:val="0"/>
          <w:sz w:val="28"/>
          <w:szCs w:val="40"/>
          <w:highlight w:val="none"/>
        </w:rPr>
        <w:t>一、分组体检项目</w:t>
      </w:r>
      <w:bookmarkEnd w:id="86"/>
      <w:bookmarkEnd w:id="87"/>
    </w:p>
    <w:p w14:paraId="0B908440">
      <w:pPr>
        <w:rPr>
          <w:rFonts w:hint="eastAsia"/>
          <w:color w:val="auto"/>
          <w:highlight w:val="none"/>
        </w:rPr>
      </w:pPr>
    </w:p>
    <w:p w14:paraId="474BCE42">
      <w:pPr>
        <w:jc w:val="center"/>
        <w:outlineLvl w:val="1"/>
        <w:rPr>
          <w:rFonts w:hint="eastAsia" w:ascii="仿宋" w:hAnsi="仿宋" w:eastAsia="仿宋" w:cs="仿宋"/>
          <w:b/>
          <w:bCs/>
          <w:color w:val="auto"/>
          <w:sz w:val="24"/>
          <w:szCs w:val="28"/>
          <w:highlight w:val="none"/>
        </w:rPr>
      </w:pPr>
      <w:bookmarkStart w:id="88" w:name="_Toc751"/>
      <w:r>
        <w:rPr>
          <w:rFonts w:hint="eastAsia" w:ascii="仿宋" w:hAnsi="仿宋" w:eastAsia="仿宋" w:cs="仿宋"/>
          <w:b/>
          <w:bCs/>
          <w:color w:val="auto"/>
          <w:sz w:val="24"/>
          <w:szCs w:val="28"/>
          <w:highlight w:val="none"/>
          <w:lang w:val="en-US" w:eastAsia="zh-CN"/>
        </w:rPr>
        <w:t>A</w:t>
      </w:r>
      <w:r>
        <w:rPr>
          <w:rFonts w:hint="eastAsia" w:ascii="仿宋" w:hAnsi="仿宋" w:eastAsia="仿宋" w:cs="仿宋"/>
          <w:b/>
          <w:bCs/>
          <w:color w:val="auto"/>
          <w:sz w:val="24"/>
          <w:szCs w:val="28"/>
          <w:highlight w:val="none"/>
        </w:rPr>
        <w:t>、</w:t>
      </w:r>
      <w:r>
        <w:rPr>
          <w:rFonts w:hint="eastAsia" w:ascii="仿宋" w:hAnsi="仿宋" w:eastAsia="仿宋" w:cs="仿宋"/>
          <w:b/>
          <w:bCs/>
          <w:color w:val="auto"/>
          <w:sz w:val="24"/>
          <w:szCs w:val="28"/>
          <w:highlight w:val="none"/>
          <w:lang w:val="en-US" w:eastAsia="zh-CN"/>
        </w:rPr>
        <w:t>40岁及以下男士</w:t>
      </w:r>
      <w:r>
        <w:rPr>
          <w:rFonts w:hint="eastAsia" w:ascii="仿宋" w:hAnsi="仿宋" w:eastAsia="仿宋" w:cs="仿宋"/>
          <w:b/>
          <w:bCs/>
          <w:color w:val="auto"/>
          <w:sz w:val="24"/>
          <w:szCs w:val="28"/>
          <w:highlight w:val="none"/>
        </w:rPr>
        <w:t>套餐</w:t>
      </w:r>
      <w:bookmarkEnd w:id="88"/>
    </w:p>
    <w:tbl>
      <w:tblPr>
        <w:tblStyle w:val="40"/>
        <w:tblpPr w:leftFromText="180" w:rightFromText="180" w:vertAnchor="text" w:horzAnchor="page" w:tblpX="1290" w:tblpY="385"/>
        <w:tblOverlap w:val="never"/>
        <w:tblW w:w="94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08"/>
        <w:gridCol w:w="2690"/>
        <w:gridCol w:w="5436"/>
      </w:tblGrid>
      <w:tr w14:paraId="329C7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1308" w:type="dxa"/>
            <w:noWrap w:val="0"/>
            <w:vAlign w:val="center"/>
          </w:tcPr>
          <w:p w14:paraId="2A0401E5">
            <w:pPr>
              <w:autoSpaceDN w:val="0"/>
              <w:snapToGrid w:val="0"/>
              <w:spacing w:line="300" w:lineRule="exact"/>
              <w:jc w:val="center"/>
              <w:textAlignment w:val="bottom"/>
              <w:rPr>
                <w:rFonts w:hint="eastAsia" w:ascii="仿宋" w:hAnsi="仿宋" w:eastAsia="仿宋" w:cs="仿宋"/>
                <w:b/>
                <w:snapToGrid w:val="0"/>
                <w:color w:val="auto"/>
                <w:sz w:val="21"/>
                <w:szCs w:val="21"/>
                <w:highlight w:val="none"/>
              </w:rPr>
            </w:pPr>
            <w:r>
              <w:rPr>
                <w:rFonts w:hint="eastAsia" w:ascii="仿宋" w:hAnsi="仿宋" w:eastAsia="仿宋" w:cs="仿宋"/>
                <w:b/>
                <w:snapToGrid w:val="0"/>
                <w:color w:val="auto"/>
                <w:sz w:val="21"/>
                <w:szCs w:val="21"/>
                <w:highlight w:val="none"/>
              </w:rPr>
              <w:t>项目分类</w:t>
            </w:r>
          </w:p>
        </w:tc>
        <w:tc>
          <w:tcPr>
            <w:tcW w:w="2690" w:type="dxa"/>
            <w:noWrap w:val="0"/>
            <w:vAlign w:val="center"/>
          </w:tcPr>
          <w:p w14:paraId="322D7426">
            <w:pPr>
              <w:autoSpaceDN w:val="0"/>
              <w:snapToGrid w:val="0"/>
              <w:spacing w:line="300" w:lineRule="exact"/>
              <w:ind w:left="-334" w:leftChars="-159"/>
              <w:jc w:val="center"/>
              <w:textAlignment w:val="bottom"/>
              <w:rPr>
                <w:rFonts w:hint="eastAsia" w:ascii="仿宋" w:hAnsi="仿宋" w:eastAsia="仿宋" w:cs="仿宋"/>
                <w:b/>
                <w:snapToGrid w:val="0"/>
                <w:color w:val="auto"/>
                <w:sz w:val="21"/>
                <w:szCs w:val="21"/>
                <w:highlight w:val="none"/>
              </w:rPr>
            </w:pPr>
            <w:r>
              <w:rPr>
                <w:rFonts w:hint="eastAsia" w:ascii="仿宋" w:hAnsi="仿宋" w:eastAsia="仿宋" w:cs="仿宋"/>
                <w:b/>
                <w:snapToGrid w:val="0"/>
                <w:color w:val="auto"/>
                <w:sz w:val="21"/>
                <w:szCs w:val="21"/>
                <w:highlight w:val="none"/>
              </w:rPr>
              <w:t>检查项目</w:t>
            </w:r>
          </w:p>
        </w:tc>
        <w:tc>
          <w:tcPr>
            <w:tcW w:w="5436" w:type="dxa"/>
            <w:noWrap w:val="0"/>
            <w:vAlign w:val="center"/>
          </w:tcPr>
          <w:p w14:paraId="0F6DBAD2">
            <w:pPr>
              <w:autoSpaceDN w:val="0"/>
              <w:snapToGrid w:val="0"/>
              <w:spacing w:line="300" w:lineRule="exact"/>
              <w:jc w:val="center"/>
              <w:textAlignment w:val="bottom"/>
              <w:rPr>
                <w:rFonts w:hint="eastAsia" w:ascii="仿宋" w:hAnsi="仿宋" w:eastAsia="仿宋" w:cs="仿宋"/>
                <w:b/>
                <w:snapToGrid w:val="0"/>
                <w:color w:val="auto"/>
                <w:sz w:val="21"/>
                <w:szCs w:val="21"/>
                <w:highlight w:val="none"/>
              </w:rPr>
            </w:pPr>
            <w:r>
              <w:rPr>
                <w:rFonts w:hint="eastAsia" w:ascii="仿宋" w:hAnsi="仿宋" w:eastAsia="仿宋" w:cs="仿宋"/>
                <w:b/>
                <w:snapToGrid w:val="0"/>
                <w:color w:val="auto"/>
                <w:sz w:val="21"/>
                <w:szCs w:val="21"/>
                <w:highlight w:val="none"/>
              </w:rPr>
              <w:t>项目含义</w:t>
            </w:r>
          </w:p>
        </w:tc>
      </w:tr>
      <w:tr w14:paraId="277C8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1308" w:type="dxa"/>
            <w:vMerge w:val="restart"/>
            <w:noWrap w:val="0"/>
            <w:vAlign w:val="center"/>
          </w:tcPr>
          <w:p w14:paraId="6AE4B059">
            <w:pPr>
              <w:widowControl/>
              <w:snapToGrid w:val="0"/>
              <w:spacing w:line="300" w:lineRule="exact"/>
              <w:jc w:val="center"/>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一般检查</w:t>
            </w:r>
          </w:p>
        </w:tc>
        <w:tc>
          <w:tcPr>
            <w:tcW w:w="2690" w:type="dxa"/>
            <w:noWrap w:val="0"/>
            <w:vAlign w:val="center"/>
          </w:tcPr>
          <w:p w14:paraId="1C5C14DC">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身高、体重、血压、体重指数、臀围、腰围</w:t>
            </w:r>
          </w:p>
        </w:tc>
        <w:tc>
          <w:tcPr>
            <w:tcW w:w="5436" w:type="dxa"/>
            <w:noWrap w:val="0"/>
            <w:vAlign w:val="center"/>
          </w:tcPr>
          <w:p w14:paraId="26CF25DA">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了解身高、体重、血压、臀围、腰围等基本情况以及是否有体重超标等。</w:t>
            </w:r>
          </w:p>
        </w:tc>
      </w:tr>
      <w:tr w14:paraId="37261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trPr>
        <w:tc>
          <w:tcPr>
            <w:tcW w:w="1308" w:type="dxa"/>
            <w:vMerge w:val="continue"/>
            <w:noWrap w:val="0"/>
            <w:vAlign w:val="center"/>
          </w:tcPr>
          <w:p w14:paraId="1472B7A9">
            <w:pPr>
              <w:widowControl/>
              <w:snapToGrid w:val="0"/>
              <w:spacing w:line="300" w:lineRule="exact"/>
              <w:jc w:val="center"/>
              <w:rPr>
                <w:rFonts w:hint="eastAsia" w:ascii="仿宋" w:hAnsi="仿宋" w:eastAsia="仿宋" w:cs="仿宋"/>
                <w:color w:val="auto"/>
                <w:kern w:val="0"/>
                <w:sz w:val="21"/>
                <w:szCs w:val="21"/>
                <w:highlight w:val="none"/>
                <w:lang w:val="en-US" w:eastAsia="zh-CN"/>
              </w:rPr>
            </w:pPr>
          </w:p>
        </w:tc>
        <w:tc>
          <w:tcPr>
            <w:tcW w:w="2690" w:type="dxa"/>
            <w:noWrap w:val="0"/>
            <w:vAlign w:val="center"/>
          </w:tcPr>
          <w:p w14:paraId="25BEA739">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体检问卷</w:t>
            </w:r>
          </w:p>
        </w:tc>
        <w:tc>
          <w:tcPr>
            <w:tcW w:w="5436" w:type="dxa"/>
            <w:noWrap w:val="0"/>
            <w:vAlign w:val="center"/>
          </w:tcPr>
          <w:p w14:paraId="1B71A11E">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了解生活方式、个人史、家族史、健康体检史等</w:t>
            </w:r>
          </w:p>
        </w:tc>
      </w:tr>
      <w:tr w14:paraId="5651A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1308" w:type="dxa"/>
            <w:noWrap w:val="0"/>
            <w:vAlign w:val="center"/>
          </w:tcPr>
          <w:p w14:paraId="50130586">
            <w:pPr>
              <w:widowControl/>
              <w:snapToGrid w:val="0"/>
              <w:spacing w:line="300" w:lineRule="exact"/>
              <w:ind w:firstLine="210" w:firstLineChars="100"/>
              <w:jc w:val="center"/>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眼科</w:t>
            </w:r>
          </w:p>
        </w:tc>
        <w:tc>
          <w:tcPr>
            <w:tcW w:w="2690" w:type="dxa"/>
            <w:noWrap w:val="0"/>
            <w:vAlign w:val="center"/>
          </w:tcPr>
          <w:p w14:paraId="5E646B64">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眼底照相</w:t>
            </w:r>
          </w:p>
        </w:tc>
        <w:tc>
          <w:tcPr>
            <w:tcW w:w="5436" w:type="dxa"/>
            <w:noWrap w:val="0"/>
            <w:vAlign w:val="center"/>
          </w:tcPr>
          <w:p w14:paraId="2C9C2FED">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眼底基础疾病的筛查，如黄斑区、玻璃体、视网膜、视神经等结构。</w:t>
            </w:r>
          </w:p>
        </w:tc>
      </w:tr>
      <w:tr w14:paraId="42019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1308" w:type="dxa"/>
            <w:noWrap w:val="0"/>
            <w:vAlign w:val="center"/>
          </w:tcPr>
          <w:p w14:paraId="5EAD319E">
            <w:pPr>
              <w:widowControl/>
              <w:snapToGrid w:val="0"/>
              <w:spacing w:line="300" w:lineRule="exact"/>
              <w:jc w:val="center"/>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常规检查</w:t>
            </w:r>
          </w:p>
        </w:tc>
        <w:tc>
          <w:tcPr>
            <w:tcW w:w="2690" w:type="dxa"/>
            <w:noWrap w:val="0"/>
            <w:vAlign w:val="center"/>
          </w:tcPr>
          <w:p w14:paraId="5ECCABDB">
            <w:pPr>
              <w:widowControl/>
              <w:snapToGrid w:val="0"/>
              <w:spacing w:line="300" w:lineRule="exact"/>
              <w:jc w:val="left"/>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尿常规</w:t>
            </w:r>
          </w:p>
        </w:tc>
        <w:tc>
          <w:tcPr>
            <w:tcW w:w="5436" w:type="dxa"/>
            <w:noWrap w:val="0"/>
            <w:vAlign w:val="center"/>
          </w:tcPr>
          <w:p w14:paraId="74A9E88F">
            <w:pPr>
              <w:widowControl/>
              <w:snapToGrid w:val="0"/>
              <w:spacing w:line="300" w:lineRule="exact"/>
              <w:jc w:val="left"/>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尿常规13项检查，了解有否尿道感染、肾炎或血尿，以便排除一些疾病引起的肾脏功能改变。</w:t>
            </w:r>
          </w:p>
        </w:tc>
      </w:tr>
      <w:tr w14:paraId="7082C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trPr>
        <w:tc>
          <w:tcPr>
            <w:tcW w:w="1308" w:type="dxa"/>
            <w:vMerge w:val="restart"/>
            <w:noWrap w:val="0"/>
            <w:vAlign w:val="center"/>
          </w:tcPr>
          <w:p w14:paraId="5F48139D">
            <w:pPr>
              <w:widowControl/>
              <w:snapToGrid w:val="0"/>
              <w:spacing w:line="300" w:lineRule="exact"/>
              <w:jc w:val="center"/>
              <w:rPr>
                <w:rFonts w:hint="eastAsia" w:ascii="仿宋" w:hAnsi="仿宋" w:eastAsia="仿宋" w:cs="仿宋"/>
                <w:color w:val="auto"/>
                <w:kern w:val="0"/>
                <w:sz w:val="21"/>
                <w:szCs w:val="21"/>
                <w:highlight w:val="none"/>
                <w:lang w:val="en-US" w:eastAsia="zh-CN"/>
              </w:rPr>
            </w:pPr>
          </w:p>
          <w:p w14:paraId="5EAC3DF0">
            <w:pPr>
              <w:widowControl/>
              <w:snapToGrid w:val="0"/>
              <w:spacing w:line="300" w:lineRule="exact"/>
              <w:jc w:val="center"/>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血液检查</w:t>
            </w:r>
          </w:p>
          <w:p w14:paraId="15A17552">
            <w:pPr>
              <w:widowControl/>
              <w:snapToGrid w:val="0"/>
              <w:spacing w:line="300" w:lineRule="exact"/>
              <w:jc w:val="center"/>
              <w:rPr>
                <w:rFonts w:hint="eastAsia" w:ascii="仿宋" w:hAnsi="仿宋" w:eastAsia="仿宋" w:cs="仿宋"/>
                <w:color w:val="auto"/>
                <w:kern w:val="0"/>
                <w:sz w:val="21"/>
                <w:szCs w:val="21"/>
                <w:highlight w:val="none"/>
                <w:lang w:val="en-US" w:eastAsia="zh-CN"/>
              </w:rPr>
            </w:pPr>
          </w:p>
          <w:p w14:paraId="380AECEA">
            <w:pPr>
              <w:widowControl/>
              <w:snapToGrid w:val="0"/>
              <w:spacing w:line="300" w:lineRule="exact"/>
              <w:jc w:val="center"/>
              <w:rPr>
                <w:rFonts w:hint="eastAsia" w:ascii="仿宋" w:hAnsi="仿宋" w:eastAsia="仿宋" w:cs="仿宋"/>
                <w:color w:val="auto"/>
                <w:kern w:val="0"/>
                <w:sz w:val="21"/>
                <w:szCs w:val="21"/>
                <w:highlight w:val="none"/>
                <w:lang w:val="en-US" w:eastAsia="zh-CN"/>
              </w:rPr>
            </w:pPr>
          </w:p>
        </w:tc>
        <w:tc>
          <w:tcPr>
            <w:tcW w:w="2690" w:type="dxa"/>
            <w:noWrap w:val="0"/>
            <w:vAlign w:val="center"/>
          </w:tcPr>
          <w:p w14:paraId="1E7D8A39">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血常规</w:t>
            </w:r>
          </w:p>
        </w:tc>
        <w:tc>
          <w:tcPr>
            <w:tcW w:w="5436" w:type="dxa"/>
            <w:noWrap w:val="0"/>
            <w:vAlign w:val="center"/>
          </w:tcPr>
          <w:p w14:paraId="4E47B5A5">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了解病毒或细菌感染，如面色苍白或皮下出血点应及时查一次，以便及早发现血液系统疾病（白血病、贫血、溶血、败血症及凝血功能）。</w:t>
            </w:r>
          </w:p>
        </w:tc>
      </w:tr>
      <w:tr w14:paraId="7AAE3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308" w:type="dxa"/>
            <w:vMerge w:val="continue"/>
            <w:noWrap w:val="0"/>
            <w:vAlign w:val="center"/>
          </w:tcPr>
          <w:p w14:paraId="6A1057C1">
            <w:pPr>
              <w:widowControl/>
              <w:snapToGrid w:val="0"/>
              <w:spacing w:line="300" w:lineRule="exact"/>
              <w:jc w:val="center"/>
              <w:rPr>
                <w:rFonts w:hint="eastAsia" w:ascii="仿宋" w:hAnsi="仿宋" w:eastAsia="仿宋" w:cs="仿宋"/>
                <w:color w:val="auto"/>
                <w:kern w:val="0"/>
                <w:sz w:val="21"/>
                <w:szCs w:val="21"/>
                <w:highlight w:val="none"/>
                <w:lang w:val="en-US" w:eastAsia="zh-CN"/>
              </w:rPr>
            </w:pPr>
          </w:p>
        </w:tc>
        <w:tc>
          <w:tcPr>
            <w:tcW w:w="2690" w:type="dxa"/>
            <w:noWrap w:val="0"/>
            <w:vAlign w:val="center"/>
          </w:tcPr>
          <w:p w14:paraId="4B87E790">
            <w:pPr>
              <w:widowControl/>
              <w:snapToGrid w:val="0"/>
              <w:spacing w:line="300" w:lineRule="exact"/>
              <w:jc w:val="left"/>
              <w:rPr>
                <w:rFonts w:hint="default"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空腹血糖</w:t>
            </w:r>
          </w:p>
        </w:tc>
        <w:tc>
          <w:tcPr>
            <w:tcW w:w="5436" w:type="dxa"/>
            <w:noWrap w:val="0"/>
            <w:vAlign w:val="center"/>
          </w:tcPr>
          <w:p w14:paraId="7060F3B4">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检查有无糖尿病及是否低血糖，是筛查糖尿病的基本方法</w:t>
            </w:r>
          </w:p>
        </w:tc>
      </w:tr>
      <w:tr w14:paraId="6FE26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trPr>
        <w:tc>
          <w:tcPr>
            <w:tcW w:w="1308" w:type="dxa"/>
            <w:vMerge w:val="continue"/>
            <w:noWrap w:val="0"/>
            <w:vAlign w:val="center"/>
          </w:tcPr>
          <w:p w14:paraId="4D235A7F">
            <w:pPr>
              <w:widowControl/>
              <w:snapToGrid w:val="0"/>
              <w:spacing w:line="300" w:lineRule="exact"/>
              <w:jc w:val="center"/>
              <w:rPr>
                <w:rFonts w:hint="eastAsia" w:ascii="仿宋" w:hAnsi="仿宋" w:eastAsia="仿宋" w:cs="仿宋"/>
                <w:color w:val="auto"/>
                <w:kern w:val="0"/>
                <w:sz w:val="21"/>
                <w:szCs w:val="21"/>
                <w:highlight w:val="none"/>
                <w:lang w:val="en-US" w:eastAsia="zh-CN"/>
              </w:rPr>
            </w:pPr>
          </w:p>
        </w:tc>
        <w:tc>
          <w:tcPr>
            <w:tcW w:w="2690" w:type="dxa"/>
            <w:noWrap w:val="0"/>
            <w:vAlign w:val="center"/>
          </w:tcPr>
          <w:p w14:paraId="7AEB2ABC">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肾功能</w:t>
            </w:r>
          </w:p>
        </w:tc>
        <w:tc>
          <w:tcPr>
            <w:tcW w:w="5436" w:type="dxa"/>
            <w:noWrap w:val="0"/>
            <w:vAlign w:val="center"/>
          </w:tcPr>
          <w:p w14:paraId="4FFD315E">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检查有无肾脏功能受损、前列腺病变、痛风、血糖等病变。</w:t>
            </w:r>
          </w:p>
        </w:tc>
      </w:tr>
      <w:tr w14:paraId="769B0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trPr>
        <w:tc>
          <w:tcPr>
            <w:tcW w:w="1308" w:type="dxa"/>
            <w:vMerge w:val="continue"/>
            <w:noWrap w:val="0"/>
            <w:vAlign w:val="center"/>
          </w:tcPr>
          <w:p w14:paraId="00F8B796">
            <w:pPr>
              <w:widowControl/>
              <w:snapToGrid w:val="0"/>
              <w:spacing w:line="300" w:lineRule="exact"/>
              <w:jc w:val="center"/>
              <w:rPr>
                <w:rFonts w:hint="eastAsia" w:ascii="仿宋" w:hAnsi="仿宋" w:eastAsia="仿宋" w:cs="仿宋"/>
                <w:color w:val="auto"/>
                <w:kern w:val="0"/>
                <w:sz w:val="21"/>
                <w:szCs w:val="21"/>
                <w:highlight w:val="none"/>
                <w:lang w:val="en-US" w:eastAsia="zh-CN"/>
              </w:rPr>
            </w:pPr>
          </w:p>
        </w:tc>
        <w:tc>
          <w:tcPr>
            <w:tcW w:w="2690" w:type="dxa"/>
            <w:noWrap w:val="0"/>
            <w:vAlign w:val="center"/>
          </w:tcPr>
          <w:p w14:paraId="232D70FA">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血脂四项</w:t>
            </w:r>
          </w:p>
        </w:tc>
        <w:tc>
          <w:tcPr>
            <w:tcW w:w="5436" w:type="dxa"/>
            <w:noWrap w:val="0"/>
            <w:vAlign w:val="center"/>
          </w:tcPr>
          <w:p w14:paraId="742D3E6F">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了解目前甘油三酯及总胆固醇的变化情况，</w:t>
            </w:r>
          </w:p>
        </w:tc>
      </w:tr>
      <w:tr w14:paraId="4A417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trPr>
        <w:tc>
          <w:tcPr>
            <w:tcW w:w="1308" w:type="dxa"/>
            <w:vMerge w:val="continue"/>
            <w:noWrap w:val="0"/>
            <w:vAlign w:val="center"/>
          </w:tcPr>
          <w:p w14:paraId="6360A14A">
            <w:pPr>
              <w:widowControl/>
              <w:snapToGrid w:val="0"/>
              <w:spacing w:line="300" w:lineRule="exact"/>
              <w:jc w:val="center"/>
              <w:rPr>
                <w:rFonts w:hint="eastAsia" w:ascii="仿宋" w:hAnsi="仿宋" w:eastAsia="仿宋" w:cs="仿宋"/>
                <w:color w:val="auto"/>
                <w:kern w:val="0"/>
                <w:sz w:val="21"/>
                <w:szCs w:val="21"/>
                <w:highlight w:val="none"/>
                <w:lang w:val="en-US" w:eastAsia="zh-CN"/>
              </w:rPr>
            </w:pPr>
          </w:p>
        </w:tc>
        <w:tc>
          <w:tcPr>
            <w:tcW w:w="2690" w:type="dxa"/>
            <w:noWrap w:val="0"/>
            <w:vAlign w:val="center"/>
          </w:tcPr>
          <w:p w14:paraId="3C8C1019">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肝功能十项</w:t>
            </w:r>
          </w:p>
        </w:tc>
        <w:tc>
          <w:tcPr>
            <w:tcW w:w="5436" w:type="dxa"/>
            <w:noWrap w:val="0"/>
            <w:vAlign w:val="center"/>
          </w:tcPr>
          <w:p w14:paraId="24C1122D">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了解有无肝功能损害及目前损害的程度及是否影响到肝脏代谢功能。</w:t>
            </w:r>
          </w:p>
        </w:tc>
      </w:tr>
      <w:tr w14:paraId="430DB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1308" w:type="dxa"/>
            <w:vMerge w:val="continue"/>
            <w:noWrap w:val="0"/>
            <w:vAlign w:val="center"/>
          </w:tcPr>
          <w:p w14:paraId="3D449F74">
            <w:pPr>
              <w:widowControl/>
              <w:snapToGrid w:val="0"/>
              <w:spacing w:line="300" w:lineRule="exact"/>
              <w:jc w:val="center"/>
              <w:rPr>
                <w:rFonts w:hint="eastAsia" w:ascii="仿宋" w:hAnsi="仿宋" w:eastAsia="仿宋" w:cs="仿宋"/>
                <w:color w:val="auto"/>
                <w:kern w:val="0"/>
                <w:sz w:val="21"/>
                <w:szCs w:val="21"/>
                <w:highlight w:val="none"/>
                <w:lang w:val="en-US" w:eastAsia="zh-CN"/>
              </w:rPr>
            </w:pPr>
          </w:p>
        </w:tc>
        <w:tc>
          <w:tcPr>
            <w:tcW w:w="2690" w:type="dxa"/>
            <w:noWrap w:val="0"/>
            <w:vAlign w:val="center"/>
          </w:tcPr>
          <w:p w14:paraId="1225EF50">
            <w:pPr>
              <w:widowControl/>
              <w:snapToGrid w:val="0"/>
              <w:spacing w:line="300" w:lineRule="exact"/>
              <w:jc w:val="left"/>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甲功三项</w:t>
            </w:r>
          </w:p>
        </w:tc>
        <w:tc>
          <w:tcPr>
            <w:tcW w:w="5436" w:type="dxa"/>
            <w:noWrap w:val="0"/>
            <w:vAlign w:val="center"/>
          </w:tcPr>
          <w:p w14:paraId="54C45312">
            <w:pPr>
              <w:widowControl/>
              <w:snapToGrid w:val="0"/>
              <w:spacing w:line="300" w:lineRule="exact"/>
              <w:jc w:val="left"/>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了解目前有无甲状腺功能改变（甲亢、甲减等疾病的筛查）。</w:t>
            </w:r>
          </w:p>
        </w:tc>
      </w:tr>
      <w:tr w14:paraId="70928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trPr>
        <w:tc>
          <w:tcPr>
            <w:tcW w:w="1308" w:type="dxa"/>
            <w:noWrap w:val="0"/>
            <w:vAlign w:val="center"/>
          </w:tcPr>
          <w:p w14:paraId="7BF6634E">
            <w:pPr>
              <w:widowControl/>
              <w:snapToGrid w:val="0"/>
              <w:spacing w:line="300" w:lineRule="exact"/>
              <w:jc w:val="center"/>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心血管检查</w:t>
            </w:r>
          </w:p>
        </w:tc>
        <w:tc>
          <w:tcPr>
            <w:tcW w:w="2690" w:type="dxa"/>
            <w:noWrap w:val="0"/>
            <w:vAlign w:val="center"/>
          </w:tcPr>
          <w:p w14:paraId="1E72480F">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血同型半胱氨酸</w:t>
            </w:r>
          </w:p>
        </w:tc>
        <w:tc>
          <w:tcPr>
            <w:tcW w:w="5436" w:type="dxa"/>
            <w:noWrap w:val="0"/>
            <w:vAlign w:val="center"/>
          </w:tcPr>
          <w:p w14:paraId="550BF7BE">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判断心脑血管疾病危险因素</w:t>
            </w:r>
          </w:p>
        </w:tc>
      </w:tr>
      <w:tr w14:paraId="7E553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1308" w:type="dxa"/>
            <w:vMerge w:val="restart"/>
            <w:noWrap w:val="0"/>
            <w:vAlign w:val="center"/>
          </w:tcPr>
          <w:p w14:paraId="136E0851">
            <w:pPr>
              <w:widowControl/>
              <w:snapToGrid w:val="0"/>
              <w:spacing w:line="300" w:lineRule="exact"/>
              <w:jc w:val="center"/>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核医学检查</w:t>
            </w:r>
          </w:p>
        </w:tc>
        <w:tc>
          <w:tcPr>
            <w:tcW w:w="2690" w:type="dxa"/>
            <w:noWrap w:val="0"/>
            <w:vAlign w:val="center"/>
          </w:tcPr>
          <w:p w14:paraId="08AE4659">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甲胎蛋白（AFP）</w:t>
            </w:r>
          </w:p>
        </w:tc>
        <w:tc>
          <w:tcPr>
            <w:tcW w:w="5436" w:type="dxa"/>
            <w:noWrap w:val="0"/>
            <w:vAlign w:val="center"/>
          </w:tcPr>
          <w:p w14:paraId="43D794F8">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动态观察血清AFP含量既可鉴别良性和恶性肝病，又可早期诊断肝癌。</w:t>
            </w:r>
          </w:p>
        </w:tc>
      </w:tr>
      <w:tr w14:paraId="2E8F9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1308" w:type="dxa"/>
            <w:vMerge w:val="continue"/>
            <w:noWrap w:val="0"/>
            <w:vAlign w:val="center"/>
          </w:tcPr>
          <w:p w14:paraId="2A92FC2A">
            <w:pPr>
              <w:widowControl/>
              <w:snapToGrid w:val="0"/>
              <w:spacing w:line="300" w:lineRule="exact"/>
              <w:jc w:val="center"/>
              <w:rPr>
                <w:rFonts w:hint="eastAsia" w:ascii="仿宋" w:hAnsi="仿宋" w:eastAsia="仿宋" w:cs="仿宋"/>
                <w:color w:val="auto"/>
                <w:kern w:val="0"/>
                <w:sz w:val="21"/>
                <w:szCs w:val="21"/>
                <w:highlight w:val="none"/>
                <w:lang w:val="en-US" w:eastAsia="zh-CN"/>
              </w:rPr>
            </w:pPr>
          </w:p>
        </w:tc>
        <w:tc>
          <w:tcPr>
            <w:tcW w:w="2690" w:type="dxa"/>
            <w:noWrap w:val="0"/>
            <w:vAlign w:val="center"/>
          </w:tcPr>
          <w:p w14:paraId="02090406">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癌胚抗原测定(CEA)</w:t>
            </w:r>
          </w:p>
        </w:tc>
        <w:tc>
          <w:tcPr>
            <w:tcW w:w="5436" w:type="dxa"/>
            <w:noWrap w:val="0"/>
            <w:vAlign w:val="center"/>
          </w:tcPr>
          <w:p w14:paraId="67D2F2A8">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主要用于结肠直肠癌、胃癌、胰癌、肝细胞癌、肺癌、乳癌以及甲状腺髓质癌的临床监测，亦见于绒毛膜癌、骨癌、前列腺癌和卵巢癌。</w:t>
            </w:r>
          </w:p>
        </w:tc>
      </w:tr>
      <w:tr w14:paraId="00773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trPr>
        <w:tc>
          <w:tcPr>
            <w:tcW w:w="1308" w:type="dxa"/>
            <w:vMerge w:val="continue"/>
            <w:noWrap w:val="0"/>
            <w:vAlign w:val="center"/>
          </w:tcPr>
          <w:p w14:paraId="32ADAB06">
            <w:pPr>
              <w:widowControl/>
              <w:snapToGrid w:val="0"/>
              <w:spacing w:line="300" w:lineRule="exact"/>
              <w:jc w:val="center"/>
              <w:rPr>
                <w:rFonts w:hint="eastAsia" w:ascii="仿宋" w:hAnsi="仿宋" w:eastAsia="仿宋" w:cs="仿宋"/>
                <w:color w:val="auto"/>
                <w:kern w:val="0"/>
                <w:sz w:val="21"/>
                <w:szCs w:val="21"/>
                <w:highlight w:val="none"/>
                <w:lang w:val="en-US" w:eastAsia="zh-CN"/>
              </w:rPr>
            </w:pPr>
          </w:p>
        </w:tc>
        <w:tc>
          <w:tcPr>
            <w:tcW w:w="2690" w:type="dxa"/>
            <w:shd w:val="clear" w:color="auto" w:fill="auto"/>
            <w:noWrap w:val="0"/>
            <w:vAlign w:val="center"/>
          </w:tcPr>
          <w:p w14:paraId="54D6A849">
            <w:pPr>
              <w:widowControl/>
              <w:snapToGrid w:val="0"/>
              <w:spacing w:line="300" w:lineRule="exact"/>
              <w:jc w:val="both"/>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Cs w:val="21"/>
                <w:highlight w:val="none"/>
              </w:rPr>
              <w:t>总前列腺特异性抗原测定</w:t>
            </w:r>
          </w:p>
        </w:tc>
        <w:tc>
          <w:tcPr>
            <w:tcW w:w="5436" w:type="dxa"/>
            <w:shd w:val="clear" w:color="auto" w:fill="auto"/>
            <w:noWrap w:val="0"/>
            <w:vAlign w:val="center"/>
          </w:tcPr>
          <w:p w14:paraId="1E2337E8">
            <w:pPr>
              <w:widowControl/>
              <w:snapToGrid w:val="0"/>
              <w:spacing w:line="300" w:lineRule="exact"/>
              <w:jc w:val="left"/>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Cs w:val="21"/>
                <w:highlight w:val="none"/>
              </w:rPr>
              <w:t>男性</w:t>
            </w:r>
            <w:r>
              <w:rPr>
                <w:rFonts w:ascii="仿宋" w:hAnsi="仿宋" w:eastAsia="仿宋" w:cs="仿宋"/>
                <w:color w:val="auto"/>
                <w:kern w:val="0"/>
                <w:szCs w:val="21"/>
                <w:highlight w:val="none"/>
              </w:rPr>
              <w:t>前列腺肿瘤</w:t>
            </w:r>
            <w:r>
              <w:rPr>
                <w:rFonts w:hint="eastAsia" w:ascii="仿宋" w:hAnsi="仿宋" w:eastAsia="仿宋" w:cs="仿宋"/>
                <w:color w:val="auto"/>
                <w:kern w:val="0"/>
                <w:szCs w:val="21"/>
                <w:highlight w:val="none"/>
              </w:rPr>
              <w:t>筛查</w:t>
            </w:r>
          </w:p>
        </w:tc>
      </w:tr>
      <w:tr w14:paraId="042AF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1308" w:type="dxa"/>
            <w:vMerge w:val="restart"/>
            <w:noWrap w:val="0"/>
            <w:vAlign w:val="center"/>
          </w:tcPr>
          <w:p w14:paraId="5C0D7BA3">
            <w:pPr>
              <w:widowControl/>
              <w:snapToGrid w:val="0"/>
              <w:spacing w:line="300" w:lineRule="exact"/>
              <w:jc w:val="center"/>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影像检查</w:t>
            </w:r>
          </w:p>
        </w:tc>
        <w:tc>
          <w:tcPr>
            <w:tcW w:w="2690" w:type="dxa"/>
            <w:noWrap w:val="0"/>
            <w:vAlign w:val="center"/>
          </w:tcPr>
          <w:p w14:paraId="0187AEFE">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肺部CT</w:t>
            </w:r>
          </w:p>
        </w:tc>
        <w:tc>
          <w:tcPr>
            <w:tcW w:w="5436" w:type="dxa"/>
            <w:noWrap w:val="0"/>
            <w:vAlign w:val="center"/>
          </w:tcPr>
          <w:p w14:paraId="589234BE">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对支气管炎、肺炎、肺结核、肺部及纵隔占位等疾病诊断有参考意义。胸廓检查（包括肋骨、胸椎等）、胸膜、心脏及大血管病变。</w:t>
            </w:r>
          </w:p>
        </w:tc>
      </w:tr>
      <w:tr w14:paraId="35180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1308" w:type="dxa"/>
            <w:vMerge w:val="continue"/>
            <w:noWrap w:val="0"/>
            <w:vAlign w:val="center"/>
          </w:tcPr>
          <w:p w14:paraId="4D2E7B6D">
            <w:pPr>
              <w:widowControl/>
              <w:snapToGrid w:val="0"/>
              <w:spacing w:line="300" w:lineRule="exact"/>
              <w:jc w:val="center"/>
              <w:rPr>
                <w:rFonts w:hint="eastAsia" w:ascii="仿宋" w:hAnsi="仿宋" w:eastAsia="仿宋" w:cs="仿宋"/>
                <w:color w:val="auto"/>
                <w:kern w:val="0"/>
                <w:sz w:val="21"/>
                <w:szCs w:val="21"/>
                <w:highlight w:val="none"/>
                <w:lang w:val="en-US" w:eastAsia="zh-CN"/>
              </w:rPr>
            </w:pPr>
          </w:p>
        </w:tc>
        <w:tc>
          <w:tcPr>
            <w:tcW w:w="2690" w:type="dxa"/>
            <w:noWrap w:val="0"/>
            <w:vAlign w:val="center"/>
          </w:tcPr>
          <w:p w14:paraId="74E34C03">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颈椎或腰椎正侧位DR</w:t>
            </w:r>
          </w:p>
        </w:tc>
        <w:tc>
          <w:tcPr>
            <w:tcW w:w="5436" w:type="dxa"/>
            <w:noWrap w:val="0"/>
            <w:vAlign w:val="center"/>
          </w:tcPr>
          <w:p w14:paraId="41360DA7">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颈椎或腰椎正侧位DR（二选一）</w:t>
            </w:r>
          </w:p>
        </w:tc>
      </w:tr>
      <w:tr w14:paraId="58DEA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1308" w:type="dxa"/>
            <w:noWrap w:val="0"/>
            <w:vAlign w:val="center"/>
          </w:tcPr>
          <w:p w14:paraId="5DBF4E3D">
            <w:pPr>
              <w:widowControl/>
              <w:snapToGrid w:val="0"/>
              <w:spacing w:line="300" w:lineRule="exact"/>
              <w:jc w:val="center"/>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心电图</w:t>
            </w:r>
          </w:p>
        </w:tc>
        <w:tc>
          <w:tcPr>
            <w:tcW w:w="2690" w:type="dxa"/>
            <w:noWrap w:val="0"/>
            <w:vAlign w:val="center"/>
          </w:tcPr>
          <w:p w14:paraId="236B79DF">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12导联心电图</w:t>
            </w:r>
          </w:p>
        </w:tc>
        <w:tc>
          <w:tcPr>
            <w:tcW w:w="5436" w:type="dxa"/>
            <w:noWrap w:val="0"/>
            <w:vAlign w:val="center"/>
          </w:tcPr>
          <w:p w14:paraId="1A23CA66">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了解心律不齐、心肌梗塞、心肌缺血、心率过缓/过速、心室电压增高等心脏疾病。</w:t>
            </w:r>
          </w:p>
        </w:tc>
      </w:tr>
      <w:tr w14:paraId="2B33C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1308" w:type="dxa"/>
            <w:noWrap w:val="0"/>
            <w:vAlign w:val="center"/>
          </w:tcPr>
          <w:p w14:paraId="5807F493">
            <w:pPr>
              <w:widowControl/>
              <w:snapToGrid w:val="0"/>
              <w:spacing w:line="300" w:lineRule="exact"/>
              <w:jc w:val="center"/>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spacing w:val="-10"/>
                <w:kern w:val="2"/>
                <w:sz w:val="21"/>
                <w:szCs w:val="21"/>
                <w:highlight w:val="none"/>
                <w:lang w:val="en-US" w:eastAsia="zh-CN" w:bidi="ar-SA"/>
              </w:rPr>
              <w:t>特殊检查</w:t>
            </w:r>
          </w:p>
        </w:tc>
        <w:tc>
          <w:tcPr>
            <w:tcW w:w="2690" w:type="dxa"/>
            <w:noWrap w:val="0"/>
            <w:vAlign w:val="center"/>
          </w:tcPr>
          <w:p w14:paraId="0B9AD69D">
            <w:pPr>
              <w:adjustRightInd w:val="0"/>
              <w:snapToGrid w:val="0"/>
              <w:spacing w:line="240" w:lineRule="exact"/>
              <w:jc w:val="left"/>
              <w:rPr>
                <w:rFonts w:hint="eastAsia" w:ascii="仿宋" w:hAnsi="仿宋" w:eastAsia="仿宋" w:cs="仿宋"/>
                <w:color w:val="auto"/>
                <w:spacing w:val="-10"/>
                <w:kern w:val="2"/>
                <w:sz w:val="21"/>
                <w:szCs w:val="21"/>
                <w:highlight w:val="none"/>
                <w:lang w:val="en-US" w:eastAsia="zh-CN" w:bidi="ar-SA"/>
              </w:rPr>
            </w:pPr>
            <w:r>
              <w:rPr>
                <w:rFonts w:hint="eastAsia" w:ascii="仿宋" w:hAnsi="仿宋" w:eastAsia="仿宋" w:cs="仿宋"/>
                <w:color w:val="auto"/>
                <w:spacing w:val="-10"/>
                <w:sz w:val="21"/>
                <w:szCs w:val="21"/>
                <w:highlight w:val="none"/>
              </w:rPr>
              <w:t>肝纤维化无创诊断</w:t>
            </w:r>
          </w:p>
        </w:tc>
        <w:tc>
          <w:tcPr>
            <w:tcW w:w="5436" w:type="dxa"/>
            <w:noWrap w:val="0"/>
            <w:vAlign w:val="center"/>
          </w:tcPr>
          <w:p w14:paraId="134ACED4">
            <w:pPr>
              <w:widowControl/>
              <w:snapToGrid w:val="0"/>
              <w:spacing w:line="300" w:lineRule="exact"/>
              <w:jc w:val="left"/>
              <w:rPr>
                <w:rFonts w:hint="default"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检测肝脏损伤与纤维化程度</w:t>
            </w:r>
          </w:p>
        </w:tc>
      </w:tr>
      <w:tr w14:paraId="38480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trPr>
        <w:tc>
          <w:tcPr>
            <w:tcW w:w="1308" w:type="dxa"/>
            <w:vMerge w:val="restart"/>
            <w:noWrap w:val="0"/>
            <w:vAlign w:val="center"/>
          </w:tcPr>
          <w:p w14:paraId="408F5AE7">
            <w:pPr>
              <w:widowControl/>
              <w:snapToGrid w:val="0"/>
              <w:spacing w:line="300" w:lineRule="exact"/>
              <w:jc w:val="center"/>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超声检查</w:t>
            </w:r>
          </w:p>
        </w:tc>
        <w:tc>
          <w:tcPr>
            <w:tcW w:w="2690" w:type="dxa"/>
            <w:noWrap w:val="0"/>
            <w:vAlign w:val="center"/>
          </w:tcPr>
          <w:p w14:paraId="454DC5FE">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肝、胆、脾、胰、双肾</w:t>
            </w:r>
          </w:p>
        </w:tc>
        <w:tc>
          <w:tcPr>
            <w:tcW w:w="5436" w:type="dxa"/>
            <w:noWrap w:val="0"/>
            <w:vAlign w:val="top"/>
          </w:tcPr>
          <w:p w14:paraId="4577BEE4">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了解肝硬化、肝囊肿、肝癌、肝脓肿、肝血管瘤、肝脂肪、胆囊结石、胆囊息肉、胰腺癌、脾肿大等疾病情况。通过肾了解有否肾结石、肾肿瘤。</w:t>
            </w:r>
          </w:p>
        </w:tc>
      </w:tr>
      <w:tr w14:paraId="5CABB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1308" w:type="dxa"/>
            <w:vMerge w:val="continue"/>
            <w:noWrap w:val="0"/>
            <w:vAlign w:val="center"/>
          </w:tcPr>
          <w:p w14:paraId="2B82D5F3">
            <w:pPr>
              <w:widowControl/>
              <w:snapToGrid w:val="0"/>
              <w:spacing w:line="300" w:lineRule="exact"/>
              <w:jc w:val="left"/>
              <w:rPr>
                <w:rFonts w:hint="eastAsia" w:ascii="仿宋" w:hAnsi="仿宋" w:eastAsia="仿宋" w:cs="仿宋"/>
                <w:color w:val="auto"/>
                <w:kern w:val="0"/>
                <w:sz w:val="21"/>
                <w:szCs w:val="21"/>
                <w:highlight w:val="none"/>
                <w:lang w:val="en-US" w:eastAsia="zh-CN"/>
              </w:rPr>
            </w:pPr>
          </w:p>
        </w:tc>
        <w:tc>
          <w:tcPr>
            <w:tcW w:w="2690" w:type="dxa"/>
            <w:noWrap w:val="0"/>
            <w:vAlign w:val="center"/>
          </w:tcPr>
          <w:p w14:paraId="3CD55F90">
            <w:pPr>
              <w:widowControl/>
              <w:snapToGrid w:val="0"/>
              <w:spacing w:line="300" w:lineRule="exact"/>
              <w:jc w:val="left"/>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甲状腺及颈部淋巴结彩超</w:t>
            </w:r>
          </w:p>
        </w:tc>
        <w:tc>
          <w:tcPr>
            <w:tcW w:w="5436" w:type="dxa"/>
            <w:noWrap w:val="0"/>
            <w:vAlign w:val="center"/>
          </w:tcPr>
          <w:p w14:paraId="71D707A9">
            <w:pPr>
              <w:widowControl/>
              <w:snapToGrid w:val="0"/>
              <w:spacing w:line="300" w:lineRule="exact"/>
              <w:jc w:val="left"/>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了解甲状腺及颈部淋巴有无结节、囊肿、良/恶性占位等疾病。</w:t>
            </w:r>
          </w:p>
        </w:tc>
      </w:tr>
      <w:tr w14:paraId="11809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1308" w:type="dxa"/>
            <w:vMerge w:val="continue"/>
            <w:noWrap w:val="0"/>
            <w:vAlign w:val="center"/>
          </w:tcPr>
          <w:p w14:paraId="342C8E8A">
            <w:pPr>
              <w:widowControl/>
              <w:snapToGrid w:val="0"/>
              <w:spacing w:line="300" w:lineRule="exact"/>
              <w:jc w:val="left"/>
              <w:rPr>
                <w:rFonts w:hint="eastAsia" w:ascii="仿宋" w:hAnsi="仿宋" w:eastAsia="仿宋" w:cs="仿宋"/>
                <w:color w:val="auto"/>
                <w:kern w:val="0"/>
                <w:sz w:val="21"/>
                <w:szCs w:val="21"/>
                <w:highlight w:val="none"/>
                <w:lang w:val="en-US" w:eastAsia="zh-CN"/>
              </w:rPr>
            </w:pPr>
          </w:p>
        </w:tc>
        <w:tc>
          <w:tcPr>
            <w:tcW w:w="2690" w:type="dxa"/>
            <w:noWrap w:val="0"/>
            <w:vAlign w:val="center"/>
          </w:tcPr>
          <w:p w14:paraId="0EC0F121">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前列腺、膀胱</w:t>
            </w:r>
          </w:p>
        </w:tc>
        <w:tc>
          <w:tcPr>
            <w:tcW w:w="5436" w:type="dxa"/>
            <w:noWrap w:val="0"/>
            <w:vAlign w:val="center"/>
          </w:tcPr>
          <w:p w14:paraId="40127D6D">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了解前列腺增大、增生、钙化、结石、占位等疾病。</w:t>
            </w:r>
          </w:p>
        </w:tc>
      </w:tr>
    </w:tbl>
    <w:p w14:paraId="04000951">
      <w:pPr>
        <w:rPr>
          <w:rFonts w:hint="eastAsia"/>
          <w:color w:val="auto"/>
          <w:highlight w:val="none"/>
          <w:lang w:val="en-US" w:eastAsia="zh-CN"/>
        </w:rPr>
      </w:pPr>
    </w:p>
    <w:p w14:paraId="0597C061">
      <w:pPr>
        <w:rPr>
          <w:rFonts w:hint="eastAsia"/>
          <w:color w:val="auto"/>
          <w:highlight w:val="none"/>
          <w:lang w:val="en-US" w:eastAsia="zh-CN"/>
        </w:rPr>
      </w:pPr>
    </w:p>
    <w:p w14:paraId="1FBF04F3">
      <w:pPr>
        <w:widowControl/>
        <w:snapToGrid w:val="0"/>
        <w:spacing w:line="216" w:lineRule="auto"/>
        <w:jc w:val="center"/>
        <w:textAlignment w:val="baseline"/>
        <w:outlineLvl w:val="1"/>
        <w:rPr>
          <w:rFonts w:hint="eastAsia" w:ascii="仿宋" w:hAnsi="仿宋" w:eastAsia="仿宋" w:cs="仿宋"/>
          <w:b/>
          <w:bCs/>
          <w:color w:val="auto"/>
          <w:sz w:val="24"/>
          <w:szCs w:val="28"/>
          <w:highlight w:val="none"/>
        </w:rPr>
      </w:pPr>
      <w:bookmarkStart w:id="89" w:name="_Toc1088"/>
      <w:r>
        <w:rPr>
          <w:rFonts w:hint="eastAsia" w:ascii="仿宋" w:hAnsi="仿宋" w:eastAsia="仿宋" w:cs="仿宋"/>
          <w:b/>
          <w:bCs/>
          <w:color w:val="auto"/>
          <w:sz w:val="24"/>
          <w:szCs w:val="28"/>
          <w:highlight w:val="none"/>
          <w:lang w:val="en-US" w:eastAsia="zh-CN"/>
        </w:rPr>
        <w:t>B</w:t>
      </w:r>
      <w:r>
        <w:rPr>
          <w:rFonts w:hint="eastAsia" w:ascii="仿宋" w:hAnsi="仿宋" w:eastAsia="仿宋" w:cs="仿宋"/>
          <w:b/>
          <w:bCs/>
          <w:color w:val="auto"/>
          <w:sz w:val="24"/>
          <w:szCs w:val="28"/>
          <w:highlight w:val="none"/>
        </w:rPr>
        <w:t>、</w:t>
      </w:r>
      <w:r>
        <w:rPr>
          <w:rFonts w:hint="eastAsia" w:ascii="仿宋" w:hAnsi="仿宋" w:eastAsia="仿宋" w:cs="仿宋"/>
          <w:b/>
          <w:bCs/>
          <w:color w:val="auto"/>
          <w:sz w:val="24"/>
          <w:szCs w:val="28"/>
          <w:highlight w:val="none"/>
          <w:lang w:val="en-US" w:eastAsia="zh-CN"/>
        </w:rPr>
        <w:t>41岁及以上男士</w:t>
      </w:r>
      <w:r>
        <w:rPr>
          <w:rFonts w:hint="eastAsia" w:ascii="仿宋" w:hAnsi="仿宋" w:eastAsia="仿宋" w:cs="仿宋"/>
          <w:b/>
          <w:bCs/>
          <w:color w:val="auto"/>
          <w:sz w:val="24"/>
          <w:szCs w:val="28"/>
          <w:highlight w:val="none"/>
        </w:rPr>
        <w:t>套餐</w:t>
      </w:r>
      <w:bookmarkEnd w:id="89"/>
    </w:p>
    <w:tbl>
      <w:tblPr>
        <w:tblStyle w:val="40"/>
        <w:tblpPr w:leftFromText="180" w:rightFromText="180" w:vertAnchor="text" w:horzAnchor="page" w:tblpX="1237" w:tblpY="497"/>
        <w:tblOverlap w:val="never"/>
        <w:tblW w:w="94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9"/>
        <w:gridCol w:w="2646"/>
        <w:gridCol w:w="5472"/>
      </w:tblGrid>
      <w:tr w14:paraId="3FB74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1369" w:type="dxa"/>
            <w:noWrap w:val="0"/>
            <w:vAlign w:val="center"/>
          </w:tcPr>
          <w:p w14:paraId="7A40B912">
            <w:pPr>
              <w:autoSpaceDN w:val="0"/>
              <w:snapToGrid w:val="0"/>
              <w:spacing w:line="300" w:lineRule="exact"/>
              <w:jc w:val="center"/>
              <w:textAlignment w:val="bottom"/>
              <w:rPr>
                <w:rFonts w:hint="eastAsia" w:ascii="仿宋" w:hAnsi="仿宋" w:eastAsia="仿宋" w:cs="仿宋"/>
                <w:b/>
                <w:snapToGrid w:val="0"/>
                <w:color w:val="auto"/>
                <w:sz w:val="21"/>
                <w:szCs w:val="21"/>
                <w:highlight w:val="none"/>
              </w:rPr>
            </w:pPr>
            <w:r>
              <w:rPr>
                <w:rFonts w:hint="eastAsia" w:ascii="仿宋" w:hAnsi="仿宋" w:eastAsia="仿宋" w:cs="仿宋"/>
                <w:b/>
                <w:snapToGrid w:val="0"/>
                <w:color w:val="auto"/>
                <w:sz w:val="21"/>
                <w:szCs w:val="21"/>
                <w:highlight w:val="none"/>
              </w:rPr>
              <w:t>项目分类</w:t>
            </w:r>
          </w:p>
        </w:tc>
        <w:tc>
          <w:tcPr>
            <w:tcW w:w="2646" w:type="dxa"/>
            <w:noWrap w:val="0"/>
            <w:vAlign w:val="center"/>
          </w:tcPr>
          <w:p w14:paraId="1030AA72">
            <w:pPr>
              <w:autoSpaceDN w:val="0"/>
              <w:snapToGrid w:val="0"/>
              <w:spacing w:line="300" w:lineRule="exact"/>
              <w:ind w:left="-334" w:leftChars="-159"/>
              <w:jc w:val="center"/>
              <w:textAlignment w:val="bottom"/>
              <w:rPr>
                <w:rFonts w:hint="eastAsia" w:ascii="仿宋" w:hAnsi="仿宋" w:eastAsia="仿宋" w:cs="仿宋"/>
                <w:b/>
                <w:snapToGrid w:val="0"/>
                <w:color w:val="auto"/>
                <w:sz w:val="21"/>
                <w:szCs w:val="21"/>
                <w:highlight w:val="none"/>
              </w:rPr>
            </w:pPr>
            <w:r>
              <w:rPr>
                <w:rFonts w:hint="eastAsia" w:ascii="仿宋" w:hAnsi="仿宋" w:eastAsia="仿宋" w:cs="仿宋"/>
                <w:b/>
                <w:snapToGrid w:val="0"/>
                <w:color w:val="auto"/>
                <w:sz w:val="21"/>
                <w:szCs w:val="21"/>
                <w:highlight w:val="none"/>
              </w:rPr>
              <w:t>检查项目</w:t>
            </w:r>
          </w:p>
        </w:tc>
        <w:tc>
          <w:tcPr>
            <w:tcW w:w="5472" w:type="dxa"/>
            <w:noWrap w:val="0"/>
            <w:vAlign w:val="center"/>
          </w:tcPr>
          <w:p w14:paraId="29E75EE0">
            <w:pPr>
              <w:autoSpaceDN w:val="0"/>
              <w:snapToGrid w:val="0"/>
              <w:spacing w:line="300" w:lineRule="exact"/>
              <w:jc w:val="center"/>
              <w:textAlignment w:val="bottom"/>
              <w:rPr>
                <w:rFonts w:hint="eastAsia" w:ascii="仿宋" w:hAnsi="仿宋" w:eastAsia="仿宋" w:cs="仿宋"/>
                <w:b/>
                <w:snapToGrid w:val="0"/>
                <w:color w:val="auto"/>
                <w:sz w:val="21"/>
                <w:szCs w:val="21"/>
                <w:highlight w:val="none"/>
              </w:rPr>
            </w:pPr>
            <w:r>
              <w:rPr>
                <w:rFonts w:hint="eastAsia" w:ascii="仿宋" w:hAnsi="仿宋" w:eastAsia="仿宋" w:cs="仿宋"/>
                <w:b/>
                <w:snapToGrid w:val="0"/>
                <w:color w:val="auto"/>
                <w:sz w:val="21"/>
                <w:szCs w:val="21"/>
                <w:highlight w:val="none"/>
              </w:rPr>
              <w:t>项目含义</w:t>
            </w:r>
          </w:p>
        </w:tc>
      </w:tr>
      <w:tr w14:paraId="4FC7B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1369" w:type="dxa"/>
            <w:vMerge w:val="restart"/>
            <w:noWrap w:val="0"/>
            <w:vAlign w:val="center"/>
          </w:tcPr>
          <w:p w14:paraId="784EEBED">
            <w:pPr>
              <w:widowControl/>
              <w:snapToGrid w:val="0"/>
              <w:spacing w:line="300" w:lineRule="exact"/>
              <w:jc w:val="center"/>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一般检查</w:t>
            </w:r>
          </w:p>
        </w:tc>
        <w:tc>
          <w:tcPr>
            <w:tcW w:w="2646" w:type="dxa"/>
            <w:noWrap w:val="0"/>
            <w:vAlign w:val="center"/>
          </w:tcPr>
          <w:p w14:paraId="5B75BA96">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身高、体重、血压、体重指数、臀围、腰围</w:t>
            </w:r>
          </w:p>
        </w:tc>
        <w:tc>
          <w:tcPr>
            <w:tcW w:w="5472" w:type="dxa"/>
            <w:noWrap w:val="0"/>
            <w:vAlign w:val="center"/>
          </w:tcPr>
          <w:p w14:paraId="75903DAC">
            <w:pPr>
              <w:widowControl/>
              <w:snapToGrid w:val="0"/>
              <w:spacing w:line="300" w:lineRule="exact"/>
              <w:jc w:val="both"/>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了解身高、体重、血压、臀围、腰围等基本情况以及是否有体重超标等。</w:t>
            </w:r>
          </w:p>
        </w:tc>
      </w:tr>
      <w:tr w14:paraId="46F9A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1369" w:type="dxa"/>
            <w:vMerge w:val="continue"/>
            <w:noWrap w:val="0"/>
            <w:vAlign w:val="center"/>
          </w:tcPr>
          <w:p w14:paraId="778B7576">
            <w:pPr>
              <w:widowControl/>
              <w:snapToGrid w:val="0"/>
              <w:spacing w:line="300" w:lineRule="exact"/>
              <w:jc w:val="center"/>
              <w:rPr>
                <w:rFonts w:hint="eastAsia" w:ascii="仿宋" w:hAnsi="仿宋" w:eastAsia="仿宋" w:cs="仿宋"/>
                <w:color w:val="auto"/>
                <w:kern w:val="0"/>
                <w:sz w:val="21"/>
                <w:szCs w:val="21"/>
                <w:highlight w:val="none"/>
                <w:lang w:val="en-US" w:eastAsia="zh-CN"/>
              </w:rPr>
            </w:pPr>
          </w:p>
        </w:tc>
        <w:tc>
          <w:tcPr>
            <w:tcW w:w="2646" w:type="dxa"/>
            <w:noWrap w:val="0"/>
            <w:vAlign w:val="center"/>
          </w:tcPr>
          <w:p w14:paraId="0CFD738F">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体检问卷</w:t>
            </w:r>
          </w:p>
        </w:tc>
        <w:tc>
          <w:tcPr>
            <w:tcW w:w="5472" w:type="dxa"/>
            <w:noWrap w:val="0"/>
            <w:vAlign w:val="center"/>
          </w:tcPr>
          <w:p w14:paraId="788DFD2E">
            <w:pPr>
              <w:widowControl/>
              <w:snapToGrid w:val="0"/>
              <w:spacing w:line="300" w:lineRule="exact"/>
              <w:jc w:val="both"/>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了解生活方式、个人史、家族史、健康体检史等</w:t>
            </w:r>
          </w:p>
        </w:tc>
      </w:tr>
      <w:tr w14:paraId="7C69E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1369" w:type="dxa"/>
            <w:noWrap w:val="0"/>
            <w:vAlign w:val="center"/>
          </w:tcPr>
          <w:p w14:paraId="3AFEB90A">
            <w:pPr>
              <w:widowControl/>
              <w:snapToGrid w:val="0"/>
              <w:spacing w:line="300" w:lineRule="exact"/>
              <w:ind w:firstLine="210" w:firstLineChars="100"/>
              <w:jc w:val="center"/>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眼科</w:t>
            </w:r>
          </w:p>
        </w:tc>
        <w:tc>
          <w:tcPr>
            <w:tcW w:w="2646" w:type="dxa"/>
            <w:noWrap w:val="0"/>
            <w:vAlign w:val="center"/>
          </w:tcPr>
          <w:p w14:paraId="488F59AC">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眼底照相</w:t>
            </w:r>
          </w:p>
        </w:tc>
        <w:tc>
          <w:tcPr>
            <w:tcW w:w="5472" w:type="dxa"/>
            <w:noWrap w:val="0"/>
            <w:vAlign w:val="center"/>
          </w:tcPr>
          <w:p w14:paraId="263FDAA0">
            <w:pPr>
              <w:widowControl/>
              <w:snapToGrid w:val="0"/>
              <w:spacing w:line="300" w:lineRule="exact"/>
              <w:jc w:val="both"/>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眼底基础疾病的筛查，如黄斑区、玻璃体、视网膜、视神经等结构。</w:t>
            </w:r>
          </w:p>
        </w:tc>
      </w:tr>
      <w:tr w14:paraId="4185E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1369" w:type="dxa"/>
            <w:noWrap w:val="0"/>
            <w:vAlign w:val="center"/>
          </w:tcPr>
          <w:p w14:paraId="1231A668">
            <w:pPr>
              <w:widowControl/>
              <w:snapToGrid w:val="0"/>
              <w:spacing w:line="300" w:lineRule="exact"/>
              <w:jc w:val="center"/>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常规检查</w:t>
            </w:r>
          </w:p>
        </w:tc>
        <w:tc>
          <w:tcPr>
            <w:tcW w:w="2646" w:type="dxa"/>
            <w:noWrap w:val="0"/>
            <w:vAlign w:val="center"/>
          </w:tcPr>
          <w:p w14:paraId="5F211057">
            <w:pPr>
              <w:widowControl/>
              <w:snapToGrid w:val="0"/>
              <w:spacing w:line="300" w:lineRule="exact"/>
              <w:jc w:val="left"/>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尿常规</w:t>
            </w:r>
          </w:p>
        </w:tc>
        <w:tc>
          <w:tcPr>
            <w:tcW w:w="5472" w:type="dxa"/>
            <w:noWrap w:val="0"/>
            <w:vAlign w:val="center"/>
          </w:tcPr>
          <w:p w14:paraId="7E1AFF55">
            <w:pPr>
              <w:widowControl/>
              <w:snapToGrid w:val="0"/>
              <w:spacing w:line="300" w:lineRule="exact"/>
              <w:jc w:val="both"/>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尿常规13项检查，了解有否尿道感染、肾炎或血尿，以便排除一些疾病引起的肾脏功能改变。</w:t>
            </w:r>
          </w:p>
        </w:tc>
      </w:tr>
      <w:tr w14:paraId="6BD69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 w:hRule="atLeast"/>
        </w:trPr>
        <w:tc>
          <w:tcPr>
            <w:tcW w:w="1369" w:type="dxa"/>
            <w:vMerge w:val="restart"/>
            <w:noWrap w:val="0"/>
            <w:vAlign w:val="center"/>
          </w:tcPr>
          <w:p w14:paraId="0AEC00A3">
            <w:pPr>
              <w:widowControl/>
              <w:snapToGrid w:val="0"/>
              <w:spacing w:line="300" w:lineRule="exact"/>
              <w:jc w:val="center"/>
              <w:rPr>
                <w:rFonts w:hint="eastAsia" w:ascii="仿宋" w:hAnsi="仿宋" w:eastAsia="仿宋" w:cs="仿宋"/>
                <w:color w:val="auto"/>
                <w:kern w:val="0"/>
                <w:sz w:val="21"/>
                <w:szCs w:val="21"/>
                <w:highlight w:val="none"/>
                <w:lang w:val="en-US" w:eastAsia="zh-CN"/>
              </w:rPr>
            </w:pPr>
          </w:p>
          <w:p w14:paraId="3C1B3059">
            <w:pPr>
              <w:widowControl/>
              <w:snapToGrid w:val="0"/>
              <w:spacing w:line="300" w:lineRule="exact"/>
              <w:jc w:val="center"/>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血液检查</w:t>
            </w:r>
          </w:p>
          <w:p w14:paraId="6F08FDE8">
            <w:pPr>
              <w:widowControl/>
              <w:snapToGrid w:val="0"/>
              <w:spacing w:line="300" w:lineRule="exact"/>
              <w:jc w:val="center"/>
              <w:rPr>
                <w:rFonts w:hint="eastAsia" w:ascii="仿宋" w:hAnsi="仿宋" w:eastAsia="仿宋" w:cs="仿宋"/>
                <w:color w:val="auto"/>
                <w:kern w:val="0"/>
                <w:sz w:val="21"/>
                <w:szCs w:val="21"/>
                <w:highlight w:val="none"/>
                <w:lang w:val="en-US" w:eastAsia="zh-CN"/>
              </w:rPr>
            </w:pPr>
          </w:p>
          <w:p w14:paraId="52C14E5F">
            <w:pPr>
              <w:widowControl/>
              <w:snapToGrid w:val="0"/>
              <w:spacing w:line="300" w:lineRule="exact"/>
              <w:jc w:val="center"/>
              <w:rPr>
                <w:rFonts w:hint="eastAsia" w:ascii="仿宋" w:hAnsi="仿宋" w:eastAsia="仿宋" w:cs="仿宋"/>
                <w:color w:val="auto"/>
                <w:kern w:val="0"/>
                <w:sz w:val="21"/>
                <w:szCs w:val="21"/>
                <w:highlight w:val="none"/>
                <w:lang w:val="en-US" w:eastAsia="zh-CN"/>
              </w:rPr>
            </w:pPr>
          </w:p>
        </w:tc>
        <w:tc>
          <w:tcPr>
            <w:tcW w:w="2646" w:type="dxa"/>
            <w:noWrap w:val="0"/>
            <w:vAlign w:val="center"/>
          </w:tcPr>
          <w:p w14:paraId="6D99608B">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血常规</w:t>
            </w:r>
          </w:p>
        </w:tc>
        <w:tc>
          <w:tcPr>
            <w:tcW w:w="5472" w:type="dxa"/>
            <w:noWrap w:val="0"/>
            <w:vAlign w:val="center"/>
          </w:tcPr>
          <w:p w14:paraId="7FD5FA71">
            <w:pPr>
              <w:widowControl/>
              <w:snapToGrid w:val="0"/>
              <w:spacing w:line="300" w:lineRule="exact"/>
              <w:jc w:val="both"/>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了解病毒或细菌感染，如面色苍白或皮下出血点应及时查一次，以便及早发现血液系统疾病（白血病、贫血、溶血、败血症及凝血功能）。</w:t>
            </w:r>
          </w:p>
        </w:tc>
      </w:tr>
      <w:tr w14:paraId="6E2A6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1369" w:type="dxa"/>
            <w:vMerge w:val="continue"/>
            <w:noWrap w:val="0"/>
            <w:vAlign w:val="center"/>
          </w:tcPr>
          <w:p w14:paraId="5CD51113">
            <w:pPr>
              <w:widowControl/>
              <w:snapToGrid w:val="0"/>
              <w:spacing w:line="300" w:lineRule="exact"/>
              <w:jc w:val="center"/>
              <w:rPr>
                <w:rFonts w:hint="eastAsia" w:ascii="仿宋" w:hAnsi="仿宋" w:eastAsia="仿宋" w:cs="仿宋"/>
                <w:color w:val="auto"/>
                <w:kern w:val="0"/>
                <w:sz w:val="21"/>
                <w:szCs w:val="21"/>
                <w:highlight w:val="none"/>
                <w:lang w:val="en-US" w:eastAsia="zh-CN"/>
              </w:rPr>
            </w:pPr>
          </w:p>
        </w:tc>
        <w:tc>
          <w:tcPr>
            <w:tcW w:w="2646" w:type="dxa"/>
            <w:noWrap w:val="0"/>
            <w:vAlign w:val="center"/>
          </w:tcPr>
          <w:p w14:paraId="7085641C">
            <w:pPr>
              <w:widowControl/>
              <w:snapToGrid w:val="0"/>
              <w:spacing w:line="300" w:lineRule="exact"/>
              <w:jc w:val="left"/>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空腹血糖</w:t>
            </w:r>
          </w:p>
        </w:tc>
        <w:tc>
          <w:tcPr>
            <w:tcW w:w="5472" w:type="dxa"/>
            <w:noWrap w:val="0"/>
            <w:vAlign w:val="center"/>
          </w:tcPr>
          <w:p w14:paraId="5AABC0A1">
            <w:pPr>
              <w:widowControl/>
              <w:snapToGrid w:val="0"/>
              <w:spacing w:line="300" w:lineRule="exact"/>
              <w:jc w:val="both"/>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检查有无糖尿病及是否低血糖，是筛查糖尿病的基本方法</w:t>
            </w:r>
          </w:p>
        </w:tc>
      </w:tr>
      <w:tr w14:paraId="52D27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1369" w:type="dxa"/>
            <w:vMerge w:val="continue"/>
            <w:noWrap w:val="0"/>
            <w:vAlign w:val="center"/>
          </w:tcPr>
          <w:p w14:paraId="5B02FEAC">
            <w:pPr>
              <w:widowControl/>
              <w:snapToGrid w:val="0"/>
              <w:spacing w:line="300" w:lineRule="exact"/>
              <w:jc w:val="center"/>
              <w:rPr>
                <w:rFonts w:hint="eastAsia" w:ascii="仿宋" w:hAnsi="仿宋" w:eastAsia="仿宋" w:cs="仿宋"/>
                <w:color w:val="auto"/>
                <w:kern w:val="0"/>
                <w:sz w:val="21"/>
                <w:szCs w:val="21"/>
                <w:highlight w:val="none"/>
                <w:lang w:val="en-US" w:eastAsia="zh-CN"/>
              </w:rPr>
            </w:pPr>
          </w:p>
        </w:tc>
        <w:tc>
          <w:tcPr>
            <w:tcW w:w="2646" w:type="dxa"/>
            <w:noWrap w:val="0"/>
            <w:vAlign w:val="center"/>
          </w:tcPr>
          <w:p w14:paraId="3C1C9A8B">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肾功能</w:t>
            </w:r>
          </w:p>
        </w:tc>
        <w:tc>
          <w:tcPr>
            <w:tcW w:w="5472" w:type="dxa"/>
            <w:noWrap w:val="0"/>
            <w:vAlign w:val="center"/>
          </w:tcPr>
          <w:p w14:paraId="60183A6A">
            <w:pPr>
              <w:widowControl/>
              <w:snapToGrid w:val="0"/>
              <w:spacing w:line="300" w:lineRule="exact"/>
              <w:jc w:val="both"/>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检查有无肾脏功能受损、前列腺病变、痛风、血糖等病变。</w:t>
            </w:r>
          </w:p>
        </w:tc>
      </w:tr>
      <w:tr w14:paraId="6D304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1369" w:type="dxa"/>
            <w:vMerge w:val="continue"/>
            <w:noWrap w:val="0"/>
            <w:vAlign w:val="center"/>
          </w:tcPr>
          <w:p w14:paraId="0D3C06AC">
            <w:pPr>
              <w:widowControl/>
              <w:snapToGrid w:val="0"/>
              <w:spacing w:line="300" w:lineRule="exact"/>
              <w:jc w:val="center"/>
              <w:rPr>
                <w:rFonts w:hint="eastAsia" w:ascii="仿宋" w:hAnsi="仿宋" w:eastAsia="仿宋" w:cs="仿宋"/>
                <w:color w:val="auto"/>
                <w:kern w:val="0"/>
                <w:sz w:val="21"/>
                <w:szCs w:val="21"/>
                <w:highlight w:val="none"/>
                <w:lang w:val="en-US" w:eastAsia="zh-CN"/>
              </w:rPr>
            </w:pPr>
          </w:p>
        </w:tc>
        <w:tc>
          <w:tcPr>
            <w:tcW w:w="2646" w:type="dxa"/>
            <w:noWrap w:val="0"/>
            <w:vAlign w:val="center"/>
          </w:tcPr>
          <w:p w14:paraId="2B1EA632">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血脂四项</w:t>
            </w:r>
          </w:p>
        </w:tc>
        <w:tc>
          <w:tcPr>
            <w:tcW w:w="5472" w:type="dxa"/>
            <w:noWrap w:val="0"/>
            <w:vAlign w:val="center"/>
          </w:tcPr>
          <w:p w14:paraId="784094EC">
            <w:pPr>
              <w:widowControl/>
              <w:snapToGrid w:val="0"/>
              <w:spacing w:line="300" w:lineRule="exact"/>
              <w:jc w:val="both"/>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了解目前甘油三酯及总胆固醇的变化情况，</w:t>
            </w:r>
          </w:p>
        </w:tc>
      </w:tr>
      <w:tr w14:paraId="24B66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369" w:type="dxa"/>
            <w:vMerge w:val="continue"/>
            <w:noWrap w:val="0"/>
            <w:vAlign w:val="center"/>
          </w:tcPr>
          <w:p w14:paraId="0529FE5F">
            <w:pPr>
              <w:widowControl/>
              <w:snapToGrid w:val="0"/>
              <w:spacing w:line="300" w:lineRule="exact"/>
              <w:jc w:val="center"/>
              <w:rPr>
                <w:rFonts w:hint="eastAsia" w:ascii="仿宋" w:hAnsi="仿宋" w:eastAsia="仿宋" w:cs="仿宋"/>
                <w:color w:val="auto"/>
                <w:kern w:val="0"/>
                <w:sz w:val="21"/>
                <w:szCs w:val="21"/>
                <w:highlight w:val="none"/>
                <w:lang w:val="en-US" w:eastAsia="zh-CN"/>
              </w:rPr>
            </w:pPr>
          </w:p>
        </w:tc>
        <w:tc>
          <w:tcPr>
            <w:tcW w:w="2646" w:type="dxa"/>
            <w:noWrap w:val="0"/>
            <w:vAlign w:val="center"/>
          </w:tcPr>
          <w:p w14:paraId="7FEF210A">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肝功能十项</w:t>
            </w:r>
          </w:p>
        </w:tc>
        <w:tc>
          <w:tcPr>
            <w:tcW w:w="5472" w:type="dxa"/>
            <w:noWrap w:val="0"/>
            <w:vAlign w:val="center"/>
          </w:tcPr>
          <w:p w14:paraId="50F81DAC">
            <w:pPr>
              <w:widowControl/>
              <w:snapToGrid w:val="0"/>
              <w:spacing w:line="300" w:lineRule="exact"/>
              <w:jc w:val="both"/>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了解有无肝功能损害及目前损害的程度及是否影响到肝脏代谢功能。</w:t>
            </w:r>
          </w:p>
        </w:tc>
      </w:tr>
      <w:tr w14:paraId="39F5E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1369" w:type="dxa"/>
            <w:vMerge w:val="continue"/>
            <w:noWrap w:val="0"/>
            <w:vAlign w:val="center"/>
          </w:tcPr>
          <w:p w14:paraId="25D608A6">
            <w:pPr>
              <w:widowControl/>
              <w:snapToGrid w:val="0"/>
              <w:spacing w:line="300" w:lineRule="exact"/>
              <w:jc w:val="center"/>
              <w:rPr>
                <w:rFonts w:hint="eastAsia" w:ascii="仿宋" w:hAnsi="仿宋" w:eastAsia="仿宋" w:cs="仿宋"/>
                <w:color w:val="auto"/>
                <w:kern w:val="0"/>
                <w:sz w:val="21"/>
                <w:szCs w:val="21"/>
                <w:highlight w:val="none"/>
                <w:lang w:val="en-US" w:eastAsia="zh-CN"/>
              </w:rPr>
            </w:pPr>
          </w:p>
        </w:tc>
        <w:tc>
          <w:tcPr>
            <w:tcW w:w="2646" w:type="dxa"/>
            <w:noWrap w:val="0"/>
            <w:vAlign w:val="center"/>
          </w:tcPr>
          <w:p w14:paraId="3BE7D0C5">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维生素检测</w:t>
            </w:r>
          </w:p>
        </w:tc>
        <w:tc>
          <w:tcPr>
            <w:tcW w:w="5472" w:type="dxa"/>
            <w:noWrap w:val="0"/>
            <w:vAlign w:val="center"/>
          </w:tcPr>
          <w:p w14:paraId="6148DB38">
            <w:pPr>
              <w:widowControl/>
              <w:snapToGrid w:val="0"/>
              <w:spacing w:line="300" w:lineRule="exact"/>
              <w:jc w:val="both"/>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25羟维生素D测定，了解维生素D水平。</w:t>
            </w:r>
          </w:p>
        </w:tc>
      </w:tr>
      <w:tr w14:paraId="1D439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1369" w:type="dxa"/>
            <w:vMerge w:val="continue"/>
            <w:noWrap w:val="0"/>
            <w:vAlign w:val="center"/>
          </w:tcPr>
          <w:p w14:paraId="4EEEF999">
            <w:pPr>
              <w:widowControl/>
              <w:snapToGrid w:val="0"/>
              <w:spacing w:line="300" w:lineRule="exact"/>
              <w:jc w:val="center"/>
              <w:rPr>
                <w:rFonts w:hint="eastAsia" w:ascii="仿宋" w:hAnsi="仿宋" w:eastAsia="仿宋" w:cs="仿宋"/>
                <w:color w:val="auto"/>
                <w:kern w:val="0"/>
                <w:sz w:val="21"/>
                <w:szCs w:val="21"/>
                <w:highlight w:val="none"/>
                <w:lang w:val="en-US" w:eastAsia="zh-CN"/>
              </w:rPr>
            </w:pPr>
          </w:p>
        </w:tc>
        <w:tc>
          <w:tcPr>
            <w:tcW w:w="2646" w:type="dxa"/>
            <w:noWrap w:val="0"/>
            <w:vAlign w:val="center"/>
          </w:tcPr>
          <w:p w14:paraId="5AB49ADC">
            <w:pPr>
              <w:widowControl/>
              <w:snapToGrid w:val="0"/>
              <w:spacing w:line="300" w:lineRule="exact"/>
              <w:jc w:val="left"/>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甲功五项组合（游离）</w:t>
            </w:r>
          </w:p>
        </w:tc>
        <w:tc>
          <w:tcPr>
            <w:tcW w:w="5472" w:type="dxa"/>
            <w:noWrap w:val="0"/>
            <w:vAlign w:val="center"/>
          </w:tcPr>
          <w:p w14:paraId="32C32CD1">
            <w:pPr>
              <w:widowControl/>
              <w:snapToGrid w:val="0"/>
              <w:spacing w:line="300" w:lineRule="exact"/>
              <w:jc w:val="both"/>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了解目前有无甲状腺功能改变（甲亢、甲减等疾病的筛查）。</w:t>
            </w:r>
          </w:p>
        </w:tc>
      </w:tr>
      <w:tr w14:paraId="441DF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trPr>
        <w:tc>
          <w:tcPr>
            <w:tcW w:w="1369" w:type="dxa"/>
            <w:vMerge w:val="restart"/>
            <w:noWrap w:val="0"/>
            <w:vAlign w:val="center"/>
          </w:tcPr>
          <w:p w14:paraId="340A5B16">
            <w:pPr>
              <w:widowControl/>
              <w:snapToGrid w:val="0"/>
              <w:spacing w:line="300" w:lineRule="exact"/>
              <w:jc w:val="center"/>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核医学检查</w:t>
            </w:r>
          </w:p>
        </w:tc>
        <w:tc>
          <w:tcPr>
            <w:tcW w:w="2646" w:type="dxa"/>
            <w:noWrap w:val="0"/>
            <w:vAlign w:val="center"/>
          </w:tcPr>
          <w:p w14:paraId="70C76638">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甲胎蛋白（AFP）</w:t>
            </w:r>
          </w:p>
        </w:tc>
        <w:tc>
          <w:tcPr>
            <w:tcW w:w="5472" w:type="dxa"/>
            <w:noWrap w:val="0"/>
            <w:vAlign w:val="center"/>
          </w:tcPr>
          <w:p w14:paraId="09D42BE5">
            <w:pPr>
              <w:widowControl/>
              <w:snapToGrid w:val="0"/>
              <w:spacing w:line="300" w:lineRule="exact"/>
              <w:jc w:val="both"/>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原发性肝癌筛查。</w:t>
            </w:r>
          </w:p>
        </w:tc>
      </w:tr>
      <w:tr w14:paraId="7D2CD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1369" w:type="dxa"/>
            <w:vMerge w:val="continue"/>
            <w:noWrap w:val="0"/>
            <w:vAlign w:val="center"/>
          </w:tcPr>
          <w:p w14:paraId="70C186AE">
            <w:pPr>
              <w:widowControl/>
              <w:snapToGrid w:val="0"/>
              <w:spacing w:line="300" w:lineRule="exact"/>
              <w:jc w:val="center"/>
              <w:rPr>
                <w:rFonts w:hint="eastAsia" w:ascii="仿宋" w:hAnsi="仿宋" w:eastAsia="仿宋" w:cs="仿宋"/>
                <w:color w:val="auto"/>
                <w:kern w:val="0"/>
                <w:sz w:val="21"/>
                <w:szCs w:val="21"/>
                <w:highlight w:val="none"/>
                <w:lang w:val="en-US" w:eastAsia="zh-CN"/>
              </w:rPr>
            </w:pPr>
          </w:p>
        </w:tc>
        <w:tc>
          <w:tcPr>
            <w:tcW w:w="2646" w:type="dxa"/>
            <w:noWrap w:val="0"/>
            <w:vAlign w:val="center"/>
          </w:tcPr>
          <w:p w14:paraId="237FEA47">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癌胚抗原测定(CEA)</w:t>
            </w:r>
          </w:p>
        </w:tc>
        <w:tc>
          <w:tcPr>
            <w:tcW w:w="5472" w:type="dxa"/>
            <w:noWrap w:val="0"/>
            <w:vAlign w:val="center"/>
          </w:tcPr>
          <w:p w14:paraId="511F10ED">
            <w:pPr>
              <w:widowControl/>
              <w:snapToGrid w:val="0"/>
              <w:spacing w:line="300" w:lineRule="exact"/>
              <w:jc w:val="both"/>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主要用于结肠直肠癌、胃癌、胰癌、肝细胞癌、肺癌、乳癌以及甲状腺髓质癌的临床监测，亦见于绒毛膜癌、骨癌、前列腺癌和卵巢癌。</w:t>
            </w:r>
          </w:p>
        </w:tc>
      </w:tr>
      <w:tr w14:paraId="4D820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69" w:type="dxa"/>
            <w:vMerge w:val="continue"/>
            <w:noWrap w:val="0"/>
            <w:vAlign w:val="center"/>
          </w:tcPr>
          <w:p w14:paraId="7EC5D52C">
            <w:pPr>
              <w:widowControl/>
              <w:snapToGrid w:val="0"/>
              <w:spacing w:line="300" w:lineRule="exact"/>
              <w:jc w:val="center"/>
              <w:rPr>
                <w:rFonts w:hint="eastAsia" w:ascii="仿宋" w:hAnsi="仿宋" w:eastAsia="仿宋" w:cs="仿宋"/>
                <w:color w:val="auto"/>
                <w:kern w:val="0"/>
                <w:sz w:val="21"/>
                <w:szCs w:val="21"/>
                <w:highlight w:val="none"/>
                <w:lang w:val="en-US" w:eastAsia="zh-CN"/>
              </w:rPr>
            </w:pPr>
          </w:p>
        </w:tc>
        <w:tc>
          <w:tcPr>
            <w:tcW w:w="2646" w:type="dxa"/>
            <w:shd w:val="clear" w:color="auto" w:fill="auto"/>
            <w:noWrap w:val="0"/>
            <w:vAlign w:val="center"/>
          </w:tcPr>
          <w:p w14:paraId="02BF7E6D">
            <w:pPr>
              <w:widowControl/>
              <w:snapToGrid w:val="0"/>
              <w:spacing w:line="300" w:lineRule="exact"/>
              <w:jc w:val="both"/>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糖类抗原CA199</w:t>
            </w:r>
          </w:p>
        </w:tc>
        <w:tc>
          <w:tcPr>
            <w:tcW w:w="5472" w:type="dxa"/>
            <w:shd w:val="clear" w:color="auto" w:fill="auto"/>
            <w:noWrap w:val="0"/>
            <w:vAlign w:val="center"/>
          </w:tcPr>
          <w:p w14:paraId="3E7E7AC3">
            <w:pPr>
              <w:widowControl/>
              <w:snapToGrid w:val="0"/>
              <w:spacing w:line="300" w:lineRule="exact"/>
              <w:jc w:val="left"/>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胰腺癌，胃、结直肠癌的筛查，早期预警或辅助诊断。</w:t>
            </w:r>
          </w:p>
        </w:tc>
      </w:tr>
      <w:tr w14:paraId="567D4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1369" w:type="dxa"/>
            <w:vMerge w:val="continue"/>
            <w:noWrap w:val="0"/>
            <w:vAlign w:val="center"/>
          </w:tcPr>
          <w:p w14:paraId="59EB4B5D">
            <w:pPr>
              <w:widowControl/>
              <w:snapToGrid w:val="0"/>
              <w:spacing w:line="300" w:lineRule="exact"/>
              <w:jc w:val="center"/>
              <w:rPr>
                <w:rFonts w:hint="eastAsia" w:ascii="仿宋" w:hAnsi="仿宋" w:eastAsia="仿宋" w:cs="仿宋"/>
                <w:color w:val="auto"/>
                <w:kern w:val="0"/>
                <w:sz w:val="21"/>
                <w:szCs w:val="21"/>
                <w:highlight w:val="none"/>
                <w:lang w:val="en-US" w:eastAsia="zh-CN"/>
              </w:rPr>
            </w:pPr>
          </w:p>
        </w:tc>
        <w:tc>
          <w:tcPr>
            <w:tcW w:w="2646" w:type="dxa"/>
            <w:noWrap w:val="0"/>
            <w:vAlign w:val="center"/>
          </w:tcPr>
          <w:p w14:paraId="276282B5">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总前列腺特异性抗原测定</w:t>
            </w:r>
          </w:p>
        </w:tc>
        <w:tc>
          <w:tcPr>
            <w:tcW w:w="5472" w:type="dxa"/>
            <w:noWrap w:val="0"/>
            <w:vAlign w:val="center"/>
          </w:tcPr>
          <w:p w14:paraId="7181D82B">
            <w:pPr>
              <w:widowControl/>
              <w:snapToGrid w:val="0"/>
              <w:spacing w:line="300" w:lineRule="exact"/>
              <w:jc w:val="both"/>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前列腺肿瘤特异性筛查</w:t>
            </w:r>
          </w:p>
        </w:tc>
      </w:tr>
      <w:tr w14:paraId="77484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369" w:type="dxa"/>
            <w:noWrap w:val="0"/>
            <w:vAlign w:val="center"/>
          </w:tcPr>
          <w:p w14:paraId="52758D99">
            <w:pPr>
              <w:widowControl/>
              <w:snapToGrid w:val="0"/>
              <w:spacing w:line="300" w:lineRule="exact"/>
              <w:jc w:val="center"/>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生化项目</w:t>
            </w:r>
          </w:p>
        </w:tc>
        <w:tc>
          <w:tcPr>
            <w:tcW w:w="2646" w:type="dxa"/>
            <w:noWrap w:val="0"/>
            <w:vAlign w:val="center"/>
          </w:tcPr>
          <w:p w14:paraId="0091A550">
            <w:pPr>
              <w:adjustRightInd w:val="0"/>
              <w:snapToGrid w:val="0"/>
              <w:spacing w:line="400" w:lineRule="exact"/>
              <w:jc w:val="left"/>
              <w:rPr>
                <w:rFonts w:hint="eastAsia" w:ascii="仿宋" w:hAnsi="仿宋" w:eastAsia="仿宋" w:cs="仿宋"/>
                <w:color w:val="auto"/>
                <w:spacing w:val="-10"/>
                <w:kern w:val="2"/>
                <w:sz w:val="21"/>
                <w:szCs w:val="21"/>
                <w:highlight w:val="none"/>
                <w:lang w:val="en-US" w:eastAsia="zh-CN" w:bidi="ar-SA"/>
              </w:rPr>
            </w:pPr>
            <w:r>
              <w:rPr>
                <w:rFonts w:hint="eastAsia" w:ascii="仿宋" w:hAnsi="仿宋" w:eastAsia="仿宋" w:cs="仿宋"/>
                <w:color w:val="auto"/>
                <w:spacing w:val="-10"/>
                <w:sz w:val="21"/>
                <w:szCs w:val="21"/>
                <w:highlight w:val="none"/>
              </w:rPr>
              <w:t>糖化血红蛋白测定</w:t>
            </w:r>
          </w:p>
        </w:tc>
        <w:tc>
          <w:tcPr>
            <w:tcW w:w="5472" w:type="dxa"/>
            <w:noWrap w:val="0"/>
            <w:vAlign w:val="center"/>
          </w:tcPr>
          <w:p w14:paraId="4B906CC9">
            <w:pPr>
              <w:widowControl/>
              <w:snapToGrid w:val="0"/>
              <w:spacing w:line="300" w:lineRule="exact"/>
              <w:jc w:val="both"/>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spacing w:val="-10"/>
                <w:sz w:val="21"/>
                <w:szCs w:val="21"/>
                <w:highlight w:val="none"/>
              </w:rPr>
              <w:t>反映近3个月血糖平均水平。</w:t>
            </w:r>
          </w:p>
        </w:tc>
      </w:tr>
      <w:tr w14:paraId="6C6EA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1369" w:type="dxa"/>
            <w:noWrap w:val="0"/>
            <w:vAlign w:val="center"/>
          </w:tcPr>
          <w:p w14:paraId="302E4F52">
            <w:pPr>
              <w:widowControl/>
              <w:snapToGrid w:val="0"/>
              <w:spacing w:line="300" w:lineRule="exact"/>
              <w:jc w:val="center"/>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影像检查</w:t>
            </w:r>
          </w:p>
        </w:tc>
        <w:tc>
          <w:tcPr>
            <w:tcW w:w="2646" w:type="dxa"/>
            <w:noWrap w:val="0"/>
            <w:vAlign w:val="center"/>
          </w:tcPr>
          <w:p w14:paraId="3AE3ABCF">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肺部CT</w:t>
            </w:r>
          </w:p>
        </w:tc>
        <w:tc>
          <w:tcPr>
            <w:tcW w:w="5472" w:type="dxa"/>
            <w:noWrap w:val="0"/>
            <w:vAlign w:val="center"/>
          </w:tcPr>
          <w:p w14:paraId="74C8B502">
            <w:pPr>
              <w:widowControl/>
              <w:snapToGrid w:val="0"/>
              <w:spacing w:line="300" w:lineRule="exact"/>
              <w:jc w:val="both"/>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对支气管炎、肺炎、肺结核、肺部及纵隔占位等疾病诊断有参考意义。胸廓检查（包括肋骨、胸椎等）、胸膜、心脏及大血管病变。</w:t>
            </w:r>
          </w:p>
        </w:tc>
      </w:tr>
      <w:tr w14:paraId="72800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1369" w:type="dxa"/>
            <w:noWrap w:val="0"/>
            <w:vAlign w:val="center"/>
          </w:tcPr>
          <w:p w14:paraId="0390343F">
            <w:pPr>
              <w:widowControl/>
              <w:snapToGrid w:val="0"/>
              <w:spacing w:line="300" w:lineRule="exact"/>
              <w:jc w:val="center"/>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心电图</w:t>
            </w:r>
          </w:p>
        </w:tc>
        <w:tc>
          <w:tcPr>
            <w:tcW w:w="2646" w:type="dxa"/>
            <w:noWrap w:val="0"/>
            <w:vAlign w:val="center"/>
          </w:tcPr>
          <w:p w14:paraId="1646377E">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12导联心电图</w:t>
            </w:r>
          </w:p>
        </w:tc>
        <w:tc>
          <w:tcPr>
            <w:tcW w:w="5472" w:type="dxa"/>
            <w:noWrap w:val="0"/>
            <w:vAlign w:val="center"/>
          </w:tcPr>
          <w:p w14:paraId="1142E184">
            <w:pPr>
              <w:widowControl/>
              <w:snapToGrid w:val="0"/>
              <w:spacing w:line="300" w:lineRule="exact"/>
              <w:jc w:val="both"/>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了解心律不齐、心肌梗塞、心肌缺血、心率过缓/过速、心室电压增高等心脏疾病。</w:t>
            </w:r>
          </w:p>
        </w:tc>
      </w:tr>
      <w:tr w14:paraId="32781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1369" w:type="dxa"/>
            <w:vMerge w:val="restart"/>
            <w:noWrap w:val="0"/>
            <w:vAlign w:val="center"/>
          </w:tcPr>
          <w:p w14:paraId="560981FF">
            <w:pPr>
              <w:widowControl/>
              <w:snapToGrid w:val="0"/>
              <w:spacing w:line="300" w:lineRule="exact"/>
              <w:jc w:val="center"/>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spacing w:val="-10"/>
                <w:kern w:val="2"/>
                <w:sz w:val="21"/>
                <w:szCs w:val="21"/>
                <w:highlight w:val="none"/>
                <w:lang w:val="en-US" w:eastAsia="zh-CN" w:bidi="ar-SA"/>
              </w:rPr>
              <w:t>特殊检查</w:t>
            </w:r>
          </w:p>
        </w:tc>
        <w:tc>
          <w:tcPr>
            <w:tcW w:w="2646" w:type="dxa"/>
            <w:noWrap w:val="0"/>
            <w:vAlign w:val="center"/>
          </w:tcPr>
          <w:p w14:paraId="5D7B8E90">
            <w:pPr>
              <w:widowControl/>
              <w:snapToGrid w:val="0"/>
              <w:spacing w:line="300" w:lineRule="exact"/>
              <w:jc w:val="left"/>
              <w:rPr>
                <w:rFonts w:hint="eastAsia" w:ascii="仿宋" w:hAnsi="仿宋" w:eastAsia="仿宋" w:cs="仿宋"/>
                <w:color w:val="auto"/>
                <w:spacing w:val="-10"/>
                <w:kern w:val="2"/>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心脏彩超+左心功能测定</w:t>
            </w:r>
          </w:p>
        </w:tc>
        <w:tc>
          <w:tcPr>
            <w:tcW w:w="5472" w:type="dxa"/>
            <w:noWrap w:val="0"/>
            <w:vAlign w:val="center"/>
          </w:tcPr>
          <w:p w14:paraId="259EFE4E">
            <w:pPr>
              <w:widowControl/>
              <w:snapToGrid w:val="0"/>
              <w:spacing w:line="300" w:lineRule="exact"/>
              <w:jc w:val="both"/>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了解心脏结构，评价心功能。</w:t>
            </w:r>
          </w:p>
        </w:tc>
      </w:tr>
      <w:tr w14:paraId="6DC6A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trPr>
        <w:tc>
          <w:tcPr>
            <w:tcW w:w="1369" w:type="dxa"/>
            <w:vMerge w:val="continue"/>
            <w:noWrap w:val="0"/>
            <w:vAlign w:val="center"/>
          </w:tcPr>
          <w:p w14:paraId="38C8D6B4">
            <w:pPr>
              <w:widowControl/>
              <w:snapToGrid w:val="0"/>
              <w:spacing w:line="300" w:lineRule="exact"/>
              <w:jc w:val="left"/>
              <w:rPr>
                <w:rFonts w:hint="eastAsia" w:ascii="仿宋" w:hAnsi="仿宋" w:eastAsia="仿宋" w:cs="仿宋"/>
                <w:color w:val="auto"/>
                <w:kern w:val="0"/>
                <w:sz w:val="21"/>
                <w:szCs w:val="21"/>
                <w:highlight w:val="none"/>
                <w:lang w:val="en-US" w:eastAsia="zh-CN"/>
              </w:rPr>
            </w:pPr>
          </w:p>
        </w:tc>
        <w:tc>
          <w:tcPr>
            <w:tcW w:w="2646" w:type="dxa"/>
            <w:noWrap w:val="0"/>
            <w:vAlign w:val="center"/>
          </w:tcPr>
          <w:p w14:paraId="0CE15258">
            <w:pPr>
              <w:adjustRightInd w:val="0"/>
              <w:snapToGrid w:val="0"/>
              <w:spacing w:line="24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spacing w:val="-10"/>
                <w:sz w:val="21"/>
                <w:szCs w:val="21"/>
                <w:highlight w:val="none"/>
              </w:rPr>
              <w:t>肝纤维化无创诊断</w:t>
            </w:r>
          </w:p>
        </w:tc>
        <w:tc>
          <w:tcPr>
            <w:tcW w:w="5472" w:type="dxa"/>
            <w:noWrap w:val="0"/>
            <w:vAlign w:val="center"/>
          </w:tcPr>
          <w:p w14:paraId="627450C1">
            <w:pPr>
              <w:widowControl/>
              <w:snapToGrid w:val="0"/>
              <w:spacing w:line="300" w:lineRule="exact"/>
              <w:jc w:val="both"/>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bidi="ar-SA"/>
              </w:rPr>
              <w:t>检测肝脏损伤与纤维化程度</w:t>
            </w:r>
          </w:p>
        </w:tc>
      </w:tr>
      <w:tr w14:paraId="2B1D1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1369" w:type="dxa"/>
            <w:vMerge w:val="continue"/>
            <w:noWrap w:val="0"/>
            <w:vAlign w:val="center"/>
          </w:tcPr>
          <w:p w14:paraId="7B09F442">
            <w:pPr>
              <w:widowControl/>
              <w:snapToGrid w:val="0"/>
              <w:spacing w:line="300" w:lineRule="exact"/>
              <w:jc w:val="left"/>
              <w:rPr>
                <w:rFonts w:hint="eastAsia" w:ascii="仿宋" w:hAnsi="仿宋" w:eastAsia="仿宋" w:cs="仿宋"/>
                <w:color w:val="auto"/>
                <w:kern w:val="0"/>
                <w:sz w:val="21"/>
                <w:szCs w:val="21"/>
                <w:highlight w:val="none"/>
                <w:lang w:val="en-US" w:eastAsia="zh-CN"/>
              </w:rPr>
            </w:pPr>
          </w:p>
        </w:tc>
        <w:tc>
          <w:tcPr>
            <w:tcW w:w="2646" w:type="dxa"/>
            <w:noWrap w:val="0"/>
            <w:vAlign w:val="center"/>
          </w:tcPr>
          <w:p w14:paraId="672E857C">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颈部血管彩超</w:t>
            </w:r>
          </w:p>
        </w:tc>
        <w:tc>
          <w:tcPr>
            <w:tcW w:w="5472" w:type="dxa"/>
            <w:noWrap w:val="0"/>
            <w:vAlign w:val="top"/>
          </w:tcPr>
          <w:p w14:paraId="4289AAC5">
            <w:pPr>
              <w:widowControl/>
              <w:snapToGrid w:val="0"/>
              <w:spacing w:line="300" w:lineRule="exact"/>
              <w:jc w:val="both"/>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可以显示颈动脉血管的内膜是否增厚、是否狭窄、是否有斑块形成、斑块大小、斑块的硬度等情况。</w:t>
            </w:r>
          </w:p>
        </w:tc>
      </w:tr>
      <w:tr w14:paraId="5DDF0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trPr>
        <w:tc>
          <w:tcPr>
            <w:tcW w:w="1369" w:type="dxa"/>
            <w:vMerge w:val="restart"/>
            <w:noWrap w:val="0"/>
            <w:vAlign w:val="center"/>
          </w:tcPr>
          <w:p w14:paraId="7836AC3C">
            <w:pPr>
              <w:widowControl/>
              <w:snapToGrid w:val="0"/>
              <w:spacing w:line="300" w:lineRule="exact"/>
              <w:jc w:val="center"/>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超声检查</w:t>
            </w:r>
          </w:p>
        </w:tc>
        <w:tc>
          <w:tcPr>
            <w:tcW w:w="2646" w:type="dxa"/>
            <w:noWrap w:val="0"/>
            <w:vAlign w:val="center"/>
          </w:tcPr>
          <w:p w14:paraId="7EAFA6A9">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肝、胆、脾、胰、双肾</w:t>
            </w:r>
          </w:p>
        </w:tc>
        <w:tc>
          <w:tcPr>
            <w:tcW w:w="5472" w:type="dxa"/>
            <w:noWrap w:val="0"/>
            <w:vAlign w:val="top"/>
          </w:tcPr>
          <w:p w14:paraId="0C63CC49">
            <w:pPr>
              <w:widowControl/>
              <w:snapToGrid w:val="0"/>
              <w:spacing w:line="300" w:lineRule="exact"/>
              <w:jc w:val="both"/>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了解肝硬化、肝囊肿、肝癌、肝脓肿、肝血管瘤、肝脂肪、胆囊结石、胆囊息肉、胰腺癌、脾肿大等疾病情况。通过肾了解有否肾结石、肾肿瘤。</w:t>
            </w:r>
          </w:p>
        </w:tc>
      </w:tr>
      <w:tr w14:paraId="572A7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1369" w:type="dxa"/>
            <w:vMerge w:val="continue"/>
            <w:noWrap w:val="0"/>
            <w:vAlign w:val="center"/>
          </w:tcPr>
          <w:p w14:paraId="03A3E56E">
            <w:pPr>
              <w:widowControl/>
              <w:snapToGrid w:val="0"/>
              <w:spacing w:line="300" w:lineRule="exact"/>
              <w:jc w:val="left"/>
              <w:rPr>
                <w:rFonts w:hint="eastAsia" w:ascii="仿宋" w:hAnsi="仿宋" w:eastAsia="仿宋" w:cs="仿宋"/>
                <w:color w:val="auto"/>
                <w:kern w:val="0"/>
                <w:sz w:val="21"/>
                <w:szCs w:val="21"/>
                <w:highlight w:val="none"/>
                <w:lang w:val="en-US" w:eastAsia="zh-CN"/>
              </w:rPr>
            </w:pPr>
          </w:p>
        </w:tc>
        <w:tc>
          <w:tcPr>
            <w:tcW w:w="2646" w:type="dxa"/>
            <w:noWrap w:val="0"/>
            <w:vAlign w:val="center"/>
          </w:tcPr>
          <w:p w14:paraId="20658A5A">
            <w:pPr>
              <w:widowControl/>
              <w:snapToGrid w:val="0"/>
              <w:spacing w:line="300" w:lineRule="exact"/>
              <w:jc w:val="left"/>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甲状腺及颈部淋巴结彩超</w:t>
            </w:r>
          </w:p>
        </w:tc>
        <w:tc>
          <w:tcPr>
            <w:tcW w:w="5472" w:type="dxa"/>
            <w:noWrap w:val="0"/>
            <w:vAlign w:val="center"/>
          </w:tcPr>
          <w:p w14:paraId="41963D67">
            <w:pPr>
              <w:widowControl/>
              <w:snapToGrid w:val="0"/>
              <w:spacing w:line="300" w:lineRule="exact"/>
              <w:jc w:val="both"/>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了解甲状腺及颈部淋巴有无结节、囊肿、良/恶性占位等疾病。</w:t>
            </w:r>
          </w:p>
        </w:tc>
      </w:tr>
      <w:tr w14:paraId="7331B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1369" w:type="dxa"/>
            <w:vMerge w:val="continue"/>
            <w:noWrap w:val="0"/>
            <w:vAlign w:val="center"/>
          </w:tcPr>
          <w:p w14:paraId="55AAF0FC">
            <w:pPr>
              <w:widowControl/>
              <w:snapToGrid w:val="0"/>
              <w:spacing w:line="300" w:lineRule="exact"/>
              <w:jc w:val="left"/>
              <w:rPr>
                <w:rFonts w:hint="eastAsia" w:ascii="仿宋" w:hAnsi="仿宋" w:eastAsia="仿宋" w:cs="仿宋"/>
                <w:color w:val="auto"/>
                <w:kern w:val="0"/>
                <w:sz w:val="21"/>
                <w:szCs w:val="21"/>
                <w:highlight w:val="none"/>
                <w:lang w:val="en-US" w:eastAsia="zh-CN"/>
              </w:rPr>
            </w:pPr>
          </w:p>
        </w:tc>
        <w:tc>
          <w:tcPr>
            <w:tcW w:w="2646" w:type="dxa"/>
            <w:noWrap w:val="0"/>
            <w:vAlign w:val="center"/>
          </w:tcPr>
          <w:p w14:paraId="7DE035D3">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前列腺、膀胱</w:t>
            </w:r>
          </w:p>
        </w:tc>
        <w:tc>
          <w:tcPr>
            <w:tcW w:w="5472" w:type="dxa"/>
            <w:noWrap w:val="0"/>
            <w:vAlign w:val="center"/>
          </w:tcPr>
          <w:p w14:paraId="4F0D5A69">
            <w:pPr>
              <w:widowControl/>
              <w:snapToGrid w:val="0"/>
              <w:spacing w:line="300" w:lineRule="exact"/>
              <w:jc w:val="both"/>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了解前列腺增大、增生、钙化、结石、占位等疾病。</w:t>
            </w:r>
          </w:p>
        </w:tc>
      </w:tr>
    </w:tbl>
    <w:p w14:paraId="4F0673B9">
      <w:pPr>
        <w:rPr>
          <w:rFonts w:hint="eastAsia" w:ascii="仿宋" w:hAnsi="仿宋" w:eastAsia="仿宋" w:cs="仿宋"/>
          <w:color w:val="auto"/>
          <w:highlight w:val="none"/>
        </w:rPr>
      </w:pPr>
    </w:p>
    <w:p w14:paraId="452C9BCD">
      <w:pPr>
        <w:rPr>
          <w:rFonts w:hint="eastAsia" w:ascii="仿宋" w:hAnsi="仿宋" w:eastAsia="仿宋" w:cs="仿宋"/>
          <w:color w:val="auto"/>
          <w:highlight w:val="none"/>
        </w:rPr>
      </w:pPr>
    </w:p>
    <w:p w14:paraId="0704457D">
      <w:pPr>
        <w:rPr>
          <w:rFonts w:hint="eastAsia" w:ascii="仿宋" w:hAnsi="仿宋" w:eastAsia="仿宋" w:cs="仿宋"/>
          <w:b/>
          <w:bCs/>
          <w:color w:val="auto"/>
          <w:sz w:val="24"/>
          <w:szCs w:val="28"/>
          <w:highlight w:val="none"/>
          <w:lang w:val="en-US" w:eastAsia="zh-CN"/>
        </w:rPr>
      </w:pPr>
      <w:r>
        <w:rPr>
          <w:rFonts w:hint="eastAsia" w:ascii="仿宋" w:hAnsi="仿宋" w:eastAsia="仿宋" w:cs="仿宋"/>
          <w:b/>
          <w:bCs/>
          <w:color w:val="auto"/>
          <w:sz w:val="24"/>
          <w:szCs w:val="28"/>
          <w:highlight w:val="none"/>
          <w:lang w:val="en-US" w:eastAsia="zh-CN"/>
        </w:rPr>
        <w:br w:type="page"/>
      </w:r>
    </w:p>
    <w:p w14:paraId="23AC9E7D">
      <w:pPr>
        <w:widowControl/>
        <w:snapToGrid w:val="0"/>
        <w:spacing w:line="216" w:lineRule="auto"/>
        <w:jc w:val="center"/>
        <w:textAlignment w:val="baseline"/>
        <w:outlineLvl w:val="1"/>
        <w:rPr>
          <w:rFonts w:hint="eastAsia"/>
          <w:color w:val="auto"/>
          <w:highlight w:val="none"/>
          <w:lang w:val="en-US" w:eastAsia="zh-CN"/>
        </w:rPr>
      </w:pPr>
      <w:bookmarkStart w:id="90" w:name="_Toc8181"/>
      <w:r>
        <w:rPr>
          <w:rFonts w:hint="eastAsia" w:ascii="仿宋" w:hAnsi="仿宋" w:eastAsia="仿宋" w:cs="仿宋"/>
          <w:b/>
          <w:bCs/>
          <w:color w:val="auto"/>
          <w:sz w:val="24"/>
          <w:szCs w:val="28"/>
          <w:highlight w:val="none"/>
          <w:lang w:val="en-US" w:eastAsia="zh-CN"/>
        </w:rPr>
        <w:t>C</w:t>
      </w:r>
      <w:r>
        <w:rPr>
          <w:rFonts w:hint="eastAsia" w:ascii="仿宋" w:hAnsi="仿宋" w:eastAsia="仿宋" w:cs="仿宋"/>
          <w:b/>
          <w:bCs/>
          <w:color w:val="auto"/>
          <w:sz w:val="24"/>
          <w:szCs w:val="28"/>
          <w:highlight w:val="none"/>
        </w:rPr>
        <w:t>、</w:t>
      </w:r>
      <w:r>
        <w:rPr>
          <w:rFonts w:hint="eastAsia" w:ascii="仿宋" w:hAnsi="仿宋" w:eastAsia="仿宋" w:cs="仿宋"/>
          <w:b/>
          <w:bCs/>
          <w:color w:val="auto"/>
          <w:sz w:val="24"/>
          <w:szCs w:val="28"/>
          <w:highlight w:val="none"/>
          <w:lang w:val="en-US" w:eastAsia="zh-CN"/>
        </w:rPr>
        <w:t>40岁及以下未婚女士</w:t>
      </w:r>
      <w:r>
        <w:rPr>
          <w:rFonts w:hint="eastAsia" w:ascii="仿宋" w:hAnsi="仿宋" w:eastAsia="仿宋" w:cs="仿宋"/>
          <w:b/>
          <w:bCs/>
          <w:color w:val="auto"/>
          <w:sz w:val="24"/>
          <w:szCs w:val="28"/>
          <w:highlight w:val="none"/>
        </w:rPr>
        <w:t>套餐</w:t>
      </w:r>
      <w:bookmarkEnd w:id="90"/>
    </w:p>
    <w:tbl>
      <w:tblPr>
        <w:tblStyle w:val="40"/>
        <w:tblpPr w:leftFromText="180" w:rightFromText="180" w:vertAnchor="text" w:horzAnchor="page" w:tblpX="1237" w:tblpY="497"/>
        <w:tblOverlap w:val="never"/>
        <w:tblW w:w="9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1"/>
        <w:gridCol w:w="2570"/>
        <w:gridCol w:w="5520"/>
      </w:tblGrid>
      <w:tr w14:paraId="2C16C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1361" w:type="dxa"/>
            <w:noWrap w:val="0"/>
            <w:vAlign w:val="center"/>
          </w:tcPr>
          <w:p w14:paraId="5F3D8440">
            <w:pPr>
              <w:autoSpaceDN w:val="0"/>
              <w:snapToGrid w:val="0"/>
              <w:spacing w:line="300" w:lineRule="exact"/>
              <w:jc w:val="center"/>
              <w:textAlignment w:val="bottom"/>
              <w:rPr>
                <w:rFonts w:hint="eastAsia" w:ascii="仿宋" w:hAnsi="仿宋" w:eastAsia="仿宋" w:cs="仿宋"/>
                <w:color w:val="auto"/>
                <w:kern w:val="0"/>
                <w:sz w:val="21"/>
                <w:szCs w:val="21"/>
                <w:highlight w:val="none"/>
                <w:lang w:val="en-US" w:eastAsia="zh-CN"/>
              </w:rPr>
            </w:pPr>
            <w:r>
              <w:rPr>
                <w:rFonts w:hint="eastAsia" w:ascii="仿宋" w:hAnsi="仿宋" w:eastAsia="仿宋" w:cs="仿宋"/>
                <w:b/>
                <w:snapToGrid w:val="0"/>
                <w:color w:val="auto"/>
                <w:sz w:val="21"/>
                <w:szCs w:val="21"/>
                <w:highlight w:val="none"/>
              </w:rPr>
              <w:t>项目分类</w:t>
            </w:r>
          </w:p>
        </w:tc>
        <w:tc>
          <w:tcPr>
            <w:tcW w:w="2570" w:type="dxa"/>
            <w:noWrap w:val="0"/>
            <w:vAlign w:val="center"/>
          </w:tcPr>
          <w:p w14:paraId="45392507">
            <w:pPr>
              <w:autoSpaceDN w:val="0"/>
              <w:snapToGrid w:val="0"/>
              <w:spacing w:line="300" w:lineRule="exact"/>
              <w:ind w:left="-334" w:leftChars="-159"/>
              <w:jc w:val="center"/>
              <w:textAlignment w:val="bottom"/>
              <w:rPr>
                <w:rFonts w:hint="eastAsia" w:ascii="仿宋" w:hAnsi="仿宋" w:eastAsia="仿宋" w:cs="仿宋"/>
                <w:color w:val="auto"/>
                <w:kern w:val="0"/>
                <w:sz w:val="21"/>
                <w:szCs w:val="21"/>
                <w:highlight w:val="none"/>
                <w:lang w:val="en-US" w:eastAsia="zh-CN"/>
              </w:rPr>
            </w:pPr>
            <w:r>
              <w:rPr>
                <w:rFonts w:hint="eastAsia" w:ascii="仿宋" w:hAnsi="仿宋" w:eastAsia="仿宋" w:cs="仿宋"/>
                <w:b/>
                <w:snapToGrid w:val="0"/>
                <w:color w:val="auto"/>
                <w:sz w:val="21"/>
                <w:szCs w:val="21"/>
                <w:highlight w:val="none"/>
              </w:rPr>
              <w:t>检查项目</w:t>
            </w:r>
          </w:p>
        </w:tc>
        <w:tc>
          <w:tcPr>
            <w:tcW w:w="5520" w:type="dxa"/>
            <w:noWrap w:val="0"/>
            <w:vAlign w:val="center"/>
          </w:tcPr>
          <w:p w14:paraId="0D582EB9">
            <w:pPr>
              <w:autoSpaceDN w:val="0"/>
              <w:snapToGrid w:val="0"/>
              <w:spacing w:line="300" w:lineRule="exact"/>
              <w:jc w:val="center"/>
              <w:textAlignment w:val="bottom"/>
              <w:rPr>
                <w:rFonts w:hint="eastAsia" w:ascii="仿宋" w:hAnsi="仿宋" w:eastAsia="仿宋" w:cs="仿宋"/>
                <w:color w:val="auto"/>
                <w:kern w:val="0"/>
                <w:sz w:val="21"/>
                <w:szCs w:val="21"/>
                <w:highlight w:val="none"/>
                <w:lang w:val="en-US" w:eastAsia="zh-CN"/>
              </w:rPr>
            </w:pPr>
            <w:r>
              <w:rPr>
                <w:rFonts w:hint="eastAsia" w:ascii="仿宋" w:hAnsi="仿宋" w:eastAsia="仿宋" w:cs="仿宋"/>
                <w:b/>
                <w:snapToGrid w:val="0"/>
                <w:color w:val="auto"/>
                <w:sz w:val="21"/>
                <w:szCs w:val="21"/>
                <w:highlight w:val="none"/>
              </w:rPr>
              <w:t>项目含义</w:t>
            </w:r>
          </w:p>
        </w:tc>
      </w:tr>
      <w:tr w14:paraId="7B816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1361" w:type="dxa"/>
            <w:vMerge w:val="restart"/>
            <w:noWrap w:val="0"/>
            <w:vAlign w:val="center"/>
          </w:tcPr>
          <w:p w14:paraId="1ADF12A8">
            <w:pPr>
              <w:widowControl/>
              <w:snapToGrid w:val="0"/>
              <w:spacing w:line="300" w:lineRule="exact"/>
              <w:jc w:val="center"/>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一般检查</w:t>
            </w:r>
          </w:p>
        </w:tc>
        <w:tc>
          <w:tcPr>
            <w:tcW w:w="2570" w:type="dxa"/>
            <w:noWrap w:val="0"/>
            <w:vAlign w:val="center"/>
          </w:tcPr>
          <w:p w14:paraId="0FA5DB23">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身高、体重、血压、</w:t>
            </w:r>
          </w:p>
          <w:p w14:paraId="3F8F377C">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体重指数、臀围、腰围</w:t>
            </w:r>
          </w:p>
        </w:tc>
        <w:tc>
          <w:tcPr>
            <w:tcW w:w="5520" w:type="dxa"/>
            <w:noWrap w:val="0"/>
            <w:vAlign w:val="center"/>
          </w:tcPr>
          <w:p w14:paraId="6093CC90">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了解身高、体重、血压、臀围、腰围等基本情况以及是否有体重超标等。</w:t>
            </w:r>
          </w:p>
        </w:tc>
      </w:tr>
      <w:tr w14:paraId="3F8D7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361" w:type="dxa"/>
            <w:vMerge w:val="continue"/>
            <w:noWrap w:val="0"/>
            <w:vAlign w:val="center"/>
          </w:tcPr>
          <w:p w14:paraId="52F011A7">
            <w:pPr>
              <w:widowControl/>
              <w:snapToGrid w:val="0"/>
              <w:spacing w:line="300" w:lineRule="exact"/>
              <w:jc w:val="center"/>
              <w:rPr>
                <w:rFonts w:hint="eastAsia" w:ascii="仿宋" w:hAnsi="仿宋" w:eastAsia="仿宋" w:cs="仿宋"/>
                <w:color w:val="auto"/>
                <w:kern w:val="0"/>
                <w:sz w:val="21"/>
                <w:szCs w:val="21"/>
                <w:highlight w:val="none"/>
                <w:lang w:val="en-US" w:eastAsia="zh-CN"/>
              </w:rPr>
            </w:pPr>
          </w:p>
        </w:tc>
        <w:tc>
          <w:tcPr>
            <w:tcW w:w="2570" w:type="dxa"/>
            <w:noWrap w:val="0"/>
            <w:vAlign w:val="center"/>
          </w:tcPr>
          <w:p w14:paraId="3D9FFB1E">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体检问卷</w:t>
            </w:r>
          </w:p>
        </w:tc>
        <w:tc>
          <w:tcPr>
            <w:tcW w:w="5520" w:type="dxa"/>
            <w:noWrap w:val="0"/>
            <w:vAlign w:val="center"/>
          </w:tcPr>
          <w:p w14:paraId="10DD761A">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了解生活方式、个人史、家族史、健康体检史等</w:t>
            </w:r>
          </w:p>
        </w:tc>
      </w:tr>
      <w:tr w14:paraId="250CD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1361" w:type="dxa"/>
            <w:vMerge w:val="restart"/>
            <w:noWrap w:val="0"/>
            <w:vAlign w:val="center"/>
          </w:tcPr>
          <w:p w14:paraId="4BB58A54">
            <w:pPr>
              <w:widowControl/>
              <w:snapToGrid w:val="0"/>
              <w:spacing w:line="300" w:lineRule="exact"/>
              <w:jc w:val="center"/>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临床检查</w:t>
            </w:r>
          </w:p>
        </w:tc>
        <w:tc>
          <w:tcPr>
            <w:tcW w:w="2570" w:type="dxa"/>
            <w:noWrap w:val="0"/>
            <w:vAlign w:val="center"/>
          </w:tcPr>
          <w:p w14:paraId="143199C9">
            <w:pPr>
              <w:keepNext w:val="0"/>
              <w:keepLines w:val="0"/>
              <w:widowControl/>
              <w:suppressLineNumbers w:val="0"/>
              <w:jc w:val="left"/>
              <w:textAlignment w:val="center"/>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i w:val="0"/>
                <w:iCs w:val="0"/>
                <w:color w:val="auto"/>
                <w:kern w:val="0"/>
                <w:sz w:val="20"/>
                <w:szCs w:val="20"/>
                <w:highlight w:val="none"/>
                <w:u w:val="none"/>
                <w:lang w:val="en-US" w:eastAsia="zh-CN" w:bidi="ar"/>
              </w:rPr>
              <w:t>眼科</w:t>
            </w:r>
          </w:p>
        </w:tc>
        <w:tc>
          <w:tcPr>
            <w:tcW w:w="5520" w:type="dxa"/>
            <w:noWrap w:val="0"/>
            <w:vAlign w:val="center"/>
          </w:tcPr>
          <w:p w14:paraId="15AD7243">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视力、辨色力等。</w:t>
            </w:r>
          </w:p>
        </w:tc>
      </w:tr>
      <w:tr w14:paraId="5665E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1361" w:type="dxa"/>
            <w:vMerge w:val="continue"/>
            <w:noWrap w:val="0"/>
            <w:vAlign w:val="center"/>
          </w:tcPr>
          <w:p w14:paraId="311C2791">
            <w:pPr>
              <w:widowControl/>
              <w:snapToGrid w:val="0"/>
              <w:spacing w:line="300" w:lineRule="exact"/>
              <w:jc w:val="center"/>
              <w:rPr>
                <w:rFonts w:hint="eastAsia" w:ascii="仿宋" w:hAnsi="仿宋" w:eastAsia="仿宋" w:cs="仿宋"/>
                <w:color w:val="auto"/>
                <w:kern w:val="0"/>
                <w:sz w:val="21"/>
                <w:szCs w:val="21"/>
                <w:highlight w:val="none"/>
                <w:lang w:val="en-US" w:eastAsia="zh-CN"/>
              </w:rPr>
            </w:pPr>
          </w:p>
        </w:tc>
        <w:tc>
          <w:tcPr>
            <w:tcW w:w="2570" w:type="dxa"/>
            <w:noWrap w:val="0"/>
            <w:vAlign w:val="center"/>
          </w:tcPr>
          <w:p w14:paraId="7095EEB4">
            <w:pPr>
              <w:keepNext w:val="0"/>
              <w:keepLines w:val="0"/>
              <w:widowControl/>
              <w:suppressLineNumbers w:val="0"/>
              <w:jc w:val="left"/>
              <w:textAlignment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i w:val="0"/>
                <w:iCs w:val="0"/>
                <w:color w:val="auto"/>
                <w:kern w:val="0"/>
                <w:sz w:val="20"/>
                <w:szCs w:val="20"/>
                <w:highlight w:val="none"/>
                <w:u w:val="none"/>
                <w:lang w:val="en-US" w:eastAsia="zh-CN" w:bidi="ar"/>
              </w:rPr>
              <w:t>眼压检查(非接触眼压计法)</w:t>
            </w:r>
          </w:p>
        </w:tc>
        <w:tc>
          <w:tcPr>
            <w:tcW w:w="5520" w:type="dxa"/>
            <w:noWrap w:val="0"/>
            <w:vAlign w:val="center"/>
          </w:tcPr>
          <w:p w14:paraId="6E6F7591">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检测眼压，早期发现青光眼等。</w:t>
            </w:r>
          </w:p>
        </w:tc>
      </w:tr>
      <w:tr w14:paraId="7FB04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361" w:type="dxa"/>
            <w:noWrap w:val="0"/>
            <w:vAlign w:val="center"/>
          </w:tcPr>
          <w:p w14:paraId="625A9EEE">
            <w:pPr>
              <w:widowControl/>
              <w:snapToGrid w:val="0"/>
              <w:spacing w:line="300" w:lineRule="exact"/>
              <w:jc w:val="center"/>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常规检查</w:t>
            </w:r>
          </w:p>
        </w:tc>
        <w:tc>
          <w:tcPr>
            <w:tcW w:w="2570" w:type="dxa"/>
            <w:noWrap w:val="0"/>
            <w:vAlign w:val="center"/>
          </w:tcPr>
          <w:p w14:paraId="31B2127E">
            <w:pPr>
              <w:widowControl/>
              <w:snapToGrid w:val="0"/>
              <w:spacing w:line="300" w:lineRule="exact"/>
              <w:jc w:val="left"/>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尿常规</w:t>
            </w:r>
          </w:p>
        </w:tc>
        <w:tc>
          <w:tcPr>
            <w:tcW w:w="5520" w:type="dxa"/>
            <w:noWrap w:val="0"/>
            <w:vAlign w:val="center"/>
          </w:tcPr>
          <w:p w14:paraId="33DC0A27">
            <w:pPr>
              <w:widowControl/>
              <w:snapToGrid w:val="0"/>
              <w:spacing w:line="300" w:lineRule="exact"/>
              <w:jc w:val="left"/>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尿常规13项检查，了解有否尿道感染、肾炎或血尿，以便排除一些疾病引起的肾脏功能改变。</w:t>
            </w:r>
          </w:p>
        </w:tc>
      </w:tr>
      <w:tr w14:paraId="63E74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361" w:type="dxa"/>
            <w:vMerge w:val="restart"/>
            <w:noWrap w:val="0"/>
            <w:vAlign w:val="center"/>
          </w:tcPr>
          <w:p w14:paraId="26F04D71">
            <w:pPr>
              <w:widowControl/>
              <w:snapToGrid w:val="0"/>
              <w:spacing w:line="300" w:lineRule="exact"/>
              <w:jc w:val="center"/>
              <w:rPr>
                <w:rFonts w:hint="eastAsia" w:ascii="仿宋" w:hAnsi="仿宋" w:eastAsia="仿宋" w:cs="仿宋"/>
                <w:color w:val="auto"/>
                <w:kern w:val="0"/>
                <w:sz w:val="21"/>
                <w:szCs w:val="21"/>
                <w:highlight w:val="none"/>
                <w:lang w:val="en-US" w:eastAsia="zh-CN"/>
              </w:rPr>
            </w:pPr>
          </w:p>
          <w:p w14:paraId="36B94FBF">
            <w:pPr>
              <w:widowControl/>
              <w:snapToGrid w:val="0"/>
              <w:spacing w:line="300" w:lineRule="exact"/>
              <w:jc w:val="center"/>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血液检查</w:t>
            </w:r>
          </w:p>
        </w:tc>
        <w:tc>
          <w:tcPr>
            <w:tcW w:w="2570" w:type="dxa"/>
            <w:noWrap w:val="0"/>
            <w:vAlign w:val="center"/>
          </w:tcPr>
          <w:p w14:paraId="1F41E9F6">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血常规</w:t>
            </w:r>
          </w:p>
        </w:tc>
        <w:tc>
          <w:tcPr>
            <w:tcW w:w="5520" w:type="dxa"/>
            <w:noWrap w:val="0"/>
            <w:vAlign w:val="center"/>
          </w:tcPr>
          <w:p w14:paraId="68CC8DA4">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了解病毒或细菌感染，如面色苍白或皮下出血点应及时查一次，以便及早发现血液系统疾病。</w:t>
            </w:r>
          </w:p>
        </w:tc>
      </w:tr>
      <w:tr w14:paraId="5DB50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361" w:type="dxa"/>
            <w:vMerge w:val="continue"/>
            <w:noWrap w:val="0"/>
            <w:vAlign w:val="center"/>
          </w:tcPr>
          <w:p w14:paraId="70DC47EB">
            <w:pPr>
              <w:widowControl/>
              <w:snapToGrid w:val="0"/>
              <w:spacing w:line="300" w:lineRule="exact"/>
              <w:jc w:val="center"/>
              <w:rPr>
                <w:rFonts w:hint="eastAsia" w:ascii="仿宋" w:hAnsi="仿宋" w:eastAsia="仿宋" w:cs="仿宋"/>
                <w:color w:val="auto"/>
                <w:kern w:val="0"/>
                <w:sz w:val="21"/>
                <w:szCs w:val="21"/>
                <w:highlight w:val="none"/>
                <w:lang w:val="en-US" w:eastAsia="zh-CN" w:bidi="ar-SA"/>
              </w:rPr>
            </w:pPr>
          </w:p>
        </w:tc>
        <w:tc>
          <w:tcPr>
            <w:tcW w:w="2570" w:type="dxa"/>
            <w:noWrap w:val="0"/>
            <w:vAlign w:val="center"/>
          </w:tcPr>
          <w:p w14:paraId="2DAEB74A">
            <w:pPr>
              <w:widowControl/>
              <w:snapToGrid w:val="0"/>
              <w:spacing w:line="300" w:lineRule="exact"/>
              <w:jc w:val="left"/>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空腹血糖</w:t>
            </w:r>
          </w:p>
        </w:tc>
        <w:tc>
          <w:tcPr>
            <w:tcW w:w="5520" w:type="dxa"/>
            <w:noWrap w:val="0"/>
            <w:vAlign w:val="center"/>
          </w:tcPr>
          <w:p w14:paraId="4EB38713">
            <w:pPr>
              <w:widowControl/>
              <w:snapToGrid w:val="0"/>
              <w:spacing w:line="300" w:lineRule="exact"/>
              <w:jc w:val="left"/>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检查有无糖尿病及是否低血糖，是筛查糖尿病的基本方法</w:t>
            </w:r>
          </w:p>
        </w:tc>
      </w:tr>
      <w:tr w14:paraId="22831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361" w:type="dxa"/>
            <w:vMerge w:val="continue"/>
            <w:noWrap w:val="0"/>
            <w:vAlign w:val="center"/>
          </w:tcPr>
          <w:p w14:paraId="405F9BE8">
            <w:pPr>
              <w:widowControl/>
              <w:snapToGrid w:val="0"/>
              <w:spacing w:line="300" w:lineRule="exact"/>
              <w:jc w:val="center"/>
              <w:rPr>
                <w:rFonts w:hint="eastAsia" w:ascii="仿宋" w:hAnsi="仿宋" w:eastAsia="仿宋" w:cs="仿宋"/>
                <w:color w:val="auto"/>
                <w:kern w:val="0"/>
                <w:sz w:val="21"/>
                <w:szCs w:val="21"/>
                <w:highlight w:val="none"/>
                <w:lang w:val="en-US" w:eastAsia="zh-CN"/>
              </w:rPr>
            </w:pPr>
          </w:p>
        </w:tc>
        <w:tc>
          <w:tcPr>
            <w:tcW w:w="2570" w:type="dxa"/>
            <w:noWrap w:val="0"/>
            <w:vAlign w:val="center"/>
          </w:tcPr>
          <w:p w14:paraId="5F065B8C">
            <w:pPr>
              <w:widowControl/>
              <w:snapToGrid w:val="0"/>
              <w:spacing w:line="300" w:lineRule="exact"/>
              <w:jc w:val="left"/>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肾功</w:t>
            </w:r>
            <w:r>
              <w:rPr>
                <w:rFonts w:hint="eastAsia" w:ascii="仿宋" w:hAnsi="仿宋" w:eastAsia="仿宋" w:cs="仿宋"/>
                <w:color w:val="auto"/>
                <w:spacing w:val="-10"/>
                <w:szCs w:val="18"/>
                <w:highlight w:val="none"/>
              </w:rPr>
              <w:t>组合</w:t>
            </w:r>
          </w:p>
        </w:tc>
        <w:tc>
          <w:tcPr>
            <w:tcW w:w="5520" w:type="dxa"/>
            <w:noWrap w:val="0"/>
            <w:vAlign w:val="center"/>
          </w:tcPr>
          <w:p w14:paraId="3978CE91">
            <w:pPr>
              <w:widowControl/>
              <w:snapToGrid w:val="0"/>
              <w:spacing w:line="300" w:lineRule="exact"/>
              <w:jc w:val="left"/>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检查有无肾脏功能受损、前列腺病变、痛风、血糖等病变。</w:t>
            </w:r>
          </w:p>
        </w:tc>
      </w:tr>
      <w:tr w14:paraId="0F479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1361" w:type="dxa"/>
            <w:vMerge w:val="continue"/>
            <w:noWrap w:val="0"/>
            <w:vAlign w:val="center"/>
          </w:tcPr>
          <w:p w14:paraId="58BFB28A">
            <w:pPr>
              <w:widowControl/>
              <w:snapToGrid w:val="0"/>
              <w:spacing w:line="300" w:lineRule="exact"/>
              <w:jc w:val="center"/>
              <w:rPr>
                <w:rFonts w:hint="eastAsia" w:ascii="仿宋" w:hAnsi="仿宋" w:eastAsia="仿宋" w:cs="仿宋"/>
                <w:color w:val="auto"/>
                <w:kern w:val="0"/>
                <w:sz w:val="21"/>
                <w:szCs w:val="21"/>
                <w:highlight w:val="none"/>
                <w:lang w:val="en-US" w:eastAsia="zh-CN"/>
              </w:rPr>
            </w:pPr>
          </w:p>
        </w:tc>
        <w:tc>
          <w:tcPr>
            <w:tcW w:w="2570" w:type="dxa"/>
            <w:noWrap w:val="0"/>
            <w:vAlign w:val="center"/>
          </w:tcPr>
          <w:p w14:paraId="6357C27C">
            <w:pPr>
              <w:widowControl/>
              <w:snapToGrid w:val="0"/>
              <w:spacing w:line="300" w:lineRule="exact"/>
              <w:jc w:val="left"/>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血脂四项</w:t>
            </w:r>
          </w:p>
        </w:tc>
        <w:tc>
          <w:tcPr>
            <w:tcW w:w="5520" w:type="dxa"/>
            <w:noWrap w:val="0"/>
            <w:vAlign w:val="center"/>
          </w:tcPr>
          <w:p w14:paraId="7B45F6B5">
            <w:pPr>
              <w:widowControl/>
              <w:snapToGrid w:val="0"/>
              <w:spacing w:line="300" w:lineRule="exact"/>
              <w:jc w:val="left"/>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了解目前甘油三酯及总胆固醇的变化情况。</w:t>
            </w:r>
          </w:p>
        </w:tc>
      </w:tr>
      <w:tr w14:paraId="0A9C9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361" w:type="dxa"/>
            <w:vMerge w:val="continue"/>
            <w:noWrap w:val="0"/>
            <w:vAlign w:val="center"/>
          </w:tcPr>
          <w:p w14:paraId="78F586CB">
            <w:pPr>
              <w:widowControl/>
              <w:snapToGrid w:val="0"/>
              <w:spacing w:line="300" w:lineRule="exact"/>
              <w:jc w:val="center"/>
              <w:rPr>
                <w:rFonts w:hint="eastAsia" w:ascii="仿宋" w:hAnsi="仿宋" w:eastAsia="仿宋" w:cs="仿宋"/>
                <w:color w:val="auto"/>
                <w:kern w:val="0"/>
                <w:sz w:val="21"/>
                <w:szCs w:val="21"/>
                <w:highlight w:val="none"/>
                <w:lang w:val="en-US" w:eastAsia="zh-CN"/>
              </w:rPr>
            </w:pPr>
          </w:p>
        </w:tc>
        <w:tc>
          <w:tcPr>
            <w:tcW w:w="2570" w:type="dxa"/>
            <w:noWrap w:val="0"/>
            <w:vAlign w:val="center"/>
          </w:tcPr>
          <w:p w14:paraId="05978C21">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肝功能十项</w:t>
            </w:r>
          </w:p>
        </w:tc>
        <w:tc>
          <w:tcPr>
            <w:tcW w:w="5520" w:type="dxa"/>
            <w:noWrap w:val="0"/>
            <w:vAlign w:val="center"/>
          </w:tcPr>
          <w:p w14:paraId="57A51935">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了解有无肝功能损害及目前损害的程度及是否影响到肝脏代谢功能。</w:t>
            </w:r>
          </w:p>
        </w:tc>
      </w:tr>
      <w:tr w14:paraId="41022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1361" w:type="dxa"/>
            <w:noWrap w:val="0"/>
            <w:vAlign w:val="center"/>
          </w:tcPr>
          <w:p w14:paraId="703FCB83">
            <w:pPr>
              <w:widowControl/>
              <w:snapToGrid w:val="0"/>
              <w:spacing w:line="300" w:lineRule="exact"/>
              <w:jc w:val="center"/>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心血管检查</w:t>
            </w:r>
          </w:p>
        </w:tc>
        <w:tc>
          <w:tcPr>
            <w:tcW w:w="2570" w:type="dxa"/>
            <w:noWrap w:val="0"/>
            <w:vAlign w:val="center"/>
          </w:tcPr>
          <w:p w14:paraId="21080572">
            <w:pPr>
              <w:widowControl/>
              <w:snapToGrid w:val="0"/>
              <w:spacing w:line="300" w:lineRule="exact"/>
              <w:jc w:val="left"/>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血同型半胱氨酸</w:t>
            </w:r>
          </w:p>
        </w:tc>
        <w:tc>
          <w:tcPr>
            <w:tcW w:w="5520" w:type="dxa"/>
            <w:noWrap w:val="0"/>
            <w:vAlign w:val="center"/>
          </w:tcPr>
          <w:p w14:paraId="62C69E26">
            <w:pPr>
              <w:widowControl/>
              <w:snapToGrid w:val="0"/>
              <w:spacing w:line="300" w:lineRule="exact"/>
              <w:jc w:val="left"/>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判断心脑血管疾病危险因素</w:t>
            </w:r>
          </w:p>
        </w:tc>
      </w:tr>
      <w:tr w14:paraId="7F559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1361" w:type="dxa"/>
            <w:noWrap w:val="0"/>
            <w:vAlign w:val="center"/>
          </w:tcPr>
          <w:p w14:paraId="18958118">
            <w:pPr>
              <w:widowControl/>
              <w:snapToGrid w:val="0"/>
              <w:spacing w:line="300" w:lineRule="exact"/>
              <w:jc w:val="center"/>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核医学检查</w:t>
            </w:r>
          </w:p>
        </w:tc>
        <w:tc>
          <w:tcPr>
            <w:tcW w:w="2570" w:type="dxa"/>
            <w:noWrap w:val="0"/>
            <w:vAlign w:val="center"/>
          </w:tcPr>
          <w:p w14:paraId="54119CEF">
            <w:pPr>
              <w:widowControl/>
              <w:snapToGrid w:val="0"/>
              <w:spacing w:line="300" w:lineRule="exact"/>
              <w:jc w:val="left"/>
              <w:rPr>
                <w:rFonts w:hint="eastAsia" w:ascii="仿宋" w:hAnsi="仿宋" w:eastAsia="仿宋" w:cs="仿宋"/>
                <w:color w:val="auto"/>
                <w:spacing w:val="-10"/>
                <w:kern w:val="2"/>
                <w:sz w:val="21"/>
                <w:szCs w:val="18"/>
                <w:highlight w:val="none"/>
                <w:lang w:val="en-US" w:eastAsia="zh-CN" w:bidi="ar-SA"/>
              </w:rPr>
            </w:pPr>
            <w:r>
              <w:rPr>
                <w:rFonts w:hint="eastAsia" w:ascii="仿宋" w:hAnsi="仿宋" w:eastAsia="仿宋" w:cs="仿宋"/>
                <w:color w:val="auto"/>
                <w:spacing w:val="-10"/>
                <w:szCs w:val="18"/>
                <w:highlight w:val="none"/>
              </w:rPr>
              <w:t>甲功</w:t>
            </w:r>
            <w:r>
              <w:rPr>
                <w:rFonts w:hint="eastAsia" w:ascii="仿宋" w:hAnsi="仿宋" w:eastAsia="仿宋" w:cs="仿宋"/>
                <w:color w:val="auto"/>
                <w:spacing w:val="-10"/>
                <w:szCs w:val="18"/>
                <w:highlight w:val="none"/>
                <w:lang w:val="en-US" w:eastAsia="zh-CN"/>
              </w:rPr>
              <w:t>三</w:t>
            </w:r>
            <w:r>
              <w:rPr>
                <w:rFonts w:hint="eastAsia" w:ascii="仿宋" w:hAnsi="仿宋" w:eastAsia="仿宋" w:cs="仿宋"/>
                <w:color w:val="auto"/>
                <w:spacing w:val="-10"/>
                <w:szCs w:val="18"/>
                <w:highlight w:val="none"/>
                <w:lang w:eastAsia="zh-CN"/>
              </w:rPr>
              <w:t>项</w:t>
            </w:r>
          </w:p>
        </w:tc>
        <w:tc>
          <w:tcPr>
            <w:tcW w:w="5520" w:type="dxa"/>
            <w:noWrap w:val="0"/>
            <w:vAlign w:val="center"/>
          </w:tcPr>
          <w:p w14:paraId="4F795269">
            <w:pPr>
              <w:widowControl/>
              <w:snapToGrid w:val="0"/>
              <w:spacing w:line="300" w:lineRule="exact"/>
              <w:jc w:val="left"/>
              <w:rPr>
                <w:rFonts w:hint="eastAsia" w:ascii="仿宋" w:hAnsi="仿宋" w:eastAsia="仿宋" w:cs="仿宋"/>
                <w:color w:val="auto"/>
                <w:spacing w:val="-10"/>
                <w:kern w:val="2"/>
                <w:sz w:val="21"/>
                <w:szCs w:val="18"/>
                <w:highlight w:val="none"/>
                <w:lang w:val="en-US" w:eastAsia="zh-CN" w:bidi="ar-SA"/>
              </w:rPr>
            </w:pPr>
            <w:r>
              <w:rPr>
                <w:rFonts w:hint="eastAsia" w:ascii="仿宋" w:hAnsi="仿宋" w:eastAsia="仿宋" w:cs="仿宋"/>
                <w:color w:val="auto"/>
                <w:spacing w:val="-10"/>
                <w:szCs w:val="18"/>
                <w:highlight w:val="none"/>
              </w:rPr>
              <w:t>了解目前有无甲状腺功能改变（甲亢、甲减等疾病的筛查）。</w:t>
            </w:r>
          </w:p>
        </w:tc>
      </w:tr>
      <w:tr w14:paraId="42C5F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trPr>
        <w:tc>
          <w:tcPr>
            <w:tcW w:w="1361" w:type="dxa"/>
            <w:vMerge w:val="restart"/>
            <w:noWrap w:val="0"/>
            <w:vAlign w:val="center"/>
          </w:tcPr>
          <w:p w14:paraId="3DA83242">
            <w:pPr>
              <w:widowControl/>
              <w:snapToGrid w:val="0"/>
              <w:spacing w:line="300" w:lineRule="exact"/>
              <w:jc w:val="center"/>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肿瘤筛查</w:t>
            </w:r>
          </w:p>
        </w:tc>
        <w:tc>
          <w:tcPr>
            <w:tcW w:w="2570" w:type="dxa"/>
            <w:noWrap w:val="0"/>
            <w:vAlign w:val="center"/>
          </w:tcPr>
          <w:p w14:paraId="04661889">
            <w:pPr>
              <w:widowControl/>
              <w:snapToGrid w:val="0"/>
              <w:spacing w:line="300" w:lineRule="exact"/>
              <w:jc w:val="left"/>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甲胎蛋白（AFP）</w:t>
            </w:r>
          </w:p>
        </w:tc>
        <w:tc>
          <w:tcPr>
            <w:tcW w:w="5520" w:type="dxa"/>
            <w:noWrap w:val="0"/>
            <w:vAlign w:val="center"/>
          </w:tcPr>
          <w:p w14:paraId="48B47C89">
            <w:pPr>
              <w:widowControl/>
              <w:snapToGrid w:val="0"/>
              <w:spacing w:line="300" w:lineRule="exact"/>
              <w:jc w:val="left"/>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原发性肝癌筛查。</w:t>
            </w:r>
          </w:p>
        </w:tc>
      </w:tr>
      <w:tr w14:paraId="3AC46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1361" w:type="dxa"/>
            <w:vMerge w:val="continue"/>
            <w:noWrap w:val="0"/>
            <w:vAlign w:val="center"/>
          </w:tcPr>
          <w:p w14:paraId="5329AB75">
            <w:pPr>
              <w:widowControl/>
              <w:snapToGrid w:val="0"/>
              <w:spacing w:line="300" w:lineRule="exact"/>
              <w:jc w:val="center"/>
              <w:rPr>
                <w:rFonts w:hint="eastAsia" w:ascii="仿宋" w:hAnsi="仿宋" w:eastAsia="仿宋" w:cs="仿宋"/>
                <w:color w:val="auto"/>
                <w:kern w:val="0"/>
                <w:sz w:val="21"/>
                <w:szCs w:val="21"/>
                <w:highlight w:val="none"/>
                <w:lang w:val="en-US" w:eastAsia="zh-CN"/>
              </w:rPr>
            </w:pPr>
          </w:p>
        </w:tc>
        <w:tc>
          <w:tcPr>
            <w:tcW w:w="2570" w:type="dxa"/>
            <w:noWrap w:val="0"/>
            <w:vAlign w:val="center"/>
          </w:tcPr>
          <w:p w14:paraId="120B342C">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癌胚抗原(CEA)</w:t>
            </w:r>
          </w:p>
        </w:tc>
        <w:tc>
          <w:tcPr>
            <w:tcW w:w="5520" w:type="dxa"/>
            <w:noWrap w:val="0"/>
            <w:vAlign w:val="center"/>
          </w:tcPr>
          <w:p w14:paraId="37E9ECB1">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消化系统肿瘤筛查，早期预警或辅助诊断。</w:t>
            </w:r>
          </w:p>
        </w:tc>
      </w:tr>
      <w:tr w14:paraId="1415D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trPr>
        <w:tc>
          <w:tcPr>
            <w:tcW w:w="1361" w:type="dxa"/>
            <w:vMerge w:val="continue"/>
            <w:noWrap w:val="0"/>
            <w:vAlign w:val="center"/>
          </w:tcPr>
          <w:p w14:paraId="7F61DEAB">
            <w:pPr>
              <w:widowControl/>
              <w:snapToGrid w:val="0"/>
              <w:spacing w:line="300" w:lineRule="exact"/>
              <w:jc w:val="center"/>
              <w:rPr>
                <w:rFonts w:hint="eastAsia" w:ascii="仿宋" w:hAnsi="仿宋" w:eastAsia="仿宋" w:cs="仿宋"/>
                <w:color w:val="auto"/>
                <w:kern w:val="0"/>
                <w:sz w:val="21"/>
                <w:szCs w:val="21"/>
                <w:highlight w:val="none"/>
                <w:lang w:val="en-US" w:eastAsia="zh-CN" w:bidi="ar-SA"/>
              </w:rPr>
            </w:pPr>
          </w:p>
        </w:tc>
        <w:tc>
          <w:tcPr>
            <w:tcW w:w="2570" w:type="dxa"/>
            <w:shd w:val="clear" w:color="auto" w:fill="auto"/>
            <w:noWrap w:val="0"/>
            <w:vAlign w:val="center"/>
          </w:tcPr>
          <w:p w14:paraId="7AC20E49">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糖类抗原(CA 153）</w:t>
            </w:r>
          </w:p>
        </w:tc>
        <w:tc>
          <w:tcPr>
            <w:tcW w:w="5520" w:type="dxa"/>
            <w:shd w:val="clear" w:color="auto" w:fill="auto"/>
            <w:noWrap w:val="0"/>
            <w:vAlign w:val="center"/>
          </w:tcPr>
          <w:p w14:paraId="78E4C70A">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乳腺肿瘤筛查</w:t>
            </w:r>
          </w:p>
        </w:tc>
      </w:tr>
      <w:tr w14:paraId="675A5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 w:hRule="atLeast"/>
        </w:trPr>
        <w:tc>
          <w:tcPr>
            <w:tcW w:w="1361" w:type="dxa"/>
            <w:vMerge w:val="continue"/>
            <w:noWrap w:val="0"/>
            <w:vAlign w:val="center"/>
          </w:tcPr>
          <w:p w14:paraId="72A97892">
            <w:pPr>
              <w:widowControl/>
              <w:snapToGrid w:val="0"/>
              <w:spacing w:line="300" w:lineRule="exact"/>
              <w:jc w:val="center"/>
              <w:rPr>
                <w:rFonts w:hint="eastAsia" w:ascii="仿宋" w:hAnsi="仿宋" w:eastAsia="仿宋" w:cs="仿宋"/>
                <w:color w:val="auto"/>
                <w:kern w:val="0"/>
                <w:sz w:val="21"/>
                <w:szCs w:val="21"/>
                <w:highlight w:val="none"/>
                <w:lang w:val="en-US" w:eastAsia="zh-CN" w:bidi="ar-SA"/>
              </w:rPr>
            </w:pPr>
          </w:p>
        </w:tc>
        <w:tc>
          <w:tcPr>
            <w:tcW w:w="2570" w:type="dxa"/>
            <w:noWrap w:val="0"/>
            <w:vAlign w:val="center"/>
          </w:tcPr>
          <w:p w14:paraId="3DB1A05B">
            <w:pPr>
              <w:adjustRightInd w:val="0"/>
              <w:snapToGrid w:val="0"/>
              <w:spacing w:line="400" w:lineRule="exact"/>
              <w:jc w:val="left"/>
              <w:rPr>
                <w:rFonts w:hint="eastAsia" w:ascii="仿宋" w:hAnsi="仿宋" w:eastAsia="仿宋" w:cs="仿宋"/>
                <w:color w:val="auto"/>
                <w:spacing w:val="-10"/>
                <w:kern w:val="2"/>
                <w:sz w:val="21"/>
                <w:szCs w:val="18"/>
                <w:highlight w:val="none"/>
                <w:lang w:val="en-US" w:eastAsia="zh-CN" w:bidi="ar-SA"/>
              </w:rPr>
            </w:pPr>
            <w:r>
              <w:rPr>
                <w:rFonts w:hint="eastAsia" w:ascii="仿宋" w:hAnsi="仿宋" w:eastAsia="仿宋" w:cs="仿宋"/>
                <w:color w:val="auto"/>
                <w:spacing w:val="-10"/>
                <w:szCs w:val="18"/>
                <w:highlight w:val="none"/>
                <w:lang w:eastAsia="zh-CN"/>
              </w:rPr>
              <w:t>糖类抗原(CA 1</w:t>
            </w:r>
            <w:r>
              <w:rPr>
                <w:rFonts w:hint="eastAsia" w:ascii="仿宋" w:hAnsi="仿宋" w:eastAsia="仿宋" w:cs="仿宋"/>
                <w:color w:val="auto"/>
                <w:spacing w:val="-10"/>
                <w:szCs w:val="18"/>
                <w:highlight w:val="none"/>
                <w:lang w:val="en-US" w:eastAsia="zh-CN"/>
              </w:rPr>
              <w:t>25</w:t>
            </w:r>
            <w:r>
              <w:rPr>
                <w:rFonts w:hint="eastAsia" w:ascii="仿宋" w:hAnsi="仿宋" w:eastAsia="仿宋" w:cs="仿宋"/>
                <w:color w:val="auto"/>
                <w:spacing w:val="-10"/>
                <w:szCs w:val="18"/>
                <w:highlight w:val="none"/>
                <w:lang w:eastAsia="zh-CN"/>
              </w:rPr>
              <w:t>）</w:t>
            </w:r>
          </w:p>
        </w:tc>
        <w:tc>
          <w:tcPr>
            <w:tcW w:w="5520" w:type="dxa"/>
            <w:noWrap w:val="0"/>
            <w:vAlign w:val="center"/>
          </w:tcPr>
          <w:p w14:paraId="7DD9DB35">
            <w:pPr>
              <w:widowControl/>
              <w:snapToGrid w:val="0"/>
              <w:spacing w:line="300" w:lineRule="exact"/>
              <w:jc w:val="left"/>
              <w:rPr>
                <w:rFonts w:hint="eastAsia" w:ascii="仿宋" w:hAnsi="仿宋" w:eastAsia="仿宋" w:cs="仿宋"/>
                <w:color w:val="auto"/>
                <w:spacing w:val="-10"/>
                <w:kern w:val="2"/>
                <w:sz w:val="21"/>
                <w:szCs w:val="18"/>
                <w:highlight w:val="none"/>
                <w:lang w:val="en-US" w:eastAsia="zh-CN" w:bidi="ar-SA"/>
              </w:rPr>
            </w:pPr>
            <w:r>
              <w:rPr>
                <w:rFonts w:hint="eastAsia" w:ascii="仿宋" w:hAnsi="仿宋" w:eastAsia="仿宋" w:cs="仿宋"/>
                <w:color w:val="auto"/>
                <w:spacing w:val="-10"/>
                <w:szCs w:val="18"/>
                <w:highlight w:val="none"/>
                <w:lang w:eastAsia="zh-CN"/>
              </w:rPr>
              <w:t>妇科及消化道恶性肿瘤如宫颈癌、乳腺癌、胰腺癌、肝癌、胃癌及肺癌等，也可见于肝硬化、肾衰、孕妇、良性卵巢瘤等</w:t>
            </w:r>
            <w:r>
              <w:rPr>
                <w:rFonts w:hint="eastAsia" w:ascii="仿宋" w:hAnsi="仿宋" w:eastAsia="仿宋" w:cs="仿宋"/>
                <w:color w:val="auto"/>
                <w:spacing w:val="-10"/>
                <w:szCs w:val="18"/>
                <w:highlight w:val="none"/>
                <w:lang w:val="en-US" w:eastAsia="zh-CN"/>
              </w:rPr>
              <w:t>的</w:t>
            </w:r>
            <w:r>
              <w:rPr>
                <w:rFonts w:hint="eastAsia" w:ascii="仿宋" w:hAnsi="仿宋" w:eastAsia="仿宋" w:cs="仿宋"/>
                <w:color w:val="auto"/>
                <w:spacing w:val="-10"/>
                <w:szCs w:val="18"/>
                <w:highlight w:val="none"/>
                <w:lang w:eastAsia="zh-CN"/>
              </w:rPr>
              <w:t>早期预警或辅助诊断。</w:t>
            </w:r>
          </w:p>
        </w:tc>
      </w:tr>
      <w:tr w14:paraId="2706B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1361" w:type="dxa"/>
            <w:vMerge w:val="restart"/>
            <w:noWrap w:val="0"/>
            <w:vAlign w:val="center"/>
          </w:tcPr>
          <w:p w14:paraId="5FBE2A81">
            <w:pPr>
              <w:widowControl/>
              <w:snapToGrid w:val="0"/>
              <w:spacing w:line="300" w:lineRule="exact"/>
              <w:jc w:val="center"/>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影像检查</w:t>
            </w:r>
          </w:p>
        </w:tc>
        <w:tc>
          <w:tcPr>
            <w:tcW w:w="2570" w:type="dxa"/>
            <w:noWrap w:val="0"/>
            <w:vAlign w:val="center"/>
          </w:tcPr>
          <w:p w14:paraId="1CD783FC">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肺部CT</w:t>
            </w:r>
          </w:p>
        </w:tc>
        <w:tc>
          <w:tcPr>
            <w:tcW w:w="5520" w:type="dxa"/>
            <w:noWrap w:val="0"/>
            <w:vAlign w:val="center"/>
          </w:tcPr>
          <w:p w14:paraId="6F164ABA">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对支气管炎、肺炎、肺结核、肺部及纵隔占位等疾病诊断有参考意义。胸廓检查（包括肋骨、胸椎等）、胸膜、心脏及大血管病变。</w:t>
            </w:r>
          </w:p>
        </w:tc>
      </w:tr>
      <w:tr w14:paraId="60C1D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rPr>
        <w:tc>
          <w:tcPr>
            <w:tcW w:w="1361" w:type="dxa"/>
            <w:vMerge w:val="continue"/>
            <w:noWrap w:val="0"/>
            <w:vAlign w:val="center"/>
          </w:tcPr>
          <w:p w14:paraId="3C956FC4">
            <w:pPr>
              <w:widowControl/>
              <w:snapToGrid w:val="0"/>
              <w:spacing w:line="300" w:lineRule="exact"/>
              <w:jc w:val="center"/>
              <w:rPr>
                <w:rFonts w:hint="eastAsia" w:ascii="仿宋" w:hAnsi="仿宋" w:eastAsia="仿宋" w:cs="仿宋"/>
                <w:color w:val="auto"/>
                <w:kern w:val="0"/>
                <w:sz w:val="21"/>
                <w:szCs w:val="21"/>
                <w:highlight w:val="none"/>
                <w:lang w:val="en-US" w:eastAsia="zh-CN"/>
              </w:rPr>
            </w:pPr>
          </w:p>
        </w:tc>
        <w:tc>
          <w:tcPr>
            <w:tcW w:w="2570" w:type="dxa"/>
            <w:noWrap w:val="0"/>
            <w:vAlign w:val="center"/>
          </w:tcPr>
          <w:p w14:paraId="48ED06D4">
            <w:pPr>
              <w:widowControl/>
              <w:snapToGrid w:val="0"/>
              <w:spacing w:line="300" w:lineRule="exact"/>
              <w:jc w:val="left"/>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颈椎或腰椎正侧位DR</w:t>
            </w:r>
          </w:p>
        </w:tc>
        <w:tc>
          <w:tcPr>
            <w:tcW w:w="5520" w:type="dxa"/>
            <w:noWrap w:val="0"/>
            <w:vAlign w:val="center"/>
          </w:tcPr>
          <w:p w14:paraId="255AC48A">
            <w:pPr>
              <w:widowControl/>
              <w:snapToGrid w:val="0"/>
              <w:spacing w:line="300" w:lineRule="exact"/>
              <w:jc w:val="left"/>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颈椎或腰椎正侧位DR（二选一）</w:t>
            </w:r>
          </w:p>
        </w:tc>
      </w:tr>
      <w:tr w14:paraId="15CF4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1361" w:type="dxa"/>
            <w:noWrap w:val="0"/>
            <w:vAlign w:val="center"/>
          </w:tcPr>
          <w:p w14:paraId="0CB22BA2">
            <w:pPr>
              <w:widowControl/>
              <w:snapToGrid w:val="0"/>
              <w:spacing w:line="300" w:lineRule="exact"/>
              <w:jc w:val="center"/>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心电图</w:t>
            </w:r>
          </w:p>
        </w:tc>
        <w:tc>
          <w:tcPr>
            <w:tcW w:w="2570" w:type="dxa"/>
            <w:noWrap w:val="0"/>
            <w:vAlign w:val="center"/>
          </w:tcPr>
          <w:p w14:paraId="42B1449D">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12导联心电图</w:t>
            </w:r>
          </w:p>
        </w:tc>
        <w:tc>
          <w:tcPr>
            <w:tcW w:w="5520" w:type="dxa"/>
            <w:noWrap w:val="0"/>
            <w:vAlign w:val="center"/>
          </w:tcPr>
          <w:p w14:paraId="3BD5BC81">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了解心律不齐、心肌梗塞、心肌缺血、心率过缓/过速、心室电压增高等心脏疾病。</w:t>
            </w:r>
          </w:p>
        </w:tc>
      </w:tr>
      <w:tr w14:paraId="5BA12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1361" w:type="dxa"/>
            <w:vMerge w:val="restart"/>
            <w:noWrap w:val="0"/>
            <w:vAlign w:val="center"/>
          </w:tcPr>
          <w:p w14:paraId="787F64A8">
            <w:pPr>
              <w:widowControl/>
              <w:snapToGrid w:val="0"/>
              <w:spacing w:line="300" w:lineRule="exact"/>
              <w:jc w:val="center"/>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超声检查</w:t>
            </w:r>
          </w:p>
        </w:tc>
        <w:tc>
          <w:tcPr>
            <w:tcW w:w="2570" w:type="dxa"/>
            <w:noWrap w:val="0"/>
            <w:vAlign w:val="center"/>
          </w:tcPr>
          <w:p w14:paraId="36193566">
            <w:pPr>
              <w:widowControl/>
              <w:snapToGrid w:val="0"/>
              <w:spacing w:line="300" w:lineRule="exact"/>
              <w:jc w:val="left"/>
              <w:rPr>
                <w:rFonts w:hint="eastAsia" w:ascii="仿宋" w:hAnsi="仿宋" w:eastAsia="仿宋" w:cs="仿宋"/>
                <w:color w:val="auto"/>
                <w:spacing w:val="-10"/>
                <w:kern w:val="2"/>
                <w:sz w:val="21"/>
                <w:szCs w:val="18"/>
                <w:highlight w:val="none"/>
                <w:lang w:val="en-US" w:eastAsia="zh-CN" w:bidi="ar-SA"/>
              </w:rPr>
            </w:pPr>
            <w:r>
              <w:rPr>
                <w:rFonts w:hint="eastAsia" w:ascii="仿宋" w:hAnsi="仿宋" w:eastAsia="仿宋" w:cs="仿宋"/>
                <w:color w:val="auto"/>
                <w:kern w:val="0"/>
                <w:sz w:val="21"/>
                <w:szCs w:val="21"/>
                <w:highlight w:val="none"/>
                <w:lang w:val="en-US" w:eastAsia="zh-CN"/>
              </w:rPr>
              <w:t>肝、胆、脾、胰、双肾</w:t>
            </w:r>
          </w:p>
        </w:tc>
        <w:tc>
          <w:tcPr>
            <w:tcW w:w="5520" w:type="dxa"/>
            <w:noWrap w:val="0"/>
            <w:vAlign w:val="top"/>
          </w:tcPr>
          <w:p w14:paraId="3FDE0339">
            <w:pPr>
              <w:widowControl/>
              <w:snapToGrid w:val="0"/>
              <w:spacing w:line="300" w:lineRule="exact"/>
              <w:jc w:val="left"/>
              <w:rPr>
                <w:rFonts w:hint="eastAsia" w:ascii="仿宋" w:hAnsi="仿宋" w:eastAsia="仿宋" w:cs="仿宋"/>
                <w:color w:val="auto"/>
                <w:spacing w:val="-10"/>
                <w:kern w:val="2"/>
                <w:sz w:val="21"/>
                <w:szCs w:val="18"/>
                <w:highlight w:val="none"/>
                <w:lang w:val="en-US" w:eastAsia="zh-CN" w:bidi="ar-SA"/>
              </w:rPr>
            </w:pPr>
            <w:r>
              <w:rPr>
                <w:rFonts w:hint="eastAsia" w:ascii="仿宋" w:hAnsi="仿宋" w:eastAsia="仿宋" w:cs="仿宋"/>
                <w:color w:val="auto"/>
                <w:kern w:val="0"/>
                <w:sz w:val="21"/>
                <w:szCs w:val="21"/>
                <w:highlight w:val="none"/>
                <w:lang w:val="en-US" w:eastAsia="zh-CN"/>
              </w:rPr>
              <w:t>了解肝硬化、肝囊肿、肝癌、肝脓肿、肝血管瘤、肝脂肪、胆囊结石、胆囊息肉、胰腺癌、脾肿大等疾病情况。通过肾了解有否肾结石、肾肿瘤。</w:t>
            </w:r>
          </w:p>
        </w:tc>
      </w:tr>
      <w:tr w14:paraId="29F14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1361" w:type="dxa"/>
            <w:vMerge w:val="continue"/>
            <w:noWrap w:val="0"/>
            <w:vAlign w:val="center"/>
          </w:tcPr>
          <w:p w14:paraId="25BCCD4E">
            <w:pPr>
              <w:widowControl/>
              <w:snapToGrid w:val="0"/>
              <w:spacing w:line="300" w:lineRule="exact"/>
              <w:jc w:val="center"/>
              <w:rPr>
                <w:rFonts w:hint="eastAsia" w:ascii="仿宋" w:hAnsi="仿宋" w:eastAsia="仿宋" w:cs="仿宋"/>
                <w:color w:val="auto"/>
                <w:kern w:val="0"/>
                <w:sz w:val="21"/>
                <w:szCs w:val="21"/>
                <w:highlight w:val="none"/>
                <w:lang w:val="en-US" w:eastAsia="zh-CN"/>
              </w:rPr>
            </w:pPr>
          </w:p>
        </w:tc>
        <w:tc>
          <w:tcPr>
            <w:tcW w:w="2570" w:type="dxa"/>
            <w:noWrap w:val="0"/>
            <w:vAlign w:val="center"/>
          </w:tcPr>
          <w:p w14:paraId="370817F2">
            <w:pPr>
              <w:widowControl/>
              <w:snapToGrid w:val="0"/>
              <w:spacing w:line="300" w:lineRule="exact"/>
              <w:jc w:val="left"/>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乳腺及腋窝淋巴结彩超</w:t>
            </w:r>
          </w:p>
        </w:tc>
        <w:tc>
          <w:tcPr>
            <w:tcW w:w="5520" w:type="dxa"/>
            <w:noWrap w:val="0"/>
            <w:vAlign w:val="center"/>
          </w:tcPr>
          <w:p w14:paraId="2090FF9D">
            <w:pPr>
              <w:widowControl/>
              <w:snapToGrid w:val="0"/>
              <w:spacing w:line="300" w:lineRule="exact"/>
              <w:jc w:val="left"/>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排除乳腺增生、乳腺结节、乳腺纤维瘤、乳腺癌等疾病；乳房组织病变诊断；了解腋下淋巴结有无肿大。</w:t>
            </w:r>
          </w:p>
        </w:tc>
      </w:tr>
      <w:tr w14:paraId="05247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61" w:type="dxa"/>
            <w:vMerge w:val="continue"/>
            <w:noWrap w:val="0"/>
            <w:vAlign w:val="center"/>
          </w:tcPr>
          <w:p w14:paraId="69BE4901">
            <w:pPr>
              <w:widowControl/>
              <w:snapToGrid w:val="0"/>
              <w:spacing w:line="300" w:lineRule="exact"/>
              <w:jc w:val="center"/>
              <w:rPr>
                <w:rFonts w:hint="eastAsia" w:ascii="仿宋" w:hAnsi="仿宋" w:eastAsia="仿宋" w:cs="仿宋"/>
                <w:color w:val="auto"/>
                <w:kern w:val="0"/>
                <w:sz w:val="21"/>
                <w:szCs w:val="21"/>
                <w:highlight w:val="none"/>
                <w:lang w:val="en-US" w:eastAsia="zh-CN"/>
              </w:rPr>
            </w:pPr>
          </w:p>
        </w:tc>
        <w:tc>
          <w:tcPr>
            <w:tcW w:w="2570" w:type="dxa"/>
            <w:noWrap w:val="0"/>
            <w:vAlign w:val="center"/>
          </w:tcPr>
          <w:p w14:paraId="71349C2C">
            <w:pPr>
              <w:widowControl/>
              <w:snapToGrid w:val="0"/>
              <w:spacing w:line="300" w:lineRule="exact"/>
              <w:jc w:val="left"/>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甲状腺及颈部淋巴结彩超</w:t>
            </w:r>
          </w:p>
        </w:tc>
        <w:tc>
          <w:tcPr>
            <w:tcW w:w="5520" w:type="dxa"/>
            <w:noWrap w:val="0"/>
            <w:vAlign w:val="center"/>
          </w:tcPr>
          <w:p w14:paraId="4EC19AB7">
            <w:pPr>
              <w:widowControl/>
              <w:snapToGrid w:val="0"/>
              <w:spacing w:line="300" w:lineRule="exact"/>
              <w:jc w:val="left"/>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了解甲状腺及颈部淋巴有无结节、囊肿、良/恶性占位等疾病。</w:t>
            </w:r>
          </w:p>
        </w:tc>
      </w:tr>
      <w:tr w14:paraId="1C42E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1361" w:type="dxa"/>
            <w:vMerge w:val="continue"/>
            <w:noWrap w:val="0"/>
            <w:vAlign w:val="center"/>
          </w:tcPr>
          <w:p w14:paraId="6317F4C5">
            <w:pPr>
              <w:widowControl/>
              <w:snapToGrid w:val="0"/>
              <w:spacing w:line="300" w:lineRule="exact"/>
              <w:jc w:val="center"/>
              <w:rPr>
                <w:rFonts w:hint="eastAsia" w:ascii="仿宋" w:hAnsi="仿宋" w:eastAsia="仿宋" w:cs="仿宋"/>
                <w:color w:val="auto"/>
                <w:kern w:val="0"/>
                <w:sz w:val="21"/>
                <w:szCs w:val="21"/>
                <w:highlight w:val="none"/>
                <w:lang w:val="en-US" w:eastAsia="zh-CN"/>
              </w:rPr>
            </w:pPr>
          </w:p>
        </w:tc>
        <w:tc>
          <w:tcPr>
            <w:tcW w:w="2570" w:type="dxa"/>
            <w:noWrap w:val="0"/>
            <w:vAlign w:val="center"/>
          </w:tcPr>
          <w:p w14:paraId="53A55F30">
            <w:pPr>
              <w:adjustRightInd w:val="0"/>
              <w:snapToGrid w:val="0"/>
              <w:spacing w:line="24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spacing w:val="-10"/>
                <w:szCs w:val="18"/>
                <w:highlight w:val="none"/>
              </w:rPr>
              <w:t>子宫、附件B超（已婚未婚均可，需憋尿）</w:t>
            </w:r>
          </w:p>
        </w:tc>
        <w:tc>
          <w:tcPr>
            <w:tcW w:w="5520" w:type="dxa"/>
            <w:noWrap w:val="0"/>
            <w:vAlign w:val="center"/>
          </w:tcPr>
          <w:p w14:paraId="0D9ED4F7">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检查子宫肌瘤，宫颈癌，卵巢肿物、盆腔炎。</w:t>
            </w:r>
          </w:p>
        </w:tc>
      </w:tr>
    </w:tbl>
    <w:p w14:paraId="46F05557">
      <w:pPr>
        <w:rPr>
          <w:rFonts w:hint="eastAsia" w:ascii="仿宋" w:hAnsi="仿宋" w:eastAsia="仿宋" w:cs="仿宋"/>
          <w:b/>
          <w:color w:val="auto"/>
          <w:sz w:val="28"/>
          <w:highlight w:val="none"/>
          <w:lang w:val="en-US" w:eastAsia="zh-CN"/>
        </w:rPr>
      </w:pPr>
    </w:p>
    <w:p w14:paraId="74D3BCF7">
      <w:pPr>
        <w:rPr>
          <w:rFonts w:hint="eastAsia" w:ascii="仿宋" w:hAnsi="仿宋" w:eastAsia="仿宋" w:cs="仿宋"/>
          <w:b/>
          <w:bCs/>
          <w:color w:val="auto"/>
          <w:sz w:val="24"/>
          <w:szCs w:val="28"/>
          <w:highlight w:val="none"/>
          <w:lang w:val="en-US" w:eastAsia="zh-CN"/>
        </w:rPr>
      </w:pPr>
      <w:r>
        <w:rPr>
          <w:rFonts w:hint="eastAsia" w:ascii="仿宋" w:hAnsi="仿宋" w:eastAsia="仿宋" w:cs="仿宋"/>
          <w:b/>
          <w:bCs/>
          <w:color w:val="auto"/>
          <w:sz w:val="24"/>
          <w:szCs w:val="28"/>
          <w:highlight w:val="none"/>
          <w:lang w:val="en-US" w:eastAsia="zh-CN"/>
        </w:rPr>
        <w:br w:type="page"/>
      </w:r>
    </w:p>
    <w:p w14:paraId="722C0126">
      <w:pPr>
        <w:widowControl/>
        <w:snapToGrid w:val="0"/>
        <w:spacing w:line="216" w:lineRule="auto"/>
        <w:jc w:val="center"/>
        <w:textAlignment w:val="baseline"/>
        <w:outlineLvl w:val="1"/>
        <w:rPr>
          <w:rFonts w:hint="eastAsia" w:ascii="仿宋" w:hAnsi="仿宋" w:eastAsia="仿宋" w:cs="仿宋"/>
          <w:b/>
          <w:bCs/>
          <w:color w:val="auto"/>
          <w:sz w:val="24"/>
          <w:szCs w:val="28"/>
          <w:highlight w:val="none"/>
        </w:rPr>
      </w:pPr>
      <w:bookmarkStart w:id="91" w:name="_Toc17612"/>
      <w:r>
        <w:rPr>
          <w:rFonts w:hint="eastAsia" w:ascii="仿宋" w:hAnsi="仿宋" w:eastAsia="仿宋" w:cs="仿宋"/>
          <w:b/>
          <w:bCs/>
          <w:color w:val="auto"/>
          <w:sz w:val="24"/>
          <w:szCs w:val="28"/>
          <w:highlight w:val="none"/>
          <w:lang w:val="en-US" w:eastAsia="zh-CN"/>
        </w:rPr>
        <w:t>D</w:t>
      </w:r>
      <w:r>
        <w:rPr>
          <w:rFonts w:hint="eastAsia" w:ascii="仿宋" w:hAnsi="仿宋" w:eastAsia="仿宋" w:cs="仿宋"/>
          <w:b/>
          <w:bCs/>
          <w:color w:val="auto"/>
          <w:sz w:val="24"/>
          <w:szCs w:val="28"/>
          <w:highlight w:val="none"/>
        </w:rPr>
        <w:t>、</w:t>
      </w:r>
      <w:r>
        <w:rPr>
          <w:rFonts w:hint="eastAsia" w:ascii="仿宋" w:hAnsi="仿宋" w:eastAsia="仿宋" w:cs="仿宋"/>
          <w:b/>
          <w:bCs/>
          <w:color w:val="auto"/>
          <w:sz w:val="24"/>
          <w:szCs w:val="28"/>
          <w:highlight w:val="none"/>
          <w:lang w:val="en-US" w:eastAsia="zh-CN"/>
        </w:rPr>
        <w:t>41岁及以上未婚女士</w:t>
      </w:r>
      <w:r>
        <w:rPr>
          <w:rFonts w:hint="eastAsia" w:ascii="仿宋" w:hAnsi="仿宋" w:eastAsia="仿宋" w:cs="仿宋"/>
          <w:b/>
          <w:bCs/>
          <w:color w:val="auto"/>
          <w:sz w:val="24"/>
          <w:szCs w:val="28"/>
          <w:highlight w:val="none"/>
        </w:rPr>
        <w:t>套餐</w:t>
      </w:r>
      <w:bookmarkEnd w:id="91"/>
    </w:p>
    <w:tbl>
      <w:tblPr>
        <w:tblStyle w:val="40"/>
        <w:tblpPr w:leftFromText="180" w:rightFromText="180" w:vertAnchor="text" w:horzAnchor="page" w:tblpX="1237" w:tblpY="497"/>
        <w:tblOverlap w:val="never"/>
        <w:tblW w:w="95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7"/>
        <w:gridCol w:w="2728"/>
        <w:gridCol w:w="5448"/>
      </w:tblGrid>
      <w:tr w14:paraId="51C63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1347" w:type="dxa"/>
            <w:noWrap w:val="0"/>
            <w:vAlign w:val="center"/>
          </w:tcPr>
          <w:p w14:paraId="0CFDFB3B">
            <w:pPr>
              <w:autoSpaceDN w:val="0"/>
              <w:snapToGrid w:val="0"/>
              <w:spacing w:line="300" w:lineRule="exact"/>
              <w:jc w:val="center"/>
              <w:textAlignment w:val="bottom"/>
              <w:rPr>
                <w:rFonts w:hint="eastAsia" w:ascii="仿宋" w:hAnsi="仿宋" w:eastAsia="仿宋" w:cs="仿宋"/>
                <w:color w:val="auto"/>
                <w:kern w:val="0"/>
                <w:sz w:val="21"/>
                <w:szCs w:val="21"/>
                <w:highlight w:val="none"/>
                <w:lang w:val="en-US" w:eastAsia="zh-CN"/>
              </w:rPr>
            </w:pPr>
            <w:r>
              <w:rPr>
                <w:rFonts w:hint="eastAsia" w:ascii="仿宋" w:hAnsi="仿宋" w:eastAsia="仿宋" w:cs="仿宋"/>
                <w:b/>
                <w:snapToGrid w:val="0"/>
                <w:color w:val="auto"/>
                <w:sz w:val="21"/>
                <w:szCs w:val="21"/>
                <w:highlight w:val="none"/>
              </w:rPr>
              <w:t>项目分类</w:t>
            </w:r>
          </w:p>
        </w:tc>
        <w:tc>
          <w:tcPr>
            <w:tcW w:w="2728" w:type="dxa"/>
            <w:noWrap w:val="0"/>
            <w:vAlign w:val="center"/>
          </w:tcPr>
          <w:p w14:paraId="7D97F8DD">
            <w:pPr>
              <w:autoSpaceDN w:val="0"/>
              <w:snapToGrid w:val="0"/>
              <w:spacing w:line="300" w:lineRule="exact"/>
              <w:ind w:left="-334" w:leftChars="-159"/>
              <w:jc w:val="center"/>
              <w:textAlignment w:val="bottom"/>
              <w:rPr>
                <w:rFonts w:hint="eastAsia" w:ascii="仿宋" w:hAnsi="仿宋" w:eastAsia="仿宋" w:cs="仿宋"/>
                <w:color w:val="auto"/>
                <w:kern w:val="0"/>
                <w:sz w:val="21"/>
                <w:szCs w:val="21"/>
                <w:highlight w:val="none"/>
                <w:lang w:val="en-US" w:eastAsia="zh-CN"/>
              </w:rPr>
            </w:pPr>
            <w:r>
              <w:rPr>
                <w:rFonts w:hint="eastAsia" w:ascii="仿宋" w:hAnsi="仿宋" w:eastAsia="仿宋" w:cs="仿宋"/>
                <w:b/>
                <w:snapToGrid w:val="0"/>
                <w:color w:val="auto"/>
                <w:sz w:val="21"/>
                <w:szCs w:val="21"/>
                <w:highlight w:val="none"/>
              </w:rPr>
              <w:t>检查项目</w:t>
            </w:r>
          </w:p>
        </w:tc>
        <w:tc>
          <w:tcPr>
            <w:tcW w:w="5448" w:type="dxa"/>
            <w:noWrap w:val="0"/>
            <w:vAlign w:val="center"/>
          </w:tcPr>
          <w:p w14:paraId="5A2F3C25">
            <w:pPr>
              <w:autoSpaceDN w:val="0"/>
              <w:snapToGrid w:val="0"/>
              <w:spacing w:line="300" w:lineRule="exact"/>
              <w:jc w:val="center"/>
              <w:textAlignment w:val="bottom"/>
              <w:rPr>
                <w:rFonts w:hint="eastAsia" w:ascii="仿宋" w:hAnsi="仿宋" w:eastAsia="仿宋" w:cs="仿宋"/>
                <w:color w:val="auto"/>
                <w:kern w:val="0"/>
                <w:sz w:val="21"/>
                <w:szCs w:val="21"/>
                <w:highlight w:val="none"/>
                <w:lang w:val="en-US" w:eastAsia="zh-CN"/>
              </w:rPr>
            </w:pPr>
            <w:r>
              <w:rPr>
                <w:rFonts w:hint="eastAsia" w:ascii="仿宋" w:hAnsi="仿宋" w:eastAsia="仿宋" w:cs="仿宋"/>
                <w:b/>
                <w:snapToGrid w:val="0"/>
                <w:color w:val="auto"/>
                <w:sz w:val="21"/>
                <w:szCs w:val="21"/>
                <w:highlight w:val="none"/>
              </w:rPr>
              <w:t>项目含义</w:t>
            </w:r>
          </w:p>
        </w:tc>
      </w:tr>
      <w:tr w14:paraId="11B06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1347" w:type="dxa"/>
            <w:vMerge w:val="restart"/>
            <w:noWrap w:val="0"/>
            <w:vAlign w:val="center"/>
          </w:tcPr>
          <w:p w14:paraId="58C2FC30">
            <w:pPr>
              <w:widowControl/>
              <w:snapToGrid w:val="0"/>
              <w:spacing w:line="300" w:lineRule="exact"/>
              <w:jc w:val="center"/>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一般检查</w:t>
            </w:r>
          </w:p>
        </w:tc>
        <w:tc>
          <w:tcPr>
            <w:tcW w:w="2728" w:type="dxa"/>
            <w:noWrap w:val="0"/>
            <w:vAlign w:val="center"/>
          </w:tcPr>
          <w:p w14:paraId="084FB477">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身高、体重、血压、</w:t>
            </w:r>
          </w:p>
          <w:p w14:paraId="5F6EC6AA">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体重指数、臀围、腰围</w:t>
            </w:r>
          </w:p>
        </w:tc>
        <w:tc>
          <w:tcPr>
            <w:tcW w:w="5448" w:type="dxa"/>
            <w:noWrap w:val="0"/>
            <w:vAlign w:val="center"/>
          </w:tcPr>
          <w:p w14:paraId="59EAEF89">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了解身高、体重、血压、臀围、腰围等基本情况以及是否有体重超标等。</w:t>
            </w:r>
          </w:p>
        </w:tc>
      </w:tr>
      <w:tr w14:paraId="6D8B6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347" w:type="dxa"/>
            <w:vMerge w:val="continue"/>
            <w:noWrap w:val="0"/>
            <w:vAlign w:val="center"/>
          </w:tcPr>
          <w:p w14:paraId="6C54B1FB">
            <w:pPr>
              <w:widowControl/>
              <w:snapToGrid w:val="0"/>
              <w:spacing w:line="300" w:lineRule="exact"/>
              <w:jc w:val="center"/>
              <w:rPr>
                <w:rFonts w:hint="eastAsia" w:ascii="仿宋" w:hAnsi="仿宋" w:eastAsia="仿宋" w:cs="仿宋"/>
                <w:color w:val="auto"/>
                <w:kern w:val="0"/>
                <w:sz w:val="21"/>
                <w:szCs w:val="21"/>
                <w:highlight w:val="none"/>
                <w:lang w:val="en-US" w:eastAsia="zh-CN"/>
              </w:rPr>
            </w:pPr>
          </w:p>
        </w:tc>
        <w:tc>
          <w:tcPr>
            <w:tcW w:w="2728" w:type="dxa"/>
            <w:noWrap w:val="0"/>
            <w:vAlign w:val="center"/>
          </w:tcPr>
          <w:p w14:paraId="3AD51EF3">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体检问卷</w:t>
            </w:r>
          </w:p>
        </w:tc>
        <w:tc>
          <w:tcPr>
            <w:tcW w:w="5448" w:type="dxa"/>
            <w:noWrap w:val="0"/>
            <w:vAlign w:val="center"/>
          </w:tcPr>
          <w:p w14:paraId="115575DB">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了解生活方式、个人史、家族史、健康体检史等</w:t>
            </w:r>
          </w:p>
        </w:tc>
      </w:tr>
      <w:tr w14:paraId="24FDA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 w:hRule="atLeast"/>
        </w:trPr>
        <w:tc>
          <w:tcPr>
            <w:tcW w:w="1347" w:type="dxa"/>
            <w:vMerge w:val="restart"/>
            <w:noWrap w:val="0"/>
            <w:vAlign w:val="center"/>
          </w:tcPr>
          <w:p w14:paraId="31EDBB9D">
            <w:pPr>
              <w:widowControl/>
              <w:snapToGrid w:val="0"/>
              <w:spacing w:line="300" w:lineRule="exact"/>
              <w:jc w:val="center"/>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临床检查</w:t>
            </w:r>
          </w:p>
        </w:tc>
        <w:tc>
          <w:tcPr>
            <w:tcW w:w="2728" w:type="dxa"/>
            <w:noWrap w:val="0"/>
            <w:vAlign w:val="center"/>
          </w:tcPr>
          <w:p w14:paraId="38D5FCE9">
            <w:pPr>
              <w:keepNext w:val="0"/>
              <w:keepLines w:val="0"/>
              <w:widowControl/>
              <w:suppressLineNumbers w:val="0"/>
              <w:jc w:val="left"/>
              <w:textAlignment w:val="center"/>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i w:val="0"/>
                <w:iCs w:val="0"/>
                <w:color w:val="auto"/>
                <w:kern w:val="0"/>
                <w:sz w:val="20"/>
                <w:szCs w:val="20"/>
                <w:highlight w:val="none"/>
                <w:u w:val="none"/>
                <w:lang w:val="en-US" w:eastAsia="zh-CN" w:bidi="ar"/>
              </w:rPr>
              <w:t>眼科</w:t>
            </w:r>
          </w:p>
        </w:tc>
        <w:tc>
          <w:tcPr>
            <w:tcW w:w="5448" w:type="dxa"/>
            <w:noWrap w:val="0"/>
            <w:vAlign w:val="center"/>
          </w:tcPr>
          <w:p w14:paraId="0F77616C">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视力、辨色力等。</w:t>
            </w:r>
          </w:p>
        </w:tc>
      </w:tr>
      <w:tr w14:paraId="60DE5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 w:hRule="atLeast"/>
        </w:trPr>
        <w:tc>
          <w:tcPr>
            <w:tcW w:w="1347" w:type="dxa"/>
            <w:vMerge w:val="continue"/>
            <w:noWrap w:val="0"/>
            <w:vAlign w:val="center"/>
          </w:tcPr>
          <w:p w14:paraId="76D9E5CC">
            <w:pPr>
              <w:widowControl/>
              <w:snapToGrid w:val="0"/>
              <w:spacing w:line="300" w:lineRule="exact"/>
              <w:jc w:val="center"/>
              <w:rPr>
                <w:rFonts w:hint="eastAsia" w:ascii="仿宋" w:hAnsi="仿宋" w:eastAsia="仿宋" w:cs="仿宋"/>
                <w:color w:val="auto"/>
                <w:kern w:val="0"/>
                <w:sz w:val="21"/>
                <w:szCs w:val="21"/>
                <w:highlight w:val="none"/>
                <w:lang w:val="en-US" w:eastAsia="zh-CN"/>
              </w:rPr>
            </w:pPr>
          </w:p>
        </w:tc>
        <w:tc>
          <w:tcPr>
            <w:tcW w:w="2728" w:type="dxa"/>
            <w:noWrap w:val="0"/>
            <w:vAlign w:val="center"/>
          </w:tcPr>
          <w:p w14:paraId="2C04D19B">
            <w:pPr>
              <w:keepNext w:val="0"/>
              <w:keepLines w:val="0"/>
              <w:widowControl/>
              <w:suppressLineNumbers w:val="0"/>
              <w:jc w:val="left"/>
              <w:textAlignment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i w:val="0"/>
                <w:iCs w:val="0"/>
                <w:color w:val="auto"/>
                <w:kern w:val="0"/>
                <w:sz w:val="20"/>
                <w:szCs w:val="20"/>
                <w:highlight w:val="none"/>
                <w:u w:val="none"/>
                <w:lang w:val="en-US" w:eastAsia="zh-CN" w:bidi="ar"/>
              </w:rPr>
              <w:t>眼压检查(非接触眼压计法)</w:t>
            </w:r>
          </w:p>
        </w:tc>
        <w:tc>
          <w:tcPr>
            <w:tcW w:w="5448" w:type="dxa"/>
            <w:noWrap w:val="0"/>
            <w:vAlign w:val="center"/>
          </w:tcPr>
          <w:p w14:paraId="3EDA3292">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检测眼压，早期发现青光眼等。</w:t>
            </w:r>
          </w:p>
        </w:tc>
      </w:tr>
      <w:tr w14:paraId="0CE6A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347" w:type="dxa"/>
            <w:noWrap w:val="0"/>
            <w:vAlign w:val="center"/>
          </w:tcPr>
          <w:p w14:paraId="5F7D0A80">
            <w:pPr>
              <w:widowControl/>
              <w:snapToGrid w:val="0"/>
              <w:spacing w:line="300" w:lineRule="exact"/>
              <w:jc w:val="center"/>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常规检查</w:t>
            </w:r>
          </w:p>
        </w:tc>
        <w:tc>
          <w:tcPr>
            <w:tcW w:w="2728" w:type="dxa"/>
            <w:noWrap w:val="0"/>
            <w:vAlign w:val="center"/>
          </w:tcPr>
          <w:p w14:paraId="1B590329">
            <w:pPr>
              <w:widowControl/>
              <w:snapToGrid w:val="0"/>
              <w:spacing w:line="300" w:lineRule="exact"/>
              <w:jc w:val="left"/>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尿常规</w:t>
            </w:r>
          </w:p>
        </w:tc>
        <w:tc>
          <w:tcPr>
            <w:tcW w:w="5448" w:type="dxa"/>
            <w:noWrap w:val="0"/>
            <w:vAlign w:val="center"/>
          </w:tcPr>
          <w:p w14:paraId="32016348">
            <w:pPr>
              <w:widowControl/>
              <w:snapToGrid w:val="0"/>
              <w:spacing w:line="300" w:lineRule="exact"/>
              <w:jc w:val="left"/>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尿常规13项检查，了解有否尿道感染、肾炎或血尿，以便排除一些疾病引起的肾脏功能改变。</w:t>
            </w:r>
          </w:p>
        </w:tc>
      </w:tr>
      <w:tr w14:paraId="7DF9C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347" w:type="dxa"/>
            <w:vMerge w:val="restart"/>
            <w:noWrap w:val="0"/>
            <w:vAlign w:val="center"/>
          </w:tcPr>
          <w:p w14:paraId="51F05F54">
            <w:pPr>
              <w:widowControl/>
              <w:snapToGrid w:val="0"/>
              <w:spacing w:line="300" w:lineRule="exact"/>
              <w:jc w:val="center"/>
              <w:rPr>
                <w:rFonts w:hint="eastAsia" w:ascii="仿宋" w:hAnsi="仿宋" w:eastAsia="仿宋" w:cs="仿宋"/>
                <w:color w:val="auto"/>
                <w:kern w:val="0"/>
                <w:sz w:val="21"/>
                <w:szCs w:val="21"/>
                <w:highlight w:val="none"/>
                <w:lang w:val="en-US" w:eastAsia="zh-CN"/>
              </w:rPr>
            </w:pPr>
          </w:p>
          <w:p w14:paraId="48053127">
            <w:pPr>
              <w:widowControl/>
              <w:snapToGrid w:val="0"/>
              <w:spacing w:line="300" w:lineRule="exact"/>
              <w:jc w:val="center"/>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血液检查</w:t>
            </w:r>
          </w:p>
        </w:tc>
        <w:tc>
          <w:tcPr>
            <w:tcW w:w="2728" w:type="dxa"/>
            <w:noWrap w:val="0"/>
            <w:vAlign w:val="center"/>
          </w:tcPr>
          <w:p w14:paraId="0ECAD699">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血常规</w:t>
            </w:r>
          </w:p>
        </w:tc>
        <w:tc>
          <w:tcPr>
            <w:tcW w:w="5448" w:type="dxa"/>
            <w:noWrap w:val="0"/>
            <w:vAlign w:val="center"/>
          </w:tcPr>
          <w:p w14:paraId="4A412F0C">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了解病毒或细菌感染，如面色苍白或皮下出血点应及时查一次，以便及早发现血液系统疾病。</w:t>
            </w:r>
          </w:p>
        </w:tc>
      </w:tr>
      <w:tr w14:paraId="1DC64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1347" w:type="dxa"/>
            <w:vMerge w:val="continue"/>
            <w:noWrap w:val="0"/>
            <w:vAlign w:val="center"/>
          </w:tcPr>
          <w:p w14:paraId="162976F5">
            <w:pPr>
              <w:widowControl/>
              <w:snapToGrid w:val="0"/>
              <w:spacing w:line="300" w:lineRule="exact"/>
              <w:jc w:val="center"/>
              <w:rPr>
                <w:rFonts w:hint="eastAsia" w:ascii="仿宋" w:hAnsi="仿宋" w:eastAsia="仿宋" w:cs="仿宋"/>
                <w:color w:val="auto"/>
                <w:kern w:val="0"/>
                <w:sz w:val="21"/>
                <w:szCs w:val="21"/>
                <w:highlight w:val="none"/>
                <w:lang w:val="en-US" w:eastAsia="zh-CN" w:bidi="ar-SA"/>
              </w:rPr>
            </w:pPr>
          </w:p>
        </w:tc>
        <w:tc>
          <w:tcPr>
            <w:tcW w:w="2728" w:type="dxa"/>
            <w:noWrap w:val="0"/>
            <w:vAlign w:val="center"/>
          </w:tcPr>
          <w:p w14:paraId="516E529A">
            <w:pPr>
              <w:widowControl/>
              <w:snapToGrid w:val="0"/>
              <w:spacing w:line="300" w:lineRule="exact"/>
              <w:jc w:val="left"/>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空腹血糖</w:t>
            </w:r>
          </w:p>
        </w:tc>
        <w:tc>
          <w:tcPr>
            <w:tcW w:w="5448" w:type="dxa"/>
            <w:noWrap w:val="0"/>
            <w:vAlign w:val="center"/>
          </w:tcPr>
          <w:p w14:paraId="332832CA">
            <w:pPr>
              <w:widowControl/>
              <w:snapToGrid w:val="0"/>
              <w:spacing w:line="300" w:lineRule="exact"/>
              <w:jc w:val="left"/>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检查有无糖尿病及是否低血糖，是筛查糖尿病的基本方法</w:t>
            </w:r>
          </w:p>
        </w:tc>
      </w:tr>
      <w:tr w14:paraId="0C1D6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347" w:type="dxa"/>
            <w:vMerge w:val="continue"/>
            <w:noWrap w:val="0"/>
            <w:vAlign w:val="center"/>
          </w:tcPr>
          <w:p w14:paraId="77CAF3CD">
            <w:pPr>
              <w:widowControl/>
              <w:snapToGrid w:val="0"/>
              <w:spacing w:line="300" w:lineRule="exact"/>
              <w:jc w:val="center"/>
              <w:rPr>
                <w:rFonts w:hint="eastAsia" w:ascii="仿宋" w:hAnsi="仿宋" w:eastAsia="仿宋" w:cs="仿宋"/>
                <w:color w:val="auto"/>
                <w:kern w:val="0"/>
                <w:sz w:val="21"/>
                <w:szCs w:val="21"/>
                <w:highlight w:val="none"/>
                <w:lang w:val="en-US" w:eastAsia="zh-CN"/>
              </w:rPr>
            </w:pPr>
          </w:p>
        </w:tc>
        <w:tc>
          <w:tcPr>
            <w:tcW w:w="2728" w:type="dxa"/>
            <w:noWrap w:val="0"/>
            <w:vAlign w:val="center"/>
          </w:tcPr>
          <w:p w14:paraId="4760F7BF">
            <w:pPr>
              <w:widowControl/>
              <w:snapToGrid w:val="0"/>
              <w:spacing w:line="300" w:lineRule="exact"/>
              <w:jc w:val="left"/>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肾功</w:t>
            </w:r>
            <w:r>
              <w:rPr>
                <w:rFonts w:hint="eastAsia" w:ascii="仿宋" w:hAnsi="仿宋" w:eastAsia="仿宋" w:cs="仿宋"/>
                <w:color w:val="auto"/>
                <w:spacing w:val="-10"/>
                <w:szCs w:val="18"/>
                <w:highlight w:val="none"/>
              </w:rPr>
              <w:t>组合</w:t>
            </w:r>
          </w:p>
        </w:tc>
        <w:tc>
          <w:tcPr>
            <w:tcW w:w="5448" w:type="dxa"/>
            <w:noWrap w:val="0"/>
            <w:vAlign w:val="center"/>
          </w:tcPr>
          <w:p w14:paraId="1479793F">
            <w:pPr>
              <w:widowControl/>
              <w:snapToGrid w:val="0"/>
              <w:spacing w:line="300" w:lineRule="exact"/>
              <w:jc w:val="left"/>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检查有无肾脏功能受损、前列腺病变、痛风、血糖等病变。</w:t>
            </w:r>
          </w:p>
        </w:tc>
      </w:tr>
      <w:tr w14:paraId="3F4E4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trPr>
        <w:tc>
          <w:tcPr>
            <w:tcW w:w="1347" w:type="dxa"/>
            <w:vMerge w:val="continue"/>
            <w:noWrap w:val="0"/>
            <w:vAlign w:val="center"/>
          </w:tcPr>
          <w:p w14:paraId="22AF1EE6">
            <w:pPr>
              <w:widowControl/>
              <w:snapToGrid w:val="0"/>
              <w:spacing w:line="300" w:lineRule="exact"/>
              <w:jc w:val="center"/>
              <w:rPr>
                <w:rFonts w:hint="eastAsia" w:ascii="仿宋" w:hAnsi="仿宋" w:eastAsia="仿宋" w:cs="仿宋"/>
                <w:color w:val="auto"/>
                <w:kern w:val="0"/>
                <w:sz w:val="21"/>
                <w:szCs w:val="21"/>
                <w:highlight w:val="none"/>
                <w:lang w:val="en-US" w:eastAsia="zh-CN"/>
              </w:rPr>
            </w:pPr>
          </w:p>
        </w:tc>
        <w:tc>
          <w:tcPr>
            <w:tcW w:w="2728" w:type="dxa"/>
            <w:noWrap w:val="0"/>
            <w:vAlign w:val="center"/>
          </w:tcPr>
          <w:p w14:paraId="36007095">
            <w:pPr>
              <w:widowControl/>
              <w:snapToGrid w:val="0"/>
              <w:spacing w:line="300" w:lineRule="exact"/>
              <w:jc w:val="left"/>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血脂四项</w:t>
            </w:r>
          </w:p>
        </w:tc>
        <w:tc>
          <w:tcPr>
            <w:tcW w:w="5448" w:type="dxa"/>
            <w:noWrap w:val="0"/>
            <w:vAlign w:val="center"/>
          </w:tcPr>
          <w:p w14:paraId="6A866888">
            <w:pPr>
              <w:widowControl/>
              <w:snapToGrid w:val="0"/>
              <w:spacing w:line="300" w:lineRule="exact"/>
              <w:jc w:val="left"/>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了解目前甘油三酯及总胆固醇的变化情况。</w:t>
            </w:r>
          </w:p>
        </w:tc>
      </w:tr>
      <w:tr w14:paraId="51DCA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347" w:type="dxa"/>
            <w:vMerge w:val="continue"/>
            <w:noWrap w:val="0"/>
            <w:vAlign w:val="center"/>
          </w:tcPr>
          <w:p w14:paraId="09E88CA9">
            <w:pPr>
              <w:widowControl/>
              <w:snapToGrid w:val="0"/>
              <w:spacing w:line="300" w:lineRule="exact"/>
              <w:jc w:val="center"/>
              <w:rPr>
                <w:rFonts w:hint="eastAsia" w:ascii="仿宋" w:hAnsi="仿宋" w:eastAsia="仿宋" w:cs="仿宋"/>
                <w:color w:val="auto"/>
                <w:kern w:val="0"/>
                <w:sz w:val="21"/>
                <w:szCs w:val="21"/>
                <w:highlight w:val="none"/>
                <w:lang w:val="en-US" w:eastAsia="zh-CN"/>
              </w:rPr>
            </w:pPr>
          </w:p>
        </w:tc>
        <w:tc>
          <w:tcPr>
            <w:tcW w:w="2728" w:type="dxa"/>
            <w:noWrap w:val="0"/>
            <w:vAlign w:val="center"/>
          </w:tcPr>
          <w:p w14:paraId="73CFF7CD">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肝功能十项</w:t>
            </w:r>
          </w:p>
        </w:tc>
        <w:tc>
          <w:tcPr>
            <w:tcW w:w="5448" w:type="dxa"/>
            <w:noWrap w:val="0"/>
            <w:vAlign w:val="center"/>
          </w:tcPr>
          <w:p w14:paraId="5A5ECEF2">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了解有无肝功能损害及目前损害的程度及是否影响到肝脏代谢功能。</w:t>
            </w:r>
          </w:p>
        </w:tc>
      </w:tr>
      <w:tr w14:paraId="20E96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trPr>
        <w:tc>
          <w:tcPr>
            <w:tcW w:w="1347" w:type="dxa"/>
            <w:vMerge w:val="continue"/>
            <w:noWrap w:val="0"/>
            <w:vAlign w:val="center"/>
          </w:tcPr>
          <w:p w14:paraId="3915A98E">
            <w:pPr>
              <w:widowControl/>
              <w:snapToGrid w:val="0"/>
              <w:spacing w:line="300" w:lineRule="exact"/>
              <w:jc w:val="center"/>
              <w:rPr>
                <w:rFonts w:hint="eastAsia" w:ascii="仿宋" w:hAnsi="仿宋" w:eastAsia="仿宋" w:cs="仿宋"/>
                <w:color w:val="auto"/>
                <w:kern w:val="0"/>
                <w:sz w:val="21"/>
                <w:szCs w:val="21"/>
                <w:highlight w:val="none"/>
                <w:lang w:val="en-US" w:eastAsia="zh-CN"/>
              </w:rPr>
            </w:pPr>
          </w:p>
        </w:tc>
        <w:tc>
          <w:tcPr>
            <w:tcW w:w="2728" w:type="dxa"/>
            <w:noWrap w:val="0"/>
            <w:vAlign w:val="center"/>
          </w:tcPr>
          <w:p w14:paraId="213F5A10">
            <w:pPr>
              <w:widowControl/>
              <w:snapToGrid w:val="0"/>
              <w:spacing w:line="300" w:lineRule="exact"/>
              <w:jc w:val="left"/>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维生素检测</w:t>
            </w:r>
          </w:p>
        </w:tc>
        <w:tc>
          <w:tcPr>
            <w:tcW w:w="5448" w:type="dxa"/>
            <w:noWrap w:val="0"/>
            <w:vAlign w:val="center"/>
          </w:tcPr>
          <w:p w14:paraId="7E4F88B0">
            <w:pPr>
              <w:widowControl/>
              <w:snapToGrid w:val="0"/>
              <w:spacing w:line="300" w:lineRule="exact"/>
              <w:jc w:val="left"/>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25羟维生素D测定，了解维生素D水平。</w:t>
            </w:r>
          </w:p>
        </w:tc>
      </w:tr>
      <w:tr w14:paraId="6F6B7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trPr>
        <w:tc>
          <w:tcPr>
            <w:tcW w:w="1347" w:type="dxa"/>
            <w:noWrap w:val="0"/>
            <w:vAlign w:val="center"/>
          </w:tcPr>
          <w:p w14:paraId="66B7B598">
            <w:pPr>
              <w:widowControl/>
              <w:snapToGrid w:val="0"/>
              <w:spacing w:line="300" w:lineRule="exact"/>
              <w:jc w:val="center"/>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心血管检查</w:t>
            </w:r>
          </w:p>
        </w:tc>
        <w:tc>
          <w:tcPr>
            <w:tcW w:w="2728" w:type="dxa"/>
            <w:noWrap w:val="0"/>
            <w:vAlign w:val="center"/>
          </w:tcPr>
          <w:p w14:paraId="094F4C91">
            <w:pPr>
              <w:widowControl/>
              <w:snapToGrid w:val="0"/>
              <w:spacing w:line="300" w:lineRule="exact"/>
              <w:jc w:val="left"/>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血同型半胱氨酸</w:t>
            </w:r>
          </w:p>
        </w:tc>
        <w:tc>
          <w:tcPr>
            <w:tcW w:w="5448" w:type="dxa"/>
            <w:noWrap w:val="0"/>
            <w:vAlign w:val="center"/>
          </w:tcPr>
          <w:p w14:paraId="170BC4D4">
            <w:pPr>
              <w:widowControl/>
              <w:snapToGrid w:val="0"/>
              <w:spacing w:line="300" w:lineRule="exact"/>
              <w:jc w:val="left"/>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判断心脑血管疾病危险因素</w:t>
            </w:r>
          </w:p>
        </w:tc>
      </w:tr>
      <w:tr w14:paraId="6CE52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1347" w:type="dxa"/>
            <w:noWrap w:val="0"/>
            <w:vAlign w:val="center"/>
          </w:tcPr>
          <w:p w14:paraId="542217E2">
            <w:pPr>
              <w:widowControl/>
              <w:snapToGrid w:val="0"/>
              <w:spacing w:line="300" w:lineRule="exact"/>
              <w:jc w:val="center"/>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核医学检查</w:t>
            </w:r>
          </w:p>
        </w:tc>
        <w:tc>
          <w:tcPr>
            <w:tcW w:w="2728" w:type="dxa"/>
            <w:noWrap w:val="0"/>
            <w:vAlign w:val="center"/>
          </w:tcPr>
          <w:p w14:paraId="6FE29287">
            <w:pPr>
              <w:widowControl/>
              <w:snapToGrid w:val="0"/>
              <w:spacing w:line="300" w:lineRule="exact"/>
              <w:jc w:val="left"/>
              <w:rPr>
                <w:rFonts w:hint="eastAsia" w:ascii="仿宋" w:hAnsi="仿宋" w:eastAsia="仿宋" w:cs="仿宋"/>
                <w:color w:val="auto"/>
                <w:spacing w:val="-10"/>
                <w:kern w:val="2"/>
                <w:sz w:val="21"/>
                <w:szCs w:val="18"/>
                <w:highlight w:val="none"/>
                <w:lang w:val="en-US" w:eastAsia="zh-CN" w:bidi="ar-SA"/>
              </w:rPr>
            </w:pPr>
            <w:r>
              <w:rPr>
                <w:rFonts w:hint="eastAsia" w:ascii="仿宋" w:hAnsi="仿宋" w:eastAsia="仿宋" w:cs="仿宋"/>
                <w:color w:val="auto"/>
                <w:spacing w:val="-10"/>
                <w:szCs w:val="18"/>
                <w:highlight w:val="none"/>
              </w:rPr>
              <w:t>甲功</w:t>
            </w:r>
            <w:r>
              <w:rPr>
                <w:rFonts w:hint="eastAsia" w:ascii="仿宋" w:hAnsi="仿宋" w:eastAsia="仿宋" w:cs="仿宋"/>
                <w:color w:val="auto"/>
                <w:spacing w:val="-10"/>
                <w:szCs w:val="18"/>
                <w:highlight w:val="none"/>
                <w:lang w:val="en-US" w:eastAsia="zh-CN"/>
              </w:rPr>
              <w:t>三</w:t>
            </w:r>
            <w:r>
              <w:rPr>
                <w:rFonts w:hint="eastAsia" w:ascii="仿宋" w:hAnsi="仿宋" w:eastAsia="仿宋" w:cs="仿宋"/>
                <w:color w:val="auto"/>
                <w:spacing w:val="-10"/>
                <w:szCs w:val="18"/>
                <w:highlight w:val="none"/>
                <w:lang w:eastAsia="zh-CN"/>
              </w:rPr>
              <w:t>项</w:t>
            </w:r>
          </w:p>
        </w:tc>
        <w:tc>
          <w:tcPr>
            <w:tcW w:w="5448" w:type="dxa"/>
            <w:noWrap w:val="0"/>
            <w:vAlign w:val="center"/>
          </w:tcPr>
          <w:p w14:paraId="705B7A61">
            <w:pPr>
              <w:widowControl/>
              <w:snapToGrid w:val="0"/>
              <w:spacing w:line="300" w:lineRule="exact"/>
              <w:jc w:val="left"/>
              <w:rPr>
                <w:rFonts w:hint="eastAsia" w:ascii="仿宋" w:hAnsi="仿宋" w:eastAsia="仿宋" w:cs="仿宋"/>
                <w:color w:val="auto"/>
                <w:spacing w:val="-10"/>
                <w:kern w:val="2"/>
                <w:sz w:val="21"/>
                <w:szCs w:val="18"/>
                <w:highlight w:val="none"/>
                <w:lang w:val="en-US" w:eastAsia="zh-CN" w:bidi="ar-SA"/>
              </w:rPr>
            </w:pPr>
            <w:r>
              <w:rPr>
                <w:rFonts w:hint="eastAsia" w:ascii="仿宋" w:hAnsi="仿宋" w:eastAsia="仿宋" w:cs="仿宋"/>
                <w:color w:val="auto"/>
                <w:spacing w:val="-10"/>
                <w:szCs w:val="18"/>
                <w:highlight w:val="none"/>
              </w:rPr>
              <w:t>了解目前有无甲状腺功能改变（甲亢、甲减等疾病的筛查）。</w:t>
            </w:r>
          </w:p>
        </w:tc>
      </w:tr>
      <w:tr w14:paraId="01BE4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1347" w:type="dxa"/>
            <w:vMerge w:val="restart"/>
            <w:noWrap w:val="0"/>
            <w:vAlign w:val="center"/>
          </w:tcPr>
          <w:p w14:paraId="0EE29E88">
            <w:pPr>
              <w:widowControl/>
              <w:snapToGrid w:val="0"/>
              <w:spacing w:line="300" w:lineRule="exact"/>
              <w:jc w:val="center"/>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肿瘤筛查</w:t>
            </w:r>
          </w:p>
          <w:p w14:paraId="533982F8">
            <w:pPr>
              <w:widowControl/>
              <w:snapToGrid w:val="0"/>
              <w:spacing w:line="300" w:lineRule="exact"/>
              <w:jc w:val="center"/>
              <w:rPr>
                <w:rFonts w:hint="eastAsia" w:ascii="仿宋" w:hAnsi="仿宋" w:eastAsia="仿宋" w:cs="仿宋"/>
                <w:color w:val="auto"/>
                <w:kern w:val="0"/>
                <w:sz w:val="21"/>
                <w:szCs w:val="21"/>
                <w:highlight w:val="none"/>
                <w:lang w:val="en-US" w:eastAsia="zh-CN" w:bidi="ar-SA"/>
              </w:rPr>
            </w:pPr>
          </w:p>
        </w:tc>
        <w:tc>
          <w:tcPr>
            <w:tcW w:w="2728" w:type="dxa"/>
            <w:noWrap w:val="0"/>
            <w:vAlign w:val="center"/>
          </w:tcPr>
          <w:p w14:paraId="0BB67F74">
            <w:pPr>
              <w:widowControl/>
              <w:snapToGrid w:val="0"/>
              <w:spacing w:line="300" w:lineRule="exact"/>
              <w:jc w:val="left"/>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甲胎蛋白（AFP）</w:t>
            </w:r>
          </w:p>
        </w:tc>
        <w:tc>
          <w:tcPr>
            <w:tcW w:w="5448" w:type="dxa"/>
            <w:noWrap w:val="0"/>
            <w:vAlign w:val="center"/>
          </w:tcPr>
          <w:p w14:paraId="5C60C5F6">
            <w:pPr>
              <w:widowControl/>
              <w:snapToGrid w:val="0"/>
              <w:spacing w:line="300" w:lineRule="exact"/>
              <w:jc w:val="left"/>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原发性肝癌筛查。</w:t>
            </w:r>
          </w:p>
        </w:tc>
      </w:tr>
      <w:tr w14:paraId="65396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47" w:type="dxa"/>
            <w:vMerge w:val="continue"/>
            <w:noWrap w:val="0"/>
            <w:vAlign w:val="center"/>
          </w:tcPr>
          <w:p w14:paraId="199967D9">
            <w:pPr>
              <w:widowControl/>
              <w:snapToGrid w:val="0"/>
              <w:spacing w:line="300" w:lineRule="exact"/>
              <w:jc w:val="center"/>
              <w:rPr>
                <w:rFonts w:hint="eastAsia" w:ascii="仿宋" w:hAnsi="仿宋" w:eastAsia="仿宋" w:cs="仿宋"/>
                <w:color w:val="auto"/>
                <w:kern w:val="0"/>
                <w:sz w:val="21"/>
                <w:szCs w:val="21"/>
                <w:highlight w:val="none"/>
                <w:lang w:val="en-US" w:eastAsia="zh-CN"/>
              </w:rPr>
            </w:pPr>
          </w:p>
        </w:tc>
        <w:tc>
          <w:tcPr>
            <w:tcW w:w="2728" w:type="dxa"/>
            <w:noWrap w:val="0"/>
            <w:vAlign w:val="center"/>
          </w:tcPr>
          <w:p w14:paraId="3EA2450F">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癌胚抗原(CEA)</w:t>
            </w:r>
          </w:p>
        </w:tc>
        <w:tc>
          <w:tcPr>
            <w:tcW w:w="5448" w:type="dxa"/>
            <w:noWrap w:val="0"/>
            <w:vAlign w:val="center"/>
          </w:tcPr>
          <w:p w14:paraId="014A4985">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消化系统肿瘤筛查，早期预警或辅助诊断。</w:t>
            </w:r>
          </w:p>
        </w:tc>
      </w:tr>
      <w:tr w14:paraId="0C4C1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trPr>
        <w:tc>
          <w:tcPr>
            <w:tcW w:w="1347" w:type="dxa"/>
            <w:vMerge w:val="continue"/>
            <w:noWrap w:val="0"/>
            <w:vAlign w:val="center"/>
          </w:tcPr>
          <w:p w14:paraId="6A4A707D">
            <w:pPr>
              <w:widowControl/>
              <w:snapToGrid w:val="0"/>
              <w:spacing w:line="300" w:lineRule="exact"/>
              <w:jc w:val="center"/>
              <w:rPr>
                <w:rFonts w:hint="eastAsia" w:ascii="仿宋" w:hAnsi="仿宋" w:eastAsia="仿宋" w:cs="仿宋"/>
                <w:color w:val="auto"/>
                <w:kern w:val="0"/>
                <w:sz w:val="21"/>
                <w:szCs w:val="21"/>
                <w:highlight w:val="none"/>
                <w:lang w:val="en-US" w:eastAsia="zh-CN" w:bidi="ar-SA"/>
              </w:rPr>
            </w:pPr>
          </w:p>
        </w:tc>
        <w:tc>
          <w:tcPr>
            <w:tcW w:w="2728" w:type="dxa"/>
            <w:noWrap w:val="0"/>
            <w:vAlign w:val="center"/>
          </w:tcPr>
          <w:p w14:paraId="34F227B1">
            <w:pPr>
              <w:adjustRightInd w:val="0"/>
              <w:snapToGrid w:val="0"/>
              <w:spacing w:line="400" w:lineRule="exact"/>
              <w:jc w:val="left"/>
              <w:rPr>
                <w:rFonts w:hint="eastAsia" w:ascii="仿宋" w:hAnsi="仿宋" w:eastAsia="仿宋" w:cs="仿宋"/>
                <w:color w:val="auto"/>
                <w:spacing w:val="-10"/>
                <w:kern w:val="2"/>
                <w:sz w:val="21"/>
                <w:szCs w:val="18"/>
                <w:highlight w:val="none"/>
                <w:lang w:val="en-US" w:eastAsia="zh-CN" w:bidi="ar-SA"/>
              </w:rPr>
            </w:pPr>
            <w:r>
              <w:rPr>
                <w:rFonts w:hint="eastAsia" w:ascii="仿宋" w:hAnsi="仿宋" w:eastAsia="仿宋" w:cs="仿宋"/>
                <w:color w:val="auto"/>
                <w:spacing w:val="-10"/>
                <w:szCs w:val="18"/>
                <w:highlight w:val="none"/>
                <w:lang w:eastAsia="zh-CN"/>
              </w:rPr>
              <w:t>糖类抗原(CA 1</w:t>
            </w:r>
            <w:r>
              <w:rPr>
                <w:rFonts w:hint="eastAsia" w:ascii="仿宋" w:hAnsi="仿宋" w:eastAsia="仿宋" w:cs="仿宋"/>
                <w:color w:val="auto"/>
                <w:spacing w:val="-10"/>
                <w:szCs w:val="18"/>
                <w:highlight w:val="none"/>
                <w:lang w:val="en-US" w:eastAsia="zh-CN"/>
              </w:rPr>
              <w:t>2</w:t>
            </w:r>
            <w:r>
              <w:rPr>
                <w:rFonts w:hint="eastAsia" w:ascii="仿宋" w:hAnsi="仿宋" w:eastAsia="仿宋" w:cs="仿宋"/>
                <w:color w:val="auto"/>
                <w:spacing w:val="-10"/>
                <w:szCs w:val="18"/>
                <w:highlight w:val="none"/>
                <w:lang w:eastAsia="zh-CN"/>
              </w:rPr>
              <w:t>5）</w:t>
            </w:r>
          </w:p>
        </w:tc>
        <w:tc>
          <w:tcPr>
            <w:tcW w:w="5448" w:type="dxa"/>
            <w:noWrap w:val="0"/>
            <w:vAlign w:val="center"/>
          </w:tcPr>
          <w:p w14:paraId="058338EB">
            <w:pPr>
              <w:widowControl/>
              <w:snapToGrid w:val="0"/>
              <w:spacing w:line="300" w:lineRule="exact"/>
              <w:jc w:val="left"/>
              <w:rPr>
                <w:rFonts w:hint="eastAsia" w:ascii="仿宋" w:hAnsi="仿宋" w:eastAsia="仿宋" w:cs="仿宋"/>
                <w:color w:val="auto"/>
                <w:spacing w:val="-10"/>
                <w:kern w:val="2"/>
                <w:sz w:val="21"/>
                <w:szCs w:val="18"/>
                <w:highlight w:val="none"/>
                <w:lang w:val="en-US" w:eastAsia="zh-CN" w:bidi="ar-SA"/>
              </w:rPr>
            </w:pPr>
            <w:r>
              <w:rPr>
                <w:rFonts w:hint="eastAsia" w:ascii="仿宋" w:hAnsi="仿宋" w:eastAsia="仿宋" w:cs="仿宋"/>
                <w:color w:val="auto"/>
                <w:spacing w:val="-10"/>
                <w:szCs w:val="18"/>
                <w:highlight w:val="none"/>
                <w:lang w:eastAsia="zh-CN"/>
              </w:rPr>
              <w:t>妇科及消化道恶性肿瘤如宫颈癌、乳腺癌、胰腺癌、肝癌、胃癌及肺癌等，也可见于肝硬化、肾衰、孕妇、良性卵巢瘤等</w:t>
            </w:r>
            <w:r>
              <w:rPr>
                <w:rFonts w:hint="eastAsia" w:ascii="仿宋" w:hAnsi="仿宋" w:eastAsia="仿宋" w:cs="仿宋"/>
                <w:color w:val="auto"/>
                <w:spacing w:val="-10"/>
                <w:szCs w:val="18"/>
                <w:highlight w:val="none"/>
                <w:lang w:val="en-US" w:eastAsia="zh-CN"/>
              </w:rPr>
              <w:t>的</w:t>
            </w:r>
            <w:r>
              <w:rPr>
                <w:rFonts w:hint="eastAsia" w:ascii="仿宋" w:hAnsi="仿宋" w:eastAsia="仿宋" w:cs="仿宋"/>
                <w:color w:val="auto"/>
                <w:spacing w:val="-10"/>
                <w:szCs w:val="18"/>
                <w:highlight w:val="none"/>
                <w:lang w:eastAsia="zh-CN"/>
              </w:rPr>
              <w:t>早期预警或辅助诊断。</w:t>
            </w:r>
          </w:p>
        </w:tc>
      </w:tr>
      <w:tr w14:paraId="005C5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1347" w:type="dxa"/>
            <w:vMerge w:val="continue"/>
            <w:noWrap w:val="0"/>
            <w:vAlign w:val="center"/>
          </w:tcPr>
          <w:p w14:paraId="3135309F">
            <w:pPr>
              <w:widowControl/>
              <w:snapToGrid w:val="0"/>
              <w:spacing w:line="300" w:lineRule="exact"/>
              <w:jc w:val="center"/>
              <w:rPr>
                <w:rFonts w:hint="eastAsia" w:ascii="仿宋" w:hAnsi="仿宋" w:eastAsia="仿宋" w:cs="仿宋"/>
                <w:color w:val="auto"/>
                <w:kern w:val="0"/>
                <w:sz w:val="21"/>
                <w:szCs w:val="21"/>
                <w:highlight w:val="none"/>
                <w:lang w:val="en-US" w:eastAsia="zh-CN" w:bidi="ar-SA"/>
              </w:rPr>
            </w:pPr>
          </w:p>
        </w:tc>
        <w:tc>
          <w:tcPr>
            <w:tcW w:w="2728" w:type="dxa"/>
            <w:shd w:val="clear" w:color="auto" w:fill="auto"/>
            <w:noWrap w:val="0"/>
            <w:vAlign w:val="center"/>
          </w:tcPr>
          <w:p w14:paraId="62C8BD06">
            <w:pPr>
              <w:keepNext w:val="0"/>
              <w:keepLines w:val="0"/>
              <w:widowControl/>
              <w:suppressLineNumbers w:val="0"/>
              <w:jc w:val="left"/>
              <w:textAlignment w:val="center"/>
              <w:rPr>
                <w:rFonts w:hint="eastAsia" w:ascii="仿宋" w:hAnsi="仿宋" w:eastAsia="仿宋" w:cs="仿宋"/>
                <w:color w:val="auto"/>
                <w:spacing w:val="-10"/>
                <w:kern w:val="2"/>
                <w:sz w:val="21"/>
                <w:szCs w:val="18"/>
                <w:highlight w:val="none"/>
                <w:lang w:val="en-US" w:eastAsia="zh-CN" w:bidi="ar-SA"/>
              </w:rPr>
            </w:pPr>
            <w:r>
              <w:rPr>
                <w:rFonts w:hint="eastAsia" w:ascii="仿宋" w:hAnsi="仿宋" w:eastAsia="仿宋" w:cs="仿宋"/>
                <w:i w:val="0"/>
                <w:iCs w:val="0"/>
                <w:color w:val="auto"/>
                <w:kern w:val="0"/>
                <w:sz w:val="20"/>
                <w:szCs w:val="20"/>
                <w:highlight w:val="none"/>
                <w:u w:val="none"/>
                <w:lang w:val="en-US" w:eastAsia="zh-CN" w:bidi="ar"/>
              </w:rPr>
              <w:t>糖类抗原测定CA 153</w:t>
            </w:r>
          </w:p>
        </w:tc>
        <w:tc>
          <w:tcPr>
            <w:tcW w:w="5448" w:type="dxa"/>
            <w:shd w:val="clear" w:color="auto" w:fill="auto"/>
            <w:noWrap w:val="0"/>
            <w:vAlign w:val="center"/>
          </w:tcPr>
          <w:p w14:paraId="7A3FE47F">
            <w:pPr>
              <w:keepNext w:val="0"/>
              <w:keepLines w:val="0"/>
              <w:widowControl/>
              <w:suppressLineNumbers w:val="0"/>
              <w:jc w:val="left"/>
              <w:textAlignment w:val="center"/>
              <w:rPr>
                <w:rFonts w:hint="eastAsia" w:ascii="仿宋" w:hAnsi="仿宋" w:eastAsia="仿宋" w:cs="仿宋"/>
                <w:i w:val="0"/>
                <w:iCs w:val="0"/>
                <w:color w:val="auto"/>
                <w:kern w:val="2"/>
                <w:sz w:val="20"/>
                <w:szCs w:val="20"/>
                <w:highlight w:val="none"/>
                <w:u w:val="none"/>
                <w:lang w:val="en-US" w:eastAsia="zh-CN" w:bidi="ar-SA"/>
              </w:rPr>
            </w:pPr>
            <w:r>
              <w:rPr>
                <w:rFonts w:hint="eastAsia" w:ascii="仿宋" w:hAnsi="仿宋" w:eastAsia="仿宋" w:cs="仿宋"/>
                <w:i w:val="0"/>
                <w:iCs w:val="0"/>
                <w:color w:val="auto"/>
                <w:kern w:val="0"/>
                <w:sz w:val="20"/>
                <w:szCs w:val="20"/>
                <w:highlight w:val="none"/>
                <w:u w:val="none"/>
                <w:lang w:val="en-US" w:eastAsia="zh-CN" w:bidi="ar"/>
              </w:rPr>
              <w:t>卵巢肿瘤筛查，早期预警或辅助诊断。</w:t>
            </w:r>
          </w:p>
        </w:tc>
      </w:tr>
      <w:tr w14:paraId="76618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1347" w:type="dxa"/>
            <w:vMerge w:val="continue"/>
            <w:noWrap w:val="0"/>
            <w:vAlign w:val="center"/>
          </w:tcPr>
          <w:p w14:paraId="3CC1A9AB">
            <w:pPr>
              <w:widowControl/>
              <w:snapToGrid w:val="0"/>
              <w:spacing w:line="300" w:lineRule="exact"/>
              <w:jc w:val="center"/>
              <w:rPr>
                <w:rFonts w:hint="eastAsia" w:ascii="仿宋" w:hAnsi="仿宋" w:eastAsia="仿宋" w:cs="仿宋"/>
                <w:color w:val="auto"/>
                <w:kern w:val="0"/>
                <w:sz w:val="21"/>
                <w:szCs w:val="21"/>
                <w:highlight w:val="none"/>
                <w:lang w:val="en-US" w:eastAsia="zh-CN" w:bidi="ar-SA"/>
              </w:rPr>
            </w:pPr>
          </w:p>
        </w:tc>
        <w:tc>
          <w:tcPr>
            <w:tcW w:w="2728" w:type="dxa"/>
            <w:shd w:val="clear" w:color="auto" w:fill="auto"/>
            <w:noWrap w:val="0"/>
            <w:vAlign w:val="center"/>
          </w:tcPr>
          <w:p w14:paraId="69145279">
            <w:pPr>
              <w:keepNext w:val="0"/>
              <w:keepLines w:val="0"/>
              <w:widowControl/>
              <w:suppressLineNumbers w:val="0"/>
              <w:jc w:val="left"/>
              <w:textAlignment w:val="center"/>
              <w:rPr>
                <w:rFonts w:hint="default"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糖类抗原测定CA 199</w:t>
            </w:r>
          </w:p>
        </w:tc>
        <w:tc>
          <w:tcPr>
            <w:tcW w:w="5448" w:type="dxa"/>
            <w:shd w:val="clear" w:color="auto" w:fill="auto"/>
            <w:noWrap w:val="0"/>
            <w:vAlign w:val="center"/>
          </w:tcPr>
          <w:p w14:paraId="7230EECC">
            <w:pPr>
              <w:keepNext w:val="0"/>
              <w:keepLines w:val="0"/>
              <w:widowControl/>
              <w:suppressLineNumbers w:val="0"/>
              <w:jc w:val="left"/>
              <w:textAlignment w:val="center"/>
              <w:rPr>
                <w:rFonts w:hint="eastAsia" w:ascii="仿宋" w:hAnsi="仿宋" w:eastAsia="仿宋" w:cs="仿宋"/>
                <w:i w:val="0"/>
                <w:iCs w:val="0"/>
                <w:color w:val="auto"/>
                <w:kern w:val="0"/>
                <w:sz w:val="20"/>
                <w:szCs w:val="20"/>
                <w:highlight w:val="none"/>
                <w:u w:val="none"/>
                <w:lang w:val="en-US" w:eastAsia="zh-CN" w:bidi="ar"/>
              </w:rPr>
            </w:pPr>
            <w:r>
              <w:rPr>
                <w:rFonts w:hint="eastAsia" w:ascii="仿宋" w:hAnsi="仿宋" w:eastAsia="仿宋" w:cs="仿宋"/>
                <w:i w:val="0"/>
                <w:iCs w:val="0"/>
                <w:color w:val="auto"/>
                <w:kern w:val="0"/>
                <w:sz w:val="20"/>
                <w:szCs w:val="20"/>
                <w:highlight w:val="none"/>
                <w:u w:val="none"/>
                <w:lang w:val="en-US" w:eastAsia="zh-CN" w:bidi="ar"/>
              </w:rPr>
              <w:t>胰腺癌，胃、结直肠癌的筛查，早期预警或辅助诊断。</w:t>
            </w:r>
          </w:p>
        </w:tc>
      </w:tr>
      <w:tr w14:paraId="1FB23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1347" w:type="dxa"/>
            <w:vMerge w:val="continue"/>
            <w:noWrap w:val="0"/>
            <w:vAlign w:val="center"/>
          </w:tcPr>
          <w:p w14:paraId="48AF79BA">
            <w:pPr>
              <w:widowControl/>
              <w:snapToGrid w:val="0"/>
              <w:spacing w:line="300" w:lineRule="exact"/>
              <w:jc w:val="center"/>
              <w:rPr>
                <w:rFonts w:hint="eastAsia" w:ascii="仿宋" w:hAnsi="仿宋" w:eastAsia="仿宋" w:cs="仿宋"/>
                <w:color w:val="auto"/>
                <w:kern w:val="0"/>
                <w:sz w:val="21"/>
                <w:szCs w:val="21"/>
                <w:highlight w:val="none"/>
                <w:lang w:val="en-US" w:eastAsia="zh-CN" w:bidi="ar-SA"/>
              </w:rPr>
            </w:pPr>
          </w:p>
        </w:tc>
        <w:tc>
          <w:tcPr>
            <w:tcW w:w="2728" w:type="dxa"/>
            <w:shd w:val="clear" w:color="auto" w:fill="auto"/>
            <w:noWrap w:val="0"/>
            <w:vAlign w:val="center"/>
          </w:tcPr>
          <w:p w14:paraId="0EDED96D">
            <w:pPr>
              <w:widowControl/>
              <w:jc w:val="both"/>
              <w:textAlignment w:val="center"/>
              <w:rPr>
                <w:rFonts w:hint="eastAsia" w:ascii="仿宋" w:hAnsi="仿宋" w:eastAsia="仿宋" w:cs="仿宋"/>
                <w:color w:val="auto"/>
                <w:kern w:val="0"/>
                <w:sz w:val="20"/>
                <w:szCs w:val="20"/>
                <w:highlight w:val="none"/>
                <w:lang w:val="en-US" w:eastAsia="zh-CN" w:bidi="ar"/>
              </w:rPr>
            </w:pPr>
            <w:r>
              <w:rPr>
                <w:rFonts w:hint="eastAsia" w:ascii="仿宋" w:hAnsi="仿宋" w:eastAsia="仿宋" w:cs="仿宋"/>
                <w:color w:val="auto"/>
                <w:kern w:val="0"/>
                <w:sz w:val="20"/>
                <w:szCs w:val="20"/>
                <w:highlight w:val="none"/>
                <w:lang w:bidi="ar"/>
              </w:rPr>
              <w:t>糖类抗原测定CA</w:t>
            </w:r>
            <w:r>
              <w:rPr>
                <w:rFonts w:hint="eastAsia" w:ascii="仿宋" w:hAnsi="仿宋" w:eastAsia="仿宋" w:cs="仿宋"/>
                <w:color w:val="auto"/>
                <w:kern w:val="0"/>
                <w:sz w:val="20"/>
                <w:szCs w:val="20"/>
                <w:highlight w:val="none"/>
                <w:lang w:val="en-US" w:eastAsia="zh-CN" w:bidi="ar"/>
              </w:rPr>
              <w:t xml:space="preserve"> </w:t>
            </w:r>
            <w:r>
              <w:rPr>
                <w:rFonts w:hint="eastAsia" w:ascii="仿宋" w:hAnsi="仿宋" w:eastAsia="仿宋" w:cs="仿宋"/>
                <w:color w:val="auto"/>
                <w:kern w:val="0"/>
                <w:sz w:val="20"/>
                <w:szCs w:val="20"/>
                <w:highlight w:val="none"/>
                <w:lang w:bidi="ar"/>
              </w:rPr>
              <w:t>724</w:t>
            </w:r>
          </w:p>
        </w:tc>
        <w:tc>
          <w:tcPr>
            <w:tcW w:w="5448" w:type="dxa"/>
            <w:shd w:val="clear" w:color="auto" w:fill="auto"/>
            <w:noWrap w:val="0"/>
            <w:vAlign w:val="center"/>
          </w:tcPr>
          <w:p w14:paraId="50C66CF2">
            <w:pPr>
              <w:widowControl/>
              <w:jc w:val="left"/>
              <w:textAlignment w:val="center"/>
              <w:rPr>
                <w:rFonts w:hint="eastAsia" w:ascii="仿宋" w:hAnsi="仿宋" w:eastAsia="仿宋" w:cs="仿宋"/>
                <w:color w:val="auto"/>
                <w:kern w:val="0"/>
                <w:sz w:val="20"/>
                <w:szCs w:val="20"/>
                <w:highlight w:val="none"/>
                <w:lang w:val="en-US" w:eastAsia="zh-CN" w:bidi="ar"/>
              </w:rPr>
            </w:pPr>
            <w:r>
              <w:rPr>
                <w:rFonts w:hint="eastAsia" w:ascii="仿宋" w:hAnsi="仿宋" w:eastAsia="仿宋" w:cs="仿宋"/>
                <w:color w:val="auto"/>
                <w:kern w:val="0"/>
                <w:sz w:val="20"/>
                <w:szCs w:val="20"/>
                <w:highlight w:val="none"/>
                <w:lang w:bidi="ar"/>
              </w:rPr>
              <w:t>消化道</w:t>
            </w:r>
            <w:r>
              <w:rPr>
                <w:rFonts w:ascii="仿宋" w:hAnsi="仿宋" w:eastAsia="仿宋" w:cs="仿宋"/>
                <w:color w:val="auto"/>
                <w:kern w:val="0"/>
                <w:sz w:val="20"/>
                <w:szCs w:val="20"/>
                <w:highlight w:val="none"/>
                <w:lang w:bidi="ar"/>
              </w:rPr>
              <w:t>肿瘤筛查</w:t>
            </w:r>
          </w:p>
        </w:tc>
      </w:tr>
      <w:tr w14:paraId="688E7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trPr>
        <w:tc>
          <w:tcPr>
            <w:tcW w:w="1347" w:type="dxa"/>
            <w:noWrap w:val="0"/>
            <w:vAlign w:val="center"/>
          </w:tcPr>
          <w:p w14:paraId="52CF3AE5">
            <w:pPr>
              <w:widowControl/>
              <w:snapToGrid w:val="0"/>
              <w:spacing w:line="300" w:lineRule="exact"/>
              <w:jc w:val="center"/>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生化项目</w:t>
            </w:r>
          </w:p>
        </w:tc>
        <w:tc>
          <w:tcPr>
            <w:tcW w:w="2728" w:type="dxa"/>
            <w:noWrap w:val="0"/>
            <w:vAlign w:val="center"/>
          </w:tcPr>
          <w:p w14:paraId="0688578C">
            <w:pPr>
              <w:adjustRightInd w:val="0"/>
              <w:snapToGrid w:val="0"/>
              <w:spacing w:line="4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spacing w:val="-10"/>
                <w:szCs w:val="18"/>
                <w:highlight w:val="none"/>
              </w:rPr>
              <w:t>糖化血红蛋白测定</w:t>
            </w:r>
          </w:p>
        </w:tc>
        <w:tc>
          <w:tcPr>
            <w:tcW w:w="5448" w:type="dxa"/>
            <w:noWrap w:val="0"/>
            <w:vAlign w:val="center"/>
          </w:tcPr>
          <w:p w14:paraId="7A0A5225">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spacing w:val="-10"/>
                <w:szCs w:val="18"/>
                <w:highlight w:val="none"/>
              </w:rPr>
              <w:t>反映近3个月血糖平均水平。</w:t>
            </w:r>
          </w:p>
        </w:tc>
      </w:tr>
      <w:tr w14:paraId="688F4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1347" w:type="dxa"/>
            <w:noWrap w:val="0"/>
            <w:vAlign w:val="center"/>
          </w:tcPr>
          <w:p w14:paraId="59DADBC1">
            <w:pPr>
              <w:widowControl/>
              <w:snapToGrid w:val="0"/>
              <w:spacing w:line="300" w:lineRule="exact"/>
              <w:jc w:val="center"/>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影像检查</w:t>
            </w:r>
          </w:p>
        </w:tc>
        <w:tc>
          <w:tcPr>
            <w:tcW w:w="2728" w:type="dxa"/>
            <w:noWrap w:val="0"/>
            <w:vAlign w:val="center"/>
          </w:tcPr>
          <w:p w14:paraId="5EA44F66">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肺部CT</w:t>
            </w:r>
          </w:p>
        </w:tc>
        <w:tc>
          <w:tcPr>
            <w:tcW w:w="5448" w:type="dxa"/>
            <w:noWrap w:val="0"/>
            <w:vAlign w:val="center"/>
          </w:tcPr>
          <w:p w14:paraId="75D56407">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对支气管炎、肺炎、肺结核、肺部及纵隔占位等疾病诊断有参考意义。胸廓检查（包括肋骨、胸椎等）、胸膜、心脏及大血管病变。</w:t>
            </w:r>
          </w:p>
        </w:tc>
      </w:tr>
      <w:tr w14:paraId="50311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1347" w:type="dxa"/>
            <w:noWrap w:val="0"/>
            <w:vAlign w:val="center"/>
          </w:tcPr>
          <w:p w14:paraId="5B5E9C13">
            <w:pPr>
              <w:widowControl/>
              <w:snapToGrid w:val="0"/>
              <w:spacing w:line="300" w:lineRule="exact"/>
              <w:jc w:val="center"/>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心电图</w:t>
            </w:r>
          </w:p>
        </w:tc>
        <w:tc>
          <w:tcPr>
            <w:tcW w:w="2728" w:type="dxa"/>
            <w:noWrap w:val="0"/>
            <w:vAlign w:val="center"/>
          </w:tcPr>
          <w:p w14:paraId="320BD2C0">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12导联心电图</w:t>
            </w:r>
          </w:p>
        </w:tc>
        <w:tc>
          <w:tcPr>
            <w:tcW w:w="5448" w:type="dxa"/>
            <w:noWrap w:val="0"/>
            <w:vAlign w:val="center"/>
          </w:tcPr>
          <w:p w14:paraId="4B96B4CF">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了解心律不齐、心肌梗塞、心肌缺血、心率过缓/过速、心室电压增高等心脏疾病。</w:t>
            </w:r>
          </w:p>
        </w:tc>
      </w:tr>
      <w:tr w14:paraId="5D363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347" w:type="dxa"/>
            <w:noWrap w:val="0"/>
            <w:vAlign w:val="center"/>
          </w:tcPr>
          <w:p w14:paraId="0011E211">
            <w:pPr>
              <w:widowControl/>
              <w:snapToGrid w:val="0"/>
              <w:spacing w:line="300" w:lineRule="exact"/>
              <w:jc w:val="center"/>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spacing w:val="-10"/>
                <w:kern w:val="2"/>
                <w:sz w:val="21"/>
                <w:szCs w:val="18"/>
                <w:highlight w:val="none"/>
                <w:lang w:val="en-US" w:eastAsia="zh-CN" w:bidi="ar-SA"/>
              </w:rPr>
              <w:t>特殊检查</w:t>
            </w:r>
          </w:p>
        </w:tc>
        <w:tc>
          <w:tcPr>
            <w:tcW w:w="2728" w:type="dxa"/>
            <w:noWrap w:val="0"/>
            <w:vAlign w:val="center"/>
          </w:tcPr>
          <w:p w14:paraId="4A894E8E">
            <w:pPr>
              <w:widowControl/>
              <w:snapToGrid w:val="0"/>
              <w:spacing w:line="300" w:lineRule="exact"/>
              <w:jc w:val="left"/>
              <w:rPr>
                <w:rFonts w:hint="eastAsia" w:ascii="仿宋" w:hAnsi="仿宋" w:eastAsia="仿宋" w:cs="仿宋"/>
                <w:color w:val="auto"/>
                <w:spacing w:val="-10"/>
                <w:kern w:val="2"/>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心脏彩超+左心功能测定</w:t>
            </w:r>
          </w:p>
        </w:tc>
        <w:tc>
          <w:tcPr>
            <w:tcW w:w="5448" w:type="dxa"/>
            <w:noWrap w:val="0"/>
            <w:vAlign w:val="center"/>
          </w:tcPr>
          <w:p w14:paraId="54F9C0E2">
            <w:pPr>
              <w:widowControl/>
              <w:snapToGrid w:val="0"/>
              <w:spacing w:line="300" w:lineRule="exact"/>
              <w:jc w:val="left"/>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了解心脏结构，评价心功能。</w:t>
            </w:r>
          </w:p>
        </w:tc>
      </w:tr>
      <w:tr w14:paraId="0276C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1347" w:type="dxa"/>
            <w:vMerge w:val="restart"/>
            <w:noWrap w:val="0"/>
            <w:vAlign w:val="center"/>
          </w:tcPr>
          <w:p w14:paraId="7B45C29C">
            <w:pPr>
              <w:widowControl/>
              <w:snapToGrid w:val="0"/>
              <w:spacing w:line="300" w:lineRule="exact"/>
              <w:jc w:val="center"/>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超声检查</w:t>
            </w:r>
          </w:p>
        </w:tc>
        <w:tc>
          <w:tcPr>
            <w:tcW w:w="2728" w:type="dxa"/>
            <w:noWrap w:val="0"/>
            <w:vAlign w:val="center"/>
          </w:tcPr>
          <w:p w14:paraId="3E7BC4CF">
            <w:pPr>
              <w:widowControl/>
              <w:snapToGrid w:val="0"/>
              <w:spacing w:line="300" w:lineRule="exact"/>
              <w:jc w:val="left"/>
              <w:rPr>
                <w:rFonts w:hint="eastAsia" w:ascii="仿宋" w:hAnsi="仿宋" w:eastAsia="仿宋" w:cs="仿宋"/>
                <w:color w:val="auto"/>
                <w:spacing w:val="-10"/>
                <w:kern w:val="2"/>
                <w:sz w:val="21"/>
                <w:szCs w:val="18"/>
                <w:highlight w:val="none"/>
                <w:lang w:val="en-US" w:eastAsia="zh-CN" w:bidi="ar-SA"/>
              </w:rPr>
            </w:pPr>
            <w:r>
              <w:rPr>
                <w:rFonts w:hint="eastAsia" w:ascii="仿宋" w:hAnsi="仿宋" w:eastAsia="仿宋" w:cs="仿宋"/>
                <w:color w:val="auto"/>
                <w:kern w:val="0"/>
                <w:sz w:val="21"/>
                <w:szCs w:val="21"/>
                <w:highlight w:val="none"/>
                <w:lang w:val="en-US" w:eastAsia="zh-CN"/>
              </w:rPr>
              <w:t>肝、胆、脾、胰、双肾</w:t>
            </w:r>
          </w:p>
        </w:tc>
        <w:tc>
          <w:tcPr>
            <w:tcW w:w="5448" w:type="dxa"/>
            <w:noWrap w:val="0"/>
            <w:vAlign w:val="top"/>
          </w:tcPr>
          <w:p w14:paraId="4F46EF35">
            <w:pPr>
              <w:widowControl/>
              <w:snapToGrid w:val="0"/>
              <w:spacing w:line="300" w:lineRule="exact"/>
              <w:jc w:val="left"/>
              <w:rPr>
                <w:rFonts w:hint="eastAsia" w:ascii="仿宋" w:hAnsi="仿宋" w:eastAsia="仿宋" w:cs="仿宋"/>
                <w:color w:val="auto"/>
                <w:spacing w:val="-10"/>
                <w:kern w:val="2"/>
                <w:sz w:val="21"/>
                <w:szCs w:val="18"/>
                <w:highlight w:val="none"/>
                <w:lang w:val="en-US" w:eastAsia="zh-CN" w:bidi="ar-SA"/>
              </w:rPr>
            </w:pPr>
            <w:r>
              <w:rPr>
                <w:rFonts w:hint="eastAsia" w:ascii="仿宋" w:hAnsi="仿宋" w:eastAsia="仿宋" w:cs="仿宋"/>
                <w:color w:val="auto"/>
                <w:kern w:val="0"/>
                <w:sz w:val="21"/>
                <w:szCs w:val="21"/>
                <w:highlight w:val="none"/>
                <w:lang w:val="en-US" w:eastAsia="zh-CN"/>
              </w:rPr>
              <w:t>了解肝硬化、肝囊肿、肝癌、肝脓肿、肝血管瘤、肝脂肪、胆囊结石、胆囊息肉、胰腺癌、脾肿大等疾病情况。通过肾了解有否肾结石、肾肿瘤。</w:t>
            </w:r>
          </w:p>
        </w:tc>
      </w:tr>
      <w:tr w14:paraId="00B6D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trPr>
        <w:tc>
          <w:tcPr>
            <w:tcW w:w="1347" w:type="dxa"/>
            <w:vMerge w:val="continue"/>
            <w:noWrap w:val="0"/>
            <w:vAlign w:val="center"/>
          </w:tcPr>
          <w:p w14:paraId="3E0C57CD">
            <w:pPr>
              <w:widowControl/>
              <w:snapToGrid w:val="0"/>
              <w:spacing w:line="300" w:lineRule="exact"/>
              <w:jc w:val="center"/>
              <w:rPr>
                <w:rFonts w:hint="eastAsia" w:ascii="仿宋" w:hAnsi="仿宋" w:eastAsia="仿宋" w:cs="仿宋"/>
                <w:color w:val="auto"/>
                <w:kern w:val="0"/>
                <w:sz w:val="21"/>
                <w:szCs w:val="21"/>
                <w:highlight w:val="none"/>
                <w:lang w:val="en-US" w:eastAsia="zh-CN"/>
              </w:rPr>
            </w:pPr>
          </w:p>
        </w:tc>
        <w:tc>
          <w:tcPr>
            <w:tcW w:w="2728" w:type="dxa"/>
            <w:noWrap w:val="0"/>
            <w:vAlign w:val="center"/>
          </w:tcPr>
          <w:p w14:paraId="641D971E">
            <w:pPr>
              <w:widowControl/>
              <w:snapToGrid w:val="0"/>
              <w:spacing w:line="300" w:lineRule="exact"/>
              <w:jc w:val="left"/>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乳腺及腋窝淋巴结彩超</w:t>
            </w:r>
          </w:p>
        </w:tc>
        <w:tc>
          <w:tcPr>
            <w:tcW w:w="5448" w:type="dxa"/>
            <w:noWrap w:val="0"/>
            <w:vAlign w:val="center"/>
          </w:tcPr>
          <w:p w14:paraId="6B2452BF">
            <w:pPr>
              <w:widowControl/>
              <w:snapToGrid w:val="0"/>
              <w:spacing w:line="300" w:lineRule="exact"/>
              <w:jc w:val="left"/>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排除乳腺增生、乳腺结节、乳腺纤维瘤、乳腺癌等疾病；乳房组织病变诊断；了解腋下淋巴结有无肿大。</w:t>
            </w:r>
          </w:p>
        </w:tc>
      </w:tr>
      <w:tr w14:paraId="38DBD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1347" w:type="dxa"/>
            <w:vMerge w:val="continue"/>
            <w:noWrap w:val="0"/>
            <w:vAlign w:val="center"/>
          </w:tcPr>
          <w:p w14:paraId="0DDB47D5">
            <w:pPr>
              <w:widowControl/>
              <w:snapToGrid w:val="0"/>
              <w:spacing w:line="300" w:lineRule="exact"/>
              <w:jc w:val="center"/>
              <w:rPr>
                <w:rFonts w:hint="eastAsia" w:ascii="仿宋" w:hAnsi="仿宋" w:eastAsia="仿宋" w:cs="仿宋"/>
                <w:color w:val="auto"/>
                <w:kern w:val="0"/>
                <w:sz w:val="21"/>
                <w:szCs w:val="21"/>
                <w:highlight w:val="none"/>
                <w:lang w:val="en-US" w:eastAsia="zh-CN"/>
              </w:rPr>
            </w:pPr>
          </w:p>
        </w:tc>
        <w:tc>
          <w:tcPr>
            <w:tcW w:w="2728" w:type="dxa"/>
            <w:noWrap w:val="0"/>
            <w:vAlign w:val="center"/>
          </w:tcPr>
          <w:p w14:paraId="239C81FE">
            <w:pPr>
              <w:widowControl/>
              <w:snapToGrid w:val="0"/>
              <w:spacing w:line="300" w:lineRule="exact"/>
              <w:jc w:val="left"/>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甲状腺及颈部淋巴结彩超</w:t>
            </w:r>
          </w:p>
        </w:tc>
        <w:tc>
          <w:tcPr>
            <w:tcW w:w="5448" w:type="dxa"/>
            <w:noWrap w:val="0"/>
            <w:vAlign w:val="center"/>
          </w:tcPr>
          <w:p w14:paraId="4815FDB9">
            <w:pPr>
              <w:widowControl/>
              <w:snapToGrid w:val="0"/>
              <w:spacing w:line="300" w:lineRule="exact"/>
              <w:jc w:val="left"/>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了解甲状腺及颈部淋巴有无结节、囊肿、良/恶性占位等疾病。</w:t>
            </w:r>
          </w:p>
        </w:tc>
      </w:tr>
      <w:tr w14:paraId="1A302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1347" w:type="dxa"/>
            <w:vMerge w:val="continue"/>
            <w:noWrap w:val="0"/>
            <w:vAlign w:val="center"/>
          </w:tcPr>
          <w:p w14:paraId="3BCBBD20">
            <w:pPr>
              <w:widowControl/>
              <w:snapToGrid w:val="0"/>
              <w:spacing w:line="300" w:lineRule="exact"/>
              <w:jc w:val="center"/>
              <w:rPr>
                <w:rFonts w:hint="eastAsia" w:ascii="仿宋" w:hAnsi="仿宋" w:eastAsia="仿宋" w:cs="仿宋"/>
                <w:color w:val="auto"/>
                <w:kern w:val="0"/>
                <w:sz w:val="21"/>
                <w:szCs w:val="21"/>
                <w:highlight w:val="none"/>
                <w:lang w:val="en-US" w:eastAsia="zh-CN"/>
              </w:rPr>
            </w:pPr>
          </w:p>
        </w:tc>
        <w:tc>
          <w:tcPr>
            <w:tcW w:w="2728" w:type="dxa"/>
            <w:noWrap w:val="0"/>
            <w:vAlign w:val="center"/>
          </w:tcPr>
          <w:p w14:paraId="6E0F5BE2">
            <w:pPr>
              <w:adjustRightInd w:val="0"/>
              <w:snapToGrid w:val="0"/>
              <w:spacing w:line="24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spacing w:val="-10"/>
                <w:szCs w:val="18"/>
                <w:highlight w:val="none"/>
              </w:rPr>
              <w:t>子宫、附件B超（已婚未婚均可，需憋尿）</w:t>
            </w:r>
          </w:p>
        </w:tc>
        <w:tc>
          <w:tcPr>
            <w:tcW w:w="5448" w:type="dxa"/>
            <w:noWrap w:val="0"/>
            <w:vAlign w:val="center"/>
          </w:tcPr>
          <w:p w14:paraId="3137F31C">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检查子宫肌瘤，宫颈癌，卵巢肿物、盆腔炎。</w:t>
            </w:r>
          </w:p>
        </w:tc>
      </w:tr>
    </w:tbl>
    <w:p w14:paraId="41E1C128">
      <w:pPr>
        <w:widowControl/>
        <w:snapToGrid w:val="0"/>
        <w:spacing w:line="300" w:lineRule="exact"/>
        <w:jc w:val="left"/>
        <w:rPr>
          <w:rFonts w:hint="eastAsia" w:ascii="仿宋" w:hAnsi="仿宋" w:eastAsia="仿宋" w:cs="仿宋"/>
          <w:color w:val="auto"/>
          <w:kern w:val="0"/>
          <w:sz w:val="21"/>
          <w:szCs w:val="21"/>
          <w:highlight w:val="none"/>
          <w:lang w:val="en-US" w:eastAsia="zh-CN"/>
        </w:rPr>
      </w:pPr>
    </w:p>
    <w:p w14:paraId="194F8B8F">
      <w:pPr>
        <w:rPr>
          <w:rFonts w:hint="eastAsia" w:ascii="仿宋" w:hAnsi="仿宋" w:eastAsia="仿宋" w:cs="仿宋"/>
          <w:b/>
          <w:color w:val="auto"/>
          <w:sz w:val="28"/>
          <w:highlight w:val="none"/>
          <w:lang w:val="en-US" w:eastAsia="zh-CN"/>
        </w:rPr>
      </w:pPr>
    </w:p>
    <w:p w14:paraId="14B0B7F1">
      <w:pPr>
        <w:rPr>
          <w:rFonts w:hint="eastAsia" w:ascii="仿宋" w:hAnsi="仿宋" w:eastAsia="仿宋" w:cs="仿宋"/>
          <w:b/>
          <w:bCs/>
          <w:color w:val="auto"/>
          <w:sz w:val="24"/>
          <w:szCs w:val="28"/>
          <w:highlight w:val="none"/>
          <w:lang w:val="en-US" w:eastAsia="zh-CN"/>
        </w:rPr>
      </w:pPr>
      <w:r>
        <w:rPr>
          <w:rFonts w:hint="eastAsia" w:ascii="仿宋" w:hAnsi="仿宋" w:eastAsia="仿宋" w:cs="仿宋"/>
          <w:b/>
          <w:bCs/>
          <w:color w:val="auto"/>
          <w:sz w:val="24"/>
          <w:szCs w:val="28"/>
          <w:highlight w:val="none"/>
          <w:lang w:val="en-US" w:eastAsia="zh-CN"/>
        </w:rPr>
        <w:br w:type="page"/>
      </w:r>
    </w:p>
    <w:p w14:paraId="0B99DA52">
      <w:pPr>
        <w:widowControl/>
        <w:snapToGrid w:val="0"/>
        <w:spacing w:line="216" w:lineRule="auto"/>
        <w:jc w:val="center"/>
        <w:textAlignment w:val="baseline"/>
        <w:outlineLvl w:val="1"/>
        <w:rPr>
          <w:rFonts w:hint="default" w:ascii="仿宋" w:hAnsi="仿宋" w:eastAsia="仿宋" w:cs="仿宋"/>
          <w:b/>
          <w:bCs/>
          <w:color w:val="auto"/>
          <w:sz w:val="24"/>
          <w:szCs w:val="28"/>
          <w:highlight w:val="none"/>
          <w:lang w:val="en-US" w:eastAsia="zh-CN"/>
        </w:rPr>
      </w:pPr>
      <w:bookmarkStart w:id="92" w:name="_Toc10646"/>
      <w:r>
        <w:rPr>
          <w:rFonts w:hint="eastAsia" w:ascii="仿宋" w:hAnsi="仿宋" w:eastAsia="仿宋" w:cs="仿宋"/>
          <w:b/>
          <w:bCs/>
          <w:color w:val="auto"/>
          <w:sz w:val="24"/>
          <w:szCs w:val="28"/>
          <w:highlight w:val="none"/>
          <w:lang w:val="en-US" w:eastAsia="zh-CN"/>
        </w:rPr>
        <w:t>E</w:t>
      </w:r>
      <w:r>
        <w:rPr>
          <w:rFonts w:hint="eastAsia" w:ascii="仿宋" w:hAnsi="仿宋" w:eastAsia="仿宋" w:cs="仿宋"/>
          <w:b/>
          <w:bCs/>
          <w:color w:val="auto"/>
          <w:sz w:val="24"/>
          <w:szCs w:val="28"/>
          <w:highlight w:val="none"/>
        </w:rPr>
        <w:t>、</w:t>
      </w:r>
      <w:r>
        <w:rPr>
          <w:rFonts w:hint="eastAsia" w:ascii="仿宋" w:hAnsi="仿宋" w:eastAsia="仿宋" w:cs="仿宋"/>
          <w:b/>
          <w:bCs/>
          <w:color w:val="auto"/>
          <w:sz w:val="24"/>
          <w:szCs w:val="28"/>
          <w:highlight w:val="none"/>
          <w:lang w:val="en-US" w:eastAsia="zh-CN"/>
        </w:rPr>
        <w:t>40岁及以下已婚女士套餐</w:t>
      </w:r>
      <w:bookmarkEnd w:id="92"/>
    </w:p>
    <w:tbl>
      <w:tblPr>
        <w:tblStyle w:val="40"/>
        <w:tblpPr w:leftFromText="180" w:rightFromText="180" w:vertAnchor="text" w:horzAnchor="page" w:tblpX="1237" w:tblpY="497"/>
        <w:tblOverlap w:val="never"/>
        <w:tblW w:w="90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5"/>
        <w:gridCol w:w="2664"/>
        <w:gridCol w:w="5058"/>
      </w:tblGrid>
      <w:tr w14:paraId="0749A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1355" w:type="dxa"/>
            <w:noWrap w:val="0"/>
            <w:vAlign w:val="center"/>
          </w:tcPr>
          <w:p w14:paraId="181F620D">
            <w:pPr>
              <w:autoSpaceDN w:val="0"/>
              <w:snapToGrid w:val="0"/>
              <w:spacing w:line="300" w:lineRule="exact"/>
              <w:jc w:val="center"/>
              <w:textAlignment w:val="bottom"/>
              <w:rPr>
                <w:rFonts w:hint="eastAsia" w:ascii="仿宋" w:hAnsi="仿宋" w:eastAsia="仿宋" w:cs="仿宋"/>
                <w:color w:val="auto"/>
                <w:kern w:val="0"/>
                <w:sz w:val="21"/>
                <w:szCs w:val="21"/>
                <w:highlight w:val="none"/>
                <w:lang w:val="en-US" w:eastAsia="zh-CN"/>
              </w:rPr>
            </w:pPr>
            <w:r>
              <w:rPr>
                <w:rFonts w:hint="eastAsia" w:ascii="仿宋" w:hAnsi="仿宋" w:eastAsia="仿宋" w:cs="仿宋"/>
                <w:b/>
                <w:snapToGrid w:val="0"/>
                <w:color w:val="auto"/>
                <w:sz w:val="21"/>
                <w:szCs w:val="21"/>
                <w:highlight w:val="none"/>
              </w:rPr>
              <w:t>项目分类</w:t>
            </w:r>
          </w:p>
        </w:tc>
        <w:tc>
          <w:tcPr>
            <w:tcW w:w="2664" w:type="dxa"/>
            <w:noWrap w:val="0"/>
            <w:vAlign w:val="center"/>
          </w:tcPr>
          <w:p w14:paraId="28826586">
            <w:pPr>
              <w:autoSpaceDN w:val="0"/>
              <w:snapToGrid w:val="0"/>
              <w:spacing w:line="300" w:lineRule="exact"/>
              <w:ind w:left="-334" w:leftChars="-159"/>
              <w:jc w:val="center"/>
              <w:textAlignment w:val="bottom"/>
              <w:rPr>
                <w:rFonts w:hint="eastAsia" w:ascii="仿宋" w:hAnsi="仿宋" w:eastAsia="仿宋" w:cs="仿宋"/>
                <w:color w:val="auto"/>
                <w:kern w:val="0"/>
                <w:sz w:val="21"/>
                <w:szCs w:val="21"/>
                <w:highlight w:val="none"/>
                <w:lang w:val="en-US" w:eastAsia="zh-CN"/>
              </w:rPr>
            </w:pPr>
            <w:r>
              <w:rPr>
                <w:rFonts w:hint="eastAsia" w:ascii="仿宋" w:hAnsi="仿宋" w:eastAsia="仿宋" w:cs="仿宋"/>
                <w:b/>
                <w:snapToGrid w:val="0"/>
                <w:color w:val="auto"/>
                <w:sz w:val="21"/>
                <w:szCs w:val="21"/>
                <w:highlight w:val="none"/>
              </w:rPr>
              <w:t>检查项目</w:t>
            </w:r>
          </w:p>
        </w:tc>
        <w:tc>
          <w:tcPr>
            <w:tcW w:w="5058" w:type="dxa"/>
            <w:noWrap w:val="0"/>
            <w:vAlign w:val="center"/>
          </w:tcPr>
          <w:p w14:paraId="0B384D42">
            <w:pPr>
              <w:autoSpaceDN w:val="0"/>
              <w:snapToGrid w:val="0"/>
              <w:spacing w:line="300" w:lineRule="exact"/>
              <w:jc w:val="center"/>
              <w:textAlignment w:val="bottom"/>
              <w:rPr>
                <w:rFonts w:hint="eastAsia" w:ascii="仿宋" w:hAnsi="仿宋" w:eastAsia="仿宋" w:cs="仿宋"/>
                <w:color w:val="auto"/>
                <w:kern w:val="0"/>
                <w:sz w:val="21"/>
                <w:szCs w:val="21"/>
                <w:highlight w:val="none"/>
                <w:lang w:val="en-US" w:eastAsia="zh-CN"/>
              </w:rPr>
            </w:pPr>
            <w:r>
              <w:rPr>
                <w:rFonts w:hint="eastAsia" w:ascii="仿宋" w:hAnsi="仿宋" w:eastAsia="仿宋" w:cs="仿宋"/>
                <w:b/>
                <w:snapToGrid w:val="0"/>
                <w:color w:val="auto"/>
                <w:sz w:val="21"/>
                <w:szCs w:val="21"/>
                <w:highlight w:val="none"/>
              </w:rPr>
              <w:t>项目含义</w:t>
            </w:r>
          </w:p>
        </w:tc>
      </w:tr>
      <w:tr w14:paraId="1B7A0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trPr>
        <w:tc>
          <w:tcPr>
            <w:tcW w:w="1355" w:type="dxa"/>
            <w:vMerge w:val="restart"/>
            <w:noWrap w:val="0"/>
            <w:vAlign w:val="center"/>
          </w:tcPr>
          <w:p w14:paraId="697ACE84">
            <w:pPr>
              <w:widowControl/>
              <w:snapToGrid w:val="0"/>
              <w:spacing w:line="300" w:lineRule="exact"/>
              <w:jc w:val="center"/>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一般检查</w:t>
            </w:r>
          </w:p>
        </w:tc>
        <w:tc>
          <w:tcPr>
            <w:tcW w:w="2664" w:type="dxa"/>
            <w:noWrap w:val="0"/>
            <w:vAlign w:val="center"/>
          </w:tcPr>
          <w:p w14:paraId="175C6B19">
            <w:pPr>
              <w:widowControl/>
              <w:snapToGrid w:val="0"/>
              <w:spacing w:line="300" w:lineRule="exact"/>
              <w:jc w:val="both"/>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身高、体重、血压、</w:t>
            </w:r>
          </w:p>
          <w:p w14:paraId="75375527">
            <w:pPr>
              <w:widowControl/>
              <w:snapToGrid w:val="0"/>
              <w:spacing w:line="300" w:lineRule="exact"/>
              <w:jc w:val="both"/>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体重指数、臀围、腰围</w:t>
            </w:r>
          </w:p>
        </w:tc>
        <w:tc>
          <w:tcPr>
            <w:tcW w:w="5058" w:type="dxa"/>
            <w:noWrap w:val="0"/>
            <w:vAlign w:val="center"/>
          </w:tcPr>
          <w:p w14:paraId="35FEA9C7">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了解身高、体重、血压、臀围、腰围等基本情况以及是否有体重超标等。</w:t>
            </w:r>
          </w:p>
        </w:tc>
      </w:tr>
      <w:tr w14:paraId="7718E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355" w:type="dxa"/>
            <w:vMerge w:val="continue"/>
            <w:noWrap w:val="0"/>
            <w:vAlign w:val="center"/>
          </w:tcPr>
          <w:p w14:paraId="11CE61A4">
            <w:pPr>
              <w:widowControl/>
              <w:snapToGrid w:val="0"/>
              <w:spacing w:line="300" w:lineRule="exact"/>
              <w:jc w:val="center"/>
              <w:rPr>
                <w:rFonts w:hint="eastAsia" w:ascii="仿宋" w:hAnsi="仿宋" w:eastAsia="仿宋" w:cs="仿宋"/>
                <w:color w:val="auto"/>
                <w:kern w:val="0"/>
                <w:sz w:val="21"/>
                <w:szCs w:val="21"/>
                <w:highlight w:val="none"/>
                <w:lang w:val="en-US" w:eastAsia="zh-CN"/>
              </w:rPr>
            </w:pPr>
          </w:p>
        </w:tc>
        <w:tc>
          <w:tcPr>
            <w:tcW w:w="2664" w:type="dxa"/>
            <w:noWrap w:val="0"/>
            <w:vAlign w:val="center"/>
          </w:tcPr>
          <w:p w14:paraId="26C3F82C">
            <w:pPr>
              <w:widowControl/>
              <w:snapToGrid w:val="0"/>
              <w:spacing w:line="300" w:lineRule="exact"/>
              <w:jc w:val="both"/>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体检问卷</w:t>
            </w:r>
          </w:p>
        </w:tc>
        <w:tc>
          <w:tcPr>
            <w:tcW w:w="5058" w:type="dxa"/>
            <w:noWrap w:val="0"/>
            <w:vAlign w:val="center"/>
          </w:tcPr>
          <w:p w14:paraId="3D261AB1">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了解生活方式、个人史、家族史、健康体检史等</w:t>
            </w:r>
          </w:p>
        </w:tc>
      </w:tr>
      <w:tr w14:paraId="033BC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1355" w:type="dxa"/>
            <w:vMerge w:val="restart"/>
            <w:noWrap w:val="0"/>
            <w:vAlign w:val="center"/>
          </w:tcPr>
          <w:p w14:paraId="33504DF7">
            <w:pPr>
              <w:widowControl/>
              <w:snapToGrid w:val="0"/>
              <w:spacing w:line="300" w:lineRule="exact"/>
              <w:jc w:val="center"/>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眼科</w:t>
            </w:r>
          </w:p>
        </w:tc>
        <w:tc>
          <w:tcPr>
            <w:tcW w:w="2664" w:type="dxa"/>
            <w:noWrap w:val="0"/>
            <w:vAlign w:val="center"/>
          </w:tcPr>
          <w:p w14:paraId="3AD910F9">
            <w:pPr>
              <w:keepNext w:val="0"/>
              <w:keepLines w:val="0"/>
              <w:widowControl/>
              <w:suppressLineNumbers w:val="0"/>
              <w:jc w:val="both"/>
              <w:textAlignment w:val="center"/>
              <w:rPr>
                <w:rFonts w:hint="eastAsia" w:ascii="仿宋" w:hAnsi="仿宋" w:eastAsia="仿宋" w:cs="仿宋"/>
                <w:color w:val="auto"/>
                <w:kern w:val="0"/>
                <w:sz w:val="21"/>
                <w:szCs w:val="21"/>
                <w:highlight w:val="none"/>
                <w:lang w:val="en-US" w:eastAsia="zh-CN"/>
              </w:rPr>
            </w:pPr>
            <w:r>
              <w:rPr>
                <w:rFonts w:hint="eastAsia" w:ascii="仿宋" w:hAnsi="仿宋" w:eastAsia="仿宋" w:cs="仿宋"/>
                <w:i w:val="0"/>
                <w:iCs w:val="0"/>
                <w:color w:val="auto"/>
                <w:kern w:val="0"/>
                <w:sz w:val="20"/>
                <w:szCs w:val="20"/>
                <w:highlight w:val="none"/>
                <w:u w:val="none"/>
                <w:lang w:val="en-US" w:eastAsia="zh-CN" w:bidi="ar"/>
              </w:rPr>
              <w:t>眼科</w:t>
            </w:r>
          </w:p>
        </w:tc>
        <w:tc>
          <w:tcPr>
            <w:tcW w:w="5058" w:type="dxa"/>
            <w:noWrap w:val="0"/>
            <w:vAlign w:val="center"/>
          </w:tcPr>
          <w:p w14:paraId="7169FA49">
            <w:pPr>
              <w:keepNext w:val="0"/>
              <w:keepLines w:val="0"/>
              <w:widowControl/>
              <w:suppressLineNumbers w:val="0"/>
              <w:jc w:val="left"/>
              <w:textAlignment w:val="center"/>
              <w:rPr>
                <w:rFonts w:hint="eastAsia" w:ascii="仿宋" w:hAnsi="仿宋" w:eastAsia="仿宋" w:cs="仿宋"/>
                <w:color w:val="auto"/>
                <w:kern w:val="0"/>
                <w:sz w:val="21"/>
                <w:szCs w:val="21"/>
                <w:highlight w:val="none"/>
                <w:lang w:val="en-US" w:eastAsia="zh-CN"/>
              </w:rPr>
            </w:pPr>
            <w:r>
              <w:rPr>
                <w:rFonts w:hint="eastAsia" w:ascii="仿宋" w:hAnsi="仿宋" w:eastAsia="仿宋" w:cs="仿宋"/>
                <w:i w:val="0"/>
                <w:iCs w:val="0"/>
                <w:color w:val="auto"/>
                <w:kern w:val="0"/>
                <w:sz w:val="20"/>
                <w:szCs w:val="20"/>
                <w:highlight w:val="none"/>
                <w:u w:val="none"/>
                <w:lang w:val="en-US" w:eastAsia="zh-CN" w:bidi="ar"/>
              </w:rPr>
              <w:t>视力、辨色力等。</w:t>
            </w:r>
          </w:p>
        </w:tc>
      </w:tr>
      <w:tr w14:paraId="4CB8A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1355" w:type="dxa"/>
            <w:vMerge w:val="continue"/>
            <w:noWrap w:val="0"/>
            <w:vAlign w:val="center"/>
          </w:tcPr>
          <w:p w14:paraId="6B9494B7">
            <w:pPr>
              <w:widowControl/>
              <w:snapToGrid w:val="0"/>
              <w:spacing w:line="300" w:lineRule="exact"/>
              <w:jc w:val="center"/>
              <w:rPr>
                <w:rFonts w:hint="eastAsia" w:ascii="仿宋" w:hAnsi="仿宋" w:eastAsia="仿宋" w:cs="仿宋"/>
                <w:color w:val="auto"/>
                <w:kern w:val="0"/>
                <w:sz w:val="21"/>
                <w:szCs w:val="21"/>
                <w:highlight w:val="none"/>
                <w:lang w:val="en-US" w:eastAsia="zh-CN"/>
              </w:rPr>
            </w:pPr>
          </w:p>
        </w:tc>
        <w:tc>
          <w:tcPr>
            <w:tcW w:w="2664" w:type="dxa"/>
            <w:noWrap w:val="0"/>
            <w:vAlign w:val="center"/>
          </w:tcPr>
          <w:p w14:paraId="286D9B56">
            <w:pPr>
              <w:keepNext w:val="0"/>
              <w:keepLines w:val="0"/>
              <w:widowControl/>
              <w:suppressLineNumbers w:val="0"/>
              <w:jc w:val="both"/>
              <w:textAlignment w:val="center"/>
              <w:rPr>
                <w:rFonts w:hint="eastAsia" w:ascii="仿宋" w:hAnsi="仿宋" w:eastAsia="仿宋" w:cs="仿宋"/>
                <w:color w:val="auto"/>
                <w:kern w:val="0"/>
                <w:sz w:val="21"/>
                <w:szCs w:val="21"/>
                <w:highlight w:val="none"/>
                <w:lang w:val="en-US" w:eastAsia="zh-CN"/>
              </w:rPr>
            </w:pPr>
            <w:r>
              <w:rPr>
                <w:rFonts w:hint="eastAsia" w:ascii="仿宋" w:hAnsi="仿宋" w:eastAsia="仿宋" w:cs="仿宋"/>
                <w:i w:val="0"/>
                <w:iCs w:val="0"/>
                <w:color w:val="auto"/>
                <w:kern w:val="0"/>
                <w:sz w:val="20"/>
                <w:szCs w:val="20"/>
                <w:highlight w:val="none"/>
                <w:u w:val="none"/>
                <w:lang w:val="en-US" w:eastAsia="zh-CN" w:bidi="ar"/>
              </w:rPr>
              <w:t>眼压检查(非接触眼压计法)</w:t>
            </w:r>
          </w:p>
        </w:tc>
        <w:tc>
          <w:tcPr>
            <w:tcW w:w="5058" w:type="dxa"/>
            <w:noWrap w:val="0"/>
            <w:vAlign w:val="center"/>
          </w:tcPr>
          <w:p w14:paraId="3D55888B">
            <w:pPr>
              <w:keepNext w:val="0"/>
              <w:keepLines w:val="0"/>
              <w:widowControl/>
              <w:suppressLineNumbers w:val="0"/>
              <w:jc w:val="left"/>
              <w:textAlignment w:val="center"/>
              <w:rPr>
                <w:rFonts w:hint="eastAsia" w:ascii="仿宋" w:hAnsi="仿宋" w:eastAsia="仿宋" w:cs="仿宋"/>
                <w:color w:val="auto"/>
                <w:kern w:val="0"/>
                <w:sz w:val="21"/>
                <w:szCs w:val="21"/>
                <w:highlight w:val="none"/>
                <w:lang w:val="en-US" w:eastAsia="zh-CN"/>
              </w:rPr>
            </w:pPr>
            <w:r>
              <w:rPr>
                <w:rFonts w:hint="eastAsia" w:ascii="仿宋" w:hAnsi="仿宋" w:eastAsia="仿宋" w:cs="仿宋"/>
                <w:i w:val="0"/>
                <w:iCs w:val="0"/>
                <w:color w:val="auto"/>
                <w:kern w:val="0"/>
                <w:sz w:val="20"/>
                <w:szCs w:val="20"/>
                <w:highlight w:val="none"/>
                <w:u w:val="none"/>
                <w:lang w:val="en-US" w:eastAsia="zh-CN" w:bidi="ar"/>
              </w:rPr>
              <w:t>检测眼压，早期发现青光眼等。</w:t>
            </w:r>
          </w:p>
        </w:tc>
      </w:tr>
      <w:tr w14:paraId="42D47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1355" w:type="dxa"/>
            <w:noWrap w:val="0"/>
            <w:vAlign w:val="center"/>
          </w:tcPr>
          <w:p w14:paraId="219BF3EB">
            <w:pPr>
              <w:widowControl/>
              <w:snapToGrid w:val="0"/>
              <w:spacing w:line="300" w:lineRule="exact"/>
              <w:jc w:val="center"/>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常规检查</w:t>
            </w:r>
          </w:p>
        </w:tc>
        <w:tc>
          <w:tcPr>
            <w:tcW w:w="2664" w:type="dxa"/>
            <w:noWrap w:val="0"/>
            <w:vAlign w:val="center"/>
          </w:tcPr>
          <w:p w14:paraId="6D2181FF">
            <w:pPr>
              <w:widowControl/>
              <w:snapToGrid w:val="0"/>
              <w:spacing w:line="300" w:lineRule="exact"/>
              <w:jc w:val="both"/>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尿常规</w:t>
            </w:r>
          </w:p>
        </w:tc>
        <w:tc>
          <w:tcPr>
            <w:tcW w:w="5058" w:type="dxa"/>
            <w:noWrap w:val="0"/>
            <w:vAlign w:val="center"/>
          </w:tcPr>
          <w:p w14:paraId="58CCC2FC">
            <w:pPr>
              <w:widowControl/>
              <w:snapToGrid w:val="0"/>
              <w:spacing w:line="300" w:lineRule="exact"/>
              <w:jc w:val="left"/>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尿常规13项检查，了解有否尿道感染、肾炎或血尿，以便排除一些疾病引起的肾脏功能改变。</w:t>
            </w:r>
          </w:p>
        </w:tc>
      </w:tr>
      <w:tr w14:paraId="4C776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1355" w:type="dxa"/>
            <w:vMerge w:val="restart"/>
            <w:noWrap w:val="0"/>
            <w:vAlign w:val="center"/>
          </w:tcPr>
          <w:p w14:paraId="254F483A">
            <w:pPr>
              <w:widowControl/>
              <w:snapToGrid w:val="0"/>
              <w:spacing w:line="300" w:lineRule="exact"/>
              <w:jc w:val="center"/>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血液检查</w:t>
            </w:r>
          </w:p>
        </w:tc>
        <w:tc>
          <w:tcPr>
            <w:tcW w:w="2664" w:type="dxa"/>
            <w:noWrap w:val="0"/>
            <w:vAlign w:val="center"/>
          </w:tcPr>
          <w:p w14:paraId="6DB9F9B5">
            <w:pPr>
              <w:widowControl/>
              <w:snapToGrid w:val="0"/>
              <w:spacing w:line="300" w:lineRule="exact"/>
              <w:jc w:val="both"/>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血常规</w:t>
            </w:r>
          </w:p>
        </w:tc>
        <w:tc>
          <w:tcPr>
            <w:tcW w:w="5058" w:type="dxa"/>
            <w:noWrap w:val="0"/>
            <w:vAlign w:val="center"/>
          </w:tcPr>
          <w:p w14:paraId="25366061">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了解病毒或细菌感染，如面色苍白或皮下出血点应及时查一次，以便及早发现血液系统疾病。</w:t>
            </w:r>
          </w:p>
        </w:tc>
      </w:tr>
      <w:tr w14:paraId="217EB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1355" w:type="dxa"/>
            <w:vMerge w:val="continue"/>
            <w:noWrap w:val="0"/>
            <w:vAlign w:val="center"/>
          </w:tcPr>
          <w:p w14:paraId="112DF23A">
            <w:pPr>
              <w:widowControl/>
              <w:snapToGrid w:val="0"/>
              <w:spacing w:line="300" w:lineRule="exact"/>
              <w:jc w:val="center"/>
              <w:rPr>
                <w:rFonts w:hint="eastAsia" w:ascii="仿宋" w:hAnsi="仿宋" w:eastAsia="仿宋" w:cs="仿宋"/>
                <w:color w:val="auto"/>
                <w:kern w:val="0"/>
                <w:sz w:val="21"/>
                <w:szCs w:val="21"/>
                <w:highlight w:val="none"/>
                <w:lang w:val="en-US" w:eastAsia="zh-CN"/>
              </w:rPr>
            </w:pPr>
          </w:p>
        </w:tc>
        <w:tc>
          <w:tcPr>
            <w:tcW w:w="2664" w:type="dxa"/>
            <w:noWrap w:val="0"/>
            <w:vAlign w:val="center"/>
          </w:tcPr>
          <w:p w14:paraId="7C8E1133">
            <w:pPr>
              <w:widowControl/>
              <w:snapToGrid w:val="0"/>
              <w:spacing w:line="300" w:lineRule="exact"/>
              <w:jc w:val="both"/>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空腹血糖</w:t>
            </w:r>
          </w:p>
        </w:tc>
        <w:tc>
          <w:tcPr>
            <w:tcW w:w="5058" w:type="dxa"/>
            <w:noWrap w:val="0"/>
            <w:vAlign w:val="center"/>
          </w:tcPr>
          <w:p w14:paraId="29CAE8A5">
            <w:pPr>
              <w:widowControl/>
              <w:snapToGrid w:val="0"/>
              <w:spacing w:line="300" w:lineRule="exact"/>
              <w:jc w:val="left"/>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检查有无糖尿病及是否低血糖，是筛查糖尿病的基本方法</w:t>
            </w:r>
          </w:p>
        </w:tc>
      </w:tr>
      <w:tr w14:paraId="18838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1355" w:type="dxa"/>
            <w:vMerge w:val="continue"/>
            <w:noWrap w:val="0"/>
            <w:vAlign w:val="center"/>
          </w:tcPr>
          <w:p w14:paraId="75F91161">
            <w:pPr>
              <w:widowControl/>
              <w:snapToGrid w:val="0"/>
              <w:spacing w:line="300" w:lineRule="exact"/>
              <w:jc w:val="center"/>
              <w:rPr>
                <w:rFonts w:hint="eastAsia" w:ascii="仿宋" w:hAnsi="仿宋" w:eastAsia="仿宋" w:cs="仿宋"/>
                <w:color w:val="auto"/>
                <w:kern w:val="0"/>
                <w:sz w:val="21"/>
                <w:szCs w:val="21"/>
                <w:highlight w:val="none"/>
                <w:lang w:val="en-US" w:eastAsia="zh-CN"/>
              </w:rPr>
            </w:pPr>
          </w:p>
        </w:tc>
        <w:tc>
          <w:tcPr>
            <w:tcW w:w="2664" w:type="dxa"/>
            <w:noWrap w:val="0"/>
            <w:vAlign w:val="center"/>
          </w:tcPr>
          <w:p w14:paraId="5B4B761E">
            <w:pPr>
              <w:widowControl/>
              <w:snapToGrid w:val="0"/>
              <w:spacing w:line="300" w:lineRule="exact"/>
              <w:jc w:val="both"/>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肾功组合</w:t>
            </w:r>
          </w:p>
        </w:tc>
        <w:tc>
          <w:tcPr>
            <w:tcW w:w="5058" w:type="dxa"/>
            <w:noWrap w:val="0"/>
            <w:vAlign w:val="center"/>
          </w:tcPr>
          <w:p w14:paraId="5E957627">
            <w:pPr>
              <w:widowControl/>
              <w:snapToGrid w:val="0"/>
              <w:spacing w:line="300" w:lineRule="exact"/>
              <w:jc w:val="left"/>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spacing w:val="-10"/>
                <w:szCs w:val="18"/>
                <w:highlight w:val="none"/>
              </w:rPr>
              <w:t>检查有无肾脏功能受损。</w:t>
            </w:r>
          </w:p>
        </w:tc>
      </w:tr>
      <w:tr w14:paraId="2EC11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1355" w:type="dxa"/>
            <w:vMerge w:val="continue"/>
            <w:noWrap w:val="0"/>
            <w:vAlign w:val="center"/>
          </w:tcPr>
          <w:p w14:paraId="0C0591EA">
            <w:pPr>
              <w:widowControl/>
              <w:snapToGrid w:val="0"/>
              <w:spacing w:line="300" w:lineRule="exact"/>
              <w:jc w:val="center"/>
              <w:rPr>
                <w:rFonts w:hint="eastAsia" w:ascii="仿宋" w:hAnsi="仿宋" w:eastAsia="仿宋" w:cs="仿宋"/>
                <w:color w:val="auto"/>
                <w:kern w:val="0"/>
                <w:sz w:val="21"/>
                <w:szCs w:val="21"/>
                <w:highlight w:val="none"/>
                <w:lang w:val="en-US" w:eastAsia="zh-CN"/>
              </w:rPr>
            </w:pPr>
          </w:p>
        </w:tc>
        <w:tc>
          <w:tcPr>
            <w:tcW w:w="2664" w:type="dxa"/>
            <w:noWrap w:val="0"/>
            <w:vAlign w:val="center"/>
          </w:tcPr>
          <w:p w14:paraId="29AA6472">
            <w:pPr>
              <w:widowControl/>
              <w:snapToGrid w:val="0"/>
              <w:spacing w:line="300" w:lineRule="exact"/>
              <w:jc w:val="both"/>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血脂四项</w:t>
            </w:r>
          </w:p>
        </w:tc>
        <w:tc>
          <w:tcPr>
            <w:tcW w:w="5058" w:type="dxa"/>
            <w:noWrap w:val="0"/>
            <w:vAlign w:val="center"/>
          </w:tcPr>
          <w:p w14:paraId="66143684">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了解目前甘油三酯及总胆固醇的变化情况，</w:t>
            </w:r>
          </w:p>
        </w:tc>
      </w:tr>
      <w:tr w14:paraId="7BE87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355" w:type="dxa"/>
            <w:vMerge w:val="continue"/>
            <w:noWrap w:val="0"/>
            <w:vAlign w:val="center"/>
          </w:tcPr>
          <w:p w14:paraId="4F62A8CE">
            <w:pPr>
              <w:widowControl/>
              <w:snapToGrid w:val="0"/>
              <w:spacing w:line="300" w:lineRule="exact"/>
              <w:jc w:val="center"/>
              <w:rPr>
                <w:rFonts w:hint="eastAsia" w:ascii="仿宋" w:hAnsi="仿宋" w:eastAsia="仿宋" w:cs="仿宋"/>
                <w:color w:val="auto"/>
                <w:kern w:val="0"/>
                <w:sz w:val="21"/>
                <w:szCs w:val="21"/>
                <w:highlight w:val="none"/>
                <w:lang w:val="en-US" w:eastAsia="zh-CN"/>
              </w:rPr>
            </w:pPr>
          </w:p>
        </w:tc>
        <w:tc>
          <w:tcPr>
            <w:tcW w:w="2664" w:type="dxa"/>
            <w:noWrap w:val="0"/>
            <w:vAlign w:val="center"/>
          </w:tcPr>
          <w:p w14:paraId="1E0D5B63">
            <w:pPr>
              <w:widowControl/>
              <w:snapToGrid w:val="0"/>
              <w:spacing w:line="300" w:lineRule="exact"/>
              <w:jc w:val="both"/>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肝功能十项</w:t>
            </w:r>
          </w:p>
        </w:tc>
        <w:tc>
          <w:tcPr>
            <w:tcW w:w="5058" w:type="dxa"/>
            <w:noWrap w:val="0"/>
            <w:vAlign w:val="center"/>
          </w:tcPr>
          <w:p w14:paraId="439B6E35">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了解有无肝功能损害及目前损害的程度及是否影响到肝脏代谢功能。</w:t>
            </w:r>
          </w:p>
        </w:tc>
      </w:tr>
      <w:tr w14:paraId="3EDBC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1355" w:type="dxa"/>
            <w:noWrap w:val="0"/>
            <w:vAlign w:val="center"/>
          </w:tcPr>
          <w:p w14:paraId="0126E1C4">
            <w:pPr>
              <w:widowControl/>
              <w:snapToGrid w:val="0"/>
              <w:spacing w:line="300" w:lineRule="exact"/>
              <w:jc w:val="center"/>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心血管检查</w:t>
            </w:r>
          </w:p>
        </w:tc>
        <w:tc>
          <w:tcPr>
            <w:tcW w:w="2664" w:type="dxa"/>
            <w:noWrap w:val="0"/>
            <w:vAlign w:val="center"/>
          </w:tcPr>
          <w:p w14:paraId="24F63642">
            <w:pPr>
              <w:widowControl/>
              <w:snapToGrid w:val="0"/>
              <w:spacing w:line="300" w:lineRule="exact"/>
              <w:jc w:val="both"/>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血同型半胱氨酸</w:t>
            </w:r>
          </w:p>
        </w:tc>
        <w:tc>
          <w:tcPr>
            <w:tcW w:w="5058" w:type="dxa"/>
            <w:noWrap w:val="0"/>
            <w:vAlign w:val="center"/>
          </w:tcPr>
          <w:p w14:paraId="033AD0C8">
            <w:pPr>
              <w:widowControl/>
              <w:snapToGrid w:val="0"/>
              <w:spacing w:line="300" w:lineRule="exact"/>
              <w:jc w:val="left"/>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判断心脑血管疾病危险因素</w:t>
            </w:r>
          </w:p>
        </w:tc>
      </w:tr>
      <w:tr w14:paraId="58C54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1355" w:type="dxa"/>
            <w:vMerge w:val="restart"/>
            <w:noWrap w:val="0"/>
            <w:vAlign w:val="center"/>
          </w:tcPr>
          <w:p w14:paraId="367A1616">
            <w:pPr>
              <w:widowControl/>
              <w:snapToGrid w:val="0"/>
              <w:spacing w:line="300" w:lineRule="exact"/>
              <w:jc w:val="center"/>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肿瘤筛查</w:t>
            </w:r>
          </w:p>
        </w:tc>
        <w:tc>
          <w:tcPr>
            <w:tcW w:w="2664" w:type="dxa"/>
            <w:noWrap w:val="0"/>
            <w:vAlign w:val="center"/>
          </w:tcPr>
          <w:p w14:paraId="118AF66F">
            <w:pPr>
              <w:widowControl/>
              <w:snapToGrid w:val="0"/>
              <w:spacing w:line="300" w:lineRule="exact"/>
              <w:jc w:val="both"/>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甲胎蛋白（AFP）</w:t>
            </w:r>
          </w:p>
        </w:tc>
        <w:tc>
          <w:tcPr>
            <w:tcW w:w="5058" w:type="dxa"/>
            <w:noWrap w:val="0"/>
            <w:vAlign w:val="center"/>
          </w:tcPr>
          <w:p w14:paraId="6F886A30">
            <w:pPr>
              <w:widowControl/>
              <w:snapToGrid w:val="0"/>
              <w:spacing w:line="300" w:lineRule="exact"/>
              <w:jc w:val="left"/>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原发性肝癌筛查。</w:t>
            </w:r>
          </w:p>
        </w:tc>
      </w:tr>
      <w:tr w14:paraId="25FCF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1355" w:type="dxa"/>
            <w:vMerge w:val="continue"/>
            <w:noWrap w:val="0"/>
            <w:vAlign w:val="center"/>
          </w:tcPr>
          <w:p w14:paraId="0605D7BB">
            <w:pPr>
              <w:widowControl/>
              <w:snapToGrid w:val="0"/>
              <w:spacing w:line="300" w:lineRule="exact"/>
              <w:ind w:firstLine="210" w:firstLineChars="100"/>
              <w:jc w:val="center"/>
              <w:rPr>
                <w:rFonts w:hint="eastAsia" w:ascii="仿宋" w:hAnsi="仿宋" w:eastAsia="仿宋" w:cs="仿宋"/>
                <w:color w:val="auto"/>
                <w:kern w:val="0"/>
                <w:sz w:val="21"/>
                <w:szCs w:val="21"/>
                <w:highlight w:val="none"/>
                <w:lang w:val="en-US" w:eastAsia="zh-CN"/>
              </w:rPr>
            </w:pPr>
          </w:p>
        </w:tc>
        <w:tc>
          <w:tcPr>
            <w:tcW w:w="2664" w:type="dxa"/>
            <w:noWrap w:val="0"/>
            <w:vAlign w:val="center"/>
          </w:tcPr>
          <w:p w14:paraId="31B2B592">
            <w:pPr>
              <w:widowControl/>
              <w:snapToGrid w:val="0"/>
              <w:spacing w:line="300" w:lineRule="exact"/>
              <w:jc w:val="both"/>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癌胚抗原(CEA)</w:t>
            </w:r>
          </w:p>
        </w:tc>
        <w:tc>
          <w:tcPr>
            <w:tcW w:w="5058" w:type="dxa"/>
            <w:noWrap w:val="0"/>
            <w:vAlign w:val="center"/>
          </w:tcPr>
          <w:p w14:paraId="02F581FD">
            <w:pPr>
              <w:widowControl/>
              <w:snapToGrid w:val="0"/>
              <w:spacing w:line="300" w:lineRule="exact"/>
              <w:jc w:val="left"/>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消化系统肿瘤筛查，早期预警或辅助诊断。</w:t>
            </w:r>
          </w:p>
        </w:tc>
      </w:tr>
      <w:tr w14:paraId="06DB5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1355" w:type="dxa"/>
            <w:vMerge w:val="continue"/>
            <w:noWrap w:val="0"/>
            <w:vAlign w:val="center"/>
          </w:tcPr>
          <w:p w14:paraId="54628AE0">
            <w:pPr>
              <w:widowControl/>
              <w:snapToGrid w:val="0"/>
              <w:spacing w:line="300" w:lineRule="exact"/>
              <w:jc w:val="center"/>
              <w:rPr>
                <w:rFonts w:hint="eastAsia" w:ascii="仿宋" w:hAnsi="仿宋" w:eastAsia="仿宋" w:cs="仿宋"/>
                <w:color w:val="auto"/>
                <w:kern w:val="0"/>
                <w:sz w:val="21"/>
                <w:szCs w:val="21"/>
                <w:highlight w:val="none"/>
                <w:lang w:val="en-US" w:eastAsia="zh-CN"/>
              </w:rPr>
            </w:pPr>
          </w:p>
        </w:tc>
        <w:tc>
          <w:tcPr>
            <w:tcW w:w="2664" w:type="dxa"/>
            <w:shd w:val="clear" w:color="auto" w:fill="auto"/>
            <w:noWrap w:val="0"/>
            <w:vAlign w:val="center"/>
          </w:tcPr>
          <w:p w14:paraId="03E202F3">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糖类抗原(CA 125）</w:t>
            </w:r>
          </w:p>
        </w:tc>
        <w:tc>
          <w:tcPr>
            <w:tcW w:w="5058" w:type="dxa"/>
            <w:shd w:val="clear" w:color="auto" w:fill="auto"/>
            <w:noWrap w:val="0"/>
            <w:vAlign w:val="center"/>
          </w:tcPr>
          <w:p w14:paraId="65DFDC88">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妇科及消化道恶性肿瘤如宫颈癌、乳腺癌、胰腺癌、肝癌、胃癌及肺癌等</w:t>
            </w:r>
          </w:p>
        </w:tc>
      </w:tr>
      <w:tr w14:paraId="2B911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1355" w:type="dxa"/>
            <w:noWrap w:val="0"/>
            <w:vAlign w:val="center"/>
          </w:tcPr>
          <w:p w14:paraId="2CF1F66E">
            <w:pPr>
              <w:widowControl/>
              <w:snapToGrid w:val="0"/>
              <w:spacing w:line="300" w:lineRule="exact"/>
              <w:jc w:val="center"/>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核医学检查</w:t>
            </w:r>
          </w:p>
        </w:tc>
        <w:tc>
          <w:tcPr>
            <w:tcW w:w="2664" w:type="dxa"/>
            <w:noWrap w:val="0"/>
            <w:vAlign w:val="center"/>
          </w:tcPr>
          <w:p w14:paraId="3084D7B6">
            <w:pPr>
              <w:widowControl/>
              <w:snapToGrid w:val="0"/>
              <w:spacing w:line="300" w:lineRule="exact"/>
              <w:jc w:val="both"/>
              <w:rPr>
                <w:rFonts w:hint="eastAsia" w:ascii="仿宋" w:hAnsi="仿宋" w:eastAsia="仿宋" w:cs="仿宋"/>
                <w:color w:val="auto"/>
                <w:spacing w:val="-10"/>
                <w:kern w:val="2"/>
                <w:sz w:val="21"/>
                <w:szCs w:val="18"/>
                <w:highlight w:val="none"/>
                <w:lang w:val="en-US" w:eastAsia="zh-CN" w:bidi="ar-SA"/>
              </w:rPr>
            </w:pPr>
            <w:r>
              <w:rPr>
                <w:rFonts w:hint="eastAsia" w:ascii="仿宋" w:hAnsi="仿宋" w:eastAsia="仿宋" w:cs="仿宋"/>
                <w:color w:val="auto"/>
                <w:spacing w:val="-10"/>
                <w:szCs w:val="18"/>
                <w:highlight w:val="none"/>
              </w:rPr>
              <w:t>甲功</w:t>
            </w:r>
            <w:r>
              <w:rPr>
                <w:rFonts w:hint="eastAsia" w:ascii="仿宋" w:hAnsi="仿宋" w:eastAsia="仿宋" w:cs="仿宋"/>
                <w:color w:val="auto"/>
                <w:spacing w:val="-10"/>
                <w:szCs w:val="18"/>
                <w:highlight w:val="none"/>
                <w:lang w:val="en-US" w:eastAsia="zh-CN"/>
              </w:rPr>
              <w:t>三</w:t>
            </w:r>
            <w:r>
              <w:rPr>
                <w:rFonts w:hint="eastAsia" w:ascii="仿宋" w:hAnsi="仿宋" w:eastAsia="仿宋" w:cs="仿宋"/>
                <w:color w:val="auto"/>
                <w:spacing w:val="-10"/>
                <w:szCs w:val="18"/>
                <w:highlight w:val="none"/>
                <w:lang w:eastAsia="zh-CN"/>
              </w:rPr>
              <w:t>项</w:t>
            </w:r>
            <w:r>
              <w:rPr>
                <w:rFonts w:hint="eastAsia" w:ascii="仿宋" w:hAnsi="仿宋" w:eastAsia="仿宋" w:cs="仿宋"/>
                <w:color w:val="auto"/>
                <w:spacing w:val="-10"/>
                <w:szCs w:val="18"/>
                <w:highlight w:val="none"/>
                <w:lang w:val="en-US" w:eastAsia="zh-CN"/>
              </w:rPr>
              <w:t xml:space="preserve"> </w:t>
            </w:r>
          </w:p>
        </w:tc>
        <w:tc>
          <w:tcPr>
            <w:tcW w:w="5058" w:type="dxa"/>
            <w:noWrap w:val="0"/>
            <w:vAlign w:val="center"/>
          </w:tcPr>
          <w:p w14:paraId="1A0F37C2">
            <w:pPr>
              <w:widowControl/>
              <w:snapToGrid w:val="0"/>
              <w:spacing w:line="300" w:lineRule="exact"/>
              <w:jc w:val="left"/>
              <w:rPr>
                <w:rFonts w:hint="eastAsia" w:ascii="仿宋" w:hAnsi="仿宋" w:eastAsia="仿宋" w:cs="仿宋"/>
                <w:color w:val="auto"/>
                <w:spacing w:val="-10"/>
                <w:kern w:val="2"/>
                <w:sz w:val="21"/>
                <w:szCs w:val="18"/>
                <w:highlight w:val="none"/>
                <w:lang w:val="en-US" w:eastAsia="zh-CN" w:bidi="ar-SA"/>
              </w:rPr>
            </w:pPr>
            <w:r>
              <w:rPr>
                <w:rFonts w:hint="eastAsia" w:ascii="仿宋" w:hAnsi="仿宋" w:eastAsia="仿宋" w:cs="仿宋"/>
                <w:color w:val="auto"/>
                <w:spacing w:val="-10"/>
                <w:szCs w:val="18"/>
                <w:highlight w:val="none"/>
              </w:rPr>
              <w:t>了解目前有无甲状腺功能改变（甲亢、甲减等疾病的筛查）。</w:t>
            </w:r>
          </w:p>
        </w:tc>
      </w:tr>
      <w:tr w14:paraId="7153B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1355" w:type="dxa"/>
            <w:noWrap w:val="0"/>
            <w:vAlign w:val="center"/>
          </w:tcPr>
          <w:p w14:paraId="1F52D1A5">
            <w:pPr>
              <w:widowControl/>
              <w:snapToGrid w:val="0"/>
              <w:spacing w:line="300" w:lineRule="exact"/>
              <w:jc w:val="center"/>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影像检查</w:t>
            </w:r>
          </w:p>
        </w:tc>
        <w:tc>
          <w:tcPr>
            <w:tcW w:w="2664" w:type="dxa"/>
            <w:noWrap w:val="0"/>
            <w:vAlign w:val="center"/>
          </w:tcPr>
          <w:p w14:paraId="0061F70A">
            <w:pPr>
              <w:widowControl/>
              <w:snapToGrid w:val="0"/>
              <w:spacing w:line="300" w:lineRule="exact"/>
              <w:jc w:val="both"/>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胸部正侧位DR</w:t>
            </w:r>
          </w:p>
        </w:tc>
        <w:tc>
          <w:tcPr>
            <w:tcW w:w="5058" w:type="dxa"/>
            <w:noWrap w:val="0"/>
            <w:vAlign w:val="center"/>
          </w:tcPr>
          <w:p w14:paraId="11F61ADE">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spacing w:val="-10"/>
                <w:szCs w:val="18"/>
                <w:highlight w:val="none"/>
                <w:lang w:val="en-US" w:eastAsia="zh-CN"/>
              </w:rPr>
              <w:t>了解有无支气管炎、肺炎、肺结核、心脏扩大、等部位的疾病。</w:t>
            </w:r>
          </w:p>
        </w:tc>
      </w:tr>
      <w:tr w14:paraId="2EC36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1355" w:type="dxa"/>
            <w:noWrap w:val="0"/>
            <w:vAlign w:val="center"/>
          </w:tcPr>
          <w:p w14:paraId="5624BFF7">
            <w:pPr>
              <w:widowControl/>
              <w:snapToGrid w:val="0"/>
              <w:spacing w:line="300" w:lineRule="exact"/>
              <w:jc w:val="center"/>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心电图</w:t>
            </w:r>
          </w:p>
        </w:tc>
        <w:tc>
          <w:tcPr>
            <w:tcW w:w="2664" w:type="dxa"/>
            <w:noWrap w:val="0"/>
            <w:vAlign w:val="center"/>
          </w:tcPr>
          <w:p w14:paraId="6573C390">
            <w:pPr>
              <w:widowControl/>
              <w:snapToGrid w:val="0"/>
              <w:spacing w:line="300" w:lineRule="exact"/>
              <w:jc w:val="both"/>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12导联心电图</w:t>
            </w:r>
          </w:p>
        </w:tc>
        <w:tc>
          <w:tcPr>
            <w:tcW w:w="5058" w:type="dxa"/>
            <w:noWrap w:val="0"/>
            <w:vAlign w:val="center"/>
          </w:tcPr>
          <w:p w14:paraId="2F99297E">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了解心律不齐、心肌梗塞、心肌缺血、心率过缓/过速、心室电压增高等心脏疾病。</w:t>
            </w:r>
          </w:p>
        </w:tc>
      </w:tr>
      <w:tr w14:paraId="581F9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trPr>
        <w:tc>
          <w:tcPr>
            <w:tcW w:w="1355" w:type="dxa"/>
            <w:vMerge w:val="restart"/>
            <w:noWrap w:val="0"/>
            <w:vAlign w:val="center"/>
          </w:tcPr>
          <w:p w14:paraId="207FF41E">
            <w:pPr>
              <w:widowControl/>
              <w:snapToGrid w:val="0"/>
              <w:spacing w:line="300" w:lineRule="exact"/>
              <w:jc w:val="center"/>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超声检查</w:t>
            </w:r>
          </w:p>
        </w:tc>
        <w:tc>
          <w:tcPr>
            <w:tcW w:w="2664" w:type="dxa"/>
            <w:noWrap w:val="0"/>
            <w:vAlign w:val="center"/>
          </w:tcPr>
          <w:p w14:paraId="46FC599C">
            <w:pPr>
              <w:widowControl/>
              <w:snapToGrid w:val="0"/>
              <w:spacing w:line="300" w:lineRule="exact"/>
              <w:jc w:val="both"/>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肝、胆、脾、胰、双肾</w:t>
            </w:r>
          </w:p>
        </w:tc>
        <w:tc>
          <w:tcPr>
            <w:tcW w:w="5058" w:type="dxa"/>
            <w:noWrap w:val="0"/>
            <w:vAlign w:val="top"/>
          </w:tcPr>
          <w:p w14:paraId="6FA617A5">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了解肝硬化、肝囊肿、肝癌、肝脓肿、肝血管瘤、肝脂肪、胆囊结石、胆囊息肉、胰腺癌、脾肿大等疾病情况。通过肾了解有否肾结石、肾肿瘤。</w:t>
            </w:r>
          </w:p>
        </w:tc>
      </w:tr>
      <w:tr w14:paraId="42226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1355" w:type="dxa"/>
            <w:vMerge w:val="continue"/>
            <w:noWrap w:val="0"/>
            <w:vAlign w:val="center"/>
          </w:tcPr>
          <w:p w14:paraId="0E4212DA">
            <w:pPr>
              <w:widowControl/>
              <w:snapToGrid w:val="0"/>
              <w:spacing w:line="300" w:lineRule="exact"/>
              <w:jc w:val="center"/>
              <w:rPr>
                <w:rFonts w:hint="eastAsia" w:ascii="仿宋" w:hAnsi="仿宋" w:eastAsia="仿宋" w:cs="仿宋"/>
                <w:color w:val="auto"/>
                <w:kern w:val="0"/>
                <w:sz w:val="21"/>
                <w:szCs w:val="21"/>
                <w:highlight w:val="none"/>
                <w:lang w:val="en-US" w:eastAsia="zh-CN"/>
              </w:rPr>
            </w:pPr>
          </w:p>
        </w:tc>
        <w:tc>
          <w:tcPr>
            <w:tcW w:w="2664" w:type="dxa"/>
            <w:noWrap w:val="0"/>
            <w:vAlign w:val="center"/>
          </w:tcPr>
          <w:p w14:paraId="7F8BB055">
            <w:pPr>
              <w:widowControl/>
              <w:snapToGrid w:val="0"/>
              <w:spacing w:line="300" w:lineRule="exact"/>
              <w:jc w:val="both"/>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乳腺及腋窝淋巴结彩超</w:t>
            </w:r>
          </w:p>
        </w:tc>
        <w:tc>
          <w:tcPr>
            <w:tcW w:w="5058" w:type="dxa"/>
            <w:noWrap w:val="0"/>
            <w:vAlign w:val="center"/>
          </w:tcPr>
          <w:p w14:paraId="4D3DBA6A">
            <w:pPr>
              <w:widowControl/>
              <w:snapToGrid w:val="0"/>
              <w:spacing w:line="300" w:lineRule="exact"/>
              <w:jc w:val="left"/>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排除乳腺增生、乳腺结节、乳腺纤维瘤、乳腺癌等疾病；乳房组织病变诊断；了解腋下淋巴结有无肿大。</w:t>
            </w:r>
          </w:p>
        </w:tc>
      </w:tr>
      <w:tr w14:paraId="282D1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1355" w:type="dxa"/>
            <w:vMerge w:val="continue"/>
            <w:noWrap w:val="0"/>
            <w:vAlign w:val="center"/>
          </w:tcPr>
          <w:p w14:paraId="46A93CA8">
            <w:pPr>
              <w:widowControl/>
              <w:snapToGrid w:val="0"/>
              <w:spacing w:line="300" w:lineRule="exact"/>
              <w:jc w:val="center"/>
              <w:rPr>
                <w:rFonts w:hint="eastAsia" w:ascii="仿宋" w:hAnsi="仿宋" w:eastAsia="仿宋" w:cs="仿宋"/>
                <w:color w:val="auto"/>
                <w:kern w:val="0"/>
                <w:sz w:val="21"/>
                <w:szCs w:val="21"/>
                <w:highlight w:val="none"/>
                <w:lang w:val="en-US" w:eastAsia="zh-CN"/>
              </w:rPr>
            </w:pPr>
          </w:p>
        </w:tc>
        <w:tc>
          <w:tcPr>
            <w:tcW w:w="2664" w:type="dxa"/>
            <w:noWrap w:val="0"/>
            <w:vAlign w:val="center"/>
          </w:tcPr>
          <w:p w14:paraId="77C42E9B">
            <w:pPr>
              <w:widowControl/>
              <w:snapToGrid w:val="0"/>
              <w:spacing w:line="300" w:lineRule="exact"/>
              <w:jc w:val="both"/>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甲状腺及颈部淋巴结彩超</w:t>
            </w:r>
          </w:p>
        </w:tc>
        <w:tc>
          <w:tcPr>
            <w:tcW w:w="5058" w:type="dxa"/>
            <w:noWrap w:val="0"/>
            <w:vAlign w:val="center"/>
          </w:tcPr>
          <w:p w14:paraId="48F3674A">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了解甲状腺及颈部淋巴有无结节、囊肿、良/恶性占位等疾病。</w:t>
            </w:r>
          </w:p>
        </w:tc>
      </w:tr>
      <w:tr w14:paraId="76461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1355" w:type="dxa"/>
            <w:vMerge w:val="continue"/>
            <w:noWrap w:val="0"/>
            <w:vAlign w:val="center"/>
          </w:tcPr>
          <w:p w14:paraId="380B07A0">
            <w:pPr>
              <w:widowControl/>
              <w:snapToGrid w:val="0"/>
              <w:spacing w:line="300" w:lineRule="exact"/>
              <w:jc w:val="center"/>
              <w:rPr>
                <w:rFonts w:hint="eastAsia" w:ascii="仿宋" w:hAnsi="仿宋" w:eastAsia="仿宋" w:cs="仿宋"/>
                <w:color w:val="auto"/>
                <w:kern w:val="0"/>
                <w:sz w:val="21"/>
                <w:szCs w:val="21"/>
                <w:highlight w:val="none"/>
                <w:lang w:val="en-US" w:eastAsia="zh-CN"/>
              </w:rPr>
            </w:pPr>
          </w:p>
        </w:tc>
        <w:tc>
          <w:tcPr>
            <w:tcW w:w="2664" w:type="dxa"/>
            <w:noWrap w:val="0"/>
            <w:vAlign w:val="center"/>
          </w:tcPr>
          <w:p w14:paraId="23F7F342">
            <w:pPr>
              <w:widowControl/>
              <w:snapToGrid w:val="0"/>
              <w:spacing w:line="300" w:lineRule="exact"/>
              <w:jc w:val="both"/>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阴道超声（已婚，不需憋尿）</w:t>
            </w:r>
          </w:p>
        </w:tc>
        <w:tc>
          <w:tcPr>
            <w:tcW w:w="5058" w:type="dxa"/>
            <w:noWrap w:val="0"/>
            <w:vAlign w:val="center"/>
          </w:tcPr>
          <w:p w14:paraId="5863D103">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检查子宫肌瘤，宫颈癌，卵巢肿物、盆腔炎。</w:t>
            </w:r>
          </w:p>
        </w:tc>
      </w:tr>
      <w:tr w14:paraId="1FD58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1355" w:type="dxa"/>
            <w:vMerge w:val="restart"/>
            <w:noWrap w:val="0"/>
            <w:vAlign w:val="center"/>
          </w:tcPr>
          <w:p w14:paraId="491F3F88">
            <w:pPr>
              <w:widowControl/>
              <w:snapToGrid w:val="0"/>
              <w:spacing w:line="300" w:lineRule="exact"/>
              <w:jc w:val="center"/>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妇科检查</w:t>
            </w:r>
          </w:p>
        </w:tc>
        <w:tc>
          <w:tcPr>
            <w:tcW w:w="2664" w:type="dxa"/>
            <w:noWrap w:val="0"/>
            <w:vAlign w:val="center"/>
          </w:tcPr>
          <w:p w14:paraId="6E9E309A">
            <w:pPr>
              <w:widowControl/>
              <w:snapToGrid w:val="0"/>
              <w:spacing w:line="300" w:lineRule="exact"/>
              <w:jc w:val="both"/>
              <w:rPr>
                <w:rFonts w:hint="eastAsia" w:ascii="仿宋" w:hAnsi="仿宋" w:eastAsia="仿宋" w:cs="仿宋"/>
                <w:color w:val="auto"/>
                <w:spacing w:val="-10"/>
                <w:szCs w:val="18"/>
                <w:highlight w:val="none"/>
                <w:lang w:val="en-US" w:eastAsia="zh-CN"/>
              </w:rPr>
            </w:pPr>
            <w:r>
              <w:rPr>
                <w:rFonts w:hint="eastAsia" w:ascii="仿宋" w:hAnsi="仿宋" w:eastAsia="仿宋" w:cs="仿宋"/>
                <w:color w:val="auto"/>
                <w:spacing w:val="-10"/>
                <w:szCs w:val="18"/>
                <w:highlight w:val="none"/>
              </w:rPr>
              <w:t>妇科检查+</w:t>
            </w:r>
            <w:r>
              <w:rPr>
                <w:rFonts w:hint="eastAsia" w:ascii="仿宋" w:hAnsi="仿宋" w:eastAsia="仿宋" w:cs="仿宋"/>
                <w:color w:val="auto"/>
                <w:spacing w:val="-10"/>
                <w:szCs w:val="18"/>
                <w:highlight w:val="none"/>
                <w:lang w:val="en-US" w:eastAsia="zh-CN"/>
              </w:rPr>
              <w:t>白带常规九项</w:t>
            </w:r>
          </w:p>
        </w:tc>
        <w:tc>
          <w:tcPr>
            <w:tcW w:w="5058" w:type="dxa"/>
            <w:noWrap w:val="0"/>
            <w:vAlign w:val="center"/>
          </w:tcPr>
          <w:p w14:paraId="15D28A41">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发现常见妇科疾病的相关征兆，或初步排除妇科常见疾病。</w:t>
            </w:r>
          </w:p>
        </w:tc>
      </w:tr>
      <w:tr w14:paraId="7B087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1355" w:type="dxa"/>
            <w:vMerge w:val="continue"/>
            <w:noWrap w:val="0"/>
            <w:vAlign w:val="center"/>
          </w:tcPr>
          <w:p w14:paraId="23A29E08">
            <w:pPr>
              <w:widowControl/>
              <w:snapToGrid w:val="0"/>
              <w:spacing w:line="300" w:lineRule="exact"/>
              <w:jc w:val="center"/>
              <w:rPr>
                <w:rFonts w:hint="eastAsia" w:ascii="仿宋" w:hAnsi="仿宋" w:eastAsia="仿宋" w:cs="仿宋"/>
                <w:color w:val="auto"/>
                <w:kern w:val="0"/>
                <w:sz w:val="21"/>
                <w:szCs w:val="21"/>
                <w:highlight w:val="none"/>
                <w:lang w:val="en-US" w:eastAsia="zh-CN"/>
              </w:rPr>
            </w:pPr>
          </w:p>
        </w:tc>
        <w:tc>
          <w:tcPr>
            <w:tcW w:w="2664" w:type="dxa"/>
            <w:noWrap w:val="0"/>
            <w:vAlign w:val="center"/>
          </w:tcPr>
          <w:p w14:paraId="7B67519A">
            <w:pPr>
              <w:widowControl/>
              <w:snapToGrid w:val="0"/>
              <w:spacing w:line="300" w:lineRule="exact"/>
              <w:jc w:val="both"/>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spacing w:val="-10"/>
                <w:szCs w:val="18"/>
                <w:highlight w:val="none"/>
              </w:rPr>
              <w:t>液基薄层细胞学检查</w:t>
            </w:r>
          </w:p>
        </w:tc>
        <w:tc>
          <w:tcPr>
            <w:tcW w:w="5058" w:type="dxa"/>
            <w:noWrap w:val="0"/>
            <w:vAlign w:val="center"/>
          </w:tcPr>
          <w:p w14:paraId="399304C4">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筛查宫颈早期病变，同时还能发现部分癌前病变，微生物感染如霉菌、滴虫、病毒等。</w:t>
            </w:r>
          </w:p>
        </w:tc>
      </w:tr>
    </w:tbl>
    <w:p w14:paraId="47175A53">
      <w:pPr>
        <w:rPr>
          <w:rFonts w:hint="eastAsia" w:ascii="仿宋" w:hAnsi="仿宋" w:eastAsia="仿宋" w:cs="仿宋"/>
          <w:b/>
          <w:color w:val="auto"/>
          <w:sz w:val="28"/>
          <w:highlight w:val="none"/>
          <w:lang w:val="en-US" w:eastAsia="zh-CN"/>
        </w:rPr>
      </w:pPr>
    </w:p>
    <w:p w14:paraId="5A44A618">
      <w:pPr>
        <w:rPr>
          <w:rFonts w:hint="eastAsia" w:ascii="仿宋" w:hAnsi="仿宋" w:eastAsia="仿宋" w:cs="仿宋"/>
          <w:b/>
          <w:bCs/>
          <w:color w:val="auto"/>
          <w:sz w:val="24"/>
          <w:szCs w:val="28"/>
          <w:highlight w:val="none"/>
          <w:lang w:val="en-US" w:eastAsia="zh-CN"/>
        </w:rPr>
      </w:pPr>
      <w:r>
        <w:rPr>
          <w:rFonts w:hint="eastAsia" w:ascii="仿宋" w:hAnsi="仿宋" w:eastAsia="仿宋" w:cs="仿宋"/>
          <w:b/>
          <w:bCs/>
          <w:color w:val="auto"/>
          <w:sz w:val="24"/>
          <w:szCs w:val="28"/>
          <w:highlight w:val="none"/>
          <w:lang w:val="en-US" w:eastAsia="zh-CN"/>
        </w:rPr>
        <w:br w:type="page"/>
      </w:r>
    </w:p>
    <w:p w14:paraId="24846FC9">
      <w:pPr>
        <w:tabs>
          <w:tab w:val="left" w:pos="3527"/>
        </w:tabs>
        <w:bidi w:val="0"/>
        <w:jc w:val="center"/>
        <w:outlineLvl w:val="1"/>
        <w:rPr>
          <w:rFonts w:hint="default" w:ascii="仿宋" w:hAnsi="仿宋" w:eastAsia="仿宋" w:cs="仿宋"/>
          <w:b/>
          <w:bCs/>
          <w:color w:val="auto"/>
          <w:sz w:val="24"/>
          <w:szCs w:val="28"/>
          <w:highlight w:val="none"/>
          <w:lang w:val="en-US" w:eastAsia="zh-CN"/>
        </w:rPr>
      </w:pPr>
      <w:bookmarkStart w:id="93" w:name="_Toc4021"/>
      <w:r>
        <w:rPr>
          <w:rFonts w:hint="eastAsia" w:ascii="仿宋" w:hAnsi="仿宋" w:eastAsia="仿宋" w:cs="仿宋"/>
          <w:b/>
          <w:bCs/>
          <w:color w:val="auto"/>
          <w:sz w:val="24"/>
          <w:szCs w:val="28"/>
          <w:highlight w:val="none"/>
          <w:lang w:val="en-US" w:eastAsia="zh-CN"/>
        </w:rPr>
        <w:t>F</w:t>
      </w:r>
      <w:r>
        <w:rPr>
          <w:rFonts w:hint="eastAsia" w:ascii="仿宋" w:hAnsi="仿宋" w:eastAsia="仿宋" w:cs="仿宋"/>
          <w:b/>
          <w:bCs/>
          <w:color w:val="auto"/>
          <w:sz w:val="24"/>
          <w:szCs w:val="28"/>
          <w:highlight w:val="none"/>
        </w:rPr>
        <w:t>、</w:t>
      </w:r>
      <w:r>
        <w:rPr>
          <w:rFonts w:hint="eastAsia" w:ascii="仿宋" w:hAnsi="仿宋" w:eastAsia="仿宋" w:cs="仿宋"/>
          <w:b/>
          <w:bCs/>
          <w:color w:val="auto"/>
          <w:sz w:val="24"/>
          <w:szCs w:val="28"/>
          <w:highlight w:val="none"/>
          <w:lang w:val="en-US" w:eastAsia="zh-CN"/>
        </w:rPr>
        <w:t>41岁及以上已婚女士套餐</w:t>
      </w:r>
      <w:bookmarkEnd w:id="93"/>
    </w:p>
    <w:tbl>
      <w:tblPr>
        <w:tblStyle w:val="40"/>
        <w:tblpPr w:leftFromText="180" w:rightFromText="180" w:vertAnchor="text" w:horzAnchor="page" w:tblpX="1237" w:tblpY="497"/>
        <w:tblOverlap w:val="never"/>
        <w:tblW w:w="88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0"/>
        <w:gridCol w:w="2724"/>
        <w:gridCol w:w="4785"/>
      </w:tblGrid>
      <w:tr w14:paraId="10233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1340" w:type="dxa"/>
            <w:noWrap w:val="0"/>
            <w:vAlign w:val="center"/>
          </w:tcPr>
          <w:p w14:paraId="34A71E1E">
            <w:pPr>
              <w:autoSpaceDN w:val="0"/>
              <w:snapToGrid w:val="0"/>
              <w:spacing w:line="300" w:lineRule="exact"/>
              <w:jc w:val="center"/>
              <w:textAlignment w:val="bottom"/>
              <w:rPr>
                <w:rFonts w:hint="eastAsia" w:ascii="仿宋" w:hAnsi="仿宋" w:eastAsia="仿宋" w:cs="仿宋"/>
                <w:color w:val="auto"/>
                <w:kern w:val="0"/>
                <w:sz w:val="21"/>
                <w:szCs w:val="21"/>
                <w:highlight w:val="none"/>
                <w:lang w:val="en-US" w:eastAsia="zh-CN"/>
              </w:rPr>
            </w:pPr>
            <w:r>
              <w:rPr>
                <w:rFonts w:hint="eastAsia" w:ascii="仿宋" w:hAnsi="仿宋" w:eastAsia="仿宋" w:cs="仿宋"/>
                <w:b/>
                <w:snapToGrid w:val="0"/>
                <w:color w:val="auto"/>
                <w:sz w:val="21"/>
                <w:szCs w:val="21"/>
                <w:highlight w:val="none"/>
              </w:rPr>
              <w:t>项目分类</w:t>
            </w:r>
          </w:p>
        </w:tc>
        <w:tc>
          <w:tcPr>
            <w:tcW w:w="2724" w:type="dxa"/>
            <w:noWrap w:val="0"/>
            <w:vAlign w:val="center"/>
          </w:tcPr>
          <w:p w14:paraId="41E2DF18">
            <w:pPr>
              <w:autoSpaceDN w:val="0"/>
              <w:snapToGrid w:val="0"/>
              <w:spacing w:line="300" w:lineRule="exact"/>
              <w:ind w:left="-334" w:leftChars="-159"/>
              <w:jc w:val="center"/>
              <w:textAlignment w:val="bottom"/>
              <w:rPr>
                <w:rFonts w:hint="eastAsia" w:ascii="仿宋" w:hAnsi="仿宋" w:eastAsia="仿宋" w:cs="仿宋"/>
                <w:color w:val="auto"/>
                <w:kern w:val="0"/>
                <w:sz w:val="21"/>
                <w:szCs w:val="21"/>
                <w:highlight w:val="none"/>
                <w:lang w:val="en-US" w:eastAsia="zh-CN"/>
              </w:rPr>
            </w:pPr>
            <w:r>
              <w:rPr>
                <w:rFonts w:hint="eastAsia" w:ascii="仿宋" w:hAnsi="仿宋" w:eastAsia="仿宋" w:cs="仿宋"/>
                <w:b/>
                <w:snapToGrid w:val="0"/>
                <w:color w:val="auto"/>
                <w:sz w:val="21"/>
                <w:szCs w:val="21"/>
                <w:highlight w:val="none"/>
              </w:rPr>
              <w:t>检查项目</w:t>
            </w:r>
          </w:p>
        </w:tc>
        <w:tc>
          <w:tcPr>
            <w:tcW w:w="4785" w:type="dxa"/>
            <w:noWrap w:val="0"/>
            <w:vAlign w:val="center"/>
          </w:tcPr>
          <w:p w14:paraId="68FEAB87">
            <w:pPr>
              <w:autoSpaceDN w:val="0"/>
              <w:snapToGrid w:val="0"/>
              <w:spacing w:line="300" w:lineRule="exact"/>
              <w:jc w:val="center"/>
              <w:textAlignment w:val="bottom"/>
              <w:rPr>
                <w:rFonts w:hint="eastAsia" w:ascii="仿宋" w:hAnsi="仿宋" w:eastAsia="仿宋" w:cs="仿宋"/>
                <w:color w:val="auto"/>
                <w:kern w:val="0"/>
                <w:sz w:val="21"/>
                <w:szCs w:val="21"/>
                <w:highlight w:val="none"/>
                <w:lang w:val="en-US" w:eastAsia="zh-CN"/>
              </w:rPr>
            </w:pPr>
            <w:r>
              <w:rPr>
                <w:rFonts w:hint="eastAsia" w:ascii="仿宋" w:hAnsi="仿宋" w:eastAsia="仿宋" w:cs="仿宋"/>
                <w:b/>
                <w:snapToGrid w:val="0"/>
                <w:color w:val="auto"/>
                <w:sz w:val="21"/>
                <w:szCs w:val="21"/>
                <w:highlight w:val="none"/>
              </w:rPr>
              <w:t>项目含义</w:t>
            </w:r>
          </w:p>
        </w:tc>
      </w:tr>
      <w:tr w14:paraId="6A84D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trPr>
        <w:tc>
          <w:tcPr>
            <w:tcW w:w="1340" w:type="dxa"/>
            <w:vMerge w:val="restart"/>
            <w:noWrap w:val="0"/>
            <w:vAlign w:val="center"/>
          </w:tcPr>
          <w:p w14:paraId="06F48676">
            <w:pPr>
              <w:widowControl/>
              <w:snapToGrid w:val="0"/>
              <w:spacing w:line="300" w:lineRule="exact"/>
              <w:jc w:val="center"/>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一般检查</w:t>
            </w:r>
          </w:p>
        </w:tc>
        <w:tc>
          <w:tcPr>
            <w:tcW w:w="2724" w:type="dxa"/>
            <w:noWrap w:val="0"/>
            <w:vAlign w:val="center"/>
          </w:tcPr>
          <w:p w14:paraId="50915657">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身高、体重、血压、</w:t>
            </w:r>
          </w:p>
          <w:p w14:paraId="416D042B">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体重指数、臀围、腰围</w:t>
            </w:r>
          </w:p>
        </w:tc>
        <w:tc>
          <w:tcPr>
            <w:tcW w:w="4785" w:type="dxa"/>
            <w:noWrap w:val="0"/>
            <w:vAlign w:val="center"/>
          </w:tcPr>
          <w:p w14:paraId="62EBD9BC">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了解身高、体重、血压、臀围、腰围等基本情况以及是否有体重超标等。</w:t>
            </w:r>
          </w:p>
        </w:tc>
      </w:tr>
      <w:tr w14:paraId="00890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340" w:type="dxa"/>
            <w:vMerge w:val="continue"/>
            <w:noWrap w:val="0"/>
            <w:vAlign w:val="center"/>
          </w:tcPr>
          <w:p w14:paraId="6DAE30FB">
            <w:pPr>
              <w:widowControl/>
              <w:snapToGrid w:val="0"/>
              <w:spacing w:line="300" w:lineRule="exact"/>
              <w:jc w:val="center"/>
              <w:rPr>
                <w:rFonts w:hint="eastAsia" w:ascii="仿宋" w:hAnsi="仿宋" w:eastAsia="仿宋" w:cs="仿宋"/>
                <w:color w:val="auto"/>
                <w:kern w:val="0"/>
                <w:sz w:val="21"/>
                <w:szCs w:val="21"/>
                <w:highlight w:val="none"/>
                <w:lang w:val="en-US" w:eastAsia="zh-CN"/>
              </w:rPr>
            </w:pPr>
          </w:p>
        </w:tc>
        <w:tc>
          <w:tcPr>
            <w:tcW w:w="2724" w:type="dxa"/>
            <w:noWrap w:val="0"/>
            <w:vAlign w:val="center"/>
          </w:tcPr>
          <w:p w14:paraId="5FBD70E9">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体检问卷</w:t>
            </w:r>
          </w:p>
        </w:tc>
        <w:tc>
          <w:tcPr>
            <w:tcW w:w="4785" w:type="dxa"/>
            <w:noWrap w:val="0"/>
            <w:vAlign w:val="center"/>
          </w:tcPr>
          <w:p w14:paraId="240E63FD">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了解生活方式、个人史、家族史、健康体检史等</w:t>
            </w:r>
          </w:p>
        </w:tc>
      </w:tr>
      <w:tr w14:paraId="39E77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1340" w:type="dxa"/>
            <w:vMerge w:val="restart"/>
            <w:noWrap w:val="0"/>
            <w:vAlign w:val="center"/>
          </w:tcPr>
          <w:p w14:paraId="33C707E7">
            <w:pPr>
              <w:widowControl/>
              <w:snapToGrid w:val="0"/>
              <w:spacing w:line="300" w:lineRule="exact"/>
              <w:jc w:val="center"/>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眼科</w:t>
            </w:r>
          </w:p>
        </w:tc>
        <w:tc>
          <w:tcPr>
            <w:tcW w:w="2724" w:type="dxa"/>
            <w:noWrap w:val="0"/>
            <w:vAlign w:val="center"/>
          </w:tcPr>
          <w:p w14:paraId="3AACEC5C">
            <w:pPr>
              <w:keepNext w:val="0"/>
              <w:keepLines w:val="0"/>
              <w:widowControl/>
              <w:suppressLineNumbers w:val="0"/>
              <w:jc w:val="left"/>
              <w:textAlignment w:val="center"/>
              <w:rPr>
                <w:rFonts w:hint="eastAsia" w:ascii="仿宋" w:hAnsi="仿宋" w:eastAsia="仿宋" w:cs="仿宋"/>
                <w:color w:val="auto"/>
                <w:kern w:val="0"/>
                <w:sz w:val="21"/>
                <w:szCs w:val="21"/>
                <w:highlight w:val="none"/>
                <w:lang w:val="en-US" w:eastAsia="zh-CN"/>
              </w:rPr>
            </w:pPr>
            <w:r>
              <w:rPr>
                <w:rFonts w:hint="eastAsia" w:ascii="仿宋" w:hAnsi="仿宋" w:eastAsia="仿宋" w:cs="仿宋"/>
                <w:i w:val="0"/>
                <w:iCs w:val="0"/>
                <w:color w:val="auto"/>
                <w:kern w:val="0"/>
                <w:sz w:val="20"/>
                <w:szCs w:val="20"/>
                <w:highlight w:val="none"/>
                <w:u w:val="none"/>
                <w:lang w:val="en-US" w:eastAsia="zh-CN" w:bidi="ar"/>
              </w:rPr>
              <w:t>眼科</w:t>
            </w:r>
          </w:p>
        </w:tc>
        <w:tc>
          <w:tcPr>
            <w:tcW w:w="4785" w:type="dxa"/>
            <w:noWrap w:val="0"/>
            <w:vAlign w:val="center"/>
          </w:tcPr>
          <w:p w14:paraId="04333C37">
            <w:pPr>
              <w:keepNext w:val="0"/>
              <w:keepLines w:val="0"/>
              <w:widowControl/>
              <w:suppressLineNumbers w:val="0"/>
              <w:jc w:val="left"/>
              <w:textAlignment w:val="center"/>
              <w:rPr>
                <w:rFonts w:hint="eastAsia" w:ascii="仿宋" w:hAnsi="仿宋" w:eastAsia="仿宋" w:cs="仿宋"/>
                <w:color w:val="auto"/>
                <w:kern w:val="0"/>
                <w:sz w:val="21"/>
                <w:szCs w:val="21"/>
                <w:highlight w:val="none"/>
                <w:lang w:val="en-US" w:eastAsia="zh-CN"/>
              </w:rPr>
            </w:pPr>
            <w:r>
              <w:rPr>
                <w:rFonts w:hint="eastAsia" w:ascii="仿宋" w:hAnsi="仿宋" w:eastAsia="仿宋" w:cs="仿宋"/>
                <w:i w:val="0"/>
                <w:iCs w:val="0"/>
                <w:color w:val="auto"/>
                <w:kern w:val="0"/>
                <w:sz w:val="20"/>
                <w:szCs w:val="20"/>
                <w:highlight w:val="none"/>
                <w:u w:val="none"/>
                <w:lang w:val="en-US" w:eastAsia="zh-CN" w:bidi="ar"/>
              </w:rPr>
              <w:t>视力、辨色力等。</w:t>
            </w:r>
          </w:p>
        </w:tc>
      </w:tr>
      <w:tr w14:paraId="62971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1340" w:type="dxa"/>
            <w:vMerge w:val="continue"/>
            <w:noWrap w:val="0"/>
            <w:vAlign w:val="center"/>
          </w:tcPr>
          <w:p w14:paraId="38D68A90">
            <w:pPr>
              <w:widowControl/>
              <w:snapToGrid w:val="0"/>
              <w:spacing w:line="300" w:lineRule="exact"/>
              <w:jc w:val="center"/>
              <w:rPr>
                <w:rFonts w:hint="eastAsia" w:ascii="仿宋" w:hAnsi="仿宋" w:eastAsia="仿宋" w:cs="仿宋"/>
                <w:color w:val="auto"/>
                <w:kern w:val="0"/>
                <w:sz w:val="21"/>
                <w:szCs w:val="21"/>
                <w:highlight w:val="none"/>
                <w:lang w:val="en-US" w:eastAsia="zh-CN"/>
              </w:rPr>
            </w:pPr>
          </w:p>
        </w:tc>
        <w:tc>
          <w:tcPr>
            <w:tcW w:w="2724" w:type="dxa"/>
            <w:noWrap w:val="0"/>
            <w:vAlign w:val="center"/>
          </w:tcPr>
          <w:p w14:paraId="09157524">
            <w:pPr>
              <w:keepNext w:val="0"/>
              <w:keepLines w:val="0"/>
              <w:widowControl/>
              <w:suppressLineNumbers w:val="0"/>
              <w:jc w:val="left"/>
              <w:textAlignment w:val="center"/>
              <w:rPr>
                <w:rFonts w:hint="eastAsia" w:ascii="仿宋" w:hAnsi="仿宋" w:eastAsia="仿宋" w:cs="仿宋"/>
                <w:color w:val="auto"/>
                <w:kern w:val="0"/>
                <w:sz w:val="21"/>
                <w:szCs w:val="21"/>
                <w:highlight w:val="none"/>
                <w:lang w:val="en-US" w:eastAsia="zh-CN"/>
              </w:rPr>
            </w:pPr>
            <w:r>
              <w:rPr>
                <w:rFonts w:hint="eastAsia" w:ascii="仿宋" w:hAnsi="仿宋" w:eastAsia="仿宋" w:cs="仿宋"/>
                <w:i w:val="0"/>
                <w:iCs w:val="0"/>
                <w:color w:val="auto"/>
                <w:kern w:val="0"/>
                <w:sz w:val="20"/>
                <w:szCs w:val="20"/>
                <w:highlight w:val="none"/>
                <w:u w:val="none"/>
                <w:lang w:val="en-US" w:eastAsia="zh-CN" w:bidi="ar"/>
              </w:rPr>
              <w:t>眼压检查(非接触眼压计法)</w:t>
            </w:r>
          </w:p>
        </w:tc>
        <w:tc>
          <w:tcPr>
            <w:tcW w:w="4785" w:type="dxa"/>
            <w:noWrap w:val="0"/>
            <w:vAlign w:val="center"/>
          </w:tcPr>
          <w:p w14:paraId="18C906BC">
            <w:pPr>
              <w:keepNext w:val="0"/>
              <w:keepLines w:val="0"/>
              <w:widowControl/>
              <w:suppressLineNumbers w:val="0"/>
              <w:jc w:val="left"/>
              <w:textAlignment w:val="center"/>
              <w:rPr>
                <w:rFonts w:hint="eastAsia" w:ascii="仿宋" w:hAnsi="仿宋" w:eastAsia="仿宋" w:cs="仿宋"/>
                <w:color w:val="auto"/>
                <w:kern w:val="0"/>
                <w:sz w:val="21"/>
                <w:szCs w:val="21"/>
                <w:highlight w:val="none"/>
                <w:lang w:val="en-US" w:eastAsia="zh-CN"/>
              </w:rPr>
            </w:pPr>
            <w:r>
              <w:rPr>
                <w:rFonts w:hint="eastAsia" w:ascii="仿宋" w:hAnsi="仿宋" w:eastAsia="仿宋" w:cs="仿宋"/>
                <w:i w:val="0"/>
                <w:iCs w:val="0"/>
                <w:color w:val="auto"/>
                <w:kern w:val="0"/>
                <w:sz w:val="20"/>
                <w:szCs w:val="20"/>
                <w:highlight w:val="none"/>
                <w:u w:val="none"/>
                <w:lang w:val="en-US" w:eastAsia="zh-CN" w:bidi="ar"/>
              </w:rPr>
              <w:t>检测眼压，早期发现青光眼等。</w:t>
            </w:r>
          </w:p>
        </w:tc>
      </w:tr>
      <w:tr w14:paraId="7764A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1340" w:type="dxa"/>
            <w:noWrap w:val="0"/>
            <w:vAlign w:val="center"/>
          </w:tcPr>
          <w:p w14:paraId="36AC719A">
            <w:pPr>
              <w:widowControl/>
              <w:snapToGrid w:val="0"/>
              <w:spacing w:line="300" w:lineRule="exact"/>
              <w:jc w:val="center"/>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常规检查</w:t>
            </w:r>
          </w:p>
        </w:tc>
        <w:tc>
          <w:tcPr>
            <w:tcW w:w="2724" w:type="dxa"/>
            <w:noWrap w:val="0"/>
            <w:vAlign w:val="center"/>
          </w:tcPr>
          <w:p w14:paraId="7A24954B">
            <w:pPr>
              <w:widowControl/>
              <w:snapToGrid w:val="0"/>
              <w:spacing w:line="300" w:lineRule="exact"/>
              <w:jc w:val="left"/>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尿常规</w:t>
            </w:r>
          </w:p>
        </w:tc>
        <w:tc>
          <w:tcPr>
            <w:tcW w:w="4785" w:type="dxa"/>
            <w:noWrap w:val="0"/>
            <w:vAlign w:val="center"/>
          </w:tcPr>
          <w:p w14:paraId="1FEC34BB">
            <w:pPr>
              <w:widowControl/>
              <w:snapToGrid w:val="0"/>
              <w:spacing w:line="300" w:lineRule="exact"/>
              <w:jc w:val="left"/>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尿常规13项检查，了解有否尿道感染、肾炎或血尿，以便排除一些疾病引起的肾脏功能改变。</w:t>
            </w:r>
          </w:p>
        </w:tc>
      </w:tr>
      <w:tr w14:paraId="13763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1340" w:type="dxa"/>
            <w:vMerge w:val="restart"/>
            <w:noWrap w:val="0"/>
            <w:vAlign w:val="center"/>
          </w:tcPr>
          <w:p w14:paraId="66449219">
            <w:pPr>
              <w:widowControl/>
              <w:snapToGrid w:val="0"/>
              <w:spacing w:line="300" w:lineRule="exact"/>
              <w:jc w:val="center"/>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血液检查</w:t>
            </w:r>
          </w:p>
        </w:tc>
        <w:tc>
          <w:tcPr>
            <w:tcW w:w="2724" w:type="dxa"/>
            <w:noWrap w:val="0"/>
            <w:vAlign w:val="center"/>
          </w:tcPr>
          <w:p w14:paraId="796E6074">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血常规</w:t>
            </w:r>
          </w:p>
        </w:tc>
        <w:tc>
          <w:tcPr>
            <w:tcW w:w="4785" w:type="dxa"/>
            <w:noWrap w:val="0"/>
            <w:vAlign w:val="center"/>
          </w:tcPr>
          <w:p w14:paraId="6397C6B1">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了解病毒或细菌感染，如面色苍白或皮下出血点应及时查一次，以便及早发现血液系统疾病。</w:t>
            </w:r>
          </w:p>
        </w:tc>
      </w:tr>
      <w:tr w14:paraId="6B4BE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1340" w:type="dxa"/>
            <w:vMerge w:val="continue"/>
            <w:noWrap w:val="0"/>
            <w:vAlign w:val="center"/>
          </w:tcPr>
          <w:p w14:paraId="091E594F">
            <w:pPr>
              <w:widowControl/>
              <w:snapToGrid w:val="0"/>
              <w:spacing w:line="300" w:lineRule="exact"/>
              <w:jc w:val="center"/>
              <w:rPr>
                <w:rFonts w:hint="eastAsia" w:ascii="仿宋" w:hAnsi="仿宋" w:eastAsia="仿宋" w:cs="仿宋"/>
                <w:color w:val="auto"/>
                <w:kern w:val="0"/>
                <w:sz w:val="21"/>
                <w:szCs w:val="21"/>
                <w:highlight w:val="none"/>
                <w:lang w:val="en-US" w:eastAsia="zh-CN"/>
              </w:rPr>
            </w:pPr>
          </w:p>
        </w:tc>
        <w:tc>
          <w:tcPr>
            <w:tcW w:w="2724" w:type="dxa"/>
            <w:noWrap w:val="0"/>
            <w:vAlign w:val="center"/>
          </w:tcPr>
          <w:p w14:paraId="540FC7AB">
            <w:pPr>
              <w:widowControl/>
              <w:snapToGrid w:val="0"/>
              <w:spacing w:line="300" w:lineRule="exact"/>
              <w:jc w:val="left"/>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空腹血糖</w:t>
            </w:r>
          </w:p>
        </w:tc>
        <w:tc>
          <w:tcPr>
            <w:tcW w:w="4785" w:type="dxa"/>
            <w:noWrap w:val="0"/>
            <w:vAlign w:val="center"/>
          </w:tcPr>
          <w:p w14:paraId="2AA3CFD4">
            <w:pPr>
              <w:widowControl/>
              <w:snapToGrid w:val="0"/>
              <w:spacing w:line="300" w:lineRule="exact"/>
              <w:jc w:val="left"/>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检查有无糖尿病及是否低血糖，是筛查糖尿病的基本方法</w:t>
            </w:r>
          </w:p>
        </w:tc>
      </w:tr>
      <w:tr w14:paraId="5B890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1340" w:type="dxa"/>
            <w:vMerge w:val="continue"/>
            <w:noWrap w:val="0"/>
            <w:vAlign w:val="center"/>
          </w:tcPr>
          <w:p w14:paraId="4D400900">
            <w:pPr>
              <w:widowControl/>
              <w:snapToGrid w:val="0"/>
              <w:spacing w:line="300" w:lineRule="exact"/>
              <w:jc w:val="center"/>
              <w:rPr>
                <w:rFonts w:hint="eastAsia" w:ascii="仿宋" w:hAnsi="仿宋" w:eastAsia="仿宋" w:cs="仿宋"/>
                <w:color w:val="auto"/>
                <w:kern w:val="0"/>
                <w:sz w:val="21"/>
                <w:szCs w:val="21"/>
                <w:highlight w:val="none"/>
                <w:lang w:val="en-US" w:eastAsia="zh-CN"/>
              </w:rPr>
            </w:pPr>
          </w:p>
        </w:tc>
        <w:tc>
          <w:tcPr>
            <w:tcW w:w="2724" w:type="dxa"/>
            <w:noWrap w:val="0"/>
            <w:vAlign w:val="center"/>
          </w:tcPr>
          <w:p w14:paraId="1C837988">
            <w:pPr>
              <w:widowControl/>
              <w:snapToGrid w:val="0"/>
              <w:spacing w:line="300" w:lineRule="exact"/>
              <w:jc w:val="left"/>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肾功组合</w:t>
            </w:r>
          </w:p>
        </w:tc>
        <w:tc>
          <w:tcPr>
            <w:tcW w:w="4785" w:type="dxa"/>
            <w:noWrap w:val="0"/>
            <w:vAlign w:val="center"/>
          </w:tcPr>
          <w:p w14:paraId="2308BBE1">
            <w:pPr>
              <w:widowControl/>
              <w:snapToGrid w:val="0"/>
              <w:spacing w:line="300" w:lineRule="exact"/>
              <w:jc w:val="left"/>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spacing w:val="-10"/>
                <w:szCs w:val="18"/>
                <w:highlight w:val="none"/>
              </w:rPr>
              <w:t>检查有无肾脏功能受损。</w:t>
            </w:r>
          </w:p>
        </w:tc>
      </w:tr>
      <w:tr w14:paraId="49B45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trPr>
        <w:tc>
          <w:tcPr>
            <w:tcW w:w="1340" w:type="dxa"/>
            <w:vMerge w:val="continue"/>
            <w:noWrap w:val="0"/>
            <w:vAlign w:val="center"/>
          </w:tcPr>
          <w:p w14:paraId="04F9B533">
            <w:pPr>
              <w:widowControl/>
              <w:snapToGrid w:val="0"/>
              <w:spacing w:line="300" w:lineRule="exact"/>
              <w:jc w:val="center"/>
              <w:rPr>
                <w:rFonts w:hint="eastAsia" w:ascii="仿宋" w:hAnsi="仿宋" w:eastAsia="仿宋" w:cs="仿宋"/>
                <w:color w:val="auto"/>
                <w:kern w:val="0"/>
                <w:sz w:val="21"/>
                <w:szCs w:val="21"/>
                <w:highlight w:val="none"/>
                <w:lang w:val="en-US" w:eastAsia="zh-CN"/>
              </w:rPr>
            </w:pPr>
          </w:p>
        </w:tc>
        <w:tc>
          <w:tcPr>
            <w:tcW w:w="2724" w:type="dxa"/>
            <w:noWrap w:val="0"/>
            <w:vAlign w:val="center"/>
          </w:tcPr>
          <w:p w14:paraId="16D750E4">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血脂四项</w:t>
            </w:r>
          </w:p>
        </w:tc>
        <w:tc>
          <w:tcPr>
            <w:tcW w:w="4785" w:type="dxa"/>
            <w:noWrap w:val="0"/>
            <w:vAlign w:val="center"/>
          </w:tcPr>
          <w:p w14:paraId="551FF802">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了解目前甘油三酯及总胆固醇的变化情况，</w:t>
            </w:r>
          </w:p>
        </w:tc>
      </w:tr>
      <w:tr w14:paraId="35668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340" w:type="dxa"/>
            <w:vMerge w:val="continue"/>
            <w:noWrap w:val="0"/>
            <w:vAlign w:val="center"/>
          </w:tcPr>
          <w:p w14:paraId="273E7E1F">
            <w:pPr>
              <w:widowControl/>
              <w:snapToGrid w:val="0"/>
              <w:spacing w:line="300" w:lineRule="exact"/>
              <w:jc w:val="center"/>
              <w:rPr>
                <w:rFonts w:hint="eastAsia" w:ascii="仿宋" w:hAnsi="仿宋" w:eastAsia="仿宋" w:cs="仿宋"/>
                <w:color w:val="auto"/>
                <w:kern w:val="0"/>
                <w:sz w:val="21"/>
                <w:szCs w:val="21"/>
                <w:highlight w:val="none"/>
                <w:lang w:val="en-US" w:eastAsia="zh-CN"/>
              </w:rPr>
            </w:pPr>
          </w:p>
        </w:tc>
        <w:tc>
          <w:tcPr>
            <w:tcW w:w="2724" w:type="dxa"/>
            <w:noWrap w:val="0"/>
            <w:vAlign w:val="center"/>
          </w:tcPr>
          <w:p w14:paraId="03C64D0E">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肝功能十项</w:t>
            </w:r>
          </w:p>
        </w:tc>
        <w:tc>
          <w:tcPr>
            <w:tcW w:w="4785" w:type="dxa"/>
            <w:noWrap w:val="0"/>
            <w:vAlign w:val="center"/>
          </w:tcPr>
          <w:p w14:paraId="428D7241">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了解有无肝功能损害及目前损害的程度及是否影响到肝脏代谢功能。</w:t>
            </w:r>
          </w:p>
        </w:tc>
      </w:tr>
      <w:tr w14:paraId="3E1AB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trPr>
        <w:tc>
          <w:tcPr>
            <w:tcW w:w="1340" w:type="dxa"/>
            <w:vMerge w:val="continue"/>
            <w:noWrap w:val="0"/>
            <w:vAlign w:val="center"/>
          </w:tcPr>
          <w:p w14:paraId="4963D7D7">
            <w:pPr>
              <w:widowControl/>
              <w:snapToGrid w:val="0"/>
              <w:spacing w:line="300" w:lineRule="exact"/>
              <w:jc w:val="center"/>
              <w:rPr>
                <w:rFonts w:hint="eastAsia" w:ascii="仿宋" w:hAnsi="仿宋" w:eastAsia="仿宋" w:cs="仿宋"/>
                <w:color w:val="auto"/>
                <w:kern w:val="0"/>
                <w:sz w:val="21"/>
                <w:szCs w:val="21"/>
                <w:highlight w:val="none"/>
                <w:lang w:val="en-US" w:eastAsia="zh-CN"/>
              </w:rPr>
            </w:pPr>
          </w:p>
        </w:tc>
        <w:tc>
          <w:tcPr>
            <w:tcW w:w="2724" w:type="dxa"/>
            <w:noWrap w:val="0"/>
            <w:vAlign w:val="center"/>
          </w:tcPr>
          <w:p w14:paraId="67DAB283">
            <w:pPr>
              <w:widowControl/>
              <w:snapToGrid w:val="0"/>
              <w:spacing w:line="300" w:lineRule="exact"/>
              <w:jc w:val="left"/>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维生素检测</w:t>
            </w:r>
          </w:p>
        </w:tc>
        <w:tc>
          <w:tcPr>
            <w:tcW w:w="4785" w:type="dxa"/>
            <w:noWrap w:val="0"/>
            <w:vAlign w:val="center"/>
          </w:tcPr>
          <w:p w14:paraId="6CADBEB1">
            <w:pPr>
              <w:widowControl/>
              <w:snapToGrid w:val="0"/>
              <w:spacing w:line="300" w:lineRule="exact"/>
              <w:jc w:val="left"/>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25羟维生素D测定，了解维生素D水平。</w:t>
            </w:r>
          </w:p>
        </w:tc>
      </w:tr>
      <w:tr w14:paraId="128E3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1340" w:type="dxa"/>
            <w:noWrap w:val="0"/>
            <w:vAlign w:val="center"/>
          </w:tcPr>
          <w:p w14:paraId="73C5D5DB">
            <w:pPr>
              <w:widowControl/>
              <w:snapToGrid w:val="0"/>
              <w:spacing w:line="300" w:lineRule="exact"/>
              <w:jc w:val="center"/>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心血管检查</w:t>
            </w:r>
          </w:p>
        </w:tc>
        <w:tc>
          <w:tcPr>
            <w:tcW w:w="2724" w:type="dxa"/>
            <w:noWrap w:val="0"/>
            <w:vAlign w:val="center"/>
          </w:tcPr>
          <w:p w14:paraId="260ACC60">
            <w:pPr>
              <w:widowControl/>
              <w:snapToGrid w:val="0"/>
              <w:spacing w:line="300" w:lineRule="exact"/>
              <w:jc w:val="left"/>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血同型半胱氨酸</w:t>
            </w:r>
          </w:p>
        </w:tc>
        <w:tc>
          <w:tcPr>
            <w:tcW w:w="4785" w:type="dxa"/>
            <w:noWrap w:val="0"/>
            <w:vAlign w:val="center"/>
          </w:tcPr>
          <w:p w14:paraId="653FA946">
            <w:pPr>
              <w:widowControl/>
              <w:snapToGrid w:val="0"/>
              <w:spacing w:line="300" w:lineRule="exact"/>
              <w:jc w:val="left"/>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判断心脑血管疾病危险因素</w:t>
            </w:r>
          </w:p>
        </w:tc>
      </w:tr>
      <w:tr w14:paraId="55723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trPr>
        <w:tc>
          <w:tcPr>
            <w:tcW w:w="1340" w:type="dxa"/>
            <w:vMerge w:val="restart"/>
            <w:noWrap w:val="0"/>
            <w:vAlign w:val="center"/>
          </w:tcPr>
          <w:p w14:paraId="3C7E17BB">
            <w:pPr>
              <w:widowControl/>
              <w:snapToGrid w:val="0"/>
              <w:spacing w:line="300" w:lineRule="exact"/>
              <w:jc w:val="both"/>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核医学检查</w:t>
            </w:r>
          </w:p>
        </w:tc>
        <w:tc>
          <w:tcPr>
            <w:tcW w:w="2724" w:type="dxa"/>
            <w:noWrap w:val="0"/>
            <w:vAlign w:val="center"/>
          </w:tcPr>
          <w:p w14:paraId="4E02A7BE">
            <w:pPr>
              <w:widowControl/>
              <w:snapToGrid w:val="0"/>
              <w:spacing w:line="300" w:lineRule="exact"/>
              <w:jc w:val="left"/>
              <w:rPr>
                <w:rFonts w:hint="eastAsia" w:ascii="仿宋" w:hAnsi="仿宋" w:eastAsia="仿宋" w:cs="仿宋"/>
                <w:color w:val="auto"/>
                <w:spacing w:val="-10"/>
                <w:szCs w:val="18"/>
                <w:highlight w:val="none"/>
              </w:rPr>
            </w:pPr>
            <w:r>
              <w:rPr>
                <w:rFonts w:hint="eastAsia" w:ascii="仿宋" w:hAnsi="仿宋" w:eastAsia="仿宋" w:cs="仿宋"/>
                <w:color w:val="auto"/>
                <w:kern w:val="0"/>
                <w:sz w:val="21"/>
                <w:szCs w:val="21"/>
                <w:highlight w:val="none"/>
                <w:lang w:val="en-US" w:eastAsia="zh-CN"/>
              </w:rPr>
              <w:t>甲胎蛋白（AFP）</w:t>
            </w:r>
          </w:p>
        </w:tc>
        <w:tc>
          <w:tcPr>
            <w:tcW w:w="4785" w:type="dxa"/>
            <w:noWrap w:val="0"/>
            <w:vAlign w:val="center"/>
          </w:tcPr>
          <w:p w14:paraId="78941517">
            <w:pPr>
              <w:widowControl/>
              <w:snapToGrid w:val="0"/>
              <w:spacing w:line="300" w:lineRule="exact"/>
              <w:jc w:val="left"/>
              <w:rPr>
                <w:rFonts w:hint="eastAsia" w:ascii="仿宋" w:hAnsi="仿宋" w:eastAsia="仿宋" w:cs="仿宋"/>
                <w:color w:val="auto"/>
                <w:spacing w:val="-10"/>
                <w:szCs w:val="18"/>
                <w:highlight w:val="none"/>
              </w:rPr>
            </w:pPr>
            <w:r>
              <w:rPr>
                <w:rFonts w:hint="eastAsia" w:ascii="仿宋" w:hAnsi="仿宋" w:eastAsia="仿宋" w:cs="仿宋"/>
                <w:color w:val="auto"/>
                <w:kern w:val="0"/>
                <w:sz w:val="21"/>
                <w:szCs w:val="21"/>
                <w:highlight w:val="none"/>
                <w:lang w:val="en-US" w:eastAsia="zh-CN"/>
              </w:rPr>
              <w:t>原发性肝癌筛查。</w:t>
            </w:r>
          </w:p>
        </w:tc>
      </w:tr>
      <w:tr w14:paraId="07858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1340" w:type="dxa"/>
            <w:vMerge w:val="continue"/>
            <w:noWrap w:val="0"/>
            <w:vAlign w:val="center"/>
          </w:tcPr>
          <w:p w14:paraId="13D93042">
            <w:pPr>
              <w:widowControl/>
              <w:snapToGrid w:val="0"/>
              <w:spacing w:line="300" w:lineRule="exact"/>
              <w:ind w:firstLine="210" w:firstLineChars="100"/>
              <w:jc w:val="both"/>
              <w:rPr>
                <w:rFonts w:hint="eastAsia" w:ascii="仿宋" w:hAnsi="仿宋" w:eastAsia="仿宋" w:cs="仿宋"/>
                <w:color w:val="auto"/>
                <w:kern w:val="0"/>
                <w:sz w:val="21"/>
                <w:szCs w:val="21"/>
                <w:highlight w:val="none"/>
                <w:lang w:val="en-US" w:eastAsia="zh-CN"/>
              </w:rPr>
            </w:pPr>
          </w:p>
        </w:tc>
        <w:tc>
          <w:tcPr>
            <w:tcW w:w="2724" w:type="dxa"/>
            <w:noWrap w:val="0"/>
            <w:vAlign w:val="center"/>
          </w:tcPr>
          <w:p w14:paraId="7B6A2F02">
            <w:pPr>
              <w:widowControl/>
              <w:snapToGrid w:val="0"/>
              <w:spacing w:line="300" w:lineRule="exact"/>
              <w:jc w:val="left"/>
              <w:rPr>
                <w:rFonts w:hint="eastAsia" w:ascii="仿宋" w:hAnsi="仿宋" w:eastAsia="仿宋" w:cs="仿宋"/>
                <w:color w:val="auto"/>
                <w:spacing w:val="-10"/>
                <w:szCs w:val="18"/>
                <w:highlight w:val="none"/>
              </w:rPr>
            </w:pPr>
            <w:r>
              <w:rPr>
                <w:rFonts w:hint="eastAsia" w:ascii="仿宋" w:hAnsi="仿宋" w:eastAsia="仿宋" w:cs="仿宋"/>
                <w:color w:val="auto"/>
                <w:kern w:val="0"/>
                <w:sz w:val="21"/>
                <w:szCs w:val="21"/>
                <w:highlight w:val="none"/>
                <w:lang w:val="en-US" w:eastAsia="zh-CN"/>
              </w:rPr>
              <w:t>癌胚抗原测定(CEA)</w:t>
            </w:r>
          </w:p>
        </w:tc>
        <w:tc>
          <w:tcPr>
            <w:tcW w:w="4785" w:type="dxa"/>
            <w:noWrap w:val="0"/>
            <w:vAlign w:val="center"/>
          </w:tcPr>
          <w:p w14:paraId="14F22837">
            <w:pPr>
              <w:widowControl/>
              <w:snapToGrid w:val="0"/>
              <w:spacing w:line="300" w:lineRule="exact"/>
              <w:jc w:val="left"/>
              <w:rPr>
                <w:rFonts w:hint="eastAsia" w:ascii="仿宋" w:hAnsi="仿宋" w:eastAsia="仿宋" w:cs="仿宋"/>
                <w:color w:val="auto"/>
                <w:spacing w:val="-10"/>
                <w:szCs w:val="18"/>
                <w:highlight w:val="none"/>
              </w:rPr>
            </w:pPr>
            <w:r>
              <w:rPr>
                <w:rFonts w:hint="eastAsia" w:ascii="仿宋" w:hAnsi="仿宋" w:eastAsia="仿宋" w:cs="仿宋"/>
                <w:color w:val="auto"/>
                <w:kern w:val="0"/>
                <w:sz w:val="21"/>
                <w:szCs w:val="21"/>
                <w:highlight w:val="none"/>
                <w:lang w:val="en-US" w:eastAsia="zh-CN"/>
              </w:rPr>
              <w:t>主要用于结肠直肠癌、胃癌、胰癌、肝细胞癌、肺癌、乳癌以及甲状腺髓质癌的临床监测，亦见于绒毛膜癌、骨癌、前列腺癌和卵巢癌。</w:t>
            </w:r>
          </w:p>
        </w:tc>
      </w:tr>
      <w:tr w14:paraId="77652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1340" w:type="dxa"/>
            <w:vMerge w:val="continue"/>
            <w:noWrap w:val="0"/>
            <w:vAlign w:val="center"/>
          </w:tcPr>
          <w:p w14:paraId="6B05E39F">
            <w:pPr>
              <w:widowControl/>
              <w:snapToGrid w:val="0"/>
              <w:spacing w:line="300" w:lineRule="exact"/>
              <w:ind w:firstLine="210" w:firstLineChars="100"/>
              <w:jc w:val="both"/>
              <w:rPr>
                <w:rFonts w:hint="eastAsia" w:ascii="仿宋" w:hAnsi="仿宋" w:eastAsia="仿宋" w:cs="仿宋"/>
                <w:color w:val="auto"/>
                <w:kern w:val="0"/>
                <w:sz w:val="21"/>
                <w:szCs w:val="21"/>
                <w:highlight w:val="none"/>
                <w:lang w:val="en-US" w:eastAsia="zh-CN" w:bidi="ar-SA"/>
              </w:rPr>
            </w:pPr>
          </w:p>
        </w:tc>
        <w:tc>
          <w:tcPr>
            <w:tcW w:w="2724" w:type="dxa"/>
            <w:noWrap w:val="0"/>
            <w:vAlign w:val="center"/>
          </w:tcPr>
          <w:p w14:paraId="24DDB898">
            <w:pPr>
              <w:adjustRightInd w:val="0"/>
              <w:snapToGrid w:val="0"/>
              <w:spacing w:line="400" w:lineRule="exact"/>
              <w:jc w:val="left"/>
              <w:rPr>
                <w:rFonts w:hint="eastAsia" w:ascii="仿宋" w:hAnsi="仿宋" w:eastAsia="仿宋" w:cs="仿宋"/>
                <w:color w:val="auto"/>
                <w:spacing w:val="-10"/>
                <w:kern w:val="2"/>
                <w:sz w:val="21"/>
                <w:szCs w:val="18"/>
                <w:highlight w:val="none"/>
                <w:lang w:val="en-US" w:eastAsia="zh-CN" w:bidi="ar-SA"/>
              </w:rPr>
            </w:pPr>
            <w:r>
              <w:rPr>
                <w:rFonts w:hint="eastAsia" w:ascii="仿宋" w:hAnsi="仿宋" w:eastAsia="仿宋" w:cs="仿宋"/>
                <w:color w:val="auto"/>
                <w:spacing w:val="-10"/>
                <w:szCs w:val="18"/>
                <w:highlight w:val="none"/>
                <w:lang w:eastAsia="zh-CN"/>
              </w:rPr>
              <w:t>糖类抗原(CA 1</w:t>
            </w:r>
            <w:r>
              <w:rPr>
                <w:rFonts w:hint="eastAsia" w:ascii="仿宋" w:hAnsi="仿宋" w:eastAsia="仿宋" w:cs="仿宋"/>
                <w:color w:val="auto"/>
                <w:spacing w:val="-10"/>
                <w:szCs w:val="18"/>
                <w:highlight w:val="none"/>
                <w:lang w:val="en-US" w:eastAsia="zh-CN"/>
              </w:rPr>
              <w:t>2</w:t>
            </w:r>
            <w:r>
              <w:rPr>
                <w:rFonts w:hint="eastAsia" w:ascii="仿宋" w:hAnsi="仿宋" w:eastAsia="仿宋" w:cs="仿宋"/>
                <w:color w:val="auto"/>
                <w:spacing w:val="-10"/>
                <w:szCs w:val="18"/>
                <w:highlight w:val="none"/>
                <w:lang w:eastAsia="zh-CN"/>
              </w:rPr>
              <w:t>5）</w:t>
            </w:r>
          </w:p>
        </w:tc>
        <w:tc>
          <w:tcPr>
            <w:tcW w:w="4785" w:type="dxa"/>
            <w:noWrap w:val="0"/>
            <w:vAlign w:val="center"/>
          </w:tcPr>
          <w:p w14:paraId="36C7AF31">
            <w:pPr>
              <w:widowControl/>
              <w:snapToGrid w:val="0"/>
              <w:spacing w:line="300" w:lineRule="exact"/>
              <w:jc w:val="left"/>
              <w:rPr>
                <w:rFonts w:hint="eastAsia" w:ascii="仿宋" w:hAnsi="仿宋" w:eastAsia="仿宋" w:cs="仿宋"/>
                <w:color w:val="auto"/>
                <w:spacing w:val="-10"/>
                <w:kern w:val="2"/>
                <w:sz w:val="21"/>
                <w:szCs w:val="18"/>
                <w:highlight w:val="none"/>
                <w:lang w:val="en-US" w:eastAsia="zh-CN" w:bidi="ar-SA"/>
              </w:rPr>
            </w:pPr>
            <w:r>
              <w:rPr>
                <w:rFonts w:hint="eastAsia" w:ascii="仿宋" w:hAnsi="仿宋" w:eastAsia="仿宋" w:cs="仿宋"/>
                <w:color w:val="auto"/>
                <w:spacing w:val="-10"/>
                <w:szCs w:val="18"/>
                <w:highlight w:val="none"/>
                <w:lang w:eastAsia="zh-CN"/>
              </w:rPr>
              <w:t>妇科及消化道恶性肿瘤如宫颈癌、乳腺癌、胰腺癌、肝癌、胃癌及肺癌等，也可见于肝硬化、肾衰、孕妇、良性卵巢瘤等</w:t>
            </w:r>
            <w:r>
              <w:rPr>
                <w:rFonts w:hint="eastAsia" w:ascii="仿宋" w:hAnsi="仿宋" w:eastAsia="仿宋" w:cs="仿宋"/>
                <w:color w:val="auto"/>
                <w:spacing w:val="-10"/>
                <w:szCs w:val="18"/>
                <w:highlight w:val="none"/>
                <w:lang w:val="en-US" w:eastAsia="zh-CN"/>
              </w:rPr>
              <w:t>的</w:t>
            </w:r>
            <w:r>
              <w:rPr>
                <w:rFonts w:hint="eastAsia" w:ascii="仿宋" w:hAnsi="仿宋" w:eastAsia="仿宋" w:cs="仿宋"/>
                <w:color w:val="auto"/>
                <w:spacing w:val="-10"/>
                <w:szCs w:val="18"/>
                <w:highlight w:val="none"/>
                <w:lang w:eastAsia="zh-CN"/>
              </w:rPr>
              <w:t>早期预警或辅助诊断。</w:t>
            </w:r>
          </w:p>
        </w:tc>
      </w:tr>
      <w:tr w14:paraId="34B74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1340" w:type="dxa"/>
            <w:vMerge w:val="continue"/>
            <w:noWrap w:val="0"/>
            <w:vAlign w:val="center"/>
          </w:tcPr>
          <w:p w14:paraId="66E79259">
            <w:pPr>
              <w:widowControl/>
              <w:snapToGrid w:val="0"/>
              <w:spacing w:line="300" w:lineRule="exact"/>
              <w:ind w:firstLine="210" w:firstLineChars="100"/>
              <w:jc w:val="both"/>
              <w:rPr>
                <w:rFonts w:hint="eastAsia" w:ascii="仿宋" w:hAnsi="仿宋" w:eastAsia="仿宋" w:cs="仿宋"/>
                <w:color w:val="auto"/>
                <w:kern w:val="0"/>
                <w:sz w:val="21"/>
                <w:szCs w:val="21"/>
                <w:highlight w:val="none"/>
                <w:lang w:val="en-US" w:eastAsia="zh-CN" w:bidi="ar-SA"/>
              </w:rPr>
            </w:pPr>
          </w:p>
        </w:tc>
        <w:tc>
          <w:tcPr>
            <w:tcW w:w="2724" w:type="dxa"/>
            <w:shd w:val="clear" w:color="auto" w:fill="auto"/>
            <w:noWrap w:val="0"/>
            <w:vAlign w:val="center"/>
          </w:tcPr>
          <w:p w14:paraId="35AD60EE">
            <w:pPr>
              <w:widowControl/>
              <w:snapToGrid w:val="0"/>
              <w:spacing w:line="300" w:lineRule="exact"/>
              <w:jc w:val="left"/>
              <w:rPr>
                <w:rFonts w:hint="eastAsia" w:ascii="仿宋" w:hAnsi="仿宋" w:eastAsia="仿宋" w:cs="仿宋"/>
                <w:color w:val="auto"/>
                <w:spacing w:val="-10"/>
                <w:szCs w:val="18"/>
                <w:highlight w:val="none"/>
                <w:lang w:val="en-US" w:eastAsia="zh-CN"/>
              </w:rPr>
            </w:pPr>
            <w:r>
              <w:rPr>
                <w:rFonts w:hint="eastAsia" w:ascii="仿宋" w:hAnsi="仿宋" w:eastAsia="仿宋" w:cs="仿宋"/>
                <w:color w:val="auto"/>
                <w:spacing w:val="-10"/>
                <w:szCs w:val="18"/>
                <w:highlight w:val="none"/>
                <w:lang w:eastAsia="zh-CN"/>
              </w:rPr>
              <w:t>糖类抗原测定CA 153</w:t>
            </w:r>
          </w:p>
        </w:tc>
        <w:tc>
          <w:tcPr>
            <w:tcW w:w="4785" w:type="dxa"/>
            <w:shd w:val="clear" w:color="auto" w:fill="auto"/>
            <w:noWrap w:val="0"/>
            <w:vAlign w:val="center"/>
          </w:tcPr>
          <w:p w14:paraId="0B6919AD">
            <w:pPr>
              <w:widowControl/>
              <w:snapToGrid w:val="0"/>
              <w:spacing w:line="300" w:lineRule="exact"/>
              <w:jc w:val="left"/>
              <w:rPr>
                <w:rFonts w:hint="eastAsia" w:ascii="仿宋" w:hAnsi="仿宋" w:eastAsia="仿宋" w:cs="仿宋"/>
                <w:color w:val="auto"/>
                <w:spacing w:val="-10"/>
                <w:szCs w:val="18"/>
                <w:highlight w:val="none"/>
                <w:lang w:val="en-US" w:eastAsia="zh-CN"/>
              </w:rPr>
            </w:pPr>
            <w:r>
              <w:rPr>
                <w:rFonts w:hint="eastAsia" w:ascii="仿宋" w:hAnsi="仿宋" w:eastAsia="仿宋" w:cs="仿宋"/>
                <w:color w:val="auto"/>
                <w:spacing w:val="-10"/>
                <w:szCs w:val="18"/>
                <w:highlight w:val="none"/>
                <w:lang w:eastAsia="zh-CN"/>
              </w:rPr>
              <w:t>乳腺肿瘤筛查，早期预警或辅助诊断。</w:t>
            </w:r>
          </w:p>
        </w:tc>
      </w:tr>
      <w:tr w14:paraId="148CE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1340" w:type="dxa"/>
            <w:vMerge w:val="continue"/>
            <w:noWrap w:val="0"/>
            <w:vAlign w:val="center"/>
          </w:tcPr>
          <w:p w14:paraId="2D528141">
            <w:pPr>
              <w:widowControl/>
              <w:snapToGrid w:val="0"/>
              <w:spacing w:line="300" w:lineRule="exact"/>
              <w:ind w:firstLine="210" w:firstLineChars="100"/>
              <w:jc w:val="both"/>
              <w:rPr>
                <w:rFonts w:hint="eastAsia" w:ascii="仿宋" w:hAnsi="仿宋" w:eastAsia="仿宋" w:cs="仿宋"/>
                <w:color w:val="auto"/>
                <w:kern w:val="0"/>
                <w:sz w:val="21"/>
                <w:szCs w:val="21"/>
                <w:highlight w:val="none"/>
                <w:lang w:val="en-US" w:eastAsia="zh-CN" w:bidi="ar-SA"/>
              </w:rPr>
            </w:pPr>
          </w:p>
        </w:tc>
        <w:tc>
          <w:tcPr>
            <w:tcW w:w="2724" w:type="dxa"/>
            <w:noWrap w:val="0"/>
            <w:vAlign w:val="center"/>
          </w:tcPr>
          <w:p w14:paraId="092F1A6F">
            <w:pPr>
              <w:widowControl/>
              <w:snapToGrid w:val="0"/>
              <w:spacing w:line="300" w:lineRule="exact"/>
              <w:jc w:val="left"/>
              <w:rPr>
                <w:rFonts w:hint="eastAsia" w:ascii="仿宋" w:hAnsi="仿宋" w:eastAsia="仿宋" w:cs="仿宋"/>
                <w:color w:val="auto"/>
                <w:spacing w:val="-10"/>
                <w:kern w:val="2"/>
                <w:sz w:val="21"/>
                <w:szCs w:val="18"/>
                <w:highlight w:val="none"/>
                <w:lang w:val="en-US" w:eastAsia="zh-CN" w:bidi="ar-SA"/>
              </w:rPr>
            </w:pPr>
            <w:r>
              <w:rPr>
                <w:rFonts w:hint="eastAsia" w:ascii="仿宋" w:hAnsi="仿宋" w:eastAsia="仿宋" w:cs="仿宋"/>
                <w:color w:val="auto"/>
                <w:spacing w:val="-10"/>
                <w:szCs w:val="18"/>
                <w:highlight w:val="none"/>
              </w:rPr>
              <w:t>甲功</w:t>
            </w:r>
            <w:r>
              <w:rPr>
                <w:rFonts w:hint="eastAsia" w:ascii="仿宋" w:hAnsi="仿宋" w:eastAsia="仿宋" w:cs="仿宋"/>
                <w:color w:val="auto"/>
                <w:spacing w:val="-10"/>
                <w:szCs w:val="18"/>
                <w:highlight w:val="none"/>
                <w:lang w:val="en-US" w:eastAsia="zh-CN"/>
              </w:rPr>
              <w:t>三</w:t>
            </w:r>
            <w:r>
              <w:rPr>
                <w:rFonts w:hint="eastAsia" w:ascii="仿宋" w:hAnsi="仿宋" w:eastAsia="仿宋" w:cs="仿宋"/>
                <w:color w:val="auto"/>
                <w:spacing w:val="-10"/>
                <w:szCs w:val="18"/>
                <w:highlight w:val="none"/>
                <w:lang w:eastAsia="zh-CN"/>
              </w:rPr>
              <w:t>项</w:t>
            </w:r>
            <w:r>
              <w:rPr>
                <w:rFonts w:hint="eastAsia" w:ascii="仿宋" w:hAnsi="仿宋" w:eastAsia="仿宋" w:cs="仿宋"/>
                <w:color w:val="auto"/>
                <w:spacing w:val="-10"/>
                <w:szCs w:val="18"/>
                <w:highlight w:val="none"/>
                <w:lang w:val="en-US" w:eastAsia="zh-CN"/>
              </w:rPr>
              <w:t xml:space="preserve"> </w:t>
            </w:r>
          </w:p>
        </w:tc>
        <w:tc>
          <w:tcPr>
            <w:tcW w:w="4785" w:type="dxa"/>
            <w:noWrap w:val="0"/>
            <w:vAlign w:val="center"/>
          </w:tcPr>
          <w:p w14:paraId="6439D927">
            <w:pPr>
              <w:widowControl/>
              <w:snapToGrid w:val="0"/>
              <w:spacing w:line="300" w:lineRule="exact"/>
              <w:jc w:val="left"/>
              <w:rPr>
                <w:rFonts w:hint="eastAsia" w:ascii="仿宋" w:hAnsi="仿宋" w:eastAsia="仿宋" w:cs="仿宋"/>
                <w:color w:val="auto"/>
                <w:spacing w:val="-10"/>
                <w:kern w:val="2"/>
                <w:sz w:val="21"/>
                <w:szCs w:val="18"/>
                <w:highlight w:val="none"/>
                <w:lang w:val="en-US" w:eastAsia="zh-CN" w:bidi="ar-SA"/>
              </w:rPr>
            </w:pPr>
            <w:r>
              <w:rPr>
                <w:rFonts w:hint="eastAsia" w:ascii="仿宋" w:hAnsi="仿宋" w:eastAsia="仿宋" w:cs="仿宋"/>
                <w:color w:val="auto"/>
                <w:spacing w:val="-10"/>
                <w:szCs w:val="18"/>
                <w:highlight w:val="none"/>
              </w:rPr>
              <w:t>了解目前有无甲状腺功能改变（甲亢、甲减等疾病的筛查）。</w:t>
            </w:r>
          </w:p>
        </w:tc>
      </w:tr>
      <w:tr w14:paraId="14F6C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1340" w:type="dxa"/>
            <w:noWrap w:val="0"/>
            <w:vAlign w:val="center"/>
          </w:tcPr>
          <w:p w14:paraId="34AD7981">
            <w:pPr>
              <w:widowControl/>
              <w:snapToGrid w:val="0"/>
              <w:spacing w:line="300" w:lineRule="exact"/>
              <w:jc w:val="center"/>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生化项目</w:t>
            </w:r>
          </w:p>
        </w:tc>
        <w:tc>
          <w:tcPr>
            <w:tcW w:w="2724" w:type="dxa"/>
            <w:noWrap w:val="0"/>
            <w:vAlign w:val="center"/>
          </w:tcPr>
          <w:p w14:paraId="5BA082D9">
            <w:pPr>
              <w:adjustRightInd w:val="0"/>
              <w:snapToGrid w:val="0"/>
              <w:spacing w:line="4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spacing w:val="-10"/>
                <w:szCs w:val="18"/>
                <w:highlight w:val="none"/>
              </w:rPr>
              <w:t>糖化血红蛋白测定</w:t>
            </w:r>
          </w:p>
        </w:tc>
        <w:tc>
          <w:tcPr>
            <w:tcW w:w="4785" w:type="dxa"/>
            <w:noWrap w:val="0"/>
            <w:vAlign w:val="center"/>
          </w:tcPr>
          <w:p w14:paraId="24CCDE46">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spacing w:val="-10"/>
                <w:szCs w:val="18"/>
                <w:highlight w:val="none"/>
              </w:rPr>
              <w:t>反映近3个月血糖平均水平。</w:t>
            </w:r>
          </w:p>
        </w:tc>
      </w:tr>
      <w:tr w14:paraId="371D8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1340" w:type="dxa"/>
            <w:noWrap w:val="0"/>
            <w:vAlign w:val="center"/>
          </w:tcPr>
          <w:p w14:paraId="692C7216">
            <w:pPr>
              <w:widowControl/>
              <w:snapToGrid w:val="0"/>
              <w:spacing w:line="300" w:lineRule="exact"/>
              <w:jc w:val="center"/>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影像检查</w:t>
            </w:r>
          </w:p>
        </w:tc>
        <w:tc>
          <w:tcPr>
            <w:tcW w:w="2724" w:type="dxa"/>
            <w:noWrap w:val="0"/>
            <w:vAlign w:val="center"/>
          </w:tcPr>
          <w:p w14:paraId="58E565EF">
            <w:pPr>
              <w:widowControl/>
              <w:snapToGrid w:val="0"/>
              <w:spacing w:line="300" w:lineRule="exact"/>
              <w:jc w:val="left"/>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肺部CT</w:t>
            </w:r>
          </w:p>
        </w:tc>
        <w:tc>
          <w:tcPr>
            <w:tcW w:w="4785" w:type="dxa"/>
            <w:noWrap w:val="0"/>
            <w:vAlign w:val="center"/>
          </w:tcPr>
          <w:p w14:paraId="2A6A8BEB">
            <w:pPr>
              <w:widowControl/>
              <w:snapToGrid w:val="0"/>
              <w:spacing w:line="300" w:lineRule="exact"/>
              <w:jc w:val="left"/>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对支气管炎、肺炎、肺结核、肺部及纵隔占位等疾病诊断有参考意义。胸廓检查（包括肋骨、胸椎等）、胸膜、心脏及大血管病变。</w:t>
            </w:r>
          </w:p>
        </w:tc>
      </w:tr>
      <w:tr w14:paraId="7B4D1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1340" w:type="dxa"/>
            <w:noWrap w:val="0"/>
            <w:vAlign w:val="center"/>
          </w:tcPr>
          <w:p w14:paraId="4406C1C6">
            <w:pPr>
              <w:widowControl/>
              <w:snapToGrid w:val="0"/>
              <w:spacing w:line="300" w:lineRule="exact"/>
              <w:jc w:val="center"/>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心电图</w:t>
            </w:r>
          </w:p>
        </w:tc>
        <w:tc>
          <w:tcPr>
            <w:tcW w:w="2724" w:type="dxa"/>
            <w:noWrap w:val="0"/>
            <w:vAlign w:val="center"/>
          </w:tcPr>
          <w:p w14:paraId="22114D76">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12导联心电图</w:t>
            </w:r>
          </w:p>
        </w:tc>
        <w:tc>
          <w:tcPr>
            <w:tcW w:w="4785" w:type="dxa"/>
            <w:noWrap w:val="0"/>
            <w:vAlign w:val="center"/>
          </w:tcPr>
          <w:p w14:paraId="5AD9D33F">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了解心律不齐、心肌梗塞、心肌缺血、心率过缓/过速、心室电压增高等心脏疾病。</w:t>
            </w:r>
          </w:p>
        </w:tc>
      </w:tr>
      <w:tr w14:paraId="1B8FE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trPr>
        <w:tc>
          <w:tcPr>
            <w:tcW w:w="1340" w:type="dxa"/>
            <w:vMerge w:val="restart"/>
            <w:noWrap w:val="0"/>
            <w:vAlign w:val="center"/>
          </w:tcPr>
          <w:p w14:paraId="0D316E6D">
            <w:pPr>
              <w:widowControl/>
              <w:snapToGrid w:val="0"/>
              <w:spacing w:line="300" w:lineRule="exact"/>
              <w:jc w:val="center"/>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超声检查</w:t>
            </w:r>
          </w:p>
        </w:tc>
        <w:tc>
          <w:tcPr>
            <w:tcW w:w="2724" w:type="dxa"/>
            <w:noWrap w:val="0"/>
            <w:vAlign w:val="center"/>
          </w:tcPr>
          <w:p w14:paraId="7A4C6E22">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肝、胆、脾、胰、双肾</w:t>
            </w:r>
          </w:p>
        </w:tc>
        <w:tc>
          <w:tcPr>
            <w:tcW w:w="4785" w:type="dxa"/>
            <w:noWrap w:val="0"/>
            <w:vAlign w:val="top"/>
          </w:tcPr>
          <w:p w14:paraId="07666D6D">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了解肝硬化、肝囊肿、肝癌、肝脓肿、肝血管瘤、肝脂肪、胆囊结石、胆囊息肉、胰腺癌、脾肿大等疾病情况。通过肾了解有否肾结石、肾肿瘤。</w:t>
            </w:r>
          </w:p>
        </w:tc>
      </w:tr>
      <w:tr w14:paraId="2D2E3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1340" w:type="dxa"/>
            <w:vMerge w:val="continue"/>
            <w:noWrap w:val="0"/>
            <w:vAlign w:val="center"/>
          </w:tcPr>
          <w:p w14:paraId="07ACCBDE">
            <w:pPr>
              <w:widowControl/>
              <w:snapToGrid w:val="0"/>
              <w:spacing w:line="300" w:lineRule="exact"/>
              <w:jc w:val="center"/>
              <w:rPr>
                <w:rFonts w:hint="eastAsia" w:ascii="仿宋" w:hAnsi="仿宋" w:eastAsia="仿宋" w:cs="仿宋"/>
                <w:color w:val="auto"/>
                <w:kern w:val="0"/>
                <w:sz w:val="21"/>
                <w:szCs w:val="21"/>
                <w:highlight w:val="none"/>
                <w:lang w:val="en-US" w:eastAsia="zh-CN"/>
              </w:rPr>
            </w:pPr>
          </w:p>
        </w:tc>
        <w:tc>
          <w:tcPr>
            <w:tcW w:w="2724" w:type="dxa"/>
            <w:noWrap w:val="0"/>
            <w:vAlign w:val="center"/>
          </w:tcPr>
          <w:p w14:paraId="6E2ED1F8">
            <w:pPr>
              <w:widowControl/>
              <w:snapToGrid w:val="0"/>
              <w:spacing w:line="300" w:lineRule="exact"/>
              <w:jc w:val="left"/>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甲状腺及颈部淋巴结彩超</w:t>
            </w:r>
          </w:p>
        </w:tc>
        <w:tc>
          <w:tcPr>
            <w:tcW w:w="4785" w:type="dxa"/>
            <w:noWrap w:val="0"/>
            <w:vAlign w:val="center"/>
          </w:tcPr>
          <w:p w14:paraId="48F596CC">
            <w:pPr>
              <w:widowControl/>
              <w:snapToGrid w:val="0"/>
              <w:spacing w:line="300" w:lineRule="exact"/>
              <w:jc w:val="left"/>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了解甲状腺及颈部淋巴有无结节、囊肿、良/恶性占位等疾病。</w:t>
            </w:r>
          </w:p>
        </w:tc>
      </w:tr>
      <w:tr w14:paraId="5ED56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1340" w:type="dxa"/>
            <w:vMerge w:val="continue"/>
            <w:noWrap w:val="0"/>
            <w:vAlign w:val="center"/>
          </w:tcPr>
          <w:p w14:paraId="41528B77">
            <w:pPr>
              <w:widowControl/>
              <w:snapToGrid w:val="0"/>
              <w:spacing w:line="300" w:lineRule="exact"/>
              <w:jc w:val="center"/>
              <w:rPr>
                <w:rFonts w:hint="eastAsia" w:ascii="仿宋" w:hAnsi="仿宋" w:eastAsia="仿宋" w:cs="仿宋"/>
                <w:color w:val="auto"/>
                <w:kern w:val="0"/>
                <w:sz w:val="21"/>
                <w:szCs w:val="21"/>
                <w:highlight w:val="none"/>
                <w:lang w:val="en-US" w:eastAsia="zh-CN"/>
              </w:rPr>
            </w:pPr>
          </w:p>
        </w:tc>
        <w:tc>
          <w:tcPr>
            <w:tcW w:w="2724" w:type="dxa"/>
            <w:noWrap w:val="0"/>
            <w:vAlign w:val="center"/>
          </w:tcPr>
          <w:p w14:paraId="16E6EE4E">
            <w:pPr>
              <w:widowControl/>
              <w:snapToGrid w:val="0"/>
              <w:spacing w:line="300" w:lineRule="exact"/>
              <w:jc w:val="left"/>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乳腺及腋窝淋巴结彩超</w:t>
            </w:r>
          </w:p>
        </w:tc>
        <w:tc>
          <w:tcPr>
            <w:tcW w:w="4785" w:type="dxa"/>
            <w:noWrap w:val="0"/>
            <w:vAlign w:val="center"/>
          </w:tcPr>
          <w:p w14:paraId="72D0B33A">
            <w:pPr>
              <w:widowControl/>
              <w:snapToGrid w:val="0"/>
              <w:spacing w:line="300" w:lineRule="exact"/>
              <w:jc w:val="left"/>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排除乳腺增生、乳腺结节、乳腺纤维瘤、乳腺癌等疾病；乳房组织病变诊断；了解腋下淋巴结有无肿大。</w:t>
            </w:r>
          </w:p>
        </w:tc>
      </w:tr>
      <w:tr w14:paraId="3097E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1340" w:type="dxa"/>
            <w:vMerge w:val="continue"/>
            <w:noWrap w:val="0"/>
            <w:vAlign w:val="center"/>
          </w:tcPr>
          <w:p w14:paraId="3820B3AA">
            <w:pPr>
              <w:widowControl/>
              <w:snapToGrid w:val="0"/>
              <w:spacing w:line="300" w:lineRule="exact"/>
              <w:jc w:val="center"/>
              <w:rPr>
                <w:rFonts w:hint="eastAsia" w:ascii="仿宋" w:hAnsi="仿宋" w:eastAsia="仿宋" w:cs="仿宋"/>
                <w:color w:val="auto"/>
                <w:kern w:val="0"/>
                <w:sz w:val="21"/>
                <w:szCs w:val="21"/>
                <w:highlight w:val="none"/>
                <w:lang w:val="en-US" w:eastAsia="zh-CN"/>
              </w:rPr>
            </w:pPr>
          </w:p>
        </w:tc>
        <w:tc>
          <w:tcPr>
            <w:tcW w:w="2724" w:type="dxa"/>
            <w:noWrap w:val="0"/>
            <w:vAlign w:val="center"/>
          </w:tcPr>
          <w:p w14:paraId="3B11A087">
            <w:pPr>
              <w:widowControl/>
              <w:snapToGrid w:val="0"/>
              <w:spacing w:line="300" w:lineRule="exact"/>
              <w:jc w:val="left"/>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颈部血管彩超</w:t>
            </w:r>
          </w:p>
        </w:tc>
        <w:tc>
          <w:tcPr>
            <w:tcW w:w="4785" w:type="dxa"/>
            <w:noWrap w:val="0"/>
            <w:vAlign w:val="top"/>
          </w:tcPr>
          <w:p w14:paraId="29917C24">
            <w:pPr>
              <w:widowControl/>
              <w:snapToGrid w:val="0"/>
              <w:spacing w:line="300" w:lineRule="exact"/>
              <w:jc w:val="left"/>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可以显示颈动脉血管的内膜是否增厚、是否狭窄、是否有斑块形成、斑块大小、斑块的硬度等情况。</w:t>
            </w:r>
          </w:p>
        </w:tc>
      </w:tr>
      <w:tr w14:paraId="5C95E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1340" w:type="dxa"/>
            <w:vMerge w:val="continue"/>
            <w:noWrap w:val="0"/>
            <w:vAlign w:val="center"/>
          </w:tcPr>
          <w:p w14:paraId="7AC28611">
            <w:pPr>
              <w:widowControl/>
              <w:snapToGrid w:val="0"/>
              <w:spacing w:line="300" w:lineRule="exact"/>
              <w:jc w:val="center"/>
              <w:rPr>
                <w:rFonts w:hint="eastAsia" w:ascii="仿宋" w:hAnsi="仿宋" w:eastAsia="仿宋" w:cs="仿宋"/>
                <w:color w:val="auto"/>
                <w:kern w:val="0"/>
                <w:sz w:val="21"/>
                <w:szCs w:val="21"/>
                <w:highlight w:val="none"/>
                <w:lang w:val="en-US" w:eastAsia="zh-CN"/>
              </w:rPr>
            </w:pPr>
          </w:p>
        </w:tc>
        <w:tc>
          <w:tcPr>
            <w:tcW w:w="2724" w:type="dxa"/>
            <w:noWrap w:val="0"/>
            <w:vAlign w:val="center"/>
          </w:tcPr>
          <w:p w14:paraId="37C2A884">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阴道超声（已婚，不需憋尿）</w:t>
            </w:r>
          </w:p>
        </w:tc>
        <w:tc>
          <w:tcPr>
            <w:tcW w:w="4785" w:type="dxa"/>
            <w:noWrap w:val="0"/>
            <w:vAlign w:val="center"/>
          </w:tcPr>
          <w:p w14:paraId="3C66545D">
            <w:pPr>
              <w:widowControl/>
              <w:snapToGrid w:val="0"/>
              <w:spacing w:line="300" w:lineRule="exact"/>
              <w:jc w:val="left"/>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检查子宫肌瘤，宫颈癌，卵巢肿物、盆腔炎。</w:t>
            </w:r>
          </w:p>
        </w:tc>
      </w:tr>
      <w:tr w14:paraId="70BF3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340" w:type="dxa"/>
            <w:vMerge w:val="restart"/>
            <w:noWrap w:val="0"/>
            <w:vAlign w:val="center"/>
          </w:tcPr>
          <w:p w14:paraId="4B3171B0">
            <w:pPr>
              <w:widowControl/>
              <w:snapToGrid w:val="0"/>
              <w:spacing w:line="300" w:lineRule="exact"/>
              <w:jc w:val="center"/>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妇科检查</w:t>
            </w:r>
          </w:p>
        </w:tc>
        <w:tc>
          <w:tcPr>
            <w:tcW w:w="2724" w:type="dxa"/>
            <w:noWrap w:val="0"/>
            <w:vAlign w:val="center"/>
          </w:tcPr>
          <w:p w14:paraId="58515A1D">
            <w:pPr>
              <w:widowControl/>
              <w:snapToGrid w:val="0"/>
              <w:spacing w:line="300" w:lineRule="exact"/>
              <w:jc w:val="left"/>
              <w:rPr>
                <w:rFonts w:hint="eastAsia" w:ascii="仿宋" w:hAnsi="仿宋" w:eastAsia="仿宋" w:cs="仿宋"/>
                <w:color w:val="auto"/>
                <w:spacing w:val="-10"/>
                <w:kern w:val="2"/>
                <w:sz w:val="21"/>
                <w:szCs w:val="18"/>
                <w:highlight w:val="none"/>
                <w:lang w:val="en-US" w:eastAsia="zh-CN" w:bidi="ar-SA"/>
              </w:rPr>
            </w:pPr>
            <w:r>
              <w:rPr>
                <w:rFonts w:hint="eastAsia" w:ascii="仿宋" w:hAnsi="仿宋" w:eastAsia="仿宋" w:cs="仿宋"/>
                <w:color w:val="auto"/>
                <w:spacing w:val="-10"/>
                <w:szCs w:val="18"/>
                <w:highlight w:val="none"/>
              </w:rPr>
              <w:t>妇科检查+</w:t>
            </w:r>
            <w:r>
              <w:rPr>
                <w:rFonts w:hint="eastAsia" w:ascii="仿宋" w:hAnsi="仿宋" w:eastAsia="仿宋" w:cs="仿宋"/>
                <w:color w:val="auto"/>
                <w:spacing w:val="-10"/>
                <w:szCs w:val="18"/>
                <w:highlight w:val="none"/>
                <w:lang w:val="en-US" w:eastAsia="zh-CN"/>
              </w:rPr>
              <w:t>白带常规九项</w:t>
            </w:r>
          </w:p>
        </w:tc>
        <w:tc>
          <w:tcPr>
            <w:tcW w:w="4785" w:type="dxa"/>
            <w:noWrap w:val="0"/>
            <w:vAlign w:val="center"/>
          </w:tcPr>
          <w:p w14:paraId="750F8177">
            <w:pPr>
              <w:widowControl/>
              <w:snapToGrid w:val="0"/>
              <w:spacing w:line="300" w:lineRule="exact"/>
              <w:jc w:val="left"/>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发现常见妇科疾病的相关征兆，或初步排除妇科常见疾病。</w:t>
            </w:r>
          </w:p>
        </w:tc>
      </w:tr>
      <w:tr w14:paraId="3F6E7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340" w:type="dxa"/>
            <w:vMerge w:val="continue"/>
            <w:noWrap w:val="0"/>
            <w:vAlign w:val="center"/>
          </w:tcPr>
          <w:p w14:paraId="56F0F8FC">
            <w:pPr>
              <w:widowControl/>
              <w:snapToGrid w:val="0"/>
              <w:spacing w:line="300" w:lineRule="exact"/>
              <w:jc w:val="center"/>
              <w:rPr>
                <w:rFonts w:hint="eastAsia" w:ascii="仿宋" w:hAnsi="仿宋" w:eastAsia="仿宋" w:cs="仿宋"/>
                <w:color w:val="auto"/>
                <w:kern w:val="0"/>
                <w:sz w:val="21"/>
                <w:szCs w:val="21"/>
                <w:highlight w:val="none"/>
                <w:lang w:val="en-US" w:eastAsia="zh-CN"/>
              </w:rPr>
            </w:pPr>
          </w:p>
        </w:tc>
        <w:tc>
          <w:tcPr>
            <w:tcW w:w="2724" w:type="dxa"/>
            <w:noWrap w:val="0"/>
            <w:vAlign w:val="center"/>
          </w:tcPr>
          <w:p w14:paraId="70DB135A">
            <w:pPr>
              <w:widowControl/>
              <w:snapToGrid w:val="0"/>
              <w:spacing w:line="300" w:lineRule="exact"/>
              <w:jc w:val="left"/>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spacing w:val="-10"/>
                <w:szCs w:val="18"/>
                <w:highlight w:val="none"/>
              </w:rPr>
              <w:t>液基薄层细胞学检查</w:t>
            </w:r>
          </w:p>
        </w:tc>
        <w:tc>
          <w:tcPr>
            <w:tcW w:w="4785" w:type="dxa"/>
            <w:noWrap w:val="0"/>
            <w:vAlign w:val="center"/>
          </w:tcPr>
          <w:p w14:paraId="567D3508">
            <w:pPr>
              <w:widowControl/>
              <w:snapToGrid w:val="0"/>
              <w:spacing w:line="300" w:lineRule="exact"/>
              <w:jc w:val="left"/>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rPr>
              <w:t>筛查宫颈早期病变，同时还能发现部分癌前病变，微生物感染如霉菌、滴虫、病毒等。</w:t>
            </w:r>
          </w:p>
        </w:tc>
      </w:tr>
    </w:tbl>
    <w:p w14:paraId="25DE596E">
      <w:pPr>
        <w:rPr>
          <w:rFonts w:hint="eastAsia"/>
          <w:color w:val="auto"/>
          <w:highlight w:val="none"/>
          <w:lang w:val="en-US" w:eastAsia="zh-CN"/>
        </w:rPr>
      </w:pPr>
    </w:p>
    <w:p w14:paraId="18F9989F">
      <w:pPr>
        <w:jc w:val="center"/>
        <w:rPr>
          <w:rFonts w:hint="eastAsia" w:ascii="仿宋" w:hAnsi="仿宋" w:eastAsia="仿宋" w:cs="仿宋"/>
          <w:b/>
          <w:bCs/>
          <w:color w:val="auto"/>
          <w:sz w:val="24"/>
          <w:szCs w:val="28"/>
          <w:highlight w:val="none"/>
        </w:rPr>
      </w:pPr>
    </w:p>
    <w:p w14:paraId="234E6EDE">
      <w:pPr>
        <w:rPr>
          <w:rFonts w:hint="eastAsia"/>
          <w:color w:val="auto"/>
          <w:highlight w:val="none"/>
        </w:rPr>
      </w:pPr>
      <w:bookmarkStart w:id="94" w:name="_Toc2467"/>
    </w:p>
    <w:p w14:paraId="0D964187">
      <w:pPr>
        <w:rPr>
          <w:rFonts w:hint="eastAsia" w:ascii="仿宋" w:hAnsi="仿宋" w:eastAsia="仿宋" w:cs="仿宋"/>
          <w:b/>
          <w:color w:val="auto"/>
          <w:kern w:val="0"/>
          <w:sz w:val="28"/>
          <w:szCs w:val="18"/>
          <w:highlight w:val="none"/>
        </w:rPr>
      </w:pPr>
      <w:r>
        <w:rPr>
          <w:rFonts w:hint="eastAsia" w:ascii="仿宋" w:hAnsi="仿宋" w:eastAsia="仿宋" w:cs="仿宋"/>
          <w:b/>
          <w:color w:val="auto"/>
          <w:kern w:val="0"/>
          <w:sz w:val="28"/>
          <w:szCs w:val="18"/>
          <w:highlight w:val="none"/>
        </w:rPr>
        <w:br w:type="page"/>
      </w:r>
    </w:p>
    <w:p w14:paraId="483B8800">
      <w:pPr>
        <w:widowControl/>
        <w:jc w:val="center"/>
        <w:outlineLvl w:val="1"/>
        <w:rPr>
          <w:rFonts w:hint="eastAsia" w:ascii="仿宋" w:hAnsi="仿宋" w:eastAsia="仿宋" w:cs="仿宋"/>
          <w:b/>
          <w:color w:val="auto"/>
          <w:kern w:val="0"/>
          <w:sz w:val="32"/>
          <w:szCs w:val="20"/>
          <w:highlight w:val="none"/>
        </w:rPr>
      </w:pPr>
      <w:bookmarkStart w:id="95" w:name="_Toc13457"/>
      <w:r>
        <w:rPr>
          <w:rFonts w:hint="eastAsia" w:ascii="仿宋" w:hAnsi="仿宋" w:eastAsia="仿宋" w:cs="仿宋"/>
          <w:b/>
          <w:color w:val="auto"/>
          <w:kern w:val="0"/>
          <w:sz w:val="28"/>
          <w:szCs w:val="18"/>
          <w:highlight w:val="none"/>
        </w:rPr>
        <w:t>二、体检相关要求</w:t>
      </w:r>
      <w:bookmarkEnd w:id="94"/>
      <w:bookmarkEnd w:id="95"/>
    </w:p>
    <w:p w14:paraId="44872852">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kern w:val="0"/>
          <w:sz w:val="24"/>
          <w:szCs w:val="20"/>
          <w:highlight w:val="none"/>
        </w:rPr>
      </w:pPr>
    </w:p>
    <w:p w14:paraId="2E08688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 </w:t>
      </w:r>
      <w:r>
        <w:rPr>
          <w:rFonts w:hint="eastAsia" w:ascii="仿宋" w:hAnsi="仿宋" w:eastAsia="仿宋" w:cs="仿宋"/>
          <w:bCs/>
          <w:color w:val="auto"/>
          <w:sz w:val="24"/>
          <w:szCs w:val="24"/>
          <w:highlight w:val="none"/>
          <w:lang w:eastAsia="zh-CN"/>
        </w:rPr>
        <w:t>中标人</w:t>
      </w:r>
      <w:r>
        <w:rPr>
          <w:rFonts w:hint="eastAsia" w:ascii="仿宋" w:hAnsi="仿宋" w:eastAsia="仿宋" w:cs="仿宋"/>
          <w:bCs/>
          <w:color w:val="auto"/>
          <w:sz w:val="24"/>
          <w:szCs w:val="24"/>
          <w:highlight w:val="none"/>
        </w:rPr>
        <w:t>应认真遵守职业道德和行业规范，认真做好服务工作，保证体检现场工作和资料汇总按时完成。</w:t>
      </w:r>
    </w:p>
    <w:p w14:paraId="56B5F8C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 </w:t>
      </w:r>
      <w:r>
        <w:rPr>
          <w:rFonts w:hint="eastAsia" w:ascii="仿宋" w:hAnsi="仿宋" w:eastAsia="仿宋" w:cs="仿宋"/>
          <w:bCs/>
          <w:color w:val="auto"/>
          <w:sz w:val="24"/>
          <w:szCs w:val="24"/>
          <w:highlight w:val="none"/>
          <w:lang w:eastAsia="zh-CN"/>
        </w:rPr>
        <w:t>中标人</w:t>
      </w:r>
      <w:r>
        <w:rPr>
          <w:rFonts w:hint="eastAsia" w:ascii="仿宋" w:hAnsi="仿宋" w:eastAsia="仿宋" w:cs="仿宋"/>
          <w:bCs/>
          <w:color w:val="auto"/>
          <w:sz w:val="24"/>
          <w:szCs w:val="24"/>
          <w:highlight w:val="none"/>
        </w:rPr>
        <w:t>不能将体检业务转包给其他单位。</w:t>
      </w:r>
    </w:p>
    <w:p w14:paraId="342CBA0F">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 </w:t>
      </w:r>
      <w:r>
        <w:rPr>
          <w:rFonts w:hint="eastAsia" w:ascii="仿宋" w:hAnsi="仿宋" w:eastAsia="仿宋" w:cs="仿宋"/>
          <w:bCs/>
          <w:color w:val="auto"/>
          <w:sz w:val="24"/>
          <w:szCs w:val="24"/>
          <w:highlight w:val="none"/>
          <w:lang w:val="en-US" w:eastAsia="zh-CN"/>
        </w:rPr>
        <w:t>集中体检天数为24个工作日，零星体检天数为96日历日</w:t>
      </w:r>
      <w:r>
        <w:rPr>
          <w:rFonts w:hint="eastAsia" w:ascii="仿宋" w:hAnsi="仿宋" w:eastAsia="仿宋" w:cs="仿宋"/>
          <w:bCs/>
          <w:color w:val="auto"/>
          <w:sz w:val="24"/>
          <w:szCs w:val="24"/>
          <w:highlight w:val="none"/>
        </w:rPr>
        <w:t>，集中体检日期间在未完成采购人人员体检时间段内，不得安排非采购人人员进行体检。</w:t>
      </w:r>
    </w:p>
    <w:p w14:paraId="7CDDD61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 </w:t>
      </w:r>
      <w:r>
        <w:rPr>
          <w:rFonts w:hint="eastAsia" w:ascii="仿宋" w:hAnsi="仿宋" w:eastAsia="仿宋" w:cs="仿宋"/>
          <w:bCs/>
          <w:color w:val="auto"/>
          <w:sz w:val="24"/>
          <w:szCs w:val="24"/>
          <w:highlight w:val="none"/>
          <w:lang w:eastAsia="zh-CN"/>
        </w:rPr>
        <w:t>中标人</w:t>
      </w:r>
      <w:r>
        <w:rPr>
          <w:rFonts w:hint="eastAsia" w:ascii="仿宋" w:hAnsi="仿宋" w:eastAsia="仿宋" w:cs="仿宋"/>
          <w:bCs/>
          <w:color w:val="auto"/>
          <w:sz w:val="24"/>
          <w:szCs w:val="24"/>
          <w:highlight w:val="none"/>
        </w:rPr>
        <w:t>须对所有参加体检人员健康情况进行评价，编写教职工个人的体检总评报告，由体检中心加盖公章，内容包括参检人员的基本信息、检查结果、诊断及建议。</w:t>
      </w:r>
    </w:p>
    <w:p w14:paraId="3A4DD80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（5）集中体检完毕后的十个日历天内将该时间段内体检人员体检结果以纸质形式按学院、部门整理提交给采购人，零星体检结束后的三十个日历天内将剩余体检结果以纸质形式按学院、部门整理提交给采购人。</w:t>
      </w:r>
    </w:p>
    <w:p w14:paraId="13F39FA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（6）全部体检结束后40日内，以 Word 电子文档形式汇总全体参检人员各病征异常率、疾病患病率，对所有参加体检人员健康情况进行综合评价，提交分析报告。</w:t>
      </w:r>
    </w:p>
    <w:p w14:paraId="3D81853D">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(7) </w:t>
      </w:r>
      <w:r>
        <w:rPr>
          <w:rFonts w:hint="eastAsia" w:ascii="仿宋" w:hAnsi="仿宋" w:eastAsia="仿宋" w:cs="仿宋"/>
          <w:bCs/>
          <w:color w:val="auto"/>
          <w:sz w:val="24"/>
          <w:szCs w:val="24"/>
          <w:highlight w:val="none"/>
          <w:lang w:eastAsia="zh-CN"/>
        </w:rPr>
        <w:t>中标人</w:t>
      </w:r>
      <w:r>
        <w:rPr>
          <w:rFonts w:hint="eastAsia" w:ascii="仿宋" w:hAnsi="仿宋" w:eastAsia="仿宋" w:cs="仿宋"/>
          <w:bCs/>
          <w:color w:val="auto"/>
          <w:sz w:val="24"/>
          <w:szCs w:val="24"/>
          <w:highlight w:val="none"/>
        </w:rPr>
        <w:t>应对体检结果负责，每一份体检结果必须单独封装；未征得采购人的同意，</w:t>
      </w:r>
      <w:r>
        <w:rPr>
          <w:rFonts w:hint="eastAsia" w:ascii="仿宋" w:hAnsi="仿宋" w:eastAsia="仿宋" w:cs="仿宋"/>
          <w:bCs/>
          <w:color w:val="auto"/>
          <w:sz w:val="24"/>
          <w:szCs w:val="24"/>
          <w:highlight w:val="none"/>
          <w:lang w:eastAsia="zh-CN"/>
        </w:rPr>
        <w:t>中标人</w:t>
      </w:r>
      <w:r>
        <w:rPr>
          <w:rFonts w:hint="eastAsia" w:ascii="仿宋" w:hAnsi="仿宋" w:eastAsia="仿宋" w:cs="仿宋"/>
          <w:bCs/>
          <w:color w:val="auto"/>
          <w:sz w:val="24"/>
          <w:szCs w:val="24"/>
          <w:highlight w:val="none"/>
        </w:rPr>
        <w:t>不得将体检结果告诉第三人。</w:t>
      </w:r>
    </w:p>
    <w:p w14:paraId="0D215DA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 必须按采购人规定的时间完成现场检查和健康情况的评价。</w:t>
      </w:r>
    </w:p>
    <w:p w14:paraId="364BBEFF">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 集中体检时间段内，安排每份价值不低于人民币 10 元、营养丰富的冷热早餐给采购方参检人员食用。</w:t>
      </w:r>
    </w:p>
    <w:p w14:paraId="25C2FFB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(10) </w:t>
      </w:r>
      <w:r>
        <w:rPr>
          <w:rFonts w:hint="eastAsia" w:ascii="仿宋" w:hAnsi="仿宋" w:eastAsia="仿宋" w:cs="仿宋"/>
          <w:bCs/>
          <w:color w:val="auto"/>
          <w:sz w:val="24"/>
          <w:szCs w:val="24"/>
          <w:highlight w:val="none"/>
          <w:lang w:eastAsia="zh-CN"/>
        </w:rPr>
        <w:t>中标人</w:t>
      </w:r>
      <w:r>
        <w:rPr>
          <w:rFonts w:hint="eastAsia" w:ascii="仿宋" w:hAnsi="仿宋" w:eastAsia="仿宋" w:cs="仿宋"/>
          <w:bCs/>
          <w:color w:val="auto"/>
          <w:sz w:val="24"/>
          <w:szCs w:val="24"/>
          <w:highlight w:val="none"/>
        </w:rPr>
        <w:t>应为采购人提供礼貌、热情、周到的服务。</w:t>
      </w:r>
    </w:p>
    <w:p w14:paraId="051E9F0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(11) 体检必须按规程操作，按行业规范确定体检方案和方法，以防止意外事故发生。</w:t>
      </w:r>
    </w:p>
    <w:p w14:paraId="13A2CB1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(12) 对体检过程中发生的事件能够进行及时有效的处理，须设立服务质量投诉电话和服务质量征求意见表，对有关问题应及时答复和采取相应的改进措施。</w:t>
      </w:r>
    </w:p>
    <w:p w14:paraId="0CFC4B7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(13) 所有检查项目必须在</w:t>
      </w:r>
      <w:r>
        <w:rPr>
          <w:rFonts w:hint="eastAsia" w:ascii="仿宋" w:hAnsi="仿宋" w:eastAsia="仿宋" w:cs="仿宋"/>
          <w:bCs/>
          <w:color w:val="auto"/>
          <w:sz w:val="24"/>
          <w:szCs w:val="24"/>
          <w:highlight w:val="none"/>
          <w:lang w:eastAsia="zh-CN"/>
        </w:rPr>
        <w:t>中标人</w:t>
      </w:r>
      <w:r>
        <w:rPr>
          <w:rFonts w:hint="eastAsia" w:ascii="仿宋" w:hAnsi="仿宋" w:eastAsia="仿宋" w:cs="仿宋"/>
          <w:bCs/>
          <w:color w:val="auto"/>
          <w:sz w:val="24"/>
          <w:szCs w:val="24"/>
          <w:highlight w:val="none"/>
        </w:rPr>
        <w:t>的体检中心内完成，体检中心范围内须有清晰准确的体检引导标志牌及体检导诊员。</w:t>
      </w:r>
    </w:p>
    <w:p w14:paraId="231E451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(14) 体检过程中，发现疑似恶性肿瘤、心脑血管病高危状态、传染病（如结核病）等特殊情况，</w:t>
      </w:r>
      <w:r>
        <w:rPr>
          <w:rFonts w:hint="eastAsia" w:ascii="仿宋" w:hAnsi="仿宋" w:eastAsia="仿宋" w:cs="仿宋"/>
          <w:bCs/>
          <w:color w:val="auto"/>
          <w:sz w:val="24"/>
          <w:szCs w:val="24"/>
          <w:highlight w:val="none"/>
          <w:lang w:eastAsia="zh-CN"/>
        </w:rPr>
        <w:t>中标人</w:t>
      </w:r>
      <w:r>
        <w:rPr>
          <w:rFonts w:hint="eastAsia" w:ascii="仿宋" w:hAnsi="仿宋" w:eastAsia="仿宋" w:cs="仿宋"/>
          <w:bCs/>
          <w:color w:val="auto"/>
          <w:sz w:val="24"/>
          <w:szCs w:val="24"/>
          <w:highlight w:val="none"/>
        </w:rPr>
        <w:t>应立即反馈给本人。并能协助预约专家会诊、预约住院等。</w:t>
      </w:r>
    </w:p>
    <w:p w14:paraId="0D22ECA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(15) </w:t>
      </w:r>
      <w:r>
        <w:rPr>
          <w:rFonts w:hint="eastAsia" w:ascii="仿宋" w:hAnsi="仿宋" w:eastAsia="仿宋" w:cs="仿宋"/>
          <w:bCs/>
          <w:color w:val="auto"/>
          <w:sz w:val="24"/>
          <w:szCs w:val="24"/>
          <w:highlight w:val="none"/>
          <w:lang w:eastAsia="zh-CN"/>
        </w:rPr>
        <w:t>中标人</w:t>
      </w:r>
      <w:r>
        <w:rPr>
          <w:rFonts w:hint="eastAsia" w:ascii="仿宋" w:hAnsi="仿宋" w:eastAsia="仿宋" w:cs="仿宋"/>
          <w:bCs/>
          <w:color w:val="auto"/>
          <w:sz w:val="24"/>
          <w:szCs w:val="24"/>
          <w:highlight w:val="none"/>
        </w:rPr>
        <w:t>负责做好体检登记和体检资料的制作和发放（如体检表、体检须知等），采购人因各种原因漏报体检人员，</w:t>
      </w:r>
      <w:r>
        <w:rPr>
          <w:rFonts w:hint="eastAsia" w:ascii="仿宋" w:hAnsi="仿宋" w:eastAsia="仿宋" w:cs="仿宋"/>
          <w:bCs/>
          <w:color w:val="auto"/>
          <w:sz w:val="24"/>
          <w:szCs w:val="24"/>
          <w:highlight w:val="none"/>
          <w:lang w:eastAsia="zh-CN"/>
        </w:rPr>
        <w:t>中标人</w:t>
      </w:r>
      <w:r>
        <w:rPr>
          <w:rFonts w:hint="eastAsia" w:ascii="仿宋" w:hAnsi="仿宋" w:eastAsia="仿宋" w:cs="仿宋"/>
          <w:bCs/>
          <w:color w:val="auto"/>
          <w:sz w:val="24"/>
          <w:szCs w:val="24"/>
          <w:highlight w:val="none"/>
        </w:rPr>
        <w:t>应及时与采购方联系确定，并予即时补办。前台登记不得随意要求采购人体检人员增加项目。</w:t>
      </w:r>
    </w:p>
    <w:p w14:paraId="0BE026D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(16) </w:t>
      </w:r>
      <w:r>
        <w:rPr>
          <w:rFonts w:hint="eastAsia" w:ascii="仿宋" w:hAnsi="仿宋" w:eastAsia="仿宋" w:cs="仿宋"/>
          <w:bCs/>
          <w:color w:val="auto"/>
          <w:sz w:val="24"/>
          <w:szCs w:val="24"/>
          <w:highlight w:val="none"/>
          <w:lang w:eastAsia="zh-CN"/>
        </w:rPr>
        <w:t>中标人</w:t>
      </w:r>
      <w:r>
        <w:rPr>
          <w:rFonts w:hint="eastAsia" w:ascii="仿宋" w:hAnsi="仿宋" w:eastAsia="仿宋" w:cs="仿宋"/>
          <w:bCs/>
          <w:color w:val="auto"/>
          <w:sz w:val="24"/>
          <w:szCs w:val="24"/>
          <w:highlight w:val="none"/>
        </w:rPr>
        <w:t>在服务期间由于自身责任造成采购人的一切损失，由</w:t>
      </w:r>
      <w:r>
        <w:rPr>
          <w:rFonts w:hint="eastAsia" w:ascii="仿宋" w:hAnsi="仿宋" w:eastAsia="仿宋" w:cs="仿宋"/>
          <w:bCs/>
          <w:color w:val="auto"/>
          <w:sz w:val="24"/>
          <w:szCs w:val="24"/>
          <w:highlight w:val="none"/>
          <w:lang w:eastAsia="zh-CN"/>
        </w:rPr>
        <w:t>中标人</w:t>
      </w:r>
      <w:r>
        <w:rPr>
          <w:rFonts w:hint="eastAsia" w:ascii="仿宋" w:hAnsi="仿宋" w:eastAsia="仿宋" w:cs="仿宋"/>
          <w:bCs/>
          <w:color w:val="auto"/>
          <w:sz w:val="24"/>
          <w:szCs w:val="24"/>
          <w:highlight w:val="none"/>
        </w:rPr>
        <w:t>负责赔偿。</w:t>
      </w:r>
    </w:p>
    <w:p w14:paraId="7F9D8F7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(17) </w:t>
      </w:r>
      <w:r>
        <w:rPr>
          <w:rFonts w:hint="eastAsia" w:ascii="仿宋" w:hAnsi="仿宋" w:eastAsia="仿宋" w:cs="仿宋"/>
          <w:bCs/>
          <w:color w:val="auto"/>
          <w:sz w:val="24"/>
          <w:szCs w:val="24"/>
          <w:highlight w:val="none"/>
          <w:lang w:eastAsia="zh-CN"/>
        </w:rPr>
        <w:t>中标人</w:t>
      </w:r>
      <w:r>
        <w:rPr>
          <w:rFonts w:hint="eastAsia" w:ascii="仿宋" w:hAnsi="仿宋" w:eastAsia="仿宋" w:cs="仿宋"/>
          <w:bCs/>
          <w:color w:val="auto"/>
          <w:sz w:val="24"/>
          <w:szCs w:val="24"/>
          <w:highlight w:val="none"/>
        </w:rPr>
        <w:t>未按服务项目要求完成或完成不彻底，须按要求重新安排体检，且采购人有权减扣合同付款金额直至终止合约，由此造成的一切后果由</w:t>
      </w:r>
      <w:r>
        <w:rPr>
          <w:rFonts w:hint="eastAsia" w:ascii="仿宋" w:hAnsi="仿宋" w:eastAsia="仿宋" w:cs="仿宋"/>
          <w:bCs/>
          <w:color w:val="auto"/>
          <w:sz w:val="24"/>
          <w:szCs w:val="24"/>
          <w:highlight w:val="none"/>
          <w:lang w:eastAsia="zh-CN"/>
        </w:rPr>
        <w:t>中标人</w:t>
      </w:r>
      <w:r>
        <w:rPr>
          <w:rFonts w:hint="eastAsia" w:ascii="仿宋" w:hAnsi="仿宋" w:eastAsia="仿宋" w:cs="仿宋"/>
          <w:bCs/>
          <w:color w:val="auto"/>
          <w:sz w:val="24"/>
          <w:szCs w:val="24"/>
          <w:highlight w:val="none"/>
        </w:rPr>
        <w:t>承担。</w:t>
      </w:r>
    </w:p>
    <w:p w14:paraId="27500F9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(18) 体检结束，送达体检结果后，</w:t>
      </w:r>
      <w:r>
        <w:rPr>
          <w:rFonts w:hint="eastAsia" w:ascii="仿宋" w:hAnsi="仿宋" w:eastAsia="仿宋" w:cs="仿宋"/>
          <w:bCs/>
          <w:color w:val="auto"/>
          <w:sz w:val="24"/>
          <w:szCs w:val="24"/>
          <w:highlight w:val="none"/>
          <w:lang w:eastAsia="zh-CN"/>
        </w:rPr>
        <w:t>中标人</w:t>
      </w:r>
      <w:r>
        <w:rPr>
          <w:rFonts w:hint="eastAsia" w:ascii="仿宋" w:hAnsi="仿宋" w:eastAsia="仿宋" w:cs="仿宋"/>
          <w:bCs/>
          <w:color w:val="auto"/>
          <w:sz w:val="24"/>
          <w:szCs w:val="24"/>
          <w:highlight w:val="none"/>
        </w:rPr>
        <w:t>应免费派专家到采购人指定地点举行体检结果分析暨健康讲座二次及以上。</w:t>
      </w:r>
    </w:p>
    <w:p w14:paraId="6E6577B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w:t>
      </w:r>
      <w:r>
        <w:rPr>
          <w:rFonts w:hint="eastAsia" w:ascii="仿宋" w:hAnsi="仿宋" w:eastAsia="仿宋" w:cs="仿宋"/>
          <w:bCs/>
          <w:color w:val="auto"/>
          <w:sz w:val="24"/>
          <w:szCs w:val="24"/>
          <w:highlight w:val="none"/>
          <w:lang w:val="en-US" w:eastAsia="zh-CN"/>
        </w:rPr>
        <w:t>19</w:t>
      </w:r>
      <w:r>
        <w:rPr>
          <w:rFonts w:hint="eastAsia" w:ascii="仿宋" w:hAnsi="仿宋" w:eastAsia="仿宋" w:cs="仿宋"/>
          <w:bCs/>
          <w:color w:val="auto"/>
          <w:sz w:val="24"/>
          <w:szCs w:val="24"/>
          <w:highlight w:val="none"/>
        </w:rPr>
        <w:t>)</w:t>
      </w: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bCs/>
          <w:color w:val="auto"/>
          <w:sz w:val="24"/>
          <w:szCs w:val="24"/>
          <w:highlight w:val="none"/>
        </w:rPr>
        <w:t>如因采购人教职工特殊情况，可延长服务期限</w:t>
      </w:r>
      <w:r>
        <w:rPr>
          <w:rFonts w:hint="eastAsia" w:ascii="仿宋" w:hAnsi="仿宋" w:eastAsia="仿宋" w:cs="仿宋"/>
          <w:bCs/>
          <w:color w:val="auto"/>
          <w:sz w:val="24"/>
          <w:szCs w:val="24"/>
          <w:highlight w:val="none"/>
          <w:lang w:eastAsia="zh-CN"/>
        </w:rPr>
        <w:t>。</w:t>
      </w:r>
    </w:p>
    <w:p w14:paraId="55F6A500">
      <w:pPr>
        <w:keepNext w:val="0"/>
        <w:keepLines w:val="0"/>
        <w:pageBreakBefore w:val="0"/>
        <w:kinsoku/>
        <w:wordWrap/>
        <w:overflowPunct/>
        <w:topLinePunct w:val="0"/>
        <w:autoSpaceDE/>
        <w:autoSpaceDN/>
        <w:bidi w:val="0"/>
        <w:adjustRightInd/>
        <w:snapToGrid/>
        <w:spacing w:line="360" w:lineRule="auto"/>
        <w:ind w:firstLine="562" w:firstLineChars="200"/>
        <w:textAlignment w:val="auto"/>
        <w:rPr>
          <w:rFonts w:hint="default" w:ascii="仿宋" w:hAnsi="仿宋" w:eastAsia="仿宋" w:cs="仿宋"/>
          <w:b/>
          <w:bCs w:val="0"/>
          <w:color w:val="auto"/>
          <w:sz w:val="28"/>
          <w:szCs w:val="28"/>
          <w:highlight w:val="none"/>
          <w:u w:val="single"/>
          <w:lang w:val="en-US" w:eastAsia="zh-CN"/>
        </w:rPr>
      </w:pPr>
      <w:r>
        <w:rPr>
          <w:rFonts w:hint="eastAsia" w:ascii="仿宋" w:hAnsi="仿宋" w:eastAsia="仿宋" w:cs="仿宋"/>
          <w:b/>
          <w:bCs w:val="0"/>
          <w:color w:val="auto"/>
          <w:sz w:val="28"/>
          <w:szCs w:val="28"/>
          <w:highlight w:val="none"/>
          <w:u w:val="single"/>
          <w:lang w:eastAsia="zh-CN"/>
        </w:rPr>
        <w:t>（</w:t>
      </w:r>
      <w:r>
        <w:rPr>
          <w:rFonts w:hint="eastAsia" w:ascii="仿宋" w:hAnsi="仿宋" w:eastAsia="仿宋" w:cs="仿宋"/>
          <w:b/>
          <w:bCs w:val="0"/>
          <w:color w:val="auto"/>
          <w:sz w:val="28"/>
          <w:szCs w:val="28"/>
          <w:highlight w:val="none"/>
          <w:u w:val="single"/>
          <w:lang w:val="en-US" w:eastAsia="zh-CN"/>
        </w:rPr>
        <w:t>20</w:t>
      </w:r>
      <w:r>
        <w:rPr>
          <w:rFonts w:hint="eastAsia" w:ascii="仿宋" w:hAnsi="仿宋" w:eastAsia="仿宋" w:cs="仿宋"/>
          <w:b/>
          <w:bCs w:val="0"/>
          <w:color w:val="auto"/>
          <w:sz w:val="28"/>
          <w:szCs w:val="28"/>
          <w:highlight w:val="none"/>
          <w:u w:val="single"/>
          <w:lang w:eastAsia="zh-CN"/>
        </w:rPr>
        <w:t>）</w:t>
      </w:r>
      <w:r>
        <w:rPr>
          <w:rFonts w:hint="eastAsia" w:ascii="仿宋" w:hAnsi="仿宋" w:eastAsia="仿宋" w:cs="仿宋"/>
          <w:b/>
          <w:bCs w:val="0"/>
          <w:color w:val="auto"/>
          <w:sz w:val="28"/>
          <w:szCs w:val="28"/>
          <w:highlight w:val="none"/>
          <w:u w:val="single"/>
          <w:lang w:val="en-US" w:eastAsia="zh-CN"/>
        </w:rPr>
        <w:t>实质性要求：投标人须提供完全响应本项目 “分组体检项目” 的承诺函（加盖单位公章），中标后不得删减任何检查项目。若违反上述约定，采购人有权终止合同，并将其违规行为上报相关监管部门予以查处。</w:t>
      </w:r>
    </w:p>
    <w:p w14:paraId="6F40BBC9">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仿宋" w:hAnsi="仿宋" w:eastAsia="仿宋" w:cs="仿宋"/>
          <w:b/>
          <w:bCs w:val="0"/>
          <w:color w:val="auto"/>
          <w:sz w:val="24"/>
          <w:szCs w:val="24"/>
          <w:highlight w:val="none"/>
          <w:lang w:val="en-US" w:eastAsia="zh-CN"/>
        </w:rPr>
      </w:pPr>
    </w:p>
    <w:p w14:paraId="3B0F84A4">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br w:type="page"/>
      </w:r>
    </w:p>
    <w:p w14:paraId="53B2C0C3">
      <w:pPr>
        <w:keepNext w:val="0"/>
        <w:keepLines w:val="0"/>
        <w:pageBreakBefore w:val="0"/>
        <w:widowControl/>
        <w:numPr>
          <w:ilvl w:val="0"/>
          <w:numId w:val="0"/>
        </w:numPr>
        <w:kinsoku/>
        <w:wordWrap/>
        <w:overflowPunct/>
        <w:topLinePunct w:val="0"/>
        <w:autoSpaceDE/>
        <w:autoSpaceDN/>
        <w:bidi w:val="0"/>
        <w:adjustRightInd/>
        <w:snapToGrid/>
        <w:jc w:val="center"/>
        <w:textAlignment w:val="auto"/>
        <w:outlineLvl w:val="1"/>
        <w:rPr>
          <w:rFonts w:hint="eastAsia" w:ascii="仿宋" w:hAnsi="仿宋" w:eastAsia="仿宋" w:cs="仿宋"/>
          <w:b/>
          <w:color w:val="auto"/>
          <w:kern w:val="0"/>
          <w:sz w:val="28"/>
          <w:szCs w:val="18"/>
          <w:highlight w:val="none"/>
          <w:lang w:val="en-US" w:eastAsia="zh-CN"/>
        </w:rPr>
      </w:pPr>
      <w:bookmarkStart w:id="96" w:name="_Toc11699"/>
      <w:bookmarkStart w:id="97" w:name="_Toc16966"/>
      <w:r>
        <w:rPr>
          <w:rFonts w:hint="eastAsia" w:ascii="仿宋" w:hAnsi="仿宋" w:eastAsia="仿宋" w:cs="仿宋"/>
          <w:b/>
          <w:color w:val="auto"/>
          <w:kern w:val="0"/>
          <w:sz w:val="28"/>
          <w:szCs w:val="18"/>
          <w:highlight w:val="none"/>
          <w:lang w:val="en-US" w:eastAsia="zh-CN" w:bidi="ar-SA"/>
        </w:rPr>
        <w:t>三、</w:t>
      </w:r>
      <w:r>
        <w:rPr>
          <w:rFonts w:hint="eastAsia" w:ascii="仿宋" w:hAnsi="仿宋" w:eastAsia="仿宋" w:cs="仿宋"/>
          <w:b/>
          <w:color w:val="auto"/>
          <w:kern w:val="0"/>
          <w:sz w:val="28"/>
          <w:szCs w:val="18"/>
          <w:highlight w:val="none"/>
          <w:lang w:val="en-US" w:eastAsia="zh-CN"/>
        </w:rPr>
        <w:t>最高限价表</w:t>
      </w:r>
      <w:bookmarkEnd w:id="96"/>
      <w:bookmarkEnd w:id="97"/>
    </w:p>
    <w:p w14:paraId="26FDED0E">
      <w:pPr>
        <w:rPr>
          <w:rFonts w:hint="eastAsia"/>
          <w:color w:val="auto"/>
          <w:highlight w:val="none"/>
          <w:lang w:val="en-US" w:eastAsia="zh-CN"/>
        </w:rPr>
      </w:pPr>
    </w:p>
    <w:p w14:paraId="5363173D">
      <w:pPr>
        <w:rPr>
          <w:rFonts w:hint="default"/>
          <w:color w:val="auto"/>
          <w:highlight w:val="none"/>
          <w:lang w:val="en-US" w:eastAsia="zh-CN"/>
        </w:rPr>
      </w:pPr>
    </w:p>
    <w:tbl>
      <w:tblPr>
        <w:tblStyle w:val="40"/>
        <w:tblW w:w="84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98"/>
        <w:gridCol w:w="3118"/>
        <w:gridCol w:w="2835"/>
        <w:gridCol w:w="1379"/>
      </w:tblGrid>
      <w:tr w14:paraId="72BA72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1098" w:type="dxa"/>
            <w:vAlign w:val="center"/>
          </w:tcPr>
          <w:p w14:paraId="721092E2">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序号</w:t>
            </w:r>
          </w:p>
        </w:tc>
        <w:tc>
          <w:tcPr>
            <w:tcW w:w="3118" w:type="dxa"/>
            <w:vAlign w:val="center"/>
          </w:tcPr>
          <w:p w14:paraId="0DF54D8E">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套餐名称</w:t>
            </w:r>
          </w:p>
        </w:tc>
        <w:tc>
          <w:tcPr>
            <w:tcW w:w="2835" w:type="dxa"/>
            <w:vAlign w:val="center"/>
          </w:tcPr>
          <w:p w14:paraId="1DF2E013">
            <w:pPr>
              <w:jc w:val="center"/>
              <w:rPr>
                <w:rFonts w:hint="eastAsia" w:ascii="仿宋" w:hAnsi="仿宋" w:eastAsia="仿宋" w:cs="仿宋"/>
                <w:bCs/>
                <w:color w:val="auto"/>
                <w:szCs w:val="21"/>
                <w:highlight w:val="none"/>
              </w:rPr>
            </w:pPr>
            <w:r>
              <w:rPr>
                <w:rFonts w:hint="eastAsia" w:ascii="仿宋" w:hAnsi="仿宋" w:eastAsia="仿宋" w:cs="仿宋"/>
                <w:color w:val="auto"/>
                <w:kern w:val="0"/>
                <w:szCs w:val="21"/>
                <w:highlight w:val="none"/>
                <w:lang w:val="en-US" w:eastAsia="zh-CN"/>
              </w:rPr>
              <w:t>最高限价</w:t>
            </w:r>
            <w:r>
              <w:rPr>
                <w:rFonts w:hint="eastAsia" w:ascii="仿宋" w:hAnsi="仿宋" w:eastAsia="仿宋" w:cs="仿宋"/>
                <w:color w:val="auto"/>
                <w:kern w:val="0"/>
                <w:szCs w:val="21"/>
                <w:highlight w:val="none"/>
              </w:rPr>
              <w:t>单价</w:t>
            </w:r>
            <w:r>
              <w:rPr>
                <w:rFonts w:hint="eastAsia" w:ascii="仿宋" w:hAnsi="仿宋" w:eastAsia="仿宋" w:cs="仿宋"/>
                <w:bCs/>
                <w:color w:val="auto"/>
                <w:szCs w:val="21"/>
                <w:highlight w:val="none"/>
              </w:rPr>
              <w:t>（元）</w:t>
            </w:r>
          </w:p>
        </w:tc>
        <w:tc>
          <w:tcPr>
            <w:tcW w:w="1379" w:type="dxa"/>
            <w:vAlign w:val="center"/>
          </w:tcPr>
          <w:p w14:paraId="29B38BF9">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备注</w:t>
            </w:r>
          </w:p>
        </w:tc>
      </w:tr>
      <w:tr w14:paraId="7E42F4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1098" w:type="dxa"/>
            <w:vAlign w:val="center"/>
          </w:tcPr>
          <w:p w14:paraId="465130B6">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1</w:t>
            </w:r>
          </w:p>
        </w:tc>
        <w:tc>
          <w:tcPr>
            <w:tcW w:w="3118" w:type="dxa"/>
            <w:vAlign w:val="center"/>
          </w:tcPr>
          <w:p w14:paraId="3CB175F1">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A、40岁及以下男士套餐</w:t>
            </w:r>
          </w:p>
        </w:tc>
        <w:tc>
          <w:tcPr>
            <w:tcW w:w="2835" w:type="dxa"/>
            <w:vAlign w:val="center"/>
          </w:tcPr>
          <w:p w14:paraId="6A4CFAF2">
            <w:pPr>
              <w:jc w:val="center"/>
              <w:rPr>
                <w:rFonts w:hint="default"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830</w:t>
            </w:r>
          </w:p>
        </w:tc>
        <w:tc>
          <w:tcPr>
            <w:tcW w:w="1379" w:type="dxa"/>
            <w:vAlign w:val="center"/>
          </w:tcPr>
          <w:p w14:paraId="79ABE44E">
            <w:pPr>
              <w:jc w:val="center"/>
              <w:rPr>
                <w:rFonts w:hint="eastAsia" w:ascii="仿宋" w:hAnsi="仿宋" w:eastAsia="仿宋" w:cs="仿宋"/>
                <w:bCs/>
                <w:color w:val="auto"/>
                <w:szCs w:val="21"/>
                <w:highlight w:val="none"/>
              </w:rPr>
            </w:pPr>
          </w:p>
        </w:tc>
      </w:tr>
      <w:tr w14:paraId="3E5FB7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1098" w:type="dxa"/>
            <w:vAlign w:val="center"/>
          </w:tcPr>
          <w:p w14:paraId="26607A04">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2</w:t>
            </w:r>
          </w:p>
        </w:tc>
        <w:tc>
          <w:tcPr>
            <w:tcW w:w="3118" w:type="dxa"/>
            <w:vAlign w:val="center"/>
          </w:tcPr>
          <w:p w14:paraId="751892A6">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B、41岁及以上男士套餐</w:t>
            </w:r>
          </w:p>
        </w:tc>
        <w:tc>
          <w:tcPr>
            <w:tcW w:w="2835" w:type="dxa"/>
            <w:vAlign w:val="center"/>
          </w:tcPr>
          <w:p w14:paraId="715D1A1E">
            <w:pPr>
              <w:jc w:val="center"/>
              <w:rPr>
                <w:rFonts w:hint="default"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1180</w:t>
            </w:r>
          </w:p>
        </w:tc>
        <w:tc>
          <w:tcPr>
            <w:tcW w:w="1379" w:type="dxa"/>
            <w:vAlign w:val="center"/>
          </w:tcPr>
          <w:p w14:paraId="73BE389E">
            <w:pPr>
              <w:jc w:val="center"/>
              <w:rPr>
                <w:rFonts w:hint="eastAsia" w:ascii="仿宋" w:hAnsi="仿宋" w:eastAsia="仿宋" w:cs="仿宋"/>
                <w:bCs/>
                <w:color w:val="auto"/>
                <w:szCs w:val="21"/>
                <w:highlight w:val="none"/>
              </w:rPr>
            </w:pPr>
          </w:p>
        </w:tc>
      </w:tr>
      <w:tr w14:paraId="28E38C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1098" w:type="dxa"/>
            <w:shd w:val="clear" w:color="auto" w:fill="auto"/>
            <w:vAlign w:val="center"/>
          </w:tcPr>
          <w:p w14:paraId="60E53DE8">
            <w:pPr>
              <w:jc w:val="center"/>
              <w:rPr>
                <w:rFonts w:hint="eastAsia" w:ascii="仿宋" w:hAnsi="仿宋" w:eastAsia="仿宋" w:cs="仿宋"/>
                <w:bCs/>
                <w:color w:val="auto"/>
                <w:kern w:val="2"/>
                <w:sz w:val="21"/>
                <w:szCs w:val="21"/>
                <w:highlight w:val="none"/>
                <w:lang w:val="en-US" w:eastAsia="zh-CN" w:bidi="ar-SA"/>
              </w:rPr>
            </w:pPr>
            <w:r>
              <w:rPr>
                <w:rFonts w:hint="eastAsia" w:ascii="仿宋" w:hAnsi="仿宋" w:eastAsia="仿宋" w:cs="仿宋"/>
                <w:bCs/>
                <w:color w:val="auto"/>
                <w:szCs w:val="21"/>
                <w:highlight w:val="none"/>
              </w:rPr>
              <w:t>3</w:t>
            </w:r>
          </w:p>
        </w:tc>
        <w:tc>
          <w:tcPr>
            <w:tcW w:w="3118" w:type="dxa"/>
            <w:shd w:val="clear" w:color="auto" w:fill="auto"/>
            <w:vAlign w:val="center"/>
          </w:tcPr>
          <w:p w14:paraId="4683E2D0">
            <w:pPr>
              <w:jc w:val="center"/>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Cs w:val="21"/>
                <w:highlight w:val="none"/>
              </w:rPr>
              <w:t>C、40岁及以下未婚女士套餐</w:t>
            </w:r>
          </w:p>
        </w:tc>
        <w:tc>
          <w:tcPr>
            <w:tcW w:w="2835" w:type="dxa"/>
            <w:shd w:val="clear" w:color="auto" w:fill="auto"/>
            <w:vAlign w:val="center"/>
          </w:tcPr>
          <w:p w14:paraId="0CDA6B11">
            <w:pPr>
              <w:jc w:val="center"/>
              <w:rPr>
                <w:rFonts w:hint="default"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840</w:t>
            </w:r>
          </w:p>
        </w:tc>
        <w:tc>
          <w:tcPr>
            <w:tcW w:w="1379" w:type="dxa"/>
            <w:vAlign w:val="center"/>
          </w:tcPr>
          <w:p w14:paraId="78BB9CF2">
            <w:pPr>
              <w:jc w:val="center"/>
              <w:rPr>
                <w:rFonts w:hint="eastAsia" w:ascii="仿宋" w:hAnsi="仿宋" w:eastAsia="仿宋" w:cs="仿宋"/>
                <w:bCs/>
                <w:color w:val="auto"/>
                <w:szCs w:val="21"/>
                <w:highlight w:val="none"/>
              </w:rPr>
            </w:pPr>
          </w:p>
        </w:tc>
      </w:tr>
      <w:tr w14:paraId="22AF2B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1098" w:type="dxa"/>
            <w:shd w:val="clear" w:color="auto" w:fill="auto"/>
            <w:vAlign w:val="center"/>
          </w:tcPr>
          <w:p w14:paraId="0A0D66A1">
            <w:pPr>
              <w:jc w:val="center"/>
              <w:rPr>
                <w:rFonts w:hint="eastAsia" w:ascii="仿宋" w:hAnsi="仿宋" w:eastAsia="仿宋" w:cs="仿宋"/>
                <w:bCs/>
                <w:color w:val="auto"/>
                <w:kern w:val="2"/>
                <w:sz w:val="21"/>
                <w:szCs w:val="21"/>
                <w:highlight w:val="none"/>
                <w:lang w:val="en-US" w:eastAsia="zh-CN" w:bidi="ar-SA"/>
              </w:rPr>
            </w:pPr>
            <w:r>
              <w:rPr>
                <w:rFonts w:hint="eastAsia" w:ascii="仿宋" w:hAnsi="仿宋" w:eastAsia="仿宋" w:cs="仿宋"/>
                <w:bCs/>
                <w:color w:val="auto"/>
                <w:szCs w:val="21"/>
                <w:highlight w:val="none"/>
              </w:rPr>
              <w:t>4</w:t>
            </w:r>
          </w:p>
        </w:tc>
        <w:tc>
          <w:tcPr>
            <w:tcW w:w="3118" w:type="dxa"/>
            <w:shd w:val="clear" w:color="auto" w:fill="auto"/>
            <w:vAlign w:val="center"/>
          </w:tcPr>
          <w:p w14:paraId="36DC6726">
            <w:pPr>
              <w:jc w:val="center"/>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Cs w:val="21"/>
                <w:highlight w:val="none"/>
              </w:rPr>
              <w:t>D、41岁及以上未婚女士套餐</w:t>
            </w:r>
          </w:p>
        </w:tc>
        <w:tc>
          <w:tcPr>
            <w:tcW w:w="2835" w:type="dxa"/>
            <w:shd w:val="clear" w:color="auto" w:fill="auto"/>
            <w:vAlign w:val="center"/>
          </w:tcPr>
          <w:p w14:paraId="1CFD5625">
            <w:pPr>
              <w:jc w:val="center"/>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1100</w:t>
            </w:r>
          </w:p>
        </w:tc>
        <w:tc>
          <w:tcPr>
            <w:tcW w:w="1379" w:type="dxa"/>
            <w:vAlign w:val="center"/>
          </w:tcPr>
          <w:p w14:paraId="681A773B">
            <w:pPr>
              <w:jc w:val="center"/>
              <w:rPr>
                <w:rFonts w:hint="eastAsia" w:ascii="仿宋" w:hAnsi="仿宋" w:eastAsia="仿宋" w:cs="仿宋"/>
                <w:bCs/>
                <w:color w:val="auto"/>
                <w:szCs w:val="21"/>
                <w:highlight w:val="none"/>
              </w:rPr>
            </w:pPr>
          </w:p>
        </w:tc>
      </w:tr>
      <w:tr w14:paraId="74E9F3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1098" w:type="dxa"/>
            <w:shd w:val="clear" w:color="auto" w:fill="auto"/>
            <w:vAlign w:val="center"/>
          </w:tcPr>
          <w:p w14:paraId="1C1F6D7B">
            <w:pPr>
              <w:jc w:val="center"/>
              <w:rPr>
                <w:rFonts w:hint="eastAsia" w:ascii="仿宋" w:hAnsi="仿宋" w:eastAsia="仿宋" w:cs="仿宋"/>
                <w:bCs/>
                <w:color w:val="auto"/>
                <w:kern w:val="2"/>
                <w:sz w:val="21"/>
                <w:szCs w:val="21"/>
                <w:highlight w:val="none"/>
                <w:lang w:val="en-US" w:eastAsia="zh-CN" w:bidi="ar-SA"/>
              </w:rPr>
            </w:pPr>
            <w:r>
              <w:rPr>
                <w:rFonts w:hint="eastAsia" w:ascii="仿宋" w:hAnsi="仿宋" w:eastAsia="仿宋" w:cs="仿宋"/>
                <w:bCs/>
                <w:color w:val="auto"/>
                <w:szCs w:val="21"/>
                <w:highlight w:val="none"/>
              </w:rPr>
              <w:t>5</w:t>
            </w:r>
          </w:p>
        </w:tc>
        <w:tc>
          <w:tcPr>
            <w:tcW w:w="3118" w:type="dxa"/>
            <w:shd w:val="clear" w:color="auto" w:fill="auto"/>
            <w:vAlign w:val="center"/>
          </w:tcPr>
          <w:p w14:paraId="3552B0BB">
            <w:pPr>
              <w:jc w:val="center"/>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Cs w:val="21"/>
                <w:highlight w:val="none"/>
              </w:rPr>
              <w:t>E、40岁及以下已婚女士套餐</w:t>
            </w:r>
          </w:p>
        </w:tc>
        <w:tc>
          <w:tcPr>
            <w:tcW w:w="2835" w:type="dxa"/>
            <w:shd w:val="clear" w:color="auto" w:fill="auto"/>
            <w:vAlign w:val="center"/>
          </w:tcPr>
          <w:p w14:paraId="77858A08">
            <w:pPr>
              <w:jc w:val="center"/>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850</w:t>
            </w:r>
          </w:p>
        </w:tc>
        <w:tc>
          <w:tcPr>
            <w:tcW w:w="1379" w:type="dxa"/>
            <w:vAlign w:val="center"/>
          </w:tcPr>
          <w:p w14:paraId="7ECA4FAF">
            <w:pPr>
              <w:jc w:val="center"/>
              <w:rPr>
                <w:rFonts w:hint="eastAsia" w:ascii="仿宋" w:hAnsi="仿宋" w:eastAsia="仿宋" w:cs="仿宋"/>
                <w:bCs/>
                <w:color w:val="auto"/>
                <w:szCs w:val="21"/>
                <w:highlight w:val="none"/>
              </w:rPr>
            </w:pPr>
          </w:p>
          <w:p w14:paraId="68DB6027">
            <w:pPr>
              <w:jc w:val="center"/>
              <w:rPr>
                <w:rFonts w:hint="eastAsia" w:ascii="仿宋" w:hAnsi="仿宋" w:eastAsia="仿宋" w:cs="仿宋"/>
                <w:bCs/>
                <w:color w:val="auto"/>
                <w:szCs w:val="21"/>
                <w:highlight w:val="none"/>
              </w:rPr>
            </w:pPr>
          </w:p>
        </w:tc>
      </w:tr>
      <w:tr w14:paraId="4C64E8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1098" w:type="dxa"/>
            <w:shd w:val="clear" w:color="auto" w:fill="auto"/>
            <w:vAlign w:val="center"/>
          </w:tcPr>
          <w:p w14:paraId="098F0C3D">
            <w:pPr>
              <w:jc w:val="center"/>
              <w:rPr>
                <w:rFonts w:hint="eastAsia" w:ascii="仿宋" w:hAnsi="仿宋" w:eastAsia="仿宋" w:cs="仿宋"/>
                <w:bCs/>
                <w:color w:val="auto"/>
                <w:kern w:val="2"/>
                <w:sz w:val="21"/>
                <w:szCs w:val="21"/>
                <w:highlight w:val="none"/>
                <w:lang w:val="en-US" w:eastAsia="zh-CN" w:bidi="ar-SA"/>
              </w:rPr>
            </w:pPr>
            <w:r>
              <w:rPr>
                <w:rFonts w:hint="eastAsia" w:ascii="仿宋" w:hAnsi="仿宋" w:eastAsia="仿宋" w:cs="仿宋"/>
                <w:bCs/>
                <w:color w:val="auto"/>
                <w:szCs w:val="21"/>
                <w:highlight w:val="none"/>
              </w:rPr>
              <w:t>6</w:t>
            </w:r>
          </w:p>
        </w:tc>
        <w:tc>
          <w:tcPr>
            <w:tcW w:w="3118" w:type="dxa"/>
            <w:shd w:val="clear" w:color="auto" w:fill="auto"/>
            <w:vAlign w:val="center"/>
          </w:tcPr>
          <w:p w14:paraId="7A1EF285">
            <w:pPr>
              <w:jc w:val="center"/>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Cs w:val="21"/>
                <w:highlight w:val="none"/>
              </w:rPr>
              <w:t>F、41岁及以上已婚女士套餐</w:t>
            </w:r>
          </w:p>
        </w:tc>
        <w:tc>
          <w:tcPr>
            <w:tcW w:w="2835" w:type="dxa"/>
            <w:shd w:val="clear" w:color="auto" w:fill="auto"/>
            <w:vAlign w:val="center"/>
          </w:tcPr>
          <w:p w14:paraId="663A1EE6">
            <w:pPr>
              <w:jc w:val="center"/>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1200</w:t>
            </w:r>
          </w:p>
        </w:tc>
        <w:tc>
          <w:tcPr>
            <w:tcW w:w="1379" w:type="dxa"/>
            <w:vAlign w:val="center"/>
          </w:tcPr>
          <w:p w14:paraId="06DCF533">
            <w:pPr>
              <w:jc w:val="center"/>
              <w:rPr>
                <w:rFonts w:hint="eastAsia" w:ascii="仿宋" w:hAnsi="仿宋" w:eastAsia="仿宋" w:cs="仿宋"/>
                <w:bCs/>
                <w:color w:val="auto"/>
                <w:szCs w:val="21"/>
                <w:highlight w:val="none"/>
              </w:rPr>
            </w:pPr>
          </w:p>
        </w:tc>
      </w:tr>
      <w:tr w14:paraId="33C69A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1" w:hRule="atLeast"/>
          <w:jc w:val="center"/>
        </w:trPr>
        <w:tc>
          <w:tcPr>
            <w:tcW w:w="4216" w:type="dxa"/>
            <w:gridSpan w:val="2"/>
            <w:vAlign w:val="center"/>
          </w:tcPr>
          <w:p w14:paraId="4A22096B">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val="en-US" w:eastAsia="zh-CN"/>
              </w:rPr>
              <w:t>最高限价</w:t>
            </w:r>
            <w:r>
              <w:rPr>
                <w:rFonts w:hint="eastAsia" w:ascii="仿宋" w:hAnsi="仿宋" w:eastAsia="仿宋" w:cs="仿宋"/>
                <w:color w:val="auto"/>
                <w:kern w:val="0"/>
                <w:szCs w:val="21"/>
                <w:highlight w:val="none"/>
              </w:rPr>
              <w:t>单价合计金额</w:t>
            </w:r>
            <w:r>
              <w:rPr>
                <w:rFonts w:hint="eastAsia" w:ascii="仿宋" w:hAnsi="仿宋" w:eastAsia="仿宋" w:cs="仿宋"/>
                <w:bCs/>
                <w:color w:val="auto"/>
                <w:szCs w:val="21"/>
                <w:highlight w:val="none"/>
              </w:rPr>
              <w:t>（元）</w:t>
            </w:r>
          </w:p>
        </w:tc>
        <w:tc>
          <w:tcPr>
            <w:tcW w:w="2835" w:type="dxa"/>
            <w:vAlign w:val="center"/>
          </w:tcPr>
          <w:p w14:paraId="725A0491">
            <w:pPr>
              <w:jc w:val="center"/>
              <w:rPr>
                <w:rFonts w:hint="default" w:ascii="仿宋" w:hAnsi="仿宋" w:eastAsia="仿宋" w:cs="仿宋"/>
                <w:bCs/>
                <w:color w:val="auto"/>
                <w:szCs w:val="21"/>
                <w:highlight w:val="none"/>
                <w:lang w:val="en-US" w:eastAsia="zh-CN"/>
              </w:rPr>
            </w:pPr>
            <w:r>
              <w:rPr>
                <w:rFonts w:hint="eastAsia" w:ascii="仿宋" w:hAnsi="仿宋" w:eastAsia="仿宋" w:cs="仿宋"/>
                <w:bCs/>
                <w:color w:val="auto"/>
                <w:szCs w:val="21"/>
                <w:highlight w:val="none"/>
                <w:lang w:val="en-US" w:eastAsia="zh-CN"/>
              </w:rPr>
              <w:t>6000</w:t>
            </w:r>
          </w:p>
        </w:tc>
        <w:tc>
          <w:tcPr>
            <w:tcW w:w="1379" w:type="dxa"/>
            <w:vAlign w:val="center"/>
          </w:tcPr>
          <w:p w14:paraId="4D3C4A74">
            <w:pPr>
              <w:jc w:val="center"/>
              <w:rPr>
                <w:rFonts w:hint="eastAsia" w:ascii="仿宋" w:hAnsi="仿宋" w:eastAsia="仿宋" w:cs="仿宋"/>
                <w:bCs/>
                <w:color w:val="auto"/>
                <w:szCs w:val="21"/>
                <w:highlight w:val="none"/>
              </w:rPr>
            </w:pPr>
          </w:p>
        </w:tc>
      </w:tr>
    </w:tbl>
    <w:p w14:paraId="1F6F796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color w:val="auto"/>
          <w:sz w:val="24"/>
          <w:szCs w:val="24"/>
          <w:highlight w:val="none"/>
          <w:lang w:eastAsia="zh-CN"/>
        </w:rPr>
      </w:pPr>
    </w:p>
    <w:p w14:paraId="2D415DB1">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p>
    <w:p w14:paraId="6DEAA1D9">
      <w:pPr>
        <w:widowControl/>
        <w:shd w:val="clear" w:color="auto" w:fill="FFFFFF"/>
        <w:snapToGrid w:val="0"/>
        <w:spacing w:line="360" w:lineRule="auto"/>
        <w:ind w:firstLine="480" w:firstLineChars="200"/>
        <w:rPr>
          <w:rFonts w:hint="eastAsia" w:ascii="仿宋" w:hAnsi="仿宋" w:eastAsia="仿宋" w:cs="仿宋"/>
          <w:color w:val="auto"/>
          <w:kern w:val="0"/>
          <w:sz w:val="24"/>
          <w:szCs w:val="24"/>
          <w:highlight w:val="none"/>
        </w:rPr>
      </w:pPr>
    </w:p>
    <w:p w14:paraId="735D200E">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color w:val="auto"/>
          <w:sz w:val="24"/>
          <w:highlight w:val="none"/>
        </w:rPr>
      </w:pPr>
    </w:p>
    <w:p w14:paraId="5D161166">
      <w:pPr>
        <w:rPr>
          <w:rFonts w:hint="eastAsia" w:ascii="仿宋" w:hAnsi="仿宋" w:eastAsia="仿宋" w:cs="仿宋"/>
          <w:color w:val="auto"/>
          <w:highlight w:val="none"/>
        </w:rPr>
      </w:pPr>
    </w:p>
    <w:p w14:paraId="4C929ED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lang w:eastAsia="zh-CN"/>
        </w:rPr>
      </w:pPr>
    </w:p>
    <w:p w14:paraId="42C7EF2B">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br w:type="page"/>
      </w:r>
    </w:p>
    <w:p w14:paraId="17BEA65D">
      <w:pPr>
        <w:spacing w:line="440" w:lineRule="exact"/>
        <w:jc w:val="center"/>
        <w:outlineLvl w:val="0"/>
        <w:rPr>
          <w:rFonts w:hint="eastAsia" w:ascii="仿宋" w:hAnsi="仿宋" w:eastAsia="仿宋" w:cs="仿宋"/>
          <w:b/>
          <w:color w:val="auto"/>
          <w:sz w:val="24"/>
          <w:szCs w:val="24"/>
          <w:highlight w:val="none"/>
        </w:rPr>
      </w:pPr>
      <w:bookmarkStart w:id="98" w:name="_Toc24189"/>
      <w:r>
        <w:rPr>
          <w:rFonts w:hint="eastAsia" w:ascii="仿宋" w:hAnsi="仿宋" w:eastAsia="仿宋" w:cs="仿宋"/>
          <w:b/>
          <w:color w:val="auto"/>
          <w:sz w:val="24"/>
          <w:szCs w:val="24"/>
          <w:highlight w:val="none"/>
        </w:rPr>
        <w:t>第五章 投标文件格式</w:t>
      </w:r>
      <w:bookmarkEnd w:id="85"/>
      <w:bookmarkEnd w:id="98"/>
    </w:p>
    <w:p w14:paraId="1B4D7084">
      <w:pPr>
        <w:rPr>
          <w:rFonts w:hint="eastAsia" w:ascii="仿宋" w:hAnsi="仿宋" w:eastAsia="仿宋" w:cs="仿宋"/>
          <w:b/>
          <w:color w:val="auto"/>
          <w:sz w:val="24"/>
          <w:szCs w:val="24"/>
          <w:highlight w:val="none"/>
        </w:rPr>
      </w:pPr>
    </w:p>
    <w:p w14:paraId="144F3838">
      <w:pPr>
        <w:rPr>
          <w:rFonts w:hint="eastAsia" w:ascii="仿宋" w:hAnsi="仿宋" w:eastAsia="仿宋" w:cs="仿宋"/>
          <w:color w:val="auto"/>
          <w:sz w:val="24"/>
          <w:szCs w:val="24"/>
          <w:highlight w:val="none"/>
          <w:u w:val="single"/>
        </w:rPr>
      </w:pPr>
    </w:p>
    <w:p w14:paraId="08CDB3AA">
      <w:pPr>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投标文件封面示例</w:t>
      </w:r>
    </w:p>
    <w:p w14:paraId="658BF6E4">
      <w:pPr>
        <w:spacing w:line="480" w:lineRule="auto"/>
        <w:jc w:val="center"/>
        <w:rPr>
          <w:rFonts w:hint="eastAsia" w:ascii="仿宋" w:hAnsi="仿宋" w:eastAsia="仿宋" w:cs="仿宋"/>
          <w:b/>
          <w:bCs/>
          <w:color w:val="auto"/>
          <w:sz w:val="24"/>
          <w:szCs w:val="24"/>
          <w:highlight w:val="none"/>
          <w:u w:val="single"/>
        </w:rPr>
      </w:pPr>
    </w:p>
    <w:p w14:paraId="19794BE6">
      <w:pPr>
        <w:pStyle w:val="38"/>
        <w:rPr>
          <w:rFonts w:hint="eastAsia" w:ascii="仿宋" w:hAnsi="仿宋" w:eastAsia="仿宋" w:cs="仿宋"/>
          <w:color w:val="auto"/>
          <w:highlight w:val="none"/>
        </w:rPr>
      </w:pPr>
    </w:p>
    <w:p w14:paraId="565CD4A2">
      <w:pPr>
        <w:spacing w:line="480" w:lineRule="auto"/>
        <w:jc w:val="center"/>
        <w:rPr>
          <w:rFonts w:hint="eastAsia"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rPr>
        <w:t>（</w:t>
      </w:r>
      <w:r>
        <w:rPr>
          <w:rFonts w:hint="eastAsia" w:ascii="仿宋" w:hAnsi="仿宋" w:eastAsia="仿宋" w:cs="仿宋"/>
          <w:b/>
          <w:bCs/>
          <w:color w:val="auto"/>
          <w:sz w:val="24"/>
          <w:szCs w:val="24"/>
          <w:highlight w:val="none"/>
          <w:u w:val="single"/>
          <w:lang w:val="en-US" w:eastAsia="zh-CN"/>
        </w:rPr>
        <w:t>项目名称</w:t>
      </w:r>
      <w:r>
        <w:rPr>
          <w:rFonts w:hint="eastAsia" w:ascii="仿宋" w:hAnsi="仿宋" w:eastAsia="仿宋" w:cs="仿宋"/>
          <w:b/>
          <w:bCs/>
          <w:color w:val="auto"/>
          <w:sz w:val="24"/>
          <w:szCs w:val="24"/>
          <w:highlight w:val="none"/>
          <w:u w:val="single"/>
        </w:rPr>
        <w:t>）</w:t>
      </w:r>
    </w:p>
    <w:p w14:paraId="600A8576">
      <w:pPr>
        <w:spacing w:line="480" w:lineRule="auto"/>
        <w:jc w:val="center"/>
        <w:rPr>
          <w:rFonts w:hint="eastAsia"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rPr>
        <w:t>（</w:t>
      </w:r>
      <w:r>
        <w:rPr>
          <w:rFonts w:hint="eastAsia" w:ascii="仿宋" w:hAnsi="仿宋" w:eastAsia="仿宋" w:cs="仿宋"/>
          <w:b/>
          <w:bCs/>
          <w:color w:val="auto"/>
          <w:sz w:val="24"/>
          <w:szCs w:val="24"/>
          <w:highlight w:val="none"/>
          <w:u w:val="single"/>
          <w:lang w:val="en-US" w:eastAsia="zh-CN"/>
        </w:rPr>
        <w:t>项目编号</w:t>
      </w:r>
      <w:r>
        <w:rPr>
          <w:rFonts w:hint="eastAsia" w:ascii="仿宋" w:hAnsi="仿宋" w:eastAsia="仿宋" w:cs="仿宋"/>
          <w:b/>
          <w:bCs/>
          <w:color w:val="auto"/>
          <w:sz w:val="24"/>
          <w:szCs w:val="24"/>
          <w:highlight w:val="none"/>
          <w:u w:val="single"/>
        </w:rPr>
        <w:t>）</w:t>
      </w:r>
    </w:p>
    <w:p w14:paraId="39E71733">
      <w:pPr>
        <w:spacing w:line="300" w:lineRule="exact"/>
        <w:jc w:val="center"/>
        <w:rPr>
          <w:rFonts w:hint="eastAsia" w:ascii="仿宋" w:hAnsi="仿宋" w:eastAsia="仿宋" w:cs="仿宋"/>
          <w:b/>
          <w:bCs/>
          <w:color w:val="auto"/>
          <w:sz w:val="24"/>
          <w:szCs w:val="24"/>
          <w:highlight w:val="none"/>
        </w:rPr>
      </w:pPr>
    </w:p>
    <w:p w14:paraId="342DE633">
      <w:pPr>
        <w:spacing w:line="300" w:lineRule="exact"/>
        <w:jc w:val="center"/>
        <w:rPr>
          <w:rFonts w:hint="eastAsia" w:ascii="仿宋" w:hAnsi="仿宋" w:eastAsia="仿宋" w:cs="仿宋"/>
          <w:b/>
          <w:bCs/>
          <w:color w:val="auto"/>
          <w:sz w:val="24"/>
          <w:szCs w:val="24"/>
          <w:highlight w:val="none"/>
        </w:rPr>
      </w:pPr>
    </w:p>
    <w:p w14:paraId="227314FD">
      <w:pPr>
        <w:spacing w:line="300" w:lineRule="exact"/>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投标文件</w:t>
      </w:r>
    </w:p>
    <w:p w14:paraId="2923F342">
      <w:pPr>
        <w:spacing w:line="720" w:lineRule="auto"/>
        <w:rPr>
          <w:rFonts w:hint="eastAsia" w:ascii="仿宋" w:hAnsi="仿宋" w:eastAsia="仿宋" w:cs="仿宋"/>
          <w:color w:val="auto"/>
          <w:sz w:val="24"/>
          <w:szCs w:val="24"/>
          <w:highlight w:val="none"/>
        </w:rPr>
      </w:pPr>
    </w:p>
    <w:p w14:paraId="12CC1CAA">
      <w:pPr>
        <w:spacing w:line="72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投标人：（盖章）</w:t>
      </w:r>
    </w:p>
    <w:p w14:paraId="49B06D04">
      <w:pPr>
        <w:spacing w:line="72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法定代表人：（盖章</w:t>
      </w:r>
      <w:r>
        <w:rPr>
          <w:rFonts w:hint="eastAsia" w:ascii="仿宋" w:hAnsi="仿宋" w:eastAsia="仿宋" w:cs="仿宋"/>
          <w:color w:val="auto"/>
          <w:kern w:val="0"/>
          <w:sz w:val="24"/>
          <w:szCs w:val="24"/>
          <w:highlight w:val="none"/>
          <w:lang w:val="en-US" w:eastAsia="zh-CN"/>
        </w:rPr>
        <w:t>或签字</w:t>
      </w:r>
      <w:r>
        <w:rPr>
          <w:rFonts w:hint="eastAsia" w:ascii="仿宋" w:hAnsi="仿宋" w:eastAsia="仿宋" w:cs="仿宋"/>
          <w:color w:val="auto"/>
          <w:sz w:val="24"/>
          <w:szCs w:val="24"/>
          <w:highlight w:val="none"/>
        </w:rPr>
        <w:t>）</w:t>
      </w:r>
    </w:p>
    <w:p w14:paraId="6F5CD6C0">
      <w:pPr>
        <w:spacing w:line="72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单位地址：</w:t>
      </w:r>
    </w:p>
    <w:p w14:paraId="4B428206">
      <w:pPr>
        <w:spacing w:line="72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邮政编码：</w:t>
      </w:r>
    </w:p>
    <w:p w14:paraId="4F472509">
      <w:pPr>
        <w:spacing w:line="72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联系人：</w:t>
      </w:r>
    </w:p>
    <w:p w14:paraId="718366F5">
      <w:pPr>
        <w:spacing w:line="72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联系电话：</w:t>
      </w:r>
    </w:p>
    <w:p w14:paraId="4FA0FCDB">
      <w:pPr>
        <w:spacing w:line="720" w:lineRule="auto"/>
        <w:rPr>
          <w:rFonts w:hint="eastAsia" w:ascii="仿宋" w:hAnsi="仿宋" w:eastAsia="仿宋" w:cs="仿宋"/>
          <w:color w:val="auto"/>
          <w:sz w:val="24"/>
          <w:szCs w:val="24"/>
          <w:highlight w:val="none"/>
        </w:rPr>
      </w:pPr>
    </w:p>
    <w:p w14:paraId="74423D82">
      <w:pPr>
        <w:spacing w:line="720" w:lineRule="auto"/>
        <w:ind w:firstLine="2" w:firstLineChars="1"/>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年  月  日</w:t>
      </w:r>
    </w:p>
    <w:p w14:paraId="74D9D060">
      <w:pPr>
        <w:tabs>
          <w:tab w:val="center" w:pos="4832"/>
          <w:tab w:val="left" w:pos="7140"/>
        </w:tabs>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r>
      <w:bookmarkStart w:id="99" w:name="_Toc130252613"/>
      <w:r>
        <w:rPr>
          <w:rFonts w:hint="eastAsia" w:ascii="仿宋" w:hAnsi="仿宋" w:eastAsia="仿宋" w:cs="仿宋"/>
          <w:b/>
          <w:color w:val="auto"/>
          <w:sz w:val="24"/>
          <w:szCs w:val="24"/>
          <w:highlight w:val="none"/>
        </w:rPr>
        <w:t>目 录</w:t>
      </w:r>
      <w:bookmarkEnd w:id="99"/>
    </w:p>
    <w:p w14:paraId="32E5CB6E">
      <w:pPr>
        <w:spacing w:line="280" w:lineRule="exact"/>
        <w:ind w:firstLine="240" w:firstLineChars="100"/>
        <w:rPr>
          <w:rFonts w:hint="eastAsia" w:ascii="仿宋" w:hAnsi="仿宋" w:eastAsia="仿宋" w:cs="仿宋"/>
          <w:bCs/>
          <w:color w:val="auto"/>
          <w:sz w:val="24"/>
          <w:szCs w:val="24"/>
          <w:highlight w:val="none"/>
        </w:rPr>
      </w:pPr>
    </w:p>
    <w:p w14:paraId="0B45514A">
      <w:pPr>
        <w:spacing w:line="360" w:lineRule="auto"/>
        <w:ind w:firstLine="240" w:firstLineChars="1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一、开标一览表</w:t>
      </w:r>
    </w:p>
    <w:p w14:paraId="16DDB009">
      <w:pPr>
        <w:spacing w:line="360" w:lineRule="auto"/>
        <w:ind w:firstLine="240" w:firstLineChars="1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二、投标函</w:t>
      </w:r>
    </w:p>
    <w:p w14:paraId="0B0BBECD">
      <w:pPr>
        <w:spacing w:line="360" w:lineRule="auto"/>
        <w:ind w:firstLine="240" w:firstLineChars="1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三、投标价格明细表</w:t>
      </w:r>
    </w:p>
    <w:p w14:paraId="3F7FCEFD">
      <w:pPr>
        <w:spacing w:line="360" w:lineRule="auto"/>
        <w:ind w:firstLine="240" w:firstLineChars="1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四、商务条款偏离表</w:t>
      </w:r>
    </w:p>
    <w:p w14:paraId="5D74D7F8">
      <w:pPr>
        <w:spacing w:line="360" w:lineRule="auto"/>
        <w:ind w:firstLine="240" w:firstLineChars="1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五、技术条款偏离表</w:t>
      </w:r>
    </w:p>
    <w:p w14:paraId="10D6BE60">
      <w:pPr>
        <w:spacing w:line="360" w:lineRule="auto"/>
        <w:ind w:firstLine="240" w:firstLineChars="1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六、法定代表人身份证明书</w:t>
      </w:r>
    </w:p>
    <w:p w14:paraId="44C52FD2">
      <w:pPr>
        <w:spacing w:line="360" w:lineRule="auto"/>
        <w:ind w:firstLine="240" w:firstLineChars="1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七、法定代表人授权委托书</w:t>
      </w:r>
    </w:p>
    <w:p w14:paraId="756D82B4">
      <w:pPr>
        <w:spacing w:line="360" w:lineRule="auto"/>
        <w:ind w:firstLine="240" w:firstLineChars="1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八、投标人资格条件证明材料</w:t>
      </w:r>
    </w:p>
    <w:p w14:paraId="3E09CCFE">
      <w:pPr>
        <w:spacing w:line="360" w:lineRule="auto"/>
        <w:ind w:firstLine="240" w:firstLineChars="1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九、投标人近年类似项目情况表</w:t>
      </w:r>
    </w:p>
    <w:p w14:paraId="15192236">
      <w:pPr>
        <w:spacing w:line="360" w:lineRule="auto"/>
        <w:ind w:firstLine="240" w:firstLineChars="1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十、项目负责人简历表</w:t>
      </w:r>
    </w:p>
    <w:p w14:paraId="7F7DE9A6">
      <w:pPr>
        <w:spacing w:line="360" w:lineRule="auto"/>
        <w:ind w:firstLine="240" w:firstLineChars="1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十一、拟派主要服务人员情况表</w:t>
      </w:r>
    </w:p>
    <w:p w14:paraId="014313EE">
      <w:pPr>
        <w:spacing w:line="360" w:lineRule="auto"/>
        <w:ind w:firstLine="240" w:firstLineChars="1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十二、服务方案</w:t>
      </w:r>
    </w:p>
    <w:p w14:paraId="1271A572">
      <w:pPr>
        <w:spacing w:line="360" w:lineRule="auto"/>
        <w:ind w:firstLine="240" w:firstLineChars="1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十三、保证金缴纳证明材料</w:t>
      </w:r>
    </w:p>
    <w:p w14:paraId="4945AF6A">
      <w:pPr>
        <w:spacing w:line="360" w:lineRule="auto"/>
        <w:ind w:firstLine="240" w:firstLineChars="1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十四、</w:t>
      </w:r>
      <w:r>
        <w:rPr>
          <w:rFonts w:hint="eastAsia" w:ascii="仿宋" w:hAnsi="仿宋" w:eastAsia="仿宋" w:cs="仿宋"/>
          <w:color w:val="auto"/>
          <w:kern w:val="0"/>
          <w:sz w:val="24"/>
          <w:szCs w:val="24"/>
          <w:highlight w:val="none"/>
        </w:rPr>
        <w:t>其它需要提交的资料</w:t>
      </w:r>
    </w:p>
    <w:p w14:paraId="6238BC33">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注：为了便于查找，请按上述顺序编制投标文件内容，并在目录中标明每项内容的起始页码。</w:t>
      </w:r>
    </w:p>
    <w:p w14:paraId="297994EB">
      <w:pPr>
        <w:numPr>
          <w:ilvl w:val="0"/>
          <w:numId w:val="0"/>
        </w:numPr>
        <w:tabs>
          <w:tab w:val="center" w:pos="4832"/>
          <w:tab w:val="left" w:pos="7140"/>
        </w:tabs>
        <w:jc w:val="center"/>
        <w:outlineLvl w:val="1"/>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r>
      <w:bookmarkStart w:id="100" w:name="_Toc6644"/>
      <w:bookmarkStart w:id="101" w:name="_Toc18033"/>
      <w:bookmarkStart w:id="102" w:name="_Toc19270"/>
      <w:r>
        <w:rPr>
          <w:rFonts w:hint="eastAsia" w:ascii="仿宋" w:hAnsi="仿宋" w:eastAsia="仿宋" w:cs="仿宋"/>
          <w:b/>
          <w:color w:val="auto"/>
          <w:sz w:val="24"/>
          <w:szCs w:val="24"/>
          <w:highlight w:val="none"/>
          <w:lang w:val="en-US" w:eastAsia="zh-CN"/>
        </w:rPr>
        <w:t>一、</w:t>
      </w:r>
      <w:r>
        <w:rPr>
          <w:rFonts w:hint="eastAsia" w:ascii="仿宋" w:hAnsi="仿宋" w:eastAsia="仿宋" w:cs="仿宋"/>
          <w:b/>
          <w:color w:val="auto"/>
          <w:sz w:val="24"/>
          <w:szCs w:val="24"/>
          <w:highlight w:val="none"/>
        </w:rPr>
        <w:t>开标一览表</w:t>
      </w:r>
      <w:bookmarkEnd w:id="100"/>
      <w:bookmarkEnd w:id="101"/>
      <w:bookmarkEnd w:id="102"/>
    </w:p>
    <w:p w14:paraId="31EF9313">
      <w:pPr>
        <w:rPr>
          <w:rFonts w:hint="eastAsia" w:ascii="仿宋" w:hAnsi="仿宋" w:eastAsia="仿宋" w:cs="仿宋"/>
          <w:color w:val="auto"/>
          <w:highlight w:val="none"/>
        </w:rPr>
      </w:pPr>
    </w:p>
    <w:p w14:paraId="4EC0F420">
      <w:pPr>
        <w:rPr>
          <w:rFonts w:hint="eastAsia" w:ascii="仿宋" w:hAnsi="仿宋" w:eastAsia="仿宋" w:cs="仿宋"/>
          <w:color w:val="auto"/>
          <w:highlight w:val="none"/>
        </w:rPr>
      </w:pPr>
    </w:p>
    <w:tbl>
      <w:tblPr>
        <w:tblStyle w:val="40"/>
        <w:tblpPr w:leftFromText="180" w:rightFromText="180" w:vertAnchor="text" w:horzAnchor="page" w:tblpX="1590" w:tblpY="473"/>
        <w:tblOverlap w:val="never"/>
        <w:tblW w:w="480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79"/>
        <w:gridCol w:w="6249"/>
      </w:tblGrid>
      <w:tr w14:paraId="57CE2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trPr>
        <w:tc>
          <w:tcPr>
            <w:tcW w:w="1500" w:type="pct"/>
            <w:tcBorders>
              <w:top w:val="single" w:color="auto" w:sz="4" w:space="0"/>
              <w:left w:val="single" w:color="auto" w:sz="4" w:space="0"/>
              <w:bottom w:val="single" w:color="auto" w:sz="4" w:space="0"/>
              <w:right w:val="single" w:color="auto" w:sz="4" w:space="0"/>
            </w:tcBorders>
            <w:shd w:val="clear" w:color="auto" w:fill="auto"/>
            <w:vAlign w:val="center"/>
          </w:tcPr>
          <w:p w14:paraId="1BD2324E">
            <w:pPr>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sz w:val="24"/>
                <w:szCs w:val="24"/>
                <w:highlight w:val="none"/>
                <w:lang w:val="en-US" w:eastAsia="zh-CN"/>
              </w:rPr>
              <w:t>项目名称</w:t>
            </w:r>
          </w:p>
        </w:tc>
        <w:tc>
          <w:tcPr>
            <w:tcW w:w="3499" w:type="pct"/>
            <w:tcBorders>
              <w:left w:val="single" w:color="auto" w:sz="4" w:space="0"/>
            </w:tcBorders>
            <w:shd w:val="clear" w:color="auto" w:fill="auto"/>
            <w:vAlign w:val="center"/>
          </w:tcPr>
          <w:p w14:paraId="60C69916">
            <w:pPr>
              <w:spacing w:line="360" w:lineRule="auto"/>
              <w:ind w:right="-670" w:rightChars="0"/>
              <w:rPr>
                <w:rFonts w:hint="eastAsia" w:ascii="仿宋" w:hAnsi="仿宋" w:eastAsia="仿宋" w:cs="仿宋"/>
                <w:bCs/>
                <w:color w:val="auto"/>
                <w:kern w:val="2"/>
                <w:sz w:val="24"/>
                <w:szCs w:val="24"/>
                <w:highlight w:val="none"/>
                <w:lang w:val="en-US" w:eastAsia="zh-CN" w:bidi="ar-SA"/>
              </w:rPr>
            </w:pPr>
          </w:p>
        </w:tc>
      </w:tr>
      <w:tr w14:paraId="77840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trPr>
        <w:tc>
          <w:tcPr>
            <w:tcW w:w="1500" w:type="pct"/>
            <w:tcBorders>
              <w:top w:val="single" w:color="auto" w:sz="4" w:space="0"/>
              <w:left w:val="single" w:color="auto" w:sz="4" w:space="0"/>
              <w:bottom w:val="single" w:color="auto" w:sz="4" w:space="0"/>
              <w:right w:val="single" w:color="auto" w:sz="4" w:space="0"/>
            </w:tcBorders>
            <w:shd w:val="clear" w:color="auto" w:fill="auto"/>
            <w:vAlign w:val="center"/>
          </w:tcPr>
          <w:p w14:paraId="04637253">
            <w:pPr>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sz w:val="24"/>
                <w:szCs w:val="24"/>
                <w:highlight w:val="none"/>
                <w:lang w:val="en-US" w:eastAsia="zh-CN"/>
              </w:rPr>
              <w:t>项目编号</w:t>
            </w:r>
          </w:p>
        </w:tc>
        <w:tc>
          <w:tcPr>
            <w:tcW w:w="3499" w:type="pct"/>
            <w:tcBorders>
              <w:left w:val="single" w:color="auto" w:sz="4" w:space="0"/>
            </w:tcBorders>
            <w:shd w:val="clear" w:color="auto" w:fill="auto"/>
            <w:vAlign w:val="center"/>
          </w:tcPr>
          <w:p w14:paraId="35107763">
            <w:pPr>
              <w:spacing w:line="360" w:lineRule="auto"/>
              <w:ind w:right="-670" w:rightChars="0"/>
              <w:rPr>
                <w:rFonts w:hint="eastAsia" w:ascii="仿宋" w:hAnsi="仿宋" w:eastAsia="仿宋" w:cs="仿宋"/>
                <w:bCs/>
                <w:color w:val="auto"/>
                <w:kern w:val="2"/>
                <w:sz w:val="24"/>
                <w:szCs w:val="24"/>
                <w:highlight w:val="none"/>
                <w:lang w:val="en-US" w:eastAsia="zh-CN" w:bidi="ar-SA"/>
              </w:rPr>
            </w:pPr>
          </w:p>
        </w:tc>
      </w:tr>
      <w:tr w14:paraId="7149E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exact"/>
        </w:trPr>
        <w:tc>
          <w:tcPr>
            <w:tcW w:w="1500" w:type="pct"/>
            <w:tcBorders>
              <w:top w:val="single" w:color="auto" w:sz="4" w:space="0"/>
              <w:left w:val="single" w:color="auto" w:sz="4" w:space="0"/>
              <w:bottom w:val="single" w:color="auto" w:sz="4" w:space="0"/>
              <w:right w:val="single" w:color="auto" w:sz="4" w:space="0"/>
            </w:tcBorders>
            <w:shd w:val="clear" w:color="auto" w:fill="auto"/>
            <w:vAlign w:val="center"/>
          </w:tcPr>
          <w:p w14:paraId="6360F24E">
            <w:pPr>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sz w:val="24"/>
                <w:szCs w:val="24"/>
                <w:highlight w:val="none"/>
                <w:lang w:val="en-US" w:eastAsia="zh-CN"/>
              </w:rPr>
              <w:t>投标价格</w:t>
            </w:r>
            <w:r>
              <w:rPr>
                <w:rFonts w:hint="eastAsia" w:ascii="仿宋" w:hAnsi="仿宋" w:eastAsia="仿宋" w:cs="仿宋"/>
                <w:color w:val="auto"/>
                <w:kern w:val="0"/>
                <w:sz w:val="24"/>
                <w:szCs w:val="24"/>
                <w:highlight w:val="none"/>
                <w:shd w:val="clear" w:color="auto" w:fill="FFFFFF" w:themeFill="background1"/>
                <w:lang w:eastAsia="zh-CN"/>
              </w:rPr>
              <w:t>（单价合计金额）</w:t>
            </w:r>
          </w:p>
        </w:tc>
        <w:tc>
          <w:tcPr>
            <w:tcW w:w="3499" w:type="pct"/>
            <w:tcBorders>
              <w:left w:val="single" w:color="auto" w:sz="4" w:space="0"/>
            </w:tcBorders>
            <w:shd w:val="clear" w:color="auto" w:fill="auto"/>
            <w:vAlign w:val="center"/>
          </w:tcPr>
          <w:p w14:paraId="15601ABB">
            <w:pPr>
              <w:snapToGrid w:val="0"/>
              <w:spacing w:line="360" w:lineRule="auto"/>
              <w:rPr>
                <w:rFonts w:hint="eastAsia" w:ascii="仿宋" w:hAnsi="仿宋" w:eastAsia="仿宋" w:cs="仿宋"/>
                <w:bCs/>
                <w:color w:val="auto"/>
                <w:kern w:val="2"/>
                <w:sz w:val="24"/>
                <w:szCs w:val="24"/>
                <w:highlight w:val="none"/>
                <w:u w:val="single"/>
                <w:lang w:val="en-US" w:eastAsia="zh-CN" w:bidi="ar-SA"/>
              </w:rPr>
            </w:pPr>
            <w:r>
              <w:rPr>
                <w:rFonts w:hint="eastAsia" w:ascii="仿宋" w:hAnsi="仿宋" w:eastAsia="仿宋" w:cs="仿宋"/>
                <w:bCs/>
                <w:color w:val="auto"/>
                <w:kern w:val="2"/>
                <w:sz w:val="24"/>
                <w:szCs w:val="24"/>
                <w:highlight w:val="none"/>
                <w:lang w:val="en-US" w:eastAsia="zh-CN" w:bidi="ar-SA"/>
              </w:rPr>
              <w:t>小写：</w:t>
            </w:r>
            <w:r>
              <w:rPr>
                <w:rFonts w:hint="eastAsia" w:ascii="仿宋" w:hAnsi="仿宋" w:eastAsia="仿宋" w:cs="仿宋"/>
                <w:bCs/>
                <w:color w:val="auto"/>
                <w:kern w:val="2"/>
                <w:sz w:val="24"/>
                <w:szCs w:val="24"/>
                <w:highlight w:val="none"/>
                <w:u w:val="single"/>
                <w:lang w:val="en-US" w:eastAsia="zh-CN" w:bidi="ar-SA"/>
              </w:rPr>
              <w:t xml:space="preserve">            元</w:t>
            </w:r>
          </w:p>
          <w:p w14:paraId="048510CB">
            <w:pPr>
              <w:snapToGrid w:val="0"/>
              <w:spacing w:line="360" w:lineRule="auto"/>
              <w:rPr>
                <w:rFonts w:hint="eastAsia" w:ascii="仿宋" w:hAnsi="仿宋" w:eastAsia="仿宋" w:cs="仿宋"/>
                <w:color w:val="auto"/>
                <w:highlight w:val="none"/>
                <w:lang w:val="en-US" w:eastAsia="zh-CN"/>
              </w:rPr>
            </w:pPr>
            <w:r>
              <w:rPr>
                <w:rFonts w:hint="eastAsia" w:ascii="仿宋" w:hAnsi="仿宋" w:eastAsia="仿宋" w:cs="仿宋"/>
                <w:bCs/>
                <w:color w:val="auto"/>
                <w:kern w:val="2"/>
                <w:sz w:val="24"/>
                <w:szCs w:val="24"/>
                <w:highlight w:val="none"/>
                <w:lang w:val="en-US" w:eastAsia="zh-CN" w:bidi="ar-SA"/>
              </w:rPr>
              <w:t>大写：</w:t>
            </w:r>
            <w:r>
              <w:rPr>
                <w:rFonts w:hint="eastAsia" w:ascii="仿宋" w:hAnsi="仿宋" w:eastAsia="仿宋" w:cs="仿宋"/>
                <w:bCs/>
                <w:color w:val="auto"/>
                <w:kern w:val="2"/>
                <w:sz w:val="24"/>
                <w:szCs w:val="24"/>
                <w:highlight w:val="none"/>
                <w:u w:val="single"/>
                <w:lang w:val="en-US" w:eastAsia="zh-CN" w:bidi="ar-SA"/>
              </w:rPr>
              <w:t xml:space="preserve">            元</w:t>
            </w:r>
          </w:p>
        </w:tc>
      </w:tr>
      <w:tr w14:paraId="5A340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0" w:hRule="exact"/>
        </w:trPr>
        <w:tc>
          <w:tcPr>
            <w:tcW w:w="1500" w:type="pct"/>
            <w:tcBorders>
              <w:top w:val="single" w:color="auto" w:sz="4" w:space="0"/>
              <w:left w:val="single" w:color="auto" w:sz="4" w:space="0"/>
              <w:bottom w:val="single" w:color="auto" w:sz="4" w:space="0"/>
              <w:right w:val="single" w:color="auto" w:sz="4" w:space="0"/>
            </w:tcBorders>
            <w:shd w:val="clear" w:color="auto" w:fill="auto"/>
            <w:vAlign w:val="center"/>
          </w:tcPr>
          <w:p w14:paraId="708E4767">
            <w:pPr>
              <w:snapToGrid w:val="0"/>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sz w:val="24"/>
                <w:szCs w:val="24"/>
                <w:highlight w:val="none"/>
              </w:rPr>
              <w:t>合同履约期限</w:t>
            </w:r>
          </w:p>
        </w:tc>
        <w:tc>
          <w:tcPr>
            <w:tcW w:w="3499" w:type="pct"/>
            <w:tcBorders>
              <w:left w:val="single" w:color="auto" w:sz="4" w:space="0"/>
            </w:tcBorders>
            <w:shd w:val="clear" w:color="auto" w:fill="auto"/>
            <w:vAlign w:val="center"/>
          </w:tcPr>
          <w:p w14:paraId="3E4A8B81">
            <w:pPr>
              <w:snapToGrid w:val="0"/>
              <w:spacing w:line="360" w:lineRule="auto"/>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sz w:val="24"/>
                <w:szCs w:val="24"/>
                <w:highlight w:val="none"/>
                <w:lang w:val="en-US" w:eastAsia="zh-CN"/>
              </w:rPr>
              <w:t>集中体检天数为24个工作日，零星体检天数为96日历日</w:t>
            </w:r>
            <w:r>
              <w:rPr>
                <w:rFonts w:hint="eastAsia" w:ascii="仿宋" w:hAnsi="仿宋" w:eastAsia="仿宋" w:cs="仿宋"/>
                <w:bCs/>
                <w:color w:val="auto"/>
                <w:sz w:val="24"/>
                <w:szCs w:val="24"/>
                <w:highlight w:val="none"/>
                <w:lang w:eastAsia="zh-CN"/>
              </w:rPr>
              <w:t>。</w:t>
            </w:r>
          </w:p>
        </w:tc>
      </w:tr>
      <w:tr w14:paraId="5E654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trPr>
        <w:tc>
          <w:tcPr>
            <w:tcW w:w="1500" w:type="pct"/>
            <w:tcBorders>
              <w:top w:val="single" w:color="auto" w:sz="4" w:space="0"/>
              <w:left w:val="single" w:color="auto" w:sz="4" w:space="0"/>
              <w:bottom w:val="single" w:color="auto" w:sz="4" w:space="0"/>
              <w:right w:val="single" w:color="auto" w:sz="4" w:space="0"/>
            </w:tcBorders>
            <w:shd w:val="clear" w:color="auto" w:fill="auto"/>
            <w:vAlign w:val="center"/>
          </w:tcPr>
          <w:p w14:paraId="0D4C206D">
            <w:pPr>
              <w:snapToGrid w:val="0"/>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sz w:val="24"/>
                <w:szCs w:val="24"/>
                <w:highlight w:val="none"/>
                <w:lang w:val="en-US" w:eastAsia="zh-CN"/>
              </w:rPr>
              <w:t>投标有效期</w:t>
            </w:r>
          </w:p>
        </w:tc>
        <w:tc>
          <w:tcPr>
            <w:tcW w:w="3499" w:type="pct"/>
            <w:tcBorders>
              <w:left w:val="single" w:color="auto" w:sz="4" w:space="0"/>
            </w:tcBorders>
            <w:shd w:val="clear" w:color="auto" w:fill="auto"/>
            <w:vAlign w:val="center"/>
          </w:tcPr>
          <w:p w14:paraId="0D633AC8">
            <w:pPr>
              <w:snapToGrid w:val="0"/>
              <w:spacing w:line="360" w:lineRule="auto"/>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自投标截止之日</w:t>
            </w:r>
            <w:r>
              <w:rPr>
                <w:rFonts w:hint="eastAsia" w:ascii="仿宋" w:hAnsi="仿宋" w:eastAsia="仿宋" w:cs="仿宋"/>
                <w:bCs/>
                <w:color w:val="auto"/>
                <w:kern w:val="2"/>
                <w:sz w:val="24"/>
                <w:szCs w:val="24"/>
                <w:highlight w:val="none"/>
                <w:u w:val="single"/>
                <w:lang w:val="en-US" w:eastAsia="zh-CN" w:bidi="ar-SA"/>
              </w:rPr>
              <w:t xml:space="preserve"> 90 </w:t>
            </w:r>
            <w:r>
              <w:rPr>
                <w:rFonts w:hint="eastAsia" w:ascii="仿宋" w:hAnsi="仿宋" w:eastAsia="仿宋" w:cs="仿宋"/>
                <w:bCs/>
                <w:color w:val="auto"/>
                <w:kern w:val="2"/>
                <w:sz w:val="24"/>
                <w:szCs w:val="24"/>
                <w:highlight w:val="none"/>
                <w:lang w:val="en-US" w:eastAsia="zh-CN" w:bidi="ar-SA"/>
              </w:rPr>
              <w:t>日历日</w:t>
            </w:r>
          </w:p>
        </w:tc>
      </w:tr>
      <w:tr w14:paraId="29FCE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trPr>
        <w:tc>
          <w:tcPr>
            <w:tcW w:w="1500" w:type="pct"/>
            <w:tcBorders>
              <w:top w:val="single" w:color="auto" w:sz="4" w:space="0"/>
              <w:left w:val="single" w:color="auto" w:sz="4" w:space="0"/>
              <w:bottom w:val="single" w:color="auto" w:sz="4" w:space="0"/>
              <w:right w:val="single" w:color="auto" w:sz="4" w:space="0"/>
            </w:tcBorders>
            <w:shd w:val="clear" w:color="auto" w:fill="auto"/>
            <w:vAlign w:val="center"/>
          </w:tcPr>
          <w:p w14:paraId="0D61ADA1">
            <w:pPr>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sz w:val="24"/>
                <w:szCs w:val="24"/>
                <w:highlight w:val="none"/>
              </w:rPr>
              <w:t>备注</w:t>
            </w:r>
          </w:p>
        </w:tc>
        <w:tc>
          <w:tcPr>
            <w:tcW w:w="3499" w:type="pct"/>
            <w:tcBorders>
              <w:left w:val="single" w:color="auto" w:sz="4" w:space="0"/>
            </w:tcBorders>
            <w:shd w:val="clear" w:color="auto" w:fill="auto"/>
            <w:vAlign w:val="center"/>
          </w:tcPr>
          <w:p w14:paraId="7A71EEF0">
            <w:pPr>
              <w:rPr>
                <w:rFonts w:hint="eastAsia" w:ascii="仿宋" w:hAnsi="仿宋" w:eastAsia="仿宋" w:cs="仿宋"/>
                <w:bCs/>
                <w:color w:val="auto"/>
                <w:kern w:val="2"/>
                <w:sz w:val="24"/>
                <w:szCs w:val="24"/>
                <w:highlight w:val="none"/>
                <w:lang w:val="en-US" w:eastAsia="zh-CN" w:bidi="ar-SA"/>
              </w:rPr>
            </w:pPr>
          </w:p>
        </w:tc>
      </w:tr>
    </w:tbl>
    <w:p w14:paraId="74501674">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5539E279">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4C64E403">
      <w:pPr>
        <w:pStyle w:val="39"/>
        <w:rPr>
          <w:rFonts w:hint="eastAsia" w:ascii="仿宋" w:hAnsi="仿宋" w:eastAsia="仿宋" w:cs="仿宋"/>
          <w:color w:val="auto"/>
          <w:highlight w:val="none"/>
        </w:rPr>
      </w:pPr>
    </w:p>
    <w:p w14:paraId="70988BB1">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投标人：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p>
    <w:p w14:paraId="6DA8A73C">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3647DECE">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法定代表人：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r>
        <w:rPr>
          <w:rFonts w:hint="eastAsia" w:ascii="仿宋" w:hAnsi="仿宋" w:eastAsia="仿宋" w:cs="仿宋"/>
          <w:color w:val="auto"/>
          <w:kern w:val="0"/>
          <w:sz w:val="24"/>
          <w:szCs w:val="24"/>
          <w:highlight w:val="none"/>
          <w:lang w:val="en-US" w:eastAsia="zh-CN"/>
        </w:rPr>
        <w:t>或签字</w:t>
      </w:r>
      <w:r>
        <w:rPr>
          <w:rFonts w:hint="eastAsia" w:ascii="仿宋" w:hAnsi="仿宋" w:eastAsia="仿宋" w:cs="仿宋"/>
          <w:color w:val="auto"/>
          <w:kern w:val="0"/>
          <w:sz w:val="24"/>
          <w:szCs w:val="24"/>
          <w:highlight w:val="none"/>
        </w:rPr>
        <w:t>）</w:t>
      </w:r>
    </w:p>
    <w:p w14:paraId="04BCAF8C">
      <w:pPr>
        <w:widowControl/>
        <w:shd w:val="clear" w:color="auto" w:fill="FFFFFF"/>
        <w:wordWrap w:val="0"/>
        <w:snapToGrid w:val="0"/>
        <w:spacing w:line="384" w:lineRule="auto"/>
        <w:ind w:firstLine="420"/>
        <w:jc w:val="righ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日期：     年   月   日</w:t>
      </w:r>
    </w:p>
    <w:p w14:paraId="1BA7C447">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br w:type="page"/>
      </w:r>
    </w:p>
    <w:p w14:paraId="4EFA2A8D">
      <w:pPr>
        <w:tabs>
          <w:tab w:val="center" w:pos="4832"/>
          <w:tab w:val="left" w:pos="7140"/>
        </w:tabs>
        <w:jc w:val="center"/>
        <w:outlineLvl w:val="1"/>
        <w:rPr>
          <w:rFonts w:hint="eastAsia" w:ascii="仿宋" w:hAnsi="仿宋" w:eastAsia="仿宋" w:cs="仿宋"/>
          <w:b/>
          <w:color w:val="auto"/>
          <w:sz w:val="24"/>
          <w:szCs w:val="24"/>
          <w:highlight w:val="none"/>
        </w:rPr>
      </w:pPr>
      <w:bookmarkStart w:id="103" w:name="_Toc13707"/>
      <w:bookmarkStart w:id="104" w:name="_Toc6911"/>
      <w:bookmarkStart w:id="105" w:name="_Toc19533"/>
      <w:r>
        <w:rPr>
          <w:rFonts w:hint="eastAsia" w:ascii="仿宋" w:hAnsi="仿宋" w:eastAsia="仿宋" w:cs="仿宋"/>
          <w:b/>
          <w:color w:val="auto"/>
          <w:sz w:val="24"/>
          <w:szCs w:val="24"/>
          <w:highlight w:val="none"/>
        </w:rPr>
        <w:t>二、投标函</w:t>
      </w:r>
      <w:bookmarkEnd w:id="103"/>
      <w:bookmarkEnd w:id="104"/>
      <w:bookmarkEnd w:id="105"/>
    </w:p>
    <w:p w14:paraId="289E126F">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35F40D55">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致：</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（采购人名称）</w:t>
      </w:r>
    </w:p>
    <w:p w14:paraId="57E4B239">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7496DB43">
      <w:pPr>
        <w:widowControl/>
        <w:shd w:val="clear" w:color="auto" w:fill="FFFFFF"/>
        <w:snapToGrid w:val="0"/>
        <w:spacing w:line="384" w:lineRule="auto"/>
        <w:ind w:firstLine="42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根据已收到的</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eastAsia="zh-CN"/>
        </w:rPr>
        <w:t>项目名称</w:t>
      </w:r>
      <w:r>
        <w:rPr>
          <w:rFonts w:hint="eastAsia" w:ascii="仿宋" w:hAnsi="仿宋" w:eastAsia="仿宋" w:cs="仿宋"/>
          <w:color w:val="auto"/>
          <w:kern w:val="0"/>
          <w:sz w:val="24"/>
          <w:szCs w:val="24"/>
          <w:highlight w:val="none"/>
        </w:rPr>
        <w:t>）的招标文件，遵照《中华人民共和国政府采购法》等有关法律法规的规定，经考察现场和充分研究贵方的招标文件的全部内容后，我方郑重承诺如下：</w:t>
      </w:r>
    </w:p>
    <w:p w14:paraId="06725F90">
      <w:pPr>
        <w:widowControl/>
        <w:shd w:val="clear" w:color="auto" w:fill="FFFFFF"/>
        <w:snapToGrid w:val="0"/>
        <w:spacing w:line="360" w:lineRule="auto"/>
        <w:ind w:firstLine="420"/>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rPr>
        <w:t>1</w:t>
      </w:r>
      <w:r>
        <w:rPr>
          <w:rFonts w:hint="eastAsia" w:ascii="仿宋" w:hAnsi="仿宋" w:eastAsia="仿宋" w:cs="仿宋"/>
          <w:color w:val="auto"/>
          <w:kern w:val="0"/>
          <w:sz w:val="24"/>
          <w:szCs w:val="24"/>
          <w:highlight w:val="none"/>
          <w:lang w:val="zh-CN"/>
        </w:rPr>
        <w:t xml:space="preserve">、不向项目有关人员及部门赠送礼金礼物、有价证券、回扣以及中介费、介绍费、咨询费等好处费；不为项目有关人员及部门报销应由你方单位或个人支付的费用。 </w:t>
      </w:r>
    </w:p>
    <w:p w14:paraId="5466FA9C">
      <w:pPr>
        <w:widowControl/>
        <w:shd w:val="clear" w:color="auto" w:fill="FFFFFF"/>
        <w:snapToGrid w:val="0"/>
        <w:spacing w:line="360" w:lineRule="auto"/>
        <w:ind w:firstLine="420"/>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rPr>
        <w:t>2</w:t>
      </w:r>
      <w:r>
        <w:rPr>
          <w:rFonts w:hint="eastAsia" w:ascii="仿宋" w:hAnsi="仿宋" w:eastAsia="仿宋" w:cs="仿宋"/>
          <w:color w:val="auto"/>
          <w:kern w:val="0"/>
          <w:sz w:val="24"/>
          <w:szCs w:val="24"/>
          <w:highlight w:val="none"/>
          <w:lang w:val="zh-CN"/>
        </w:rPr>
        <w:t>、不向项目有关人员及部门提供有可能影响公正的宴请和健身娱乐等活动；不为项目有关人员及部门出国（境）、旅游等提供方便；不为项目有关人员个人装修住房、婚丧嫁娶、配偶子女工作安排等提供好处。</w:t>
      </w:r>
    </w:p>
    <w:p w14:paraId="4E1629D5">
      <w:pPr>
        <w:widowControl/>
        <w:shd w:val="clear" w:color="auto" w:fill="FFFFFF"/>
        <w:snapToGrid w:val="0"/>
        <w:spacing w:line="360" w:lineRule="auto"/>
        <w:ind w:firstLine="42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w:t>
      </w:r>
      <w:r>
        <w:rPr>
          <w:rFonts w:hint="eastAsia" w:ascii="仿宋" w:hAnsi="仿宋" w:eastAsia="仿宋" w:cs="仿宋"/>
          <w:color w:val="auto"/>
          <w:kern w:val="0"/>
          <w:sz w:val="24"/>
          <w:szCs w:val="24"/>
          <w:highlight w:val="none"/>
          <w:lang w:val="zh-CN"/>
        </w:rPr>
        <w:t xml:space="preserve">、严格遵守《中华人民共和国政府采购法》、《中华人民共和国民法典》等法律法规，诚实守信，合法经营，坚决抵制各种违法违纪行为。 </w:t>
      </w:r>
    </w:p>
    <w:p w14:paraId="0B8F54C4">
      <w:pPr>
        <w:widowControl/>
        <w:shd w:val="clear" w:color="auto" w:fill="FFFFFF"/>
        <w:snapToGrid w:val="0"/>
        <w:spacing w:line="360" w:lineRule="auto"/>
        <w:ind w:firstLine="420"/>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rPr>
        <w:t>4、我方所递交的投标文件及有关资料内容完整、真实和准确，且不存在投标人须知前附表规定的投标人不得存在的任何一种情形。</w:t>
      </w:r>
    </w:p>
    <w:p w14:paraId="110C35EB">
      <w:pPr>
        <w:widowControl/>
        <w:shd w:val="clear" w:color="auto" w:fill="FFFFFF"/>
        <w:snapToGrid w:val="0"/>
        <w:spacing w:line="360" w:lineRule="auto"/>
        <w:ind w:firstLine="420"/>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5、本</w:t>
      </w:r>
      <w:r>
        <w:rPr>
          <w:rFonts w:hint="eastAsia" w:ascii="仿宋" w:hAnsi="仿宋" w:eastAsia="仿宋" w:cs="仿宋"/>
          <w:color w:val="auto"/>
          <w:sz w:val="24"/>
          <w:szCs w:val="24"/>
          <w:highlight w:val="none"/>
          <w:shd w:val="clear" w:color="auto" w:fill="FFFFFF" w:themeFill="background1"/>
        </w:rPr>
        <w:t>投标文件</w:t>
      </w:r>
      <w:r>
        <w:rPr>
          <w:rFonts w:hint="eastAsia" w:ascii="仿宋" w:hAnsi="仿宋" w:eastAsia="仿宋" w:cs="仿宋"/>
          <w:color w:val="auto"/>
          <w:kern w:val="0"/>
          <w:sz w:val="24"/>
          <w:szCs w:val="24"/>
          <w:highlight w:val="none"/>
          <w:shd w:val="clear" w:color="auto" w:fill="FFFFFF" w:themeFill="background1"/>
        </w:rPr>
        <w:t>在</w:t>
      </w:r>
      <w:r>
        <w:rPr>
          <w:rFonts w:hint="eastAsia" w:ascii="仿宋" w:hAnsi="仿宋" w:eastAsia="仿宋" w:cs="仿宋"/>
          <w:color w:val="auto"/>
          <w:sz w:val="24"/>
          <w:szCs w:val="24"/>
          <w:highlight w:val="none"/>
          <w:shd w:val="clear" w:color="auto" w:fill="FFFFFF" w:themeFill="background1"/>
        </w:rPr>
        <w:t>招标文件</w:t>
      </w:r>
      <w:r>
        <w:rPr>
          <w:rFonts w:hint="eastAsia" w:ascii="仿宋" w:hAnsi="仿宋" w:eastAsia="仿宋" w:cs="仿宋"/>
          <w:color w:val="auto"/>
          <w:kern w:val="0"/>
          <w:sz w:val="24"/>
          <w:szCs w:val="24"/>
          <w:highlight w:val="none"/>
          <w:shd w:val="clear" w:color="auto" w:fill="FFFFFF" w:themeFill="background1"/>
        </w:rPr>
        <w:t>规定的投标有效期内对我方具有约束力，如果我方在投标有效期内撤销投标，其投标保证金将被贵方没收。</w:t>
      </w:r>
    </w:p>
    <w:p w14:paraId="316081FA">
      <w:pPr>
        <w:widowControl/>
        <w:shd w:val="clear" w:color="auto" w:fill="FFFFFF"/>
        <w:snapToGrid w:val="0"/>
        <w:spacing w:line="360" w:lineRule="auto"/>
        <w:ind w:firstLine="42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shd w:val="clear" w:color="auto" w:fill="FFFFFF" w:themeFill="background1"/>
        </w:rPr>
        <w:t>6、</w:t>
      </w:r>
      <w:r>
        <w:rPr>
          <w:rFonts w:hint="eastAsia" w:ascii="仿宋" w:hAnsi="仿宋" w:eastAsia="仿宋" w:cs="仿宋"/>
          <w:color w:val="auto"/>
          <w:kern w:val="0"/>
          <w:sz w:val="24"/>
          <w:szCs w:val="24"/>
          <w:highlight w:val="none"/>
        </w:rPr>
        <w:t>我方已完全理解招标文件的全部内容，并无异议。</w:t>
      </w:r>
    </w:p>
    <w:p w14:paraId="6164D5E4">
      <w:pPr>
        <w:widowControl/>
        <w:shd w:val="clear" w:color="auto" w:fill="FFFFFF"/>
        <w:snapToGrid w:val="0"/>
        <w:spacing w:line="360" w:lineRule="auto"/>
        <w:ind w:firstLine="420"/>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7、如我方中标，我方自愿向代理机构支付咨询费，并在合同签订后</w:t>
      </w:r>
      <w:r>
        <w:rPr>
          <w:rFonts w:hint="eastAsia" w:ascii="仿宋" w:hAnsi="仿宋" w:eastAsia="仿宋" w:cs="仿宋"/>
          <w:color w:val="auto"/>
          <w:kern w:val="0"/>
          <w:sz w:val="24"/>
          <w:szCs w:val="24"/>
          <w:highlight w:val="none"/>
          <w:shd w:val="clear" w:color="auto" w:fill="FFFFFF" w:themeFill="background1"/>
          <w:lang w:val="en-US" w:eastAsia="zh-CN"/>
        </w:rPr>
        <w:t>1</w:t>
      </w:r>
      <w:r>
        <w:rPr>
          <w:rFonts w:hint="eastAsia" w:ascii="仿宋" w:hAnsi="仿宋" w:eastAsia="仿宋" w:cs="仿宋"/>
          <w:color w:val="auto"/>
          <w:kern w:val="0"/>
          <w:sz w:val="24"/>
          <w:szCs w:val="24"/>
          <w:highlight w:val="none"/>
          <w:shd w:val="clear" w:color="auto" w:fill="FFFFFF" w:themeFill="background1"/>
        </w:rPr>
        <w:t>个工作日内向采购代理机构提供采购合同原件一份用于采购资料备案工作。</w:t>
      </w:r>
    </w:p>
    <w:p w14:paraId="76540176">
      <w:pPr>
        <w:widowControl/>
        <w:shd w:val="clear" w:color="auto" w:fill="FFFFFF"/>
        <w:snapToGrid w:val="0"/>
        <w:spacing w:line="360" w:lineRule="auto"/>
        <w:ind w:firstLine="420"/>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8、我方愿意提供贵方可能要求的与采购有关的一切数据或资料，完全理解贵方不一定接受最低投标报价的投标或收到的任何投标。</w:t>
      </w:r>
    </w:p>
    <w:p w14:paraId="2C569CD8">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3A2E7529">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投标人：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p>
    <w:p w14:paraId="46586AC5">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58D15695">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法定代表人：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r>
        <w:rPr>
          <w:rFonts w:hint="eastAsia" w:ascii="仿宋" w:hAnsi="仿宋" w:eastAsia="仿宋" w:cs="仿宋"/>
          <w:color w:val="auto"/>
          <w:kern w:val="0"/>
          <w:sz w:val="24"/>
          <w:szCs w:val="24"/>
          <w:highlight w:val="none"/>
          <w:lang w:val="en-US" w:eastAsia="zh-CN"/>
        </w:rPr>
        <w:t>或签字</w:t>
      </w:r>
      <w:r>
        <w:rPr>
          <w:rFonts w:hint="eastAsia" w:ascii="仿宋" w:hAnsi="仿宋" w:eastAsia="仿宋" w:cs="仿宋"/>
          <w:color w:val="auto"/>
          <w:kern w:val="0"/>
          <w:sz w:val="24"/>
          <w:szCs w:val="24"/>
          <w:highlight w:val="none"/>
        </w:rPr>
        <w:t>）</w:t>
      </w:r>
    </w:p>
    <w:p w14:paraId="76ED552C">
      <w:pPr>
        <w:widowControl/>
        <w:shd w:val="clear" w:color="auto" w:fill="FFFFFF"/>
        <w:wordWrap w:val="0"/>
        <w:snapToGrid w:val="0"/>
        <w:spacing w:line="384" w:lineRule="auto"/>
        <w:ind w:firstLine="420"/>
        <w:jc w:val="righ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日期：     年   月   日</w:t>
      </w:r>
    </w:p>
    <w:p w14:paraId="31906FAF">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br w:type="page"/>
      </w:r>
    </w:p>
    <w:p w14:paraId="30FAD369">
      <w:pPr>
        <w:tabs>
          <w:tab w:val="center" w:pos="4832"/>
          <w:tab w:val="left" w:pos="7140"/>
        </w:tabs>
        <w:jc w:val="center"/>
        <w:outlineLvl w:val="1"/>
        <w:rPr>
          <w:rFonts w:hint="eastAsia" w:ascii="仿宋" w:hAnsi="仿宋" w:eastAsia="仿宋" w:cs="仿宋"/>
          <w:color w:val="auto"/>
          <w:sz w:val="24"/>
          <w:szCs w:val="24"/>
          <w:highlight w:val="none"/>
          <w:lang w:eastAsia="zh-CN"/>
        </w:rPr>
      </w:pPr>
      <w:bookmarkStart w:id="106" w:name="_Toc110707965"/>
      <w:bookmarkStart w:id="107" w:name="_Toc4096"/>
      <w:bookmarkStart w:id="108" w:name="_Toc2378"/>
      <w:bookmarkStart w:id="109" w:name="_Toc109941765"/>
      <w:bookmarkStart w:id="110" w:name="_Toc130252615"/>
      <w:bookmarkStart w:id="111" w:name="_Toc109921158"/>
      <w:r>
        <w:rPr>
          <w:rFonts w:hint="eastAsia" w:ascii="仿宋" w:hAnsi="仿宋" w:eastAsia="仿宋" w:cs="仿宋"/>
          <w:b/>
          <w:color w:val="auto"/>
          <w:sz w:val="24"/>
          <w:szCs w:val="24"/>
          <w:highlight w:val="none"/>
          <w:lang w:val="en-US" w:eastAsia="zh-CN"/>
        </w:rPr>
        <w:t>三</w:t>
      </w:r>
      <w:r>
        <w:rPr>
          <w:rFonts w:hint="eastAsia" w:ascii="仿宋" w:hAnsi="仿宋" w:eastAsia="仿宋" w:cs="仿宋"/>
          <w:b/>
          <w:color w:val="auto"/>
          <w:sz w:val="24"/>
          <w:szCs w:val="24"/>
          <w:highlight w:val="none"/>
        </w:rPr>
        <w:t>、投标价格明细表</w:t>
      </w:r>
      <w:bookmarkEnd w:id="106"/>
      <w:bookmarkEnd w:id="107"/>
      <w:bookmarkEnd w:id="108"/>
      <w:bookmarkEnd w:id="109"/>
      <w:bookmarkEnd w:id="110"/>
      <w:bookmarkEnd w:id="111"/>
    </w:p>
    <w:tbl>
      <w:tblPr>
        <w:tblStyle w:val="40"/>
        <w:tblW w:w="84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98"/>
        <w:gridCol w:w="3118"/>
        <w:gridCol w:w="2835"/>
        <w:gridCol w:w="1379"/>
      </w:tblGrid>
      <w:tr w14:paraId="38C65E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1098" w:type="dxa"/>
            <w:vAlign w:val="center"/>
          </w:tcPr>
          <w:p w14:paraId="23EA8268">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序号</w:t>
            </w:r>
          </w:p>
        </w:tc>
        <w:tc>
          <w:tcPr>
            <w:tcW w:w="3118" w:type="dxa"/>
            <w:vAlign w:val="center"/>
          </w:tcPr>
          <w:p w14:paraId="0EC095CE">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套餐名称</w:t>
            </w:r>
          </w:p>
        </w:tc>
        <w:tc>
          <w:tcPr>
            <w:tcW w:w="2835" w:type="dxa"/>
            <w:vAlign w:val="center"/>
          </w:tcPr>
          <w:p w14:paraId="76238D59">
            <w:pPr>
              <w:jc w:val="center"/>
              <w:rPr>
                <w:rFonts w:hint="eastAsia" w:ascii="仿宋" w:hAnsi="仿宋" w:eastAsia="仿宋" w:cs="仿宋"/>
                <w:bCs/>
                <w:color w:val="auto"/>
                <w:szCs w:val="21"/>
                <w:highlight w:val="none"/>
              </w:rPr>
            </w:pPr>
            <w:r>
              <w:rPr>
                <w:rFonts w:hint="eastAsia" w:ascii="仿宋" w:hAnsi="仿宋" w:eastAsia="仿宋" w:cs="仿宋"/>
                <w:color w:val="auto"/>
                <w:kern w:val="0"/>
                <w:szCs w:val="21"/>
                <w:highlight w:val="none"/>
              </w:rPr>
              <w:t>单价</w:t>
            </w:r>
            <w:r>
              <w:rPr>
                <w:rFonts w:hint="eastAsia" w:ascii="仿宋" w:hAnsi="仿宋" w:eastAsia="仿宋" w:cs="仿宋"/>
                <w:bCs/>
                <w:color w:val="auto"/>
                <w:szCs w:val="21"/>
                <w:highlight w:val="none"/>
              </w:rPr>
              <w:t>（元）</w:t>
            </w:r>
          </w:p>
        </w:tc>
        <w:tc>
          <w:tcPr>
            <w:tcW w:w="1379" w:type="dxa"/>
            <w:vAlign w:val="center"/>
          </w:tcPr>
          <w:p w14:paraId="2F34CBC1">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备注</w:t>
            </w:r>
          </w:p>
        </w:tc>
      </w:tr>
      <w:tr w14:paraId="3B9776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1098" w:type="dxa"/>
            <w:vAlign w:val="center"/>
          </w:tcPr>
          <w:p w14:paraId="4C6C7B62">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1</w:t>
            </w:r>
          </w:p>
        </w:tc>
        <w:tc>
          <w:tcPr>
            <w:tcW w:w="3118" w:type="dxa"/>
            <w:vAlign w:val="center"/>
          </w:tcPr>
          <w:p w14:paraId="2E0762C0">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A、40岁及以下男士套餐</w:t>
            </w:r>
          </w:p>
        </w:tc>
        <w:tc>
          <w:tcPr>
            <w:tcW w:w="2835" w:type="dxa"/>
            <w:vAlign w:val="center"/>
          </w:tcPr>
          <w:p w14:paraId="28E7021B">
            <w:pPr>
              <w:jc w:val="center"/>
              <w:rPr>
                <w:rFonts w:hint="eastAsia" w:ascii="仿宋" w:hAnsi="仿宋" w:eastAsia="仿宋" w:cs="仿宋"/>
                <w:color w:val="auto"/>
                <w:kern w:val="0"/>
                <w:szCs w:val="21"/>
                <w:highlight w:val="none"/>
              </w:rPr>
            </w:pPr>
          </w:p>
        </w:tc>
        <w:tc>
          <w:tcPr>
            <w:tcW w:w="1379" w:type="dxa"/>
            <w:vAlign w:val="center"/>
          </w:tcPr>
          <w:p w14:paraId="50402219">
            <w:pPr>
              <w:jc w:val="center"/>
              <w:rPr>
                <w:rFonts w:hint="eastAsia" w:ascii="仿宋" w:hAnsi="仿宋" w:eastAsia="仿宋" w:cs="仿宋"/>
                <w:bCs/>
                <w:color w:val="auto"/>
                <w:szCs w:val="21"/>
                <w:highlight w:val="none"/>
              </w:rPr>
            </w:pPr>
          </w:p>
        </w:tc>
      </w:tr>
      <w:tr w14:paraId="3D52FB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1098" w:type="dxa"/>
            <w:vAlign w:val="center"/>
          </w:tcPr>
          <w:p w14:paraId="379571CB">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2</w:t>
            </w:r>
          </w:p>
        </w:tc>
        <w:tc>
          <w:tcPr>
            <w:tcW w:w="3118" w:type="dxa"/>
            <w:vAlign w:val="center"/>
          </w:tcPr>
          <w:p w14:paraId="3E34D4CC">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B、41岁及以上男士套餐</w:t>
            </w:r>
          </w:p>
        </w:tc>
        <w:tc>
          <w:tcPr>
            <w:tcW w:w="2835" w:type="dxa"/>
            <w:vAlign w:val="center"/>
          </w:tcPr>
          <w:p w14:paraId="4607AAF5">
            <w:pPr>
              <w:jc w:val="center"/>
              <w:rPr>
                <w:rFonts w:hint="eastAsia" w:ascii="仿宋" w:hAnsi="仿宋" w:eastAsia="仿宋" w:cs="仿宋"/>
                <w:color w:val="auto"/>
                <w:kern w:val="0"/>
                <w:szCs w:val="21"/>
                <w:highlight w:val="none"/>
              </w:rPr>
            </w:pPr>
          </w:p>
        </w:tc>
        <w:tc>
          <w:tcPr>
            <w:tcW w:w="1379" w:type="dxa"/>
            <w:vAlign w:val="center"/>
          </w:tcPr>
          <w:p w14:paraId="19DFAB97">
            <w:pPr>
              <w:jc w:val="center"/>
              <w:rPr>
                <w:rFonts w:hint="eastAsia" w:ascii="仿宋" w:hAnsi="仿宋" w:eastAsia="仿宋" w:cs="仿宋"/>
                <w:bCs/>
                <w:color w:val="auto"/>
                <w:szCs w:val="21"/>
                <w:highlight w:val="none"/>
              </w:rPr>
            </w:pPr>
          </w:p>
        </w:tc>
      </w:tr>
      <w:tr w14:paraId="6D1A19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1098" w:type="dxa"/>
            <w:vAlign w:val="center"/>
          </w:tcPr>
          <w:p w14:paraId="08F10A9F">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3</w:t>
            </w:r>
          </w:p>
        </w:tc>
        <w:tc>
          <w:tcPr>
            <w:tcW w:w="3118" w:type="dxa"/>
            <w:vAlign w:val="center"/>
          </w:tcPr>
          <w:p w14:paraId="2F299EAE">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C、40岁及以下未婚女士套餐</w:t>
            </w:r>
          </w:p>
        </w:tc>
        <w:tc>
          <w:tcPr>
            <w:tcW w:w="2835" w:type="dxa"/>
            <w:vAlign w:val="center"/>
          </w:tcPr>
          <w:p w14:paraId="163E5CA7">
            <w:pPr>
              <w:jc w:val="center"/>
              <w:rPr>
                <w:rFonts w:hint="eastAsia" w:ascii="仿宋" w:hAnsi="仿宋" w:eastAsia="仿宋" w:cs="仿宋"/>
                <w:color w:val="auto"/>
                <w:kern w:val="0"/>
                <w:szCs w:val="21"/>
                <w:highlight w:val="none"/>
              </w:rPr>
            </w:pPr>
          </w:p>
        </w:tc>
        <w:tc>
          <w:tcPr>
            <w:tcW w:w="1379" w:type="dxa"/>
            <w:vAlign w:val="center"/>
          </w:tcPr>
          <w:p w14:paraId="4E61E515">
            <w:pPr>
              <w:jc w:val="center"/>
              <w:rPr>
                <w:rFonts w:hint="eastAsia" w:ascii="仿宋" w:hAnsi="仿宋" w:eastAsia="仿宋" w:cs="仿宋"/>
                <w:bCs/>
                <w:color w:val="auto"/>
                <w:szCs w:val="21"/>
                <w:highlight w:val="none"/>
              </w:rPr>
            </w:pPr>
          </w:p>
        </w:tc>
      </w:tr>
      <w:tr w14:paraId="21D484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1098" w:type="dxa"/>
            <w:vAlign w:val="center"/>
          </w:tcPr>
          <w:p w14:paraId="02A9742E">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4</w:t>
            </w:r>
          </w:p>
        </w:tc>
        <w:tc>
          <w:tcPr>
            <w:tcW w:w="3118" w:type="dxa"/>
            <w:vAlign w:val="center"/>
          </w:tcPr>
          <w:p w14:paraId="53E05A31">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D、41岁及以上未婚女士套餐</w:t>
            </w:r>
          </w:p>
        </w:tc>
        <w:tc>
          <w:tcPr>
            <w:tcW w:w="2835" w:type="dxa"/>
            <w:vAlign w:val="center"/>
          </w:tcPr>
          <w:p w14:paraId="54A6D50D">
            <w:pPr>
              <w:jc w:val="center"/>
              <w:rPr>
                <w:rFonts w:hint="eastAsia" w:ascii="仿宋" w:hAnsi="仿宋" w:eastAsia="仿宋" w:cs="仿宋"/>
                <w:color w:val="auto"/>
                <w:kern w:val="0"/>
                <w:szCs w:val="21"/>
                <w:highlight w:val="none"/>
              </w:rPr>
            </w:pPr>
          </w:p>
        </w:tc>
        <w:tc>
          <w:tcPr>
            <w:tcW w:w="1379" w:type="dxa"/>
            <w:vAlign w:val="center"/>
          </w:tcPr>
          <w:p w14:paraId="5E9D2FA5">
            <w:pPr>
              <w:jc w:val="center"/>
              <w:rPr>
                <w:rFonts w:hint="eastAsia" w:ascii="仿宋" w:hAnsi="仿宋" w:eastAsia="仿宋" w:cs="仿宋"/>
                <w:bCs/>
                <w:color w:val="auto"/>
                <w:szCs w:val="21"/>
                <w:highlight w:val="none"/>
              </w:rPr>
            </w:pPr>
          </w:p>
        </w:tc>
      </w:tr>
      <w:tr w14:paraId="0F1F39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1098" w:type="dxa"/>
            <w:vAlign w:val="center"/>
          </w:tcPr>
          <w:p w14:paraId="3F025E16">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5</w:t>
            </w:r>
          </w:p>
        </w:tc>
        <w:tc>
          <w:tcPr>
            <w:tcW w:w="3118" w:type="dxa"/>
            <w:vAlign w:val="center"/>
          </w:tcPr>
          <w:p w14:paraId="17D15B2C">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E、40岁及以下已婚女士套餐</w:t>
            </w:r>
          </w:p>
        </w:tc>
        <w:tc>
          <w:tcPr>
            <w:tcW w:w="2835" w:type="dxa"/>
            <w:vAlign w:val="center"/>
          </w:tcPr>
          <w:p w14:paraId="45143E2E">
            <w:pPr>
              <w:jc w:val="center"/>
              <w:rPr>
                <w:rFonts w:hint="eastAsia" w:ascii="仿宋" w:hAnsi="仿宋" w:eastAsia="仿宋" w:cs="仿宋"/>
                <w:color w:val="auto"/>
                <w:kern w:val="0"/>
                <w:szCs w:val="21"/>
                <w:highlight w:val="none"/>
              </w:rPr>
            </w:pPr>
          </w:p>
        </w:tc>
        <w:tc>
          <w:tcPr>
            <w:tcW w:w="1379" w:type="dxa"/>
            <w:vAlign w:val="center"/>
          </w:tcPr>
          <w:p w14:paraId="36B5E8A5">
            <w:pPr>
              <w:jc w:val="center"/>
              <w:rPr>
                <w:rFonts w:hint="eastAsia" w:ascii="仿宋" w:hAnsi="仿宋" w:eastAsia="仿宋" w:cs="仿宋"/>
                <w:bCs/>
                <w:color w:val="auto"/>
                <w:szCs w:val="21"/>
                <w:highlight w:val="none"/>
              </w:rPr>
            </w:pPr>
          </w:p>
        </w:tc>
      </w:tr>
      <w:tr w14:paraId="165A78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1098" w:type="dxa"/>
            <w:vAlign w:val="center"/>
          </w:tcPr>
          <w:p w14:paraId="0DE2D8F7">
            <w:pPr>
              <w:jc w:val="cente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6</w:t>
            </w:r>
          </w:p>
        </w:tc>
        <w:tc>
          <w:tcPr>
            <w:tcW w:w="3118" w:type="dxa"/>
            <w:vAlign w:val="center"/>
          </w:tcPr>
          <w:p w14:paraId="446C0AEF">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F、41岁及以上已婚女士套餐</w:t>
            </w:r>
          </w:p>
        </w:tc>
        <w:tc>
          <w:tcPr>
            <w:tcW w:w="2835" w:type="dxa"/>
            <w:vAlign w:val="center"/>
          </w:tcPr>
          <w:p w14:paraId="1B9F7CBD">
            <w:pPr>
              <w:jc w:val="center"/>
              <w:rPr>
                <w:rFonts w:hint="eastAsia" w:ascii="仿宋" w:hAnsi="仿宋" w:eastAsia="仿宋" w:cs="仿宋"/>
                <w:color w:val="auto"/>
                <w:kern w:val="0"/>
                <w:szCs w:val="21"/>
                <w:highlight w:val="none"/>
              </w:rPr>
            </w:pPr>
          </w:p>
        </w:tc>
        <w:tc>
          <w:tcPr>
            <w:tcW w:w="1379" w:type="dxa"/>
            <w:vAlign w:val="center"/>
          </w:tcPr>
          <w:p w14:paraId="2E136EEA">
            <w:pPr>
              <w:jc w:val="center"/>
              <w:rPr>
                <w:rFonts w:hint="eastAsia" w:ascii="仿宋" w:hAnsi="仿宋" w:eastAsia="仿宋" w:cs="仿宋"/>
                <w:bCs/>
                <w:color w:val="auto"/>
                <w:szCs w:val="21"/>
                <w:highlight w:val="none"/>
              </w:rPr>
            </w:pPr>
          </w:p>
        </w:tc>
      </w:tr>
      <w:tr w14:paraId="2AA225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1" w:hRule="atLeast"/>
          <w:jc w:val="center"/>
        </w:trPr>
        <w:tc>
          <w:tcPr>
            <w:tcW w:w="4216" w:type="dxa"/>
            <w:gridSpan w:val="2"/>
            <w:vAlign w:val="center"/>
          </w:tcPr>
          <w:p w14:paraId="4E46A3CA">
            <w:pPr>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单价合计金额</w:t>
            </w:r>
            <w:r>
              <w:rPr>
                <w:rFonts w:hint="eastAsia" w:ascii="仿宋" w:hAnsi="仿宋" w:eastAsia="仿宋" w:cs="仿宋"/>
                <w:bCs/>
                <w:color w:val="auto"/>
                <w:szCs w:val="21"/>
                <w:highlight w:val="none"/>
              </w:rPr>
              <w:t>（元）</w:t>
            </w:r>
          </w:p>
        </w:tc>
        <w:tc>
          <w:tcPr>
            <w:tcW w:w="2835" w:type="dxa"/>
            <w:vAlign w:val="center"/>
          </w:tcPr>
          <w:p w14:paraId="6802F4AB">
            <w:pPr>
              <w:jc w:val="center"/>
              <w:rPr>
                <w:rFonts w:hint="eastAsia" w:ascii="仿宋" w:hAnsi="仿宋" w:eastAsia="仿宋" w:cs="仿宋"/>
                <w:bCs/>
                <w:color w:val="auto"/>
                <w:szCs w:val="21"/>
                <w:highlight w:val="none"/>
              </w:rPr>
            </w:pPr>
          </w:p>
        </w:tc>
        <w:tc>
          <w:tcPr>
            <w:tcW w:w="1379" w:type="dxa"/>
            <w:vAlign w:val="center"/>
          </w:tcPr>
          <w:p w14:paraId="30B1CDAD">
            <w:pPr>
              <w:jc w:val="center"/>
              <w:rPr>
                <w:rFonts w:hint="eastAsia" w:ascii="仿宋" w:hAnsi="仿宋" w:eastAsia="仿宋" w:cs="仿宋"/>
                <w:bCs/>
                <w:color w:val="auto"/>
                <w:szCs w:val="21"/>
                <w:highlight w:val="none"/>
              </w:rPr>
            </w:pPr>
          </w:p>
        </w:tc>
      </w:tr>
    </w:tbl>
    <w:p w14:paraId="25BCD7FC">
      <w:pPr>
        <w:spacing w:line="360"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lang w:val="en-US" w:eastAsia="zh-CN"/>
        </w:rPr>
        <w:t>注：</w:t>
      </w:r>
      <w:r>
        <w:rPr>
          <w:rFonts w:hint="eastAsia" w:ascii="仿宋" w:hAnsi="仿宋" w:eastAsia="仿宋" w:cs="仿宋"/>
          <w:color w:val="auto"/>
          <w:kern w:val="0"/>
          <w:sz w:val="24"/>
          <w:szCs w:val="24"/>
          <w:highlight w:val="none"/>
        </w:rPr>
        <w:t>投标价格应包括投标人履行本项目合同（如果中标）所必须的所有成本费用和中标人应承担的一切税费；未列和没有填写的项目费用，采购人将视为已包括在投标价格中。</w:t>
      </w:r>
    </w:p>
    <w:p w14:paraId="5784A144">
      <w:pPr>
        <w:spacing w:line="360" w:lineRule="auto"/>
        <w:ind w:firstLine="480" w:firstLineChars="200"/>
        <w:jc w:val="left"/>
        <w:rPr>
          <w:rFonts w:hint="eastAsia" w:ascii="仿宋" w:hAnsi="仿宋" w:eastAsia="仿宋" w:cs="仿宋"/>
          <w:color w:val="auto"/>
          <w:kern w:val="0"/>
          <w:sz w:val="24"/>
          <w:szCs w:val="24"/>
          <w:highlight w:val="none"/>
        </w:rPr>
      </w:pPr>
    </w:p>
    <w:p w14:paraId="15810BE5">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投标人：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p>
    <w:p w14:paraId="1D0319D4">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5348AB4C">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法定代表人：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r>
        <w:rPr>
          <w:rFonts w:hint="eastAsia" w:ascii="仿宋" w:hAnsi="仿宋" w:eastAsia="仿宋" w:cs="仿宋"/>
          <w:color w:val="auto"/>
          <w:kern w:val="0"/>
          <w:sz w:val="24"/>
          <w:szCs w:val="24"/>
          <w:highlight w:val="none"/>
          <w:lang w:val="en-US" w:eastAsia="zh-CN"/>
        </w:rPr>
        <w:t>或签字</w:t>
      </w:r>
      <w:r>
        <w:rPr>
          <w:rFonts w:hint="eastAsia" w:ascii="仿宋" w:hAnsi="仿宋" w:eastAsia="仿宋" w:cs="仿宋"/>
          <w:color w:val="auto"/>
          <w:kern w:val="0"/>
          <w:sz w:val="24"/>
          <w:szCs w:val="24"/>
          <w:highlight w:val="none"/>
        </w:rPr>
        <w:t>）</w:t>
      </w:r>
    </w:p>
    <w:p w14:paraId="7014EC4B">
      <w:pPr>
        <w:widowControl/>
        <w:shd w:val="clear" w:color="auto" w:fill="FFFFFF"/>
        <w:wordWrap w:val="0"/>
        <w:snapToGrid w:val="0"/>
        <w:spacing w:line="384" w:lineRule="auto"/>
        <w:ind w:firstLine="420"/>
        <w:jc w:val="righ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日期：     年   月   日</w:t>
      </w:r>
    </w:p>
    <w:p w14:paraId="1F3C989D">
      <w:pPr>
        <w:pStyle w:val="39"/>
        <w:rPr>
          <w:rFonts w:hint="eastAsia" w:ascii="仿宋" w:hAnsi="仿宋" w:eastAsia="仿宋" w:cs="仿宋"/>
          <w:color w:val="auto"/>
          <w:highlight w:val="none"/>
        </w:rPr>
      </w:pPr>
    </w:p>
    <w:p w14:paraId="6D911D9D">
      <w:pPr>
        <w:tabs>
          <w:tab w:val="center" w:pos="4832"/>
          <w:tab w:val="left" w:pos="7140"/>
        </w:tabs>
        <w:jc w:val="center"/>
        <w:outlineLvl w:val="1"/>
        <w:rPr>
          <w:rFonts w:hint="eastAsia" w:ascii="仿宋" w:hAnsi="仿宋" w:eastAsia="仿宋" w:cs="仿宋"/>
          <w:b/>
          <w:color w:val="auto"/>
          <w:sz w:val="24"/>
          <w:szCs w:val="24"/>
          <w:highlight w:val="none"/>
        </w:rPr>
      </w:pPr>
      <w:r>
        <w:rPr>
          <w:rFonts w:hint="eastAsia" w:ascii="仿宋" w:hAnsi="仿宋" w:eastAsia="仿宋" w:cs="仿宋"/>
          <w:color w:val="auto"/>
          <w:kern w:val="0"/>
          <w:sz w:val="24"/>
          <w:szCs w:val="24"/>
          <w:highlight w:val="none"/>
        </w:rPr>
        <w:br w:type="page"/>
      </w:r>
      <w:bookmarkStart w:id="112" w:name="_Toc130252618"/>
      <w:bookmarkStart w:id="113" w:name="_Toc109921161"/>
      <w:bookmarkStart w:id="114" w:name="_Toc22973"/>
      <w:bookmarkStart w:id="115" w:name="_Toc30686"/>
      <w:bookmarkStart w:id="116" w:name="_Toc110707968"/>
      <w:bookmarkStart w:id="117" w:name="_Toc3062"/>
      <w:bookmarkStart w:id="118" w:name="_Toc17089"/>
      <w:bookmarkStart w:id="119" w:name="_Toc109941768"/>
      <w:r>
        <w:rPr>
          <w:rFonts w:hint="eastAsia" w:ascii="仿宋" w:hAnsi="仿宋" w:eastAsia="仿宋" w:cs="仿宋"/>
          <w:b/>
          <w:color w:val="auto"/>
          <w:sz w:val="24"/>
          <w:szCs w:val="24"/>
          <w:highlight w:val="none"/>
          <w:lang w:val="en-US" w:eastAsia="zh-CN"/>
        </w:rPr>
        <w:t>四</w:t>
      </w:r>
      <w:r>
        <w:rPr>
          <w:rFonts w:hint="eastAsia" w:ascii="仿宋" w:hAnsi="仿宋" w:eastAsia="仿宋" w:cs="仿宋"/>
          <w:b/>
          <w:color w:val="auto"/>
          <w:sz w:val="24"/>
          <w:szCs w:val="24"/>
          <w:highlight w:val="none"/>
        </w:rPr>
        <w:t>、商务条款偏离表</w:t>
      </w:r>
      <w:bookmarkEnd w:id="112"/>
      <w:bookmarkEnd w:id="113"/>
      <w:bookmarkEnd w:id="114"/>
      <w:bookmarkEnd w:id="115"/>
      <w:bookmarkEnd w:id="116"/>
      <w:bookmarkEnd w:id="117"/>
      <w:bookmarkEnd w:id="118"/>
      <w:bookmarkEnd w:id="119"/>
    </w:p>
    <w:p w14:paraId="595A2A45">
      <w:pPr>
        <w:rPr>
          <w:rFonts w:hint="eastAsia" w:ascii="仿宋" w:hAnsi="仿宋" w:eastAsia="仿宋" w:cs="仿宋"/>
          <w:color w:val="auto"/>
          <w:highlight w:val="none"/>
        </w:rPr>
      </w:pPr>
    </w:p>
    <w:tbl>
      <w:tblPr>
        <w:tblStyle w:val="40"/>
        <w:tblW w:w="90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6"/>
        <w:gridCol w:w="2070"/>
        <w:gridCol w:w="2052"/>
        <w:gridCol w:w="2126"/>
        <w:gridCol w:w="1985"/>
      </w:tblGrid>
      <w:tr w14:paraId="5E778C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3" w:hRule="atLeast"/>
          <w:jc w:val="center"/>
        </w:trPr>
        <w:tc>
          <w:tcPr>
            <w:tcW w:w="806" w:type="dxa"/>
            <w:vAlign w:val="center"/>
          </w:tcPr>
          <w:p w14:paraId="0EDC297E">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序号</w:t>
            </w:r>
          </w:p>
        </w:tc>
        <w:tc>
          <w:tcPr>
            <w:tcW w:w="2070" w:type="dxa"/>
            <w:vAlign w:val="center"/>
          </w:tcPr>
          <w:p w14:paraId="2119BC9D">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招标文件条目号</w:t>
            </w:r>
          </w:p>
        </w:tc>
        <w:tc>
          <w:tcPr>
            <w:tcW w:w="2052" w:type="dxa"/>
            <w:vAlign w:val="center"/>
          </w:tcPr>
          <w:p w14:paraId="76CD7085">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招标文件的商务条款</w:t>
            </w:r>
          </w:p>
        </w:tc>
        <w:tc>
          <w:tcPr>
            <w:tcW w:w="2126" w:type="dxa"/>
            <w:vAlign w:val="center"/>
          </w:tcPr>
          <w:p w14:paraId="23EDA3E6">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投标文件的商务条款</w:t>
            </w:r>
          </w:p>
        </w:tc>
        <w:tc>
          <w:tcPr>
            <w:tcW w:w="1985" w:type="dxa"/>
            <w:vAlign w:val="center"/>
          </w:tcPr>
          <w:p w14:paraId="4D1857E2">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说明</w:t>
            </w:r>
          </w:p>
        </w:tc>
      </w:tr>
      <w:tr w14:paraId="4F74E2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806" w:type="dxa"/>
          </w:tcPr>
          <w:p w14:paraId="611A3562">
            <w:pPr>
              <w:jc w:val="center"/>
              <w:rPr>
                <w:rFonts w:hint="eastAsia" w:ascii="仿宋" w:hAnsi="仿宋" w:eastAsia="仿宋" w:cs="仿宋"/>
                <w:b/>
                <w:bCs/>
                <w:color w:val="auto"/>
                <w:sz w:val="24"/>
                <w:szCs w:val="24"/>
                <w:highlight w:val="none"/>
              </w:rPr>
            </w:pPr>
          </w:p>
        </w:tc>
        <w:tc>
          <w:tcPr>
            <w:tcW w:w="2070" w:type="dxa"/>
          </w:tcPr>
          <w:p w14:paraId="06973D6E">
            <w:pPr>
              <w:jc w:val="center"/>
              <w:rPr>
                <w:rFonts w:hint="eastAsia" w:ascii="仿宋" w:hAnsi="仿宋" w:eastAsia="仿宋" w:cs="仿宋"/>
                <w:b/>
                <w:bCs/>
                <w:color w:val="auto"/>
                <w:sz w:val="24"/>
                <w:szCs w:val="24"/>
                <w:highlight w:val="none"/>
              </w:rPr>
            </w:pPr>
          </w:p>
        </w:tc>
        <w:tc>
          <w:tcPr>
            <w:tcW w:w="2052" w:type="dxa"/>
          </w:tcPr>
          <w:p w14:paraId="4FC4980A">
            <w:pPr>
              <w:jc w:val="center"/>
              <w:rPr>
                <w:rFonts w:hint="eastAsia" w:ascii="仿宋" w:hAnsi="仿宋" w:eastAsia="仿宋" w:cs="仿宋"/>
                <w:b/>
                <w:bCs/>
                <w:color w:val="auto"/>
                <w:sz w:val="24"/>
                <w:szCs w:val="24"/>
                <w:highlight w:val="none"/>
              </w:rPr>
            </w:pPr>
          </w:p>
        </w:tc>
        <w:tc>
          <w:tcPr>
            <w:tcW w:w="2126" w:type="dxa"/>
          </w:tcPr>
          <w:p w14:paraId="5D036468">
            <w:pPr>
              <w:jc w:val="center"/>
              <w:rPr>
                <w:rFonts w:hint="eastAsia" w:ascii="仿宋" w:hAnsi="仿宋" w:eastAsia="仿宋" w:cs="仿宋"/>
                <w:b/>
                <w:bCs/>
                <w:color w:val="auto"/>
                <w:sz w:val="24"/>
                <w:szCs w:val="24"/>
                <w:highlight w:val="none"/>
              </w:rPr>
            </w:pPr>
          </w:p>
        </w:tc>
        <w:tc>
          <w:tcPr>
            <w:tcW w:w="1985" w:type="dxa"/>
          </w:tcPr>
          <w:p w14:paraId="0C3A4791">
            <w:pPr>
              <w:jc w:val="center"/>
              <w:rPr>
                <w:rFonts w:hint="eastAsia" w:ascii="仿宋" w:hAnsi="仿宋" w:eastAsia="仿宋" w:cs="仿宋"/>
                <w:b/>
                <w:bCs/>
                <w:color w:val="auto"/>
                <w:sz w:val="24"/>
                <w:szCs w:val="24"/>
                <w:highlight w:val="none"/>
              </w:rPr>
            </w:pPr>
          </w:p>
        </w:tc>
      </w:tr>
      <w:tr w14:paraId="7C00F0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806" w:type="dxa"/>
          </w:tcPr>
          <w:p w14:paraId="35BAD888">
            <w:pPr>
              <w:jc w:val="center"/>
              <w:rPr>
                <w:rFonts w:hint="eastAsia" w:ascii="仿宋" w:hAnsi="仿宋" w:eastAsia="仿宋" w:cs="仿宋"/>
                <w:b/>
                <w:bCs/>
                <w:color w:val="auto"/>
                <w:sz w:val="24"/>
                <w:szCs w:val="24"/>
                <w:highlight w:val="none"/>
              </w:rPr>
            </w:pPr>
          </w:p>
        </w:tc>
        <w:tc>
          <w:tcPr>
            <w:tcW w:w="2070" w:type="dxa"/>
          </w:tcPr>
          <w:p w14:paraId="7FDE6B71">
            <w:pPr>
              <w:jc w:val="center"/>
              <w:rPr>
                <w:rFonts w:hint="eastAsia" w:ascii="仿宋" w:hAnsi="仿宋" w:eastAsia="仿宋" w:cs="仿宋"/>
                <w:b/>
                <w:bCs/>
                <w:color w:val="auto"/>
                <w:sz w:val="24"/>
                <w:szCs w:val="24"/>
                <w:highlight w:val="none"/>
              </w:rPr>
            </w:pPr>
          </w:p>
        </w:tc>
        <w:tc>
          <w:tcPr>
            <w:tcW w:w="2052" w:type="dxa"/>
          </w:tcPr>
          <w:p w14:paraId="54B37094">
            <w:pPr>
              <w:jc w:val="center"/>
              <w:rPr>
                <w:rFonts w:hint="eastAsia" w:ascii="仿宋" w:hAnsi="仿宋" w:eastAsia="仿宋" w:cs="仿宋"/>
                <w:b/>
                <w:bCs/>
                <w:color w:val="auto"/>
                <w:sz w:val="24"/>
                <w:szCs w:val="24"/>
                <w:highlight w:val="none"/>
              </w:rPr>
            </w:pPr>
          </w:p>
        </w:tc>
        <w:tc>
          <w:tcPr>
            <w:tcW w:w="2126" w:type="dxa"/>
          </w:tcPr>
          <w:p w14:paraId="309881D9">
            <w:pPr>
              <w:jc w:val="center"/>
              <w:rPr>
                <w:rFonts w:hint="eastAsia" w:ascii="仿宋" w:hAnsi="仿宋" w:eastAsia="仿宋" w:cs="仿宋"/>
                <w:b/>
                <w:bCs/>
                <w:color w:val="auto"/>
                <w:sz w:val="24"/>
                <w:szCs w:val="24"/>
                <w:highlight w:val="none"/>
              </w:rPr>
            </w:pPr>
          </w:p>
        </w:tc>
        <w:tc>
          <w:tcPr>
            <w:tcW w:w="1985" w:type="dxa"/>
          </w:tcPr>
          <w:p w14:paraId="1683516C">
            <w:pPr>
              <w:jc w:val="center"/>
              <w:rPr>
                <w:rFonts w:hint="eastAsia" w:ascii="仿宋" w:hAnsi="仿宋" w:eastAsia="仿宋" w:cs="仿宋"/>
                <w:b/>
                <w:bCs/>
                <w:color w:val="auto"/>
                <w:sz w:val="24"/>
                <w:szCs w:val="24"/>
                <w:highlight w:val="none"/>
              </w:rPr>
            </w:pPr>
          </w:p>
        </w:tc>
      </w:tr>
      <w:tr w14:paraId="618369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806" w:type="dxa"/>
          </w:tcPr>
          <w:p w14:paraId="75C76840">
            <w:pPr>
              <w:jc w:val="center"/>
              <w:rPr>
                <w:rFonts w:hint="eastAsia" w:ascii="仿宋" w:hAnsi="仿宋" w:eastAsia="仿宋" w:cs="仿宋"/>
                <w:b/>
                <w:bCs/>
                <w:color w:val="auto"/>
                <w:sz w:val="24"/>
                <w:szCs w:val="24"/>
                <w:highlight w:val="none"/>
              </w:rPr>
            </w:pPr>
          </w:p>
        </w:tc>
        <w:tc>
          <w:tcPr>
            <w:tcW w:w="2070" w:type="dxa"/>
          </w:tcPr>
          <w:p w14:paraId="0C085E03">
            <w:pPr>
              <w:jc w:val="center"/>
              <w:rPr>
                <w:rFonts w:hint="eastAsia" w:ascii="仿宋" w:hAnsi="仿宋" w:eastAsia="仿宋" w:cs="仿宋"/>
                <w:b/>
                <w:bCs/>
                <w:color w:val="auto"/>
                <w:sz w:val="24"/>
                <w:szCs w:val="24"/>
                <w:highlight w:val="none"/>
              </w:rPr>
            </w:pPr>
          </w:p>
        </w:tc>
        <w:tc>
          <w:tcPr>
            <w:tcW w:w="2052" w:type="dxa"/>
          </w:tcPr>
          <w:p w14:paraId="44481189">
            <w:pPr>
              <w:jc w:val="center"/>
              <w:rPr>
                <w:rFonts w:hint="eastAsia" w:ascii="仿宋" w:hAnsi="仿宋" w:eastAsia="仿宋" w:cs="仿宋"/>
                <w:b/>
                <w:bCs/>
                <w:color w:val="auto"/>
                <w:sz w:val="24"/>
                <w:szCs w:val="24"/>
                <w:highlight w:val="none"/>
              </w:rPr>
            </w:pPr>
          </w:p>
        </w:tc>
        <w:tc>
          <w:tcPr>
            <w:tcW w:w="2126" w:type="dxa"/>
          </w:tcPr>
          <w:p w14:paraId="20E19874">
            <w:pPr>
              <w:jc w:val="center"/>
              <w:rPr>
                <w:rFonts w:hint="eastAsia" w:ascii="仿宋" w:hAnsi="仿宋" w:eastAsia="仿宋" w:cs="仿宋"/>
                <w:b/>
                <w:bCs/>
                <w:color w:val="auto"/>
                <w:sz w:val="24"/>
                <w:szCs w:val="24"/>
                <w:highlight w:val="none"/>
              </w:rPr>
            </w:pPr>
          </w:p>
        </w:tc>
        <w:tc>
          <w:tcPr>
            <w:tcW w:w="1985" w:type="dxa"/>
          </w:tcPr>
          <w:p w14:paraId="2F1C6066">
            <w:pPr>
              <w:jc w:val="center"/>
              <w:rPr>
                <w:rFonts w:hint="eastAsia" w:ascii="仿宋" w:hAnsi="仿宋" w:eastAsia="仿宋" w:cs="仿宋"/>
                <w:b/>
                <w:bCs/>
                <w:color w:val="auto"/>
                <w:sz w:val="24"/>
                <w:szCs w:val="24"/>
                <w:highlight w:val="none"/>
              </w:rPr>
            </w:pPr>
          </w:p>
        </w:tc>
      </w:tr>
      <w:tr w14:paraId="4D3C6B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806" w:type="dxa"/>
          </w:tcPr>
          <w:p w14:paraId="2BC0526C">
            <w:pPr>
              <w:jc w:val="center"/>
              <w:rPr>
                <w:rFonts w:hint="eastAsia" w:ascii="仿宋" w:hAnsi="仿宋" w:eastAsia="仿宋" w:cs="仿宋"/>
                <w:b/>
                <w:bCs/>
                <w:color w:val="auto"/>
                <w:sz w:val="24"/>
                <w:szCs w:val="24"/>
                <w:highlight w:val="none"/>
              </w:rPr>
            </w:pPr>
          </w:p>
        </w:tc>
        <w:tc>
          <w:tcPr>
            <w:tcW w:w="2070" w:type="dxa"/>
          </w:tcPr>
          <w:p w14:paraId="79E73FA0">
            <w:pPr>
              <w:jc w:val="center"/>
              <w:rPr>
                <w:rFonts w:hint="eastAsia" w:ascii="仿宋" w:hAnsi="仿宋" w:eastAsia="仿宋" w:cs="仿宋"/>
                <w:b/>
                <w:bCs/>
                <w:color w:val="auto"/>
                <w:sz w:val="24"/>
                <w:szCs w:val="24"/>
                <w:highlight w:val="none"/>
              </w:rPr>
            </w:pPr>
          </w:p>
        </w:tc>
        <w:tc>
          <w:tcPr>
            <w:tcW w:w="2052" w:type="dxa"/>
          </w:tcPr>
          <w:p w14:paraId="3C76FEF8">
            <w:pPr>
              <w:jc w:val="center"/>
              <w:rPr>
                <w:rFonts w:hint="eastAsia" w:ascii="仿宋" w:hAnsi="仿宋" w:eastAsia="仿宋" w:cs="仿宋"/>
                <w:b/>
                <w:bCs/>
                <w:color w:val="auto"/>
                <w:sz w:val="24"/>
                <w:szCs w:val="24"/>
                <w:highlight w:val="none"/>
              </w:rPr>
            </w:pPr>
          </w:p>
        </w:tc>
        <w:tc>
          <w:tcPr>
            <w:tcW w:w="2126" w:type="dxa"/>
          </w:tcPr>
          <w:p w14:paraId="31B0366B">
            <w:pPr>
              <w:jc w:val="center"/>
              <w:rPr>
                <w:rFonts w:hint="eastAsia" w:ascii="仿宋" w:hAnsi="仿宋" w:eastAsia="仿宋" w:cs="仿宋"/>
                <w:b/>
                <w:bCs/>
                <w:color w:val="auto"/>
                <w:sz w:val="24"/>
                <w:szCs w:val="24"/>
                <w:highlight w:val="none"/>
              </w:rPr>
            </w:pPr>
          </w:p>
        </w:tc>
        <w:tc>
          <w:tcPr>
            <w:tcW w:w="1985" w:type="dxa"/>
          </w:tcPr>
          <w:p w14:paraId="6DC8FB88">
            <w:pPr>
              <w:jc w:val="center"/>
              <w:rPr>
                <w:rFonts w:hint="eastAsia" w:ascii="仿宋" w:hAnsi="仿宋" w:eastAsia="仿宋" w:cs="仿宋"/>
                <w:b/>
                <w:bCs/>
                <w:color w:val="auto"/>
                <w:sz w:val="24"/>
                <w:szCs w:val="24"/>
                <w:highlight w:val="none"/>
              </w:rPr>
            </w:pPr>
          </w:p>
        </w:tc>
      </w:tr>
      <w:tr w14:paraId="328DD5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806" w:type="dxa"/>
          </w:tcPr>
          <w:p w14:paraId="410F1A90">
            <w:pPr>
              <w:jc w:val="center"/>
              <w:rPr>
                <w:rFonts w:hint="eastAsia" w:ascii="仿宋" w:hAnsi="仿宋" w:eastAsia="仿宋" w:cs="仿宋"/>
                <w:b/>
                <w:bCs/>
                <w:color w:val="auto"/>
                <w:sz w:val="24"/>
                <w:szCs w:val="24"/>
                <w:highlight w:val="none"/>
              </w:rPr>
            </w:pPr>
          </w:p>
        </w:tc>
        <w:tc>
          <w:tcPr>
            <w:tcW w:w="2070" w:type="dxa"/>
          </w:tcPr>
          <w:p w14:paraId="26941949">
            <w:pPr>
              <w:jc w:val="center"/>
              <w:rPr>
                <w:rFonts w:hint="eastAsia" w:ascii="仿宋" w:hAnsi="仿宋" w:eastAsia="仿宋" w:cs="仿宋"/>
                <w:b/>
                <w:bCs/>
                <w:color w:val="auto"/>
                <w:sz w:val="24"/>
                <w:szCs w:val="24"/>
                <w:highlight w:val="none"/>
              </w:rPr>
            </w:pPr>
          </w:p>
        </w:tc>
        <w:tc>
          <w:tcPr>
            <w:tcW w:w="2052" w:type="dxa"/>
          </w:tcPr>
          <w:p w14:paraId="5FF4CBEE">
            <w:pPr>
              <w:jc w:val="center"/>
              <w:rPr>
                <w:rFonts w:hint="eastAsia" w:ascii="仿宋" w:hAnsi="仿宋" w:eastAsia="仿宋" w:cs="仿宋"/>
                <w:b/>
                <w:bCs/>
                <w:color w:val="auto"/>
                <w:sz w:val="24"/>
                <w:szCs w:val="24"/>
                <w:highlight w:val="none"/>
              </w:rPr>
            </w:pPr>
          </w:p>
        </w:tc>
        <w:tc>
          <w:tcPr>
            <w:tcW w:w="2126" w:type="dxa"/>
          </w:tcPr>
          <w:p w14:paraId="1FD73120">
            <w:pPr>
              <w:jc w:val="center"/>
              <w:rPr>
                <w:rFonts w:hint="eastAsia" w:ascii="仿宋" w:hAnsi="仿宋" w:eastAsia="仿宋" w:cs="仿宋"/>
                <w:b/>
                <w:bCs/>
                <w:color w:val="auto"/>
                <w:sz w:val="24"/>
                <w:szCs w:val="24"/>
                <w:highlight w:val="none"/>
              </w:rPr>
            </w:pPr>
          </w:p>
        </w:tc>
        <w:tc>
          <w:tcPr>
            <w:tcW w:w="1985" w:type="dxa"/>
          </w:tcPr>
          <w:p w14:paraId="446D75D1">
            <w:pPr>
              <w:jc w:val="center"/>
              <w:rPr>
                <w:rFonts w:hint="eastAsia" w:ascii="仿宋" w:hAnsi="仿宋" w:eastAsia="仿宋" w:cs="仿宋"/>
                <w:b/>
                <w:bCs/>
                <w:color w:val="auto"/>
                <w:sz w:val="24"/>
                <w:szCs w:val="24"/>
                <w:highlight w:val="none"/>
              </w:rPr>
            </w:pPr>
          </w:p>
        </w:tc>
      </w:tr>
    </w:tbl>
    <w:p w14:paraId="570F3457">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注：投标人商务条款有差异的，则在此表中列明实际响应的内容提要并加以说明，以便查对。无差异说明表示完全响应。</w:t>
      </w:r>
    </w:p>
    <w:p w14:paraId="126F489F">
      <w:pPr>
        <w:spacing w:line="360" w:lineRule="auto"/>
        <w:jc w:val="left"/>
        <w:rPr>
          <w:rFonts w:hint="eastAsia" w:ascii="仿宋" w:hAnsi="仿宋" w:eastAsia="仿宋" w:cs="仿宋"/>
          <w:color w:val="auto"/>
          <w:sz w:val="24"/>
          <w:szCs w:val="24"/>
          <w:highlight w:val="none"/>
        </w:rPr>
      </w:pPr>
    </w:p>
    <w:p w14:paraId="1A4A7B78">
      <w:pPr>
        <w:spacing w:line="360" w:lineRule="auto"/>
        <w:jc w:val="left"/>
        <w:rPr>
          <w:rFonts w:hint="eastAsia" w:ascii="仿宋" w:hAnsi="仿宋" w:eastAsia="仿宋" w:cs="仿宋"/>
          <w:color w:val="auto"/>
          <w:sz w:val="24"/>
          <w:szCs w:val="24"/>
          <w:highlight w:val="none"/>
        </w:rPr>
      </w:pPr>
    </w:p>
    <w:p w14:paraId="155A48A4">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投标人：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p>
    <w:p w14:paraId="6D9B28F0">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5CB2C0C3">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法定代表人：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r>
        <w:rPr>
          <w:rFonts w:hint="eastAsia" w:ascii="仿宋" w:hAnsi="仿宋" w:eastAsia="仿宋" w:cs="仿宋"/>
          <w:color w:val="auto"/>
          <w:kern w:val="0"/>
          <w:sz w:val="24"/>
          <w:szCs w:val="24"/>
          <w:highlight w:val="none"/>
          <w:lang w:val="en-US" w:eastAsia="zh-CN"/>
        </w:rPr>
        <w:t>或签字</w:t>
      </w:r>
      <w:r>
        <w:rPr>
          <w:rFonts w:hint="eastAsia" w:ascii="仿宋" w:hAnsi="仿宋" w:eastAsia="仿宋" w:cs="仿宋"/>
          <w:color w:val="auto"/>
          <w:kern w:val="0"/>
          <w:sz w:val="24"/>
          <w:szCs w:val="24"/>
          <w:highlight w:val="none"/>
        </w:rPr>
        <w:t>）</w:t>
      </w:r>
    </w:p>
    <w:p w14:paraId="03D70E3D">
      <w:pPr>
        <w:widowControl/>
        <w:shd w:val="clear" w:color="auto" w:fill="FFFFFF"/>
        <w:wordWrap w:val="0"/>
        <w:snapToGrid w:val="0"/>
        <w:spacing w:line="384" w:lineRule="auto"/>
        <w:ind w:firstLine="420"/>
        <w:jc w:val="righ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日期：     年   月   日</w:t>
      </w:r>
    </w:p>
    <w:p w14:paraId="2FEF5FFA">
      <w:pPr>
        <w:rPr>
          <w:rFonts w:hint="eastAsia" w:ascii="仿宋" w:hAnsi="仿宋" w:eastAsia="仿宋" w:cs="仿宋"/>
          <w:color w:val="auto"/>
          <w:sz w:val="24"/>
          <w:szCs w:val="24"/>
          <w:highlight w:val="none"/>
        </w:rPr>
      </w:pPr>
      <w:r>
        <w:rPr>
          <w:rFonts w:hint="eastAsia" w:ascii="仿宋" w:hAnsi="仿宋" w:eastAsia="仿宋" w:cs="仿宋"/>
          <w:b/>
          <w:bCs/>
          <w:color w:val="auto"/>
          <w:kern w:val="36"/>
          <w:sz w:val="24"/>
          <w:szCs w:val="24"/>
          <w:highlight w:val="none"/>
        </w:rPr>
        <w:br w:type="page"/>
      </w:r>
    </w:p>
    <w:p w14:paraId="3075B71F">
      <w:pPr>
        <w:widowControl/>
        <w:jc w:val="left"/>
        <w:rPr>
          <w:rFonts w:hint="eastAsia" w:ascii="仿宋" w:hAnsi="仿宋" w:eastAsia="仿宋" w:cs="仿宋"/>
          <w:color w:val="auto"/>
          <w:sz w:val="24"/>
          <w:szCs w:val="24"/>
          <w:highlight w:val="none"/>
        </w:rPr>
      </w:pPr>
    </w:p>
    <w:p w14:paraId="0EF4A20F">
      <w:pPr>
        <w:tabs>
          <w:tab w:val="center" w:pos="4832"/>
          <w:tab w:val="left" w:pos="7140"/>
        </w:tabs>
        <w:jc w:val="center"/>
        <w:outlineLvl w:val="1"/>
        <w:rPr>
          <w:rFonts w:hint="eastAsia" w:ascii="仿宋" w:hAnsi="仿宋" w:eastAsia="仿宋" w:cs="仿宋"/>
          <w:b/>
          <w:color w:val="auto"/>
          <w:sz w:val="24"/>
          <w:szCs w:val="24"/>
          <w:highlight w:val="none"/>
        </w:rPr>
      </w:pPr>
      <w:bookmarkStart w:id="120" w:name="_Toc27420"/>
      <w:bookmarkStart w:id="121" w:name="_Toc130252617"/>
      <w:bookmarkStart w:id="122" w:name="_Toc109941767"/>
      <w:bookmarkStart w:id="123" w:name="_Toc9974"/>
      <w:bookmarkStart w:id="124" w:name="_Toc110707967"/>
      <w:bookmarkStart w:id="125" w:name="_Toc109921160"/>
      <w:bookmarkStart w:id="126" w:name="_Toc17012"/>
      <w:bookmarkStart w:id="127" w:name="_Toc6958"/>
      <w:r>
        <w:rPr>
          <w:rFonts w:hint="eastAsia" w:ascii="仿宋" w:hAnsi="仿宋" w:eastAsia="仿宋" w:cs="仿宋"/>
          <w:b/>
          <w:color w:val="auto"/>
          <w:sz w:val="24"/>
          <w:szCs w:val="24"/>
          <w:highlight w:val="none"/>
          <w:lang w:val="en-US" w:eastAsia="zh-CN"/>
        </w:rPr>
        <w:t>五</w:t>
      </w:r>
      <w:r>
        <w:rPr>
          <w:rFonts w:hint="eastAsia" w:ascii="仿宋" w:hAnsi="仿宋" w:eastAsia="仿宋" w:cs="仿宋"/>
          <w:b/>
          <w:color w:val="auto"/>
          <w:sz w:val="24"/>
          <w:szCs w:val="24"/>
          <w:highlight w:val="none"/>
        </w:rPr>
        <w:t>、技术条款偏离表</w:t>
      </w:r>
      <w:bookmarkEnd w:id="120"/>
      <w:bookmarkEnd w:id="121"/>
      <w:bookmarkEnd w:id="122"/>
      <w:bookmarkEnd w:id="123"/>
      <w:bookmarkEnd w:id="124"/>
      <w:bookmarkEnd w:id="125"/>
      <w:bookmarkEnd w:id="126"/>
      <w:bookmarkEnd w:id="127"/>
    </w:p>
    <w:tbl>
      <w:tblPr>
        <w:tblStyle w:val="40"/>
        <w:tblW w:w="90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6"/>
        <w:gridCol w:w="2070"/>
        <w:gridCol w:w="2052"/>
        <w:gridCol w:w="2126"/>
        <w:gridCol w:w="1985"/>
      </w:tblGrid>
      <w:tr w14:paraId="349803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3" w:hRule="atLeast"/>
          <w:jc w:val="center"/>
        </w:trPr>
        <w:tc>
          <w:tcPr>
            <w:tcW w:w="806" w:type="dxa"/>
            <w:vAlign w:val="center"/>
          </w:tcPr>
          <w:p w14:paraId="7E56F690">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序号</w:t>
            </w:r>
          </w:p>
        </w:tc>
        <w:tc>
          <w:tcPr>
            <w:tcW w:w="2070" w:type="dxa"/>
            <w:vAlign w:val="center"/>
          </w:tcPr>
          <w:p w14:paraId="6BCD1CA3">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招标文件条目号</w:t>
            </w:r>
          </w:p>
        </w:tc>
        <w:tc>
          <w:tcPr>
            <w:tcW w:w="2052" w:type="dxa"/>
            <w:vAlign w:val="center"/>
          </w:tcPr>
          <w:p w14:paraId="2F17BDF1">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招标文件的技术条款</w:t>
            </w:r>
          </w:p>
        </w:tc>
        <w:tc>
          <w:tcPr>
            <w:tcW w:w="2126" w:type="dxa"/>
            <w:vAlign w:val="center"/>
          </w:tcPr>
          <w:p w14:paraId="0CEFC1A7">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投标文件的技术条款</w:t>
            </w:r>
          </w:p>
        </w:tc>
        <w:tc>
          <w:tcPr>
            <w:tcW w:w="1985" w:type="dxa"/>
            <w:vAlign w:val="center"/>
          </w:tcPr>
          <w:p w14:paraId="3ED08897">
            <w:pPr>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说明</w:t>
            </w:r>
          </w:p>
        </w:tc>
      </w:tr>
      <w:tr w14:paraId="5993C5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806" w:type="dxa"/>
          </w:tcPr>
          <w:p w14:paraId="63578A28">
            <w:pPr>
              <w:jc w:val="center"/>
              <w:rPr>
                <w:rFonts w:hint="eastAsia" w:ascii="仿宋" w:hAnsi="仿宋" w:eastAsia="仿宋" w:cs="仿宋"/>
                <w:b/>
                <w:bCs/>
                <w:color w:val="auto"/>
                <w:sz w:val="24"/>
                <w:szCs w:val="24"/>
                <w:highlight w:val="none"/>
              </w:rPr>
            </w:pPr>
          </w:p>
        </w:tc>
        <w:tc>
          <w:tcPr>
            <w:tcW w:w="2070" w:type="dxa"/>
          </w:tcPr>
          <w:p w14:paraId="49EC4FF9">
            <w:pPr>
              <w:jc w:val="center"/>
              <w:rPr>
                <w:rFonts w:hint="eastAsia" w:ascii="仿宋" w:hAnsi="仿宋" w:eastAsia="仿宋" w:cs="仿宋"/>
                <w:b/>
                <w:bCs/>
                <w:color w:val="auto"/>
                <w:sz w:val="24"/>
                <w:szCs w:val="24"/>
                <w:highlight w:val="none"/>
              </w:rPr>
            </w:pPr>
          </w:p>
        </w:tc>
        <w:tc>
          <w:tcPr>
            <w:tcW w:w="2052" w:type="dxa"/>
          </w:tcPr>
          <w:p w14:paraId="4B8A8718">
            <w:pPr>
              <w:jc w:val="center"/>
              <w:rPr>
                <w:rFonts w:hint="eastAsia" w:ascii="仿宋" w:hAnsi="仿宋" w:eastAsia="仿宋" w:cs="仿宋"/>
                <w:b/>
                <w:bCs/>
                <w:color w:val="auto"/>
                <w:sz w:val="24"/>
                <w:szCs w:val="24"/>
                <w:highlight w:val="none"/>
              </w:rPr>
            </w:pPr>
          </w:p>
        </w:tc>
        <w:tc>
          <w:tcPr>
            <w:tcW w:w="2126" w:type="dxa"/>
          </w:tcPr>
          <w:p w14:paraId="40064EBF">
            <w:pPr>
              <w:jc w:val="center"/>
              <w:rPr>
                <w:rFonts w:hint="eastAsia" w:ascii="仿宋" w:hAnsi="仿宋" w:eastAsia="仿宋" w:cs="仿宋"/>
                <w:b/>
                <w:bCs/>
                <w:color w:val="auto"/>
                <w:sz w:val="24"/>
                <w:szCs w:val="24"/>
                <w:highlight w:val="none"/>
              </w:rPr>
            </w:pPr>
          </w:p>
        </w:tc>
        <w:tc>
          <w:tcPr>
            <w:tcW w:w="1985" w:type="dxa"/>
          </w:tcPr>
          <w:p w14:paraId="4134F56A">
            <w:pPr>
              <w:jc w:val="center"/>
              <w:rPr>
                <w:rFonts w:hint="eastAsia" w:ascii="仿宋" w:hAnsi="仿宋" w:eastAsia="仿宋" w:cs="仿宋"/>
                <w:b/>
                <w:bCs/>
                <w:color w:val="auto"/>
                <w:sz w:val="24"/>
                <w:szCs w:val="24"/>
                <w:highlight w:val="none"/>
              </w:rPr>
            </w:pPr>
          </w:p>
        </w:tc>
      </w:tr>
      <w:tr w14:paraId="4AB852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806" w:type="dxa"/>
          </w:tcPr>
          <w:p w14:paraId="2C9FEB56">
            <w:pPr>
              <w:jc w:val="center"/>
              <w:rPr>
                <w:rFonts w:hint="eastAsia" w:ascii="仿宋" w:hAnsi="仿宋" w:eastAsia="仿宋" w:cs="仿宋"/>
                <w:b/>
                <w:bCs/>
                <w:color w:val="auto"/>
                <w:sz w:val="24"/>
                <w:szCs w:val="24"/>
                <w:highlight w:val="none"/>
              </w:rPr>
            </w:pPr>
          </w:p>
        </w:tc>
        <w:tc>
          <w:tcPr>
            <w:tcW w:w="2070" w:type="dxa"/>
          </w:tcPr>
          <w:p w14:paraId="172775B6">
            <w:pPr>
              <w:jc w:val="center"/>
              <w:rPr>
                <w:rFonts w:hint="eastAsia" w:ascii="仿宋" w:hAnsi="仿宋" w:eastAsia="仿宋" w:cs="仿宋"/>
                <w:b/>
                <w:bCs/>
                <w:color w:val="auto"/>
                <w:sz w:val="24"/>
                <w:szCs w:val="24"/>
                <w:highlight w:val="none"/>
              </w:rPr>
            </w:pPr>
          </w:p>
        </w:tc>
        <w:tc>
          <w:tcPr>
            <w:tcW w:w="2052" w:type="dxa"/>
          </w:tcPr>
          <w:p w14:paraId="35D5F743">
            <w:pPr>
              <w:jc w:val="center"/>
              <w:rPr>
                <w:rFonts w:hint="eastAsia" w:ascii="仿宋" w:hAnsi="仿宋" w:eastAsia="仿宋" w:cs="仿宋"/>
                <w:b/>
                <w:bCs/>
                <w:color w:val="auto"/>
                <w:sz w:val="24"/>
                <w:szCs w:val="24"/>
                <w:highlight w:val="none"/>
              </w:rPr>
            </w:pPr>
          </w:p>
        </w:tc>
        <w:tc>
          <w:tcPr>
            <w:tcW w:w="2126" w:type="dxa"/>
          </w:tcPr>
          <w:p w14:paraId="4DC02C7B">
            <w:pPr>
              <w:jc w:val="center"/>
              <w:rPr>
                <w:rFonts w:hint="eastAsia" w:ascii="仿宋" w:hAnsi="仿宋" w:eastAsia="仿宋" w:cs="仿宋"/>
                <w:b/>
                <w:bCs/>
                <w:color w:val="auto"/>
                <w:sz w:val="24"/>
                <w:szCs w:val="24"/>
                <w:highlight w:val="none"/>
              </w:rPr>
            </w:pPr>
          </w:p>
        </w:tc>
        <w:tc>
          <w:tcPr>
            <w:tcW w:w="1985" w:type="dxa"/>
          </w:tcPr>
          <w:p w14:paraId="22B78485">
            <w:pPr>
              <w:jc w:val="center"/>
              <w:rPr>
                <w:rFonts w:hint="eastAsia" w:ascii="仿宋" w:hAnsi="仿宋" w:eastAsia="仿宋" w:cs="仿宋"/>
                <w:b/>
                <w:bCs/>
                <w:color w:val="auto"/>
                <w:sz w:val="24"/>
                <w:szCs w:val="24"/>
                <w:highlight w:val="none"/>
              </w:rPr>
            </w:pPr>
          </w:p>
        </w:tc>
      </w:tr>
      <w:tr w14:paraId="254BB9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806" w:type="dxa"/>
          </w:tcPr>
          <w:p w14:paraId="2B6D5CD7">
            <w:pPr>
              <w:jc w:val="center"/>
              <w:rPr>
                <w:rFonts w:hint="eastAsia" w:ascii="仿宋" w:hAnsi="仿宋" w:eastAsia="仿宋" w:cs="仿宋"/>
                <w:b/>
                <w:bCs/>
                <w:color w:val="auto"/>
                <w:sz w:val="24"/>
                <w:szCs w:val="24"/>
                <w:highlight w:val="none"/>
              </w:rPr>
            </w:pPr>
          </w:p>
        </w:tc>
        <w:tc>
          <w:tcPr>
            <w:tcW w:w="2070" w:type="dxa"/>
          </w:tcPr>
          <w:p w14:paraId="449E79BE">
            <w:pPr>
              <w:jc w:val="center"/>
              <w:rPr>
                <w:rFonts w:hint="eastAsia" w:ascii="仿宋" w:hAnsi="仿宋" w:eastAsia="仿宋" w:cs="仿宋"/>
                <w:b/>
                <w:bCs/>
                <w:color w:val="auto"/>
                <w:sz w:val="24"/>
                <w:szCs w:val="24"/>
                <w:highlight w:val="none"/>
              </w:rPr>
            </w:pPr>
          </w:p>
        </w:tc>
        <w:tc>
          <w:tcPr>
            <w:tcW w:w="2052" w:type="dxa"/>
          </w:tcPr>
          <w:p w14:paraId="22A58360">
            <w:pPr>
              <w:jc w:val="center"/>
              <w:rPr>
                <w:rFonts w:hint="eastAsia" w:ascii="仿宋" w:hAnsi="仿宋" w:eastAsia="仿宋" w:cs="仿宋"/>
                <w:b/>
                <w:bCs/>
                <w:color w:val="auto"/>
                <w:sz w:val="24"/>
                <w:szCs w:val="24"/>
                <w:highlight w:val="none"/>
              </w:rPr>
            </w:pPr>
          </w:p>
        </w:tc>
        <w:tc>
          <w:tcPr>
            <w:tcW w:w="2126" w:type="dxa"/>
          </w:tcPr>
          <w:p w14:paraId="3F69E719">
            <w:pPr>
              <w:jc w:val="center"/>
              <w:rPr>
                <w:rFonts w:hint="eastAsia" w:ascii="仿宋" w:hAnsi="仿宋" w:eastAsia="仿宋" w:cs="仿宋"/>
                <w:b/>
                <w:bCs/>
                <w:color w:val="auto"/>
                <w:sz w:val="24"/>
                <w:szCs w:val="24"/>
                <w:highlight w:val="none"/>
              </w:rPr>
            </w:pPr>
          </w:p>
        </w:tc>
        <w:tc>
          <w:tcPr>
            <w:tcW w:w="1985" w:type="dxa"/>
          </w:tcPr>
          <w:p w14:paraId="78EC5A2D">
            <w:pPr>
              <w:jc w:val="center"/>
              <w:rPr>
                <w:rFonts w:hint="eastAsia" w:ascii="仿宋" w:hAnsi="仿宋" w:eastAsia="仿宋" w:cs="仿宋"/>
                <w:b/>
                <w:bCs/>
                <w:color w:val="auto"/>
                <w:sz w:val="24"/>
                <w:szCs w:val="24"/>
                <w:highlight w:val="none"/>
              </w:rPr>
            </w:pPr>
          </w:p>
        </w:tc>
      </w:tr>
      <w:tr w14:paraId="428EC1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806" w:type="dxa"/>
          </w:tcPr>
          <w:p w14:paraId="7DC11596">
            <w:pPr>
              <w:jc w:val="center"/>
              <w:rPr>
                <w:rFonts w:hint="eastAsia" w:ascii="仿宋" w:hAnsi="仿宋" w:eastAsia="仿宋" w:cs="仿宋"/>
                <w:b/>
                <w:bCs/>
                <w:color w:val="auto"/>
                <w:sz w:val="24"/>
                <w:szCs w:val="24"/>
                <w:highlight w:val="none"/>
              </w:rPr>
            </w:pPr>
          </w:p>
        </w:tc>
        <w:tc>
          <w:tcPr>
            <w:tcW w:w="2070" w:type="dxa"/>
          </w:tcPr>
          <w:p w14:paraId="42B51AB4">
            <w:pPr>
              <w:jc w:val="center"/>
              <w:rPr>
                <w:rFonts w:hint="eastAsia" w:ascii="仿宋" w:hAnsi="仿宋" w:eastAsia="仿宋" w:cs="仿宋"/>
                <w:b/>
                <w:bCs/>
                <w:color w:val="auto"/>
                <w:sz w:val="24"/>
                <w:szCs w:val="24"/>
                <w:highlight w:val="none"/>
              </w:rPr>
            </w:pPr>
          </w:p>
        </w:tc>
        <w:tc>
          <w:tcPr>
            <w:tcW w:w="2052" w:type="dxa"/>
          </w:tcPr>
          <w:p w14:paraId="580C1305">
            <w:pPr>
              <w:jc w:val="center"/>
              <w:rPr>
                <w:rFonts w:hint="eastAsia" w:ascii="仿宋" w:hAnsi="仿宋" w:eastAsia="仿宋" w:cs="仿宋"/>
                <w:b/>
                <w:bCs/>
                <w:color w:val="auto"/>
                <w:sz w:val="24"/>
                <w:szCs w:val="24"/>
                <w:highlight w:val="none"/>
              </w:rPr>
            </w:pPr>
          </w:p>
        </w:tc>
        <w:tc>
          <w:tcPr>
            <w:tcW w:w="2126" w:type="dxa"/>
          </w:tcPr>
          <w:p w14:paraId="1597E152">
            <w:pPr>
              <w:jc w:val="center"/>
              <w:rPr>
                <w:rFonts w:hint="eastAsia" w:ascii="仿宋" w:hAnsi="仿宋" w:eastAsia="仿宋" w:cs="仿宋"/>
                <w:b/>
                <w:bCs/>
                <w:color w:val="auto"/>
                <w:sz w:val="24"/>
                <w:szCs w:val="24"/>
                <w:highlight w:val="none"/>
              </w:rPr>
            </w:pPr>
          </w:p>
        </w:tc>
        <w:tc>
          <w:tcPr>
            <w:tcW w:w="1985" w:type="dxa"/>
          </w:tcPr>
          <w:p w14:paraId="0E317426">
            <w:pPr>
              <w:jc w:val="center"/>
              <w:rPr>
                <w:rFonts w:hint="eastAsia" w:ascii="仿宋" w:hAnsi="仿宋" w:eastAsia="仿宋" w:cs="仿宋"/>
                <w:b/>
                <w:bCs/>
                <w:color w:val="auto"/>
                <w:sz w:val="24"/>
                <w:szCs w:val="24"/>
                <w:highlight w:val="none"/>
              </w:rPr>
            </w:pPr>
          </w:p>
        </w:tc>
      </w:tr>
      <w:tr w14:paraId="619F51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 w:hRule="atLeast"/>
          <w:jc w:val="center"/>
        </w:trPr>
        <w:tc>
          <w:tcPr>
            <w:tcW w:w="806" w:type="dxa"/>
          </w:tcPr>
          <w:p w14:paraId="750CDB4E">
            <w:pPr>
              <w:jc w:val="center"/>
              <w:rPr>
                <w:rFonts w:hint="eastAsia" w:ascii="仿宋" w:hAnsi="仿宋" w:eastAsia="仿宋" w:cs="仿宋"/>
                <w:b/>
                <w:bCs/>
                <w:color w:val="auto"/>
                <w:sz w:val="24"/>
                <w:szCs w:val="24"/>
                <w:highlight w:val="none"/>
              </w:rPr>
            </w:pPr>
          </w:p>
        </w:tc>
        <w:tc>
          <w:tcPr>
            <w:tcW w:w="2070" w:type="dxa"/>
          </w:tcPr>
          <w:p w14:paraId="5EC9EFF7">
            <w:pPr>
              <w:jc w:val="center"/>
              <w:rPr>
                <w:rFonts w:hint="eastAsia" w:ascii="仿宋" w:hAnsi="仿宋" w:eastAsia="仿宋" w:cs="仿宋"/>
                <w:b/>
                <w:bCs/>
                <w:color w:val="auto"/>
                <w:sz w:val="24"/>
                <w:szCs w:val="24"/>
                <w:highlight w:val="none"/>
              </w:rPr>
            </w:pPr>
          </w:p>
        </w:tc>
        <w:tc>
          <w:tcPr>
            <w:tcW w:w="2052" w:type="dxa"/>
          </w:tcPr>
          <w:p w14:paraId="44022049">
            <w:pPr>
              <w:jc w:val="center"/>
              <w:rPr>
                <w:rFonts w:hint="eastAsia" w:ascii="仿宋" w:hAnsi="仿宋" w:eastAsia="仿宋" w:cs="仿宋"/>
                <w:b/>
                <w:bCs/>
                <w:color w:val="auto"/>
                <w:sz w:val="24"/>
                <w:szCs w:val="24"/>
                <w:highlight w:val="none"/>
              </w:rPr>
            </w:pPr>
          </w:p>
        </w:tc>
        <w:tc>
          <w:tcPr>
            <w:tcW w:w="2126" w:type="dxa"/>
          </w:tcPr>
          <w:p w14:paraId="1C00F4E5">
            <w:pPr>
              <w:jc w:val="center"/>
              <w:rPr>
                <w:rFonts w:hint="eastAsia" w:ascii="仿宋" w:hAnsi="仿宋" w:eastAsia="仿宋" w:cs="仿宋"/>
                <w:b/>
                <w:bCs/>
                <w:color w:val="auto"/>
                <w:sz w:val="24"/>
                <w:szCs w:val="24"/>
                <w:highlight w:val="none"/>
              </w:rPr>
            </w:pPr>
          </w:p>
        </w:tc>
        <w:tc>
          <w:tcPr>
            <w:tcW w:w="1985" w:type="dxa"/>
          </w:tcPr>
          <w:p w14:paraId="5AF9B554">
            <w:pPr>
              <w:jc w:val="center"/>
              <w:rPr>
                <w:rFonts w:hint="eastAsia" w:ascii="仿宋" w:hAnsi="仿宋" w:eastAsia="仿宋" w:cs="仿宋"/>
                <w:b/>
                <w:bCs/>
                <w:color w:val="auto"/>
                <w:sz w:val="24"/>
                <w:szCs w:val="24"/>
                <w:highlight w:val="none"/>
              </w:rPr>
            </w:pPr>
          </w:p>
        </w:tc>
      </w:tr>
    </w:tbl>
    <w:p w14:paraId="0924DDC5">
      <w:pPr>
        <w:rPr>
          <w:rFonts w:hint="eastAsia" w:ascii="仿宋" w:hAnsi="仿宋" w:eastAsia="仿宋" w:cs="仿宋"/>
          <w:color w:val="auto"/>
          <w:highlight w:val="none"/>
        </w:rPr>
      </w:pPr>
    </w:p>
    <w:p w14:paraId="5BF2C2BE">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注：投标人技术条款有差异的，则在此表中列明实际响应的内容提要并加以说明，以便查对。无差异说明表示完全响应。</w:t>
      </w:r>
    </w:p>
    <w:p w14:paraId="6F010D52">
      <w:pPr>
        <w:spacing w:line="360" w:lineRule="auto"/>
        <w:ind w:firstLine="475" w:firstLineChars="198"/>
        <w:jc w:val="left"/>
        <w:rPr>
          <w:rFonts w:hint="eastAsia" w:ascii="仿宋" w:hAnsi="仿宋" w:eastAsia="仿宋" w:cs="仿宋"/>
          <w:color w:val="auto"/>
          <w:sz w:val="24"/>
          <w:szCs w:val="24"/>
          <w:highlight w:val="none"/>
        </w:rPr>
      </w:pPr>
    </w:p>
    <w:p w14:paraId="0A906F14">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0E6DBF66">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57556DD9">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投标人：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p>
    <w:p w14:paraId="1F7E3FCC">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4F565556">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法定代表人：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r>
        <w:rPr>
          <w:rFonts w:hint="eastAsia" w:ascii="仿宋" w:hAnsi="仿宋" w:eastAsia="仿宋" w:cs="仿宋"/>
          <w:color w:val="auto"/>
          <w:kern w:val="0"/>
          <w:sz w:val="24"/>
          <w:szCs w:val="24"/>
          <w:highlight w:val="none"/>
          <w:lang w:val="en-US" w:eastAsia="zh-CN"/>
        </w:rPr>
        <w:t>或签字</w:t>
      </w:r>
      <w:r>
        <w:rPr>
          <w:rFonts w:hint="eastAsia" w:ascii="仿宋" w:hAnsi="仿宋" w:eastAsia="仿宋" w:cs="仿宋"/>
          <w:color w:val="auto"/>
          <w:kern w:val="0"/>
          <w:sz w:val="24"/>
          <w:szCs w:val="24"/>
          <w:highlight w:val="none"/>
        </w:rPr>
        <w:t>）</w:t>
      </w:r>
    </w:p>
    <w:p w14:paraId="3A3E499A">
      <w:pPr>
        <w:widowControl/>
        <w:shd w:val="clear" w:color="auto" w:fill="FFFFFF"/>
        <w:wordWrap w:val="0"/>
        <w:snapToGrid w:val="0"/>
        <w:spacing w:line="384" w:lineRule="auto"/>
        <w:ind w:firstLine="420"/>
        <w:jc w:val="righ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日期：     年   月   日</w:t>
      </w:r>
    </w:p>
    <w:p w14:paraId="7D2D0079">
      <w:pPr>
        <w:tabs>
          <w:tab w:val="center" w:pos="4832"/>
          <w:tab w:val="left" w:pos="7140"/>
        </w:tabs>
        <w:jc w:val="center"/>
        <w:outlineLvl w:val="1"/>
        <w:rPr>
          <w:rFonts w:hint="eastAsia" w:ascii="仿宋" w:hAnsi="仿宋" w:eastAsia="仿宋" w:cs="仿宋"/>
          <w:b/>
          <w:color w:val="auto"/>
          <w:sz w:val="24"/>
          <w:szCs w:val="24"/>
          <w:highlight w:val="none"/>
        </w:rPr>
      </w:pPr>
      <w:r>
        <w:rPr>
          <w:rFonts w:hint="eastAsia" w:ascii="仿宋" w:hAnsi="仿宋" w:eastAsia="仿宋" w:cs="仿宋"/>
          <w:b/>
          <w:bCs/>
          <w:color w:val="auto"/>
          <w:kern w:val="36"/>
          <w:sz w:val="24"/>
          <w:szCs w:val="24"/>
          <w:highlight w:val="none"/>
        </w:rPr>
        <w:br w:type="page"/>
      </w:r>
      <w:bookmarkStart w:id="128" w:name="_Toc130252619"/>
      <w:bookmarkStart w:id="129" w:name="_Toc29249"/>
      <w:bookmarkStart w:id="130" w:name="_Toc2527"/>
      <w:bookmarkStart w:id="131" w:name="_Toc109941769"/>
      <w:bookmarkStart w:id="132" w:name="_Toc26938"/>
      <w:bookmarkStart w:id="133" w:name="_Toc110707969"/>
      <w:bookmarkStart w:id="134" w:name="_Toc109921162"/>
      <w:bookmarkStart w:id="135" w:name="_Toc5075"/>
      <w:r>
        <w:rPr>
          <w:rFonts w:hint="eastAsia" w:ascii="仿宋" w:hAnsi="仿宋" w:eastAsia="仿宋" w:cs="仿宋"/>
          <w:b/>
          <w:color w:val="auto"/>
          <w:sz w:val="24"/>
          <w:szCs w:val="24"/>
          <w:highlight w:val="none"/>
          <w:lang w:val="en-US" w:eastAsia="zh-CN"/>
        </w:rPr>
        <w:t>六</w:t>
      </w:r>
      <w:r>
        <w:rPr>
          <w:rFonts w:hint="eastAsia" w:ascii="仿宋" w:hAnsi="仿宋" w:eastAsia="仿宋" w:cs="仿宋"/>
          <w:b/>
          <w:color w:val="auto"/>
          <w:sz w:val="24"/>
          <w:szCs w:val="24"/>
          <w:highlight w:val="none"/>
        </w:rPr>
        <w:t>、法定代表人身份证明书</w:t>
      </w:r>
      <w:bookmarkEnd w:id="128"/>
      <w:bookmarkEnd w:id="129"/>
      <w:bookmarkEnd w:id="130"/>
      <w:bookmarkEnd w:id="131"/>
      <w:bookmarkEnd w:id="132"/>
      <w:bookmarkEnd w:id="133"/>
      <w:bookmarkEnd w:id="134"/>
      <w:bookmarkEnd w:id="135"/>
    </w:p>
    <w:p w14:paraId="77997B22">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182CEF14">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 标 人：</w:t>
      </w:r>
      <w:r>
        <w:rPr>
          <w:rFonts w:hint="eastAsia" w:ascii="仿宋" w:hAnsi="仿宋" w:eastAsia="仿宋" w:cs="仿宋"/>
          <w:color w:val="auto"/>
          <w:kern w:val="0"/>
          <w:sz w:val="24"/>
          <w:szCs w:val="24"/>
          <w:highlight w:val="none"/>
          <w:u w:val="single"/>
        </w:rPr>
        <w:t xml:space="preserve">                              </w:t>
      </w:r>
    </w:p>
    <w:p w14:paraId="50D5E5BF">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单位性质：</w:t>
      </w:r>
      <w:r>
        <w:rPr>
          <w:rFonts w:hint="eastAsia" w:ascii="仿宋" w:hAnsi="仿宋" w:eastAsia="仿宋" w:cs="仿宋"/>
          <w:color w:val="auto"/>
          <w:kern w:val="0"/>
          <w:sz w:val="24"/>
          <w:szCs w:val="24"/>
          <w:highlight w:val="none"/>
          <w:u w:val="single"/>
        </w:rPr>
        <w:t xml:space="preserve">                              </w:t>
      </w:r>
    </w:p>
    <w:p w14:paraId="50AC1BA3">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地    址：</w:t>
      </w:r>
      <w:r>
        <w:rPr>
          <w:rFonts w:hint="eastAsia" w:ascii="仿宋" w:hAnsi="仿宋" w:eastAsia="仿宋" w:cs="仿宋"/>
          <w:color w:val="auto"/>
          <w:kern w:val="0"/>
          <w:sz w:val="24"/>
          <w:szCs w:val="24"/>
          <w:highlight w:val="none"/>
          <w:u w:val="single"/>
        </w:rPr>
        <w:t xml:space="preserve">                              </w:t>
      </w:r>
    </w:p>
    <w:p w14:paraId="7F326B31">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成立时间：</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年</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月</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日</w:t>
      </w:r>
    </w:p>
    <w:p w14:paraId="37EF7644">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经营期限：</w:t>
      </w:r>
      <w:r>
        <w:rPr>
          <w:rFonts w:hint="eastAsia" w:ascii="仿宋" w:hAnsi="仿宋" w:eastAsia="仿宋" w:cs="仿宋"/>
          <w:color w:val="auto"/>
          <w:kern w:val="0"/>
          <w:sz w:val="24"/>
          <w:szCs w:val="24"/>
          <w:highlight w:val="none"/>
          <w:u w:val="single"/>
        </w:rPr>
        <w:t xml:space="preserve">                              </w:t>
      </w:r>
    </w:p>
    <w:p w14:paraId="656721BB">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43C0EEF3">
      <w:pPr>
        <w:widowControl/>
        <w:shd w:val="clear" w:color="auto" w:fill="FFFFFF"/>
        <w:snapToGrid w:val="0"/>
        <w:spacing w:line="384"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姓名：</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性别：</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年龄：</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职务：</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系</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（投标人名称）的法定代表人。</w:t>
      </w:r>
    </w:p>
    <w:p w14:paraId="73173556">
      <w:pPr>
        <w:widowControl/>
        <w:shd w:val="clear" w:color="auto" w:fill="FFFFFF"/>
        <w:snapToGrid w:val="0"/>
        <w:spacing w:line="384"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特此证明。</w:t>
      </w:r>
    </w:p>
    <w:p w14:paraId="5ADC350F">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012A5BA3">
      <w:pPr>
        <w:widowControl/>
        <w:shd w:val="clear" w:color="auto" w:fill="FFFFFF"/>
        <w:snapToGrid w:val="0"/>
        <w:spacing w:line="384"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附：法定代表人身份证明</w:t>
      </w:r>
    </w:p>
    <w:p w14:paraId="354FF5D7">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tbl>
      <w:tblPr>
        <w:tblStyle w:val="40"/>
        <w:tblW w:w="39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969"/>
      </w:tblGrid>
      <w:tr w14:paraId="5A55D7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38" w:hRule="exact"/>
        </w:trPr>
        <w:tc>
          <w:tcPr>
            <w:tcW w:w="3969" w:type="dxa"/>
            <w:vAlign w:val="center"/>
          </w:tcPr>
          <w:p w14:paraId="4B1C6C5F">
            <w:pPr>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法定代表人身份证复印件（正面）</w:t>
            </w:r>
          </w:p>
        </w:tc>
      </w:tr>
    </w:tbl>
    <w:p w14:paraId="636115CD">
      <w:pPr>
        <w:rPr>
          <w:rFonts w:hint="eastAsia" w:ascii="仿宋" w:hAnsi="仿宋" w:eastAsia="仿宋" w:cs="仿宋"/>
          <w:vanish/>
          <w:color w:val="auto"/>
          <w:highlight w:val="none"/>
        </w:rPr>
      </w:pPr>
    </w:p>
    <w:tbl>
      <w:tblPr>
        <w:tblStyle w:val="40"/>
        <w:tblpPr w:leftFromText="180" w:rightFromText="180" w:vertAnchor="text" w:horzAnchor="page" w:tblpX="5711" w:tblpY="-2431"/>
        <w:tblW w:w="39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969"/>
      </w:tblGrid>
      <w:tr w14:paraId="37503D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38" w:hRule="exact"/>
        </w:trPr>
        <w:tc>
          <w:tcPr>
            <w:tcW w:w="3969" w:type="dxa"/>
            <w:vAlign w:val="center"/>
          </w:tcPr>
          <w:p w14:paraId="07F08D05">
            <w:pPr>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法定代表人身份证复印件（反面）</w:t>
            </w:r>
          </w:p>
        </w:tc>
      </w:tr>
    </w:tbl>
    <w:p w14:paraId="10E79B01">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1885620A">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64AD16F0">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55C70F16">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投标人：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p>
    <w:p w14:paraId="378A6CFA">
      <w:pPr>
        <w:widowControl/>
        <w:shd w:val="clear" w:color="auto" w:fill="FFFFFF"/>
        <w:wordWrap w:val="0"/>
        <w:snapToGrid w:val="0"/>
        <w:jc w:val="righ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日期：</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年</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月</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 xml:space="preserve">日 </w:t>
      </w:r>
    </w:p>
    <w:p w14:paraId="76619CCC">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br w:type="page"/>
      </w:r>
    </w:p>
    <w:p w14:paraId="7CE9BD1F">
      <w:pPr>
        <w:tabs>
          <w:tab w:val="center" w:pos="4832"/>
          <w:tab w:val="left" w:pos="7140"/>
        </w:tabs>
        <w:jc w:val="center"/>
        <w:outlineLvl w:val="1"/>
        <w:rPr>
          <w:rFonts w:hint="eastAsia" w:ascii="仿宋" w:hAnsi="仿宋" w:eastAsia="仿宋" w:cs="仿宋"/>
          <w:b/>
          <w:color w:val="auto"/>
          <w:sz w:val="24"/>
          <w:szCs w:val="24"/>
          <w:highlight w:val="none"/>
        </w:rPr>
      </w:pPr>
      <w:bookmarkStart w:id="136" w:name="_Toc130252620"/>
      <w:bookmarkStart w:id="137" w:name="_Toc109941770"/>
      <w:bookmarkStart w:id="138" w:name="_Toc11931"/>
      <w:bookmarkStart w:id="139" w:name="_Toc19364"/>
      <w:bookmarkStart w:id="140" w:name="_Toc109921163"/>
      <w:bookmarkStart w:id="141" w:name="_Toc110707970"/>
      <w:bookmarkStart w:id="142" w:name="_Toc31259"/>
      <w:bookmarkStart w:id="143" w:name="_Toc29077"/>
      <w:r>
        <w:rPr>
          <w:rFonts w:hint="eastAsia" w:ascii="仿宋" w:hAnsi="仿宋" w:eastAsia="仿宋" w:cs="仿宋"/>
          <w:b/>
          <w:color w:val="auto"/>
          <w:sz w:val="24"/>
          <w:szCs w:val="24"/>
          <w:highlight w:val="none"/>
          <w:lang w:val="en-US" w:eastAsia="zh-CN"/>
        </w:rPr>
        <w:t>七</w:t>
      </w:r>
      <w:r>
        <w:rPr>
          <w:rFonts w:hint="eastAsia" w:ascii="仿宋" w:hAnsi="仿宋" w:eastAsia="仿宋" w:cs="仿宋"/>
          <w:b/>
          <w:color w:val="auto"/>
          <w:sz w:val="24"/>
          <w:szCs w:val="24"/>
          <w:highlight w:val="none"/>
        </w:rPr>
        <w:t>、法定代表人授权委托书</w:t>
      </w:r>
      <w:bookmarkEnd w:id="136"/>
      <w:bookmarkEnd w:id="137"/>
      <w:bookmarkEnd w:id="138"/>
      <w:bookmarkEnd w:id="139"/>
      <w:bookmarkEnd w:id="140"/>
      <w:bookmarkEnd w:id="141"/>
      <w:bookmarkEnd w:id="142"/>
      <w:bookmarkEnd w:id="143"/>
    </w:p>
    <w:p w14:paraId="13976173">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487EA264">
      <w:pPr>
        <w:widowControl/>
        <w:shd w:val="clear" w:color="auto" w:fill="FFFFFF"/>
        <w:snapToGrid w:val="0"/>
        <w:spacing w:line="384"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本人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（姓名）系</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 xml:space="preserve"> （投标人名称）的法定代表人，现拟派我单位</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（姓名）为我方委托代理人。委托代理人根据授权，就</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（项目名称）的投标，以本公司名义处理一切与之有关的事务，其法律后果由我方承担。</w:t>
      </w:r>
    </w:p>
    <w:p w14:paraId="484EBA53">
      <w:pPr>
        <w:widowControl/>
        <w:shd w:val="clear" w:color="auto" w:fill="FFFFFF"/>
        <w:snapToGrid w:val="0"/>
        <w:spacing w:line="384" w:lineRule="auto"/>
        <w:ind w:firstLine="480" w:firstLineChars="200"/>
        <w:jc w:val="left"/>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rPr>
        <w:t>代理人：</w:t>
      </w:r>
      <w:r>
        <w:rPr>
          <w:rFonts w:hint="eastAsia" w:ascii="仿宋" w:hAnsi="仿宋" w:eastAsia="仿宋" w:cs="仿宋"/>
          <w:i/>
          <w:color w:val="auto"/>
          <w:kern w:val="0"/>
          <w:sz w:val="24"/>
          <w:szCs w:val="24"/>
          <w:highlight w:val="none"/>
          <w:u w:val="single"/>
        </w:rPr>
        <w:t xml:space="preserve">                 </w:t>
      </w:r>
      <w:r>
        <w:rPr>
          <w:rFonts w:hint="eastAsia" w:ascii="仿宋" w:hAnsi="仿宋" w:eastAsia="仿宋" w:cs="仿宋"/>
          <w:color w:val="auto"/>
          <w:kern w:val="0"/>
          <w:sz w:val="24"/>
          <w:szCs w:val="24"/>
          <w:highlight w:val="none"/>
        </w:rPr>
        <w:t>性别：</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 xml:space="preserve"> 年龄：</w:t>
      </w:r>
      <w:r>
        <w:rPr>
          <w:rFonts w:hint="eastAsia" w:ascii="仿宋" w:hAnsi="仿宋" w:eastAsia="仿宋" w:cs="仿宋"/>
          <w:color w:val="auto"/>
          <w:kern w:val="0"/>
          <w:sz w:val="24"/>
          <w:szCs w:val="24"/>
          <w:highlight w:val="none"/>
          <w:u w:val="single"/>
        </w:rPr>
        <w:t xml:space="preserve">                    </w:t>
      </w:r>
    </w:p>
    <w:p w14:paraId="795894CF">
      <w:pPr>
        <w:widowControl/>
        <w:shd w:val="clear" w:color="auto" w:fill="FFFFFF"/>
        <w:snapToGrid w:val="0"/>
        <w:spacing w:line="384"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单  位：</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部门：</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 xml:space="preserve"> 职务：</w:t>
      </w:r>
      <w:r>
        <w:rPr>
          <w:rFonts w:hint="eastAsia" w:ascii="仿宋" w:hAnsi="仿宋" w:eastAsia="仿宋" w:cs="仿宋"/>
          <w:color w:val="auto"/>
          <w:kern w:val="0"/>
          <w:sz w:val="24"/>
          <w:szCs w:val="24"/>
          <w:highlight w:val="none"/>
          <w:u w:val="single"/>
        </w:rPr>
        <w:t xml:space="preserve">                    </w:t>
      </w:r>
    </w:p>
    <w:p w14:paraId="1A53CCEE">
      <w:pPr>
        <w:widowControl/>
        <w:shd w:val="clear" w:color="auto" w:fill="FFFFFF"/>
        <w:snapToGrid w:val="0"/>
        <w:spacing w:line="384"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代理人无转委权，特此申明。</w:t>
      </w:r>
    </w:p>
    <w:p w14:paraId="048398E5">
      <w:pPr>
        <w:widowControl/>
        <w:shd w:val="clear" w:color="auto" w:fill="FFFFFF"/>
        <w:snapToGrid w:val="0"/>
        <w:spacing w:line="384" w:lineRule="auto"/>
        <w:ind w:firstLine="480" w:firstLineChars="200"/>
        <w:jc w:val="left"/>
        <w:rPr>
          <w:rFonts w:hint="eastAsia" w:ascii="仿宋" w:hAnsi="仿宋" w:eastAsia="仿宋" w:cs="仿宋"/>
          <w:color w:val="auto"/>
          <w:kern w:val="0"/>
          <w:sz w:val="24"/>
          <w:szCs w:val="24"/>
          <w:highlight w:val="none"/>
        </w:rPr>
      </w:pPr>
    </w:p>
    <w:p w14:paraId="00282345">
      <w:pPr>
        <w:widowControl/>
        <w:shd w:val="clear" w:color="auto" w:fill="FFFFFF"/>
        <w:snapToGrid w:val="0"/>
        <w:spacing w:line="384" w:lineRule="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附：委托代理人身份证明。</w:t>
      </w:r>
    </w:p>
    <w:tbl>
      <w:tblPr>
        <w:tblStyle w:val="40"/>
        <w:tblW w:w="3969" w:type="dxa"/>
        <w:tblInd w:w="57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69"/>
      </w:tblGrid>
      <w:tr w14:paraId="14A76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8" w:hRule="exact"/>
        </w:trPr>
        <w:tc>
          <w:tcPr>
            <w:tcW w:w="3969" w:type="dxa"/>
            <w:vAlign w:val="center"/>
          </w:tcPr>
          <w:p w14:paraId="3BD3E5F6">
            <w:pPr>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委托代理人身份证复印件（正面）</w:t>
            </w:r>
          </w:p>
        </w:tc>
      </w:tr>
    </w:tbl>
    <w:p w14:paraId="071EFA3E">
      <w:pPr>
        <w:rPr>
          <w:rFonts w:hint="eastAsia" w:ascii="仿宋" w:hAnsi="仿宋" w:eastAsia="仿宋" w:cs="仿宋"/>
          <w:vanish/>
          <w:color w:val="auto"/>
          <w:highlight w:val="none"/>
        </w:rPr>
      </w:pPr>
    </w:p>
    <w:tbl>
      <w:tblPr>
        <w:tblStyle w:val="40"/>
        <w:tblpPr w:leftFromText="180" w:rightFromText="180" w:vertAnchor="text" w:horzAnchor="margin" w:tblpXSpec="right" w:tblpY="-2446"/>
        <w:tblW w:w="39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969"/>
      </w:tblGrid>
      <w:tr w14:paraId="09B663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38" w:hRule="exact"/>
        </w:trPr>
        <w:tc>
          <w:tcPr>
            <w:tcW w:w="3969" w:type="dxa"/>
            <w:vAlign w:val="center"/>
          </w:tcPr>
          <w:p w14:paraId="7F46DFEE">
            <w:pPr>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委托代理人身份证复印件（反面）</w:t>
            </w:r>
          </w:p>
        </w:tc>
      </w:tr>
    </w:tbl>
    <w:p w14:paraId="37916A71">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5F758663">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4390E744">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4C9284C5">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投标人：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p>
    <w:p w14:paraId="04ECE77B">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p>
    <w:p w14:paraId="3486D901">
      <w:pPr>
        <w:widowControl/>
        <w:shd w:val="clear" w:color="auto" w:fill="FFFFFF"/>
        <w:snapToGrid w:val="0"/>
        <w:spacing w:line="384"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法定代表人：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r>
        <w:rPr>
          <w:rFonts w:hint="eastAsia" w:ascii="仿宋" w:hAnsi="仿宋" w:eastAsia="仿宋" w:cs="仿宋"/>
          <w:color w:val="auto"/>
          <w:kern w:val="0"/>
          <w:sz w:val="24"/>
          <w:szCs w:val="24"/>
          <w:highlight w:val="none"/>
          <w:lang w:val="en-US" w:eastAsia="zh-CN"/>
        </w:rPr>
        <w:t>或签字</w:t>
      </w:r>
      <w:r>
        <w:rPr>
          <w:rFonts w:hint="eastAsia" w:ascii="仿宋" w:hAnsi="仿宋" w:eastAsia="仿宋" w:cs="仿宋"/>
          <w:color w:val="auto"/>
          <w:kern w:val="0"/>
          <w:sz w:val="24"/>
          <w:szCs w:val="24"/>
          <w:highlight w:val="none"/>
        </w:rPr>
        <w:t>）</w:t>
      </w:r>
    </w:p>
    <w:p w14:paraId="3F2B56A3">
      <w:pPr>
        <w:widowControl/>
        <w:shd w:val="clear" w:color="auto" w:fill="FFFFFF"/>
        <w:wordWrap w:val="0"/>
        <w:snapToGrid w:val="0"/>
        <w:spacing w:line="384" w:lineRule="auto"/>
        <w:ind w:firstLine="420"/>
        <w:jc w:val="righ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日期：     年   月   日</w:t>
      </w:r>
    </w:p>
    <w:p w14:paraId="6A6E44E3">
      <w:pPr>
        <w:rPr>
          <w:rFonts w:hint="eastAsia" w:ascii="仿宋" w:hAnsi="仿宋" w:eastAsia="仿宋" w:cs="仿宋"/>
          <w:b/>
          <w:color w:val="auto"/>
          <w:sz w:val="24"/>
          <w:szCs w:val="24"/>
          <w:highlight w:val="none"/>
        </w:rPr>
      </w:pPr>
      <w:bookmarkStart w:id="144" w:name="_Toc109921164"/>
      <w:bookmarkStart w:id="145" w:name="_Toc109941771"/>
      <w:bookmarkStart w:id="146" w:name="_Toc110707971"/>
      <w:bookmarkStart w:id="147" w:name="_Toc130252621"/>
      <w:bookmarkStart w:id="148" w:name="_Toc25783"/>
      <w:bookmarkStart w:id="149" w:name="_Toc29422"/>
      <w:bookmarkStart w:id="150" w:name="_Toc358451723"/>
      <w:r>
        <w:rPr>
          <w:rFonts w:hint="eastAsia" w:ascii="仿宋" w:hAnsi="仿宋" w:eastAsia="仿宋" w:cs="仿宋"/>
          <w:b/>
          <w:color w:val="auto"/>
          <w:sz w:val="24"/>
          <w:szCs w:val="24"/>
          <w:highlight w:val="none"/>
        </w:rPr>
        <w:br w:type="page"/>
      </w:r>
    </w:p>
    <w:p w14:paraId="41B81048">
      <w:pPr>
        <w:tabs>
          <w:tab w:val="center" w:pos="4832"/>
          <w:tab w:val="left" w:pos="7140"/>
        </w:tabs>
        <w:jc w:val="center"/>
        <w:outlineLvl w:val="1"/>
        <w:rPr>
          <w:rFonts w:hint="eastAsia" w:ascii="仿宋" w:hAnsi="仿宋" w:eastAsia="仿宋" w:cs="仿宋"/>
          <w:b/>
          <w:color w:val="auto"/>
          <w:sz w:val="24"/>
          <w:szCs w:val="24"/>
          <w:highlight w:val="none"/>
        </w:rPr>
      </w:pPr>
      <w:bookmarkStart w:id="151" w:name="_Toc23668"/>
      <w:bookmarkStart w:id="152" w:name="_Toc10"/>
      <w:r>
        <w:rPr>
          <w:rFonts w:hint="eastAsia" w:ascii="仿宋" w:hAnsi="仿宋" w:eastAsia="仿宋" w:cs="仿宋"/>
          <w:b/>
          <w:color w:val="auto"/>
          <w:sz w:val="24"/>
          <w:szCs w:val="24"/>
          <w:highlight w:val="none"/>
          <w:lang w:val="en-US" w:eastAsia="zh-CN"/>
        </w:rPr>
        <w:t>八</w:t>
      </w:r>
      <w:r>
        <w:rPr>
          <w:rFonts w:hint="eastAsia" w:ascii="仿宋" w:hAnsi="仿宋" w:eastAsia="仿宋" w:cs="仿宋"/>
          <w:b/>
          <w:color w:val="auto"/>
          <w:sz w:val="24"/>
          <w:szCs w:val="24"/>
          <w:highlight w:val="none"/>
        </w:rPr>
        <w:t>、</w:t>
      </w:r>
      <w:bookmarkEnd w:id="144"/>
      <w:bookmarkEnd w:id="145"/>
      <w:bookmarkEnd w:id="146"/>
      <w:r>
        <w:rPr>
          <w:rFonts w:hint="eastAsia" w:ascii="仿宋" w:hAnsi="仿宋" w:eastAsia="仿宋" w:cs="仿宋"/>
          <w:b/>
          <w:bCs/>
          <w:color w:val="auto"/>
          <w:sz w:val="24"/>
          <w:szCs w:val="24"/>
          <w:highlight w:val="none"/>
        </w:rPr>
        <w:t>投标人资格条件证明材料</w:t>
      </w:r>
      <w:bookmarkEnd w:id="147"/>
      <w:bookmarkEnd w:id="148"/>
      <w:bookmarkEnd w:id="149"/>
      <w:bookmarkEnd w:id="151"/>
      <w:bookmarkEnd w:id="152"/>
    </w:p>
    <w:p w14:paraId="4CB84F2D">
      <w:pPr>
        <w:rPr>
          <w:rFonts w:hint="eastAsia" w:ascii="仿宋" w:hAnsi="仿宋" w:eastAsia="仿宋" w:cs="仿宋"/>
          <w:color w:val="auto"/>
          <w:highlight w:val="none"/>
        </w:rPr>
      </w:pPr>
    </w:p>
    <w:tbl>
      <w:tblPr>
        <w:tblStyle w:val="40"/>
        <w:tblW w:w="89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665"/>
        <w:gridCol w:w="3165"/>
        <w:gridCol w:w="1995"/>
        <w:gridCol w:w="2140"/>
      </w:tblGrid>
      <w:tr w14:paraId="66FAA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44C717ED">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投标人名称</w:t>
            </w:r>
          </w:p>
        </w:tc>
        <w:tc>
          <w:tcPr>
            <w:tcW w:w="7300" w:type="dxa"/>
            <w:gridSpan w:val="3"/>
            <w:vAlign w:val="center"/>
          </w:tcPr>
          <w:p w14:paraId="7878A110">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p>
        </w:tc>
      </w:tr>
      <w:tr w14:paraId="47A31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6BC00D3C">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注册地址</w:t>
            </w:r>
          </w:p>
        </w:tc>
        <w:tc>
          <w:tcPr>
            <w:tcW w:w="3165" w:type="dxa"/>
            <w:vAlign w:val="center"/>
          </w:tcPr>
          <w:p w14:paraId="40E4D318">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p>
        </w:tc>
        <w:tc>
          <w:tcPr>
            <w:tcW w:w="1995" w:type="dxa"/>
            <w:vAlign w:val="center"/>
          </w:tcPr>
          <w:p w14:paraId="2F7360B2">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邮政编码</w:t>
            </w:r>
          </w:p>
        </w:tc>
        <w:tc>
          <w:tcPr>
            <w:tcW w:w="2140" w:type="dxa"/>
            <w:vAlign w:val="center"/>
          </w:tcPr>
          <w:p w14:paraId="688C9E40">
            <w:pPr>
              <w:autoSpaceDE w:val="0"/>
              <w:autoSpaceDN w:val="0"/>
              <w:adjustRightInd w:val="0"/>
              <w:snapToGrid w:val="0"/>
              <w:spacing w:line="360" w:lineRule="auto"/>
              <w:jc w:val="center"/>
              <w:rPr>
                <w:rFonts w:hint="eastAsia" w:ascii="仿宋" w:hAnsi="仿宋" w:eastAsia="仿宋" w:cs="仿宋"/>
                <w:color w:val="auto"/>
                <w:kern w:val="0"/>
                <w:sz w:val="24"/>
                <w:szCs w:val="24"/>
                <w:highlight w:val="none"/>
                <w:shd w:val="clear" w:color="auto" w:fill="FFFFFF" w:themeFill="background1"/>
              </w:rPr>
            </w:pPr>
          </w:p>
        </w:tc>
      </w:tr>
      <w:tr w14:paraId="6A021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57C8AB07">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成立时间</w:t>
            </w:r>
          </w:p>
        </w:tc>
        <w:tc>
          <w:tcPr>
            <w:tcW w:w="3165" w:type="dxa"/>
            <w:vAlign w:val="center"/>
          </w:tcPr>
          <w:p w14:paraId="24D39E39">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p>
        </w:tc>
        <w:tc>
          <w:tcPr>
            <w:tcW w:w="1995" w:type="dxa"/>
            <w:vAlign w:val="center"/>
          </w:tcPr>
          <w:p w14:paraId="08A1B289">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企业性质</w:t>
            </w:r>
          </w:p>
        </w:tc>
        <w:tc>
          <w:tcPr>
            <w:tcW w:w="2140" w:type="dxa"/>
            <w:vAlign w:val="center"/>
          </w:tcPr>
          <w:p w14:paraId="057D0BC3">
            <w:pPr>
              <w:autoSpaceDE w:val="0"/>
              <w:autoSpaceDN w:val="0"/>
              <w:adjustRightInd w:val="0"/>
              <w:snapToGrid w:val="0"/>
              <w:spacing w:line="360" w:lineRule="auto"/>
              <w:jc w:val="center"/>
              <w:rPr>
                <w:rFonts w:hint="eastAsia" w:ascii="仿宋" w:hAnsi="仿宋" w:eastAsia="仿宋" w:cs="仿宋"/>
                <w:color w:val="auto"/>
                <w:kern w:val="0"/>
                <w:sz w:val="24"/>
                <w:szCs w:val="24"/>
                <w:highlight w:val="none"/>
                <w:shd w:val="clear" w:color="auto" w:fill="FFFFFF" w:themeFill="background1"/>
              </w:rPr>
            </w:pPr>
          </w:p>
        </w:tc>
      </w:tr>
      <w:tr w14:paraId="1F94F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031952DC">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营业执照号</w:t>
            </w:r>
          </w:p>
        </w:tc>
        <w:tc>
          <w:tcPr>
            <w:tcW w:w="3165" w:type="dxa"/>
            <w:vAlign w:val="center"/>
          </w:tcPr>
          <w:p w14:paraId="30118A69">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p>
        </w:tc>
        <w:tc>
          <w:tcPr>
            <w:tcW w:w="1995" w:type="dxa"/>
            <w:vAlign w:val="center"/>
          </w:tcPr>
          <w:p w14:paraId="7F579087">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注册资金</w:t>
            </w:r>
          </w:p>
        </w:tc>
        <w:tc>
          <w:tcPr>
            <w:tcW w:w="2140" w:type="dxa"/>
            <w:vAlign w:val="center"/>
          </w:tcPr>
          <w:p w14:paraId="09D643DC">
            <w:pPr>
              <w:autoSpaceDE w:val="0"/>
              <w:autoSpaceDN w:val="0"/>
              <w:adjustRightInd w:val="0"/>
              <w:snapToGrid w:val="0"/>
              <w:spacing w:line="360" w:lineRule="auto"/>
              <w:jc w:val="center"/>
              <w:rPr>
                <w:rFonts w:hint="eastAsia" w:ascii="仿宋" w:hAnsi="仿宋" w:eastAsia="仿宋" w:cs="仿宋"/>
                <w:color w:val="auto"/>
                <w:kern w:val="0"/>
                <w:sz w:val="24"/>
                <w:szCs w:val="24"/>
                <w:highlight w:val="none"/>
                <w:shd w:val="clear" w:color="auto" w:fill="FFFFFF" w:themeFill="background1"/>
              </w:rPr>
            </w:pPr>
          </w:p>
        </w:tc>
      </w:tr>
      <w:tr w14:paraId="423F5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3822BDC2">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法定代表人</w:t>
            </w:r>
          </w:p>
        </w:tc>
        <w:tc>
          <w:tcPr>
            <w:tcW w:w="3165" w:type="dxa"/>
            <w:vAlign w:val="center"/>
          </w:tcPr>
          <w:p w14:paraId="512ED9A7">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p>
        </w:tc>
        <w:tc>
          <w:tcPr>
            <w:tcW w:w="1995" w:type="dxa"/>
            <w:vAlign w:val="center"/>
          </w:tcPr>
          <w:p w14:paraId="5BCA526C">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电话</w:t>
            </w:r>
          </w:p>
        </w:tc>
        <w:tc>
          <w:tcPr>
            <w:tcW w:w="2140" w:type="dxa"/>
            <w:vAlign w:val="center"/>
          </w:tcPr>
          <w:p w14:paraId="62054EED">
            <w:pPr>
              <w:autoSpaceDE w:val="0"/>
              <w:autoSpaceDN w:val="0"/>
              <w:adjustRightInd w:val="0"/>
              <w:snapToGrid w:val="0"/>
              <w:spacing w:line="360" w:lineRule="auto"/>
              <w:jc w:val="center"/>
              <w:rPr>
                <w:rFonts w:hint="eastAsia" w:ascii="仿宋" w:hAnsi="仿宋" w:eastAsia="仿宋" w:cs="仿宋"/>
                <w:color w:val="auto"/>
                <w:kern w:val="0"/>
                <w:sz w:val="24"/>
                <w:szCs w:val="24"/>
                <w:highlight w:val="none"/>
                <w:shd w:val="clear" w:color="auto" w:fill="FFFFFF" w:themeFill="background1"/>
              </w:rPr>
            </w:pPr>
          </w:p>
        </w:tc>
      </w:tr>
      <w:tr w14:paraId="3355B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528BDF12">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联系人</w:t>
            </w:r>
          </w:p>
        </w:tc>
        <w:tc>
          <w:tcPr>
            <w:tcW w:w="3165" w:type="dxa"/>
            <w:vAlign w:val="center"/>
          </w:tcPr>
          <w:p w14:paraId="4DCEB0DC">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p>
        </w:tc>
        <w:tc>
          <w:tcPr>
            <w:tcW w:w="1995" w:type="dxa"/>
            <w:vAlign w:val="center"/>
          </w:tcPr>
          <w:p w14:paraId="51C4D614">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电话</w:t>
            </w:r>
          </w:p>
        </w:tc>
        <w:tc>
          <w:tcPr>
            <w:tcW w:w="2140" w:type="dxa"/>
            <w:vAlign w:val="center"/>
          </w:tcPr>
          <w:p w14:paraId="2C56146E">
            <w:pPr>
              <w:autoSpaceDE w:val="0"/>
              <w:autoSpaceDN w:val="0"/>
              <w:adjustRightInd w:val="0"/>
              <w:snapToGrid w:val="0"/>
              <w:spacing w:line="360" w:lineRule="auto"/>
              <w:jc w:val="center"/>
              <w:rPr>
                <w:rFonts w:hint="eastAsia" w:ascii="仿宋" w:hAnsi="仿宋" w:eastAsia="仿宋" w:cs="仿宋"/>
                <w:color w:val="auto"/>
                <w:kern w:val="0"/>
                <w:sz w:val="24"/>
                <w:szCs w:val="24"/>
                <w:highlight w:val="none"/>
                <w:shd w:val="clear" w:color="auto" w:fill="FFFFFF" w:themeFill="background1"/>
              </w:rPr>
            </w:pPr>
          </w:p>
        </w:tc>
      </w:tr>
      <w:tr w14:paraId="79196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07D692B0">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传真</w:t>
            </w:r>
          </w:p>
        </w:tc>
        <w:tc>
          <w:tcPr>
            <w:tcW w:w="3165" w:type="dxa"/>
            <w:vAlign w:val="center"/>
          </w:tcPr>
          <w:p w14:paraId="6AFAB0DC">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p>
        </w:tc>
        <w:tc>
          <w:tcPr>
            <w:tcW w:w="1995" w:type="dxa"/>
            <w:vAlign w:val="center"/>
          </w:tcPr>
          <w:p w14:paraId="172131F6">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网址</w:t>
            </w:r>
          </w:p>
        </w:tc>
        <w:tc>
          <w:tcPr>
            <w:tcW w:w="2140" w:type="dxa"/>
            <w:vAlign w:val="center"/>
          </w:tcPr>
          <w:p w14:paraId="1439BD9F">
            <w:pPr>
              <w:autoSpaceDE w:val="0"/>
              <w:autoSpaceDN w:val="0"/>
              <w:adjustRightInd w:val="0"/>
              <w:snapToGrid w:val="0"/>
              <w:spacing w:line="360" w:lineRule="auto"/>
              <w:jc w:val="center"/>
              <w:rPr>
                <w:rFonts w:hint="eastAsia" w:ascii="仿宋" w:hAnsi="仿宋" w:eastAsia="仿宋" w:cs="仿宋"/>
                <w:color w:val="auto"/>
                <w:kern w:val="0"/>
                <w:sz w:val="24"/>
                <w:szCs w:val="24"/>
                <w:highlight w:val="none"/>
                <w:shd w:val="clear" w:color="auto" w:fill="FFFFFF" w:themeFill="background1"/>
              </w:rPr>
            </w:pPr>
          </w:p>
        </w:tc>
      </w:tr>
      <w:tr w14:paraId="0D419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665" w:type="dxa"/>
            <w:vAlign w:val="center"/>
          </w:tcPr>
          <w:p w14:paraId="141BCAB3">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开户银行</w:t>
            </w:r>
          </w:p>
        </w:tc>
        <w:tc>
          <w:tcPr>
            <w:tcW w:w="3165" w:type="dxa"/>
            <w:vAlign w:val="center"/>
          </w:tcPr>
          <w:p w14:paraId="7B0270AE">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p>
        </w:tc>
        <w:tc>
          <w:tcPr>
            <w:tcW w:w="1995" w:type="dxa"/>
            <w:vAlign w:val="center"/>
          </w:tcPr>
          <w:p w14:paraId="3D1386A2">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银行帐号</w:t>
            </w:r>
          </w:p>
        </w:tc>
        <w:tc>
          <w:tcPr>
            <w:tcW w:w="2140" w:type="dxa"/>
            <w:vAlign w:val="center"/>
          </w:tcPr>
          <w:p w14:paraId="529C7DE8">
            <w:pPr>
              <w:autoSpaceDE w:val="0"/>
              <w:autoSpaceDN w:val="0"/>
              <w:adjustRightInd w:val="0"/>
              <w:snapToGrid w:val="0"/>
              <w:spacing w:line="360" w:lineRule="auto"/>
              <w:jc w:val="center"/>
              <w:rPr>
                <w:rFonts w:hint="eastAsia" w:ascii="仿宋" w:hAnsi="仿宋" w:eastAsia="仿宋" w:cs="仿宋"/>
                <w:color w:val="auto"/>
                <w:kern w:val="0"/>
                <w:sz w:val="24"/>
                <w:szCs w:val="24"/>
                <w:highlight w:val="none"/>
                <w:shd w:val="clear" w:color="auto" w:fill="FFFFFF" w:themeFill="background1"/>
              </w:rPr>
            </w:pPr>
          </w:p>
        </w:tc>
      </w:tr>
      <w:tr w14:paraId="6E622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701" w:hRule="atLeast"/>
          <w:jc w:val="center"/>
        </w:trPr>
        <w:tc>
          <w:tcPr>
            <w:tcW w:w="1665" w:type="dxa"/>
            <w:vAlign w:val="center"/>
          </w:tcPr>
          <w:p w14:paraId="3DE3F340">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职工概况</w:t>
            </w:r>
          </w:p>
        </w:tc>
        <w:tc>
          <w:tcPr>
            <w:tcW w:w="7300" w:type="dxa"/>
            <w:gridSpan w:val="3"/>
            <w:vAlign w:val="center"/>
          </w:tcPr>
          <w:p w14:paraId="6A50FD45">
            <w:pPr>
              <w:autoSpaceDE w:val="0"/>
              <w:autoSpaceDN w:val="0"/>
              <w:adjustRightInd w:val="0"/>
              <w:snapToGrid w:val="0"/>
              <w:spacing w:line="360" w:lineRule="auto"/>
              <w:jc w:val="center"/>
              <w:rPr>
                <w:rFonts w:hint="eastAsia" w:ascii="仿宋" w:hAnsi="仿宋" w:eastAsia="仿宋" w:cs="仿宋"/>
                <w:color w:val="auto"/>
                <w:kern w:val="0"/>
                <w:sz w:val="24"/>
                <w:szCs w:val="24"/>
                <w:highlight w:val="none"/>
                <w:shd w:val="clear" w:color="auto" w:fill="FFFFFF" w:themeFill="background1"/>
              </w:rPr>
            </w:pPr>
          </w:p>
        </w:tc>
      </w:tr>
      <w:tr w14:paraId="2CF21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701" w:hRule="atLeast"/>
          <w:jc w:val="center"/>
        </w:trPr>
        <w:tc>
          <w:tcPr>
            <w:tcW w:w="1665" w:type="dxa"/>
            <w:vAlign w:val="center"/>
          </w:tcPr>
          <w:p w14:paraId="14F6762B">
            <w:pPr>
              <w:autoSpaceDE w:val="0"/>
              <w:autoSpaceDN w:val="0"/>
              <w:adjustRightInd w:val="0"/>
              <w:snapToGrid w:val="0"/>
              <w:spacing w:line="360" w:lineRule="auto"/>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Cs w:val="21"/>
                <w:highlight w:val="none"/>
                <w:shd w:val="clear" w:color="auto" w:fill="FFFFFF" w:themeFill="background1"/>
              </w:rPr>
              <w:t>经营范围</w:t>
            </w:r>
          </w:p>
        </w:tc>
        <w:tc>
          <w:tcPr>
            <w:tcW w:w="7300" w:type="dxa"/>
            <w:gridSpan w:val="3"/>
            <w:vAlign w:val="center"/>
          </w:tcPr>
          <w:p w14:paraId="7C583023">
            <w:pPr>
              <w:autoSpaceDE w:val="0"/>
              <w:autoSpaceDN w:val="0"/>
              <w:adjustRightInd w:val="0"/>
              <w:snapToGrid w:val="0"/>
              <w:spacing w:line="360" w:lineRule="auto"/>
              <w:jc w:val="center"/>
              <w:rPr>
                <w:rFonts w:hint="eastAsia" w:ascii="仿宋" w:hAnsi="仿宋" w:eastAsia="仿宋" w:cs="仿宋"/>
                <w:color w:val="auto"/>
                <w:kern w:val="0"/>
                <w:sz w:val="24"/>
                <w:szCs w:val="24"/>
                <w:highlight w:val="none"/>
                <w:shd w:val="clear" w:color="auto" w:fill="FFFFFF" w:themeFill="background1"/>
              </w:rPr>
            </w:pPr>
          </w:p>
        </w:tc>
      </w:tr>
      <w:tr w14:paraId="26792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701" w:hRule="atLeast"/>
          <w:jc w:val="center"/>
        </w:trPr>
        <w:tc>
          <w:tcPr>
            <w:tcW w:w="1665" w:type="dxa"/>
            <w:vAlign w:val="center"/>
          </w:tcPr>
          <w:p w14:paraId="4BE031A9">
            <w:pPr>
              <w:autoSpaceDE w:val="0"/>
              <w:autoSpaceDN w:val="0"/>
              <w:adjustRightInd w:val="0"/>
              <w:snapToGrid w:val="0"/>
              <w:spacing w:line="520" w:lineRule="exact"/>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关联单位</w:t>
            </w:r>
          </w:p>
          <w:p w14:paraId="2CEF238E">
            <w:pPr>
              <w:autoSpaceDE w:val="0"/>
              <w:autoSpaceDN w:val="0"/>
              <w:adjustRightInd w:val="0"/>
              <w:snapToGrid w:val="0"/>
              <w:spacing w:line="520" w:lineRule="exact"/>
              <w:jc w:val="center"/>
              <w:rPr>
                <w:rFonts w:hint="eastAsia" w:ascii="仿宋" w:hAnsi="仿宋" w:eastAsia="仿宋" w:cs="仿宋"/>
                <w:color w:val="auto"/>
                <w:kern w:val="0"/>
                <w:szCs w:val="21"/>
                <w:highlight w:val="none"/>
                <w:shd w:val="clear" w:color="auto" w:fill="FFFFFF" w:themeFill="background1"/>
              </w:rPr>
            </w:pPr>
            <w:r>
              <w:rPr>
                <w:rFonts w:hint="eastAsia" w:ascii="仿宋" w:hAnsi="仿宋" w:eastAsia="仿宋" w:cs="仿宋"/>
                <w:color w:val="auto"/>
                <w:kern w:val="0"/>
                <w:sz w:val="24"/>
                <w:szCs w:val="24"/>
                <w:highlight w:val="none"/>
              </w:rPr>
              <w:t>（如有）</w:t>
            </w:r>
          </w:p>
        </w:tc>
        <w:tc>
          <w:tcPr>
            <w:tcW w:w="7300" w:type="dxa"/>
            <w:gridSpan w:val="3"/>
            <w:vAlign w:val="center"/>
          </w:tcPr>
          <w:p w14:paraId="6367F187">
            <w:pPr>
              <w:autoSpaceDE w:val="0"/>
              <w:autoSpaceDN w:val="0"/>
              <w:adjustRightInd w:val="0"/>
              <w:snapToGrid w:val="0"/>
              <w:spacing w:line="520" w:lineRule="exact"/>
              <w:rPr>
                <w:rFonts w:hint="eastAsia" w:ascii="仿宋" w:hAnsi="仿宋" w:eastAsia="仿宋" w:cs="仿宋"/>
                <w:color w:val="auto"/>
                <w:kern w:val="0"/>
                <w:sz w:val="24"/>
                <w:szCs w:val="24"/>
                <w:highlight w:val="none"/>
              </w:rPr>
            </w:pPr>
          </w:p>
          <w:p w14:paraId="53DDA701">
            <w:pPr>
              <w:autoSpaceDE w:val="0"/>
              <w:autoSpaceDN w:val="0"/>
              <w:adjustRightInd w:val="0"/>
              <w:snapToGrid w:val="0"/>
              <w:spacing w:line="520" w:lineRule="exact"/>
              <w:jc w:val="left"/>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rPr>
              <w:t xml:space="preserve">  </w:t>
            </w:r>
            <w:r>
              <w:rPr>
                <w:rFonts w:hint="eastAsia" w:ascii="仿宋" w:hAnsi="仿宋" w:eastAsia="仿宋" w:cs="仿宋"/>
                <w:color w:val="auto"/>
                <w:kern w:val="0"/>
                <w:szCs w:val="21"/>
                <w:highlight w:val="none"/>
              </w:rPr>
              <w:t>注：此处关联单位指单位负责人为同一人或者存在直接控股、管理关系的不同单位。</w:t>
            </w:r>
          </w:p>
        </w:tc>
      </w:tr>
    </w:tbl>
    <w:p w14:paraId="3F258A83">
      <w:pPr>
        <w:spacing w:line="360" w:lineRule="auto"/>
        <w:jc w:val="left"/>
        <w:rPr>
          <w:rFonts w:hint="eastAsia" w:ascii="仿宋" w:hAnsi="仿宋" w:eastAsia="仿宋" w:cs="仿宋"/>
          <w:color w:val="auto"/>
          <w:sz w:val="24"/>
          <w:szCs w:val="24"/>
          <w:highlight w:val="none"/>
        </w:rPr>
      </w:pPr>
    </w:p>
    <w:p w14:paraId="4FC2D271">
      <w:pPr>
        <w:spacing w:line="360" w:lineRule="auto"/>
        <w:jc w:val="center"/>
        <w:outlineLvl w:val="1"/>
        <w:rPr>
          <w:rFonts w:hint="eastAsia" w:ascii="仿宋" w:hAnsi="仿宋" w:eastAsia="仿宋" w:cs="仿宋"/>
          <w:b/>
          <w:color w:val="auto"/>
          <w:sz w:val="24"/>
          <w:szCs w:val="24"/>
          <w:highlight w:val="none"/>
        </w:rPr>
      </w:pPr>
      <w:bookmarkStart w:id="153" w:name="_Toc14695"/>
      <w:bookmarkStart w:id="154" w:name="_Toc11980"/>
      <w:bookmarkStart w:id="155" w:name="_Toc13140"/>
      <w:bookmarkStart w:id="156" w:name="_Toc113901850"/>
      <w:bookmarkStart w:id="157" w:name="_Toc141050516"/>
      <w:bookmarkStart w:id="158" w:name="_Toc643"/>
      <w:bookmarkStart w:id="159" w:name="_Toc28034"/>
      <w:bookmarkStart w:id="160" w:name="_Toc7702"/>
      <w:bookmarkStart w:id="161" w:name="_Toc24317"/>
      <w:bookmarkStart w:id="162" w:name="_Toc130252623"/>
      <w:bookmarkStart w:id="163" w:name="_Toc31943"/>
      <w:bookmarkStart w:id="164" w:name="_Toc19961"/>
      <w:bookmarkStart w:id="165" w:name="_Toc5144"/>
      <w:bookmarkStart w:id="166" w:name="_Toc29380"/>
      <w:bookmarkStart w:id="167" w:name="_Toc23897"/>
      <w:bookmarkStart w:id="168" w:name="_Toc128476879"/>
      <w:bookmarkStart w:id="169" w:name="_Toc30664"/>
      <w:bookmarkStart w:id="170" w:name="_Toc18158"/>
      <w:bookmarkStart w:id="171" w:name="_Toc13628"/>
      <w:bookmarkStart w:id="172" w:name="_Toc4679"/>
      <w:r>
        <w:rPr>
          <w:rFonts w:hint="eastAsia" w:ascii="仿宋" w:hAnsi="仿宋" w:eastAsia="仿宋" w:cs="仿宋"/>
          <w:color w:val="auto"/>
          <w:sz w:val="24"/>
          <w:szCs w:val="24"/>
          <w:highlight w:val="none"/>
        </w:rPr>
        <w:br w:type="page"/>
      </w:r>
      <w:bookmarkStart w:id="173" w:name="_Toc31890"/>
      <w:bookmarkStart w:id="174" w:name="_Toc27784"/>
      <w:bookmarkStart w:id="175" w:name="_Toc11252"/>
      <w:bookmarkStart w:id="176" w:name="_Toc130252622"/>
      <w:bookmarkStart w:id="177" w:name="_Toc13267"/>
      <w:bookmarkStart w:id="178" w:name="_Toc141050515"/>
      <w:bookmarkStart w:id="179" w:name="_Toc5059"/>
      <w:bookmarkStart w:id="180" w:name="_Toc5906"/>
      <w:bookmarkStart w:id="181" w:name="_Toc29597"/>
      <w:bookmarkStart w:id="182" w:name="_Toc29907"/>
      <w:bookmarkStart w:id="183" w:name="_Toc128476878"/>
      <w:bookmarkStart w:id="184" w:name="_Toc7329"/>
      <w:bookmarkStart w:id="185" w:name="_Toc113901849"/>
      <w:bookmarkStart w:id="186" w:name="_Toc14499"/>
      <w:bookmarkStart w:id="187" w:name="_Toc26222"/>
      <w:bookmarkStart w:id="188" w:name="_Toc29449"/>
      <w:bookmarkStart w:id="189" w:name="_Toc12625"/>
      <w:bookmarkStart w:id="190" w:name="_Toc14445"/>
      <w:bookmarkStart w:id="191" w:name="_Toc56"/>
      <w:bookmarkStart w:id="192" w:name="_Toc12657"/>
      <w:bookmarkStart w:id="193" w:name="_Toc22107"/>
      <w:bookmarkStart w:id="194" w:name="_Toc5302"/>
      <w:bookmarkStart w:id="195" w:name="_Toc2553"/>
      <w:bookmarkStart w:id="196" w:name="_Toc5497"/>
      <w:bookmarkStart w:id="197" w:name="_Toc8286"/>
      <w:bookmarkStart w:id="198" w:name="_Toc7909"/>
      <w:r>
        <w:rPr>
          <w:rFonts w:hint="eastAsia" w:ascii="仿宋" w:hAnsi="仿宋" w:eastAsia="仿宋" w:cs="仿宋"/>
          <w:b/>
          <w:color w:val="auto"/>
          <w:sz w:val="24"/>
          <w:szCs w:val="24"/>
          <w:highlight w:val="none"/>
          <w:lang w:val="en-US" w:eastAsia="zh-CN"/>
        </w:rPr>
        <w:t>8</w:t>
      </w:r>
      <w:r>
        <w:rPr>
          <w:rFonts w:hint="eastAsia" w:ascii="仿宋" w:hAnsi="仿宋" w:eastAsia="仿宋" w:cs="仿宋"/>
          <w:b/>
          <w:color w:val="auto"/>
          <w:sz w:val="24"/>
          <w:szCs w:val="24"/>
          <w:highlight w:val="none"/>
        </w:rPr>
        <w:t>.1 法人或者其他组织的营业执照等证明文件，自然人的身份证明</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p w14:paraId="009E53C1">
      <w:pPr>
        <w:spacing w:line="360" w:lineRule="auto"/>
        <w:rPr>
          <w:rFonts w:hint="eastAsia" w:ascii="仿宋" w:hAnsi="仿宋" w:eastAsia="仿宋" w:cs="仿宋"/>
          <w:color w:val="auto"/>
          <w:sz w:val="24"/>
          <w:szCs w:val="24"/>
          <w:highlight w:val="none"/>
        </w:rPr>
      </w:pPr>
    </w:p>
    <w:p w14:paraId="70801213">
      <w:pPr>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一、如</w:t>
      </w:r>
      <w:r>
        <w:rPr>
          <w:rFonts w:hint="eastAsia" w:ascii="仿宋" w:hAnsi="仿宋" w:eastAsia="仿宋" w:cs="仿宋"/>
          <w:color w:val="auto"/>
          <w:sz w:val="24"/>
          <w:szCs w:val="24"/>
          <w:highlight w:val="none"/>
          <w:shd w:val="clear" w:color="auto" w:fill="FFFFFF" w:themeFill="background1"/>
          <w:lang w:eastAsia="zh-CN"/>
        </w:rPr>
        <w:t>投标人</w:t>
      </w:r>
      <w:r>
        <w:rPr>
          <w:rFonts w:hint="eastAsia" w:ascii="仿宋" w:hAnsi="仿宋" w:eastAsia="仿宋" w:cs="仿宋"/>
          <w:color w:val="auto"/>
          <w:sz w:val="24"/>
          <w:szCs w:val="24"/>
          <w:highlight w:val="none"/>
          <w:shd w:val="clear" w:color="auto" w:fill="FFFFFF" w:themeFill="background1"/>
        </w:rPr>
        <w:t>是企业（包括合伙企业)，应提供在工商部门注册的有效“企业法人营业执照”或“营业执照”;</w:t>
      </w:r>
    </w:p>
    <w:p w14:paraId="57DF2545">
      <w:pPr>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二、如</w:t>
      </w:r>
      <w:r>
        <w:rPr>
          <w:rFonts w:hint="eastAsia" w:ascii="仿宋" w:hAnsi="仿宋" w:eastAsia="仿宋" w:cs="仿宋"/>
          <w:color w:val="auto"/>
          <w:sz w:val="24"/>
          <w:szCs w:val="24"/>
          <w:highlight w:val="none"/>
          <w:shd w:val="clear" w:color="auto" w:fill="FFFFFF" w:themeFill="background1"/>
          <w:lang w:eastAsia="zh-CN"/>
        </w:rPr>
        <w:t>投标人</w:t>
      </w:r>
      <w:r>
        <w:rPr>
          <w:rFonts w:hint="eastAsia" w:ascii="仿宋" w:hAnsi="仿宋" w:eastAsia="仿宋" w:cs="仿宋"/>
          <w:color w:val="auto"/>
          <w:sz w:val="24"/>
          <w:szCs w:val="24"/>
          <w:highlight w:val="none"/>
          <w:shd w:val="clear" w:color="auto" w:fill="FFFFFF" w:themeFill="background1"/>
        </w:rPr>
        <w:t>是事业单位，应提供有效的“事业单位法人证书”;</w:t>
      </w:r>
    </w:p>
    <w:p w14:paraId="7A013F6B">
      <w:pPr>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三、如</w:t>
      </w:r>
      <w:r>
        <w:rPr>
          <w:rFonts w:hint="eastAsia" w:ascii="仿宋" w:hAnsi="仿宋" w:eastAsia="仿宋" w:cs="仿宋"/>
          <w:color w:val="auto"/>
          <w:sz w:val="24"/>
          <w:szCs w:val="24"/>
          <w:highlight w:val="none"/>
          <w:shd w:val="clear" w:color="auto" w:fill="FFFFFF" w:themeFill="background1"/>
          <w:lang w:eastAsia="zh-CN"/>
        </w:rPr>
        <w:t>投标人</w:t>
      </w:r>
      <w:r>
        <w:rPr>
          <w:rFonts w:hint="eastAsia" w:ascii="仿宋" w:hAnsi="仿宋" w:eastAsia="仿宋" w:cs="仿宋"/>
          <w:color w:val="auto"/>
          <w:sz w:val="24"/>
          <w:szCs w:val="24"/>
          <w:highlight w:val="none"/>
          <w:shd w:val="clear" w:color="auto" w:fill="FFFFFF" w:themeFill="background1"/>
        </w:rPr>
        <w:t>是非企业专业服务机构的，应提供执业许可证等证明文件;</w:t>
      </w:r>
    </w:p>
    <w:p w14:paraId="4325CFC7">
      <w:pPr>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四、如</w:t>
      </w:r>
      <w:r>
        <w:rPr>
          <w:rFonts w:hint="eastAsia" w:ascii="仿宋" w:hAnsi="仿宋" w:eastAsia="仿宋" w:cs="仿宋"/>
          <w:color w:val="auto"/>
          <w:sz w:val="24"/>
          <w:szCs w:val="24"/>
          <w:highlight w:val="none"/>
          <w:shd w:val="clear" w:color="auto" w:fill="FFFFFF" w:themeFill="background1"/>
          <w:lang w:eastAsia="zh-CN"/>
        </w:rPr>
        <w:t>投标人</w:t>
      </w:r>
      <w:r>
        <w:rPr>
          <w:rFonts w:hint="eastAsia" w:ascii="仿宋" w:hAnsi="仿宋" w:eastAsia="仿宋" w:cs="仿宋"/>
          <w:color w:val="auto"/>
          <w:sz w:val="24"/>
          <w:szCs w:val="24"/>
          <w:highlight w:val="none"/>
          <w:shd w:val="clear" w:color="auto" w:fill="FFFFFF" w:themeFill="background1"/>
        </w:rPr>
        <w:t>是个体工商户，应提供有效的“个体工商户营业执照”;</w:t>
      </w:r>
    </w:p>
    <w:p w14:paraId="205288C1">
      <w:pPr>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五、如</w:t>
      </w:r>
      <w:r>
        <w:rPr>
          <w:rFonts w:hint="eastAsia" w:ascii="仿宋" w:hAnsi="仿宋" w:eastAsia="仿宋" w:cs="仿宋"/>
          <w:color w:val="auto"/>
          <w:sz w:val="24"/>
          <w:szCs w:val="24"/>
          <w:highlight w:val="none"/>
          <w:shd w:val="clear" w:color="auto" w:fill="FFFFFF" w:themeFill="background1"/>
          <w:lang w:eastAsia="zh-CN"/>
        </w:rPr>
        <w:t>投标人</w:t>
      </w:r>
      <w:r>
        <w:rPr>
          <w:rFonts w:hint="eastAsia" w:ascii="仿宋" w:hAnsi="仿宋" w:eastAsia="仿宋" w:cs="仿宋"/>
          <w:color w:val="auto"/>
          <w:sz w:val="24"/>
          <w:szCs w:val="24"/>
          <w:highlight w:val="none"/>
          <w:shd w:val="clear" w:color="auto" w:fill="FFFFFF" w:themeFill="background1"/>
        </w:rPr>
        <w:t>是自然人，应提供有效的自然人身份证明。</w:t>
      </w:r>
    </w:p>
    <w:p w14:paraId="57C30A71">
      <w:pPr>
        <w:spacing w:line="360" w:lineRule="auto"/>
        <w:rPr>
          <w:rFonts w:hint="eastAsia" w:ascii="仿宋" w:hAnsi="仿宋" w:eastAsia="仿宋" w:cs="仿宋"/>
          <w:color w:val="auto"/>
          <w:sz w:val="24"/>
          <w:szCs w:val="24"/>
          <w:highlight w:val="none"/>
        </w:rPr>
      </w:pPr>
    </w:p>
    <w:p w14:paraId="02D30634">
      <w:pPr>
        <w:spacing w:line="360" w:lineRule="auto"/>
        <w:rPr>
          <w:rFonts w:hint="eastAsia" w:ascii="仿宋" w:hAnsi="仿宋" w:eastAsia="仿宋" w:cs="仿宋"/>
          <w:color w:val="auto"/>
          <w:sz w:val="24"/>
          <w:szCs w:val="24"/>
          <w:highlight w:val="none"/>
        </w:rPr>
      </w:pPr>
    </w:p>
    <w:p w14:paraId="61EB11F2">
      <w:pPr>
        <w:widowControl/>
        <w:spacing w:line="360" w:lineRule="auto"/>
        <w:jc w:val="left"/>
        <w:rPr>
          <w:rFonts w:hint="eastAsia" w:ascii="仿宋" w:hAnsi="仿宋" w:eastAsia="仿宋" w:cs="仿宋"/>
          <w:color w:val="auto"/>
          <w:highlight w:val="none"/>
        </w:rPr>
      </w:pPr>
      <w:r>
        <w:rPr>
          <w:rFonts w:hint="eastAsia" w:ascii="仿宋" w:hAnsi="仿宋" w:eastAsia="仿宋" w:cs="仿宋"/>
          <w:b/>
          <w:color w:val="auto"/>
          <w:sz w:val="24"/>
          <w:szCs w:val="24"/>
          <w:highlight w:val="none"/>
        </w:rPr>
        <w:br w:type="page"/>
      </w:r>
    </w:p>
    <w:p w14:paraId="60172FA5">
      <w:pPr>
        <w:spacing w:line="360" w:lineRule="auto"/>
        <w:jc w:val="center"/>
        <w:outlineLvl w:val="1"/>
        <w:rPr>
          <w:rFonts w:hint="eastAsia" w:ascii="仿宋" w:hAnsi="仿宋" w:eastAsia="仿宋" w:cs="仿宋"/>
          <w:b/>
          <w:color w:val="auto"/>
          <w:sz w:val="24"/>
          <w:szCs w:val="24"/>
          <w:highlight w:val="none"/>
        </w:rPr>
      </w:pPr>
      <w:bookmarkStart w:id="199" w:name="_Toc6735"/>
      <w:bookmarkStart w:id="200" w:name="_Toc30913"/>
      <w:bookmarkStart w:id="201" w:name="_Toc13139"/>
      <w:bookmarkStart w:id="202" w:name="_Toc16077"/>
      <w:bookmarkStart w:id="203" w:name="_Toc21575"/>
      <w:bookmarkStart w:id="204" w:name="_Toc17549"/>
      <w:r>
        <w:rPr>
          <w:rFonts w:hint="eastAsia" w:ascii="仿宋" w:hAnsi="仿宋" w:eastAsia="仿宋" w:cs="仿宋"/>
          <w:b/>
          <w:color w:val="auto"/>
          <w:sz w:val="24"/>
          <w:szCs w:val="24"/>
          <w:highlight w:val="none"/>
          <w:lang w:val="en-US" w:eastAsia="zh-CN"/>
        </w:rPr>
        <w:t>8</w:t>
      </w:r>
      <w:r>
        <w:rPr>
          <w:rFonts w:hint="eastAsia" w:ascii="仿宋" w:hAnsi="仿宋" w:eastAsia="仿宋" w:cs="仿宋"/>
          <w:b/>
          <w:color w:val="auto"/>
          <w:sz w:val="24"/>
          <w:szCs w:val="24"/>
          <w:highlight w:val="none"/>
        </w:rPr>
        <w:t>.2 财务状况报告，依法缴纳税收和社会保障资金的相关材料</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99"/>
      <w:bookmarkEnd w:id="200"/>
      <w:bookmarkEnd w:id="201"/>
      <w:bookmarkEnd w:id="202"/>
      <w:bookmarkEnd w:id="203"/>
      <w:bookmarkEnd w:id="204"/>
    </w:p>
    <w:p w14:paraId="74BEA911">
      <w:pPr>
        <w:spacing w:after="120" w:line="360" w:lineRule="auto"/>
        <w:rPr>
          <w:rFonts w:hint="eastAsia" w:ascii="仿宋" w:hAnsi="仿宋" w:eastAsia="仿宋" w:cs="仿宋"/>
          <w:color w:val="auto"/>
          <w:spacing w:val="10"/>
          <w:kern w:val="0"/>
          <w:sz w:val="24"/>
          <w:szCs w:val="24"/>
          <w:highlight w:val="none"/>
        </w:rPr>
      </w:pPr>
    </w:p>
    <w:p w14:paraId="31040F44">
      <w:pPr>
        <w:pStyle w:val="12"/>
        <w:spacing w:line="360" w:lineRule="auto"/>
        <w:ind w:right="516" w:firstLine="520" w:firstLineChars="200"/>
        <w:rPr>
          <w:rFonts w:hint="eastAsia"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一、财务状况报告（满足下述一条要求即可）：</w:t>
      </w:r>
    </w:p>
    <w:p w14:paraId="133F4A4A">
      <w:pPr>
        <w:pStyle w:val="12"/>
        <w:spacing w:line="360" w:lineRule="auto"/>
        <w:ind w:right="516" w:firstLine="520" w:firstLineChars="200"/>
        <w:rPr>
          <w:rFonts w:hint="eastAsia"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要求1、经审计的财务报告（</w:t>
      </w:r>
      <w:r>
        <w:rPr>
          <w:rFonts w:hint="eastAsia" w:ascii="仿宋" w:hAnsi="仿宋" w:eastAsia="仿宋" w:cs="仿宋"/>
          <w:color w:val="auto"/>
          <w:spacing w:val="10"/>
          <w:szCs w:val="24"/>
          <w:highlight w:val="none"/>
          <w:shd w:val="clear" w:color="auto" w:fill="FFFFFF" w:themeFill="background1"/>
          <w:lang w:eastAsia="zh-CN"/>
        </w:rPr>
        <w:t>2024年度或2025年度</w:t>
      </w:r>
      <w:r>
        <w:rPr>
          <w:rFonts w:hint="eastAsia" w:ascii="仿宋" w:hAnsi="仿宋" w:eastAsia="仿宋" w:cs="仿宋"/>
          <w:color w:val="auto"/>
          <w:spacing w:val="10"/>
          <w:szCs w:val="24"/>
          <w:highlight w:val="none"/>
          <w:shd w:val="clear" w:color="auto" w:fill="FFFFFF" w:themeFill="background1"/>
        </w:rPr>
        <w:t>，包括“四表-注”，即资产负债表、利润表、现金流量表、所有者权益变动表及其附注）或银行出具的资信证明（投标文件递交截止之日前六个月内任意一个月</w:t>
      </w:r>
      <w:r>
        <w:rPr>
          <w:rFonts w:hint="eastAsia" w:ascii="仿宋" w:hAnsi="仿宋" w:eastAsia="仿宋" w:cs="仿宋"/>
          <w:color w:val="auto"/>
          <w:spacing w:val="10"/>
          <w:szCs w:val="24"/>
          <w:highlight w:val="none"/>
          <w:shd w:val="clear" w:color="auto" w:fill="FFFFFF" w:themeFill="background1"/>
          <w:lang w:eastAsia="zh-CN"/>
        </w:rPr>
        <w:t>，</w:t>
      </w:r>
      <w:r>
        <w:rPr>
          <w:rFonts w:hint="eastAsia" w:ascii="仿宋" w:hAnsi="仿宋" w:eastAsia="仿宋" w:cs="仿宋"/>
          <w:color w:val="auto"/>
          <w:spacing w:val="10"/>
          <w:szCs w:val="24"/>
          <w:highlight w:val="none"/>
          <w:shd w:val="clear" w:color="auto" w:fill="FFFFFF" w:themeFill="background1"/>
          <w:lang w:val="en-US" w:eastAsia="zh-CN"/>
        </w:rPr>
        <w:t>不限制采购人主体</w:t>
      </w:r>
      <w:r>
        <w:rPr>
          <w:rFonts w:hint="eastAsia" w:ascii="仿宋" w:hAnsi="仿宋" w:eastAsia="仿宋" w:cs="仿宋"/>
          <w:color w:val="auto"/>
          <w:spacing w:val="10"/>
          <w:szCs w:val="24"/>
          <w:highlight w:val="none"/>
          <w:shd w:val="clear" w:color="auto" w:fill="FFFFFF" w:themeFill="background1"/>
        </w:rPr>
        <w:t>）。</w:t>
      </w:r>
    </w:p>
    <w:p w14:paraId="7F075DB3">
      <w:pPr>
        <w:pStyle w:val="12"/>
        <w:spacing w:line="360" w:lineRule="auto"/>
        <w:ind w:right="516" w:firstLine="520" w:firstLineChars="200"/>
        <w:rPr>
          <w:rFonts w:hint="eastAsia"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要求2、成立不足</w:t>
      </w:r>
      <w:r>
        <w:rPr>
          <w:rFonts w:hint="eastAsia" w:ascii="仿宋" w:hAnsi="仿宋" w:eastAsia="仿宋" w:cs="仿宋"/>
          <w:color w:val="auto"/>
          <w:spacing w:val="10"/>
          <w:szCs w:val="24"/>
          <w:highlight w:val="none"/>
          <w:shd w:val="clear" w:color="auto" w:fill="FFFFFF" w:themeFill="background1"/>
          <w:lang w:val="en-US" w:eastAsia="zh-CN"/>
        </w:rPr>
        <w:t>六</w:t>
      </w:r>
      <w:r>
        <w:rPr>
          <w:rFonts w:hint="eastAsia" w:ascii="仿宋" w:hAnsi="仿宋" w:eastAsia="仿宋" w:cs="仿宋"/>
          <w:color w:val="auto"/>
          <w:spacing w:val="10"/>
          <w:szCs w:val="24"/>
          <w:highlight w:val="none"/>
          <w:shd w:val="clear" w:color="auto" w:fill="FFFFFF" w:themeFill="background1"/>
        </w:rPr>
        <w:t>个月（以投标文件递交截止之日为期限）的投标人无需提供。</w:t>
      </w:r>
    </w:p>
    <w:p w14:paraId="47D5EF50">
      <w:pPr>
        <w:pStyle w:val="12"/>
        <w:spacing w:line="360" w:lineRule="auto"/>
        <w:ind w:right="516" w:firstLine="520" w:firstLineChars="200"/>
        <w:rPr>
          <w:rFonts w:hint="eastAsia"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二、依法缴纳税收和社会保障资金的相关材料</w:t>
      </w:r>
    </w:p>
    <w:p w14:paraId="6A617243">
      <w:pPr>
        <w:pStyle w:val="12"/>
        <w:spacing w:line="360" w:lineRule="auto"/>
        <w:ind w:right="516" w:firstLine="520" w:firstLineChars="200"/>
        <w:rPr>
          <w:rFonts w:hint="eastAsia"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2.1、依法缴纳税收的证明材料：</w:t>
      </w:r>
    </w:p>
    <w:p w14:paraId="5BFEC4A1">
      <w:pPr>
        <w:pStyle w:val="12"/>
        <w:spacing w:line="360" w:lineRule="auto"/>
        <w:ind w:right="516" w:firstLine="520" w:firstLineChars="200"/>
        <w:rPr>
          <w:rFonts w:hint="eastAsia"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投标人参加政府采购活动前一段时间（投标文件递交截止之日前六个月内任一个月）内缴纳税收的完税凭证（指各种完税证、缴款书、印花税票、扣（收）税凭证以及其他完税证明</w:t>
      </w:r>
      <w:r>
        <w:rPr>
          <w:rFonts w:hint="eastAsia" w:ascii="仿宋" w:hAnsi="仿宋" w:eastAsia="仿宋" w:cs="仿宋"/>
          <w:color w:val="auto"/>
          <w:szCs w:val="21"/>
          <w:highlight w:val="none"/>
          <w:shd w:val="clear" w:color="auto" w:fill="FFFFFF" w:themeFill="background1"/>
        </w:rPr>
        <w:t>，提供上述任意一种即可</w:t>
      </w:r>
      <w:r>
        <w:rPr>
          <w:rFonts w:hint="eastAsia" w:ascii="仿宋" w:hAnsi="仿宋" w:eastAsia="仿宋" w:cs="仿宋"/>
          <w:color w:val="auto"/>
          <w:spacing w:val="10"/>
          <w:szCs w:val="24"/>
          <w:highlight w:val="none"/>
          <w:shd w:val="clear" w:color="auto" w:fill="FFFFFF" w:themeFill="background1"/>
        </w:rPr>
        <w:t>）。</w:t>
      </w:r>
    </w:p>
    <w:p w14:paraId="26B2EC41">
      <w:pPr>
        <w:pStyle w:val="12"/>
        <w:spacing w:line="360" w:lineRule="auto"/>
        <w:ind w:right="516" w:firstLine="520" w:firstLineChars="200"/>
        <w:rPr>
          <w:rFonts w:hint="eastAsia"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2.2、依法缴纳社会保障资金的证明材料：</w:t>
      </w:r>
    </w:p>
    <w:p w14:paraId="6C9EBB07">
      <w:pPr>
        <w:pStyle w:val="12"/>
        <w:spacing w:line="360" w:lineRule="auto"/>
        <w:ind w:right="516" w:firstLine="520" w:firstLineChars="200"/>
        <w:rPr>
          <w:rFonts w:hint="eastAsia"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投标人参加政府采购活动前一段时间（投标文件递交截止之日前六个月内任一个月）内缴纳社会保险的凭据，其他组织和自然人也需要提供缴纳税收的凭据和缴纳社会保险的凭据。</w:t>
      </w:r>
    </w:p>
    <w:p w14:paraId="5C108C13">
      <w:pPr>
        <w:pStyle w:val="12"/>
        <w:spacing w:line="360" w:lineRule="auto"/>
        <w:ind w:right="516" w:firstLine="520" w:firstLineChars="200"/>
        <w:rPr>
          <w:rFonts w:hint="eastAsia"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2.3、依法免税或不需要缴纳社会保障资金的</w:t>
      </w:r>
      <w:r>
        <w:rPr>
          <w:rFonts w:hint="eastAsia" w:ascii="仿宋" w:hAnsi="仿宋" w:eastAsia="仿宋" w:cs="仿宋"/>
          <w:color w:val="auto"/>
          <w:spacing w:val="10"/>
          <w:szCs w:val="24"/>
          <w:highlight w:val="none"/>
          <w:shd w:val="clear" w:color="auto" w:fill="FFFFFF" w:themeFill="background1"/>
          <w:lang w:eastAsia="zh-CN"/>
        </w:rPr>
        <w:t>投标人</w:t>
      </w:r>
      <w:r>
        <w:rPr>
          <w:rFonts w:hint="eastAsia" w:ascii="仿宋" w:hAnsi="仿宋" w:eastAsia="仿宋" w:cs="仿宋"/>
          <w:color w:val="auto"/>
          <w:spacing w:val="10"/>
          <w:szCs w:val="24"/>
          <w:highlight w:val="none"/>
          <w:shd w:val="clear" w:color="auto" w:fill="FFFFFF" w:themeFill="background1"/>
        </w:rPr>
        <w:t>，应提供相应文件证明其依法免税或不需要缴纳社会保障资金。</w:t>
      </w:r>
    </w:p>
    <w:p w14:paraId="312F14D3">
      <w:pPr>
        <w:pStyle w:val="12"/>
        <w:spacing w:line="360" w:lineRule="auto"/>
        <w:ind w:right="516" w:firstLine="520" w:firstLineChars="200"/>
        <w:rPr>
          <w:rFonts w:hint="eastAsia"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三、注：</w:t>
      </w:r>
    </w:p>
    <w:p w14:paraId="65CE47A8">
      <w:pPr>
        <w:pStyle w:val="12"/>
        <w:spacing w:line="360" w:lineRule="auto"/>
        <w:ind w:right="516" w:firstLine="520" w:firstLineChars="200"/>
        <w:rPr>
          <w:rFonts w:hint="eastAsia"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3.1、如因有关主管部门政策调整，部分证明材料有所增减，以最新政策要求为准；</w:t>
      </w:r>
    </w:p>
    <w:p w14:paraId="68550847">
      <w:pPr>
        <w:pStyle w:val="12"/>
        <w:spacing w:line="360" w:lineRule="auto"/>
        <w:ind w:right="516" w:firstLine="520" w:firstLineChars="200"/>
        <w:rPr>
          <w:rFonts w:hint="eastAsia" w:ascii="仿宋" w:hAnsi="仿宋" w:eastAsia="仿宋" w:cs="仿宋"/>
          <w:color w:val="auto"/>
          <w:spacing w:val="10"/>
          <w:szCs w:val="24"/>
          <w:highlight w:val="none"/>
          <w:shd w:val="clear" w:color="auto" w:fill="FFFFFF" w:themeFill="background1"/>
        </w:rPr>
      </w:pPr>
      <w:r>
        <w:rPr>
          <w:rFonts w:hint="eastAsia" w:ascii="仿宋" w:hAnsi="仿宋" w:eastAsia="仿宋" w:cs="仿宋"/>
          <w:color w:val="auto"/>
          <w:spacing w:val="10"/>
          <w:szCs w:val="24"/>
          <w:highlight w:val="none"/>
          <w:shd w:val="clear" w:color="auto" w:fill="FFFFFF" w:themeFill="background1"/>
        </w:rPr>
        <w:t>3.2、如</w:t>
      </w:r>
      <w:r>
        <w:rPr>
          <w:rFonts w:hint="eastAsia" w:ascii="仿宋" w:hAnsi="仿宋" w:eastAsia="仿宋" w:cs="仿宋"/>
          <w:color w:val="auto"/>
          <w:spacing w:val="10"/>
          <w:szCs w:val="24"/>
          <w:highlight w:val="none"/>
          <w:shd w:val="clear" w:color="auto" w:fill="FFFFFF" w:themeFill="background1"/>
          <w:lang w:eastAsia="zh-CN"/>
        </w:rPr>
        <w:t>投标人</w:t>
      </w:r>
      <w:r>
        <w:rPr>
          <w:rFonts w:hint="eastAsia" w:ascii="仿宋" w:hAnsi="仿宋" w:eastAsia="仿宋" w:cs="仿宋"/>
          <w:color w:val="auto"/>
          <w:spacing w:val="10"/>
          <w:szCs w:val="24"/>
          <w:highlight w:val="none"/>
          <w:shd w:val="clear" w:color="auto" w:fill="FFFFFF" w:themeFill="background1"/>
        </w:rPr>
        <w:t>所在地有关主管部门反馈的证明材料与本文中要求不一致时，以当地要求为准，但须</w:t>
      </w:r>
      <w:r>
        <w:rPr>
          <w:rFonts w:hint="eastAsia" w:ascii="仿宋" w:hAnsi="仿宋" w:eastAsia="仿宋" w:cs="仿宋"/>
          <w:color w:val="auto"/>
          <w:spacing w:val="10"/>
          <w:szCs w:val="24"/>
          <w:highlight w:val="none"/>
          <w:shd w:val="clear" w:color="auto" w:fill="FFFFFF" w:themeFill="background1"/>
          <w:lang w:eastAsia="zh-CN"/>
        </w:rPr>
        <w:t>投标人</w:t>
      </w:r>
      <w:r>
        <w:rPr>
          <w:rFonts w:hint="eastAsia" w:ascii="仿宋" w:hAnsi="仿宋" w:eastAsia="仿宋" w:cs="仿宋"/>
          <w:color w:val="auto"/>
          <w:spacing w:val="10"/>
          <w:szCs w:val="24"/>
          <w:highlight w:val="none"/>
          <w:shd w:val="clear" w:color="auto" w:fill="FFFFFF" w:themeFill="background1"/>
        </w:rPr>
        <w:t>提供文字说明。</w:t>
      </w:r>
    </w:p>
    <w:p w14:paraId="1A353648">
      <w:pPr>
        <w:spacing w:after="120" w:line="360" w:lineRule="auto"/>
        <w:ind w:firstLine="460" w:firstLineChars="200"/>
        <w:rPr>
          <w:rFonts w:hint="eastAsia" w:ascii="仿宋" w:hAnsi="仿宋" w:eastAsia="仿宋" w:cs="仿宋"/>
          <w:color w:val="auto"/>
          <w:spacing w:val="10"/>
          <w:szCs w:val="24"/>
          <w:highlight w:val="none"/>
          <w:shd w:val="clear" w:color="auto" w:fill="FFFFFF" w:themeFill="background1"/>
        </w:rPr>
      </w:pPr>
    </w:p>
    <w:p w14:paraId="3399B1A2">
      <w:pPr>
        <w:rPr>
          <w:rFonts w:hint="eastAsia" w:ascii="仿宋" w:hAnsi="仿宋" w:eastAsia="仿宋" w:cs="仿宋"/>
          <w:b/>
          <w:color w:val="auto"/>
          <w:sz w:val="24"/>
          <w:szCs w:val="24"/>
          <w:highlight w:val="none"/>
        </w:rPr>
      </w:pPr>
      <w:bookmarkStart w:id="205" w:name="_Toc15267"/>
      <w:bookmarkStart w:id="206" w:name="_Toc128476880"/>
      <w:bookmarkStart w:id="207" w:name="_Toc22195"/>
      <w:bookmarkStart w:id="208" w:name="_Toc8262"/>
      <w:bookmarkStart w:id="209" w:name="_Toc24817"/>
      <w:bookmarkStart w:id="210" w:name="_Toc6527"/>
      <w:bookmarkStart w:id="211" w:name="_Toc28756"/>
      <w:bookmarkStart w:id="212" w:name="_Toc141050517"/>
      <w:bookmarkStart w:id="213" w:name="_Toc130252624"/>
      <w:bookmarkStart w:id="214" w:name="_Toc113901851"/>
      <w:bookmarkStart w:id="215" w:name="_Toc28397"/>
      <w:bookmarkStart w:id="216" w:name="_Toc29582"/>
      <w:bookmarkStart w:id="217" w:name="_Toc3038"/>
      <w:bookmarkStart w:id="218" w:name="_Toc24943"/>
      <w:bookmarkStart w:id="219" w:name="_Toc20521"/>
      <w:bookmarkStart w:id="220" w:name="_Toc28937"/>
      <w:bookmarkStart w:id="221" w:name="_Toc6490"/>
      <w:bookmarkStart w:id="222" w:name="_Toc111556488"/>
      <w:r>
        <w:rPr>
          <w:rFonts w:hint="eastAsia" w:ascii="仿宋" w:hAnsi="仿宋" w:eastAsia="仿宋" w:cs="仿宋"/>
          <w:b/>
          <w:color w:val="auto"/>
          <w:sz w:val="24"/>
          <w:szCs w:val="24"/>
          <w:highlight w:val="none"/>
        </w:rPr>
        <w:br w:type="page"/>
      </w:r>
    </w:p>
    <w:p w14:paraId="35AA075A">
      <w:pPr>
        <w:tabs>
          <w:tab w:val="center" w:pos="4832"/>
          <w:tab w:val="left" w:pos="7140"/>
        </w:tabs>
        <w:spacing w:line="360" w:lineRule="auto"/>
        <w:jc w:val="center"/>
        <w:outlineLvl w:val="1"/>
        <w:rPr>
          <w:rFonts w:hint="eastAsia" w:ascii="仿宋" w:hAnsi="仿宋" w:eastAsia="仿宋" w:cs="仿宋"/>
          <w:b/>
          <w:color w:val="auto"/>
          <w:sz w:val="24"/>
          <w:szCs w:val="24"/>
          <w:highlight w:val="none"/>
        </w:rPr>
      </w:pPr>
      <w:bookmarkStart w:id="223" w:name="_Toc13146"/>
      <w:bookmarkStart w:id="224" w:name="_Toc17319"/>
      <w:bookmarkStart w:id="225" w:name="_Toc22548"/>
      <w:bookmarkStart w:id="226" w:name="_Toc22128"/>
      <w:bookmarkStart w:id="227" w:name="_Toc6917"/>
      <w:bookmarkStart w:id="228" w:name="_Toc30845"/>
      <w:bookmarkStart w:id="229" w:name="_Toc31926"/>
      <w:bookmarkStart w:id="230" w:name="_Toc16634"/>
      <w:bookmarkStart w:id="231" w:name="_Toc14829"/>
      <w:r>
        <w:rPr>
          <w:rFonts w:hint="eastAsia" w:ascii="仿宋" w:hAnsi="仿宋" w:eastAsia="仿宋" w:cs="仿宋"/>
          <w:b/>
          <w:color w:val="auto"/>
          <w:sz w:val="24"/>
          <w:szCs w:val="24"/>
          <w:highlight w:val="none"/>
          <w:lang w:val="en-US" w:eastAsia="zh-CN"/>
        </w:rPr>
        <w:t>8</w:t>
      </w:r>
      <w:r>
        <w:rPr>
          <w:rFonts w:hint="eastAsia" w:ascii="仿宋" w:hAnsi="仿宋" w:eastAsia="仿宋" w:cs="仿宋"/>
          <w:b/>
          <w:color w:val="auto"/>
          <w:sz w:val="24"/>
          <w:szCs w:val="24"/>
          <w:highlight w:val="none"/>
        </w:rPr>
        <w:t>.3 具备履行合同所必需的设备和专业技术能力的证明材料</w:t>
      </w:r>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3"/>
      <w:bookmarkEnd w:id="224"/>
      <w:bookmarkEnd w:id="225"/>
      <w:bookmarkEnd w:id="226"/>
      <w:bookmarkEnd w:id="227"/>
      <w:bookmarkEnd w:id="228"/>
      <w:bookmarkEnd w:id="229"/>
      <w:bookmarkEnd w:id="230"/>
      <w:bookmarkEnd w:id="231"/>
    </w:p>
    <w:p w14:paraId="4E1418A4">
      <w:pPr>
        <w:spacing w:line="360" w:lineRule="auto"/>
        <w:jc w:val="center"/>
        <w:rPr>
          <w:rFonts w:hint="eastAsia" w:ascii="仿宋" w:hAnsi="仿宋" w:eastAsia="仿宋" w:cs="仿宋"/>
          <w:b/>
          <w:color w:val="auto"/>
          <w:sz w:val="24"/>
          <w:szCs w:val="24"/>
          <w:highlight w:val="none"/>
        </w:rPr>
      </w:pPr>
    </w:p>
    <w:p w14:paraId="51AEEEF0">
      <w:pPr>
        <w:spacing w:line="360" w:lineRule="auto"/>
        <w:jc w:val="center"/>
        <w:rPr>
          <w:rFonts w:hint="eastAsia" w:ascii="仿宋" w:hAnsi="仿宋" w:eastAsia="仿宋" w:cs="仿宋"/>
          <w:b/>
          <w:color w:val="auto"/>
          <w:sz w:val="24"/>
          <w:szCs w:val="24"/>
          <w:highlight w:val="none"/>
        </w:rPr>
      </w:pPr>
    </w:p>
    <w:p w14:paraId="526F3CD1">
      <w:pPr>
        <w:spacing w:line="360" w:lineRule="auto"/>
        <w:jc w:val="center"/>
        <w:rPr>
          <w:rFonts w:hint="eastAsia" w:ascii="仿宋" w:hAnsi="仿宋" w:eastAsia="仿宋" w:cs="仿宋"/>
          <w:b/>
          <w:color w:val="auto"/>
          <w:sz w:val="24"/>
          <w:szCs w:val="24"/>
          <w:highlight w:val="none"/>
        </w:rPr>
      </w:pPr>
    </w:p>
    <w:p w14:paraId="1D9089E7">
      <w:pPr>
        <w:spacing w:line="360" w:lineRule="auto"/>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具有履行合同所必需的设备和专业技术能力的承诺</w:t>
      </w:r>
      <w:bookmarkEnd w:id="222"/>
      <w:r>
        <w:rPr>
          <w:rFonts w:hint="eastAsia" w:ascii="仿宋" w:hAnsi="仿宋" w:eastAsia="仿宋" w:cs="仿宋"/>
          <w:b/>
          <w:color w:val="auto"/>
          <w:sz w:val="24"/>
          <w:szCs w:val="24"/>
          <w:highlight w:val="none"/>
        </w:rPr>
        <w:t>函</w:t>
      </w:r>
    </w:p>
    <w:p w14:paraId="1AFB4AF6">
      <w:pPr>
        <w:adjustRightInd w:val="0"/>
        <w:snapToGrid w:val="0"/>
        <w:spacing w:line="360" w:lineRule="auto"/>
        <w:ind w:firstLine="480" w:firstLineChars="200"/>
        <w:jc w:val="center"/>
        <w:rPr>
          <w:rFonts w:hint="eastAsia" w:ascii="仿宋" w:hAnsi="仿宋" w:eastAsia="仿宋" w:cs="仿宋"/>
          <w:color w:val="auto"/>
          <w:sz w:val="24"/>
          <w:szCs w:val="24"/>
          <w:highlight w:val="none"/>
        </w:rPr>
      </w:pPr>
    </w:p>
    <w:p w14:paraId="404E18E8">
      <w:pPr>
        <w:autoSpaceDE w:val="0"/>
        <w:autoSpaceDN w:val="0"/>
        <w:adjustRightInd w:val="0"/>
        <w:spacing w:line="360"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致：</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（采购人名称）</w:t>
      </w:r>
    </w:p>
    <w:p w14:paraId="13DB202C">
      <w:pPr>
        <w:autoSpaceDE w:val="0"/>
        <w:autoSpaceDN w:val="0"/>
        <w:adjustRightInd w:val="0"/>
        <w:spacing w:line="360" w:lineRule="auto"/>
        <w:ind w:firstLine="480" w:firstLineChars="200"/>
        <w:jc w:val="left"/>
        <w:rPr>
          <w:rFonts w:hint="eastAsia" w:ascii="仿宋" w:hAnsi="仿宋" w:eastAsia="仿宋" w:cs="仿宋"/>
          <w:color w:val="auto"/>
          <w:kern w:val="0"/>
          <w:sz w:val="24"/>
          <w:szCs w:val="24"/>
          <w:highlight w:val="none"/>
        </w:rPr>
      </w:pPr>
    </w:p>
    <w:p w14:paraId="4BB89F5F">
      <w:pPr>
        <w:autoSpaceDE w:val="0"/>
        <w:autoSpaceDN w:val="0"/>
        <w:adjustRightInd w:val="0"/>
        <w:spacing w:line="360"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我单位郑重承诺： </w:t>
      </w:r>
    </w:p>
    <w:p w14:paraId="2B14B290">
      <w:pPr>
        <w:autoSpaceDE w:val="0"/>
        <w:autoSpaceDN w:val="0"/>
        <w:adjustRightInd w:val="0"/>
        <w:spacing w:line="360"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我单位具备履行</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eastAsia="zh-CN"/>
        </w:rPr>
        <w:t>项目名称</w:t>
      </w:r>
      <w:r>
        <w:rPr>
          <w:rFonts w:hint="eastAsia" w:ascii="仿宋" w:hAnsi="仿宋" w:eastAsia="仿宋" w:cs="仿宋"/>
          <w:color w:val="auto"/>
          <w:kern w:val="0"/>
          <w:sz w:val="24"/>
          <w:szCs w:val="24"/>
          <w:highlight w:val="none"/>
        </w:rPr>
        <w:t>）合同所必需的设备和专业技术能力；</w:t>
      </w:r>
    </w:p>
    <w:p w14:paraId="0918A2CA">
      <w:pPr>
        <w:autoSpaceDE w:val="0"/>
        <w:autoSpaceDN w:val="0"/>
        <w:adjustRightInd w:val="0"/>
        <w:spacing w:line="360"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特此承诺。 </w:t>
      </w:r>
    </w:p>
    <w:p w14:paraId="607ABC8A">
      <w:pPr>
        <w:autoSpaceDE w:val="0"/>
        <w:autoSpaceDN w:val="0"/>
        <w:adjustRightInd w:val="0"/>
        <w:spacing w:line="360" w:lineRule="auto"/>
        <w:jc w:val="left"/>
        <w:rPr>
          <w:rFonts w:hint="eastAsia" w:ascii="仿宋" w:hAnsi="仿宋" w:eastAsia="仿宋" w:cs="仿宋"/>
          <w:color w:val="auto"/>
          <w:kern w:val="0"/>
          <w:sz w:val="24"/>
          <w:szCs w:val="24"/>
          <w:highlight w:val="none"/>
        </w:rPr>
      </w:pPr>
    </w:p>
    <w:p w14:paraId="395B094F">
      <w:pPr>
        <w:autoSpaceDE w:val="0"/>
        <w:autoSpaceDN w:val="0"/>
        <w:adjustRightInd w:val="0"/>
        <w:spacing w:line="360" w:lineRule="auto"/>
        <w:jc w:val="left"/>
        <w:rPr>
          <w:rFonts w:hint="eastAsia" w:ascii="仿宋" w:hAnsi="仿宋" w:eastAsia="仿宋" w:cs="仿宋"/>
          <w:color w:val="auto"/>
          <w:kern w:val="0"/>
          <w:sz w:val="24"/>
          <w:szCs w:val="24"/>
          <w:highlight w:val="none"/>
        </w:rPr>
      </w:pPr>
    </w:p>
    <w:p w14:paraId="1B703FFD">
      <w:pPr>
        <w:autoSpaceDE w:val="0"/>
        <w:autoSpaceDN w:val="0"/>
        <w:adjustRightInd w:val="0"/>
        <w:spacing w:line="360" w:lineRule="auto"/>
        <w:jc w:val="left"/>
        <w:rPr>
          <w:rFonts w:hint="eastAsia" w:ascii="仿宋" w:hAnsi="仿宋" w:eastAsia="仿宋" w:cs="仿宋"/>
          <w:color w:val="auto"/>
          <w:kern w:val="0"/>
          <w:sz w:val="24"/>
          <w:szCs w:val="24"/>
          <w:highlight w:val="none"/>
        </w:rPr>
      </w:pPr>
    </w:p>
    <w:p w14:paraId="249B7F58">
      <w:pPr>
        <w:autoSpaceDE w:val="0"/>
        <w:autoSpaceDN w:val="0"/>
        <w:adjustRightInd w:val="0"/>
        <w:spacing w:line="360" w:lineRule="auto"/>
        <w:jc w:val="left"/>
        <w:rPr>
          <w:rFonts w:hint="eastAsia" w:ascii="仿宋" w:hAnsi="仿宋" w:eastAsia="仿宋" w:cs="仿宋"/>
          <w:color w:val="auto"/>
          <w:kern w:val="0"/>
          <w:sz w:val="24"/>
          <w:szCs w:val="24"/>
          <w:highlight w:val="none"/>
        </w:rPr>
      </w:pPr>
    </w:p>
    <w:p w14:paraId="32DE6FDD">
      <w:pPr>
        <w:widowControl/>
        <w:shd w:val="clear" w:color="auto" w:fill="FFFFFF"/>
        <w:snapToGrid w:val="0"/>
        <w:spacing w:line="360"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投标人：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p>
    <w:p w14:paraId="4F6A2A2C">
      <w:pPr>
        <w:widowControl/>
        <w:shd w:val="clear" w:color="auto" w:fill="FFFFFF"/>
        <w:snapToGrid w:val="0"/>
        <w:spacing w:line="360" w:lineRule="auto"/>
        <w:jc w:val="left"/>
        <w:rPr>
          <w:rFonts w:hint="eastAsia" w:ascii="仿宋" w:hAnsi="仿宋" w:eastAsia="仿宋" w:cs="仿宋"/>
          <w:color w:val="auto"/>
          <w:kern w:val="0"/>
          <w:sz w:val="24"/>
          <w:szCs w:val="24"/>
          <w:highlight w:val="none"/>
        </w:rPr>
      </w:pPr>
    </w:p>
    <w:p w14:paraId="496CF567">
      <w:pPr>
        <w:widowControl/>
        <w:shd w:val="clear" w:color="auto" w:fill="FFFFFF"/>
        <w:snapToGrid w:val="0"/>
        <w:spacing w:line="360" w:lineRule="auto"/>
        <w:jc w:val="left"/>
        <w:rPr>
          <w:rFonts w:hint="eastAsia" w:ascii="仿宋" w:hAnsi="仿宋" w:eastAsia="仿宋" w:cs="仿宋"/>
          <w:color w:val="auto"/>
          <w:kern w:val="0"/>
          <w:sz w:val="24"/>
          <w:szCs w:val="24"/>
          <w:highlight w:val="none"/>
        </w:rPr>
      </w:pPr>
    </w:p>
    <w:p w14:paraId="4F914E2A">
      <w:pPr>
        <w:widowControl/>
        <w:shd w:val="clear" w:color="auto" w:fill="FFFFFF"/>
        <w:snapToGrid w:val="0"/>
        <w:spacing w:line="360" w:lineRule="auto"/>
        <w:ind w:firstLine="420"/>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                                               日期： 年  月  日</w:t>
      </w:r>
    </w:p>
    <w:p w14:paraId="5840E5F1">
      <w:pPr>
        <w:adjustRightInd w:val="0"/>
        <w:snapToGrid w:val="0"/>
        <w:spacing w:line="360" w:lineRule="auto"/>
        <w:rPr>
          <w:rFonts w:hint="eastAsia" w:ascii="仿宋" w:hAnsi="仿宋" w:eastAsia="仿宋" w:cs="仿宋"/>
          <w:bCs/>
          <w:color w:val="auto"/>
          <w:sz w:val="24"/>
          <w:szCs w:val="24"/>
          <w:highlight w:val="none"/>
        </w:rPr>
      </w:pPr>
    </w:p>
    <w:p w14:paraId="60AAE4A8">
      <w:pPr>
        <w:spacing w:line="360" w:lineRule="auto"/>
        <w:rPr>
          <w:rFonts w:hint="eastAsia" w:ascii="仿宋" w:hAnsi="仿宋" w:eastAsia="仿宋" w:cs="仿宋"/>
          <w:color w:val="auto"/>
          <w:sz w:val="24"/>
          <w:szCs w:val="24"/>
          <w:highlight w:val="none"/>
        </w:rPr>
      </w:pPr>
    </w:p>
    <w:p w14:paraId="3A97193D">
      <w:pPr>
        <w:spacing w:line="360" w:lineRule="auto"/>
        <w:rPr>
          <w:rFonts w:hint="eastAsia" w:ascii="仿宋" w:hAnsi="仿宋" w:eastAsia="仿宋" w:cs="仿宋"/>
          <w:color w:val="auto"/>
          <w:sz w:val="24"/>
          <w:szCs w:val="24"/>
          <w:highlight w:val="none"/>
        </w:rPr>
      </w:pPr>
    </w:p>
    <w:p w14:paraId="576FDC27">
      <w:pPr>
        <w:spacing w:line="360" w:lineRule="auto"/>
        <w:rPr>
          <w:rFonts w:hint="eastAsia" w:ascii="仿宋" w:hAnsi="仿宋" w:eastAsia="仿宋" w:cs="仿宋"/>
          <w:color w:val="auto"/>
          <w:sz w:val="24"/>
          <w:szCs w:val="24"/>
          <w:highlight w:val="none"/>
        </w:rPr>
      </w:pPr>
    </w:p>
    <w:p w14:paraId="3026A1F9">
      <w:pPr>
        <w:spacing w:line="360" w:lineRule="auto"/>
        <w:rPr>
          <w:rFonts w:hint="eastAsia" w:ascii="仿宋" w:hAnsi="仿宋" w:eastAsia="仿宋" w:cs="仿宋"/>
          <w:color w:val="auto"/>
          <w:sz w:val="24"/>
          <w:szCs w:val="24"/>
          <w:highlight w:val="none"/>
        </w:rPr>
      </w:pPr>
    </w:p>
    <w:p w14:paraId="65DAD9FE">
      <w:pPr>
        <w:spacing w:line="360" w:lineRule="auto"/>
        <w:rPr>
          <w:rFonts w:hint="eastAsia" w:ascii="仿宋" w:hAnsi="仿宋" w:eastAsia="仿宋" w:cs="仿宋"/>
          <w:color w:val="auto"/>
          <w:sz w:val="24"/>
          <w:szCs w:val="24"/>
          <w:highlight w:val="none"/>
        </w:rPr>
      </w:pPr>
    </w:p>
    <w:p w14:paraId="45B10340">
      <w:pPr>
        <w:spacing w:line="360" w:lineRule="auto"/>
        <w:rPr>
          <w:rFonts w:hint="eastAsia" w:ascii="仿宋" w:hAnsi="仿宋" w:eastAsia="仿宋" w:cs="仿宋"/>
          <w:color w:val="auto"/>
          <w:sz w:val="24"/>
          <w:szCs w:val="24"/>
          <w:highlight w:val="none"/>
        </w:rPr>
      </w:pPr>
    </w:p>
    <w:p w14:paraId="0A335200">
      <w:pPr>
        <w:tabs>
          <w:tab w:val="center" w:pos="4832"/>
          <w:tab w:val="left" w:pos="7140"/>
        </w:tabs>
        <w:spacing w:line="360" w:lineRule="auto"/>
        <w:jc w:val="center"/>
        <w:outlineLvl w:val="1"/>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br w:type="page"/>
      </w:r>
      <w:bookmarkStart w:id="232" w:name="_Toc154"/>
      <w:bookmarkStart w:id="233" w:name="_Toc18553"/>
      <w:bookmarkStart w:id="234" w:name="_Toc9901"/>
      <w:bookmarkStart w:id="235" w:name="_Toc9795"/>
      <w:bookmarkStart w:id="236" w:name="_Toc12742"/>
      <w:bookmarkStart w:id="237" w:name="_Toc113901852"/>
      <w:bookmarkStart w:id="238" w:name="_Toc11392"/>
      <w:bookmarkStart w:id="239" w:name="_Toc12824"/>
      <w:bookmarkStart w:id="240" w:name="_Toc12060"/>
      <w:bookmarkStart w:id="241" w:name="_Toc19260"/>
      <w:bookmarkStart w:id="242" w:name="_Toc17656"/>
      <w:bookmarkStart w:id="243" w:name="_Toc128476881"/>
      <w:bookmarkStart w:id="244" w:name="_Toc9960"/>
      <w:bookmarkStart w:id="245" w:name="_Toc141050518"/>
      <w:bookmarkStart w:id="246" w:name="_Toc24529"/>
      <w:bookmarkStart w:id="247" w:name="_Toc31613"/>
      <w:bookmarkStart w:id="248" w:name="_Toc27933"/>
      <w:bookmarkStart w:id="249" w:name="_Toc16035"/>
      <w:bookmarkStart w:id="250" w:name="_Toc18019"/>
      <w:bookmarkStart w:id="251" w:name="_Toc130252625"/>
      <w:bookmarkStart w:id="252" w:name="_Toc1350"/>
      <w:bookmarkStart w:id="253" w:name="_Toc29127"/>
      <w:bookmarkStart w:id="254" w:name="_Toc1561"/>
      <w:bookmarkStart w:id="255" w:name="_Toc26981"/>
      <w:bookmarkStart w:id="256" w:name="_Toc14597"/>
      <w:bookmarkStart w:id="257" w:name="_Toc5472"/>
      <w:bookmarkStart w:id="258" w:name="_Toc111556490"/>
      <w:r>
        <w:rPr>
          <w:rFonts w:hint="eastAsia" w:ascii="仿宋" w:hAnsi="仿宋" w:eastAsia="仿宋" w:cs="仿宋"/>
          <w:b/>
          <w:color w:val="auto"/>
          <w:sz w:val="24"/>
          <w:szCs w:val="24"/>
          <w:highlight w:val="none"/>
          <w:lang w:val="en-US" w:eastAsia="zh-CN"/>
        </w:rPr>
        <w:t>8</w:t>
      </w:r>
      <w:r>
        <w:rPr>
          <w:rFonts w:hint="eastAsia" w:ascii="仿宋" w:hAnsi="仿宋" w:eastAsia="仿宋" w:cs="仿宋"/>
          <w:b/>
          <w:color w:val="auto"/>
          <w:sz w:val="24"/>
          <w:szCs w:val="24"/>
          <w:highlight w:val="none"/>
        </w:rPr>
        <w:t>.4 参加政府采购活动前3年内在经营活动中没有重大违法记录的书面声明</w:t>
      </w:r>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p>
    <w:bookmarkEnd w:id="258"/>
    <w:p w14:paraId="7B26FBFE">
      <w:pPr>
        <w:widowControl/>
        <w:adjustRightInd w:val="0"/>
        <w:snapToGrid w:val="0"/>
        <w:spacing w:line="360" w:lineRule="auto"/>
        <w:rPr>
          <w:rFonts w:hint="eastAsia" w:ascii="仿宋" w:hAnsi="仿宋" w:eastAsia="仿宋" w:cs="仿宋"/>
          <w:color w:val="auto"/>
          <w:sz w:val="24"/>
          <w:szCs w:val="24"/>
          <w:highlight w:val="none"/>
        </w:rPr>
      </w:pPr>
    </w:p>
    <w:p w14:paraId="65630E1C">
      <w:pPr>
        <w:widowControl/>
        <w:adjustRightInd w:val="0"/>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参加政府采购活动前3年内在经营活动中没有重大违法记录的书面声明</w:t>
      </w:r>
    </w:p>
    <w:p w14:paraId="0B39696B">
      <w:pPr>
        <w:autoSpaceDE w:val="0"/>
        <w:autoSpaceDN w:val="0"/>
        <w:adjustRightInd w:val="0"/>
        <w:spacing w:line="360" w:lineRule="auto"/>
        <w:ind w:firstLine="480" w:firstLineChars="200"/>
        <w:jc w:val="left"/>
        <w:rPr>
          <w:rFonts w:hint="eastAsia" w:ascii="仿宋" w:hAnsi="仿宋" w:eastAsia="仿宋" w:cs="仿宋"/>
          <w:color w:val="auto"/>
          <w:kern w:val="0"/>
          <w:sz w:val="24"/>
          <w:szCs w:val="24"/>
          <w:highlight w:val="none"/>
        </w:rPr>
      </w:pPr>
    </w:p>
    <w:p w14:paraId="4E6D1B5E">
      <w:pPr>
        <w:autoSpaceDE w:val="0"/>
        <w:autoSpaceDN w:val="0"/>
        <w:adjustRightInd w:val="0"/>
        <w:spacing w:line="360" w:lineRule="auto"/>
        <w:ind w:firstLine="480" w:firstLineChars="200"/>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致：</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（采购人名称）</w:t>
      </w:r>
    </w:p>
    <w:p w14:paraId="7FE09689">
      <w:pPr>
        <w:adjustRightInd w:val="0"/>
        <w:snapToGrid w:val="0"/>
        <w:spacing w:line="360" w:lineRule="auto"/>
        <w:ind w:firstLine="480" w:firstLineChars="200"/>
        <w:rPr>
          <w:rFonts w:hint="eastAsia" w:ascii="仿宋" w:hAnsi="仿宋" w:eastAsia="仿宋" w:cs="仿宋"/>
          <w:color w:val="auto"/>
          <w:sz w:val="24"/>
          <w:szCs w:val="24"/>
          <w:highlight w:val="none"/>
        </w:rPr>
      </w:pPr>
    </w:p>
    <w:p w14:paraId="54DA2034">
      <w:pPr>
        <w:adjustRightInd w:val="0"/>
        <w:snapToGrid w:val="0"/>
        <w:spacing w:line="360" w:lineRule="auto"/>
        <w:ind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我单位在参与</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kern w:val="0"/>
          <w:sz w:val="24"/>
          <w:szCs w:val="24"/>
          <w:highlight w:val="none"/>
          <w:lang w:eastAsia="zh-CN"/>
        </w:rPr>
        <w:t>项目名称</w:t>
      </w:r>
      <w:r>
        <w:rPr>
          <w:rFonts w:hint="eastAsia" w:ascii="仿宋" w:hAnsi="仿宋" w:eastAsia="仿宋" w:cs="仿宋"/>
          <w:color w:val="auto"/>
          <w:sz w:val="24"/>
          <w:szCs w:val="24"/>
          <w:highlight w:val="none"/>
        </w:rPr>
        <w:t>）</w:t>
      </w:r>
      <w:r>
        <w:rPr>
          <w:rFonts w:hint="eastAsia" w:ascii="仿宋" w:hAnsi="仿宋" w:eastAsia="仿宋" w:cs="仿宋"/>
          <w:color w:val="auto"/>
          <w:kern w:val="0"/>
          <w:sz w:val="24"/>
          <w:szCs w:val="24"/>
          <w:highlight w:val="none"/>
        </w:rPr>
        <w:t>前三年内（以</w:t>
      </w:r>
      <w:r>
        <w:rPr>
          <w:rFonts w:hint="eastAsia" w:ascii="仿宋" w:hAnsi="仿宋" w:eastAsia="仿宋" w:cs="仿宋"/>
          <w:color w:val="auto"/>
          <w:sz w:val="24"/>
          <w:szCs w:val="24"/>
          <w:highlight w:val="none"/>
        </w:rPr>
        <w:t>投标文件递交截止之日为期限</w:t>
      </w:r>
      <w:r>
        <w:rPr>
          <w:rFonts w:hint="eastAsia" w:ascii="仿宋" w:hAnsi="仿宋" w:eastAsia="仿宋" w:cs="仿宋"/>
          <w:color w:val="auto"/>
          <w:kern w:val="0"/>
          <w:sz w:val="24"/>
          <w:szCs w:val="24"/>
          <w:highlight w:val="none"/>
        </w:rPr>
        <w:t>）在经营活动中没有重大违法记录。</w:t>
      </w:r>
    </w:p>
    <w:p w14:paraId="6A8914B7">
      <w:pPr>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若贵方在本项目采购过程中发现我方参加政府采购活动前三年内有重大违法记录；</w:t>
      </w:r>
      <w:r>
        <w:rPr>
          <w:rFonts w:hint="eastAsia" w:ascii="仿宋" w:hAnsi="仿宋" w:eastAsia="仿宋" w:cs="仿宋"/>
          <w:color w:val="auto"/>
          <w:kern w:val="0"/>
          <w:sz w:val="24"/>
          <w:szCs w:val="24"/>
          <w:highlight w:val="none"/>
        </w:rPr>
        <w:t>我单位</w:t>
      </w:r>
      <w:r>
        <w:rPr>
          <w:rFonts w:hint="eastAsia" w:ascii="仿宋" w:hAnsi="仿宋" w:eastAsia="仿宋" w:cs="仿宋"/>
          <w:color w:val="auto"/>
          <w:sz w:val="24"/>
          <w:szCs w:val="24"/>
          <w:highlight w:val="none"/>
        </w:rPr>
        <w:t>将无条件退出本项目的投标，并承担因此引起的一切后果。我方对此声明负全部法律责任。</w:t>
      </w:r>
    </w:p>
    <w:p w14:paraId="00C6CD1A">
      <w:pPr>
        <w:adjustRightInd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特此声明！</w:t>
      </w:r>
    </w:p>
    <w:p w14:paraId="1C00DEBF">
      <w:pPr>
        <w:adjustRightInd w:val="0"/>
        <w:snapToGrid w:val="0"/>
        <w:spacing w:line="360" w:lineRule="auto"/>
        <w:ind w:firstLine="480" w:firstLineChars="200"/>
        <w:rPr>
          <w:rFonts w:hint="eastAsia" w:ascii="仿宋" w:hAnsi="仿宋" w:eastAsia="仿宋" w:cs="仿宋"/>
          <w:color w:val="auto"/>
          <w:sz w:val="24"/>
          <w:szCs w:val="24"/>
          <w:highlight w:val="none"/>
        </w:rPr>
      </w:pPr>
    </w:p>
    <w:p w14:paraId="261F0BE6">
      <w:pPr>
        <w:adjustRightInd w:val="0"/>
        <w:snapToGrid w:val="0"/>
        <w:spacing w:line="360" w:lineRule="auto"/>
        <w:ind w:firstLine="480" w:firstLineChars="200"/>
        <w:rPr>
          <w:rFonts w:hint="eastAsia" w:ascii="仿宋" w:hAnsi="仿宋" w:eastAsia="仿宋" w:cs="仿宋"/>
          <w:color w:val="auto"/>
          <w:sz w:val="24"/>
          <w:szCs w:val="24"/>
          <w:highlight w:val="none"/>
        </w:rPr>
      </w:pPr>
    </w:p>
    <w:p w14:paraId="423C376B">
      <w:pPr>
        <w:adjustRightInd w:val="0"/>
        <w:snapToGrid w:val="0"/>
        <w:spacing w:line="360" w:lineRule="auto"/>
        <w:ind w:firstLine="420" w:firstLineChars="200"/>
        <w:rPr>
          <w:rFonts w:hint="eastAsia" w:ascii="仿宋" w:hAnsi="仿宋" w:eastAsia="仿宋" w:cs="仿宋"/>
          <w:color w:val="auto"/>
          <w:szCs w:val="24"/>
          <w:highlight w:val="none"/>
        </w:rPr>
      </w:pPr>
      <w:r>
        <w:rPr>
          <w:rFonts w:hint="eastAsia" w:ascii="仿宋" w:hAnsi="仿宋" w:eastAsia="仿宋" w:cs="仿宋"/>
          <w:color w:val="auto"/>
          <w:szCs w:val="24"/>
          <w:highlight w:val="none"/>
        </w:rPr>
        <w:t>备注：</w:t>
      </w:r>
    </w:p>
    <w:p w14:paraId="5B1CC9CC">
      <w:pPr>
        <w:adjustRightInd w:val="0"/>
        <w:snapToGrid w:val="0"/>
        <w:spacing w:line="360" w:lineRule="auto"/>
        <w:ind w:firstLine="420" w:firstLineChars="200"/>
        <w:rPr>
          <w:rFonts w:hint="eastAsia" w:ascii="仿宋" w:hAnsi="仿宋" w:eastAsia="仿宋" w:cs="仿宋"/>
          <w:color w:val="auto"/>
          <w:sz w:val="24"/>
          <w:szCs w:val="24"/>
          <w:highlight w:val="none"/>
        </w:rPr>
      </w:pPr>
      <w:r>
        <w:rPr>
          <w:rFonts w:hint="eastAsia" w:ascii="仿宋" w:hAnsi="仿宋" w:eastAsia="仿宋" w:cs="仿宋"/>
          <w:color w:val="auto"/>
          <w:szCs w:val="24"/>
          <w:highlight w:val="none"/>
        </w:rPr>
        <w:t>若投标人在投标文件递交截止之日成立时间不足三年，以自成立以来的时间计取。</w:t>
      </w:r>
    </w:p>
    <w:p w14:paraId="4B3DADCD">
      <w:pPr>
        <w:adjustRightInd w:val="0"/>
        <w:snapToGrid w:val="0"/>
        <w:spacing w:line="360" w:lineRule="auto"/>
        <w:ind w:firstLine="480" w:firstLineChars="200"/>
        <w:rPr>
          <w:rFonts w:hint="eastAsia" w:ascii="仿宋" w:hAnsi="仿宋" w:eastAsia="仿宋" w:cs="仿宋"/>
          <w:color w:val="auto"/>
          <w:kern w:val="0"/>
          <w:sz w:val="24"/>
          <w:szCs w:val="24"/>
          <w:highlight w:val="none"/>
        </w:rPr>
      </w:pPr>
    </w:p>
    <w:p w14:paraId="0D0C24EC">
      <w:pPr>
        <w:adjustRightInd w:val="0"/>
        <w:snapToGrid w:val="0"/>
        <w:spacing w:line="360" w:lineRule="auto"/>
        <w:ind w:firstLine="3112" w:firstLineChars="1297"/>
        <w:rPr>
          <w:rFonts w:hint="eastAsia" w:ascii="仿宋" w:hAnsi="仿宋" w:eastAsia="仿宋" w:cs="仿宋"/>
          <w:color w:val="auto"/>
          <w:sz w:val="24"/>
          <w:szCs w:val="24"/>
          <w:highlight w:val="none"/>
        </w:rPr>
      </w:pPr>
    </w:p>
    <w:p w14:paraId="261B3E9D">
      <w:pPr>
        <w:widowControl/>
        <w:shd w:val="clear" w:color="auto" w:fill="FFFFFF"/>
        <w:snapToGrid w:val="0"/>
        <w:spacing w:line="360"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投标人：</w:t>
      </w:r>
      <w:r>
        <w:rPr>
          <w:rFonts w:hint="eastAsia" w:ascii="仿宋" w:hAnsi="仿宋" w:eastAsia="仿宋" w:cs="仿宋"/>
          <w:color w:val="auto"/>
          <w:kern w:val="0"/>
          <w:sz w:val="24"/>
          <w:szCs w:val="24"/>
          <w:highlight w:val="none"/>
          <w:u w:val="single"/>
        </w:rPr>
        <w:t xml:space="preserve">               </w:t>
      </w:r>
      <w:r>
        <w:rPr>
          <w:rFonts w:hint="eastAsia" w:ascii="仿宋" w:hAnsi="仿宋" w:eastAsia="仿宋" w:cs="仿宋"/>
          <w:color w:val="auto"/>
          <w:kern w:val="0"/>
          <w:sz w:val="24"/>
          <w:szCs w:val="24"/>
          <w:highlight w:val="none"/>
        </w:rPr>
        <w:t>（盖章）</w:t>
      </w:r>
    </w:p>
    <w:p w14:paraId="53253738">
      <w:pPr>
        <w:widowControl/>
        <w:shd w:val="clear" w:color="auto" w:fill="FFFFFF"/>
        <w:snapToGrid w:val="0"/>
        <w:spacing w:line="360" w:lineRule="auto"/>
        <w:ind w:firstLine="420"/>
        <w:jc w:val="center"/>
        <w:rPr>
          <w:rFonts w:hint="eastAsia" w:ascii="仿宋" w:hAnsi="仿宋" w:eastAsia="仿宋" w:cs="仿宋"/>
          <w:color w:val="auto"/>
          <w:kern w:val="0"/>
          <w:sz w:val="24"/>
          <w:szCs w:val="24"/>
          <w:highlight w:val="none"/>
        </w:rPr>
      </w:pPr>
    </w:p>
    <w:p w14:paraId="12067059">
      <w:pPr>
        <w:widowControl/>
        <w:shd w:val="clear" w:color="auto" w:fill="FFFFFF"/>
        <w:snapToGrid w:val="0"/>
        <w:spacing w:line="360" w:lineRule="auto"/>
        <w:ind w:firstLine="420"/>
        <w:jc w:val="center"/>
        <w:rPr>
          <w:rFonts w:hint="eastAsia" w:ascii="仿宋" w:hAnsi="仿宋" w:eastAsia="仿宋" w:cs="仿宋"/>
          <w:color w:val="auto"/>
          <w:kern w:val="0"/>
          <w:sz w:val="24"/>
          <w:szCs w:val="24"/>
          <w:highlight w:val="none"/>
        </w:rPr>
      </w:pPr>
    </w:p>
    <w:p w14:paraId="4D0F9561">
      <w:pPr>
        <w:widowControl/>
        <w:shd w:val="clear" w:color="auto" w:fill="FFFFFF"/>
        <w:snapToGrid w:val="0"/>
        <w:spacing w:line="360" w:lineRule="auto"/>
        <w:ind w:firstLine="420"/>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xml:space="preserve">                                               日期： 年  月  日</w:t>
      </w:r>
    </w:p>
    <w:p w14:paraId="2F6AD998">
      <w:pPr>
        <w:widowControl/>
        <w:shd w:val="clear" w:color="auto" w:fill="FFFFFF"/>
        <w:snapToGrid w:val="0"/>
        <w:spacing w:line="360" w:lineRule="auto"/>
        <w:ind w:firstLine="420"/>
        <w:rPr>
          <w:rFonts w:hint="eastAsia" w:ascii="仿宋" w:hAnsi="仿宋" w:eastAsia="仿宋" w:cs="仿宋"/>
          <w:color w:val="auto"/>
          <w:kern w:val="0"/>
          <w:sz w:val="24"/>
          <w:szCs w:val="24"/>
          <w:highlight w:val="none"/>
        </w:rPr>
      </w:pPr>
    </w:p>
    <w:p w14:paraId="53863443">
      <w:pPr>
        <w:tabs>
          <w:tab w:val="center" w:pos="4832"/>
          <w:tab w:val="left" w:pos="7140"/>
        </w:tabs>
        <w:spacing w:line="360" w:lineRule="auto"/>
        <w:jc w:val="center"/>
        <w:outlineLvl w:val="1"/>
        <w:rPr>
          <w:rFonts w:hint="eastAsia" w:ascii="仿宋" w:hAnsi="仿宋" w:eastAsia="仿宋" w:cs="仿宋"/>
          <w:b/>
          <w:color w:val="auto"/>
          <w:sz w:val="24"/>
          <w:szCs w:val="24"/>
          <w:highlight w:val="none"/>
        </w:rPr>
      </w:pPr>
      <w:r>
        <w:rPr>
          <w:rFonts w:hint="eastAsia" w:ascii="仿宋" w:hAnsi="仿宋" w:eastAsia="仿宋" w:cs="仿宋"/>
          <w:color w:val="auto"/>
          <w:kern w:val="0"/>
          <w:sz w:val="24"/>
          <w:szCs w:val="24"/>
          <w:highlight w:val="none"/>
        </w:rPr>
        <w:br w:type="page"/>
      </w:r>
      <w:bookmarkStart w:id="259" w:name="_Toc8192"/>
      <w:bookmarkStart w:id="260" w:name="_Toc313"/>
      <w:bookmarkStart w:id="261" w:name="_Toc30930"/>
      <w:bookmarkStart w:id="262" w:name="_Toc141050519"/>
      <w:bookmarkStart w:id="263" w:name="_Toc113901853"/>
      <w:bookmarkStart w:id="264" w:name="_Toc26082"/>
      <w:bookmarkStart w:id="265" w:name="_Toc24660"/>
      <w:bookmarkStart w:id="266" w:name="_Toc8673"/>
      <w:bookmarkStart w:id="267" w:name="_Toc12590"/>
      <w:bookmarkStart w:id="268" w:name="_Toc14380"/>
      <w:bookmarkStart w:id="269" w:name="_Toc9134"/>
      <w:bookmarkStart w:id="270" w:name="_Toc13030"/>
      <w:bookmarkStart w:id="271" w:name="_Toc9385"/>
      <w:bookmarkStart w:id="272" w:name="_Toc23676"/>
      <w:bookmarkStart w:id="273" w:name="_Toc17488"/>
      <w:bookmarkStart w:id="274" w:name="_Toc31144"/>
      <w:bookmarkStart w:id="275" w:name="_Toc4675"/>
      <w:bookmarkStart w:id="276" w:name="_Toc11552"/>
      <w:bookmarkStart w:id="277" w:name="_Toc130252626"/>
      <w:bookmarkStart w:id="278" w:name="_Toc30447"/>
      <w:bookmarkStart w:id="279" w:name="_Toc28411"/>
      <w:bookmarkStart w:id="280" w:name="_Toc128476882"/>
      <w:bookmarkStart w:id="281" w:name="_Toc25108"/>
      <w:bookmarkStart w:id="282" w:name="_Toc6424"/>
      <w:bookmarkStart w:id="283" w:name="_Toc3183"/>
      <w:bookmarkStart w:id="284" w:name="_Toc13701"/>
      <w:r>
        <w:rPr>
          <w:rFonts w:hint="eastAsia" w:ascii="仿宋" w:hAnsi="仿宋" w:eastAsia="仿宋" w:cs="仿宋"/>
          <w:b/>
          <w:color w:val="auto"/>
          <w:sz w:val="24"/>
          <w:szCs w:val="24"/>
          <w:highlight w:val="none"/>
          <w:lang w:val="en-US" w:eastAsia="zh-CN"/>
        </w:rPr>
        <w:t>8</w:t>
      </w:r>
      <w:r>
        <w:rPr>
          <w:rFonts w:hint="eastAsia" w:ascii="仿宋" w:hAnsi="仿宋" w:eastAsia="仿宋" w:cs="仿宋"/>
          <w:b/>
          <w:color w:val="auto"/>
          <w:sz w:val="24"/>
          <w:szCs w:val="24"/>
          <w:highlight w:val="none"/>
        </w:rPr>
        <w:t>.5 具备法律、行政法规规定的其他条件的证明材料</w:t>
      </w:r>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p>
    <w:p w14:paraId="3FD0712E">
      <w:pPr>
        <w:widowControl/>
        <w:adjustRightInd w:val="0"/>
        <w:snapToGrid w:val="0"/>
        <w:spacing w:line="360" w:lineRule="auto"/>
        <w:rPr>
          <w:rFonts w:hint="eastAsia" w:ascii="仿宋" w:hAnsi="仿宋" w:eastAsia="仿宋" w:cs="仿宋"/>
          <w:color w:val="auto"/>
          <w:sz w:val="24"/>
          <w:szCs w:val="24"/>
          <w:highlight w:val="none"/>
        </w:rPr>
      </w:pPr>
    </w:p>
    <w:p w14:paraId="1EB0026C">
      <w:pPr>
        <w:widowControl/>
        <w:adjustRightInd w:val="0"/>
        <w:snapToGrid w:val="0"/>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一、国家有关主管部门的行政许可（如有时）。</w:t>
      </w:r>
    </w:p>
    <w:p w14:paraId="1D623404">
      <w:pPr>
        <w:widowControl/>
        <w:adjustRightInd w:val="0"/>
        <w:snapToGrid w:val="0"/>
        <w:spacing w:line="360" w:lineRule="auto"/>
        <w:ind w:firstLine="480" w:firstLineChars="200"/>
        <w:rPr>
          <w:rFonts w:hint="eastAsia" w:ascii="仿宋" w:hAnsi="仿宋" w:eastAsia="仿宋" w:cs="仿宋"/>
          <w:color w:val="auto"/>
          <w:sz w:val="24"/>
          <w:szCs w:val="24"/>
          <w:highlight w:val="none"/>
          <w:shd w:val="clear" w:color="auto" w:fill="FFFFFF" w:themeFill="background1"/>
        </w:rPr>
      </w:pPr>
      <w:r>
        <w:rPr>
          <w:rFonts w:hint="eastAsia" w:ascii="仿宋" w:hAnsi="仿宋" w:eastAsia="仿宋" w:cs="仿宋"/>
          <w:color w:val="auto"/>
          <w:sz w:val="24"/>
          <w:szCs w:val="24"/>
          <w:highlight w:val="none"/>
          <w:shd w:val="clear" w:color="auto" w:fill="FFFFFF" w:themeFill="background1"/>
        </w:rPr>
        <w:t>二、中小企业声明函/残疾人福利性单位声明函/监狱企业证明文件（如有时）。</w:t>
      </w:r>
    </w:p>
    <w:p w14:paraId="0BC65008">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14:paraId="6886E2C4">
      <w:pPr>
        <w:widowControl/>
        <w:spacing w:line="360" w:lineRule="auto"/>
        <w:jc w:val="left"/>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 xml:space="preserve">附件一、                  </w:t>
      </w:r>
    </w:p>
    <w:p w14:paraId="129F010E">
      <w:pPr>
        <w:spacing w:line="588" w:lineRule="exact"/>
        <w:jc w:val="center"/>
        <w:rPr>
          <w:rFonts w:hint="eastAsia" w:ascii="仿宋" w:hAnsi="仿宋" w:eastAsia="仿宋" w:cs="仿宋"/>
          <w:b/>
          <w:color w:val="auto"/>
          <w:spacing w:val="6"/>
          <w:sz w:val="24"/>
          <w:szCs w:val="24"/>
          <w:highlight w:val="none"/>
        </w:rPr>
      </w:pPr>
    </w:p>
    <w:p w14:paraId="4083A5A4">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b/>
          <w:color w:val="auto"/>
          <w:spacing w:val="6"/>
          <w:sz w:val="24"/>
          <w:szCs w:val="24"/>
          <w:highlight w:val="none"/>
          <w:shd w:val="clear" w:color="auto" w:fill="FFFFFF" w:themeFill="background1"/>
        </w:rPr>
      </w:pPr>
    </w:p>
    <w:p w14:paraId="4A2D8125">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b/>
          <w:color w:val="auto"/>
          <w:spacing w:val="6"/>
          <w:sz w:val="24"/>
          <w:szCs w:val="24"/>
          <w:highlight w:val="none"/>
          <w:shd w:val="clear" w:color="auto" w:fill="FFFFFF" w:themeFill="background1"/>
        </w:rPr>
      </w:pPr>
      <w:r>
        <w:rPr>
          <w:rFonts w:hint="eastAsia" w:ascii="仿宋" w:hAnsi="仿宋" w:eastAsia="仿宋" w:cs="仿宋"/>
          <w:b/>
          <w:color w:val="auto"/>
          <w:spacing w:val="6"/>
          <w:sz w:val="24"/>
          <w:szCs w:val="24"/>
          <w:highlight w:val="none"/>
          <w:shd w:val="clear" w:color="auto" w:fill="FFFFFF" w:themeFill="background1"/>
        </w:rPr>
        <w:t>中小企业声明函（工程、服务）</w:t>
      </w:r>
    </w:p>
    <w:p w14:paraId="04FF7632">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b/>
          <w:color w:val="auto"/>
          <w:spacing w:val="6"/>
          <w:sz w:val="24"/>
          <w:szCs w:val="24"/>
          <w:highlight w:val="none"/>
          <w:shd w:val="clear" w:color="auto" w:fill="FFFFFF" w:themeFill="background1"/>
        </w:rPr>
      </w:pPr>
    </w:p>
    <w:p w14:paraId="1B827860">
      <w:pPr>
        <w:keepLines w:val="0"/>
        <w:pageBreakBefore w:val="0"/>
        <w:kinsoku/>
        <w:overflowPunct/>
        <w:topLinePunct w:val="0"/>
        <w:bidi w:val="0"/>
        <w:spacing w:beforeAutospacing="0" w:afterAutospacing="0" w:line="360" w:lineRule="auto"/>
        <w:ind w:firstLine="480" w:firstLineChars="200"/>
        <w:textAlignment w:val="auto"/>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本公司（联合体）郑重声明，根据《政府采购促进中小企业发展管理办法》（财库﹝2020﹞46 号）的规定，本公司</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u w:val="single"/>
          <w:shd w:val="clear" w:color="auto" w:fill="FFFFFF" w:themeFill="background1"/>
        </w:rPr>
        <w:t>（联合体）</w:t>
      </w:r>
      <w:r>
        <w:rPr>
          <w:rFonts w:hint="eastAsia" w:ascii="仿宋" w:hAnsi="仿宋" w:eastAsia="仿宋" w:cs="仿宋"/>
          <w:color w:val="auto"/>
          <w:kern w:val="0"/>
          <w:sz w:val="24"/>
          <w:szCs w:val="24"/>
          <w:highlight w:val="none"/>
          <w:shd w:val="clear" w:color="auto" w:fill="FFFFFF" w:themeFill="background1"/>
        </w:rPr>
        <w:t>参加</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u w:val="single"/>
          <w:shd w:val="clear" w:color="auto" w:fill="FFFFFF" w:themeFill="background1"/>
        </w:rPr>
        <w:t>（单位名称）</w:t>
      </w:r>
      <w:r>
        <w:rPr>
          <w:rFonts w:hint="eastAsia" w:ascii="仿宋" w:hAnsi="仿宋" w:eastAsia="仿宋" w:cs="仿宋"/>
          <w:color w:val="auto"/>
          <w:kern w:val="0"/>
          <w:sz w:val="24"/>
          <w:szCs w:val="24"/>
          <w:highlight w:val="none"/>
          <w:shd w:val="clear" w:color="auto" w:fill="FFFFFF" w:themeFill="background1"/>
        </w:rPr>
        <w:t>的</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u w:val="single"/>
          <w:shd w:val="clear" w:color="auto" w:fill="FFFFFF" w:themeFill="background1"/>
        </w:rPr>
        <w:t>（项目名称）</w:t>
      </w:r>
      <w:r>
        <w:rPr>
          <w:rFonts w:hint="eastAsia" w:ascii="仿宋" w:hAnsi="仿宋" w:eastAsia="仿宋" w:cs="仿宋"/>
          <w:color w:val="auto"/>
          <w:kern w:val="0"/>
          <w:sz w:val="24"/>
          <w:szCs w:val="24"/>
          <w:highlight w:val="none"/>
          <w:shd w:val="clear" w:color="auto" w:fill="FFFFFF" w:themeFill="background1"/>
        </w:rPr>
        <w:t>采购活动，工程的施工单位全部为符合政策要求的中小企业（或者：服务全部由符合政策要求的中小企业承接）。相关企业（含联合体中的中小企业、签订分包意向协议的中小企业）的具体情况如下：</w:t>
      </w:r>
    </w:p>
    <w:p w14:paraId="2931FAB9">
      <w:pPr>
        <w:keepLines w:val="0"/>
        <w:pageBreakBefore w:val="0"/>
        <w:kinsoku/>
        <w:overflowPunct/>
        <w:topLinePunct w:val="0"/>
        <w:bidi w:val="0"/>
        <w:spacing w:beforeAutospacing="0" w:afterAutospacing="0" w:line="360" w:lineRule="auto"/>
        <w:ind w:firstLine="480" w:firstLineChars="200"/>
        <w:textAlignment w:val="auto"/>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1. </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u w:val="single"/>
          <w:shd w:val="clear" w:color="auto" w:fill="FFFFFF" w:themeFill="background1"/>
        </w:rPr>
        <w:t>（标的名称）</w:t>
      </w:r>
      <w:r>
        <w:rPr>
          <w:rFonts w:hint="eastAsia" w:ascii="仿宋" w:hAnsi="仿宋" w:eastAsia="仿宋" w:cs="仿宋"/>
          <w:color w:val="auto"/>
          <w:kern w:val="0"/>
          <w:sz w:val="24"/>
          <w:szCs w:val="24"/>
          <w:highlight w:val="none"/>
          <w:shd w:val="clear" w:color="auto" w:fill="FFFFFF" w:themeFill="background1"/>
        </w:rPr>
        <w:t xml:space="preserve"> ，属于</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u w:val="single"/>
          <w:shd w:val="clear" w:color="auto" w:fill="FFFFFF" w:themeFill="background1"/>
        </w:rPr>
        <w:t>（</w:t>
      </w:r>
      <w:r>
        <w:rPr>
          <w:rFonts w:hint="eastAsia" w:ascii="仿宋" w:hAnsi="仿宋" w:eastAsia="仿宋" w:cs="仿宋"/>
          <w:color w:val="auto"/>
          <w:kern w:val="0"/>
          <w:sz w:val="24"/>
          <w:szCs w:val="24"/>
          <w:highlight w:val="none"/>
          <w:u w:val="single"/>
          <w:shd w:val="clear" w:color="auto" w:fill="FFFFFF" w:themeFill="background1"/>
          <w:lang w:eastAsia="zh-CN"/>
        </w:rPr>
        <w:t>招标文件</w:t>
      </w:r>
      <w:r>
        <w:rPr>
          <w:rFonts w:hint="eastAsia" w:ascii="仿宋" w:hAnsi="仿宋" w:eastAsia="仿宋" w:cs="仿宋"/>
          <w:color w:val="auto"/>
          <w:kern w:val="0"/>
          <w:sz w:val="24"/>
          <w:szCs w:val="24"/>
          <w:highlight w:val="none"/>
          <w:u w:val="single"/>
          <w:shd w:val="clear" w:color="auto" w:fill="FFFFFF" w:themeFill="background1"/>
        </w:rPr>
        <w:t>中明确的所属行业）</w:t>
      </w:r>
      <w:r>
        <w:rPr>
          <w:rFonts w:hint="eastAsia" w:ascii="仿宋" w:hAnsi="仿宋" w:eastAsia="仿宋" w:cs="仿宋"/>
          <w:color w:val="auto"/>
          <w:kern w:val="0"/>
          <w:sz w:val="24"/>
          <w:szCs w:val="24"/>
          <w:highlight w:val="none"/>
          <w:shd w:val="clear" w:color="auto" w:fill="FFFFFF" w:themeFill="background1"/>
        </w:rPr>
        <w:t>；承建（承接）企业为</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u w:val="single"/>
          <w:shd w:val="clear" w:color="auto" w:fill="FFFFFF" w:themeFill="background1"/>
        </w:rPr>
        <w:t>（企业名称）</w:t>
      </w:r>
      <w:r>
        <w:rPr>
          <w:rFonts w:hint="eastAsia" w:ascii="仿宋" w:hAnsi="仿宋" w:eastAsia="仿宋" w:cs="仿宋"/>
          <w:color w:val="auto"/>
          <w:kern w:val="0"/>
          <w:sz w:val="24"/>
          <w:szCs w:val="24"/>
          <w:highlight w:val="none"/>
          <w:shd w:val="clear" w:color="auto" w:fill="FFFFFF" w:themeFill="background1"/>
        </w:rPr>
        <w:t>，从业人员</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shd w:val="clear" w:color="auto" w:fill="FFFFFF" w:themeFill="background1"/>
        </w:rPr>
        <w:t>人，营业收入为</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shd w:val="clear" w:color="auto" w:fill="FFFFFF" w:themeFill="background1"/>
        </w:rPr>
        <w:t>万元，资产总额为</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shd w:val="clear" w:color="auto" w:fill="FFFFFF" w:themeFill="background1"/>
        </w:rPr>
        <w:t>万元，属于</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u w:val="single"/>
          <w:shd w:val="clear" w:color="auto" w:fill="FFFFFF" w:themeFill="background1"/>
        </w:rPr>
        <w:t>（中型企业、小型企业、微型企业</w:t>
      </w:r>
      <w:r>
        <w:rPr>
          <w:rFonts w:hint="eastAsia" w:ascii="仿宋" w:hAnsi="仿宋" w:eastAsia="仿宋" w:cs="仿宋"/>
          <w:color w:val="auto"/>
          <w:kern w:val="0"/>
          <w:sz w:val="24"/>
          <w:szCs w:val="24"/>
          <w:highlight w:val="none"/>
          <w:shd w:val="clear" w:color="auto" w:fill="FFFFFF" w:themeFill="background1"/>
        </w:rPr>
        <w:t>）；</w:t>
      </w:r>
    </w:p>
    <w:p w14:paraId="78FA3730">
      <w:pPr>
        <w:keepLines w:val="0"/>
        <w:pageBreakBefore w:val="0"/>
        <w:kinsoku/>
        <w:overflowPunct/>
        <w:topLinePunct w:val="0"/>
        <w:bidi w:val="0"/>
        <w:spacing w:beforeAutospacing="0" w:afterAutospacing="0" w:line="360" w:lineRule="auto"/>
        <w:ind w:firstLine="480" w:firstLineChars="200"/>
        <w:textAlignment w:val="auto"/>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 xml:space="preserve">2.  </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u w:val="single"/>
          <w:shd w:val="clear" w:color="auto" w:fill="FFFFFF" w:themeFill="background1"/>
        </w:rPr>
        <w:t>（标的名称）</w:t>
      </w:r>
      <w:r>
        <w:rPr>
          <w:rFonts w:hint="eastAsia" w:ascii="仿宋" w:hAnsi="仿宋" w:eastAsia="仿宋" w:cs="仿宋"/>
          <w:color w:val="auto"/>
          <w:kern w:val="0"/>
          <w:sz w:val="24"/>
          <w:szCs w:val="24"/>
          <w:highlight w:val="none"/>
          <w:shd w:val="clear" w:color="auto" w:fill="FFFFFF" w:themeFill="background1"/>
        </w:rPr>
        <w:t xml:space="preserve"> ，属于</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u w:val="single"/>
          <w:shd w:val="clear" w:color="auto" w:fill="FFFFFF" w:themeFill="background1"/>
        </w:rPr>
        <w:t>（</w:t>
      </w:r>
      <w:r>
        <w:rPr>
          <w:rFonts w:hint="eastAsia" w:ascii="仿宋" w:hAnsi="仿宋" w:eastAsia="仿宋" w:cs="仿宋"/>
          <w:color w:val="auto"/>
          <w:kern w:val="0"/>
          <w:sz w:val="24"/>
          <w:szCs w:val="24"/>
          <w:highlight w:val="none"/>
          <w:u w:val="single"/>
          <w:shd w:val="clear" w:color="auto" w:fill="FFFFFF" w:themeFill="background1"/>
          <w:lang w:eastAsia="zh-CN"/>
        </w:rPr>
        <w:t>招标文件</w:t>
      </w:r>
      <w:r>
        <w:rPr>
          <w:rFonts w:hint="eastAsia" w:ascii="仿宋" w:hAnsi="仿宋" w:eastAsia="仿宋" w:cs="仿宋"/>
          <w:color w:val="auto"/>
          <w:kern w:val="0"/>
          <w:sz w:val="24"/>
          <w:szCs w:val="24"/>
          <w:highlight w:val="none"/>
          <w:u w:val="single"/>
          <w:shd w:val="clear" w:color="auto" w:fill="FFFFFF" w:themeFill="background1"/>
        </w:rPr>
        <w:t>中明确的所属行业）</w:t>
      </w:r>
      <w:r>
        <w:rPr>
          <w:rFonts w:hint="eastAsia" w:ascii="仿宋" w:hAnsi="仿宋" w:eastAsia="仿宋" w:cs="仿宋"/>
          <w:color w:val="auto"/>
          <w:kern w:val="0"/>
          <w:sz w:val="24"/>
          <w:szCs w:val="24"/>
          <w:highlight w:val="none"/>
          <w:shd w:val="clear" w:color="auto" w:fill="FFFFFF" w:themeFill="background1"/>
        </w:rPr>
        <w:t>；承建（承接）企业为</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u w:val="single"/>
          <w:shd w:val="clear" w:color="auto" w:fill="FFFFFF" w:themeFill="background1"/>
        </w:rPr>
        <w:t>（企业名称）</w:t>
      </w:r>
      <w:r>
        <w:rPr>
          <w:rFonts w:hint="eastAsia" w:ascii="仿宋" w:hAnsi="仿宋" w:eastAsia="仿宋" w:cs="仿宋"/>
          <w:color w:val="auto"/>
          <w:kern w:val="0"/>
          <w:sz w:val="24"/>
          <w:szCs w:val="24"/>
          <w:highlight w:val="none"/>
          <w:shd w:val="clear" w:color="auto" w:fill="FFFFFF" w:themeFill="background1"/>
        </w:rPr>
        <w:t>，从业人员</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shd w:val="clear" w:color="auto" w:fill="FFFFFF" w:themeFill="background1"/>
        </w:rPr>
        <w:t>人，营业收入为</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shd w:val="clear" w:color="auto" w:fill="FFFFFF" w:themeFill="background1"/>
        </w:rPr>
        <w:t>万元，资产总额为</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shd w:val="clear" w:color="auto" w:fill="FFFFFF" w:themeFill="background1"/>
        </w:rPr>
        <w:t>万元，属于</w:t>
      </w:r>
      <w:r>
        <w:rPr>
          <w:rFonts w:hint="eastAsia" w:ascii="仿宋" w:hAnsi="仿宋" w:eastAsia="仿宋" w:cs="仿宋"/>
          <w:color w:val="auto"/>
          <w:kern w:val="0"/>
          <w:sz w:val="24"/>
          <w:szCs w:val="24"/>
          <w:highlight w:val="none"/>
          <w:u w:val="single"/>
          <w:shd w:val="clear" w:color="auto" w:fill="FFFFFF" w:themeFill="background1"/>
          <w:lang w:val="en-US" w:eastAsia="zh-CN"/>
        </w:rPr>
        <w:t xml:space="preserve">   </w:t>
      </w:r>
      <w:r>
        <w:rPr>
          <w:rFonts w:hint="eastAsia" w:ascii="仿宋" w:hAnsi="仿宋" w:eastAsia="仿宋" w:cs="仿宋"/>
          <w:color w:val="auto"/>
          <w:kern w:val="0"/>
          <w:sz w:val="24"/>
          <w:szCs w:val="24"/>
          <w:highlight w:val="none"/>
          <w:u w:val="single"/>
          <w:shd w:val="clear" w:color="auto" w:fill="FFFFFF" w:themeFill="background1"/>
        </w:rPr>
        <w:t>（中型企业、小型企业、微型企业</w:t>
      </w:r>
      <w:r>
        <w:rPr>
          <w:rFonts w:hint="eastAsia" w:ascii="仿宋" w:hAnsi="仿宋" w:eastAsia="仿宋" w:cs="仿宋"/>
          <w:color w:val="auto"/>
          <w:kern w:val="0"/>
          <w:sz w:val="24"/>
          <w:szCs w:val="24"/>
          <w:highlight w:val="none"/>
          <w:shd w:val="clear" w:color="auto" w:fill="FFFFFF" w:themeFill="background1"/>
        </w:rPr>
        <w:t>）；</w:t>
      </w:r>
    </w:p>
    <w:p w14:paraId="32354ABD">
      <w:pPr>
        <w:keepLines w:val="0"/>
        <w:pageBreakBefore w:val="0"/>
        <w:kinsoku/>
        <w:overflowPunct/>
        <w:topLinePunct w:val="0"/>
        <w:bidi w:val="0"/>
        <w:spacing w:beforeAutospacing="0" w:afterAutospacing="0" w:line="360" w:lineRule="auto"/>
        <w:ind w:firstLine="480" w:firstLineChars="200"/>
        <w:textAlignment w:val="auto"/>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w:t>
      </w:r>
    </w:p>
    <w:p w14:paraId="3F3CDEBD">
      <w:pPr>
        <w:keepLines w:val="0"/>
        <w:pageBreakBefore w:val="0"/>
        <w:kinsoku/>
        <w:overflowPunct/>
        <w:topLinePunct w:val="0"/>
        <w:bidi w:val="0"/>
        <w:spacing w:beforeAutospacing="0" w:afterAutospacing="0" w:line="360" w:lineRule="auto"/>
        <w:ind w:firstLine="480" w:firstLineChars="200"/>
        <w:textAlignment w:val="auto"/>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以上企业，不属于大企业的分支机构，不存在控股股东为大企业的情形，也不存在与大企业的负责人为同一人的情形。</w:t>
      </w:r>
    </w:p>
    <w:p w14:paraId="0D20FDB8">
      <w:pPr>
        <w:keepLines w:val="0"/>
        <w:pageBreakBefore w:val="0"/>
        <w:kinsoku/>
        <w:overflowPunct/>
        <w:topLinePunct w:val="0"/>
        <w:bidi w:val="0"/>
        <w:spacing w:beforeAutospacing="0" w:afterAutospacing="0" w:line="360" w:lineRule="auto"/>
        <w:ind w:firstLine="480" w:firstLineChars="200"/>
        <w:textAlignment w:val="auto"/>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rPr>
        <w:t>本企业对上述声明内容的真实性负责。如有虚假，将依法承担相应责任。</w:t>
      </w:r>
    </w:p>
    <w:p w14:paraId="330832B3">
      <w:pPr>
        <w:keepLines w:val="0"/>
        <w:pageBreakBefore w:val="0"/>
        <w:kinsoku/>
        <w:overflowPunct/>
        <w:topLinePunct w:val="0"/>
        <w:bidi w:val="0"/>
        <w:spacing w:beforeAutospacing="0" w:afterAutospacing="0" w:line="360" w:lineRule="auto"/>
        <w:ind w:firstLine="480" w:firstLineChars="200"/>
        <w:jc w:val="right"/>
        <w:textAlignment w:val="auto"/>
        <w:rPr>
          <w:rFonts w:hint="eastAsia" w:ascii="仿宋" w:hAnsi="仿宋" w:eastAsia="仿宋" w:cs="仿宋"/>
          <w:color w:val="auto"/>
          <w:kern w:val="0"/>
          <w:sz w:val="24"/>
          <w:szCs w:val="24"/>
          <w:highlight w:val="none"/>
          <w:shd w:val="clear" w:color="auto" w:fill="FFFFFF" w:themeFill="background1"/>
        </w:rPr>
      </w:pPr>
    </w:p>
    <w:p w14:paraId="3CEB9419">
      <w:pPr>
        <w:keepLines w:val="0"/>
        <w:pageBreakBefore w:val="0"/>
        <w:kinsoku/>
        <w:overflowPunct/>
        <w:topLinePunct w:val="0"/>
        <w:bidi w:val="0"/>
        <w:spacing w:beforeAutospacing="0" w:afterAutospacing="0" w:line="360" w:lineRule="auto"/>
        <w:ind w:firstLine="480" w:firstLineChars="200"/>
        <w:jc w:val="center"/>
        <w:textAlignment w:val="auto"/>
        <w:rPr>
          <w:rFonts w:hint="eastAsia" w:ascii="仿宋" w:hAnsi="仿宋" w:eastAsia="仿宋" w:cs="仿宋"/>
          <w:color w:val="auto"/>
          <w:kern w:val="0"/>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lang w:val="en-US" w:eastAsia="zh-CN"/>
        </w:rPr>
        <w:t xml:space="preserve">                      </w:t>
      </w:r>
      <w:r>
        <w:rPr>
          <w:rFonts w:hint="eastAsia" w:ascii="仿宋" w:hAnsi="仿宋" w:eastAsia="仿宋" w:cs="仿宋"/>
          <w:color w:val="auto"/>
          <w:kern w:val="0"/>
          <w:sz w:val="24"/>
          <w:szCs w:val="24"/>
          <w:highlight w:val="none"/>
          <w:shd w:val="clear" w:color="auto" w:fill="FFFFFF" w:themeFill="background1"/>
        </w:rPr>
        <w:t>企业名称（盖章）：</w:t>
      </w:r>
    </w:p>
    <w:p w14:paraId="0572A425">
      <w:pPr>
        <w:keepLines w:val="0"/>
        <w:pageBreakBefore w:val="0"/>
        <w:kinsoku/>
        <w:overflowPunct/>
        <w:topLinePunct w:val="0"/>
        <w:bidi w:val="0"/>
        <w:spacing w:beforeAutospacing="0" w:afterAutospacing="0" w:line="360" w:lineRule="auto"/>
        <w:ind w:right="480" w:firstLine="480" w:firstLineChars="200"/>
        <w:jc w:val="center"/>
        <w:textAlignment w:val="auto"/>
        <w:rPr>
          <w:rFonts w:hint="eastAsia" w:ascii="仿宋" w:hAnsi="仿宋" w:eastAsia="仿宋" w:cs="仿宋"/>
          <w:b/>
          <w:color w:val="auto"/>
          <w:sz w:val="24"/>
          <w:szCs w:val="24"/>
          <w:highlight w:val="none"/>
          <w:shd w:val="clear" w:color="auto" w:fill="FFFFFF" w:themeFill="background1"/>
        </w:rPr>
      </w:pPr>
      <w:r>
        <w:rPr>
          <w:rFonts w:hint="eastAsia" w:ascii="仿宋" w:hAnsi="仿宋" w:eastAsia="仿宋" w:cs="仿宋"/>
          <w:color w:val="auto"/>
          <w:kern w:val="0"/>
          <w:sz w:val="24"/>
          <w:szCs w:val="24"/>
          <w:highlight w:val="none"/>
          <w:shd w:val="clear" w:color="auto" w:fill="FFFFFF" w:themeFill="background1"/>
          <w:lang w:val="en-US" w:eastAsia="zh-CN"/>
        </w:rPr>
        <w:t xml:space="preserve">             </w:t>
      </w:r>
      <w:r>
        <w:rPr>
          <w:rFonts w:hint="eastAsia" w:ascii="仿宋" w:hAnsi="仿宋" w:eastAsia="仿宋" w:cs="仿宋"/>
          <w:color w:val="auto"/>
          <w:kern w:val="0"/>
          <w:sz w:val="24"/>
          <w:szCs w:val="24"/>
          <w:highlight w:val="none"/>
          <w:shd w:val="clear" w:color="auto" w:fill="FFFFFF" w:themeFill="background1"/>
        </w:rPr>
        <w:t>日期：</w:t>
      </w:r>
    </w:p>
    <w:p w14:paraId="004503E5">
      <w:pPr>
        <w:keepLines w:val="0"/>
        <w:pageBreakBefore w:val="0"/>
        <w:kinsoku/>
        <w:overflowPunct/>
        <w:topLinePunct w:val="0"/>
        <w:bidi w:val="0"/>
        <w:spacing w:beforeAutospacing="0" w:afterAutospacing="0" w:line="360" w:lineRule="auto"/>
        <w:textAlignment w:val="auto"/>
        <w:rPr>
          <w:rFonts w:hint="eastAsia" w:ascii="仿宋" w:hAnsi="仿宋" w:eastAsia="仿宋" w:cs="仿宋"/>
          <w:color w:val="auto"/>
          <w:kern w:val="0"/>
          <w:sz w:val="24"/>
          <w:szCs w:val="24"/>
          <w:highlight w:val="none"/>
          <w:shd w:val="clear" w:color="auto" w:fill="FFFFFF" w:themeFill="background1"/>
        </w:rPr>
      </w:pPr>
    </w:p>
    <w:p w14:paraId="5DEF44BA">
      <w:pPr>
        <w:keepLines w:val="0"/>
        <w:pageBreakBefore w:val="0"/>
        <w:kinsoku/>
        <w:overflowPunct/>
        <w:topLinePunct w:val="0"/>
        <w:bidi w:val="0"/>
        <w:spacing w:beforeAutospacing="0" w:afterAutospacing="0" w:line="360" w:lineRule="auto"/>
        <w:textAlignment w:val="auto"/>
        <w:rPr>
          <w:rFonts w:hint="eastAsia" w:ascii="仿宋" w:hAnsi="仿宋" w:eastAsia="仿宋" w:cs="仿宋"/>
          <w:color w:val="auto"/>
          <w:sz w:val="21"/>
          <w:szCs w:val="21"/>
          <w:highlight w:val="none"/>
        </w:rPr>
      </w:pPr>
      <w:r>
        <w:rPr>
          <w:rFonts w:hint="eastAsia" w:ascii="仿宋" w:hAnsi="仿宋" w:eastAsia="仿宋" w:cs="仿宋"/>
          <w:color w:val="auto"/>
          <w:kern w:val="0"/>
          <w:sz w:val="24"/>
          <w:szCs w:val="24"/>
          <w:highlight w:val="none"/>
          <w:shd w:val="clear" w:color="auto" w:fill="FFFFFF" w:themeFill="background1"/>
        </w:rPr>
        <w:t>注：人员、营业收入、资产总额填报上一年度数据，无上一年度数据的新成立企业可不填报。</w:t>
      </w:r>
      <w:r>
        <w:rPr>
          <w:rFonts w:hint="eastAsia" w:ascii="仿宋" w:hAnsi="仿宋" w:eastAsia="仿宋" w:cs="仿宋"/>
          <w:color w:val="auto"/>
          <w:highlight w:val="none"/>
        </w:rPr>
        <w:br w:type="page"/>
      </w:r>
    </w:p>
    <w:p w14:paraId="3DCC91F3">
      <w:pPr>
        <w:spacing w:line="588" w:lineRule="exact"/>
        <w:rPr>
          <w:rFonts w:hint="eastAsia" w:ascii="仿宋" w:hAnsi="仿宋" w:eastAsia="仿宋" w:cs="仿宋"/>
          <w:color w:val="auto"/>
          <w:spacing w:val="6"/>
          <w:sz w:val="24"/>
          <w:szCs w:val="24"/>
          <w:highlight w:val="none"/>
        </w:rPr>
      </w:pPr>
      <w:r>
        <w:rPr>
          <w:rFonts w:hint="eastAsia" w:ascii="仿宋" w:hAnsi="仿宋" w:eastAsia="仿宋" w:cs="仿宋"/>
          <w:color w:val="auto"/>
          <w:kern w:val="0"/>
          <w:sz w:val="24"/>
          <w:szCs w:val="24"/>
          <w:highlight w:val="none"/>
        </w:rPr>
        <w:t xml:space="preserve"> </w:t>
      </w:r>
      <w:r>
        <w:rPr>
          <w:rFonts w:hint="eastAsia" w:ascii="仿宋" w:hAnsi="仿宋" w:eastAsia="仿宋" w:cs="仿宋"/>
          <w:b/>
          <w:color w:val="auto"/>
          <w:kern w:val="0"/>
          <w:sz w:val="24"/>
          <w:szCs w:val="24"/>
          <w:highlight w:val="none"/>
        </w:rPr>
        <w:t>附件二、</w:t>
      </w:r>
    </w:p>
    <w:p w14:paraId="3768BD99">
      <w:pPr>
        <w:spacing w:line="360" w:lineRule="auto"/>
        <w:jc w:val="center"/>
        <w:rPr>
          <w:rFonts w:hint="eastAsia" w:ascii="仿宋" w:hAnsi="仿宋" w:eastAsia="仿宋" w:cs="仿宋"/>
          <w:b/>
          <w:color w:val="auto"/>
          <w:spacing w:val="6"/>
          <w:sz w:val="24"/>
          <w:szCs w:val="24"/>
          <w:highlight w:val="none"/>
        </w:rPr>
      </w:pPr>
      <w:r>
        <w:rPr>
          <w:rFonts w:hint="eastAsia" w:ascii="仿宋" w:hAnsi="仿宋" w:eastAsia="仿宋" w:cs="仿宋"/>
          <w:b/>
          <w:color w:val="auto"/>
          <w:spacing w:val="6"/>
          <w:sz w:val="24"/>
          <w:szCs w:val="24"/>
          <w:highlight w:val="none"/>
        </w:rPr>
        <w:t>残疾人福利性单位声明函</w:t>
      </w:r>
    </w:p>
    <w:p w14:paraId="055EDA06">
      <w:pPr>
        <w:spacing w:line="360" w:lineRule="auto"/>
        <w:rPr>
          <w:rFonts w:hint="eastAsia" w:ascii="仿宋" w:hAnsi="仿宋" w:eastAsia="仿宋" w:cs="仿宋"/>
          <w:b/>
          <w:color w:val="auto"/>
          <w:spacing w:val="6"/>
          <w:sz w:val="24"/>
          <w:szCs w:val="24"/>
          <w:highlight w:val="none"/>
        </w:rPr>
      </w:pPr>
    </w:p>
    <w:p w14:paraId="38289FEC">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本单位郑重声明，根据《财政部 民政部 中国残疾人联合会关于促进残疾人就业政府采购政策的通知》（财库</w:t>
      </w:r>
      <w:r>
        <w:rPr>
          <w:rFonts w:hint="eastAsia" w:ascii="仿宋" w:hAnsi="仿宋" w:eastAsia="仿宋" w:cs="仿宋"/>
          <w:color w:val="auto"/>
          <w:sz w:val="24"/>
          <w:szCs w:val="24"/>
          <w:highlight w:val="none"/>
        </w:rPr>
        <w:t>〔2017〕 141</w:t>
      </w:r>
      <w:r>
        <w:rPr>
          <w:rFonts w:hint="eastAsia" w:ascii="仿宋" w:hAnsi="仿宋" w:eastAsia="仿宋" w:cs="仿宋"/>
          <w:color w:val="auto"/>
          <w:spacing w:val="6"/>
          <w:sz w:val="24"/>
          <w:szCs w:val="24"/>
          <w:highlight w:val="none"/>
        </w:rPr>
        <w:t>号）的规定，本单位为符合条件的残疾人福利性单位，且本单位参加</w:t>
      </w:r>
      <w:r>
        <w:rPr>
          <w:rFonts w:hint="eastAsia" w:ascii="仿宋" w:hAnsi="仿宋" w:eastAsia="仿宋" w:cs="仿宋"/>
          <w:color w:val="auto"/>
          <w:spacing w:val="6"/>
          <w:sz w:val="24"/>
          <w:szCs w:val="24"/>
          <w:highlight w:val="none"/>
          <w:u w:val="single"/>
          <w:shd w:val="clear" w:color="auto" w:fill="FFFFFF" w:themeFill="background1"/>
        </w:rPr>
        <w:t xml:space="preserve">   </w:t>
      </w:r>
      <w:r>
        <w:rPr>
          <w:rFonts w:hint="eastAsia" w:ascii="仿宋" w:hAnsi="仿宋" w:eastAsia="仿宋" w:cs="仿宋"/>
          <w:color w:val="auto"/>
          <w:spacing w:val="6"/>
          <w:sz w:val="24"/>
          <w:szCs w:val="24"/>
          <w:highlight w:val="none"/>
        </w:rPr>
        <w:t>单位的</w:t>
      </w:r>
      <w:r>
        <w:rPr>
          <w:rFonts w:hint="eastAsia" w:ascii="仿宋" w:hAnsi="仿宋" w:eastAsia="仿宋" w:cs="仿宋"/>
          <w:color w:val="auto"/>
          <w:spacing w:val="6"/>
          <w:sz w:val="24"/>
          <w:szCs w:val="24"/>
          <w:highlight w:val="none"/>
          <w:u w:val="single"/>
          <w:shd w:val="clear" w:color="auto" w:fill="FFFFFF" w:themeFill="background1"/>
        </w:rPr>
        <w:t xml:space="preserve">   </w:t>
      </w:r>
      <w:r>
        <w:rPr>
          <w:rFonts w:hint="eastAsia" w:ascii="仿宋" w:hAnsi="仿宋" w:eastAsia="仿宋" w:cs="仿宋"/>
          <w:color w:val="auto"/>
          <w:spacing w:val="6"/>
          <w:sz w:val="24"/>
          <w:szCs w:val="24"/>
          <w:highlight w:val="none"/>
        </w:rPr>
        <w:t>项目采购活动提供本单位制造的货物（由本单位承担工程/提供服务），或者提供其他残疾人福利性单位制造的货物（不包括使用非残疾人福利性单位注册商标的货物）。</w:t>
      </w:r>
    </w:p>
    <w:p w14:paraId="0DD15BFD">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本单位对上述声明的真实性负责。如有虚假，将依法承担相应责任。</w:t>
      </w:r>
    </w:p>
    <w:p w14:paraId="17AF22B0">
      <w:pPr>
        <w:spacing w:line="360" w:lineRule="auto"/>
        <w:ind w:firstLine="504" w:firstLineChars="200"/>
        <w:rPr>
          <w:rFonts w:hint="eastAsia" w:ascii="仿宋" w:hAnsi="仿宋" w:eastAsia="仿宋" w:cs="仿宋"/>
          <w:color w:val="auto"/>
          <w:spacing w:val="6"/>
          <w:sz w:val="24"/>
          <w:szCs w:val="24"/>
          <w:highlight w:val="none"/>
        </w:rPr>
      </w:pPr>
    </w:p>
    <w:p w14:paraId="68C252A6">
      <w:pPr>
        <w:spacing w:line="360" w:lineRule="auto"/>
        <w:ind w:firstLine="504" w:firstLineChars="200"/>
        <w:rPr>
          <w:rFonts w:hint="eastAsia" w:ascii="仿宋" w:hAnsi="仿宋" w:eastAsia="仿宋" w:cs="仿宋"/>
          <w:color w:val="auto"/>
          <w:spacing w:val="6"/>
          <w:sz w:val="24"/>
          <w:szCs w:val="24"/>
          <w:highlight w:val="none"/>
        </w:rPr>
      </w:pPr>
    </w:p>
    <w:p w14:paraId="56692212">
      <w:pPr>
        <w:tabs>
          <w:tab w:val="left" w:pos="4860"/>
        </w:tabs>
        <w:spacing w:line="360" w:lineRule="auto"/>
        <w:ind w:right="1560"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单位名称（盖章）：</w:t>
      </w:r>
    </w:p>
    <w:p w14:paraId="7C0357D1">
      <w:pPr>
        <w:tabs>
          <w:tab w:val="left" w:pos="4860"/>
        </w:tabs>
        <w:spacing w:line="360" w:lineRule="auto"/>
        <w:ind w:right="1560" w:firstLine="504" w:firstLineChars="200"/>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 xml:space="preserve">                                           日  期：</w:t>
      </w:r>
    </w:p>
    <w:p w14:paraId="1DE3A8E0">
      <w:pPr>
        <w:spacing w:line="360" w:lineRule="auto"/>
        <w:rPr>
          <w:rFonts w:hint="eastAsia" w:ascii="仿宋" w:hAnsi="仿宋" w:eastAsia="仿宋" w:cs="仿宋"/>
          <w:color w:val="auto"/>
          <w:sz w:val="24"/>
          <w:szCs w:val="24"/>
          <w:highlight w:val="none"/>
        </w:rPr>
      </w:pPr>
    </w:p>
    <w:p w14:paraId="37A252F7">
      <w:pPr>
        <w:spacing w:line="360" w:lineRule="auto"/>
        <w:rPr>
          <w:rFonts w:hint="eastAsia" w:ascii="仿宋" w:hAnsi="仿宋" w:eastAsia="仿宋" w:cs="仿宋"/>
          <w:color w:val="auto"/>
          <w:sz w:val="24"/>
          <w:szCs w:val="24"/>
          <w:highlight w:val="none"/>
        </w:rPr>
      </w:pPr>
    </w:p>
    <w:p w14:paraId="3E1659EA">
      <w:pPr>
        <w:spacing w:line="360" w:lineRule="auto"/>
        <w:rPr>
          <w:rFonts w:hint="eastAsia" w:ascii="仿宋" w:hAnsi="仿宋" w:eastAsia="仿宋" w:cs="仿宋"/>
          <w:color w:val="auto"/>
          <w:sz w:val="24"/>
          <w:szCs w:val="24"/>
          <w:highlight w:val="none"/>
        </w:rPr>
      </w:pPr>
    </w:p>
    <w:p w14:paraId="5C43ABEF">
      <w:pPr>
        <w:widowControl/>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 xml:space="preserve"> </w:t>
      </w:r>
      <w:r>
        <w:rPr>
          <w:rFonts w:hint="eastAsia" w:ascii="仿宋" w:hAnsi="仿宋" w:eastAsia="仿宋" w:cs="仿宋"/>
          <w:b/>
          <w:color w:val="auto"/>
          <w:kern w:val="0"/>
          <w:sz w:val="24"/>
          <w:szCs w:val="24"/>
          <w:highlight w:val="none"/>
        </w:rPr>
        <w:t>附件三、</w:t>
      </w:r>
    </w:p>
    <w:p w14:paraId="02593EC9">
      <w:pPr>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b/>
          <w:color w:val="auto"/>
          <w:kern w:val="0"/>
          <w:sz w:val="24"/>
          <w:szCs w:val="24"/>
          <w:highlight w:val="none"/>
        </w:rPr>
        <w:t>监狱企业证明文件</w:t>
      </w:r>
    </w:p>
    <w:p w14:paraId="43CA880D">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监狱企业参加政府采购活动时，应当提供由省级以上监狱管理局、戒毒管理局（含新疆生产建设兵团）出具的属于监狱企业的证明文件。</w:t>
      </w:r>
    </w:p>
    <w:p w14:paraId="04C44AF9">
      <w:pPr>
        <w:widowControl/>
        <w:adjustRightInd w:val="0"/>
        <w:snapToGrid w:val="0"/>
        <w:spacing w:line="360" w:lineRule="auto"/>
        <w:rPr>
          <w:rFonts w:hint="eastAsia" w:ascii="仿宋" w:hAnsi="仿宋" w:eastAsia="仿宋" w:cs="仿宋"/>
          <w:color w:val="auto"/>
          <w:sz w:val="24"/>
          <w:szCs w:val="24"/>
          <w:highlight w:val="none"/>
        </w:rPr>
      </w:pPr>
    </w:p>
    <w:p w14:paraId="47D55BF7">
      <w:pPr>
        <w:tabs>
          <w:tab w:val="center" w:pos="4832"/>
          <w:tab w:val="left" w:pos="7140"/>
        </w:tabs>
        <w:jc w:val="center"/>
        <w:outlineLvl w:val="1"/>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r>
      <w:bookmarkStart w:id="285" w:name="_Toc130252627"/>
      <w:bookmarkStart w:id="286" w:name="_Toc109941772"/>
      <w:bookmarkStart w:id="287" w:name="_Toc20402"/>
      <w:bookmarkStart w:id="288" w:name="_Toc109921165"/>
      <w:bookmarkStart w:id="289" w:name="_Toc110707972"/>
      <w:bookmarkStart w:id="290" w:name="_Toc18236"/>
      <w:bookmarkStart w:id="291" w:name="_Toc21469"/>
      <w:bookmarkStart w:id="292" w:name="_Toc25402"/>
      <w:bookmarkStart w:id="293" w:name="_Toc27167"/>
      <w:r>
        <w:rPr>
          <w:rFonts w:hint="eastAsia" w:ascii="仿宋" w:hAnsi="仿宋" w:eastAsia="仿宋" w:cs="仿宋"/>
          <w:b/>
          <w:color w:val="auto"/>
          <w:sz w:val="24"/>
          <w:szCs w:val="24"/>
          <w:highlight w:val="none"/>
          <w:lang w:val="en-US" w:eastAsia="zh-CN"/>
        </w:rPr>
        <w:t>九</w:t>
      </w:r>
      <w:r>
        <w:rPr>
          <w:rFonts w:hint="eastAsia" w:ascii="仿宋" w:hAnsi="仿宋" w:eastAsia="仿宋" w:cs="仿宋"/>
          <w:b/>
          <w:color w:val="auto"/>
          <w:sz w:val="24"/>
          <w:szCs w:val="24"/>
          <w:highlight w:val="none"/>
        </w:rPr>
        <w:t>、投标人近年类似项目情况表</w:t>
      </w:r>
      <w:bookmarkEnd w:id="285"/>
      <w:bookmarkEnd w:id="286"/>
      <w:bookmarkEnd w:id="287"/>
      <w:bookmarkEnd w:id="288"/>
      <w:bookmarkEnd w:id="289"/>
      <w:bookmarkEnd w:id="290"/>
      <w:bookmarkEnd w:id="291"/>
      <w:bookmarkEnd w:id="292"/>
      <w:bookmarkEnd w:id="293"/>
    </w:p>
    <w:p w14:paraId="08378AFD">
      <w:pPr>
        <w:spacing w:line="360" w:lineRule="auto"/>
        <w:jc w:val="left"/>
        <w:rPr>
          <w:rFonts w:hint="eastAsia" w:ascii="仿宋" w:hAnsi="仿宋" w:eastAsia="仿宋" w:cs="仿宋"/>
          <w:color w:val="auto"/>
          <w:sz w:val="24"/>
          <w:szCs w:val="24"/>
          <w:highlight w:val="none"/>
        </w:rPr>
      </w:pPr>
    </w:p>
    <w:tbl>
      <w:tblPr>
        <w:tblStyle w:val="40"/>
        <w:tblW w:w="92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97"/>
        <w:gridCol w:w="1233"/>
        <w:gridCol w:w="963"/>
        <w:gridCol w:w="1922"/>
        <w:gridCol w:w="1212"/>
        <w:gridCol w:w="1232"/>
        <w:gridCol w:w="1232"/>
        <w:gridCol w:w="795"/>
      </w:tblGrid>
      <w:tr w14:paraId="2C267C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697" w:type="dxa"/>
            <w:shd w:val="clear" w:color="auto" w:fill="auto"/>
          </w:tcPr>
          <w:p w14:paraId="401CCBE9">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序号</w:t>
            </w:r>
          </w:p>
        </w:tc>
        <w:tc>
          <w:tcPr>
            <w:tcW w:w="1233" w:type="dxa"/>
            <w:shd w:val="clear" w:color="auto" w:fill="auto"/>
          </w:tcPr>
          <w:p w14:paraId="7F61E8C3">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项目名称</w:t>
            </w:r>
          </w:p>
        </w:tc>
        <w:tc>
          <w:tcPr>
            <w:tcW w:w="963" w:type="dxa"/>
            <w:shd w:val="clear" w:color="auto" w:fill="auto"/>
          </w:tcPr>
          <w:p w14:paraId="5E4D52A4">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采购人</w:t>
            </w:r>
          </w:p>
        </w:tc>
        <w:tc>
          <w:tcPr>
            <w:tcW w:w="1922" w:type="dxa"/>
            <w:shd w:val="clear" w:color="auto" w:fill="auto"/>
          </w:tcPr>
          <w:p w14:paraId="417C2762">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采购人联系方式</w:t>
            </w:r>
          </w:p>
        </w:tc>
        <w:tc>
          <w:tcPr>
            <w:tcW w:w="1212" w:type="dxa"/>
            <w:shd w:val="clear" w:color="auto" w:fill="auto"/>
          </w:tcPr>
          <w:p w14:paraId="0F3D6F23">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合同内容</w:t>
            </w:r>
          </w:p>
        </w:tc>
        <w:tc>
          <w:tcPr>
            <w:tcW w:w="1232" w:type="dxa"/>
            <w:shd w:val="clear" w:color="auto" w:fill="auto"/>
          </w:tcPr>
          <w:p w14:paraId="03C8A4B3">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合同价格</w:t>
            </w:r>
          </w:p>
        </w:tc>
        <w:tc>
          <w:tcPr>
            <w:tcW w:w="1232" w:type="dxa"/>
            <w:shd w:val="clear" w:color="auto" w:fill="auto"/>
          </w:tcPr>
          <w:p w14:paraId="3C3BA919">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签约日期</w:t>
            </w:r>
          </w:p>
        </w:tc>
        <w:tc>
          <w:tcPr>
            <w:tcW w:w="795" w:type="dxa"/>
            <w:shd w:val="clear" w:color="auto" w:fill="auto"/>
          </w:tcPr>
          <w:p w14:paraId="516D8891">
            <w:pP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备注</w:t>
            </w:r>
          </w:p>
        </w:tc>
      </w:tr>
      <w:tr w14:paraId="611EF0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697" w:type="dxa"/>
            <w:shd w:val="clear" w:color="auto" w:fill="auto"/>
          </w:tcPr>
          <w:p w14:paraId="310D659B">
            <w:pPr>
              <w:rPr>
                <w:rFonts w:hint="eastAsia" w:ascii="仿宋" w:hAnsi="仿宋" w:eastAsia="仿宋" w:cs="仿宋"/>
                <w:color w:val="auto"/>
                <w:kern w:val="0"/>
                <w:sz w:val="24"/>
                <w:szCs w:val="24"/>
                <w:highlight w:val="none"/>
              </w:rPr>
            </w:pPr>
          </w:p>
        </w:tc>
        <w:tc>
          <w:tcPr>
            <w:tcW w:w="1233" w:type="dxa"/>
            <w:shd w:val="clear" w:color="auto" w:fill="auto"/>
          </w:tcPr>
          <w:p w14:paraId="342CCFEC">
            <w:pPr>
              <w:rPr>
                <w:rFonts w:hint="eastAsia" w:ascii="仿宋" w:hAnsi="仿宋" w:eastAsia="仿宋" w:cs="仿宋"/>
                <w:color w:val="auto"/>
                <w:kern w:val="0"/>
                <w:sz w:val="24"/>
                <w:szCs w:val="24"/>
                <w:highlight w:val="none"/>
              </w:rPr>
            </w:pPr>
          </w:p>
        </w:tc>
        <w:tc>
          <w:tcPr>
            <w:tcW w:w="963" w:type="dxa"/>
            <w:shd w:val="clear" w:color="auto" w:fill="auto"/>
          </w:tcPr>
          <w:p w14:paraId="5C392A9F">
            <w:pPr>
              <w:rPr>
                <w:rFonts w:hint="eastAsia" w:ascii="仿宋" w:hAnsi="仿宋" w:eastAsia="仿宋" w:cs="仿宋"/>
                <w:color w:val="auto"/>
                <w:kern w:val="0"/>
                <w:sz w:val="24"/>
                <w:szCs w:val="24"/>
                <w:highlight w:val="none"/>
              </w:rPr>
            </w:pPr>
          </w:p>
        </w:tc>
        <w:tc>
          <w:tcPr>
            <w:tcW w:w="1922" w:type="dxa"/>
            <w:shd w:val="clear" w:color="auto" w:fill="auto"/>
          </w:tcPr>
          <w:p w14:paraId="674FD75E">
            <w:pPr>
              <w:rPr>
                <w:rFonts w:hint="eastAsia" w:ascii="仿宋" w:hAnsi="仿宋" w:eastAsia="仿宋" w:cs="仿宋"/>
                <w:color w:val="auto"/>
                <w:kern w:val="0"/>
                <w:sz w:val="24"/>
                <w:szCs w:val="24"/>
                <w:highlight w:val="none"/>
              </w:rPr>
            </w:pPr>
          </w:p>
        </w:tc>
        <w:tc>
          <w:tcPr>
            <w:tcW w:w="1212" w:type="dxa"/>
            <w:shd w:val="clear" w:color="auto" w:fill="auto"/>
          </w:tcPr>
          <w:p w14:paraId="0B8790B3">
            <w:pPr>
              <w:rPr>
                <w:rFonts w:hint="eastAsia" w:ascii="仿宋" w:hAnsi="仿宋" w:eastAsia="仿宋" w:cs="仿宋"/>
                <w:color w:val="auto"/>
                <w:kern w:val="0"/>
                <w:sz w:val="24"/>
                <w:szCs w:val="24"/>
                <w:highlight w:val="none"/>
              </w:rPr>
            </w:pPr>
          </w:p>
        </w:tc>
        <w:tc>
          <w:tcPr>
            <w:tcW w:w="1232" w:type="dxa"/>
            <w:shd w:val="clear" w:color="auto" w:fill="auto"/>
          </w:tcPr>
          <w:p w14:paraId="5DCE6D54">
            <w:pPr>
              <w:rPr>
                <w:rFonts w:hint="eastAsia" w:ascii="仿宋" w:hAnsi="仿宋" w:eastAsia="仿宋" w:cs="仿宋"/>
                <w:color w:val="auto"/>
                <w:kern w:val="0"/>
                <w:sz w:val="24"/>
                <w:szCs w:val="24"/>
                <w:highlight w:val="none"/>
              </w:rPr>
            </w:pPr>
          </w:p>
        </w:tc>
        <w:tc>
          <w:tcPr>
            <w:tcW w:w="1232" w:type="dxa"/>
            <w:shd w:val="clear" w:color="auto" w:fill="auto"/>
          </w:tcPr>
          <w:p w14:paraId="079F7D16">
            <w:pPr>
              <w:rPr>
                <w:rFonts w:hint="eastAsia" w:ascii="仿宋" w:hAnsi="仿宋" w:eastAsia="仿宋" w:cs="仿宋"/>
                <w:color w:val="auto"/>
                <w:kern w:val="0"/>
                <w:sz w:val="24"/>
                <w:szCs w:val="24"/>
                <w:highlight w:val="none"/>
              </w:rPr>
            </w:pPr>
          </w:p>
        </w:tc>
        <w:tc>
          <w:tcPr>
            <w:tcW w:w="795" w:type="dxa"/>
            <w:shd w:val="clear" w:color="auto" w:fill="auto"/>
          </w:tcPr>
          <w:p w14:paraId="4983E1C4">
            <w:pPr>
              <w:rPr>
                <w:rFonts w:hint="eastAsia" w:ascii="仿宋" w:hAnsi="仿宋" w:eastAsia="仿宋" w:cs="仿宋"/>
                <w:color w:val="auto"/>
                <w:kern w:val="0"/>
                <w:sz w:val="24"/>
                <w:szCs w:val="24"/>
                <w:highlight w:val="none"/>
              </w:rPr>
            </w:pPr>
          </w:p>
        </w:tc>
      </w:tr>
      <w:tr w14:paraId="79F182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697" w:type="dxa"/>
            <w:shd w:val="clear" w:color="auto" w:fill="auto"/>
          </w:tcPr>
          <w:p w14:paraId="5453BFBC">
            <w:pPr>
              <w:rPr>
                <w:rFonts w:hint="eastAsia" w:ascii="仿宋" w:hAnsi="仿宋" w:eastAsia="仿宋" w:cs="仿宋"/>
                <w:color w:val="auto"/>
                <w:kern w:val="0"/>
                <w:sz w:val="24"/>
                <w:szCs w:val="24"/>
                <w:highlight w:val="none"/>
              </w:rPr>
            </w:pPr>
          </w:p>
        </w:tc>
        <w:tc>
          <w:tcPr>
            <w:tcW w:w="1233" w:type="dxa"/>
            <w:shd w:val="clear" w:color="auto" w:fill="auto"/>
          </w:tcPr>
          <w:p w14:paraId="4E33563A">
            <w:pPr>
              <w:rPr>
                <w:rFonts w:hint="eastAsia" w:ascii="仿宋" w:hAnsi="仿宋" w:eastAsia="仿宋" w:cs="仿宋"/>
                <w:color w:val="auto"/>
                <w:kern w:val="0"/>
                <w:sz w:val="24"/>
                <w:szCs w:val="24"/>
                <w:highlight w:val="none"/>
              </w:rPr>
            </w:pPr>
          </w:p>
        </w:tc>
        <w:tc>
          <w:tcPr>
            <w:tcW w:w="963" w:type="dxa"/>
            <w:shd w:val="clear" w:color="auto" w:fill="auto"/>
          </w:tcPr>
          <w:p w14:paraId="1CF0160D">
            <w:pPr>
              <w:rPr>
                <w:rFonts w:hint="eastAsia" w:ascii="仿宋" w:hAnsi="仿宋" w:eastAsia="仿宋" w:cs="仿宋"/>
                <w:color w:val="auto"/>
                <w:kern w:val="0"/>
                <w:sz w:val="24"/>
                <w:szCs w:val="24"/>
                <w:highlight w:val="none"/>
              </w:rPr>
            </w:pPr>
          </w:p>
        </w:tc>
        <w:tc>
          <w:tcPr>
            <w:tcW w:w="1922" w:type="dxa"/>
            <w:shd w:val="clear" w:color="auto" w:fill="auto"/>
          </w:tcPr>
          <w:p w14:paraId="41C3E90D">
            <w:pPr>
              <w:rPr>
                <w:rFonts w:hint="eastAsia" w:ascii="仿宋" w:hAnsi="仿宋" w:eastAsia="仿宋" w:cs="仿宋"/>
                <w:color w:val="auto"/>
                <w:kern w:val="0"/>
                <w:sz w:val="24"/>
                <w:szCs w:val="24"/>
                <w:highlight w:val="none"/>
              </w:rPr>
            </w:pPr>
          </w:p>
        </w:tc>
        <w:tc>
          <w:tcPr>
            <w:tcW w:w="1212" w:type="dxa"/>
            <w:shd w:val="clear" w:color="auto" w:fill="auto"/>
          </w:tcPr>
          <w:p w14:paraId="4DAC3381">
            <w:pPr>
              <w:rPr>
                <w:rFonts w:hint="eastAsia" w:ascii="仿宋" w:hAnsi="仿宋" w:eastAsia="仿宋" w:cs="仿宋"/>
                <w:color w:val="auto"/>
                <w:kern w:val="0"/>
                <w:sz w:val="24"/>
                <w:szCs w:val="24"/>
                <w:highlight w:val="none"/>
              </w:rPr>
            </w:pPr>
          </w:p>
        </w:tc>
        <w:tc>
          <w:tcPr>
            <w:tcW w:w="1232" w:type="dxa"/>
            <w:shd w:val="clear" w:color="auto" w:fill="auto"/>
          </w:tcPr>
          <w:p w14:paraId="57B1C89D">
            <w:pPr>
              <w:rPr>
                <w:rFonts w:hint="eastAsia" w:ascii="仿宋" w:hAnsi="仿宋" w:eastAsia="仿宋" w:cs="仿宋"/>
                <w:color w:val="auto"/>
                <w:kern w:val="0"/>
                <w:sz w:val="24"/>
                <w:szCs w:val="24"/>
                <w:highlight w:val="none"/>
              </w:rPr>
            </w:pPr>
          </w:p>
        </w:tc>
        <w:tc>
          <w:tcPr>
            <w:tcW w:w="1232" w:type="dxa"/>
            <w:shd w:val="clear" w:color="auto" w:fill="auto"/>
          </w:tcPr>
          <w:p w14:paraId="4342D2F6">
            <w:pPr>
              <w:rPr>
                <w:rFonts w:hint="eastAsia" w:ascii="仿宋" w:hAnsi="仿宋" w:eastAsia="仿宋" w:cs="仿宋"/>
                <w:color w:val="auto"/>
                <w:kern w:val="0"/>
                <w:sz w:val="24"/>
                <w:szCs w:val="24"/>
                <w:highlight w:val="none"/>
              </w:rPr>
            </w:pPr>
          </w:p>
        </w:tc>
        <w:tc>
          <w:tcPr>
            <w:tcW w:w="795" w:type="dxa"/>
            <w:shd w:val="clear" w:color="auto" w:fill="auto"/>
          </w:tcPr>
          <w:p w14:paraId="0D751C5E">
            <w:pPr>
              <w:rPr>
                <w:rFonts w:hint="eastAsia" w:ascii="仿宋" w:hAnsi="仿宋" w:eastAsia="仿宋" w:cs="仿宋"/>
                <w:color w:val="auto"/>
                <w:kern w:val="0"/>
                <w:sz w:val="24"/>
                <w:szCs w:val="24"/>
                <w:highlight w:val="none"/>
              </w:rPr>
            </w:pPr>
          </w:p>
        </w:tc>
      </w:tr>
      <w:tr w14:paraId="5FA635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697" w:type="dxa"/>
            <w:shd w:val="clear" w:color="auto" w:fill="auto"/>
          </w:tcPr>
          <w:p w14:paraId="30FF5923">
            <w:pPr>
              <w:rPr>
                <w:rFonts w:hint="eastAsia" w:ascii="仿宋" w:hAnsi="仿宋" w:eastAsia="仿宋" w:cs="仿宋"/>
                <w:color w:val="auto"/>
                <w:kern w:val="0"/>
                <w:sz w:val="24"/>
                <w:szCs w:val="24"/>
                <w:highlight w:val="none"/>
              </w:rPr>
            </w:pPr>
          </w:p>
        </w:tc>
        <w:tc>
          <w:tcPr>
            <w:tcW w:w="1233" w:type="dxa"/>
            <w:shd w:val="clear" w:color="auto" w:fill="auto"/>
          </w:tcPr>
          <w:p w14:paraId="7B7939BB">
            <w:pPr>
              <w:rPr>
                <w:rFonts w:hint="eastAsia" w:ascii="仿宋" w:hAnsi="仿宋" w:eastAsia="仿宋" w:cs="仿宋"/>
                <w:color w:val="auto"/>
                <w:kern w:val="0"/>
                <w:sz w:val="24"/>
                <w:szCs w:val="24"/>
                <w:highlight w:val="none"/>
              </w:rPr>
            </w:pPr>
          </w:p>
        </w:tc>
        <w:tc>
          <w:tcPr>
            <w:tcW w:w="963" w:type="dxa"/>
            <w:shd w:val="clear" w:color="auto" w:fill="auto"/>
          </w:tcPr>
          <w:p w14:paraId="23E4D911">
            <w:pPr>
              <w:rPr>
                <w:rFonts w:hint="eastAsia" w:ascii="仿宋" w:hAnsi="仿宋" w:eastAsia="仿宋" w:cs="仿宋"/>
                <w:color w:val="auto"/>
                <w:kern w:val="0"/>
                <w:sz w:val="24"/>
                <w:szCs w:val="24"/>
                <w:highlight w:val="none"/>
              </w:rPr>
            </w:pPr>
          </w:p>
        </w:tc>
        <w:tc>
          <w:tcPr>
            <w:tcW w:w="1922" w:type="dxa"/>
            <w:shd w:val="clear" w:color="auto" w:fill="auto"/>
          </w:tcPr>
          <w:p w14:paraId="49A0A195">
            <w:pPr>
              <w:rPr>
                <w:rFonts w:hint="eastAsia" w:ascii="仿宋" w:hAnsi="仿宋" w:eastAsia="仿宋" w:cs="仿宋"/>
                <w:color w:val="auto"/>
                <w:kern w:val="0"/>
                <w:sz w:val="24"/>
                <w:szCs w:val="24"/>
                <w:highlight w:val="none"/>
              </w:rPr>
            </w:pPr>
          </w:p>
        </w:tc>
        <w:tc>
          <w:tcPr>
            <w:tcW w:w="1212" w:type="dxa"/>
            <w:shd w:val="clear" w:color="auto" w:fill="auto"/>
          </w:tcPr>
          <w:p w14:paraId="1CA62F28">
            <w:pPr>
              <w:rPr>
                <w:rFonts w:hint="eastAsia" w:ascii="仿宋" w:hAnsi="仿宋" w:eastAsia="仿宋" w:cs="仿宋"/>
                <w:color w:val="auto"/>
                <w:kern w:val="0"/>
                <w:sz w:val="24"/>
                <w:szCs w:val="24"/>
                <w:highlight w:val="none"/>
              </w:rPr>
            </w:pPr>
          </w:p>
        </w:tc>
        <w:tc>
          <w:tcPr>
            <w:tcW w:w="1232" w:type="dxa"/>
            <w:shd w:val="clear" w:color="auto" w:fill="auto"/>
          </w:tcPr>
          <w:p w14:paraId="420AF605">
            <w:pPr>
              <w:rPr>
                <w:rFonts w:hint="eastAsia" w:ascii="仿宋" w:hAnsi="仿宋" w:eastAsia="仿宋" w:cs="仿宋"/>
                <w:color w:val="auto"/>
                <w:kern w:val="0"/>
                <w:sz w:val="24"/>
                <w:szCs w:val="24"/>
                <w:highlight w:val="none"/>
              </w:rPr>
            </w:pPr>
          </w:p>
        </w:tc>
        <w:tc>
          <w:tcPr>
            <w:tcW w:w="1232" w:type="dxa"/>
            <w:shd w:val="clear" w:color="auto" w:fill="auto"/>
          </w:tcPr>
          <w:p w14:paraId="2677D9D6">
            <w:pPr>
              <w:rPr>
                <w:rFonts w:hint="eastAsia" w:ascii="仿宋" w:hAnsi="仿宋" w:eastAsia="仿宋" w:cs="仿宋"/>
                <w:color w:val="auto"/>
                <w:kern w:val="0"/>
                <w:sz w:val="24"/>
                <w:szCs w:val="24"/>
                <w:highlight w:val="none"/>
              </w:rPr>
            </w:pPr>
          </w:p>
        </w:tc>
        <w:tc>
          <w:tcPr>
            <w:tcW w:w="795" w:type="dxa"/>
            <w:shd w:val="clear" w:color="auto" w:fill="auto"/>
          </w:tcPr>
          <w:p w14:paraId="5F4327A0">
            <w:pPr>
              <w:rPr>
                <w:rFonts w:hint="eastAsia" w:ascii="仿宋" w:hAnsi="仿宋" w:eastAsia="仿宋" w:cs="仿宋"/>
                <w:color w:val="auto"/>
                <w:kern w:val="0"/>
                <w:sz w:val="24"/>
                <w:szCs w:val="24"/>
                <w:highlight w:val="none"/>
              </w:rPr>
            </w:pPr>
          </w:p>
        </w:tc>
      </w:tr>
      <w:tr w14:paraId="789AB5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697" w:type="dxa"/>
            <w:shd w:val="clear" w:color="auto" w:fill="auto"/>
          </w:tcPr>
          <w:p w14:paraId="39BC4774">
            <w:pPr>
              <w:rPr>
                <w:rFonts w:hint="eastAsia" w:ascii="仿宋" w:hAnsi="仿宋" w:eastAsia="仿宋" w:cs="仿宋"/>
                <w:color w:val="auto"/>
                <w:kern w:val="0"/>
                <w:sz w:val="24"/>
                <w:szCs w:val="24"/>
                <w:highlight w:val="none"/>
              </w:rPr>
            </w:pPr>
          </w:p>
        </w:tc>
        <w:tc>
          <w:tcPr>
            <w:tcW w:w="1233" w:type="dxa"/>
            <w:shd w:val="clear" w:color="auto" w:fill="auto"/>
          </w:tcPr>
          <w:p w14:paraId="0D84DB1C">
            <w:pPr>
              <w:rPr>
                <w:rFonts w:hint="eastAsia" w:ascii="仿宋" w:hAnsi="仿宋" w:eastAsia="仿宋" w:cs="仿宋"/>
                <w:color w:val="auto"/>
                <w:kern w:val="0"/>
                <w:sz w:val="24"/>
                <w:szCs w:val="24"/>
                <w:highlight w:val="none"/>
              </w:rPr>
            </w:pPr>
          </w:p>
        </w:tc>
        <w:tc>
          <w:tcPr>
            <w:tcW w:w="963" w:type="dxa"/>
            <w:shd w:val="clear" w:color="auto" w:fill="auto"/>
          </w:tcPr>
          <w:p w14:paraId="143810E4">
            <w:pPr>
              <w:rPr>
                <w:rFonts w:hint="eastAsia" w:ascii="仿宋" w:hAnsi="仿宋" w:eastAsia="仿宋" w:cs="仿宋"/>
                <w:color w:val="auto"/>
                <w:kern w:val="0"/>
                <w:sz w:val="24"/>
                <w:szCs w:val="24"/>
                <w:highlight w:val="none"/>
              </w:rPr>
            </w:pPr>
          </w:p>
        </w:tc>
        <w:tc>
          <w:tcPr>
            <w:tcW w:w="1922" w:type="dxa"/>
            <w:shd w:val="clear" w:color="auto" w:fill="auto"/>
          </w:tcPr>
          <w:p w14:paraId="40D48CA5">
            <w:pPr>
              <w:rPr>
                <w:rFonts w:hint="eastAsia" w:ascii="仿宋" w:hAnsi="仿宋" w:eastAsia="仿宋" w:cs="仿宋"/>
                <w:color w:val="auto"/>
                <w:kern w:val="0"/>
                <w:sz w:val="24"/>
                <w:szCs w:val="24"/>
                <w:highlight w:val="none"/>
              </w:rPr>
            </w:pPr>
          </w:p>
        </w:tc>
        <w:tc>
          <w:tcPr>
            <w:tcW w:w="1212" w:type="dxa"/>
            <w:shd w:val="clear" w:color="auto" w:fill="auto"/>
          </w:tcPr>
          <w:p w14:paraId="65AFD767">
            <w:pPr>
              <w:rPr>
                <w:rFonts w:hint="eastAsia" w:ascii="仿宋" w:hAnsi="仿宋" w:eastAsia="仿宋" w:cs="仿宋"/>
                <w:color w:val="auto"/>
                <w:kern w:val="0"/>
                <w:sz w:val="24"/>
                <w:szCs w:val="24"/>
                <w:highlight w:val="none"/>
              </w:rPr>
            </w:pPr>
          </w:p>
        </w:tc>
        <w:tc>
          <w:tcPr>
            <w:tcW w:w="1232" w:type="dxa"/>
            <w:shd w:val="clear" w:color="auto" w:fill="auto"/>
          </w:tcPr>
          <w:p w14:paraId="252632E0">
            <w:pPr>
              <w:rPr>
                <w:rFonts w:hint="eastAsia" w:ascii="仿宋" w:hAnsi="仿宋" w:eastAsia="仿宋" w:cs="仿宋"/>
                <w:color w:val="auto"/>
                <w:kern w:val="0"/>
                <w:sz w:val="24"/>
                <w:szCs w:val="24"/>
                <w:highlight w:val="none"/>
              </w:rPr>
            </w:pPr>
          </w:p>
        </w:tc>
        <w:tc>
          <w:tcPr>
            <w:tcW w:w="1232" w:type="dxa"/>
            <w:shd w:val="clear" w:color="auto" w:fill="auto"/>
          </w:tcPr>
          <w:p w14:paraId="7AB0E314">
            <w:pPr>
              <w:rPr>
                <w:rFonts w:hint="eastAsia" w:ascii="仿宋" w:hAnsi="仿宋" w:eastAsia="仿宋" w:cs="仿宋"/>
                <w:color w:val="auto"/>
                <w:kern w:val="0"/>
                <w:sz w:val="24"/>
                <w:szCs w:val="24"/>
                <w:highlight w:val="none"/>
              </w:rPr>
            </w:pPr>
          </w:p>
        </w:tc>
        <w:tc>
          <w:tcPr>
            <w:tcW w:w="795" w:type="dxa"/>
            <w:shd w:val="clear" w:color="auto" w:fill="auto"/>
          </w:tcPr>
          <w:p w14:paraId="6CEC3F1A">
            <w:pPr>
              <w:rPr>
                <w:rFonts w:hint="eastAsia" w:ascii="仿宋" w:hAnsi="仿宋" w:eastAsia="仿宋" w:cs="仿宋"/>
                <w:color w:val="auto"/>
                <w:kern w:val="0"/>
                <w:sz w:val="24"/>
                <w:szCs w:val="24"/>
                <w:highlight w:val="none"/>
              </w:rPr>
            </w:pPr>
          </w:p>
        </w:tc>
      </w:tr>
      <w:tr w14:paraId="43553D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697" w:type="dxa"/>
            <w:shd w:val="clear" w:color="auto" w:fill="auto"/>
          </w:tcPr>
          <w:p w14:paraId="3C7B3995">
            <w:pPr>
              <w:rPr>
                <w:rFonts w:hint="eastAsia" w:ascii="仿宋" w:hAnsi="仿宋" w:eastAsia="仿宋" w:cs="仿宋"/>
                <w:color w:val="auto"/>
                <w:kern w:val="0"/>
                <w:sz w:val="24"/>
                <w:szCs w:val="24"/>
                <w:highlight w:val="none"/>
              </w:rPr>
            </w:pPr>
          </w:p>
        </w:tc>
        <w:tc>
          <w:tcPr>
            <w:tcW w:w="1233" w:type="dxa"/>
            <w:shd w:val="clear" w:color="auto" w:fill="auto"/>
          </w:tcPr>
          <w:p w14:paraId="2B7EE348">
            <w:pPr>
              <w:rPr>
                <w:rFonts w:hint="eastAsia" w:ascii="仿宋" w:hAnsi="仿宋" w:eastAsia="仿宋" w:cs="仿宋"/>
                <w:color w:val="auto"/>
                <w:kern w:val="0"/>
                <w:sz w:val="24"/>
                <w:szCs w:val="24"/>
                <w:highlight w:val="none"/>
              </w:rPr>
            </w:pPr>
          </w:p>
        </w:tc>
        <w:tc>
          <w:tcPr>
            <w:tcW w:w="963" w:type="dxa"/>
            <w:shd w:val="clear" w:color="auto" w:fill="auto"/>
          </w:tcPr>
          <w:p w14:paraId="55E26062">
            <w:pPr>
              <w:rPr>
                <w:rFonts w:hint="eastAsia" w:ascii="仿宋" w:hAnsi="仿宋" w:eastAsia="仿宋" w:cs="仿宋"/>
                <w:color w:val="auto"/>
                <w:kern w:val="0"/>
                <w:sz w:val="24"/>
                <w:szCs w:val="24"/>
                <w:highlight w:val="none"/>
              </w:rPr>
            </w:pPr>
          </w:p>
        </w:tc>
        <w:tc>
          <w:tcPr>
            <w:tcW w:w="1922" w:type="dxa"/>
            <w:shd w:val="clear" w:color="auto" w:fill="auto"/>
          </w:tcPr>
          <w:p w14:paraId="0C153CB0">
            <w:pPr>
              <w:rPr>
                <w:rFonts w:hint="eastAsia" w:ascii="仿宋" w:hAnsi="仿宋" w:eastAsia="仿宋" w:cs="仿宋"/>
                <w:color w:val="auto"/>
                <w:kern w:val="0"/>
                <w:sz w:val="24"/>
                <w:szCs w:val="24"/>
                <w:highlight w:val="none"/>
              </w:rPr>
            </w:pPr>
          </w:p>
        </w:tc>
        <w:tc>
          <w:tcPr>
            <w:tcW w:w="1212" w:type="dxa"/>
            <w:shd w:val="clear" w:color="auto" w:fill="auto"/>
          </w:tcPr>
          <w:p w14:paraId="62C63B92">
            <w:pPr>
              <w:rPr>
                <w:rFonts w:hint="eastAsia" w:ascii="仿宋" w:hAnsi="仿宋" w:eastAsia="仿宋" w:cs="仿宋"/>
                <w:color w:val="auto"/>
                <w:kern w:val="0"/>
                <w:sz w:val="24"/>
                <w:szCs w:val="24"/>
                <w:highlight w:val="none"/>
              </w:rPr>
            </w:pPr>
          </w:p>
        </w:tc>
        <w:tc>
          <w:tcPr>
            <w:tcW w:w="1232" w:type="dxa"/>
            <w:shd w:val="clear" w:color="auto" w:fill="auto"/>
          </w:tcPr>
          <w:p w14:paraId="13F7EEA6">
            <w:pPr>
              <w:rPr>
                <w:rFonts w:hint="eastAsia" w:ascii="仿宋" w:hAnsi="仿宋" w:eastAsia="仿宋" w:cs="仿宋"/>
                <w:color w:val="auto"/>
                <w:kern w:val="0"/>
                <w:sz w:val="24"/>
                <w:szCs w:val="24"/>
                <w:highlight w:val="none"/>
              </w:rPr>
            </w:pPr>
          </w:p>
        </w:tc>
        <w:tc>
          <w:tcPr>
            <w:tcW w:w="1232" w:type="dxa"/>
            <w:shd w:val="clear" w:color="auto" w:fill="auto"/>
          </w:tcPr>
          <w:p w14:paraId="12FF96CF">
            <w:pPr>
              <w:rPr>
                <w:rFonts w:hint="eastAsia" w:ascii="仿宋" w:hAnsi="仿宋" w:eastAsia="仿宋" w:cs="仿宋"/>
                <w:color w:val="auto"/>
                <w:kern w:val="0"/>
                <w:sz w:val="24"/>
                <w:szCs w:val="24"/>
                <w:highlight w:val="none"/>
              </w:rPr>
            </w:pPr>
          </w:p>
        </w:tc>
        <w:tc>
          <w:tcPr>
            <w:tcW w:w="795" w:type="dxa"/>
            <w:shd w:val="clear" w:color="auto" w:fill="auto"/>
          </w:tcPr>
          <w:p w14:paraId="03047574">
            <w:pPr>
              <w:rPr>
                <w:rFonts w:hint="eastAsia" w:ascii="仿宋" w:hAnsi="仿宋" w:eastAsia="仿宋" w:cs="仿宋"/>
                <w:color w:val="auto"/>
                <w:kern w:val="0"/>
                <w:sz w:val="24"/>
                <w:szCs w:val="24"/>
                <w:highlight w:val="none"/>
              </w:rPr>
            </w:pPr>
          </w:p>
        </w:tc>
      </w:tr>
    </w:tbl>
    <w:p w14:paraId="282B1FAA">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bookmarkEnd w:id="150"/>
    <w:p w14:paraId="0F23CC90">
      <w:pPr>
        <w:keepLines w:val="0"/>
        <w:pageBreakBefore w:val="0"/>
        <w:tabs>
          <w:tab w:val="center" w:pos="4832"/>
          <w:tab w:val="left" w:pos="7140"/>
        </w:tabs>
        <w:kinsoku/>
        <w:overflowPunct/>
        <w:topLinePunct w:val="0"/>
        <w:bidi w:val="0"/>
        <w:spacing w:beforeAutospacing="0" w:afterAutospacing="0" w:line="360" w:lineRule="auto"/>
        <w:jc w:val="center"/>
        <w:textAlignment w:val="auto"/>
        <w:outlineLvl w:val="1"/>
        <w:rPr>
          <w:rFonts w:hint="eastAsia" w:ascii="仿宋" w:hAnsi="仿宋" w:eastAsia="仿宋" w:cs="仿宋"/>
          <w:b/>
          <w:bCs/>
          <w:color w:val="auto"/>
          <w:sz w:val="24"/>
          <w:szCs w:val="24"/>
          <w:highlight w:val="none"/>
          <w:shd w:val="clear" w:color="auto" w:fill="FFFFFF" w:themeFill="background1"/>
        </w:rPr>
      </w:pPr>
      <w:bookmarkStart w:id="294" w:name="_Toc17068"/>
      <w:bookmarkStart w:id="295" w:name="_Toc27045"/>
      <w:bookmarkStart w:id="296" w:name="_Toc507586175"/>
      <w:bookmarkStart w:id="297" w:name="_Toc533503191"/>
      <w:bookmarkStart w:id="298" w:name="_Toc19714"/>
      <w:bookmarkStart w:id="299" w:name="_Toc30216"/>
      <w:bookmarkStart w:id="300" w:name="_Toc38446480"/>
      <w:bookmarkStart w:id="301" w:name="_Toc18139"/>
      <w:bookmarkStart w:id="302" w:name="_Toc60925660"/>
      <w:bookmarkStart w:id="303" w:name="_Toc30206"/>
      <w:bookmarkStart w:id="304" w:name="_Toc22688"/>
      <w:bookmarkStart w:id="305" w:name="_Toc130252631"/>
      <w:r>
        <w:rPr>
          <w:rFonts w:hint="eastAsia" w:ascii="仿宋" w:hAnsi="仿宋" w:eastAsia="仿宋" w:cs="仿宋"/>
          <w:b/>
          <w:color w:val="auto"/>
          <w:sz w:val="24"/>
          <w:szCs w:val="24"/>
          <w:highlight w:val="none"/>
          <w:shd w:val="clear" w:color="auto" w:fill="FFFFFF" w:themeFill="background1"/>
          <w:lang w:val="en-US" w:eastAsia="zh-CN"/>
        </w:rPr>
        <w:t>十、</w:t>
      </w:r>
      <w:r>
        <w:rPr>
          <w:rFonts w:hint="eastAsia" w:ascii="仿宋" w:hAnsi="仿宋" w:eastAsia="仿宋" w:cs="仿宋"/>
          <w:b/>
          <w:bCs/>
          <w:color w:val="auto"/>
          <w:sz w:val="24"/>
          <w:szCs w:val="24"/>
          <w:highlight w:val="none"/>
          <w:shd w:val="clear" w:color="auto" w:fill="FFFFFF" w:themeFill="background1"/>
        </w:rPr>
        <w:t>项目负责人简历表</w:t>
      </w:r>
      <w:bookmarkEnd w:id="294"/>
      <w:bookmarkEnd w:id="295"/>
      <w:bookmarkEnd w:id="296"/>
      <w:bookmarkEnd w:id="297"/>
      <w:bookmarkEnd w:id="298"/>
      <w:bookmarkEnd w:id="299"/>
      <w:bookmarkEnd w:id="300"/>
      <w:bookmarkEnd w:id="301"/>
    </w:p>
    <w:p w14:paraId="4CCFB7CE">
      <w:pPr>
        <w:keepLines w:val="0"/>
        <w:pageBreakBefore w:val="0"/>
        <w:kinsoku/>
        <w:overflowPunct/>
        <w:topLinePunct w:val="0"/>
        <w:bidi w:val="0"/>
        <w:spacing w:beforeAutospacing="0" w:afterAutospacing="0" w:line="360" w:lineRule="auto"/>
        <w:jc w:val="left"/>
        <w:textAlignment w:val="auto"/>
        <w:rPr>
          <w:rFonts w:hint="eastAsia" w:ascii="仿宋" w:hAnsi="仿宋" w:eastAsia="仿宋" w:cs="仿宋"/>
          <w:color w:val="auto"/>
          <w:sz w:val="24"/>
          <w:szCs w:val="24"/>
          <w:highlight w:val="none"/>
          <w:shd w:val="clear" w:color="auto" w:fill="FFFFFF" w:themeFill="background1"/>
        </w:rPr>
      </w:pPr>
    </w:p>
    <w:tbl>
      <w:tblPr>
        <w:tblStyle w:val="40"/>
        <w:tblW w:w="92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76"/>
        <w:gridCol w:w="1372"/>
        <w:gridCol w:w="1230"/>
        <w:gridCol w:w="233"/>
        <w:gridCol w:w="1702"/>
        <w:gridCol w:w="1275"/>
        <w:gridCol w:w="1364"/>
      </w:tblGrid>
      <w:tr w14:paraId="2C558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Align w:val="center"/>
          </w:tcPr>
          <w:p w14:paraId="0E40CF0A">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姓名</w:t>
            </w:r>
          </w:p>
        </w:tc>
        <w:tc>
          <w:tcPr>
            <w:tcW w:w="2602" w:type="dxa"/>
            <w:gridSpan w:val="2"/>
            <w:vAlign w:val="center"/>
          </w:tcPr>
          <w:p w14:paraId="58B79C24">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p>
        </w:tc>
        <w:tc>
          <w:tcPr>
            <w:tcW w:w="1935" w:type="dxa"/>
            <w:gridSpan w:val="2"/>
            <w:vAlign w:val="center"/>
          </w:tcPr>
          <w:p w14:paraId="418D37FB">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性别</w:t>
            </w:r>
          </w:p>
        </w:tc>
        <w:tc>
          <w:tcPr>
            <w:tcW w:w="2639" w:type="dxa"/>
            <w:gridSpan w:val="2"/>
            <w:vAlign w:val="center"/>
          </w:tcPr>
          <w:p w14:paraId="3C6B3B7C">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p>
        </w:tc>
      </w:tr>
      <w:tr w14:paraId="6B820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Align w:val="center"/>
          </w:tcPr>
          <w:p w14:paraId="76F03297">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身份证号码</w:t>
            </w:r>
          </w:p>
        </w:tc>
        <w:tc>
          <w:tcPr>
            <w:tcW w:w="2602" w:type="dxa"/>
            <w:gridSpan w:val="2"/>
            <w:vAlign w:val="center"/>
          </w:tcPr>
          <w:p w14:paraId="7AFFD61F">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p>
        </w:tc>
        <w:tc>
          <w:tcPr>
            <w:tcW w:w="1935" w:type="dxa"/>
            <w:gridSpan w:val="2"/>
            <w:vAlign w:val="center"/>
          </w:tcPr>
          <w:p w14:paraId="1458F4E5">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学历</w:t>
            </w:r>
          </w:p>
        </w:tc>
        <w:tc>
          <w:tcPr>
            <w:tcW w:w="2639" w:type="dxa"/>
            <w:gridSpan w:val="2"/>
            <w:vAlign w:val="center"/>
          </w:tcPr>
          <w:p w14:paraId="40876DA2">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p>
        </w:tc>
      </w:tr>
      <w:tr w14:paraId="08064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Align w:val="center"/>
          </w:tcPr>
          <w:p w14:paraId="17C2F2CA">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毕业学校</w:t>
            </w:r>
          </w:p>
        </w:tc>
        <w:tc>
          <w:tcPr>
            <w:tcW w:w="2602" w:type="dxa"/>
            <w:gridSpan w:val="2"/>
            <w:vAlign w:val="center"/>
          </w:tcPr>
          <w:p w14:paraId="231A55BB">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p>
        </w:tc>
        <w:tc>
          <w:tcPr>
            <w:tcW w:w="1935" w:type="dxa"/>
            <w:gridSpan w:val="2"/>
            <w:vAlign w:val="center"/>
          </w:tcPr>
          <w:p w14:paraId="2D8AC0FF">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专业</w:t>
            </w:r>
          </w:p>
        </w:tc>
        <w:tc>
          <w:tcPr>
            <w:tcW w:w="2639" w:type="dxa"/>
            <w:gridSpan w:val="2"/>
            <w:vAlign w:val="center"/>
          </w:tcPr>
          <w:p w14:paraId="222C7CF3">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p>
        </w:tc>
      </w:tr>
      <w:tr w14:paraId="7A2B4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Align w:val="center"/>
          </w:tcPr>
          <w:p w14:paraId="19B6DF81">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参加工作时间</w:t>
            </w:r>
          </w:p>
        </w:tc>
        <w:tc>
          <w:tcPr>
            <w:tcW w:w="2602" w:type="dxa"/>
            <w:gridSpan w:val="2"/>
            <w:vAlign w:val="center"/>
          </w:tcPr>
          <w:p w14:paraId="17E25336">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p>
        </w:tc>
        <w:tc>
          <w:tcPr>
            <w:tcW w:w="1935" w:type="dxa"/>
            <w:gridSpan w:val="2"/>
            <w:vAlign w:val="center"/>
          </w:tcPr>
          <w:p w14:paraId="39331236">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从事</w:t>
            </w:r>
            <w:r>
              <w:rPr>
                <w:rFonts w:hint="eastAsia" w:ascii="仿宋" w:hAnsi="仿宋" w:eastAsia="仿宋" w:cs="仿宋"/>
                <w:color w:val="auto"/>
                <w:szCs w:val="21"/>
                <w:highlight w:val="none"/>
                <w:shd w:val="clear" w:color="auto" w:fill="FFFFFF" w:themeFill="background1"/>
                <w:lang w:val="en-US" w:eastAsia="zh-CN"/>
              </w:rPr>
              <w:t>相关</w:t>
            </w:r>
            <w:r>
              <w:rPr>
                <w:rFonts w:hint="eastAsia" w:ascii="仿宋" w:hAnsi="仿宋" w:eastAsia="仿宋" w:cs="仿宋"/>
                <w:color w:val="auto"/>
                <w:szCs w:val="21"/>
                <w:highlight w:val="none"/>
                <w:shd w:val="clear" w:color="auto" w:fill="FFFFFF" w:themeFill="background1"/>
              </w:rPr>
              <w:t>职业年限</w:t>
            </w:r>
          </w:p>
        </w:tc>
        <w:tc>
          <w:tcPr>
            <w:tcW w:w="2639" w:type="dxa"/>
            <w:gridSpan w:val="2"/>
            <w:vAlign w:val="center"/>
          </w:tcPr>
          <w:p w14:paraId="2D34D2F5">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p>
        </w:tc>
      </w:tr>
      <w:tr w14:paraId="68349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Align w:val="center"/>
          </w:tcPr>
          <w:p w14:paraId="5E62EA14">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在公司担任职务</w:t>
            </w:r>
          </w:p>
        </w:tc>
        <w:tc>
          <w:tcPr>
            <w:tcW w:w="2602" w:type="dxa"/>
            <w:gridSpan w:val="2"/>
            <w:vAlign w:val="center"/>
          </w:tcPr>
          <w:p w14:paraId="154C8C42">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p>
        </w:tc>
        <w:tc>
          <w:tcPr>
            <w:tcW w:w="1935" w:type="dxa"/>
            <w:gridSpan w:val="2"/>
            <w:vAlign w:val="center"/>
          </w:tcPr>
          <w:p w14:paraId="214578C8">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联系方式</w:t>
            </w:r>
          </w:p>
        </w:tc>
        <w:tc>
          <w:tcPr>
            <w:tcW w:w="2639" w:type="dxa"/>
            <w:gridSpan w:val="2"/>
            <w:vAlign w:val="center"/>
          </w:tcPr>
          <w:p w14:paraId="43E883FD">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p>
        </w:tc>
      </w:tr>
      <w:tr w14:paraId="72DF1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Merge w:val="restart"/>
            <w:vAlign w:val="center"/>
          </w:tcPr>
          <w:p w14:paraId="2DBD577D">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近三年类似业绩</w:t>
            </w:r>
          </w:p>
        </w:tc>
        <w:tc>
          <w:tcPr>
            <w:tcW w:w="1372" w:type="dxa"/>
            <w:vAlign w:val="center"/>
          </w:tcPr>
          <w:p w14:paraId="0EC814AA">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项目名称</w:t>
            </w:r>
          </w:p>
        </w:tc>
        <w:tc>
          <w:tcPr>
            <w:tcW w:w="1463" w:type="dxa"/>
            <w:gridSpan w:val="2"/>
            <w:vAlign w:val="center"/>
          </w:tcPr>
          <w:p w14:paraId="4940D060">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采购人</w:t>
            </w:r>
          </w:p>
        </w:tc>
        <w:tc>
          <w:tcPr>
            <w:tcW w:w="1702" w:type="dxa"/>
            <w:vAlign w:val="center"/>
          </w:tcPr>
          <w:p w14:paraId="404BEF42">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合同内容</w:t>
            </w:r>
          </w:p>
        </w:tc>
        <w:tc>
          <w:tcPr>
            <w:tcW w:w="1275" w:type="dxa"/>
            <w:vAlign w:val="center"/>
          </w:tcPr>
          <w:p w14:paraId="79025696">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合同价格</w:t>
            </w:r>
          </w:p>
        </w:tc>
        <w:tc>
          <w:tcPr>
            <w:tcW w:w="1364" w:type="dxa"/>
            <w:vAlign w:val="center"/>
          </w:tcPr>
          <w:p w14:paraId="75F17513">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r>
              <w:rPr>
                <w:rFonts w:hint="eastAsia" w:ascii="仿宋" w:hAnsi="仿宋" w:eastAsia="仿宋" w:cs="仿宋"/>
                <w:color w:val="auto"/>
                <w:szCs w:val="21"/>
                <w:highlight w:val="none"/>
                <w:shd w:val="clear" w:color="auto" w:fill="FFFFFF" w:themeFill="background1"/>
              </w:rPr>
              <w:t>签约日期</w:t>
            </w:r>
          </w:p>
        </w:tc>
      </w:tr>
      <w:tr w14:paraId="03A6A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Merge w:val="continue"/>
            <w:vAlign w:val="center"/>
          </w:tcPr>
          <w:p w14:paraId="18CB4A86">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p>
        </w:tc>
        <w:tc>
          <w:tcPr>
            <w:tcW w:w="1372" w:type="dxa"/>
            <w:vAlign w:val="center"/>
          </w:tcPr>
          <w:p w14:paraId="00B31A69">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p>
        </w:tc>
        <w:tc>
          <w:tcPr>
            <w:tcW w:w="1463" w:type="dxa"/>
            <w:gridSpan w:val="2"/>
            <w:vAlign w:val="center"/>
          </w:tcPr>
          <w:p w14:paraId="2731E114">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p>
        </w:tc>
        <w:tc>
          <w:tcPr>
            <w:tcW w:w="1702" w:type="dxa"/>
            <w:vAlign w:val="center"/>
          </w:tcPr>
          <w:p w14:paraId="72356B9C">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p>
        </w:tc>
        <w:tc>
          <w:tcPr>
            <w:tcW w:w="1275" w:type="dxa"/>
            <w:vAlign w:val="center"/>
          </w:tcPr>
          <w:p w14:paraId="439EDD6E">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p>
        </w:tc>
        <w:tc>
          <w:tcPr>
            <w:tcW w:w="1364" w:type="dxa"/>
            <w:vAlign w:val="center"/>
          </w:tcPr>
          <w:p w14:paraId="63D101A7">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p>
        </w:tc>
      </w:tr>
      <w:tr w14:paraId="446C6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Merge w:val="continue"/>
            <w:vAlign w:val="center"/>
          </w:tcPr>
          <w:p w14:paraId="0271323E">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p>
        </w:tc>
        <w:tc>
          <w:tcPr>
            <w:tcW w:w="1372" w:type="dxa"/>
            <w:vAlign w:val="center"/>
          </w:tcPr>
          <w:p w14:paraId="0499D36D">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p>
        </w:tc>
        <w:tc>
          <w:tcPr>
            <w:tcW w:w="1463" w:type="dxa"/>
            <w:gridSpan w:val="2"/>
            <w:vAlign w:val="center"/>
          </w:tcPr>
          <w:p w14:paraId="146A54FF">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p>
        </w:tc>
        <w:tc>
          <w:tcPr>
            <w:tcW w:w="1702" w:type="dxa"/>
            <w:vAlign w:val="center"/>
          </w:tcPr>
          <w:p w14:paraId="5EF4984C">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p>
        </w:tc>
        <w:tc>
          <w:tcPr>
            <w:tcW w:w="1275" w:type="dxa"/>
            <w:vAlign w:val="center"/>
          </w:tcPr>
          <w:p w14:paraId="321965E5">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p>
        </w:tc>
        <w:tc>
          <w:tcPr>
            <w:tcW w:w="1364" w:type="dxa"/>
            <w:vAlign w:val="center"/>
          </w:tcPr>
          <w:p w14:paraId="2610366D">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p>
        </w:tc>
      </w:tr>
      <w:tr w14:paraId="0F148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Merge w:val="continue"/>
            <w:vAlign w:val="center"/>
          </w:tcPr>
          <w:p w14:paraId="7142DC46">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p>
        </w:tc>
        <w:tc>
          <w:tcPr>
            <w:tcW w:w="1372" w:type="dxa"/>
            <w:vAlign w:val="center"/>
          </w:tcPr>
          <w:p w14:paraId="41A1EEFF">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p>
        </w:tc>
        <w:tc>
          <w:tcPr>
            <w:tcW w:w="1463" w:type="dxa"/>
            <w:gridSpan w:val="2"/>
            <w:vAlign w:val="center"/>
          </w:tcPr>
          <w:p w14:paraId="76111C12">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p>
        </w:tc>
        <w:tc>
          <w:tcPr>
            <w:tcW w:w="1702" w:type="dxa"/>
            <w:vAlign w:val="center"/>
          </w:tcPr>
          <w:p w14:paraId="5E30119D">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p>
        </w:tc>
        <w:tc>
          <w:tcPr>
            <w:tcW w:w="1275" w:type="dxa"/>
            <w:vAlign w:val="center"/>
          </w:tcPr>
          <w:p w14:paraId="39756418">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p>
        </w:tc>
        <w:tc>
          <w:tcPr>
            <w:tcW w:w="1364" w:type="dxa"/>
            <w:vAlign w:val="center"/>
          </w:tcPr>
          <w:p w14:paraId="5425460D">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p>
        </w:tc>
      </w:tr>
      <w:tr w14:paraId="11784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Merge w:val="continue"/>
            <w:vAlign w:val="center"/>
          </w:tcPr>
          <w:p w14:paraId="2AD29431">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p>
        </w:tc>
        <w:tc>
          <w:tcPr>
            <w:tcW w:w="1372" w:type="dxa"/>
            <w:vAlign w:val="center"/>
          </w:tcPr>
          <w:p w14:paraId="1415448E">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p>
        </w:tc>
        <w:tc>
          <w:tcPr>
            <w:tcW w:w="1463" w:type="dxa"/>
            <w:gridSpan w:val="2"/>
            <w:vAlign w:val="center"/>
          </w:tcPr>
          <w:p w14:paraId="50AD7DDB">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p>
        </w:tc>
        <w:tc>
          <w:tcPr>
            <w:tcW w:w="1702" w:type="dxa"/>
            <w:vAlign w:val="center"/>
          </w:tcPr>
          <w:p w14:paraId="468130F0">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p>
        </w:tc>
        <w:tc>
          <w:tcPr>
            <w:tcW w:w="1275" w:type="dxa"/>
            <w:vAlign w:val="center"/>
          </w:tcPr>
          <w:p w14:paraId="5B28646F">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p>
        </w:tc>
        <w:tc>
          <w:tcPr>
            <w:tcW w:w="1364" w:type="dxa"/>
            <w:vAlign w:val="center"/>
          </w:tcPr>
          <w:p w14:paraId="148116DE">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p>
        </w:tc>
      </w:tr>
      <w:tr w14:paraId="5C4FB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076" w:type="dxa"/>
            <w:vMerge w:val="continue"/>
            <w:vAlign w:val="center"/>
          </w:tcPr>
          <w:p w14:paraId="36687B9E">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p>
        </w:tc>
        <w:tc>
          <w:tcPr>
            <w:tcW w:w="1372" w:type="dxa"/>
            <w:vAlign w:val="center"/>
          </w:tcPr>
          <w:p w14:paraId="6F9CC11A">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p>
        </w:tc>
        <w:tc>
          <w:tcPr>
            <w:tcW w:w="1463" w:type="dxa"/>
            <w:gridSpan w:val="2"/>
            <w:vAlign w:val="center"/>
          </w:tcPr>
          <w:p w14:paraId="15FB2614">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p>
        </w:tc>
        <w:tc>
          <w:tcPr>
            <w:tcW w:w="1702" w:type="dxa"/>
            <w:vAlign w:val="center"/>
          </w:tcPr>
          <w:p w14:paraId="238F8ABB">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p>
        </w:tc>
        <w:tc>
          <w:tcPr>
            <w:tcW w:w="1275" w:type="dxa"/>
            <w:vAlign w:val="center"/>
          </w:tcPr>
          <w:p w14:paraId="5CD2CBDB">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p>
        </w:tc>
        <w:tc>
          <w:tcPr>
            <w:tcW w:w="1364" w:type="dxa"/>
            <w:vAlign w:val="center"/>
          </w:tcPr>
          <w:p w14:paraId="3AA97F28">
            <w:pPr>
              <w:keepLines w:val="0"/>
              <w:pageBreakBefore w:val="0"/>
              <w:kinsoku/>
              <w:overflowPunct/>
              <w:topLinePunct w:val="0"/>
              <w:bidi w:val="0"/>
              <w:spacing w:beforeAutospacing="0" w:afterAutospacing="0" w:line="360" w:lineRule="auto"/>
              <w:jc w:val="center"/>
              <w:textAlignment w:val="auto"/>
              <w:rPr>
                <w:rFonts w:hint="eastAsia" w:ascii="仿宋" w:hAnsi="仿宋" w:eastAsia="仿宋" w:cs="仿宋"/>
                <w:color w:val="auto"/>
                <w:szCs w:val="21"/>
                <w:highlight w:val="none"/>
                <w:shd w:val="clear" w:color="auto" w:fill="FFFFFF" w:themeFill="background1"/>
              </w:rPr>
            </w:pPr>
          </w:p>
        </w:tc>
      </w:tr>
    </w:tbl>
    <w:p w14:paraId="6FE391A4">
      <w:pPr>
        <w:keepLines w:val="0"/>
        <w:pageBreakBefore w:val="0"/>
        <w:kinsoku/>
        <w:overflowPunct/>
        <w:topLinePunct w:val="0"/>
        <w:bidi w:val="0"/>
        <w:spacing w:beforeAutospacing="0" w:afterAutospacing="0" w:line="360" w:lineRule="auto"/>
        <w:ind w:firstLine="420" w:firstLineChars="200"/>
        <w:textAlignment w:val="auto"/>
        <w:rPr>
          <w:rFonts w:hint="eastAsia" w:ascii="仿宋" w:hAnsi="仿宋" w:eastAsia="仿宋" w:cs="仿宋"/>
          <w:color w:val="auto"/>
          <w:sz w:val="22"/>
          <w:szCs w:val="22"/>
          <w:highlight w:val="none"/>
          <w:shd w:val="clear" w:color="auto" w:fill="FFFFFF" w:themeFill="background1"/>
        </w:rPr>
      </w:pPr>
      <w:r>
        <w:rPr>
          <w:rFonts w:hint="eastAsia" w:ascii="仿宋" w:hAnsi="仿宋" w:eastAsia="仿宋" w:cs="仿宋"/>
          <w:color w:val="auto"/>
          <w:sz w:val="21"/>
          <w:szCs w:val="21"/>
          <w:highlight w:val="none"/>
          <w:shd w:val="clear" w:color="auto" w:fill="FFFFFF" w:themeFill="background1"/>
        </w:rPr>
        <w:t>注：附身份证等其它相关材料</w:t>
      </w:r>
      <w:r>
        <w:rPr>
          <w:rFonts w:hint="eastAsia" w:ascii="仿宋" w:hAnsi="仿宋" w:eastAsia="仿宋" w:cs="仿宋"/>
          <w:color w:val="auto"/>
          <w:sz w:val="21"/>
          <w:szCs w:val="21"/>
          <w:highlight w:val="none"/>
          <w:shd w:val="clear" w:color="auto" w:fill="FFFFFF" w:themeFill="background1"/>
          <w:lang w:val="en-US" w:eastAsia="zh-CN"/>
        </w:rPr>
        <w:t>扫描件</w:t>
      </w:r>
      <w:r>
        <w:rPr>
          <w:rFonts w:hint="eastAsia" w:ascii="仿宋" w:hAnsi="仿宋" w:eastAsia="仿宋" w:cs="仿宋"/>
          <w:color w:val="auto"/>
          <w:sz w:val="22"/>
          <w:szCs w:val="22"/>
          <w:highlight w:val="none"/>
          <w:shd w:val="clear" w:color="auto" w:fill="FFFFFF" w:themeFill="background1"/>
        </w:rPr>
        <w:t>。</w:t>
      </w:r>
    </w:p>
    <w:p w14:paraId="70CD0E97">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14:paraId="08EED635">
      <w:pPr>
        <w:keepLines w:val="0"/>
        <w:pageBreakBefore w:val="0"/>
        <w:tabs>
          <w:tab w:val="center" w:pos="4832"/>
          <w:tab w:val="left" w:pos="7140"/>
        </w:tabs>
        <w:kinsoku/>
        <w:overflowPunct/>
        <w:topLinePunct w:val="0"/>
        <w:bidi w:val="0"/>
        <w:spacing w:beforeAutospacing="0" w:afterAutospacing="0" w:line="360" w:lineRule="auto"/>
        <w:jc w:val="center"/>
        <w:textAlignment w:val="auto"/>
        <w:outlineLvl w:val="1"/>
        <w:rPr>
          <w:rFonts w:hint="eastAsia" w:ascii="仿宋" w:hAnsi="仿宋" w:eastAsia="仿宋" w:cs="仿宋"/>
          <w:b/>
          <w:bCs/>
          <w:color w:val="auto"/>
          <w:sz w:val="24"/>
          <w:szCs w:val="24"/>
          <w:highlight w:val="none"/>
          <w:shd w:val="clear" w:color="auto" w:fill="FFFFFF" w:themeFill="background1"/>
        </w:rPr>
      </w:pPr>
      <w:bookmarkStart w:id="306" w:name="_Toc19030"/>
      <w:bookmarkStart w:id="307" w:name="_Toc3377"/>
      <w:bookmarkStart w:id="308" w:name="_Toc13126"/>
      <w:bookmarkStart w:id="309" w:name="_Toc22814"/>
      <w:r>
        <w:rPr>
          <w:rFonts w:hint="eastAsia" w:ascii="仿宋" w:hAnsi="仿宋" w:eastAsia="仿宋" w:cs="仿宋"/>
          <w:b/>
          <w:color w:val="auto"/>
          <w:sz w:val="24"/>
          <w:szCs w:val="24"/>
          <w:highlight w:val="none"/>
          <w:shd w:val="clear" w:color="auto" w:fill="FFFFFF" w:themeFill="background1"/>
          <w:lang w:val="en-US" w:eastAsia="zh-CN"/>
        </w:rPr>
        <w:t>十一</w:t>
      </w:r>
      <w:r>
        <w:rPr>
          <w:rFonts w:hint="eastAsia" w:ascii="仿宋" w:hAnsi="仿宋" w:eastAsia="仿宋" w:cs="仿宋"/>
          <w:b/>
          <w:color w:val="auto"/>
          <w:sz w:val="24"/>
          <w:szCs w:val="24"/>
          <w:highlight w:val="none"/>
          <w:shd w:val="clear" w:color="auto" w:fill="FFFFFF" w:themeFill="background1"/>
        </w:rPr>
        <w:t>、拟派主要</w:t>
      </w:r>
      <w:r>
        <w:rPr>
          <w:rFonts w:hint="eastAsia" w:ascii="仿宋" w:hAnsi="仿宋" w:eastAsia="仿宋" w:cs="仿宋"/>
          <w:b/>
          <w:color w:val="auto"/>
          <w:sz w:val="24"/>
          <w:szCs w:val="24"/>
          <w:highlight w:val="none"/>
          <w:shd w:val="clear" w:color="auto" w:fill="FFFFFF" w:themeFill="background1"/>
          <w:lang w:val="en-US" w:eastAsia="zh-CN"/>
        </w:rPr>
        <w:t>服务</w:t>
      </w:r>
      <w:r>
        <w:rPr>
          <w:rFonts w:hint="eastAsia" w:ascii="仿宋" w:hAnsi="仿宋" w:eastAsia="仿宋" w:cs="仿宋"/>
          <w:b/>
          <w:color w:val="auto"/>
          <w:sz w:val="24"/>
          <w:szCs w:val="24"/>
          <w:highlight w:val="none"/>
          <w:shd w:val="clear" w:color="auto" w:fill="FFFFFF" w:themeFill="background1"/>
        </w:rPr>
        <w:t>人员情况表</w:t>
      </w:r>
      <w:bookmarkEnd w:id="306"/>
      <w:bookmarkEnd w:id="307"/>
      <w:bookmarkEnd w:id="308"/>
      <w:bookmarkEnd w:id="309"/>
    </w:p>
    <w:tbl>
      <w:tblPr>
        <w:tblStyle w:val="40"/>
        <w:tblW w:w="93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4"/>
        <w:gridCol w:w="1167"/>
        <w:gridCol w:w="2283"/>
        <w:gridCol w:w="1388"/>
        <w:gridCol w:w="1012"/>
        <w:gridCol w:w="1141"/>
        <w:gridCol w:w="1406"/>
      </w:tblGrid>
      <w:tr w14:paraId="7267B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4" w:type="dxa"/>
            <w:vAlign w:val="center"/>
          </w:tcPr>
          <w:p w14:paraId="494D5690">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序号</w:t>
            </w:r>
          </w:p>
        </w:tc>
        <w:tc>
          <w:tcPr>
            <w:tcW w:w="1167" w:type="dxa"/>
            <w:vAlign w:val="center"/>
          </w:tcPr>
          <w:p w14:paraId="6B5BF29C">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姓名</w:t>
            </w:r>
          </w:p>
        </w:tc>
        <w:tc>
          <w:tcPr>
            <w:tcW w:w="2283" w:type="dxa"/>
            <w:vAlign w:val="center"/>
          </w:tcPr>
          <w:p w14:paraId="58AF921C">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身份证号码</w:t>
            </w:r>
          </w:p>
        </w:tc>
        <w:tc>
          <w:tcPr>
            <w:tcW w:w="1388" w:type="dxa"/>
            <w:vAlign w:val="center"/>
          </w:tcPr>
          <w:p w14:paraId="55DEC3F0">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性别</w:t>
            </w:r>
          </w:p>
        </w:tc>
        <w:tc>
          <w:tcPr>
            <w:tcW w:w="1012" w:type="dxa"/>
            <w:vAlign w:val="center"/>
          </w:tcPr>
          <w:p w14:paraId="729AFFFA">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拟担任</w:t>
            </w:r>
            <w:r>
              <w:rPr>
                <w:rFonts w:hint="eastAsia" w:ascii="仿宋" w:hAnsi="仿宋" w:eastAsia="仿宋" w:cs="仿宋"/>
                <w:color w:val="auto"/>
                <w:szCs w:val="21"/>
                <w:highlight w:val="none"/>
              </w:rPr>
              <w:t>岗位</w:t>
            </w:r>
          </w:p>
        </w:tc>
        <w:tc>
          <w:tcPr>
            <w:tcW w:w="1141" w:type="dxa"/>
            <w:vAlign w:val="center"/>
          </w:tcPr>
          <w:p w14:paraId="7E1BE782">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从事</w:t>
            </w:r>
            <w:r>
              <w:rPr>
                <w:rFonts w:hint="eastAsia" w:ascii="仿宋" w:hAnsi="仿宋" w:eastAsia="仿宋" w:cs="仿宋"/>
                <w:color w:val="auto"/>
                <w:szCs w:val="21"/>
                <w:highlight w:val="none"/>
                <w:lang w:val="en-US" w:eastAsia="zh-CN"/>
              </w:rPr>
              <w:t>相关</w:t>
            </w:r>
            <w:r>
              <w:rPr>
                <w:rFonts w:hint="eastAsia" w:ascii="仿宋" w:hAnsi="仿宋" w:eastAsia="仿宋" w:cs="仿宋"/>
                <w:color w:val="auto"/>
                <w:szCs w:val="21"/>
                <w:highlight w:val="none"/>
              </w:rPr>
              <w:t>工作年限</w:t>
            </w:r>
          </w:p>
        </w:tc>
        <w:tc>
          <w:tcPr>
            <w:tcW w:w="1406" w:type="dxa"/>
            <w:vAlign w:val="center"/>
          </w:tcPr>
          <w:p w14:paraId="2ED7A7CA">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备注</w:t>
            </w:r>
          </w:p>
        </w:tc>
      </w:tr>
      <w:tr w14:paraId="0312C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4" w:type="dxa"/>
            <w:vAlign w:val="center"/>
          </w:tcPr>
          <w:p w14:paraId="64E54779">
            <w:pPr>
              <w:spacing w:line="440" w:lineRule="exact"/>
              <w:jc w:val="center"/>
              <w:rPr>
                <w:rFonts w:hint="eastAsia" w:ascii="仿宋" w:hAnsi="仿宋" w:eastAsia="仿宋" w:cs="仿宋"/>
                <w:color w:val="auto"/>
                <w:szCs w:val="21"/>
                <w:highlight w:val="none"/>
              </w:rPr>
            </w:pPr>
          </w:p>
        </w:tc>
        <w:tc>
          <w:tcPr>
            <w:tcW w:w="1167" w:type="dxa"/>
            <w:vAlign w:val="center"/>
          </w:tcPr>
          <w:p w14:paraId="29EBF84A">
            <w:pPr>
              <w:spacing w:line="360" w:lineRule="auto"/>
              <w:jc w:val="center"/>
              <w:rPr>
                <w:rFonts w:hint="eastAsia" w:ascii="仿宋" w:hAnsi="仿宋" w:eastAsia="仿宋" w:cs="仿宋"/>
                <w:color w:val="auto"/>
                <w:szCs w:val="21"/>
                <w:highlight w:val="none"/>
              </w:rPr>
            </w:pPr>
          </w:p>
        </w:tc>
        <w:tc>
          <w:tcPr>
            <w:tcW w:w="2283" w:type="dxa"/>
            <w:vAlign w:val="center"/>
          </w:tcPr>
          <w:p w14:paraId="377915A8">
            <w:pPr>
              <w:spacing w:line="360" w:lineRule="auto"/>
              <w:jc w:val="center"/>
              <w:rPr>
                <w:rFonts w:hint="eastAsia" w:ascii="仿宋" w:hAnsi="仿宋" w:eastAsia="仿宋" w:cs="仿宋"/>
                <w:color w:val="auto"/>
                <w:szCs w:val="21"/>
                <w:highlight w:val="none"/>
              </w:rPr>
            </w:pPr>
          </w:p>
        </w:tc>
        <w:tc>
          <w:tcPr>
            <w:tcW w:w="1388" w:type="dxa"/>
            <w:vAlign w:val="center"/>
          </w:tcPr>
          <w:p w14:paraId="56A22E02">
            <w:pPr>
              <w:spacing w:line="360" w:lineRule="auto"/>
              <w:jc w:val="center"/>
              <w:rPr>
                <w:rFonts w:hint="eastAsia" w:ascii="仿宋" w:hAnsi="仿宋" w:eastAsia="仿宋" w:cs="仿宋"/>
                <w:color w:val="auto"/>
                <w:szCs w:val="21"/>
                <w:highlight w:val="none"/>
              </w:rPr>
            </w:pPr>
          </w:p>
        </w:tc>
        <w:tc>
          <w:tcPr>
            <w:tcW w:w="1012" w:type="dxa"/>
            <w:vAlign w:val="center"/>
          </w:tcPr>
          <w:p w14:paraId="5EF1C244">
            <w:pPr>
              <w:spacing w:line="360" w:lineRule="auto"/>
              <w:jc w:val="center"/>
              <w:rPr>
                <w:rFonts w:hint="eastAsia" w:ascii="仿宋" w:hAnsi="仿宋" w:eastAsia="仿宋" w:cs="仿宋"/>
                <w:color w:val="auto"/>
                <w:szCs w:val="21"/>
                <w:highlight w:val="none"/>
              </w:rPr>
            </w:pPr>
          </w:p>
        </w:tc>
        <w:tc>
          <w:tcPr>
            <w:tcW w:w="1141" w:type="dxa"/>
            <w:vAlign w:val="center"/>
          </w:tcPr>
          <w:p w14:paraId="55D0A8DC">
            <w:pPr>
              <w:spacing w:line="360" w:lineRule="auto"/>
              <w:jc w:val="center"/>
              <w:rPr>
                <w:rFonts w:hint="eastAsia" w:ascii="仿宋" w:hAnsi="仿宋" w:eastAsia="仿宋" w:cs="仿宋"/>
                <w:color w:val="auto"/>
                <w:szCs w:val="21"/>
                <w:highlight w:val="none"/>
              </w:rPr>
            </w:pPr>
          </w:p>
        </w:tc>
        <w:tc>
          <w:tcPr>
            <w:tcW w:w="1406" w:type="dxa"/>
            <w:vAlign w:val="center"/>
          </w:tcPr>
          <w:p w14:paraId="401E8240">
            <w:pPr>
              <w:spacing w:line="360" w:lineRule="auto"/>
              <w:jc w:val="center"/>
              <w:rPr>
                <w:rFonts w:hint="eastAsia" w:ascii="仿宋" w:hAnsi="仿宋" w:eastAsia="仿宋" w:cs="仿宋"/>
                <w:color w:val="auto"/>
                <w:szCs w:val="21"/>
                <w:highlight w:val="none"/>
              </w:rPr>
            </w:pPr>
          </w:p>
        </w:tc>
      </w:tr>
      <w:tr w14:paraId="2D495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4" w:type="dxa"/>
            <w:vAlign w:val="center"/>
          </w:tcPr>
          <w:p w14:paraId="627FDA4E">
            <w:pPr>
              <w:spacing w:line="440" w:lineRule="exact"/>
              <w:jc w:val="center"/>
              <w:rPr>
                <w:rFonts w:hint="eastAsia" w:ascii="仿宋" w:hAnsi="仿宋" w:eastAsia="仿宋" w:cs="仿宋"/>
                <w:color w:val="auto"/>
                <w:szCs w:val="21"/>
                <w:highlight w:val="none"/>
              </w:rPr>
            </w:pPr>
          </w:p>
        </w:tc>
        <w:tc>
          <w:tcPr>
            <w:tcW w:w="1167" w:type="dxa"/>
            <w:vAlign w:val="center"/>
          </w:tcPr>
          <w:p w14:paraId="7D1CF219">
            <w:pPr>
              <w:spacing w:line="360" w:lineRule="auto"/>
              <w:jc w:val="center"/>
              <w:rPr>
                <w:rFonts w:hint="eastAsia" w:ascii="仿宋" w:hAnsi="仿宋" w:eastAsia="仿宋" w:cs="仿宋"/>
                <w:color w:val="auto"/>
                <w:szCs w:val="21"/>
                <w:highlight w:val="none"/>
              </w:rPr>
            </w:pPr>
          </w:p>
        </w:tc>
        <w:tc>
          <w:tcPr>
            <w:tcW w:w="2283" w:type="dxa"/>
            <w:vAlign w:val="center"/>
          </w:tcPr>
          <w:p w14:paraId="4D124028">
            <w:pPr>
              <w:spacing w:line="360" w:lineRule="auto"/>
              <w:jc w:val="center"/>
              <w:rPr>
                <w:rFonts w:hint="eastAsia" w:ascii="仿宋" w:hAnsi="仿宋" w:eastAsia="仿宋" w:cs="仿宋"/>
                <w:color w:val="auto"/>
                <w:szCs w:val="21"/>
                <w:highlight w:val="none"/>
              </w:rPr>
            </w:pPr>
          </w:p>
        </w:tc>
        <w:tc>
          <w:tcPr>
            <w:tcW w:w="1388" w:type="dxa"/>
            <w:vAlign w:val="center"/>
          </w:tcPr>
          <w:p w14:paraId="64C42B61">
            <w:pPr>
              <w:spacing w:line="360" w:lineRule="auto"/>
              <w:jc w:val="center"/>
              <w:rPr>
                <w:rFonts w:hint="eastAsia" w:ascii="仿宋" w:hAnsi="仿宋" w:eastAsia="仿宋" w:cs="仿宋"/>
                <w:color w:val="auto"/>
                <w:szCs w:val="21"/>
                <w:highlight w:val="none"/>
              </w:rPr>
            </w:pPr>
          </w:p>
        </w:tc>
        <w:tc>
          <w:tcPr>
            <w:tcW w:w="1012" w:type="dxa"/>
            <w:vAlign w:val="center"/>
          </w:tcPr>
          <w:p w14:paraId="126673B0">
            <w:pPr>
              <w:spacing w:line="360" w:lineRule="auto"/>
              <w:jc w:val="center"/>
              <w:rPr>
                <w:rFonts w:hint="eastAsia" w:ascii="仿宋" w:hAnsi="仿宋" w:eastAsia="仿宋" w:cs="仿宋"/>
                <w:color w:val="auto"/>
                <w:szCs w:val="21"/>
                <w:highlight w:val="none"/>
              </w:rPr>
            </w:pPr>
          </w:p>
        </w:tc>
        <w:tc>
          <w:tcPr>
            <w:tcW w:w="1141" w:type="dxa"/>
            <w:vAlign w:val="center"/>
          </w:tcPr>
          <w:p w14:paraId="0F24147A">
            <w:pPr>
              <w:spacing w:line="360" w:lineRule="auto"/>
              <w:jc w:val="center"/>
              <w:rPr>
                <w:rFonts w:hint="eastAsia" w:ascii="仿宋" w:hAnsi="仿宋" w:eastAsia="仿宋" w:cs="仿宋"/>
                <w:color w:val="auto"/>
                <w:szCs w:val="21"/>
                <w:highlight w:val="none"/>
              </w:rPr>
            </w:pPr>
          </w:p>
        </w:tc>
        <w:tc>
          <w:tcPr>
            <w:tcW w:w="1406" w:type="dxa"/>
            <w:vAlign w:val="center"/>
          </w:tcPr>
          <w:p w14:paraId="7A9B34FF">
            <w:pPr>
              <w:spacing w:line="360" w:lineRule="auto"/>
              <w:jc w:val="center"/>
              <w:rPr>
                <w:rFonts w:hint="eastAsia" w:ascii="仿宋" w:hAnsi="仿宋" w:eastAsia="仿宋" w:cs="仿宋"/>
                <w:color w:val="auto"/>
                <w:szCs w:val="21"/>
                <w:highlight w:val="none"/>
              </w:rPr>
            </w:pPr>
          </w:p>
        </w:tc>
      </w:tr>
      <w:tr w14:paraId="38DA0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4" w:type="dxa"/>
            <w:vAlign w:val="center"/>
          </w:tcPr>
          <w:p w14:paraId="5802E5C3">
            <w:pPr>
              <w:spacing w:line="440" w:lineRule="exact"/>
              <w:jc w:val="center"/>
              <w:rPr>
                <w:rFonts w:hint="eastAsia" w:ascii="仿宋" w:hAnsi="仿宋" w:eastAsia="仿宋" w:cs="仿宋"/>
                <w:color w:val="auto"/>
                <w:szCs w:val="21"/>
                <w:highlight w:val="none"/>
              </w:rPr>
            </w:pPr>
          </w:p>
        </w:tc>
        <w:tc>
          <w:tcPr>
            <w:tcW w:w="1167" w:type="dxa"/>
            <w:vAlign w:val="center"/>
          </w:tcPr>
          <w:p w14:paraId="7D16284D">
            <w:pPr>
              <w:spacing w:line="360" w:lineRule="auto"/>
              <w:jc w:val="center"/>
              <w:rPr>
                <w:rFonts w:hint="eastAsia" w:ascii="仿宋" w:hAnsi="仿宋" w:eastAsia="仿宋" w:cs="仿宋"/>
                <w:color w:val="auto"/>
                <w:szCs w:val="21"/>
                <w:highlight w:val="none"/>
              </w:rPr>
            </w:pPr>
          </w:p>
        </w:tc>
        <w:tc>
          <w:tcPr>
            <w:tcW w:w="2283" w:type="dxa"/>
            <w:vAlign w:val="center"/>
          </w:tcPr>
          <w:p w14:paraId="20DC9FE1">
            <w:pPr>
              <w:spacing w:line="360" w:lineRule="auto"/>
              <w:jc w:val="center"/>
              <w:rPr>
                <w:rFonts w:hint="eastAsia" w:ascii="仿宋" w:hAnsi="仿宋" w:eastAsia="仿宋" w:cs="仿宋"/>
                <w:color w:val="auto"/>
                <w:szCs w:val="21"/>
                <w:highlight w:val="none"/>
              </w:rPr>
            </w:pPr>
          </w:p>
        </w:tc>
        <w:tc>
          <w:tcPr>
            <w:tcW w:w="1388" w:type="dxa"/>
            <w:vAlign w:val="center"/>
          </w:tcPr>
          <w:p w14:paraId="2E7B6B7D">
            <w:pPr>
              <w:spacing w:line="360" w:lineRule="auto"/>
              <w:jc w:val="center"/>
              <w:rPr>
                <w:rFonts w:hint="eastAsia" w:ascii="仿宋" w:hAnsi="仿宋" w:eastAsia="仿宋" w:cs="仿宋"/>
                <w:color w:val="auto"/>
                <w:szCs w:val="21"/>
                <w:highlight w:val="none"/>
              </w:rPr>
            </w:pPr>
          </w:p>
        </w:tc>
        <w:tc>
          <w:tcPr>
            <w:tcW w:w="1012" w:type="dxa"/>
            <w:vAlign w:val="center"/>
          </w:tcPr>
          <w:p w14:paraId="50375FBA">
            <w:pPr>
              <w:spacing w:line="360" w:lineRule="auto"/>
              <w:jc w:val="center"/>
              <w:rPr>
                <w:rFonts w:hint="eastAsia" w:ascii="仿宋" w:hAnsi="仿宋" w:eastAsia="仿宋" w:cs="仿宋"/>
                <w:color w:val="auto"/>
                <w:szCs w:val="21"/>
                <w:highlight w:val="none"/>
              </w:rPr>
            </w:pPr>
          </w:p>
        </w:tc>
        <w:tc>
          <w:tcPr>
            <w:tcW w:w="1141" w:type="dxa"/>
            <w:vAlign w:val="center"/>
          </w:tcPr>
          <w:p w14:paraId="22DFA7F4">
            <w:pPr>
              <w:spacing w:line="360" w:lineRule="auto"/>
              <w:jc w:val="center"/>
              <w:rPr>
                <w:rFonts w:hint="eastAsia" w:ascii="仿宋" w:hAnsi="仿宋" w:eastAsia="仿宋" w:cs="仿宋"/>
                <w:color w:val="auto"/>
                <w:szCs w:val="21"/>
                <w:highlight w:val="none"/>
              </w:rPr>
            </w:pPr>
          </w:p>
        </w:tc>
        <w:tc>
          <w:tcPr>
            <w:tcW w:w="1406" w:type="dxa"/>
            <w:vAlign w:val="center"/>
          </w:tcPr>
          <w:p w14:paraId="5ED0E45A">
            <w:pPr>
              <w:spacing w:line="360" w:lineRule="auto"/>
              <w:jc w:val="center"/>
              <w:rPr>
                <w:rFonts w:hint="eastAsia" w:ascii="仿宋" w:hAnsi="仿宋" w:eastAsia="仿宋" w:cs="仿宋"/>
                <w:color w:val="auto"/>
                <w:szCs w:val="21"/>
                <w:highlight w:val="none"/>
              </w:rPr>
            </w:pPr>
          </w:p>
        </w:tc>
      </w:tr>
      <w:tr w14:paraId="4FE02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4" w:type="dxa"/>
            <w:vAlign w:val="center"/>
          </w:tcPr>
          <w:p w14:paraId="11A0D515">
            <w:pPr>
              <w:spacing w:line="440" w:lineRule="exact"/>
              <w:jc w:val="center"/>
              <w:rPr>
                <w:rFonts w:hint="eastAsia" w:ascii="仿宋" w:hAnsi="仿宋" w:eastAsia="仿宋" w:cs="仿宋"/>
                <w:color w:val="auto"/>
                <w:szCs w:val="21"/>
                <w:highlight w:val="none"/>
              </w:rPr>
            </w:pPr>
          </w:p>
        </w:tc>
        <w:tc>
          <w:tcPr>
            <w:tcW w:w="1167" w:type="dxa"/>
            <w:vAlign w:val="center"/>
          </w:tcPr>
          <w:p w14:paraId="6EC8309C">
            <w:pPr>
              <w:spacing w:line="360" w:lineRule="auto"/>
              <w:jc w:val="center"/>
              <w:rPr>
                <w:rFonts w:hint="eastAsia" w:ascii="仿宋" w:hAnsi="仿宋" w:eastAsia="仿宋" w:cs="仿宋"/>
                <w:color w:val="auto"/>
                <w:szCs w:val="21"/>
                <w:highlight w:val="none"/>
              </w:rPr>
            </w:pPr>
          </w:p>
        </w:tc>
        <w:tc>
          <w:tcPr>
            <w:tcW w:w="2283" w:type="dxa"/>
            <w:vAlign w:val="center"/>
          </w:tcPr>
          <w:p w14:paraId="0BB3D5A4">
            <w:pPr>
              <w:spacing w:line="360" w:lineRule="auto"/>
              <w:jc w:val="center"/>
              <w:rPr>
                <w:rFonts w:hint="eastAsia" w:ascii="仿宋" w:hAnsi="仿宋" w:eastAsia="仿宋" w:cs="仿宋"/>
                <w:color w:val="auto"/>
                <w:szCs w:val="21"/>
                <w:highlight w:val="none"/>
              </w:rPr>
            </w:pPr>
          </w:p>
        </w:tc>
        <w:tc>
          <w:tcPr>
            <w:tcW w:w="1388" w:type="dxa"/>
            <w:vAlign w:val="center"/>
          </w:tcPr>
          <w:p w14:paraId="78135FC1">
            <w:pPr>
              <w:spacing w:line="360" w:lineRule="auto"/>
              <w:jc w:val="center"/>
              <w:rPr>
                <w:rFonts w:hint="eastAsia" w:ascii="仿宋" w:hAnsi="仿宋" w:eastAsia="仿宋" w:cs="仿宋"/>
                <w:color w:val="auto"/>
                <w:szCs w:val="21"/>
                <w:highlight w:val="none"/>
              </w:rPr>
            </w:pPr>
          </w:p>
        </w:tc>
        <w:tc>
          <w:tcPr>
            <w:tcW w:w="1012" w:type="dxa"/>
            <w:vAlign w:val="center"/>
          </w:tcPr>
          <w:p w14:paraId="6C06817B">
            <w:pPr>
              <w:spacing w:line="360" w:lineRule="auto"/>
              <w:jc w:val="center"/>
              <w:rPr>
                <w:rFonts w:hint="eastAsia" w:ascii="仿宋" w:hAnsi="仿宋" w:eastAsia="仿宋" w:cs="仿宋"/>
                <w:color w:val="auto"/>
                <w:szCs w:val="21"/>
                <w:highlight w:val="none"/>
              </w:rPr>
            </w:pPr>
          </w:p>
        </w:tc>
        <w:tc>
          <w:tcPr>
            <w:tcW w:w="1141" w:type="dxa"/>
            <w:vAlign w:val="center"/>
          </w:tcPr>
          <w:p w14:paraId="171A0316">
            <w:pPr>
              <w:spacing w:line="360" w:lineRule="auto"/>
              <w:jc w:val="center"/>
              <w:rPr>
                <w:rFonts w:hint="eastAsia" w:ascii="仿宋" w:hAnsi="仿宋" w:eastAsia="仿宋" w:cs="仿宋"/>
                <w:color w:val="auto"/>
                <w:szCs w:val="21"/>
                <w:highlight w:val="none"/>
              </w:rPr>
            </w:pPr>
          </w:p>
        </w:tc>
        <w:tc>
          <w:tcPr>
            <w:tcW w:w="1406" w:type="dxa"/>
            <w:vAlign w:val="center"/>
          </w:tcPr>
          <w:p w14:paraId="6C5BDF43">
            <w:pPr>
              <w:spacing w:line="360" w:lineRule="auto"/>
              <w:jc w:val="center"/>
              <w:rPr>
                <w:rFonts w:hint="eastAsia" w:ascii="仿宋" w:hAnsi="仿宋" w:eastAsia="仿宋" w:cs="仿宋"/>
                <w:color w:val="auto"/>
                <w:szCs w:val="21"/>
                <w:highlight w:val="none"/>
              </w:rPr>
            </w:pPr>
          </w:p>
        </w:tc>
      </w:tr>
      <w:tr w14:paraId="7C190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4" w:type="dxa"/>
            <w:vAlign w:val="center"/>
          </w:tcPr>
          <w:p w14:paraId="785DD670">
            <w:pPr>
              <w:spacing w:line="440" w:lineRule="exact"/>
              <w:jc w:val="center"/>
              <w:rPr>
                <w:rFonts w:hint="eastAsia" w:ascii="仿宋" w:hAnsi="仿宋" w:eastAsia="仿宋" w:cs="仿宋"/>
                <w:color w:val="auto"/>
                <w:szCs w:val="21"/>
                <w:highlight w:val="none"/>
              </w:rPr>
            </w:pPr>
          </w:p>
        </w:tc>
        <w:tc>
          <w:tcPr>
            <w:tcW w:w="1167" w:type="dxa"/>
            <w:vAlign w:val="center"/>
          </w:tcPr>
          <w:p w14:paraId="054188CB">
            <w:pPr>
              <w:spacing w:line="360" w:lineRule="auto"/>
              <w:jc w:val="center"/>
              <w:rPr>
                <w:rFonts w:hint="eastAsia" w:ascii="仿宋" w:hAnsi="仿宋" w:eastAsia="仿宋" w:cs="仿宋"/>
                <w:color w:val="auto"/>
                <w:szCs w:val="21"/>
                <w:highlight w:val="none"/>
              </w:rPr>
            </w:pPr>
          </w:p>
        </w:tc>
        <w:tc>
          <w:tcPr>
            <w:tcW w:w="2283" w:type="dxa"/>
            <w:vAlign w:val="center"/>
          </w:tcPr>
          <w:p w14:paraId="1962FAB0">
            <w:pPr>
              <w:spacing w:line="360" w:lineRule="auto"/>
              <w:jc w:val="center"/>
              <w:rPr>
                <w:rFonts w:hint="eastAsia" w:ascii="仿宋" w:hAnsi="仿宋" w:eastAsia="仿宋" w:cs="仿宋"/>
                <w:color w:val="auto"/>
                <w:szCs w:val="21"/>
                <w:highlight w:val="none"/>
              </w:rPr>
            </w:pPr>
          </w:p>
        </w:tc>
        <w:tc>
          <w:tcPr>
            <w:tcW w:w="1388" w:type="dxa"/>
            <w:vAlign w:val="center"/>
          </w:tcPr>
          <w:p w14:paraId="0ADFFF24">
            <w:pPr>
              <w:spacing w:line="360" w:lineRule="auto"/>
              <w:jc w:val="center"/>
              <w:rPr>
                <w:rFonts w:hint="eastAsia" w:ascii="仿宋" w:hAnsi="仿宋" w:eastAsia="仿宋" w:cs="仿宋"/>
                <w:color w:val="auto"/>
                <w:szCs w:val="21"/>
                <w:highlight w:val="none"/>
              </w:rPr>
            </w:pPr>
          </w:p>
        </w:tc>
        <w:tc>
          <w:tcPr>
            <w:tcW w:w="1012" w:type="dxa"/>
            <w:vAlign w:val="center"/>
          </w:tcPr>
          <w:p w14:paraId="7E64FDB5">
            <w:pPr>
              <w:spacing w:line="360" w:lineRule="auto"/>
              <w:jc w:val="center"/>
              <w:rPr>
                <w:rFonts w:hint="eastAsia" w:ascii="仿宋" w:hAnsi="仿宋" w:eastAsia="仿宋" w:cs="仿宋"/>
                <w:color w:val="auto"/>
                <w:szCs w:val="21"/>
                <w:highlight w:val="none"/>
              </w:rPr>
            </w:pPr>
          </w:p>
        </w:tc>
        <w:tc>
          <w:tcPr>
            <w:tcW w:w="1141" w:type="dxa"/>
            <w:vAlign w:val="center"/>
          </w:tcPr>
          <w:p w14:paraId="1ADD7C8E">
            <w:pPr>
              <w:spacing w:line="360" w:lineRule="auto"/>
              <w:jc w:val="center"/>
              <w:rPr>
                <w:rFonts w:hint="eastAsia" w:ascii="仿宋" w:hAnsi="仿宋" w:eastAsia="仿宋" w:cs="仿宋"/>
                <w:color w:val="auto"/>
                <w:szCs w:val="21"/>
                <w:highlight w:val="none"/>
              </w:rPr>
            </w:pPr>
          </w:p>
        </w:tc>
        <w:tc>
          <w:tcPr>
            <w:tcW w:w="1406" w:type="dxa"/>
            <w:vAlign w:val="center"/>
          </w:tcPr>
          <w:p w14:paraId="5E4CF2EE">
            <w:pPr>
              <w:spacing w:line="360" w:lineRule="auto"/>
              <w:jc w:val="center"/>
              <w:rPr>
                <w:rFonts w:hint="eastAsia" w:ascii="仿宋" w:hAnsi="仿宋" w:eastAsia="仿宋" w:cs="仿宋"/>
                <w:color w:val="auto"/>
                <w:szCs w:val="21"/>
                <w:highlight w:val="none"/>
              </w:rPr>
            </w:pPr>
          </w:p>
        </w:tc>
      </w:tr>
    </w:tbl>
    <w:p w14:paraId="5A18178E">
      <w:pPr>
        <w:keepNext w:val="0"/>
        <w:keepLines w:val="0"/>
        <w:widowControl/>
        <w:suppressLineNumbers w:val="0"/>
        <w:jc w:val="left"/>
        <w:rPr>
          <w:rFonts w:hint="eastAsia" w:ascii="仿宋" w:hAnsi="仿宋" w:eastAsia="仿宋" w:cs="仿宋"/>
          <w:color w:val="auto"/>
          <w:highlight w:val="none"/>
        </w:rPr>
      </w:pPr>
    </w:p>
    <w:p w14:paraId="18626B92">
      <w:pPr>
        <w:keepLines w:val="0"/>
        <w:pageBreakBefore w:val="0"/>
        <w:kinsoku/>
        <w:overflowPunct/>
        <w:topLinePunct w:val="0"/>
        <w:bidi w:val="0"/>
        <w:spacing w:beforeAutospacing="0" w:afterAutospacing="0" w:line="360" w:lineRule="auto"/>
        <w:ind w:firstLine="420" w:firstLineChars="200"/>
        <w:textAlignment w:val="auto"/>
        <w:rPr>
          <w:rFonts w:hint="eastAsia" w:ascii="仿宋" w:hAnsi="仿宋" w:eastAsia="仿宋" w:cs="仿宋"/>
          <w:color w:val="auto"/>
          <w:sz w:val="21"/>
          <w:szCs w:val="21"/>
          <w:highlight w:val="none"/>
          <w:shd w:val="clear" w:color="auto" w:fill="FFFFFF" w:themeFill="background1"/>
          <w:lang w:eastAsia="zh-CN"/>
        </w:rPr>
      </w:pPr>
      <w:r>
        <w:rPr>
          <w:rFonts w:hint="eastAsia" w:ascii="仿宋" w:hAnsi="仿宋" w:eastAsia="仿宋" w:cs="仿宋"/>
          <w:color w:val="auto"/>
          <w:sz w:val="21"/>
          <w:szCs w:val="21"/>
          <w:highlight w:val="none"/>
          <w:shd w:val="clear" w:color="auto" w:fill="FFFFFF" w:themeFill="background1"/>
        </w:rPr>
        <w:t>注：拟派主要</w:t>
      </w:r>
      <w:r>
        <w:rPr>
          <w:rFonts w:hint="eastAsia" w:ascii="仿宋" w:hAnsi="仿宋" w:eastAsia="仿宋" w:cs="仿宋"/>
          <w:color w:val="auto"/>
          <w:sz w:val="21"/>
          <w:szCs w:val="21"/>
          <w:highlight w:val="none"/>
          <w:shd w:val="clear" w:color="auto" w:fill="FFFFFF" w:themeFill="background1"/>
          <w:lang w:val="en-US" w:eastAsia="zh-CN"/>
        </w:rPr>
        <w:t>服务</w:t>
      </w:r>
      <w:r>
        <w:rPr>
          <w:rFonts w:hint="eastAsia" w:ascii="仿宋" w:hAnsi="仿宋" w:eastAsia="仿宋" w:cs="仿宋"/>
          <w:color w:val="auto"/>
          <w:sz w:val="21"/>
          <w:szCs w:val="21"/>
          <w:highlight w:val="none"/>
          <w:shd w:val="clear" w:color="auto" w:fill="FFFFFF" w:themeFill="background1"/>
        </w:rPr>
        <w:t>人员由</w:t>
      </w:r>
      <w:r>
        <w:rPr>
          <w:rFonts w:hint="eastAsia" w:ascii="仿宋" w:hAnsi="仿宋" w:eastAsia="仿宋" w:cs="仿宋"/>
          <w:color w:val="auto"/>
          <w:sz w:val="21"/>
          <w:szCs w:val="21"/>
          <w:highlight w:val="none"/>
          <w:shd w:val="clear" w:color="auto" w:fill="FFFFFF" w:themeFill="background1"/>
          <w:lang w:val="en-US" w:eastAsia="zh-CN"/>
        </w:rPr>
        <w:t>投标人</w:t>
      </w:r>
      <w:r>
        <w:rPr>
          <w:rFonts w:hint="eastAsia" w:ascii="仿宋" w:hAnsi="仿宋" w:eastAsia="仿宋" w:cs="仿宋"/>
          <w:color w:val="auto"/>
          <w:sz w:val="21"/>
          <w:szCs w:val="21"/>
          <w:highlight w:val="none"/>
          <w:shd w:val="clear" w:color="auto" w:fill="FFFFFF" w:themeFill="background1"/>
        </w:rPr>
        <w:t>自行确定，但应能够满足本项目的基本需求；</w:t>
      </w:r>
      <w:r>
        <w:rPr>
          <w:rFonts w:hint="eastAsia" w:ascii="仿宋" w:hAnsi="仿宋" w:eastAsia="仿宋" w:cs="仿宋"/>
          <w:color w:val="auto"/>
          <w:sz w:val="21"/>
          <w:szCs w:val="21"/>
          <w:highlight w:val="none"/>
          <w:shd w:val="clear" w:color="auto" w:fill="FFFFFF" w:themeFill="background1"/>
          <w:lang w:val="en-US" w:eastAsia="zh-CN"/>
        </w:rPr>
        <w:t>后</w:t>
      </w:r>
      <w:r>
        <w:rPr>
          <w:rFonts w:hint="eastAsia" w:ascii="仿宋" w:hAnsi="仿宋" w:eastAsia="仿宋" w:cs="仿宋"/>
          <w:color w:val="auto"/>
          <w:sz w:val="21"/>
          <w:szCs w:val="21"/>
          <w:highlight w:val="none"/>
          <w:shd w:val="clear" w:color="auto" w:fill="FFFFFF" w:themeFill="background1"/>
        </w:rPr>
        <w:t>附身份证等其他相关材料</w:t>
      </w:r>
      <w:r>
        <w:rPr>
          <w:rFonts w:hint="eastAsia" w:ascii="仿宋" w:hAnsi="仿宋" w:eastAsia="仿宋" w:cs="仿宋"/>
          <w:color w:val="auto"/>
          <w:sz w:val="21"/>
          <w:szCs w:val="21"/>
          <w:highlight w:val="none"/>
          <w:shd w:val="clear" w:color="auto" w:fill="FFFFFF" w:themeFill="background1"/>
          <w:lang w:eastAsia="zh-CN"/>
        </w:rPr>
        <w:t>。</w:t>
      </w:r>
    </w:p>
    <w:p w14:paraId="30B5DF5B">
      <w:pPr>
        <w:bidi w:val="0"/>
        <w:jc w:val="center"/>
        <w:outlineLvl w:val="1"/>
        <w:rPr>
          <w:rFonts w:hint="eastAsia" w:ascii="仿宋" w:hAnsi="仿宋" w:eastAsia="仿宋" w:cs="仿宋"/>
          <w:b/>
          <w:color w:val="auto"/>
          <w:sz w:val="24"/>
          <w:szCs w:val="24"/>
          <w:highlight w:val="none"/>
          <w:lang w:eastAsia="zh-CN"/>
        </w:rPr>
      </w:pPr>
      <w:r>
        <w:rPr>
          <w:rFonts w:hint="eastAsia" w:ascii="仿宋" w:hAnsi="仿宋" w:eastAsia="仿宋" w:cs="仿宋"/>
          <w:color w:val="auto"/>
          <w:sz w:val="24"/>
          <w:szCs w:val="24"/>
          <w:highlight w:val="none"/>
        </w:rPr>
        <w:br w:type="page"/>
      </w:r>
      <w:bookmarkStart w:id="310" w:name="_Toc109921167"/>
      <w:bookmarkStart w:id="311" w:name="_Toc109941774"/>
      <w:bookmarkStart w:id="312" w:name="_Toc130252629"/>
      <w:bookmarkStart w:id="313" w:name="_Toc110707974"/>
      <w:bookmarkStart w:id="314" w:name="_Toc23008"/>
      <w:bookmarkStart w:id="315" w:name="_Toc3513"/>
      <w:bookmarkStart w:id="316" w:name="_Toc18284"/>
      <w:bookmarkStart w:id="317" w:name="_Toc13060"/>
      <w:r>
        <w:rPr>
          <w:rFonts w:hint="eastAsia" w:ascii="仿宋" w:hAnsi="仿宋" w:eastAsia="仿宋" w:cs="仿宋"/>
          <w:b/>
          <w:color w:val="auto"/>
          <w:sz w:val="24"/>
          <w:szCs w:val="24"/>
          <w:highlight w:val="none"/>
        </w:rPr>
        <w:t>十</w:t>
      </w:r>
      <w:r>
        <w:rPr>
          <w:rFonts w:hint="eastAsia" w:ascii="仿宋" w:hAnsi="仿宋" w:eastAsia="仿宋" w:cs="仿宋"/>
          <w:b/>
          <w:color w:val="auto"/>
          <w:sz w:val="24"/>
          <w:szCs w:val="24"/>
          <w:highlight w:val="none"/>
          <w:lang w:val="en-US" w:eastAsia="zh-CN"/>
        </w:rPr>
        <w:t>二</w:t>
      </w:r>
      <w:r>
        <w:rPr>
          <w:rFonts w:hint="eastAsia" w:ascii="仿宋" w:hAnsi="仿宋" w:eastAsia="仿宋" w:cs="仿宋"/>
          <w:b/>
          <w:color w:val="auto"/>
          <w:sz w:val="24"/>
          <w:szCs w:val="24"/>
          <w:highlight w:val="none"/>
        </w:rPr>
        <w:t>、</w:t>
      </w:r>
      <w:bookmarkEnd w:id="310"/>
      <w:bookmarkEnd w:id="311"/>
      <w:bookmarkEnd w:id="312"/>
      <w:bookmarkEnd w:id="313"/>
      <w:r>
        <w:rPr>
          <w:rFonts w:hint="eastAsia" w:ascii="仿宋" w:hAnsi="仿宋" w:eastAsia="仿宋" w:cs="仿宋"/>
          <w:b/>
          <w:color w:val="auto"/>
          <w:sz w:val="24"/>
          <w:szCs w:val="24"/>
          <w:highlight w:val="none"/>
          <w:lang w:eastAsia="zh-CN"/>
        </w:rPr>
        <w:t>服务方案</w:t>
      </w:r>
      <w:bookmarkEnd w:id="314"/>
      <w:bookmarkEnd w:id="315"/>
      <w:bookmarkEnd w:id="316"/>
      <w:bookmarkEnd w:id="317"/>
    </w:p>
    <w:p w14:paraId="49C40259">
      <w:pPr>
        <w:spacing w:line="360" w:lineRule="auto"/>
        <w:ind w:firstLine="480" w:firstLineChars="200"/>
        <w:rPr>
          <w:rFonts w:hint="eastAsia" w:ascii="仿宋" w:hAnsi="仿宋" w:eastAsia="仿宋" w:cs="仿宋"/>
          <w:bCs/>
          <w:color w:val="auto"/>
          <w:sz w:val="24"/>
          <w:szCs w:val="24"/>
          <w:highlight w:val="none"/>
        </w:rPr>
      </w:pPr>
      <w:bookmarkStart w:id="318" w:name="_Toc375218897"/>
    </w:p>
    <w:p w14:paraId="501256E6">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格式和内容</w:t>
      </w:r>
      <w:r>
        <w:rPr>
          <w:rFonts w:hint="eastAsia" w:ascii="仿宋" w:hAnsi="仿宋" w:eastAsia="仿宋" w:cs="仿宋"/>
          <w:color w:val="auto"/>
          <w:sz w:val="24"/>
          <w:szCs w:val="24"/>
          <w:highlight w:val="none"/>
        </w:rPr>
        <w:t>自行拟定</w:t>
      </w:r>
      <w:bookmarkStart w:id="319" w:name="_Toc375218899"/>
    </w:p>
    <w:p w14:paraId="76D92526">
      <w:pP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r>
    </w:p>
    <w:p w14:paraId="707DFDA2">
      <w:pPr>
        <w:tabs>
          <w:tab w:val="center" w:pos="4832"/>
          <w:tab w:val="left" w:pos="7140"/>
        </w:tabs>
        <w:jc w:val="center"/>
        <w:outlineLvl w:val="1"/>
        <w:rPr>
          <w:rFonts w:hint="eastAsia" w:ascii="仿宋" w:hAnsi="仿宋" w:eastAsia="仿宋" w:cs="仿宋"/>
          <w:b/>
          <w:color w:val="auto"/>
          <w:sz w:val="24"/>
          <w:szCs w:val="24"/>
          <w:highlight w:val="none"/>
        </w:rPr>
      </w:pPr>
      <w:bookmarkStart w:id="320" w:name="_Toc25834"/>
      <w:bookmarkStart w:id="321" w:name="_Toc3975"/>
      <w:r>
        <w:rPr>
          <w:rFonts w:hint="eastAsia" w:ascii="仿宋" w:hAnsi="仿宋" w:eastAsia="仿宋" w:cs="仿宋"/>
          <w:b/>
          <w:color w:val="auto"/>
          <w:sz w:val="24"/>
          <w:szCs w:val="24"/>
          <w:highlight w:val="none"/>
        </w:rPr>
        <w:t>十</w:t>
      </w:r>
      <w:r>
        <w:rPr>
          <w:rFonts w:hint="eastAsia" w:ascii="仿宋" w:hAnsi="仿宋" w:eastAsia="仿宋" w:cs="仿宋"/>
          <w:b/>
          <w:color w:val="auto"/>
          <w:sz w:val="24"/>
          <w:szCs w:val="24"/>
          <w:highlight w:val="none"/>
          <w:lang w:val="en-US" w:eastAsia="zh-CN"/>
        </w:rPr>
        <w:t>三</w:t>
      </w:r>
      <w:r>
        <w:rPr>
          <w:rFonts w:hint="eastAsia" w:ascii="仿宋" w:hAnsi="仿宋" w:eastAsia="仿宋" w:cs="仿宋"/>
          <w:b/>
          <w:color w:val="auto"/>
          <w:sz w:val="24"/>
          <w:szCs w:val="24"/>
          <w:highlight w:val="none"/>
        </w:rPr>
        <w:t>、保证金缴纳证明材料</w:t>
      </w:r>
      <w:bookmarkEnd w:id="320"/>
      <w:bookmarkEnd w:id="321"/>
    </w:p>
    <w:p w14:paraId="1F44EE02">
      <w:pPr>
        <w:spacing w:line="360" w:lineRule="auto"/>
        <w:ind w:firstLine="480" w:firstLineChars="200"/>
        <w:rPr>
          <w:rFonts w:hint="eastAsia" w:ascii="仿宋" w:hAnsi="仿宋" w:eastAsia="仿宋" w:cs="仿宋"/>
          <w:color w:val="auto"/>
          <w:sz w:val="24"/>
          <w:szCs w:val="24"/>
          <w:highlight w:val="none"/>
        </w:rPr>
      </w:pPr>
    </w:p>
    <w:p w14:paraId="70EB6157">
      <w:pPr>
        <w:spacing w:line="360" w:lineRule="auto"/>
        <w:ind w:firstLine="480" w:firstLineChars="20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汇款凭证或支票或汇票或保函或保证金收据等的扫描件。</w:t>
      </w:r>
    </w:p>
    <w:p w14:paraId="3CB1B363">
      <w:pPr>
        <w:spacing w:line="360" w:lineRule="auto"/>
        <w:ind w:firstLine="480" w:firstLineChars="200"/>
        <w:rPr>
          <w:rFonts w:hint="eastAsia" w:ascii="仿宋" w:hAnsi="仿宋" w:eastAsia="仿宋" w:cs="仿宋"/>
          <w:color w:val="auto"/>
          <w:sz w:val="24"/>
          <w:szCs w:val="24"/>
          <w:highlight w:val="none"/>
        </w:rPr>
      </w:pPr>
    </w:p>
    <w:bookmarkEnd w:id="318"/>
    <w:bookmarkEnd w:id="319"/>
    <w:p w14:paraId="69DB5E36">
      <w:pPr>
        <w:spacing w:line="360" w:lineRule="auto"/>
        <w:ind w:firstLine="480" w:firstLineChars="200"/>
        <w:rPr>
          <w:rFonts w:hint="eastAsia" w:ascii="仿宋" w:hAnsi="仿宋" w:eastAsia="仿宋" w:cs="仿宋"/>
          <w:color w:val="auto"/>
          <w:sz w:val="24"/>
          <w:szCs w:val="24"/>
          <w:highlight w:val="none"/>
        </w:rPr>
      </w:pPr>
    </w:p>
    <w:p w14:paraId="0CABF8C4">
      <w:pPr>
        <w:spacing w:line="360" w:lineRule="auto"/>
        <w:ind w:firstLine="480" w:firstLineChars="200"/>
        <w:rPr>
          <w:rFonts w:hint="eastAsia" w:ascii="仿宋" w:hAnsi="仿宋" w:eastAsia="仿宋" w:cs="仿宋"/>
          <w:color w:val="auto"/>
          <w:sz w:val="24"/>
          <w:szCs w:val="24"/>
          <w:highlight w:val="none"/>
        </w:rPr>
      </w:pPr>
    </w:p>
    <w:p w14:paraId="6D7E15AF">
      <w:pPr>
        <w:spacing w:line="360" w:lineRule="auto"/>
        <w:ind w:firstLine="480" w:firstLineChars="200"/>
        <w:rPr>
          <w:rFonts w:hint="eastAsia" w:ascii="仿宋" w:hAnsi="仿宋" w:eastAsia="仿宋" w:cs="仿宋"/>
          <w:color w:val="auto"/>
          <w:sz w:val="24"/>
          <w:szCs w:val="24"/>
          <w:highlight w:val="none"/>
        </w:rPr>
      </w:pPr>
    </w:p>
    <w:p w14:paraId="62784970">
      <w:pPr>
        <w:rPr>
          <w:rFonts w:hint="eastAsia" w:ascii="仿宋" w:hAnsi="仿宋" w:eastAsia="仿宋" w:cs="仿宋"/>
          <w:b/>
          <w:color w:val="auto"/>
          <w:sz w:val="24"/>
          <w:szCs w:val="24"/>
          <w:highlight w:val="none"/>
        </w:rPr>
      </w:pPr>
      <w:bookmarkStart w:id="322" w:name="_Toc14156"/>
      <w:bookmarkStart w:id="323" w:name="_Toc109921168"/>
      <w:bookmarkStart w:id="324" w:name="_Toc24108"/>
      <w:bookmarkStart w:id="325" w:name="_Toc109941775"/>
      <w:bookmarkStart w:id="326" w:name="_Toc110707975"/>
      <w:bookmarkStart w:id="327" w:name="_Toc130252630"/>
      <w:r>
        <w:rPr>
          <w:rFonts w:hint="eastAsia" w:ascii="仿宋" w:hAnsi="仿宋" w:eastAsia="仿宋" w:cs="仿宋"/>
          <w:b/>
          <w:color w:val="auto"/>
          <w:sz w:val="24"/>
          <w:szCs w:val="24"/>
          <w:highlight w:val="none"/>
        </w:rPr>
        <w:br w:type="page"/>
      </w:r>
    </w:p>
    <w:p w14:paraId="322199AD">
      <w:pPr>
        <w:tabs>
          <w:tab w:val="center" w:pos="4832"/>
          <w:tab w:val="left" w:pos="7140"/>
        </w:tabs>
        <w:jc w:val="center"/>
        <w:outlineLvl w:val="1"/>
        <w:rPr>
          <w:rFonts w:hint="eastAsia" w:ascii="仿宋" w:hAnsi="仿宋" w:eastAsia="仿宋" w:cs="仿宋"/>
          <w:b/>
          <w:color w:val="auto"/>
          <w:sz w:val="24"/>
          <w:szCs w:val="24"/>
          <w:highlight w:val="none"/>
        </w:rPr>
      </w:pPr>
      <w:bookmarkStart w:id="328" w:name="_Toc16286"/>
      <w:bookmarkStart w:id="329" w:name="_Toc8599"/>
      <w:r>
        <w:rPr>
          <w:rFonts w:hint="eastAsia" w:ascii="仿宋" w:hAnsi="仿宋" w:eastAsia="仿宋" w:cs="仿宋"/>
          <w:b/>
          <w:color w:val="auto"/>
          <w:sz w:val="24"/>
          <w:szCs w:val="24"/>
          <w:highlight w:val="none"/>
        </w:rPr>
        <w:t>十</w:t>
      </w:r>
      <w:r>
        <w:rPr>
          <w:rFonts w:hint="eastAsia" w:ascii="仿宋" w:hAnsi="仿宋" w:eastAsia="仿宋" w:cs="仿宋"/>
          <w:b/>
          <w:color w:val="auto"/>
          <w:sz w:val="24"/>
          <w:szCs w:val="24"/>
          <w:highlight w:val="none"/>
          <w:lang w:val="en-US" w:eastAsia="zh-CN"/>
        </w:rPr>
        <w:t>四</w:t>
      </w:r>
      <w:r>
        <w:rPr>
          <w:rFonts w:hint="eastAsia" w:ascii="仿宋" w:hAnsi="仿宋" w:eastAsia="仿宋" w:cs="仿宋"/>
          <w:b/>
          <w:color w:val="auto"/>
          <w:sz w:val="24"/>
          <w:szCs w:val="24"/>
          <w:highlight w:val="none"/>
        </w:rPr>
        <w:t>、其它需要提交的资料</w:t>
      </w:r>
      <w:bookmarkEnd w:id="322"/>
      <w:bookmarkEnd w:id="323"/>
      <w:bookmarkEnd w:id="324"/>
      <w:bookmarkEnd w:id="325"/>
      <w:bookmarkEnd w:id="326"/>
      <w:bookmarkEnd w:id="327"/>
      <w:bookmarkEnd w:id="328"/>
      <w:bookmarkEnd w:id="329"/>
    </w:p>
    <w:p w14:paraId="085A5BA8">
      <w:pPr>
        <w:spacing w:line="360" w:lineRule="auto"/>
        <w:ind w:firstLine="480" w:firstLineChars="200"/>
        <w:rPr>
          <w:rFonts w:hint="eastAsia" w:ascii="仿宋" w:hAnsi="仿宋" w:eastAsia="仿宋" w:cs="仿宋"/>
          <w:color w:val="auto"/>
          <w:sz w:val="24"/>
          <w:szCs w:val="24"/>
          <w:highlight w:val="none"/>
        </w:rPr>
      </w:pPr>
    </w:p>
    <w:p w14:paraId="55FDB4A3">
      <w:pPr>
        <w:spacing w:line="360" w:lineRule="auto"/>
        <w:ind w:firstLine="480" w:firstLineChars="20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根据招标文件的要求和投标人认为需要提供的资料</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包括但不限于：</w:t>
      </w:r>
    </w:p>
    <w:p w14:paraId="130A7276">
      <w:pPr>
        <w:spacing w:line="360" w:lineRule="auto"/>
        <w:ind w:firstLine="480" w:firstLineChars="200"/>
        <w:jc w:val="center"/>
        <w:rPr>
          <w:rFonts w:hint="eastAsia" w:ascii="仿宋" w:hAnsi="仿宋" w:eastAsia="仿宋" w:cs="仿宋"/>
          <w:color w:val="auto"/>
          <w:sz w:val="24"/>
          <w:szCs w:val="24"/>
          <w:highlight w:val="none"/>
          <w:lang w:val="en-US" w:eastAsia="zh-CN"/>
        </w:rPr>
      </w:pPr>
    </w:p>
    <w:p w14:paraId="3670D870">
      <w:pPr>
        <w:spacing w:line="360" w:lineRule="auto"/>
        <w:ind w:firstLine="480" w:firstLineChars="200"/>
        <w:jc w:val="lef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招标文件要求的完全响应本项目 “分组体检项目” 的承诺函（加盖单位公章），中标后不得删减任何检查项目。若违反上述约定，采购人有权终止合同，并将其违规行为上报相关监管部门予以查处。</w:t>
      </w:r>
    </w:p>
    <w:p w14:paraId="15F652CE">
      <w:pPr>
        <w:spacing w:line="360" w:lineRule="auto"/>
        <w:ind w:firstLine="480" w:firstLineChars="200"/>
        <w:jc w:val="center"/>
        <w:rPr>
          <w:rFonts w:hint="default" w:ascii="仿宋" w:hAnsi="仿宋" w:eastAsia="仿宋" w:cs="仿宋"/>
          <w:color w:val="auto"/>
          <w:sz w:val="24"/>
          <w:szCs w:val="24"/>
          <w:highlight w:val="none"/>
          <w:lang w:val="en-US" w:eastAsia="zh-CN"/>
        </w:rPr>
      </w:pPr>
    </w:p>
    <w:p w14:paraId="7EB72C7A">
      <w:pP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r>
    </w:p>
    <w:p w14:paraId="215DC147">
      <w:pPr>
        <w:spacing w:line="440" w:lineRule="exact"/>
        <w:jc w:val="center"/>
        <w:outlineLvl w:val="0"/>
        <w:rPr>
          <w:rFonts w:hint="eastAsia" w:ascii="仿宋" w:hAnsi="仿宋" w:eastAsia="仿宋" w:cs="仿宋"/>
          <w:b/>
          <w:color w:val="auto"/>
          <w:sz w:val="24"/>
          <w:szCs w:val="24"/>
          <w:highlight w:val="none"/>
        </w:rPr>
      </w:pPr>
      <w:bookmarkStart w:id="330" w:name="_Toc5129"/>
      <w:bookmarkStart w:id="331" w:name="_Toc29150"/>
      <w:r>
        <w:rPr>
          <w:rFonts w:hint="eastAsia" w:ascii="仿宋" w:hAnsi="仿宋" w:eastAsia="仿宋" w:cs="仿宋"/>
          <w:b/>
          <w:color w:val="auto"/>
          <w:sz w:val="24"/>
          <w:szCs w:val="24"/>
          <w:highlight w:val="none"/>
        </w:rPr>
        <w:t>第六章 补充条款</w:t>
      </w:r>
      <w:bookmarkEnd w:id="302"/>
      <w:bookmarkEnd w:id="303"/>
      <w:bookmarkEnd w:id="304"/>
      <w:bookmarkEnd w:id="305"/>
      <w:bookmarkEnd w:id="330"/>
      <w:bookmarkEnd w:id="331"/>
    </w:p>
    <w:p w14:paraId="558C65FF">
      <w:pPr>
        <w:rPr>
          <w:rFonts w:hint="eastAsia" w:ascii="仿宋" w:hAnsi="仿宋" w:eastAsia="仿宋" w:cs="仿宋"/>
          <w:color w:val="auto"/>
          <w:highlight w:val="none"/>
        </w:rPr>
      </w:pPr>
    </w:p>
    <w:p w14:paraId="00E69861">
      <w:pPr>
        <w:rPr>
          <w:rFonts w:hint="eastAsia" w:ascii="仿宋" w:hAnsi="仿宋" w:eastAsia="仿宋" w:cs="仿宋"/>
          <w:color w:val="auto"/>
          <w:highlight w:val="none"/>
        </w:rPr>
      </w:pPr>
    </w:p>
    <w:p w14:paraId="3DCD70F1">
      <w:pPr>
        <w:spacing w:line="360" w:lineRule="auto"/>
        <w:outlineLvl w:val="1"/>
        <w:rPr>
          <w:rFonts w:hint="eastAsia" w:ascii="仿宋" w:hAnsi="仿宋" w:eastAsia="仿宋" w:cs="仿宋"/>
          <w:color w:val="auto"/>
          <w:spacing w:val="6"/>
          <w:sz w:val="24"/>
          <w:szCs w:val="24"/>
          <w:highlight w:val="none"/>
        </w:rPr>
      </w:pPr>
      <w:bookmarkStart w:id="332" w:name="_Toc6435"/>
      <w:bookmarkStart w:id="333" w:name="_Toc13775"/>
      <w:r>
        <w:rPr>
          <w:rFonts w:hint="eastAsia" w:ascii="仿宋" w:hAnsi="仿宋" w:eastAsia="仿宋" w:cs="仿宋"/>
          <w:color w:val="auto"/>
          <w:spacing w:val="6"/>
          <w:sz w:val="24"/>
          <w:szCs w:val="24"/>
          <w:highlight w:val="none"/>
        </w:rPr>
        <w:t>附件</w:t>
      </w:r>
      <w:r>
        <w:rPr>
          <w:rFonts w:hint="eastAsia" w:ascii="仿宋" w:hAnsi="仿宋" w:eastAsia="仿宋" w:cs="仿宋"/>
          <w:color w:val="auto"/>
          <w:spacing w:val="6"/>
          <w:sz w:val="24"/>
          <w:szCs w:val="24"/>
          <w:highlight w:val="none"/>
          <w:lang w:val="en-US" w:eastAsia="zh-CN"/>
        </w:rPr>
        <w:t>1</w:t>
      </w:r>
      <w:r>
        <w:rPr>
          <w:rFonts w:hint="eastAsia" w:ascii="仿宋" w:hAnsi="仿宋" w:eastAsia="仿宋" w:cs="仿宋"/>
          <w:color w:val="auto"/>
          <w:spacing w:val="6"/>
          <w:sz w:val="24"/>
          <w:szCs w:val="24"/>
          <w:highlight w:val="none"/>
        </w:rPr>
        <w:t>、</w:t>
      </w:r>
      <w:r>
        <w:rPr>
          <w:rFonts w:hint="eastAsia" w:ascii="仿宋" w:hAnsi="仿宋" w:eastAsia="仿宋" w:cs="仿宋"/>
          <w:color w:val="auto"/>
          <w:spacing w:val="6"/>
          <w:sz w:val="24"/>
          <w:szCs w:val="24"/>
          <w:highlight w:val="none"/>
          <w:lang w:val="en-US" w:eastAsia="zh-CN"/>
        </w:rPr>
        <w:t>中小企业扶持政策</w:t>
      </w:r>
      <w:bookmarkEnd w:id="332"/>
      <w:bookmarkEnd w:id="333"/>
    </w:p>
    <w:p w14:paraId="62376727">
      <w:pPr>
        <w:spacing w:line="360" w:lineRule="auto"/>
        <w:jc w:val="center"/>
        <w:rPr>
          <w:rFonts w:hint="eastAsia" w:ascii="仿宋" w:hAnsi="仿宋" w:eastAsia="仿宋" w:cs="仿宋"/>
          <w:color w:val="auto"/>
          <w:spacing w:val="6"/>
          <w:sz w:val="24"/>
          <w:szCs w:val="24"/>
          <w:highlight w:val="none"/>
        </w:rPr>
      </w:pPr>
    </w:p>
    <w:p w14:paraId="46179A82">
      <w:pPr>
        <w:spacing w:line="360" w:lineRule="auto"/>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关于印发中小企业划型标准规定的通知</w:t>
      </w:r>
    </w:p>
    <w:p w14:paraId="13A437E5">
      <w:pPr>
        <w:spacing w:line="360" w:lineRule="auto"/>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工信部联企业〔2011〕300号</w:t>
      </w:r>
    </w:p>
    <w:p w14:paraId="4C16C054">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各省、自治区、直辖市人民政府，国务院各部委、各直属机构及有关单位：</w:t>
      </w:r>
    </w:p>
    <w:p w14:paraId="774C6322">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75E273EA">
      <w:pPr>
        <w:spacing w:line="360" w:lineRule="auto"/>
        <w:ind w:firstLine="504" w:firstLineChars="200"/>
        <w:jc w:val="righ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工业和信息化部</w:t>
      </w:r>
    </w:p>
    <w:p w14:paraId="44CA1809">
      <w:pPr>
        <w:spacing w:line="360" w:lineRule="auto"/>
        <w:ind w:firstLine="504" w:firstLineChars="200"/>
        <w:jc w:val="righ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国家统计局</w:t>
      </w:r>
    </w:p>
    <w:p w14:paraId="131CD9AF">
      <w:pPr>
        <w:spacing w:line="360" w:lineRule="auto"/>
        <w:ind w:firstLine="504" w:firstLineChars="200"/>
        <w:jc w:val="righ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国家发展和改革委员会</w:t>
      </w:r>
    </w:p>
    <w:p w14:paraId="4FF01072">
      <w:pPr>
        <w:spacing w:line="360" w:lineRule="auto"/>
        <w:ind w:firstLine="504" w:firstLineChars="200"/>
        <w:jc w:val="righ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财政部</w:t>
      </w:r>
    </w:p>
    <w:p w14:paraId="1C553D9C">
      <w:pPr>
        <w:spacing w:line="360" w:lineRule="auto"/>
        <w:ind w:firstLine="504" w:firstLineChars="200"/>
        <w:jc w:val="righ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二○一一年六月十八日</w:t>
      </w:r>
    </w:p>
    <w:p w14:paraId="0F9D9F42">
      <w:pPr>
        <w:spacing w:line="360" w:lineRule="auto"/>
        <w:ind w:firstLine="504" w:firstLineChars="200"/>
        <w:rPr>
          <w:rFonts w:hint="eastAsia" w:ascii="仿宋" w:hAnsi="仿宋" w:eastAsia="仿宋" w:cs="仿宋"/>
          <w:color w:val="auto"/>
          <w:spacing w:val="6"/>
          <w:sz w:val="24"/>
          <w:szCs w:val="24"/>
          <w:highlight w:val="none"/>
        </w:rPr>
      </w:pPr>
    </w:p>
    <w:p w14:paraId="11094B52">
      <w:pPr>
        <w:spacing w:line="360" w:lineRule="auto"/>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中小企业划型标准规定</w:t>
      </w:r>
    </w:p>
    <w:p w14:paraId="5EB77BCF">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一、根据《中华人民共和国中小企业促进法》和《国务院关于进一步促进中小企业发展的若干意见》(国发〔2009〕36号)，制定本规定。</w:t>
      </w:r>
    </w:p>
    <w:p w14:paraId="0702E61F">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二、中小企业划分为中型、小型、微型三种类型，具体标准根据企业从业人员、营业收入、资产总额等指标，结合行业特点制定。</w:t>
      </w:r>
    </w:p>
    <w:p w14:paraId="0E0FAA2D">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三、本规定适用的行业包括：农、林、牧、渔业，工业（包括采矿业，制造业，电力、热力、燃气及水生产和供应业），建筑业，批发业，零售业，交通运输业（不含铁路运输业），仓储业，邮政业，住宿业，</w:t>
      </w:r>
      <w:r>
        <w:rPr>
          <w:rFonts w:hint="eastAsia" w:ascii="仿宋" w:hAnsi="仿宋" w:eastAsia="仿宋" w:cs="仿宋"/>
          <w:color w:val="auto"/>
          <w:spacing w:val="6"/>
          <w:sz w:val="24"/>
          <w:szCs w:val="24"/>
          <w:highlight w:val="none"/>
          <w:lang w:eastAsia="zh-CN"/>
        </w:rPr>
        <w:t>信息传输业</w:t>
      </w:r>
      <w:r>
        <w:rPr>
          <w:rFonts w:hint="eastAsia" w:ascii="仿宋" w:hAnsi="仿宋" w:eastAsia="仿宋" w:cs="仿宋"/>
          <w:color w:val="auto"/>
          <w:spacing w:val="6"/>
          <w:sz w:val="24"/>
          <w:szCs w:val="24"/>
          <w:highlight w:val="none"/>
        </w:rPr>
        <w:t>，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540E8D72">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四、各行业划型标准为：</w:t>
      </w:r>
    </w:p>
    <w:p w14:paraId="331C9F30">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（一）农、林、牧、渔业。营业收入20000万元以下的为中小微型企业。其中，营业收入500万元及以上的为中型企业，营业收入50万元及以上的为小型企业，营业收入50万元以下的为微型企业。</w:t>
      </w:r>
    </w:p>
    <w:p w14:paraId="03ABB8D4">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73F9DFE7">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3B1DCEF6">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4F8B7C2D">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6F83499D">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2500ADC9">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324F1529">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67661437">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7F3FED8">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w:t>
      </w:r>
      <w:r>
        <w:rPr>
          <w:rFonts w:hint="eastAsia" w:ascii="仿宋" w:hAnsi="仿宋" w:eastAsia="仿宋" w:cs="仿宋"/>
          <w:color w:val="auto"/>
          <w:spacing w:val="6"/>
          <w:sz w:val="24"/>
          <w:szCs w:val="24"/>
          <w:highlight w:val="none"/>
          <w:lang w:eastAsia="zh-CN"/>
        </w:rPr>
        <w:t>信息传输业</w:t>
      </w:r>
      <w:r>
        <w:rPr>
          <w:rFonts w:hint="eastAsia" w:ascii="仿宋" w:hAnsi="仿宋" w:eastAsia="仿宋" w:cs="仿宋"/>
          <w:color w:val="auto"/>
          <w:spacing w:val="6"/>
          <w:sz w:val="24"/>
          <w:szCs w:val="24"/>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27EEA3A">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6918A50B">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64CC3EEC">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6DF297C4">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14610103">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7F073C49">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（十六）其他未列明行业。从业人员300人以下的为中小微型企业。其中，从业人员100人及以上的为中型企业；从业人员10人及以上的为小型企业；从业人员10人以下的为微型企业。</w:t>
      </w:r>
    </w:p>
    <w:p w14:paraId="565C3644">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五、企业类型的划分以统计部门的统计数据为依据。</w:t>
      </w:r>
    </w:p>
    <w:p w14:paraId="71F3C5AD">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六、本规定适用于在中华人民共和国境内依法设立的各类所有制和各种组织形式的企业。个体工商户和本规定以外的行业，参照本规定进行划型。</w:t>
      </w:r>
    </w:p>
    <w:p w14:paraId="402456B8">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七、本规定的中型企业标准上限即为大型企业标准的下限，国家统计部门据此制定大中小微型企业的统计分类。国务院有关部门据此进行相关数据分析，不得制定与本规定不一致的企业划型标准。</w:t>
      </w:r>
    </w:p>
    <w:p w14:paraId="2FB55EEF">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八、本规定由工业和信息化部、国家统计局会同有关部门根据《国民经济行业分类》修订情况和企业发展变化情况适时修订。</w:t>
      </w:r>
    </w:p>
    <w:p w14:paraId="6B798C87">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九、本规定由工业和信息化部、国家统计局会同有关部门负责解释。</w:t>
      </w:r>
    </w:p>
    <w:p w14:paraId="65F865B0">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十、本规定自发布之日起执行，原国家经贸委、原国家计委、财政部和国家统计局2003年颁布的《中小企业标准暂行规定》同时废止。</w:t>
      </w:r>
    </w:p>
    <w:p w14:paraId="0C8B24A6">
      <w:pP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br w:type="page"/>
      </w:r>
    </w:p>
    <w:p w14:paraId="72788278">
      <w:pPr>
        <w:spacing w:line="360" w:lineRule="auto"/>
        <w:outlineLvl w:val="1"/>
        <w:rPr>
          <w:rFonts w:hint="eastAsia" w:ascii="仿宋" w:hAnsi="仿宋" w:eastAsia="仿宋" w:cs="仿宋"/>
          <w:color w:val="auto"/>
          <w:spacing w:val="6"/>
          <w:sz w:val="24"/>
          <w:szCs w:val="24"/>
          <w:highlight w:val="none"/>
          <w:lang w:val="en-US" w:eastAsia="zh-CN"/>
        </w:rPr>
      </w:pPr>
      <w:bookmarkStart w:id="334" w:name="_Toc9637"/>
      <w:bookmarkStart w:id="335" w:name="_Toc13470"/>
      <w:r>
        <w:rPr>
          <w:rFonts w:hint="eastAsia" w:ascii="仿宋" w:hAnsi="仿宋" w:eastAsia="仿宋" w:cs="仿宋"/>
          <w:color w:val="auto"/>
          <w:spacing w:val="6"/>
          <w:sz w:val="24"/>
          <w:szCs w:val="24"/>
          <w:highlight w:val="none"/>
        </w:rPr>
        <w:t>附件</w:t>
      </w:r>
      <w:r>
        <w:rPr>
          <w:rFonts w:hint="eastAsia" w:ascii="仿宋" w:hAnsi="仿宋" w:eastAsia="仿宋" w:cs="仿宋"/>
          <w:color w:val="auto"/>
          <w:spacing w:val="6"/>
          <w:sz w:val="24"/>
          <w:szCs w:val="24"/>
          <w:highlight w:val="none"/>
          <w:lang w:val="en-US" w:eastAsia="zh-CN"/>
        </w:rPr>
        <w:t>2</w:t>
      </w:r>
      <w:r>
        <w:rPr>
          <w:rFonts w:hint="eastAsia" w:ascii="仿宋" w:hAnsi="仿宋" w:eastAsia="仿宋" w:cs="仿宋"/>
          <w:color w:val="auto"/>
          <w:spacing w:val="6"/>
          <w:sz w:val="24"/>
          <w:szCs w:val="24"/>
          <w:highlight w:val="none"/>
        </w:rPr>
        <w:t>、</w:t>
      </w:r>
      <w:r>
        <w:rPr>
          <w:rFonts w:hint="eastAsia" w:ascii="仿宋" w:hAnsi="仿宋" w:eastAsia="仿宋" w:cs="仿宋"/>
          <w:color w:val="auto"/>
          <w:spacing w:val="6"/>
          <w:sz w:val="24"/>
          <w:szCs w:val="24"/>
          <w:highlight w:val="none"/>
          <w:lang w:val="en-US" w:eastAsia="zh-CN"/>
        </w:rPr>
        <w:t>残疾人企业扶持政策</w:t>
      </w:r>
      <w:bookmarkEnd w:id="334"/>
      <w:bookmarkEnd w:id="335"/>
    </w:p>
    <w:p w14:paraId="216970BC">
      <w:pPr>
        <w:spacing w:line="360" w:lineRule="auto"/>
        <w:jc w:val="center"/>
        <w:rPr>
          <w:rFonts w:hint="eastAsia" w:ascii="仿宋" w:hAnsi="仿宋" w:eastAsia="仿宋" w:cs="仿宋"/>
          <w:color w:val="auto"/>
          <w:spacing w:val="6"/>
          <w:sz w:val="24"/>
          <w:szCs w:val="24"/>
          <w:highlight w:val="none"/>
        </w:rPr>
      </w:pPr>
    </w:p>
    <w:p w14:paraId="68518E58">
      <w:pPr>
        <w:spacing w:line="360" w:lineRule="auto"/>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关于促进残疾人就业政府采购政策的通知</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财库〔2017〕141号</w:t>
      </w:r>
    </w:p>
    <w:p w14:paraId="47BF1D1D">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p>
    <w:p w14:paraId="7F2CAA7C">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为了发挥政府采购促进残疾人就业的作用，进一步保障残疾人权益，依照《政府采购法》、《残疾人保障法》等法律法规及相关规定，现就促进残疾人就业政府采购政策通知如下：</w:t>
      </w:r>
    </w:p>
    <w:p w14:paraId="6BBAD3E2">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一、享受政府采购支持政策的残疾人福利性单位应当同时满足以下条件：</w:t>
      </w:r>
    </w:p>
    <w:p w14:paraId="4FB87CD3">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（一）安置的残疾人占本单位在职职工人数的比例不低于25%（含25%），并且安置的残疾人人数不少于10人（含10人）；</w:t>
      </w:r>
    </w:p>
    <w:p w14:paraId="5E907139">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（二）依法与安置的每位残疾人签订了一年以上（含一年）的劳动合同或服务协议；</w:t>
      </w:r>
    </w:p>
    <w:p w14:paraId="00568C60">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（三）为安置的每位残疾人按月足额缴纳了基本养老保险、基本医疗保险、失业保险、工伤保险和生育保险等社会保险费；</w:t>
      </w:r>
    </w:p>
    <w:p w14:paraId="6D4CBC5F">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（四）通过银行等金融机构向安置的每位残疾人，按月支付了不低于单位所在区县适用的经省级人民政府批准的月最低工资标准的工资；</w:t>
      </w:r>
    </w:p>
    <w:p w14:paraId="7A722839">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（五）提供本单位制造的货物、承担的工程或者服务（以下简称产品），或者提供其他残疾人福利性单位制造的货物（不包括使用非残疾人福利性单位注册商标的货物）。</w:t>
      </w:r>
    </w:p>
    <w:p w14:paraId="6912D81C">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39EA7068">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p>
    <w:p w14:paraId="05AD3661">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中标、</w:t>
      </w:r>
      <w:r>
        <w:rPr>
          <w:rFonts w:hint="eastAsia" w:ascii="仿宋" w:hAnsi="仿宋" w:eastAsia="仿宋" w:cs="仿宋"/>
          <w:color w:val="auto"/>
          <w:spacing w:val="6"/>
          <w:sz w:val="24"/>
          <w:szCs w:val="24"/>
          <w:highlight w:val="none"/>
          <w:lang w:eastAsia="zh-CN"/>
        </w:rPr>
        <w:t>中标人</w:t>
      </w:r>
      <w:r>
        <w:rPr>
          <w:rFonts w:hint="eastAsia" w:ascii="仿宋" w:hAnsi="仿宋" w:eastAsia="仿宋" w:cs="仿宋"/>
          <w:color w:val="auto"/>
          <w:spacing w:val="6"/>
          <w:sz w:val="24"/>
          <w:szCs w:val="24"/>
          <w:highlight w:val="none"/>
        </w:rPr>
        <w:t>为残疾人福利性单位的，采购人或者其委托的采购代理机构应当随中标、成交结果同时公告其《残疾人福利性单位声明函》，接受社会监督。</w:t>
      </w:r>
    </w:p>
    <w:p w14:paraId="10CB70E7">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lang w:eastAsia="zh-CN"/>
        </w:rPr>
        <w:t>投标人</w:t>
      </w:r>
      <w:r>
        <w:rPr>
          <w:rFonts w:hint="eastAsia" w:ascii="仿宋" w:hAnsi="仿宋" w:eastAsia="仿宋" w:cs="仿宋"/>
          <w:color w:val="auto"/>
          <w:spacing w:val="6"/>
          <w:sz w:val="24"/>
          <w:szCs w:val="24"/>
          <w:highlight w:val="none"/>
        </w:rPr>
        <w:t>提供的《残疾人福利性单位声明函》与事实不符的，依照《政府采购法》第七十七条第一款的规定追究法律责任。</w:t>
      </w:r>
    </w:p>
    <w:p w14:paraId="08D5C8AE">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14:paraId="09DC2F98">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四、采购人采购公开招标数额标准以上的货物或者服务，因落实促进残疾人就业政策的需要，依法履行有关报批程序后，可采用公开招标以外的采购方式。</w:t>
      </w:r>
    </w:p>
    <w:p w14:paraId="77436424">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p>
    <w:p w14:paraId="3C7267E3">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六、省级财政部门可以结合本地区残疾人生产、经营的实际情况，细化政府采购支持措施。对符合国家有关部门规定条件的残疾人辅助性就业机构，可通过上述措施予以支持。各地制定的有关文件应当报财政部备案。</w:t>
      </w:r>
    </w:p>
    <w:p w14:paraId="35620466">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七、本通知自2017年10月1日起执行。</w:t>
      </w:r>
    </w:p>
    <w:p w14:paraId="6A129BC1">
      <w:pPr>
        <w:pStyle w:val="8"/>
        <w:rPr>
          <w:rFonts w:hint="eastAsia" w:ascii="仿宋" w:hAnsi="仿宋" w:eastAsia="仿宋" w:cs="仿宋"/>
          <w:color w:val="auto"/>
          <w:highlight w:val="none"/>
        </w:rPr>
      </w:pPr>
    </w:p>
    <w:p w14:paraId="4837621A">
      <w:pPr>
        <w:spacing w:line="360" w:lineRule="auto"/>
        <w:jc w:val="righ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财政部</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民政部</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中国残疾人联合会</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2017年8月22日</w:t>
      </w:r>
    </w:p>
    <w:p w14:paraId="074D0112">
      <w:pP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br w:type="page"/>
      </w:r>
    </w:p>
    <w:p w14:paraId="5ECC95FE">
      <w:pPr>
        <w:spacing w:line="360" w:lineRule="auto"/>
        <w:outlineLvl w:val="1"/>
        <w:rPr>
          <w:rFonts w:hint="eastAsia" w:ascii="仿宋" w:hAnsi="仿宋" w:eastAsia="仿宋" w:cs="仿宋"/>
          <w:color w:val="auto"/>
          <w:spacing w:val="6"/>
          <w:sz w:val="24"/>
          <w:szCs w:val="24"/>
          <w:highlight w:val="none"/>
        </w:rPr>
      </w:pPr>
      <w:bookmarkStart w:id="336" w:name="_Toc23938"/>
      <w:bookmarkStart w:id="337" w:name="_Toc13799"/>
      <w:r>
        <w:rPr>
          <w:rFonts w:hint="eastAsia" w:ascii="仿宋" w:hAnsi="仿宋" w:eastAsia="仿宋" w:cs="仿宋"/>
          <w:color w:val="auto"/>
          <w:spacing w:val="6"/>
          <w:sz w:val="24"/>
          <w:szCs w:val="24"/>
          <w:highlight w:val="none"/>
        </w:rPr>
        <w:t>附件</w:t>
      </w:r>
      <w:r>
        <w:rPr>
          <w:rFonts w:hint="eastAsia" w:ascii="仿宋" w:hAnsi="仿宋" w:eastAsia="仿宋" w:cs="仿宋"/>
          <w:color w:val="auto"/>
          <w:spacing w:val="6"/>
          <w:sz w:val="24"/>
          <w:szCs w:val="24"/>
          <w:highlight w:val="none"/>
          <w:lang w:val="en-US" w:eastAsia="zh-CN"/>
        </w:rPr>
        <w:t>3</w:t>
      </w:r>
      <w:r>
        <w:rPr>
          <w:rFonts w:hint="eastAsia" w:ascii="仿宋" w:hAnsi="仿宋" w:eastAsia="仿宋" w:cs="仿宋"/>
          <w:color w:val="auto"/>
          <w:spacing w:val="6"/>
          <w:sz w:val="24"/>
          <w:szCs w:val="24"/>
          <w:highlight w:val="none"/>
        </w:rPr>
        <w:t>、</w:t>
      </w:r>
      <w:r>
        <w:rPr>
          <w:rFonts w:hint="eastAsia" w:ascii="仿宋" w:hAnsi="仿宋" w:eastAsia="仿宋" w:cs="仿宋"/>
          <w:color w:val="auto"/>
          <w:spacing w:val="6"/>
          <w:sz w:val="24"/>
          <w:szCs w:val="24"/>
          <w:highlight w:val="none"/>
          <w:lang w:val="en-US" w:eastAsia="zh-CN"/>
        </w:rPr>
        <w:t>监狱扶持政策</w:t>
      </w:r>
      <w:bookmarkEnd w:id="336"/>
      <w:bookmarkEnd w:id="337"/>
    </w:p>
    <w:p w14:paraId="03ED322B">
      <w:pPr>
        <w:spacing w:line="360" w:lineRule="auto"/>
        <w:jc w:val="center"/>
        <w:rPr>
          <w:rFonts w:hint="eastAsia" w:ascii="仿宋" w:hAnsi="仿宋" w:eastAsia="仿宋" w:cs="仿宋"/>
          <w:color w:val="auto"/>
          <w:spacing w:val="6"/>
          <w:sz w:val="24"/>
          <w:szCs w:val="24"/>
          <w:highlight w:val="none"/>
          <w:lang w:val="en-US" w:eastAsia="zh-CN"/>
        </w:rPr>
      </w:pPr>
      <w:r>
        <w:rPr>
          <w:rFonts w:hint="eastAsia" w:ascii="仿宋" w:hAnsi="仿宋" w:eastAsia="仿宋" w:cs="仿宋"/>
          <w:color w:val="auto"/>
          <w:spacing w:val="6"/>
          <w:sz w:val="24"/>
          <w:szCs w:val="24"/>
          <w:highlight w:val="none"/>
          <w:lang w:val="en-US" w:eastAsia="zh-CN"/>
        </w:rPr>
        <w:t>财政部 司法部关于政府采购支持</w:t>
      </w:r>
    </w:p>
    <w:p w14:paraId="0E961184">
      <w:pPr>
        <w:spacing w:line="360" w:lineRule="auto"/>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lang w:val="en-US" w:eastAsia="zh-CN"/>
        </w:rPr>
        <w:t>监狱企业发展有关问题的通知</w:t>
      </w:r>
    </w:p>
    <w:p w14:paraId="4DAA07AD">
      <w:pPr>
        <w:spacing w:line="360" w:lineRule="auto"/>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财库〔2014〕68号</w:t>
      </w:r>
    </w:p>
    <w:p w14:paraId="28975F5A">
      <w:pPr>
        <w:spacing w:line="360" w:lineRule="auto"/>
        <w:ind w:firstLine="504" w:firstLineChars="200"/>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党中央有关部门，国务院各部委、各直属机构，全国人大常委会办公厅，全国政协办公厅，高法院，高检院，有关人民团体，中央国家机关政府采购中心，中共中央直属机关采购中心，全国人大机关采购中心，各省、自治区、直辖市、计划单列市财政厅（局）、司法厅（局），新疆生产建设兵团财务局、司法局、监狱管理局：</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　　政府采购支持监狱和戒毒企业（以下简称监狱企业）发展对稳定监狱企业生产，提高财政资金使用效益，为罪犯和戒毒人员提供长期可靠的劳动岗位，提高罪犯和戒毒人员的教育改造质量，减少重新违法犯罪，确保监狱、戒毒场所安全稳定，促进社会和谐稳定具有十分重要的意义。为进一步贯彻落实国务院《关于解决监狱企业困难的实施方案的通知》（国发[2003]7号）文件精神，发挥政府采购支持监狱企业发展的作用，现就有关事项通知如下：</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　　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　　二、在政府采购活动中，监狱企业视同小型、微型企业，享受预留份额、评审中价格扣除等政府采购促进中小企业发展的政府采购政策。向监狱企业采购的金额，计入面向中小企业采购的统计数据。</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　　三、各地区、各部门要积极通过预留采购份额支持监狱企业。有制服采购项目的部门，应加强对政府采购预算和计划编制工作的统筹，预留本部门制服采购项目预算总额的30%以上，专门面向监狱企业采购。省级以上政府部门组织的公务员考试、招生考试、等级考试、资格考试的试卷印刷项目原则上应当在符合有关资质的监狱企业范围内采购。各地在免费教科书政府采购工作中，应当根据符合教科书印制资质的监狱企业情况，提出由监狱企业印刷的比例要求。</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　　四、各地区可以结合本地区实际，对监狱企业生产的办公用品、家具用具、车辆维修和提供的保养服务、消防设备等，提出预留份额等政府采购支持措施，加大对监狱企业产品的采购力度。</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　　五、各地区、各部门要高度重视，加强组织管理和监督，做好政府采购支持监狱企业发展的相关工作。有关部门要加强监管，确保面向监狱企业采购的工作依法依规进行。各监狱企业要不断提高监狱企业产品的质量和服务水平，为做好监狱企业产品政府采购工作提供有力保障。</w:t>
      </w:r>
    </w:p>
    <w:p w14:paraId="7AF4706A">
      <w:pPr>
        <w:pStyle w:val="8"/>
        <w:rPr>
          <w:rFonts w:hint="eastAsia" w:ascii="仿宋" w:hAnsi="仿宋" w:eastAsia="仿宋" w:cs="仿宋"/>
          <w:color w:val="auto"/>
          <w:highlight w:val="none"/>
        </w:rPr>
      </w:pPr>
    </w:p>
    <w:p w14:paraId="187A3726">
      <w:pPr>
        <w:spacing w:line="360" w:lineRule="auto"/>
        <w:jc w:val="righ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中华人民共和国财政部</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中华人民共和国司法部</w:t>
      </w:r>
      <w:r>
        <w:rPr>
          <w:rFonts w:hint="eastAsia" w:ascii="仿宋" w:hAnsi="仿宋" w:eastAsia="仿宋" w:cs="仿宋"/>
          <w:color w:val="auto"/>
          <w:spacing w:val="6"/>
          <w:sz w:val="24"/>
          <w:szCs w:val="24"/>
          <w:highlight w:val="none"/>
        </w:rPr>
        <w:br w:type="textWrapping"/>
      </w:r>
      <w:r>
        <w:rPr>
          <w:rFonts w:hint="eastAsia" w:ascii="仿宋" w:hAnsi="仿宋" w:eastAsia="仿宋" w:cs="仿宋"/>
          <w:color w:val="auto"/>
          <w:spacing w:val="6"/>
          <w:sz w:val="24"/>
          <w:szCs w:val="24"/>
          <w:highlight w:val="none"/>
        </w:rPr>
        <w:t>2014年6月10日</w:t>
      </w:r>
    </w:p>
    <w:p w14:paraId="07015AD9">
      <w:pPr>
        <w:spacing w:line="360" w:lineRule="auto"/>
        <w:jc w:val="both"/>
        <w:rPr>
          <w:rFonts w:hint="eastAsia" w:ascii="仿宋" w:hAnsi="仿宋" w:eastAsia="仿宋" w:cs="仿宋"/>
          <w:color w:val="auto"/>
          <w:sz w:val="24"/>
          <w:szCs w:val="24"/>
          <w:highlight w:val="none"/>
        </w:rPr>
      </w:pPr>
    </w:p>
    <w:sectPr>
      <w:headerReference r:id="rId7" w:type="default"/>
      <w:footerReference r:id="rId8" w:type="default"/>
      <w:pgSz w:w="11906" w:h="16838"/>
      <w:pgMar w:top="1134" w:right="1418" w:bottom="1134" w:left="1418" w:header="851" w:footer="992" w:gutter="0"/>
      <w:pgNumType w:fmt="decimal"/>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
    <w:altName w:val="Times New Roman"/>
    <w:panose1 w:val="00000000000000000000"/>
    <w:charset w:val="00"/>
    <w:family w:val="auto"/>
    <w:pitch w:val="default"/>
    <w:sig w:usb0="00000000" w:usb1="00000000" w:usb2="00000000" w:usb3="00000000" w:csb0="00000001" w:csb1="00000000"/>
  </w:font>
  <w:font w:name="??">
    <w:altName w:val="Times New Roman"/>
    <w:panose1 w:val="00000000000000000000"/>
    <w:charset w:val="00"/>
    <w:family w:val="roman"/>
    <w:pitch w:val="default"/>
    <w:sig w:usb0="00000000" w:usb1="00000000" w:usb2="00000000" w:usb3="00000000" w:csb0="00000001" w:csb1="00000000"/>
  </w:font>
  <w:font w:name="Cambria">
    <w:panose1 w:val="02040503050406030204"/>
    <w:charset w:val="00"/>
    <w:family w:val="roman"/>
    <w:pitch w:val="default"/>
    <w:sig w:usb0="E00006FF" w:usb1="420024FF" w:usb2="02000000" w:usb3="00000000" w:csb0="2000019F" w:csb1="00000000"/>
  </w:font>
  <w:font w:name="monospace">
    <w:altName w:val="Courier New"/>
    <w:panose1 w:val="00000000000000000000"/>
    <w:charset w:val="00"/>
    <w:family w:val="auto"/>
    <w:pitch w:val="default"/>
    <w:sig w:usb0="00000000" w:usb1="00000000" w:usb2="00000000" w:usb3="00000000" w:csb0="00000001" w:csb1="00000000"/>
  </w:font>
  <w:font w:name="仿宋">
    <w:panose1 w:val="02010609060101010101"/>
    <w:charset w:val="86"/>
    <w:family w:val="auto"/>
    <w:pitch w:val="default"/>
    <w:sig w:usb0="800002BF" w:usb1="38CF7CFA" w:usb2="00000016" w:usb3="00000000" w:csb0="00040001" w:csb1="00000000"/>
  </w:font>
  <w:font w:name="Trebuchet MS">
    <w:panose1 w:val="020B0603020202020204"/>
    <w:charset w:val="00"/>
    <w:family w:val="swiss"/>
    <w:pitch w:val="default"/>
    <w:sig w:usb0="00000687" w:usb1="00000000" w:usb2="00000000" w:usb3="00000000" w:csb0="2000009F" w:csb1="00000000"/>
  </w:font>
  <w:font w:name="方正仿宋简体">
    <w:altName w:val="宋体"/>
    <w:panose1 w:val="02010601030101010101"/>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976B49">
    <w:pPr>
      <w:pStyle w:val="23"/>
      <w:ind w:right="90"/>
      <w:jc w:val="both"/>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69F92E">
    <w:pPr>
      <w:pStyle w:val="23"/>
      <w:framePr w:wrap="around" w:vAnchor="text" w:hAnchor="margin" w:xAlign="center" w:y="1"/>
      <w:rPr>
        <w:rStyle w:val="44"/>
      </w:rPr>
    </w:pPr>
    <w:r>
      <w:rPr>
        <w:rStyle w:val="44"/>
      </w:rPr>
      <w:fldChar w:fldCharType="begin"/>
    </w:r>
    <w:r>
      <w:rPr>
        <w:rStyle w:val="44"/>
      </w:rPr>
      <w:instrText xml:space="preserve">PAGE  </w:instrText>
    </w:r>
    <w:r>
      <w:rPr>
        <w:rStyle w:val="44"/>
      </w:rPr>
      <w:fldChar w:fldCharType="separate"/>
    </w:r>
    <w:r>
      <w:rPr>
        <w:rStyle w:val="44"/>
      </w:rPr>
      <w:t>68</w:t>
    </w:r>
    <w:r>
      <w:rPr>
        <w:rStyle w:val="44"/>
      </w:rPr>
      <w:fldChar w:fldCharType="end"/>
    </w:r>
  </w:p>
  <w:p w14:paraId="52D5D66D">
    <w:pPr>
      <w:pStyle w:val="2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FA14BE">
    <w:pPr>
      <w:pStyle w:val="23"/>
      <w:ind w:right="90"/>
      <w:jc w:val="right"/>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2A1C41">
                          <w:pPr>
                            <w:pStyle w:val="23"/>
                            <w:rPr>
                              <w:rFonts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  \* MERGEFORMAT </w:instrText>
                          </w:r>
                          <w:r>
                            <w:rPr>
                              <w:rFonts w:hint="eastAsia" w:ascii="仿宋" w:hAnsi="仿宋" w:eastAsia="仿宋" w:cs="仿宋"/>
                              <w:sz w:val="24"/>
                              <w:szCs w:val="24"/>
                            </w:rPr>
                            <w:fldChar w:fldCharType="separate"/>
                          </w:r>
                          <w:r>
                            <w:rPr>
                              <w:rFonts w:ascii="仿宋" w:hAnsi="仿宋" w:eastAsia="仿宋" w:cs="仿宋"/>
                              <w:sz w:val="24"/>
                              <w:szCs w:val="24"/>
                            </w:rPr>
                            <w:t>2</w:t>
                          </w:r>
                          <w:r>
                            <w:rPr>
                              <w:rFonts w:hint="eastAsia" w:ascii="仿宋" w:hAnsi="仿宋" w:eastAsia="仿宋" w:cs="仿宋"/>
                              <w:sz w:val="24"/>
                              <w:szCs w:val="24"/>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442A1C41">
                    <w:pPr>
                      <w:pStyle w:val="23"/>
                      <w:rPr>
                        <w:rFonts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  \* MERGEFORMAT </w:instrText>
                    </w:r>
                    <w:r>
                      <w:rPr>
                        <w:rFonts w:hint="eastAsia" w:ascii="仿宋" w:hAnsi="仿宋" w:eastAsia="仿宋" w:cs="仿宋"/>
                        <w:sz w:val="24"/>
                        <w:szCs w:val="24"/>
                      </w:rPr>
                      <w:fldChar w:fldCharType="separate"/>
                    </w:r>
                    <w:r>
                      <w:rPr>
                        <w:rFonts w:ascii="仿宋" w:hAnsi="仿宋" w:eastAsia="仿宋" w:cs="仿宋"/>
                        <w:sz w:val="24"/>
                        <w:szCs w:val="24"/>
                      </w:rPr>
                      <w:t>2</w:t>
                    </w:r>
                    <w:r>
                      <w:rPr>
                        <w:rFonts w:hint="eastAsia" w:ascii="仿宋" w:hAnsi="仿宋" w:eastAsia="仿宋" w:cs="仿宋"/>
                        <w:sz w:val="24"/>
                        <w:szCs w:val="24"/>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A43A82">
    <w:pPr>
      <w:pStyle w:val="23"/>
      <w:ind w:right="360"/>
      <w:jc w:val="center"/>
      <w:rPr>
        <w:rFonts w:asciiTheme="minorEastAsia" w:hAnsiTheme="minorEastAsia" w:eastAsiaTheme="minorEastAsia"/>
        <w:sz w:val="24"/>
        <w:szCs w:val="24"/>
      </w:rPr>
    </w:pPr>
    <w:r>
      <w:rPr>
        <w:sz w:val="24"/>
        <w:szCs w:val="15"/>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rPr>
                              <w:rFonts w:hint="eastAsia" w:ascii="仿宋" w:hAnsi="仿宋" w:eastAsia="仿宋" w:cs="仿宋"/>
                              <w:sz w:val="24"/>
                              <w:szCs w:val="24"/>
                            </w:rPr>
                            <w:id w:val="-367532114"/>
                          </w:sdtPr>
                          <w:sdtEndPr>
                            <w:rPr>
                              <w:rFonts w:hint="eastAsia" w:cs="仿宋" w:asciiTheme="minorEastAsia" w:hAnsiTheme="minorEastAsia" w:eastAsiaTheme="minorEastAsia"/>
                              <w:sz w:val="30"/>
                              <w:szCs w:val="30"/>
                            </w:rPr>
                          </w:sdtEndPr>
                          <w:sdtContent>
                            <w:p w14:paraId="2B4C5EC3">
                              <w:pPr>
                                <w:pStyle w:val="23"/>
                                <w:ind w:right="360"/>
                                <w:jc w:val="center"/>
                                <w:rPr>
                                  <w:rFonts w:asciiTheme="minorEastAsia" w:hAnsiTheme="minorEastAsia" w:eastAsiaTheme="minorEastAsia"/>
                                  <w:sz w:val="30"/>
                                  <w:szCs w:val="30"/>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PAGE   \* MERGEFORMAT</w:instrText>
                              </w:r>
                              <w:r>
                                <w:rPr>
                                  <w:rFonts w:hint="eastAsia" w:ascii="仿宋" w:hAnsi="仿宋" w:eastAsia="仿宋" w:cs="仿宋"/>
                                  <w:sz w:val="24"/>
                                  <w:szCs w:val="24"/>
                                </w:rPr>
                                <w:fldChar w:fldCharType="separate"/>
                              </w:r>
                              <w:r>
                                <w:rPr>
                                  <w:rFonts w:ascii="仿宋" w:hAnsi="仿宋" w:eastAsia="仿宋" w:cs="仿宋"/>
                                  <w:sz w:val="24"/>
                                  <w:szCs w:val="24"/>
                                  <w:lang w:val="zh-CN"/>
                                </w:rPr>
                                <w:t>26</w:t>
                              </w:r>
                              <w:r>
                                <w:rPr>
                                  <w:rFonts w:hint="eastAsia" w:ascii="仿宋" w:hAnsi="仿宋" w:eastAsia="仿宋" w:cs="仿宋"/>
                                  <w:sz w:val="24"/>
                                  <w:szCs w:val="24"/>
                                </w:rPr>
                                <w:fldChar w:fldCharType="end"/>
                              </w:r>
                            </w:p>
                          </w:sdtContent>
                        </w:sdt>
                        <w:p w14:paraId="02121EC1">
                          <w:pPr>
                            <w:rPr>
                              <w:rFonts w:asciiTheme="minorEastAsia" w:hAnsiTheme="minorEastAsia"/>
                              <w:sz w:val="30"/>
                              <w:szCs w:val="30"/>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sdt>
                    <w:sdtPr>
                      <w:rPr>
                        <w:rFonts w:hint="eastAsia" w:ascii="仿宋" w:hAnsi="仿宋" w:eastAsia="仿宋" w:cs="仿宋"/>
                        <w:sz w:val="24"/>
                        <w:szCs w:val="24"/>
                      </w:rPr>
                      <w:id w:val="-367532114"/>
                    </w:sdtPr>
                    <w:sdtEndPr>
                      <w:rPr>
                        <w:rFonts w:hint="eastAsia" w:cs="仿宋" w:asciiTheme="minorEastAsia" w:hAnsiTheme="minorEastAsia" w:eastAsiaTheme="minorEastAsia"/>
                        <w:sz w:val="30"/>
                        <w:szCs w:val="30"/>
                      </w:rPr>
                    </w:sdtEndPr>
                    <w:sdtContent>
                      <w:p w14:paraId="2B4C5EC3">
                        <w:pPr>
                          <w:pStyle w:val="23"/>
                          <w:ind w:right="360"/>
                          <w:jc w:val="center"/>
                          <w:rPr>
                            <w:rFonts w:asciiTheme="minorEastAsia" w:hAnsiTheme="minorEastAsia" w:eastAsiaTheme="minorEastAsia"/>
                            <w:sz w:val="30"/>
                            <w:szCs w:val="30"/>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PAGE   \* MERGEFORMAT</w:instrText>
                        </w:r>
                        <w:r>
                          <w:rPr>
                            <w:rFonts w:hint="eastAsia" w:ascii="仿宋" w:hAnsi="仿宋" w:eastAsia="仿宋" w:cs="仿宋"/>
                            <w:sz w:val="24"/>
                            <w:szCs w:val="24"/>
                          </w:rPr>
                          <w:fldChar w:fldCharType="separate"/>
                        </w:r>
                        <w:r>
                          <w:rPr>
                            <w:rFonts w:ascii="仿宋" w:hAnsi="仿宋" w:eastAsia="仿宋" w:cs="仿宋"/>
                            <w:sz w:val="24"/>
                            <w:szCs w:val="24"/>
                            <w:lang w:val="zh-CN"/>
                          </w:rPr>
                          <w:t>26</w:t>
                        </w:r>
                        <w:r>
                          <w:rPr>
                            <w:rFonts w:hint="eastAsia" w:ascii="仿宋" w:hAnsi="仿宋" w:eastAsia="仿宋" w:cs="仿宋"/>
                            <w:sz w:val="24"/>
                            <w:szCs w:val="24"/>
                          </w:rPr>
                          <w:fldChar w:fldCharType="end"/>
                        </w:r>
                      </w:p>
                    </w:sdtContent>
                  </w:sdt>
                  <w:p w14:paraId="02121EC1">
                    <w:pPr>
                      <w:rPr>
                        <w:rFonts w:asciiTheme="minorEastAsia" w:hAnsiTheme="minorEastAsia"/>
                        <w:sz w:val="30"/>
                        <w:szCs w:val="30"/>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7B3B4F">
    <w:pPr>
      <w:pStyle w:val="24"/>
      <w:pBdr>
        <w:bottom w:val="none" w:color="auto" w:sz="0" w:space="0"/>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3FD766">
    <w:pPr>
      <w:pStyle w:val="24"/>
      <w:pBdr>
        <w:bottom w:val="none" w:color="auto"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E837D13"/>
    <w:multiLevelType w:val="singleLevel"/>
    <w:tmpl w:val="DE837D13"/>
    <w:lvl w:ilvl="0" w:tentative="0">
      <w:start w:val="1"/>
      <w:numFmt w:val="decimal"/>
      <w:pStyle w:val="18"/>
      <w:lvlText w:val="%1."/>
      <w:lvlJc w:val="left"/>
      <w:pPr>
        <w:tabs>
          <w:tab w:val="left" w:pos="2040"/>
        </w:tabs>
        <w:ind w:left="2040" w:hanging="360"/>
      </w:pPr>
    </w:lvl>
  </w:abstractNum>
  <w:abstractNum w:abstractNumId="1">
    <w:nsid w:val="644E5166"/>
    <w:multiLevelType w:val="multilevel"/>
    <w:tmpl w:val="644E5166"/>
    <w:lvl w:ilvl="0" w:tentative="0">
      <w:start w:val="1"/>
      <w:numFmt w:val="decimal"/>
      <w:lvlText w:val="（%1）"/>
      <w:lvlJc w:val="left"/>
      <w:pPr>
        <w:ind w:left="1200" w:hanging="72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GE5YzQ0MWM2NDg3NzAxNTI3MDYxNmNiYmNjZWVhNTgifQ=="/>
    <w:docVar w:name="KSO_WPS_MARK_KEY" w:val="fdbdf24b-0dbf-482d-9e5c-40b2cee7c8c0"/>
  </w:docVars>
  <w:rsids>
    <w:rsidRoot w:val="00172A27"/>
    <w:rsid w:val="000002B4"/>
    <w:rsid w:val="00001340"/>
    <w:rsid w:val="00002143"/>
    <w:rsid w:val="00004DAA"/>
    <w:rsid w:val="00005C75"/>
    <w:rsid w:val="00006BD9"/>
    <w:rsid w:val="00007BA8"/>
    <w:rsid w:val="000104D6"/>
    <w:rsid w:val="00010CE2"/>
    <w:rsid w:val="00012108"/>
    <w:rsid w:val="00012E01"/>
    <w:rsid w:val="00014F7D"/>
    <w:rsid w:val="000162FE"/>
    <w:rsid w:val="00020411"/>
    <w:rsid w:val="0002386B"/>
    <w:rsid w:val="0002405E"/>
    <w:rsid w:val="000244CA"/>
    <w:rsid w:val="0002545E"/>
    <w:rsid w:val="00027B5D"/>
    <w:rsid w:val="00030171"/>
    <w:rsid w:val="00033566"/>
    <w:rsid w:val="00033852"/>
    <w:rsid w:val="000343A0"/>
    <w:rsid w:val="000347EB"/>
    <w:rsid w:val="00036B12"/>
    <w:rsid w:val="000400E8"/>
    <w:rsid w:val="00044B32"/>
    <w:rsid w:val="00046152"/>
    <w:rsid w:val="0005003E"/>
    <w:rsid w:val="00051397"/>
    <w:rsid w:val="00054F47"/>
    <w:rsid w:val="0005551C"/>
    <w:rsid w:val="000604DE"/>
    <w:rsid w:val="0006199F"/>
    <w:rsid w:val="000641A9"/>
    <w:rsid w:val="000653CD"/>
    <w:rsid w:val="000661C0"/>
    <w:rsid w:val="00070AF5"/>
    <w:rsid w:val="00070BFE"/>
    <w:rsid w:val="0007362D"/>
    <w:rsid w:val="00073846"/>
    <w:rsid w:val="00073D96"/>
    <w:rsid w:val="000762D4"/>
    <w:rsid w:val="00077DB3"/>
    <w:rsid w:val="0008025F"/>
    <w:rsid w:val="00080E16"/>
    <w:rsid w:val="000829F2"/>
    <w:rsid w:val="00082FC4"/>
    <w:rsid w:val="00085ED3"/>
    <w:rsid w:val="000904A3"/>
    <w:rsid w:val="00090F37"/>
    <w:rsid w:val="000916AB"/>
    <w:rsid w:val="000923E8"/>
    <w:rsid w:val="000946D4"/>
    <w:rsid w:val="00094989"/>
    <w:rsid w:val="000A0272"/>
    <w:rsid w:val="000A02F9"/>
    <w:rsid w:val="000A1ECD"/>
    <w:rsid w:val="000A32B9"/>
    <w:rsid w:val="000A3552"/>
    <w:rsid w:val="000A43C4"/>
    <w:rsid w:val="000A452A"/>
    <w:rsid w:val="000B210F"/>
    <w:rsid w:val="000B318F"/>
    <w:rsid w:val="000B331B"/>
    <w:rsid w:val="000B4C6A"/>
    <w:rsid w:val="000B7C76"/>
    <w:rsid w:val="000C364C"/>
    <w:rsid w:val="000C3FDE"/>
    <w:rsid w:val="000D171A"/>
    <w:rsid w:val="000D5DA0"/>
    <w:rsid w:val="000D7CE7"/>
    <w:rsid w:val="000E2D54"/>
    <w:rsid w:val="000E34FC"/>
    <w:rsid w:val="000E40A6"/>
    <w:rsid w:val="000E5B9C"/>
    <w:rsid w:val="000E674D"/>
    <w:rsid w:val="000E7461"/>
    <w:rsid w:val="000F186E"/>
    <w:rsid w:val="000F56EE"/>
    <w:rsid w:val="00100D44"/>
    <w:rsid w:val="00101AA4"/>
    <w:rsid w:val="00102AB6"/>
    <w:rsid w:val="00104F86"/>
    <w:rsid w:val="001063D0"/>
    <w:rsid w:val="0010650C"/>
    <w:rsid w:val="00106BA4"/>
    <w:rsid w:val="00111383"/>
    <w:rsid w:val="001145B2"/>
    <w:rsid w:val="00115901"/>
    <w:rsid w:val="00115A4B"/>
    <w:rsid w:val="0011725D"/>
    <w:rsid w:val="00121DF5"/>
    <w:rsid w:val="001248E7"/>
    <w:rsid w:val="00126044"/>
    <w:rsid w:val="00127B38"/>
    <w:rsid w:val="00127C9A"/>
    <w:rsid w:val="0013312B"/>
    <w:rsid w:val="00134210"/>
    <w:rsid w:val="00134F82"/>
    <w:rsid w:val="001357C8"/>
    <w:rsid w:val="00142BB8"/>
    <w:rsid w:val="00143169"/>
    <w:rsid w:val="0014554F"/>
    <w:rsid w:val="00146E26"/>
    <w:rsid w:val="001543A3"/>
    <w:rsid w:val="001575BE"/>
    <w:rsid w:val="00157673"/>
    <w:rsid w:val="0015794E"/>
    <w:rsid w:val="00160159"/>
    <w:rsid w:val="00160311"/>
    <w:rsid w:val="00161961"/>
    <w:rsid w:val="00162DD4"/>
    <w:rsid w:val="001652C6"/>
    <w:rsid w:val="0016644B"/>
    <w:rsid w:val="00170A17"/>
    <w:rsid w:val="00171110"/>
    <w:rsid w:val="00172AA0"/>
    <w:rsid w:val="001733AF"/>
    <w:rsid w:val="00176FAD"/>
    <w:rsid w:val="0017733A"/>
    <w:rsid w:val="00181200"/>
    <w:rsid w:val="001901CA"/>
    <w:rsid w:val="001930FC"/>
    <w:rsid w:val="00193402"/>
    <w:rsid w:val="00194DD8"/>
    <w:rsid w:val="00197628"/>
    <w:rsid w:val="001A1456"/>
    <w:rsid w:val="001A1D16"/>
    <w:rsid w:val="001A2117"/>
    <w:rsid w:val="001A45DD"/>
    <w:rsid w:val="001A4E5A"/>
    <w:rsid w:val="001A4E90"/>
    <w:rsid w:val="001A71AF"/>
    <w:rsid w:val="001B1372"/>
    <w:rsid w:val="001B1748"/>
    <w:rsid w:val="001B5A4C"/>
    <w:rsid w:val="001C15DD"/>
    <w:rsid w:val="001C4134"/>
    <w:rsid w:val="001D029C"/>
    <w:rsid w:val="001D4B73"/>
    <w:rsid w:val="001D50A5"/>
    <w:rsid w:val="001E288B"/>
    <w:rsid w:val="001E33A7"/>
    <w:rsid w:val="001E3D69"/>
    <w:rsid w:val="001E4755"/>
    <w:rsid w:val="001E6E8F"/>
    <w:rsid w:val="001E794E"/>
    <w:rsid w:val="001F292C"/>
    <w:rsid w:val="001F3A08"/>
    <w:rsid w:val="001F610A"/>
    <w:rsid w:val="001F79E8"/>
    <w:rsid w:val="00200BA8"/>
    <w:rsid w:val="0020240F"/>
    <w:rsid w:val="002055DD"/>
    <w:rsid w:val="00205968"/>
    <w:rsid w:val="00205DF6"/>
    <w:rsid w:val="00205F22"/>
    <w:rsid w:val="0021147C"/>
    <w:rsid w:val="00214257"/>
    <w:rsid w:val="00214392"/>
    <w:rsid w:val="00215BA5"/>
    <w:rsid w:val="00215F58"/>
    <w:rsid w:val="00217E00"/>
    <w:rsid w:val="0022016C"/>
    <w:rsid w:val="0022177D"/>
    <w:rsid w:val="002224AE"/>
    <w:rsid w:val="00223931"/>
    <w:rsid w:val="002246D6"/>
    <w:rsid w:val="00226DEC"/>
    <w:rsid w:val="0022747A"/>
    <w:rsid w:val="0023151C"/>
    <w:rsid w:val="0023323E"/>
    <w:rsid w:val="00236A48"/>
    <w:rsid w:val="00236D43"/>
    <w:rsid w:val="00240D63"/>
    <w:rsid w:val="00243861"/>
    <w:rsid w:val="002472C0"/>
    <w:rsid w:val="002508FA"/>
    <w:rsid w:val="00253DC3"/>
    <w:rsid w:val="002541CE"/>
    <w:rsid w:val="00255C6B"/>
    <w:rsid w:val="0025723D"/>
    <w:rsid w:val="00257F22"/>
    <w:rsid w:val="002604A7"/>
    <w:rsid w:val="00260910"/>
    <w:rsid w:val="00262A6E"/>
    <w:rsid w:val="00263141"/>
    <w:rsid w:val="00266F04"/>
    <w:rsid w:val="00280F38"/>
    <w:rsid w:val="00283C54"/>
    <w:rsid w:val="00285885"/>
    <w:rsid w:val="00285ABC"/>
    <w:rsid w:val="00292BAB"/>
    <w:rsid w:val="002967DA"/>
    <w:rsid w:val="002A6197"/>
    <w:rsid w:val="002A7CE2"/>
    <w:rsid w:val="002B0041"/>
    <w:rsid w:val="002B01D0"/>
    <w:rsid w:val="002B38BE"/>
    <w:rsid w:val="002B3DBF"/>
    <w:rsid w:val="002B77E1"/>
    <w:rsid w:val="002C02A1"/>
    <w:rsid w:val="002C2DD2"/>
    <w:rsid w:val="002C7FCF"/>
    <w:rsid w:val="002D280B"/>
    <w:rsid w:val="002D3439"/>
    <w:rsid w:val="002D635D"/>
    <w:rsid w:val="002D6CF2"/>
    <w:rsid w:val="002E1B79"/>
    <w:rsid w:val="002E25BC"/>
    <w:rsid w:val="002E29B4"/>
    <w:rsid w:val="002E5AAD"/>
    <w:rsid w:val="002F065A"/>
    <w:rsid w:val="002F10F5"/>
    <w:rsid w:val="002F2283"/>
    <w:rsid w:val="002F640F"/>
    <w:rsid w:val="002F7FD1"/>
    <w:rsid w:val="00300C92"/>
    <w:rsid w:val="003017E3"/>
    <w:rsid w:val="00301FBF"/>
    <w:rsid w:val="00304A1A"/>
    <w:rsid w:val="00304D2D"/>
    <w:rsid w:val="00305EE3"/>
    <w:rsid w:val="0030747A"/>
    <w:rsid w:val="003117CE"/>
    <w:rsid w:val="003121AD"/>
    <w:rsid w:val="00313F13"/>
    <w:rsid w:val="00315623"/>
    <w:rsid w:val="00315D4B"/>
    <w:rsid w:val="00315D59"/>
    <w:rsid w:val="003160D4"/>
    <w:rsid w:val="00316DBA"/>
    <w:rsid w:val="00317D34"/>
    <w:rsid w:val="00321036"/>
    <w:rsid w:val="00323AFC"/>
    <w:rsid w:val="0032592F"/>
    <w:rsid w:val="00326152"/>
    <w:rsid w:val="00331C14"/>
    <w:rsid w:val="0033231B"/>
    <w:rsid w:val="00332D2E"/>
    <w:rsid w:val="00333E01"/>
    <w:rsid w:val="00336EED"/>
    <w:rsid w:val="003414CA"/>
    <w:rsid w:val="00344BCD"/>
    <w:rsid w:val="00347E66"/>
    <w:rsid w:val="0035118C"/>
    <w:rsid w:val="003537E4"/>
    <w:rsid w:val="0035581F"/>
    <w:rsid w:val="00357E91"/>
    <w:rsid w:val="00360D30"/>
    <w:rsid w:val="00361C9D"/>
    <w:rsid w:val="00363991"/>
    <w:rsid w:val="00364473"/>
    <w:rsid w:val="003646E5"/>
    <w:rsid w:val="00366F29"/>
    <w:rsid w:val="00367BA8"/>
    <w:rsid w:val="00370F25"/>
    <w:rsid w:val="00373602"/>
    <w:rsid w:val="00373826"/>
    <w:rsid w:val="00373AD1"/>
    <w:rsid w:val="00376E83"/>
    <w:rsid w:val="00384E2D"/>
    <w:rsid w:val="00390A3C"/>
    <w:rsid w:val="00392652"/>
    <w:rsid w:val="003974F8"/>
    <w:rsid w:val="003A28C5"/>
    <w:rsid w:val="003A5B50"/>
    <w:rsid w:val="003A6107"/>
    <w:rsid w:val="003A7427"/>
    <w:rsid w:val="003B0D63"/>
    <w:rsid w:val="003B70AD"/>
    <w:rsid w:val="003B7226"/>
    <w:rsid w:val="003C0B9E"/>
    <w:rsid w:val="003C179F"/>
    <w:rsid w:val="003C21E8"/>
    <w:rsid w:val="003C558B"/>
    <w:rsid w:val="003D01BB"/>
    <w:rsid w:val="003D05EA"/>
    <w:rsid w:val="003D2C56"/>
    <w:rsid w:val="003D3CCB"/>
    <w:rsid w:val="003D4211"/>
    <w:rsid w:val="003E11F4"/>
    <w:rsid w:val="003E4A7A"/>
    <w:rsid w:val="003F08DC"/>
    <w:rsid w:val="003F3849"/>
    <w:rsid w:val="003F4611"/>
    <w:rsid w:val="003F59D7"/>
    <w:rsid w:val="0040310D"/>
    <w:rsid w:val="00404253"/>
    <w:rsid w:val="00407128"/>
    <w:rsid w:val="004079CE"/>
    <w:rsid w:val="004143A5"/>
    <w:rsid w:val="004220B6"/>
    <w:rsid w:val="004238E7"/>
    <w:rsid w:val="00423980"/>
    <w:rsid w:val="0042662D"/>
    <w:rsid w:val="004270EF"/>
    <w:rsid w:val="00427533"/>
    <w:rsid w:val="00432C0C"/>
    <w:rsid w:val="00433EED"/>
    <w:rsid w:val="0044198C"/>
    <w:rsid w:val="0044280B"/>
    <w:rsid w:val="00443888"/>
    <w:rsid w:val="004449F3"/>
    <w:rsid w:val="00444EE1"/>
    <w:rsid w:val="00445872"/>
    <w:rsid w:val="0044799D"/>
    <w:rsid w:val="0045091A"/>
    <w:rsid w:val="00451F71"/>
    <w:rsid w:val="00452BB8"/>
    <w:rsid w:val="00454FA1"/>
    <w:rsid w:val="00455196"/>
    <w:rsid w:val="0045602F"/>
    <w:rsid w:val="00457A37"/>
    <w:rsid w:val="004639BC"/>
    <w:rsid w:val="004640C1"/>
    <w:rsid w:val="00464725"/>
    <w:rsid w:val="00464BAE"/>
    <w:rsid w:val="004660B0"/>
    <w:rsid w:val="004704FB"/>
    <w:rsid w:val="004825A8"/>
    <w:rsid w:val="0048512D"/>
    <w:rsid w:val="004A010F"/>
    <w:rsid w:val="004A01F6"/>
    <w:rsid w:val="004A1F5D"/>
    <w:rsid w:val="004A3D6D"/>
    <w:rsid w:val="004A4981"/>
    <w:rsid w:val="004A5190"/>
    <w:rsid w:val="004A5376"/>
    <w:rsid w:val="004A6517"/>
    <w:rsid w:val="004A67FA"/>
    <w:rsid w:val="004A68AF"/>
    <w:rsid w:val="004A7173"/>
    <w:rsid w:val="004A7D7E"/>
    <w:rsid w:val="004B029E"/>
    <w:rsid w:val="004B0537"/>
    <w:rsid w:val="004B28CA"/>
    <w:rsid w:val="004B7DE5"/>
    <w:rsid w:val="004C1AE6"/>
    <w:rsid w:val="004C6BAD"/>
    <w:rsid w:val="004C7102"/>
    <w:rsid w:val="004C7FD7"/>
    <w:rsid w:val="004D0A4A"/>
    <w:rsid w:val="004D0E18"/>
    <w:rsid w:val="004D11B3"/>
    <w:rsid w:val="004D3C30"/>
    <w:rsid w:val="004D5AE9"/>
    <w:rsid w:val="004D5C23"/>
    <w:rsid w:val="004D5F63"/>
    <w:rsid w:val="004D75D5"/>
    <w:rsid w:val="004E0230"/>
    <w:rsid w:val="004E2088"/>
    <w:rsid w:val="004E419C"/>
    <w:rsid w:val="004E56D8"/>
    <w:rsid w:val="004E5B18"/>
    <w:rsid w:val="004E606C"/>
    <w:rsid w:val="004E6954"/>
    <w:rsid w:val="004E76F6"/>
    <w:rsid w:val="004E7786"/>
    <w:rsid w:val="004F0D23"/>
    <w:rsid w:val="00501303"/>
    <w:rsid w:val="0050507E"/>
    <w:rsid w:val="00507DCF"/>
    <w:rsid w:val="00511664"/>
    <w:rsid w:val="00516A4F"/>
    <w:rsid w:val="005170D9"/>
    <w:rsid w:val="00520FE8"/>
    <w:rsid w:val="0052394D"/>
    <w:rsid w:val="00524F86"/>
    <w:rsid w:val="00526F0E"/>
    <w:rsid w:val="005271EF"/>
    <w:rsid w:val="00527A46"/>
    <w:rsid w:val="005307A5"/>
    <w:rsid w:val="0053132A"/>
    <w:rsid w:val="00536952"/>
    <w:rsid w:val="005369FB"/>
    <w:rsid w:val="00537638"/>
    <w:rsid w:val="0054181E"/>
    <w:rsid w:val="00541AC4"/>
    <w:rsid w:val="00541FB5"/>
    <w:rsid w:val="0055435D"/>
    <w:rsid w:val="005574D7"/>
    <w:rsid w:val="00560740"/>
    <w:rsid w:val="005627EE"/>
    <w:rsid w:val="00562B2E"/>
    <w:rsid w:val="00566F28"/>
    <w:rsid w:val="00570015"/>
    <w:rsid w:val="00573EAA"/>
    <w:rsid w:val="00576ADE"/>
    <w:rsid w:val="00577ECB"/>
    <w:rsid w:val="00577FFA"/>
    <w:rsid w:val="0058012A"/>
    <w:rsid w:val="00582F95"/>
    <w:rsid w:val="00586658"/>
    <w:rsid w:val="00587816"/>
    <w:rsid w:val="005879D1"/>
    <w:rsid w:val="0059145C"/>
    <w:rsid w:val="00594BE3"/>
    <w:rsid w:val="00595F0C"/>
    <w:rsid w:val="00596BA7"/>
    <w:rsid w:val="005A215C"/>
    <w:rsid w:val="005A6326"/>
    <w:rsid w:val="005A69CA"/>
    <w:rsid w:val="005A770A"/>
    <w:rsid w:val="005C53A8"/>
    <w:rsid w:val="005D2A28"/>
    <w:rsid w:val="005D3846"/>
    <w:rsid w:val="005D5695"/>
    <w:rsid w:val="005D651D"/>
    <w:rsid w:val="005D6F56"/>
    <w:rsid w:val="005E22B8"/>
    <w:rsid w:val="005E28BD"/>
    <w:rsid w:val="005E3C18"/>
    <w:rsid w:val="005E617A"/>
    <w:rsid w:val="005F3159"/>
    <w:rsid w:val="005F3701"/>
    <w:rsid w:val="005F437E"/>
    <w:rsid w:val="005F4DCF"/>
    <w:rsid w:val="005F6E37"/>
    <w:rsid w:val="005F7CCF"/>
    <w:rsid w:val="0060072E"/>
    <w:rsid w:val="0060086F"/>
    <w:rsid w:val="00600C9C"/>
    <w:rsid w:val="00601507"/>
    <w:rsid w:val="006053D2"/>
    <w:rsid w:val="00606716"/>
    <w:rsid w:val="00607BD4"/>
    <w:rsid w:val="0061147C"/>
    <w:rsid w:val="00614490"/>
    <w:rsid w:val="0061632F"/>
    <w:rsid w:val="00616341"/>
    <w:rsid w:val="00617E79"/>
    <w:rsid w:val="00617EC4"/>
    <w:rsid w:val="00622699"/>
    <w:rsid w:val="00624E16"/>
    <w:rsid w:val="00630AAC"/>
    <w:rsid w:val="006314C2"/>
    <w:rsid w:val="00631C5A"/>
    <w:rsid w:val="0063569B"/>
    <w:rsid w:val="00635CE4"/>
    <w:rsid w:val="0063610A"/>
    <w:rsid w:val="006367D4"/>
    <w:rsid w:val="00644CAA"/>
    <w:rsid w:val="00646460"/>
    <w:rsid w:val="0064722F"/>
    <w:rsid w:val="00647D58"/>
    <w:rsid w:val="0065082F"/>
    <w:rsid w:val="00650F27"/>
    <w:rsid w:val="00651977"/>
    <w:rsid w:val="006523BD"/>
    <w:rsid w:val="00652A1B"/>
    <w:rsid w:val="00652A7E"/>
    <w:rsid w:val="00652A9D"/>
    <w:rsid w:val="00653B67"/>
    <w:rsid w:val="006546EA"/>
    <w:rsid w:val="00654D73"/>
    <w:rsid w:val="00655FCC"/>
    <w:rsid w:val="006568E0"/>
    <w:rsid w:val="00656C08"/>
    <w:rsid w:val="00657AD0"/>
    <w:rsid w:val="0066102E"/>
    <w:rsid w:val="00661E10"/>
    <w:rsid w:val="00664BD0"/>
    <w:rsid w:val="0066520F"/>
    <w:rsid w:val="006654E8"/>
    <w:rsid w:val="0066681E"/>
    <w:rsid w:val="00666A31"/>
    <w:rsid w:val="00670008"/>
    <w:rsid w:val="00670790"/>
    <w:rsid w:val="0067272A"/>
    <w:rsid w:val="006728AB"/>
    <w:rsid w:val="00672F73"/>
    <w:rsid w:val="00673798"/>
    <w:rsid w:val="00674559"/>
    <w:rsid w:val="00674A1B"/>
    <w:rsid w:val="00674AFD"/>
    <w:rsid w:val="006804BB"/>
    <w:rsid w:val="00691232"/>
    <w:rsid w:val="006932B7"/>
    <w:rsid w:val="00693DA7"/>
    <w:rsid w:val="00694538"/>
    <w:rsid w:val="006956A0"/>
    <w:rsid w:val="0069732C"/>
    <w:rsid w:val="0069791E"/>
    <w:rsid w:val="006A4AC4"/>
    <w:rsid w:val="006A72C3"/>
    <w:rsid w:val="006B014A"/>
    <w:rsid w:val="006B14EC"/>
    <w:rsid w:val="006B2DDD"/>
    <w:rsid w:val="006B6380"/>
    <w:rsid w:val="006B6739"/>
    <w:rsid w:val="006B72B0"/>
    <w:rsid w:val="006B72D9"/>
    <w:rsid w:val="006B7760"/>
    <w:rsid w:val="006C06C9"/>
    <w:rsid w:val="006C08F0"/>
    <w:rsid w:val="006C214D"/>
    <w:rsid w:val="006C2490"/>
    <w:rsid w:val="006C3250"/>
    <w:rsid w:val="006C551A"/>
    <w:rsid w:val="006C5A93"/>
    <w:rsid w:val="006D0395"/>
    <w:rsid w:val="006D21CC"/>
    <w:rsid w:val="006D3A4C"/>
    <w:rsid w:val="006D3A5D"/>
    <w:rsid w:val="006D5419"/>
    <w:rsid w:val="006D541A"/>
    <w:rsid w:val="006D54D4"/>
    <w:rsid w:val="006D72DF"/>
    <w:rsid w:val="006D747B"/>
    <w:rsid w:val="006E249F"/>
    <w:rsid w:val="006E344D"/>
    <w:rsid w:val="006E51CF"/>
    <w:rsid w:val="006F07AB"/>
    <w:rsid w:val="006F2A4E"/>
    <w:rsid w:val="006F3AF3"/>
    <w:rsid w:val="006F5509"/>
    <w:rsid w:val="006F6DB0"/>
    <w:rsid w:val="006F7BBE"/>
    <w:rsid w:val="00700939"/>
    <w:rsid w:val="00703743"/>
    <w:rsid w:val="00704AEC"/>
    <w:rsid w:val="00704C14"/>
    <w:rsid w:val="00705A54"/>
    <w:rsid w:val="00707DD7"/>
    <w:rsid w:val="007104B7"/>
    <w:rsid w:val="00711806"/>
    <w:rsid w:val="00711DFE"/>
    <w:rsid w:val="007127BA"/>
    <w:rsid w:val="00712834"/>
    <w:rsid w:val="007128C2"/>
    <w:rsid w:val="007137F1"/>
    <w:rsid w:val="007138D7"/>
    <w:rsid w:val="007156D2"/>
    <w:rsid w:val="007171D2"/>
    <w:rsid w:val="0072037A"/>
    <w:rsid w:val="00731CAD"/>
    <w:rsid w:val="00737F44"/>
    <w:rsid w:val="00742828"/>
    <w:rsid w:val="00747623"/>
    <w:rsid w:val="007509C9"/>
    <w:rsid w:val="00750F56"/>
    <w:rsid w:val="0075151D"/>
    <w:rsid w:val="0075182A"/>
    <w:rsid w:val="00751E8B"/>
    <w:rsid w:val="00752280"/>
    <w:rsid w:val="00752409"/>
    <w:rsid w:val="007555F9"/>
    <w:rsid w:val="00756E59"/>
    <w:rsid w:val="0075781F"/>
    <w:rsid w:val="0076194F"/>
    <w:rsid w:val="00761F55"/>
    <w:rsid w:val="00767044"/>
    <w:rsid w:val="00767A9C"/>
    <w:rsid w:val="007706A6"/>
    <w:rsid w:val="00775831"/>
    <w:rsid w:val="007758AC"/>
    <w:rsid w:val="00775DEA"/>
    <w:rsid w:val="00775E04"/>
    <w:rsid w:val="00777B6C"/>
    <w:rsid w:val="0078033B"/>
    <w:rsid w:val="00781F52"/>
    <w:rsid w:val="00782548"/>
    <w:rsid w:val="00782584"/>
    <w:rsid w:val="00784173"/>
    <w:rsid w:val="00786AAF"/>
    <w:rsid w:val="00787D19"/>
    <w:rsid w:val="007952C7"/>
    <w:rsid w:val="00796034"/>
    <w:rsid w:val="007A0C42"/>
    <w:rsid w:val="007A0E43"/>
    <w:rsid w:val="007A1947"/>
    <w:rsid w:val="007A237A"/>
    <w:rsid w:val="007A3B2A"/>
    <w:rsid w:val="007A5319"/>
    <w:rsid w:val="007A7C18"/>
    <w:rsid w:val="007A7EF1"/>
    <w:rsid w:val="007B2A84"/>
    <w:rsid w:val="007B32E9"/>
    <w:rsid w:val="007C4912"/>
    <w:rsid w:val="007C66D2"/>
    <w:rsid w:val="007C6BBF"/>
    <w:rsid w:val="007D1C55"/>
    <w:rsid w:val="007D3CF4"/>
    <w:rsid w:val="007D3DC6"/>
    <w:rsid w:val="007D4455"/>
    <w:rsid w:val="007D62D7"/>
    <w:rsid w:val="007D68A5"/>
    <w:rsid w:val="007E7421"/>
    <w:rsid w:val="007F314D"/>
    <w:rsid w:val="007F6C55"/>
    <w:rsid w:val="008012FC"/>
    <w:rsid w:val="00801FFA"/>
    <w:rsid w:val="008036B7"/>
    <w:rsid w:val="0080494D"/>
    <w:rsid w:val="00804D5D"/>
    <w:rsid w:val="0080672E"/>
    <w:rsid w:val="008067AA"/>
    <w:rsid w:val="008068DA"/>
    <w:rsid w:val="008068EC"/>
    <w:rsid w:val="00807795"/>
    <w:rsid w:val="00810459"/>
    <w:rsid w:val="00813D04"/>
    <w:rsid w:val="0081414C"/>
    <w:rsid w:val="00816A53"/>
    <w:rsid w:val="00820914"/>
    <w:rsid w:val="00822EBD"/>
    <w:rsid w:val="008247D9"/>
    <w:rsid w:val="00825A15"/>
    <w:rsid w:val="00825F46"/>
    <w:rsid w:val="00825FAA"/>
    <w:rsid w:val="00826C3A"/>
    <w:rsid w:val="00830296"/>
    <w:rsid w:val="0083223D"/>
    <w:rsid w:val="008330C9"/>
    <w:rsid w:val="00835F52"/>
    <w:rsid w:val="00840117"/>
    <w:rsid w:val="00843C8F"/>
    <w:rsid w:val="00844290"/>
    <w:rsid w:val="008443B1"/>
    <w:rsid w:val="00844507"/>
    <w:rsid w:val="0084490D"/>
    <w:rsid w:val="00844A00"/>
    <w:rsid w:val="00846F1B"/>
    <w:rsid w:val="008526D9"/>
    <w:rsid w:val="00854E30"/>
    <w:rsid w:val="00857654"/>
    <w:rsid w:val="00857B62"/>
    <w:rsid w:val="008618C1"/>
    <w:rsid w:val="00862EBB"/>
    <w:rsid w:val="008631DD"/>
    <w:rsid w:val="00864330"/>
    <w:rsid w:val="008703DB"/>
    <w:rsid w:val="00872CE4"/>
    <w:rsid w:val="0087459C"/>
    <w:rsid w:val="00877E4D"/>
    <w:rsid w:val="00880D74"/>
    <w:rsid w:val="00880ED3"/>
    <w:rsid w:val="00881BAB"/>
    <w:rsid w:val="00881D84"/>
    <w:rsid w:val="00883470"/>
    <w:rsid w:val="00884BA6"/>
    <w:rsid w:val="008858F6"/>
    <w:rsid w:val="00890712"/>
    <w:rsid w:val="00890B69"/>
    <w:rsid w:val="00892BDA"/>
    <w:rsid w:val="00892DE8"/>
    <w:rsid w:val="008A072E"/>
    <w:rsid w:val="008A2656"/>
    <w:rsid w:val="008A3A9E"/>
    <w:rsid w:val="008A4942"/>
    <w:rsid w:val="008A4B8E"/>
    <w:rsid w:val="008A53DE"/>
    <w:rsid w:val="008A561B"/>
    <w:rsid w:val="008A6628"/>
    <w:rsid w:val="008B01C2"/>
    <w:rsid w:val="008B029B"/>
    <w:rsid w:val="008B1D39"/>
    <w:rsid w:val="008B5573"/>
    <w:rsid w:val="008C24AF"/>
    <w:rsid w:val="008C5641"/>
    <w:rsid w:val="008C6135"/>
    <w:rsid w:val="008D0766"/>
    <w:rsid w:val="008D4229"/>
    <w:rsid w:val="008D4521"/>
    <w:rsid w:val="008D4BDD"/>
    <w:rsid w:val="008D5387"/>
    <w:rsid w:val="008D60F8"/>
    <w:rsid w:val="008D7591"/>
    <w:rsid w:val="008E1EA1"/>
    <w:rsid w:val="008E337E"/>
    <w:rsid w:val="008E47C0"/>
    <w:rsid w:val="008E6003"/>
    <w:rsid w:val="008E69FC"/>
    <w:rsid w:val="008E6AAE"/>
    <w:rsid w:val="008F1D6D"/>
    <w:rsid w:val="008F52D0"/>
    <w:rsid w:val="008F6AA2"/>
    <w:rsid w:val="00900116"/>
    <w:rsid w:val="009055EE"/>
    <w:rsid w:val="00905A28"/>
    <w:rsid w:val="00910B36"/>
    <w:rsid w:val="00910FF9"/>
    <w:rsid w:val="00913858"/>
    <w:rsid w:val="00914849"/>
    <w:rsid w:val="009166AD"/>
    <w:rsid w:val="0091776B"/>
    <w:rsid w:val="00917C51"/>
    <w:rsid w:val="009209E8"/>
    <w:rsid w:val="009211B4"/>
    <w:rsid w:val="00922373"/>
    <w:rsid w:val="00922592"/>
    <w:rsid w:val="00923C4A"/>
    <w:rsid w:val="009259D5"/>
    <w:rsid w:val="00925B9C"/>
    <w:rsid w:val="00926CDD"/>
    <w:rsid w:val="00926EE7"/>
    <w:rsid w:val="009278C5"/>
    <w:rsid w:val="00930024"/>
    <w:rsid w:val="0093107D"/>
    <w:rsid w:val="009324FE"/>
    <w:rsid w:val="00933150"/>
    <w:rsid w:val="00933165"/>
    <w:rsid w:val="0093334D"/>
    <w:rsid w:val="00934B57"/>
    <w:rsid w:val="00935307"/>
    <w:rsid w:val="0094041C"/>
    <w:rsid w:val="0094055B"/>
    <w:rsid w:val="00941545"/>
    <w:rsid w:val="009435A6"/>
    <w:rsid w:val="009437A7"/>
    <w:rsid w:val="00946789"/>
    <w:rsid w:val="00950163"/>
    <w:rsid w:val="0095139A"/>
    <w:rsid w:val="009546B7"/>
    <w:rsid w:val="00955047"/>
    <w:rsid w:val="00955238"/>
    <w:rsid w:val="009558DD"/>
    <w:rsid w:val="009613A3"/>
    <w:rsid w:val="0096147D"/>
    <w:rsid w:val="0096479F"/>
    <w:rsid w:val="00965552"/>
    <w:rsid w:val="0096574A"/>
    <w:rsid w:val="0096617A"/>
    <w:rsid w:val="00967429"/>
    <w:rsid w:val="009700E7"/>
    <w:rsid w:val="009701A2"/>
    <w:rsid w:val="00971FF1"/>
    <w:rsid w:val="00975775"/>
    <w:rsid w:val="00977D99"/>
    <w:rsid w:val="0098099B"/>
    <w:rsid w:val="00981749"/>
    <w:rsid w:val="00982857"/>
    <w:rsid w:val="00983E4E"/>
    <w:rsid w:val="009840B0"/>
    <w:rsid w:val="00984531"/>
    <w:rsid w:val="0098659E"/>
    <w:rsid w:val="009869E5"/>
    <w:rsid w:val="00991F92"/>
    <w:rsid w:val="0099239A"/>
    <w:rsid w:val="00992683"/>
    <w:rsid w:val="009930AE"/>
    <w:rsid w:val="00994368"/>
    <w:rsid w:val="009960AD"/>
    <w:rsid w:val="00997017"/>
    <w:rsid w:val="009A089A"/>
    <w:rsid w:val="009A1ABA"/>
    <w:rsid w:val="009A456E"/>
    <w:rsid w:val="009A6799"/>
    <w:rsid w:val="009A693B"/>
    <w:rsid w:val="009A7284"/>
    <w:rsid w:val="009A75CB"/>
    <w:rsid w:val="009B074B"/>
    <w:rsid w:val="009B0A3E"/>
    <w:rsid w:val="009B72EB"/>
    <w:rsid w:val="009B792F"/>
    <w:rsid w:val="009C07B4"/>
    <w:rsid w:val="009C4BB9"/>
    <w:rsid w:val="009C4C50"/>
    <w:rsid w:val="009C7D0A"/>
    <w:rsid w:val="009C7FD8"/>
    <w:rsid w:val="009D05BF"/>
    <w:rsid w:val="009D2432"/>
    <w:rsid w:val="009D245C"/>
    <w:rsid w:val="009D6AFE"/>
    <w:rsid w:val="009E0EA7"/>
    <w:rsid w:val="009E36F0"/>
    <w:rsid w:val="009F064F"/>
    <w:rsid w:val="009F11C8"/>
    <w:rsid w:val="009F15EF"/>
    <w:rsid w:val="009F24D1"/>
    <w:rsid w:val="009F3D47"/>
    <w:rsid w:val="009F4563"/>
    <w:rsid w:val="009F487E"/>
    <w:rsid w:val="009F6C40"/>
    <w:rsid w:val="00A01EFD"/>
    <w:rsid w:val="00A039D2"/>
    <w:rsid w:val="00A04B51"/>
    <w:rsid w:val="00A05781"/>
    <w:rsid w:val="00A068B7"/>
    <w:rsid w:val="00A069FC"/>
    <w:rsid w:val="00A0749F"/>
    <w:rsid w:val="00A12D09"/>
    <w:rsid w:val="00A17158"/>
    <w:rsid w:val="00A2031C"/>
    <w:rsid w:val="00A20856"/>
    <w:rsid w:val="00A2140F"/>
    <w:rsid w:val="00A24145"/>
    <w:rsid w:val="00A24411"/>
    <w:rsid w:val="00A252A2"/>
    <w:rsid w:val="00A25ADF"/>
    <w:rsid w:val="00A319A4"/>
    <w:rsid w:val="00A320D2"/>
    <w:rsid w:val="00A32455"/>
    <w:rsid w:val="00A32D75"/>
    <w:rsid w:val="00A33EC9"/>
    <w:rsid w:val="00A36113"/>
    <w:rsid w:val="00A377F1"/>
    <w:rsid w:val="00A40087"/>
    <w:rsid w:val="00A41CA5"/>
    <w:rsid w:val="00A426D2"/>
    <w:rsid w:val="00A46BC3"/>
    <w:rsid w:val="00A51A47"/>
    <w:rsid w:val="00A5296E"/>
    <w:rsid w:val="00A5323E"/>
    <w:rsid w:val="00A5538A"/>
    <w:rsid w:val="00A5692F"/>
    <w:rsid w:val="00A57C84"/>
    <w:rsid w:val="00A6358C"/>
    <w:rsid w:val="00A63DE3"/>
    <w:rsid w:val="00A648D2"/>
    <w:rsid w:val="00A648FB"/>
    <w:rsid w:val="00A665B8"/>
    <w:rsid w:val="00A67621"/>
    <w:rsid w:val="00A709D1"/>
    <w:rsid w:val="00A70DE0"/>
    <w:rsid w:val="00A81B56"/>
    <w:rsid w:val="00A82E49"/>
    <w:rsid w:val="00A83F70"/>
    <w:rsid w:val="00A841E3"/>
    <w:rsid w:val="00A86E53"/>
    <w:rsid w:val="00A920ED"/>
    <w:rsid w:val="00A92497"/>
    <w:rsid w:val="00A94B95"/>
    <w:rsid w:val="00A95164"/>
    <w:rsid w:val="00A96056"/>
    <w:rsid w:val="00A969C3"/>
    <w:rsid w:val="00A97447"/>
    <w:rsid w:val="00AA0C7F"/>
    <w:rsid w:val="00AA1E25"/>
    <w:rsid w:val="00AA65EF"/>
    <w:rsid w:val="00AA6837"/>
    <w:rsid w:val="00AB07FC"/>
    <w:rsid w:val="00AB0BCB"/>
    <w:rsid w:val="00AB1B7A"/>
    <w:rsid w:val="00AB234F"/>
    <w:rsid w:val="00AB490B"/>
    <w:rsid w:val="00AB50A1"/>
    <w:rsid w:val="00AB63EC"/>
    <w:rsid w:val="00AB706C"/>
    <w:rsid w:val="00AB7635"/>
    <w:rsid w:val="00AB7D40"/>
    <w:rsid w:val="00AC0195"/>
    <w:rsid w:val="00AC169A"/>
    <w:rsid w:val="00AC17BD"/>
    <w:rsid w:val="00AC627A"/>
    <w:rsid w:val="00AC7076"/>
    <w:rsid w:val="00AD0219"/>
    <w:rsid w:val="00AD0858"/>
    <w:rsid w:val="00AD159E"/>
    <w:rsid w:val="00AD25AF"/>
    <w:rsid w:val="00AD3FA3"/>
    <w:rsid w:val="00AD5B00"/>
    <w:rsid w:val="00AE0905"/>
    <w:rsid w:val="00AE2F7F"/>
    <w:rsid w:val="00AF35AE"/>
    <w:rsid w:val="00AF394B"/>
    <w:rsid w:val="00AF6C87"/>
    <w:rsid w:val="00AF7196"/>
    <w:rsid w:val="00B001EA"/>
    <w:rsid w:val="00B006E0"/>
    <w:rsid w:val="00B0365E"/>
    <w:rsid w:val="00B03D5C"/>
    <w:rsid w:val="00B11E1C"/>
    <w:rsid w:val="00B12CAE"/>
    <w:rsid w:val="00B12DA9"/>
    <w:rsid w:val="00B1771E"/>
    <w:rsid w:val="00B20979"/>
    <w:rsid w:val="00B20B9D"/>
    <w:rsid w:val="00B20CA6"/>
    <w:rsid w:val="00B2179E"/>
    <w:rsid w:val="00B21830"/>
    <w:rsid w:val="00B24130"/>
    <w:rsid w:val="00B24BED"/>
    <w:rsid w:val="00B259B3"/>
    <w:rsid w:val="00B3066F"/>
    <w:rsid w:val="00B31572"/>
    <w:rsid w:val="00B32FDE"/>
    <w:rsid w:val="00B3485C"/>
    <w:rsid w:val="00B3551C"/>
    <w:rsid w:val="00B41CC5"/>
    <w:rsid w:val="00B4456E"/>
    <w:rsid w:val="00B455A2"/>
    <w:rsid w:val="00B5121C"/>
    <w:rsid w:val="00B55DD4"/>
    <w:rsid w:val="00B562EE"/>
    <w:rsid w:val="00B601DE"/>
    <w:rsid w:val="00B60D21"/>
    <w:rsid w:val="00B61DB0"/>
    <w:rsid w:val="00B628A3"/>
    <w:rsid w:val="00B635C3"/>
    <w:rsid w:val="00B64059"/>
    <w:rsid w:val="00B64E0D"/>
    <w:rsid w:val="00B65DD7"/>
    <w:rsid w:val="00B66B82"/>
    <w:rsid w:val="00B67C8D"/>
    <w:rsid w:val="00B71A77"/>
    <w:rsid w:val="00B746DE"/>
    <w:rsid w:val="00B761D0"/>
    <w:rsid w:val="00B76B5B"/>
    <w:rsid w:val="00B76E0A"/>
    <w:rsid w:val="00B770A1"/>
    <w:rsid w:val="00B826E5"/>
    <w:rsid w:val="00B836E8"/>
    <w:rsid w:val="00B83FBC"/>
    <w:rsid w:val="00B841A4"/>
    <w:rsid w:val="00B871DD"/>
    <w:rsid w:val="00B87B57"/>
    <w:rsid w:val="00B93135"/>
    <w:rsid w:val="00B9774B"/>
    <w:rsid w:val="00BA1954"/>
    <w:rsid w:val="00BA376F"/>
    <w:rsid w:val="00BA5F64"/>
    <w:rsid w:val="00BA61A9"/>
    <w:rsid w:val="00BB0A71"/>
    <w:rsid w:val="00BB11E2"/>
    <w:rsid w:val="00BB33FD"/>
    <w:rsid w:val="00BB33FE"/>
    <w:rsid w:val="00BB5C5F"/>
    <w:rsid w:val="00BB612A"/>
    <w:rsid w:val="00BB627A"/>
    <w:rsid w:val="00BC193E"/>
    <w:rsid w:val="00BC4F1B"/>
    <w:rsid w:val="00BC6F1B"/>
    <w:rsid w:val="00BC753E"/>
    <w:rsid w:val="00BC7668"/>
    <w:rsid w:val="00BC7E29"/>
    <w:rsid w:val="00BD1D60"/>
    <w:rsid w:val="00BD1FA5"/>
    <w:rsid w:val="00BD2812"/>
    <w:rsid w:val="00BD3A3F"/>
    <w:rsid w:val="00BD6949"/>
    <w:rsid w:val="00BD7B88"/>
    <w:rsid w:val="00BE4B8D"/>
    <w:rsid w:val="00BE5EB9"/>
    <w:rsid w:val="00BE73E9"/>
    <w:rsid w:val="00BF0B2C"/>
    <w:rsid w:val="00BF0C97"/>
    <w:rsid w:val="00BF28EC"/>
    <w:rsid w:val="00BF51F6"/>
    <w:rsid w:val="00BF52C5"/>
    <w:rsid w:val="00BF682C"/>
    <w:rsid w:val="00BF7476"/>
    <w:rsid w:val="00C02D9A"/>
    <w:rsid w:val="00C06808"/>
    <w:rsid w:val="00C10DEC"/>
    <w:rsid w:val="00C10EEC"/>
    <w:rsid w:val="00C12240"/>
    <w:rsid w:val="00C138B2"/>
    <w:rsid w:val="00C13F57"/>
    <w:rsid w:val="00C17074"/>
    <w:rsid w:val="00C1758E"/>
    <w:rsid w:val="00C21672"/>
    <w:rsid w:val="00C21ACC"/>
    <w:rsid w:val="00C22755"/>
    <w:rsid w:val="00C31F14"/>
    <w:rsid w:val="00C34E9B"/>
    <w:rsid w:val="00C34FE2"/>
    <w:rsid w:val="00C36041"/>
    <w:rsid w:val="00C36B8D"/>
    <w:rsid w:val="00C402C9"/>
    <w:rsid w:val="00C406A0"/>
    <w:rsid w:val="00C41C1D"/>
    <w:rsid w:val="00C421A0"/>
    <w:rsid w:val="00C439B2"/>
    <w:rsid w:val="00C44001"/>
    <w:rsid w:val="00C4439D"/>
    <w:rsid w:val="00C45F5C"/>
    <w:rsid w:val="00C466A2"/>
    <w:rsid w:val="00C46AF0"/>
    <w:rsid w:val="00C479FE"/>
    <w:rsid w:val="00C47EB3"/>
    <w:rsid w:val="00C50B1D"/>
    <w:rsid w:val="00C53ADD"/>
    <w:rsid w:val="00C56178"/>
    <w:rsid w:val="00C562B0"/>
    <w:rsid w:val="00C56DD1"/>
    <w:rsid w:val="00C57D52"/>
    <w:rsid w:val="00C603C1"/>
    <w:rsid w:val="00C6061D"/>
    <w:rsid w:val="00C62E07"/>
    <w:rsid w:val="00C63C53"/>
    <w:rsid w:val="00C70B15"/>
    <w:rsid w:val="00C70F4F"/>
    <w:rsid w:val="00C7603F"/>
    <w:rsid w:val="00C80ECD"/>
    <w:rsid w:val="00C8206E"/>
    <w:rsid w:val="00C82962"/>
    <w:rsid w:val="00C83BA2"/>
    <w:rsid w:val="00C840F2"/>
    <w:rsid w:val="00C8538F"/>
    <w:rsid w:val="00C9122B"/>
    <w:rsid w:val="00C93D82"/>
    <w:rsid w:val="00C94904"/>
    <w:rsid w:val="00C9683B"/>
    <w:rsid w:val="00CA0EF6"/>
    <w:rsid w:val="00CA31DB"/>
    <w:rsid w:val="00CA4361"/>
    <w:rsid w:val="00CB21A0"/>
    <w:rsid w:val="00CB26B0"/>
    <w:rsid w:val="00CB2ACC"/>
    <w:rsid w:val="00CC0A81"/>
    <w:rsid w:val="00CC2EA3"/>
    <w:rsid w:val="00CC41D4"/>
    <w:rsid w:val="00CD2724"/>
    <w:rsid w:val="00CD33AB"/>
    <w:rsid w:val="00CD4A09"/>
    <w:rsid w:val="00CD5E71"/>
    <w:rsid w:val="00CD6B61"/>
    <w:rsid w:val="00CF08A4"/>
    <w:rsid w:val="00CF0C7B"/>
    <w:rsid w:val="00CF1C70"/>
    <w:rsid w:val="00CF291C"/>
    <w:rsid w:val="00CF4B54"/>
    <w:rsid w:val="00D02613"/>
    <w:rsid w:val="00D060F5"/>
    <w:rsid w:val="00D06613"/>
    <w:rsid w:val="00D114B4"/>
    <w:rsid w:val="00D119E0"/>
    <w:rsid w:val="00D1210A"/>
    <w:rsid w:val="00D12679"/>
    <w:rsid w:val="00D13574"/>
    <w:rsid w:val="00D13FCC"/>
    <w:rsid w:val="00D149B3"/>
    <w:rsid w:val="00D14E0D"/>
    <w:rsid w:val="00D15B9A"/>
    <w:rsid w:val="00D15D80"/>
    <w:rsid w:val="00D1666A"/>
    <w:rsid w:val="00D17D8C"/>
    <w:rsid w:val="00D21BE7"/>
    <w:rsid w:val="00D26793"/>
    <w:rsid w:val="00D27953"/>
    <w:rsid w:val="00D33441"/>
    <w:rsid w:val="00D334C0"/>
    <w:rsid w:val="00D36619"/>
    <w:rsid w:val="00D3707C"/>
    <w:rsid w:val="00D375DC"/>
    <w:rsid w:val="00D450F4"/>
    <w:rsid w:val="00D45431"/>
    <w:rsid w:val="00D505AC"/>
    <w:rsid w:val="00D50730"/>
    <w:rsid w:val="00D50E55"/>
    <w:rsid w:val="00D50E97"/>
    <w:rsid w:val="00D539DF"/>
    <w:rsid w:val="00D53B3B"/>
    <w:rsid w:val="00D542EE"/>
    <w:rsid w:val="00D545D3"/>
    <w:rsid w:val="00D54F3E"/>
    <w:rsid w:val="00D577AF"/>
    <w:rsid w:val="00D57932"/>
    <w:rsid w:val="00D65F39"/>
    <w:rsid w:val="00D664CF"/>
    <w:rsid w:val="00D67757"/>
    <w:rsid w:val="00D72D71"/>
    <w:rsid w:val="00D7654E"/>
    <w:rsid w:val="00D76D8D"/>
    <w:rsid w:val="00D83166"/>
    <w:rsid w:val="00D8329A"/>
    <w:rsid w:val="00D85475"/>
    <w:rsid w:val="00D86304"/>
    <w:rsid w:val="00D87DC8"/>
    <w:rsid w:val="00D9044D"/>
    <w:rsid w:val="00D90F3B"/>
    <w:rsid w:val="00D94EB2"/>
    <w:rsid w:val="00D96521"/>
    <w:rsid w:val="00DA2563"/>
    <w:rsid w:val="00DA318F"/>
    <w:rsid w:val="00DA380B"/>
    <w:rsid w:val="00DA5364"/>
    <w:rsid w:val="00DB160F"/>
    <w:rsid w:val="00DB2F65"/>
    <w:rsid w:val="00DB4270"/>
    <w:rsid w:val="00DB50E6"/>
    <w:rsid w:val="00DB5B28"/>
    <w:rsid w:val="00DB7459"/>
    <w:rsid w:val="00DC2111"/>
    <w:rsid w:val="00DC2BD1"/>
    <w:rsid w:val="00DC32BC"/>
    <w:rsid w:val="00DC3C54"/>
    <w:rsid w:val="00DC499D"/>
    <w:rsid w:val="00DC7034"/>
    <w:rsid w:val="00DC770C"/>
    <w:rsid w:val="00DD3685"/>
    <w:rsid w:val="00DD5A57"/>
    <w:rsid w:val="00DD5B1D"/>
    <w:rsid w:val="00DE664E"/>
    <w:rsid w:val="00DE6FEA"/>
    <w:rsid w:val="00DF29E0"/>
    <w:rsid w:val="00E002E1"/>
    <w:rsid w:val="00E00882"/>
    <w:rsid w:val="00E00DF4"/>
    <w:rsid w:val="00E0178C"/>
    <w:rsid w:val="00E0297A"/>
    <w:rsid w:val="00E0354C"/>
    <w:rsid w:val="00E05CD7"/>
    <w:rsid w:val="00E121FC"/>
    <w:rsid w:val="00E14149"/>
    <w:rsid w:val="00E155EB"/>
    <w:rsid w:val="00E17B8A"/>
    <w:rsid w:val="00E27F9E"/>
    <w:rsid w:val="00E311A1"/>
    <w:rsid w:val="00E34833"/>
    <w:rsid w:val="00E34FF9"/>
    <w:rsid w:val="00E3576F"/>
    <w:rsid w:val="00E36033"/>
    <w:rsid w:val="00E36E35"/>
    <w:rsid w:val="00E40272"/>
    <w:rsid w:val="00E413FB"/>
    <w:rsid w:val="00E41690"/>
    <w:rsid w:val="00E41A56"/>
    <w:rsid w:val="00E41F24"/>
    <w:rsid w:val="00E4229F"/>
    <w:rsid w:val="00E42A20"/>
    <w:rsid w:val="00E4570B"/>
    <w:rsid w:val="00E45AB6"/>
    <w:rsid w:val="00E50150"/>
    <w:rsid w:val="00E501D3"/>
    <w:rsid w:val="00E53766"/>
    <w:rsid w:val="00E53FDA"/>
    <w:rsid w:val="00E56EAE"/>
    <w:rsid w:val="00E62EE1"/>
    <w:rsid w:val="00E656AA"/>
    <w:rsid w:val="00E6785B"/>
    <w:rsid w:val="00E67BB4"/>
    <w:rsid w:val="00E702E4"/>
    <w:rsid w:val="00E705A5"/>
    <w:rsid w:val="00E71356"/>
    <w:rsid w:val="00E713BE"/>
    <w:rsid w:val="00E715AA"/>
    <w:rsid w:val="00E718FA"/>
    <w:rsid w:val="00E73C64"/>
    <w:rsid w:val="00E761CC"/>
    <w:rsid w:val="00E76A25"/>
    <w:rsid w:val="00E82AFE"/>
    <w:rsid w:val="00E8351B"/>
    <w:rsid w:val="00E8434D"/>
    <w:rsid w:val="00E847F7"/>
    <w:rsid w:val="00E84BDF"/>
    <w:rsid w:val="00E86E6A"/>
    <w:rsid w:val="00E87230"/>
    <w:rsid w:val="00E872AD"/>
    <w:rsid w:val="00E87666"/>
    <w:rsid w:val="00E9078D"/>
    <w:rsid w:val="00E90F88"/>
    <w:rsid w:val="00E912E2"/>
    <w:rsid w:val="00E92B97"/>
    <w:rsid w:val="00E92E6C"/>
    <w:rsid w:val="00E94407"/>
    <w:rsid w:val="00E964E5"/>
    <w:rsid w:val="00E96D5C"/>
    <w:rsid w:val="00EA076E"/>
    <w:rsid w:val="00EA75E3"/>
    <w:rsid w:val="00EB19B3"/>
    <w:rsid w:val="00EB312C"/>
    <w:rsid w:val="00EC012F"/>
    <w:rsid w:val="00EC22AB"/>
    <w:rsid w:val="00EC767D"/>
    <w:rsid w:val="00ED1CD5"/>
    <w:rsid w:val="00ED4D77"/>
    <w:rsid w:val="00ED7DB6"/>
    <w:rsid w:val="00EE1040"/>
    <w:rsid w:val="00EE2F7B"/>
    <w:rsid w:val="00EE35B9"/>
    <w:rsid w:val="00EE4888"/>
    <w:rsid w:val="00EE7991"/>
    <w:rsid w:val="00EF0DD2"/>
    <w:rsid w:val="00EF3196"/>
    <w:rsid w:val="00EF3352"/>
    <w:rsid w:val="00EF4BD4"/>
    <w:rsid w:val="00EF6989"/>
    <w:rsid w:val="00F00A1D"/>
    <w:rsid w:val="00F00D73"/>
    <w:rsid w:val="00F011EE"/>
    <w:rsid w:val="00F01EC3"/>
    <w:rsid w:val="00F029A4"/>
    <w:rsid w:val="00F0325A"/>
    <w:rsid w:val="00F04C40"/>
    <w:rsid w:val="00F077F5"/>
    <w:rsid w:val="00F078E8"/>
    <w:rsid w:val="00F101CF"/>
    <w:rsid w:val="00F10359"/>
    <w:rsid w:val="00F11AEB"/>
    <w:rsid w:val="00F141A0"/>
    <w:rsid w:val="00F1438C"/>
    <w:rsid w:val="00F21F0C"/>
    <w:rsid w:val="00F22CC8"/>
    <w:rsid w:val="00F2452B"/>
    <w:rsid w:val="00F26479"/>
    <w:rsid w:val="00F27F0C"/>
    <w:rsid w:val="00F31749"/>
    <w:rsid w:val="00F3403B"/>
    <w:rsid w:val="00F360D6"/>
    <w:rsid w:val="00F37DC2"/>
    <w:rsid w:val="00F41097"/>
    <w:rsid w:val="00F4197F"/>
    <w:rsid w:val="00F42929"/>
    <w:rsid w:val="00F42B8A"/>
    <w:rsid w:val="00F44D8C"/>
    <w:rsid w:val="00F45130"/>
    <w:rsid w:val="00F47920"/>
    <w:rsid w:val="00F518BA"/>
    <w:rsid w:val="00F52661"/>
    <w:rsid w:val="00F5283D"/>
    <w:rsid w:val="00F52D03"/>
    <w:rsid w:val="00F536DA"/>
    <w:rsid w:val="00F555A6"/>
    <w:rsid w:val="00F57796"/>
    <w:rsid w:val="00F61283"/>
    <w:rsid w:val="00F63A6B"/>
    <w:rsid w:val="00F65CFD"/>
    <w:rsid w:val="00F6738F"/>
    <w:rsid w:val="00F72E4D"/>
    <w:rsid w:val="00F73D80"/>
    <w:rsid w:val="00F7596E"/>
    <w:rsid w:val="00F81D99"/>
    <w:rsid w:val="00F83541"/>
    <w:rsid w:val="00F85A84"/>
    <w:rsid w:val="00F94DA0"/>
    <w:rsid w:val="00F95020"/>
    <w:rsid w:val="00F95580"/>
    <w:rsid w:val="00FA6BE0"/>
    <w:rsid w:val="00FA72A6"/>
    <w:rsid w:val="00FB1EB5"/>
    <w:rsid w:val="00FB2B09"/>
    <w:rsid w:val="00FB3DE9"/>
    <w:rsid w:val="00FB5939"/>
    <w:rsid w:val="00FB5C0D"/>
    <w:rsid w:val="00FB5EA4"/>
    <w:rsid w:val="00FC3E48"/>
    <w:rsid w:val="00FC44AA"/>
    <w:rsid w:val="00FC6F7D"/>
    <w:rsid w:val="00FD026D"/>
    <w:rsid w:val="00FD0E95"/>
    <w:rsid w:val="00FD28D5"/>
    <w:rsid w:val="00FD2BC5"/>
    <w:rsid w:val="00FD3D53"/>
    <w:rsid w:val="00FD722D"/>
    <w:rsid w:val="00FE0791"/>
    <w:rsid w:val="00FE2F34"/>
    <w:rsid w:val="00FE3038"/>
    <w:rsid w:val="00FE3D42"/>
    <w:rsid w:val="00FE5094"/>
    <w:rsid w:val="00FF2520"/>
    <w:rsid w:val="00FF2E08"/>
    <w:rsid w:val="00FF4215"/>
    <w:rsid w:val="00FF4B81"/>
    <w:rsid w:val="00FF4C85"/>
    <w:rsid w:val="00FF63F7"/>
    <w:rsid w:val="00FF7BA0"/>
    <w:rsid w:val="01190B56"/>
    <w:rsid w:val="01373E76"/>
    <w:rsid w:val="014529B7"/>
    <w:rsid w:val="01582DED"/>
    <w:rsid w:val="016519C1"/>
    <w:rsid w:val="019239B4"/>
    <w:rsid w:val="0196601E"/>
    <w:rsid w:val="01BD7A4F"/>
    <w:rsid w:val="01C401C9"/>
    <w:rsid w:val="01DD30DE"/>
    <w:rsid w:val="02D23086"/>
    <w:rsid w:val="02DA63DE"/>
    <w:rsid w:val="02F94BC3"/>
    <w:rsid w:val="02FD6D4D"/>
    <w:rsid w:val="03EC32E0"/>
    <w:rsid w:val="04636418"/>
    <w:rsid w:val="049E6084"/>
    <w:rsid w:val="04A3407A"/>
    <w:rsid w:val="04A8452D"/>
    <w:rsid w:val="05602A5A"/>
    <w:rsid w:val="056326BB"/>
    <w:rsid w:val="057C19CF"/>
    <w:rsid w:val="05A218FD"/>
    <w:rsid w:val="05BA5435"/>
    <w:rsid w:val="063F4718"/>
    <w:rsid w:val="06C00186"/>
    <w:rsid w:val="06CB3F2E"/>
    <w:rsid w:val="070B4DB8"/>
    <w:rsid w:val="071719AF"/>
    <w:rsid w:val="071A149F"/>
    <w:rsid w:val="07702E6D"/>
    <w:rsid w:val="07CA3595"/>
    <w:rsid w:val="07CC05D8"/>
    <w:rsid w:val="07D93108"/>
    <w:rsid w:val="080F6B2A"/>
    <w:rsid w:val="082D6FB0"/>
    <w:rsid w:val="083321D8"/>
    <w:rsid w:val="084D31AF"/>
    <w:rsid w:val="085B3B1D"/>
    <w:rsid w:val="086329D2"/>
    <w:rsid w:val="0889118A"/>
    <w:rsid w:val="08A50077"/>
    <w:rsid w:val="09197B3E"/>
    <w:rsid w:val="0935436E"/>
    <w:rsid w:val="094B394B"/>
    <w:rsid w:val="09510A7C"/>
    <w:rsid w:val="09662A3F"/>
    <w:rsid w:val="09802D58"/>
    <w:rsid w:val="09870B6B"/>
    <w:rsid w:val="09A45050"/>
    <w:rsid w:val="09D771D4"/>
    <w:rsid w:val="0A3201D3"/>
    <w:rsid w:val="0A454A85"/>
    <w:rsid w:val="0B326FF4"/>
    <w:rsid w:val="0B3A5CA3"/>
    <w:rsid w:val="0B531F9E"/>
    <w:rsid w:val="0CAD06C0"/>
    <w:rsid w:val="0CB8153E"/>
    <w:rsid w:val="0CF3376D"/>
    <w:rsid w:val="0D2332ED"/>
    <w:rsid w:val="0D415C54"/>
    <w:rsid w:val="0D5C45C0"/>
    <w:rsid w:val="0DD028B8"/>
    <w:rsid w:val="0DDA3736"/>
    <w:rsid w:val="0DEA1BCB"/>
    <w:rsid w:val="0E347BBB"/>
    <w:rsid w:val="0E9272B5"/>
    <w:rsid w:val="0F4E7C06"/>
    <w:rsid w:val="0F5576A6"/>
    <w:rsid w:val="0F73174D"/>
    <w:rsid w:val="0F75161B"/>
    <w:rsid w:val="0FD348E1"/>
    <w:rsid w:val="0FE9445C"/>
    <w:rsid w:val="0FF7412C"/>
    <w:rsid w:val="103E5A93"/>
    <w:rsid w:val="10923E54"/>
    <w:rsid w:val="10E87F18"/>
    <w:rsid w:val="11023CAD"/>
    <w:rsid w:val="111927C8"/>
    <w:rsid w:val="11204879"/>
    <w:rsid w:val="11C023CD"/>
    <w:rsid w:val="11C8783A"/>
    <w:rsid w:val="11F70C71"/>
    <w:rsid w:val="1202500A"/>
    <w:rsid w:val="12086AC4"/>
    <w:rsid w:val="128F3808"/>
    <w:rsid w:val="1299596E"/>
    <w:rsid w:val="12BE5A78"/>
    <w:rsid w:val="12DA1AE3"/>
    <w:rsid w:val="131462C7"/>
    <w:rsid w:val="131E78EB"/>
    <w:rsid w:val="13955291"/>
    <w:rsid w:val="139B3968"/>
    <w:rsid w:val="13BD568C"/>
    <w:rsid w:val="13EF712B"/>
    <w:rsid w:val="13FB724D"/>
    <w:rsid w:val="1461239E"/>
    <w:rsid w:val="14642A47"/>
    <w:rsid w:val="14A423A8"/>
    <w:rsid w:val="14AB3CAB"/>
    <w:rsid w:val="14E47444"/>
    <w:rsid w:val="151948F4"/>
    <w:rsid w:val="158E37F0"/>
    <w:rsid w:val="15FD6214"/>
    <w:rsid w:val="1607785B"/>
    <w:rsid w:val="160A7825"/>
    <w:rsid w:val="16353154"/>
    <w:rsid w:val="16610551"/>
    <w:rsid w:val="168510F5"/>
    <w:rsid w:val="16C46D32"/>
    <w:rsid w:val="16C778CD"/>
    <w:rsid w:val="16D72F09"/>
    <w:rsid w:val="170B670F"/>
    <w:rsid w:val="172D148A"/>
    <w:rsid w:val="178D2ADC"/>
    <w:rsid w:val="18047D2E"/>
    <w:rsid w:val="18510A99"/>
    <w:rsid w:val="185537EF"/>
    <w:rsid w:val="188E357D"/>
    <w:rsid w:val="18C372FC"/>
    <w:rsid w:val="18CB25F9"/>
    <w:rsid w:val="19043F59"/>
    <w:rsid w:val="19153875"/>
    <w:rsid w:val="19351120"/>
    <w:rsid w:val="19766A09"/>
    <w:rsid w:val="19A05834"/>
    <w:rsid w:val="1A891F2F"/>
    <w:rsid w:val="1A951111"/>
    <w:rsid w:val="1AC75042"/>
    <w:rsid w:val="1AF91FA2"/>
    <w:rsid w:val="1B140288"/>
    <w:rsid w:val="1B574618"/>
    <w:rsid w:val="1B8F0552"/>
    <w:rsid w:val="1B9A62B3"/>
    <w:rsid w:val="1BBB37C2"/>
    <w:rsid w:val="1BD10986"/>
    <w:rsid w:val="1BD664C1"/>
    <w:rsid w:val="1BF72D21"/>
    <w:rsid w:val="1C2D3D71"/>
    <w:rsid w:val="1C312E45"/>
    <w:rsid w:val="1C381D54"/>
    <w:rsid w:val="1CD47504"/>
    <w:rsid w:val="1D174F3D"/>
    <w:rsid w:val="1D2027D7"/>
    <w:rsid w:val="1D860599"/>
    <w:rsid w:val="1DAA1C58"/>
    <w:rsid w:val="1E2A7DC2"/>
    <w:rsid w:val="1E62130A"/>
    <w:rsid w:val="1E641526"/>
    <w:rsid w:val="1E6A26E0"/>
    <w:rsid w:val="1E9B2A6E"/>
    <w:rsid w:val="1EE00179"/>
    <w:rsid w:val="1EFF124F"/>
    <w:rsid w:val="1F0813F5"/>
    <w:rsid w:val="1F0C54A8"/>
    <w:rsid w:val="1F601FA9"/>
    <w:rsid w:val="1FC61D6D"/>
    <w:rsid w:val="1FE12702"/>
    <w:rsid w:val="200308CB"/>
    <w:rsid w:val="20646A1B"/>
    <w:rsid w:val="20DB35F6"/>
    <w:rsid w:val="20EA10BE"/>
    <w:rsid w:val="21140BF4"/>
    <w:rsid w:val="211704C9"/>
    <w:rsid w:val="21690C01"/>
    <w:rsid w:val="21A36FDB"/>
    <w:rsid w:val="21E9221E"/>
    <w:rsid w:val="22993768"/>
    <w:rsid w:val="22C858FF"/>
    <w:rsid w:val="22DC7E78"/>
    <w:rsid w:val="231D6147"/>
    <w:rsid w:val="232A5A95"/>
    <w:rsid w:val="238F6834"/>
    <w:rsid w:val="23FC43CB"/>
    <w:rsid w:val="23FF3832"/>
    <w:rsid w:val="24117358"/>
    <w:rsid w:val="245C67FB"/>
    <w:rsid w:val="24612064"/>
    <w:rsid w:val="24833D88"/>
    <w:rsid w:val="249C4E4A"/>
    <w:rsid w:val="249E1EDD"/>
    <w:rsid w:val="252E6649"/>
    <w:rsid w:val="25583467"/>
    <w:rsid w:val="2573095D"/>
    <w:rsid w:val="2584600A"/>
    <w:rsid w:val="25847A9B"/>
    <w:rsid w:val="25873D4C"/>
    <w:rsid w:val="25D052BA"/>
    <w:rsid w:val="2608575D"/>
    <w:rsid w:val="26323CB8"/>
    <w:rsid w:val="264D464E"/>
    <w:rsid w:val="268A58A2"/>
    <w:rsid w:val="26F7280B"/>
    <w:rsid w:val="271B474C"/>
    <w:rsid w:val="272B1672"/>
    <w:rsid w:val="27535154"/>
    <w:rsid w:val="27541D8F"/>
    <w:rsid w:val="275639D6"/>
    <w:rsid w:val="275D6B12"/>
    <w:rsid w:val="278A580A"/>
    <w:rsid w:val="27AB3D22"/>
    <w:rsid w:val="27C065A2"/>
    <w:rsid w:val="27C61867"/>
    <w:rsid w:val="28092E82"/>
    <w:rsid w:val="283C7070"/>
    <w:rsid w:val="284B1663"/>
    <w:rsid w:val="285831A2"/>
    <w:rsid w:val="287D5314"/>
    <w:rsid w:val="28AB0135"/>
    <w:rsid w:val="28C32245"/>
    <w:rsid w:val="28D771B3"/>
    <w:rsid w:val="28E15521"/>
    <w:rsid w:val="28F22610"/>
    <w:rsid w:val="294A6240"/>
    <w:rsid w:val="294D1B32"/>
    <w:rsid w:val="29530FF5"/>
    <w:rsid w:val="297B7831"/>
    <w:rsid w:val="29AE0F00"/>
    <w:rsid w:val="29BB35C4"/>
    <w:rsid w:val="29C15A7E"/>
    <w:rsid w:val="2A6B7798"/>
    <w:rsid w:val="2AD4533E"/>
    <w:rsid w:val="2ADF3CE2"/>
    <w:rsid w:val="2B006133"/>
    <w:rsid w:val="2B183E1B"/>
    <w:rsid w:val="2B19215E"/>
    <w:rsid w:val="2BCC11A7"/>
    <w:rsid w:val="2BDB76C2"/>
    <w:rsid w:val="2BE27F2E"/>
    <w:rsid w:val="2BE87AAD"/>
    <w:rsid w:val="2C37360C"/>
    <w:rsid w:val="2C424529"/>
    <w:rsid w:val="2C5A3DB0"/>
    <w:rsid w:val="2D5B1AF1"/>
    <w:rsid w:val="2D7121BC"/>
    <w:rsid w:val="2D8F7C42"/>
    <w:rsid w:val="2DB61DC2"/>
    <w:rsid w:val="2E61479F"/>
    <w:rsid w:val="2E7A444E"/>
    <w:rsid w:val="2E935510"/>
    <w:rsid w:val="2EC21111"/>
    <w:rsid w:val="2ED964C1"/>
    <w:rsid w:val="2F0C2E65"/>
    <w:rsid w:val="2F113395"/>
    <w:rsid w:val="2F3F2FA2"/>
    <w:rsid w:val="2FBD207A"/>
    <w:rsid w:val="2FC46C7B"/>
    <w:rsid w:val="2FE8309F"/>
    <w:rsid w:val="2FF975F4"/>
    <w:rsid w:val="30226E93"/>
    <w:rsid w:val="302A1EA4"/>
    <w:rsid w:val="30847806"/>
    <w:rsid w:val="310D6104"/>
    <w:rsid w:val="31181CFC"/>
    <w:rsid w:val="319770C5"/>
    <w:rsid w:val="325A31AA"/>
    <w:rsid w:val="32650FD7"/>
    <w:rsid w:val="32916000"/>
    <w:rsid w:val="33163A81"/>
    <w:rsid w:val="332561EC"/>
    <w:rsid w:val="33646336"/>
    <w:rsid w:val="339C09C3"/>
    <w:rsid w:val="33AB50A9"/>
    <w:rsid w:val="33DC5BDE"/>
    <w:rsid w:val="3446557F"/>
    <w:rsid w:val="34567FB6"/>
    <w:rsid w:val="347161FA"/>
    <w:rsid w:val="34A30383"/>
    <w:rsid w:val="34C1517C"/>
    <w:rsid w:val="34F32864"/>
    <w:rsid w:val="351E0F07"/>
    <w:rsid w:val="3589141A"/>
    <w:rsid w:val="3599165E"/>
    <w:rsid w:val="35B27AD0"/>
    <w:rsid w:val="35D97CAC"/>
    <w:rsid w:val="35E46651"/>
    <w:rsid w:val="35FF348B"/>
    <w:rsid w:val="36063CE6"/>
    <w:rsid w:val="3647031A"/>
    <w:rsid w:val="368528CA"/>
    <w:rsid w:val="36983C3C"/>
    <w:rsid w:val="36D668E1"/>
    <w:rsid w:val="377A341E"/>
    <w:rsid w:val="37984548"/>
    <w:rsid w:val="37E61FE4"/>
    <w:rsid w:val="380D6333"/>
    <w:rsid w:val="38363CC7"/>
    <w:rsid w:val="384004B6"/>
    <w:rsid w:val="38400B30"/>
    <w:rsid w:val="384F2264"/>
    <w:rsid w:val="386901D1"/>
    <w:rsid w:val="38DB2C38"/>
    <w:rsid w:val="39206C68"/>
    <w:rsid w:val="394A04AD"/>
    <w:rsid w:val="394B3C70"/>
    <w:rsid w:val="395104A1"/>
    <w:rsid w:val="39E460AF"/>
    <w:rsid w:val="3A085004"/>
    <w:rsid w:val="3A117ED7"/>
    <w:rsid w:val="3A1A1FE4"/>
    <w:rsid w:val="3A4A585F"/>
    <w:rsid w:val="3A4D6F07"/>
    <w:rsid w:val="3A5A5133"/>
    <w:rsid w:val="3A643ACA"/>
    <w:rsid w:val="3A685AA2"/>
    <w:rsid w:val="3A773948"/>
    <w:rsid w:val="3A7E0A06"/>
    <w:rsid w:val="3A942F44"/>
    <w:rsid w:val="3A972710"/>
    <w:rsid w:val="3B3E6803"/>
    <w:rsid w:val="3B806E1C"/>
    <w:rsid w:val="3B945A17"/>
    <w:rsid w:val="3BB80364"/>
    <w:rsid w:val="3BC71277"/>
    <w:rsid w:val="3BC95E9A"/>
    <w:rsid w:val="3C2515D5"/>
    <w:rsid w:val="3CDE6407"/>
    <w:rsid w:val="3CEA49A0"/>
    <w:rsid w:val="3CFB0E50"/>
    <w:rsid w:val="3D136199"/>
    <w:rsid w:val="3D2F6747"/>
    <w:rsid w:val="3D410A49"/>
    <w:rsid w:val="3DF82424"/>
    <w:rsid w:val="3E026366"/>
    <w:rsid w:val="3E2E0DB1"/>
    <w:rsid w:val="3E607FF6"/>
    <w:rsid w:val="3E864749"/>
    <w:rsid w:val="3E9064A4"/>
    <w:rsid w:val="3E9A01F4"/>
    <w:rsid w:val="3EA34825"/>
    <w:rsid w:val="3F0044FB"/>
    <w:rsid w:val="3F22673D"/>
    <w:rsid w:val="3F32042D"/>
    <w:rsid w:val="3F3B3785"/>
    <w:rsid w:val="3F4343E8"/>
    <w:rsid w:val="3F543E53"/>
    <w:rsid w:val="3F7200D4"/>
    <w:rsid w:val="3F984734"/>
    <w:rsid w:val="3FAE422A"/>
    <w:rsid w:val="3FDA7ED4"/>
    <w:rsid w:val="40224945"/>
    <w:rsid w:val="40742202"/>
    <w:rsid w:val="409C0254"/>
    <w:rsid w:val="40BE01CA"/>
    <w:rsid w:val="40D854C8"/>
    <w:rsid w:val="410B008F"/>
    <w:rsid w:val="416845DA"/>
    <w:rsid w:val="418331C2"/>
    <w:rsid w:val="419B49AF"/>
    <w:rsid w:val="42273EA0"/>
    <w:rsid w:val="423F17DF"/>
    <w:rsid w:val="42402E61"/>
    <w:rsid w:val="4276314B"/>
    <w:rsid w:val="42876CE2"/>
    <w:rsid w:val="42F70A75"/>
    <w:rsid w:val="432D5ADB"/>
    <w:rsid w:val="43BC79A0"/>
    <w:rsid w:val="44093E52"/>
    <w:rsid w:val="44123658"/>
    <w:rsid w:val="441B2477"/>
    <w:rsid w:val="44617F98"/>
    <w:rsid w:val="448E4357"/>
    <w:rsid w:val="44A572F1"/>
    <w:rsid w:val="44CC6850"/>
    <w:rsid w:val="44D90D2D"/>
    <w:rsid w:val="44EE4DF6"/>
    <w:rsid w:val="453A7E81"/>
    <w:rsid w:val="454A1600"/>
    <w:rsid w:val="45895E80"/>
    <w:rsid w:val="459F6E66"/>
    <w:rsid w:val="45EC1A9C"/>
    <w:rsid w:val="46136CAF"/>
    <w:rsid w:val="46152F37"/>
    <w:rsid w:val="465377FB"/>
    <w:rsid w:val="4656787E"/>
    <w:rsid w:val="46DF533E"/>
    <w:rsid w:val="4740699E"/>
    <w:rsid w:val="476538B5"/>
    <w:rsid w:val="480F1C53"/>
    <w:rsid w:val="480F46F9"/>
    <w:rsid w:val="489108BA"/>
    <w:rsid w:val="48F52BF7"/>
    <w:rsid w:val="490364C8"/>
    <w:rsid w:val="490E3CB9"/>
    <w:rsid w:val="496747FE"/>
    <w:rsid w:val="4972249A"/>
    <w:rsid w:val="498613E3"/>
    <w:rsid w:val="498F50D9"/>
    <w:rsid w:val="49A07007"/>
    <w:rsid w:val="49D00F6E"/>
    <w:rsid w:val="49EA3D54"/>
    <w:rsid w:val="49EB7B56"/>
    <w:rsid w:val="49FF361D"/>
    <w:rsid w:val="4A031344"/>
    <w:rsid w:val="4A2B295E"/>
    <w:rsid w:val="4A3228A6"/>
    <w:rsid w:val="4A3B24EE"/>
    <w:rsid w:val="4A3B6699"/>
    <w:rsid w:val="4A7E7BF1"/>
    <w:rsid w:val="4A83508C"/>
    <w:rsid w:val="4A835FE1"/>
    <w:rsid w:val="4AF15640"/>
    <w:rsid w:val="4B1F3C01"/>
    <w:rsid w:val="4B553E21"/>
    <w:rsid w:val="4B5C6F5D"/>
    <w:rsid w:val="4B5F25AA"/>
    <w:rsid w:val="4BE84ADE"/>
    <w:rsid w:val="4BEA35E2"/>
    <w:rsid w:val="4C2D26A8"/>
    <w:rsid w:val="4C9B1D07"/>
    <w:rsid w:val="4C9E46AD"/>
    <w:rsid w:val="4CAD0F58"/>
    <w:rsid w:val="4CEC3221"/>
    <w:rsid w:val="4D245859"/>
    <w:rsid w:val="4D5221B8"/>
    <w:rsid w:val="4DE8774A"/>
    <w:rsid w:val="4DF354E4"/>
    <w:rsid w:val="4E121B55"/>
    <w:rsid w:val="4E6F2738"/>
    <w:rsid w:val="4E822DD2"/>
    <w:rsid w:val="4EEF633A"/>
    <w:rsid w:val="4EF574D2"/>
    <w:rsid w:val="4F02606E"/>
    <w:rsid w:val="4F22401A"/>
    <w:rsid w:val="4F3D0E54"/>
    <w:rsid w:val="4F561F16"/>
    <w:rsid w:val="4F806F93"/>
    <w:rsid w:val="4F9D7B44"/>
    <w:rsid w:val="4FA17635"/>
    <w:rsid w:val="4FC43323"/>
    <w:rsid w:val="4FD712A8"/>
    <w:rsid w:val="4FDE2637"/>
    <w:rsid w:val="50615016"/>
    <w:rsid w:val="50783615"/>
    <w:rsid w:val="50A22688"/>
    <w:rsid w:val="50C03AEB"/>
    <w:rsid w:val="510A745C"/>
    <w:rsid w:val="51431169"/>
    <w:rsid w:val="51482C7D"/>
    <w:rsid w:val="515B7031"/>
    <w:rsid w:val="515E78B9"/>
    <w:rsid w:val="51965D71"/>
    <w:rsid w:val="524A3FB4"/>
    <w:rsid w:val="52804A52"/>
    <w:rsid w:val="52B256B5"/>
    <w:rsid w:val="531E4716"/>
    <w:rsid w:val="532F4F57"/>
    <w:rsid w:val="53310342"/>
    <w:rsid w:val="53A72D40"/>
    <w:rsid w:val="53B34B12"/>
    <w:rsid w:val="53B355D7"/>
    <w:rsid w:val="53C806C1"/>
    <w:rsid w:val="53F33750"/>
    <w:rsid w:val="541E31C1"/>
    <w:rsid w:val="543C3DD0"/>
    <w:rsid w:val="546368B9"/>
    <w:rsid w:val="548D71B9"/>
    <w:rsid w:val="54BE5272"/>
    <w:rsid w:val="55580922"/>
    <w:rsid w:val="55E60D40"/>
    <w:rsid w:val="561C4D71"/>
    <w:rsid w:val="567B189B"/>
    <w:rsid w:val="56BC4D54"/>
    <w:rsid w:val="56F820D5"/>
    <w:rsid w:val="57633CE5"/>
    <w:rsid w:val="577A4DC8"/>
    <w:rsid w:val="57960AF2"/>
    <w:rsid w:val="57C83332"/>
    <w:rsid w:val="580F2A32"/>
    <w:rsid w:val="58311772"/>
    <w:rsid w:val="589E0EC5"/>
    <w:rsid w:val="58C46142"/>
    <w:rsid w:val="58D26AB1"/>
    <w:rsid w:val="58E107A1"/>
    <w:rsid w:val="58E16CF4"/>
    <w:rsid w:val="59145045"/>
    <w:rsid w:val="591D7F46"/>
    <w:rsid w:val="59BC24DF"/>
    <w:rsid w:val="5A364E1D"/>
    <w:rsid w:val="5A443ABB"/>
    <w:rsid w:val="5A957D96"/>
    <w:rsid w:val="5AA77AC9"/>
    <w:rsid w:val="5ABE498D"/>
    <w:rsid w:val="5AD76600"/>
    <w:rsid w:val="5B5A431C"/>
    <w:rsid w:val="5B8817AA"/>
    <w:rsid w:val="5BA30291"/>
    <w:rsid w:val="5BCA7F13"/>
    <w:rsid w:val="5C001B87"/>
    <w:rsid w:val="5C1A4C32"/>
    <w:rsid w:val="5C443A51"/>
    <w:rsid w:val="5CAB7ACF"/>
    <w:rsid w:val="5CAC586B"/>
    <w:rsid w:val="5CB519F1"/>
    <w:rsid w:val="5CDD5E0B"/>
    <w:rsid w:val="5D2C38E4"/>
    <w:rsid w:val="5D2D2508"/>
    <w:rsid w:val="5D8B5B79"/>
    <w:rsid w:val="5DE30E18"/>
    <w:rsid w:val="5DF448C0"/>
    <w:rsid w:val="5DFB2D6D"/>
    <w:rsid w:val="5E4F72F6"/>
    <w:rsid w:val="5E5D286C"/>
    <w:rsid w:val="5E8262EE"/>
    <w:rsid w:val="5EEB4428"/>
    <w:rsid w:val="5F57386C"/>
    <w:rsid w:val="5F5B4A5D"/>
    <w:rsid w:val="5F5E1D09"/>
    <w:rsid w:val="5F9745B0"/>
    <w:rsid w:val="5FB355F1"/>
    <w:rsid w:val="5FD255E8"/>
    <w:rsid w:val="602D0A71"/>
    <w:rsid w:val="603277EB"/>
    <w:rsid w:val="60777D0A"/>
    <w:rsid w:val="6098238E"/>
    <w:rsid w:val="60D47DFC"/>
    <w:rsid w:val="60D659FD"/>
    <w:rsid w:val="61110E6E"/>
    <w:rsid w:val="61835CB6"/>
    <w:rsid w:val="61845D8D"/>
    <w:rsid w:val="61F611D0"/>
    <w:rsid w:val="61FE0917"/>
    <w:rsid w:val="62287777"/>
    <w:rsid w:val="628F56D7"/>
    <w:rsid w:val="62A53835"/>
    <w:rsid w:val="62E4606E"/>
    <w:rsid w:val="62EC4C13"/>
    <w:rsid w:val="63332842"/>
    <w:rsid w:val="633E116D"/>
    <w:rsid w:val="63586D06"/>
    <w:rsid w:val="63A97172"/>
    <w:rsid w:val="64383AD1"/>
    <w:rsid w:val="64502F80"/>
    <w:rsid w:val="64590086"/>
    <w:rsid w:val="64E87550"/>
    <w:rsid w:val="65735178"/>
    <w:rsid w:val="6577044D"/>
    <w:rsid w:val="658C7FE7"/>
    <w:rsid w:val="659155FE"/>
    <w:rsid w:val="65CD26B4"/>
    <w:rsid w:val="65DC4ACB"/>
    <w:rsid w:val="660648E1"/>
    <w:rsid w:val="66154481"/>
    <w:rsid w:val="661A0A16"/>
    <w:rsid w:val="66485229"/>
    <w:rsid w:val="666F1DE3"/>
    <w:rsid w:val="66760725"/>
    <w:rsid w:val="667F1ACF"/>
    <w:rsid w:val="66B9305E"/>
    <w:rsid w:val="66F83B86"/>
    <w:rsid w:val="66FD14C3"/>
    <w:rsid w:val="6700465F"/>
    <w:rsid w:val="67236BC5"/>
    <w:rsid w:val="676A6F7B"/>
    <w:rsid w:val="67753429"/>
    <w:rsid w:val="677D30E0"/>
    <w:rsid w:val="678609C8"/>
    <w:rsid w:val="67F945DA"/>
    <w:rsid w:val="68012F0F"/>
    <w:rsid w:val="684C793B"/>
    <w:rsid w:val="68555008"/>
    <w:rsid w:val="686200DD"/>
    <w:rsid w:val="688D02FE"/>
    <w:rsid w:val="688F22C8"/>
    <w:rsid w:val="68A80966"/>
    <w:rsid w:val="68EB20F0"/>
    <w:rsid w:val="68ED3493"/>
    <w:rsid w:val="68F95994"/>
    <w:rsid w:val="6917406C"/>
    <w:rsid w:val="692D388F"/>
    <w:rsid w:val="694420CC"/>
    <w:rsid w:val="69601EB7"/>
    <w:rsid w:val="69661355"/>
    <w:rsid w:val="696E1C4C"/>
    <w:rsid w:val="698D1F4D"/>
    <w:rsid w:val="69D306AC"/>
    <w:rsid w:val="69D84255"/>
    <w:rsid w:val="6A0A597F"/>
    <w:rsid w:val="6A31115D"/>
    <w:rsid w:val="6A4B64F3"/>
    <w:rsid w:val="6A56305A"/>
    <w:rsid w:val="6A7F7B72"/>
    <w:rsid w:val="6A8E035E"/>
    <w:rsid w:val="6AC0668D"/>
    <w:rsid w:val="6AD27C23"/>
    <w:rsid w:val="6ADF6E0B"/>
    <w:rsid w:val="6AFA27E1"/>
    <w:rsid w:val="6B067791"/>
    <w:rsid w:val="6B0D5850"/>
    <w:rsid w:val="6B7B77ED"/>
    <w:rsid w:val="6B923E7E"/>
    <w:rsid w:val="6BAF4A30"/>
    <w:rsid w:val="6C16685D"/>
    <w:rsid w:val="6D714693"/>
    <w:rsid w:val="6D9034EF"/>
    <w:rsid w:val="6DD01ED5"/>
    <w:rsid w:val="6DD05733"/>
    <w:rsid w:val="6E1D776A"/>
    <w:rsid w:val="6E3336F6"/>
    <w:rsid w:val="6E3E23D3"/>
    <w:rsid w:val="6E58315D"/>
    <w:rsid w:val="6E8B1784"/>
    <w:rsid w:val="6E9137E0"/>
    <w:rsid w:val="6E916298"/>
    <w:rsid w:val="6EA84809"/>
    <w:rsid w:val="6EBD1D64"/>
    <w:rsid w:val="6EF041DC"/>
    <w:rsid w:val="6F4831D1"/>
    <w:rsid w:val="6F66625A"/>
    <w:rsid w:val="6FAF3250"/>
    <w:rsid w:val="6FCE7B7A"/>
    <w:rsid w:val="6FD607DD"/>
    <w:rsid w:val="6FDC5F2A"/>
    <w:rsid w:val="6FF75479"/>
    <w:rsid w:val="70613731"/>
    <w:rsid w:val="70812E3F"/>
    <w:rsid w:val="70981F36"/>
    <w:rsid w:val="70997AC2"/>
    <w:rsid w:val="713003C1"/>
    <w:rsid w:val="713A2FED"/>
    <w:rsid w:val="71706A0F"/>
    <w:rsid w:val="719178EE"/>
    <w:rsid w:val="71AC0F36"/>
    <w:rsid w:val="71BC3A02"/>
    <w:rsid w:val="723839D1"/>
    <w:rsid w:val="72BA11D4"/>
    <w:rsid w:val="739F6935"/>
    <w:rsid w:val="74200FA1"/>
    <w:rsid w:val="745E5245"/>
    <w:rsid w:val="74DD43BC"/>
    <w:rsid w:val="74DE2D28"/>
    <w:rsid w:val="75043FC5"/>
    <w:rsid w:val="75317F36"/>
    <w:rsid w:val="753A7A60"/>
    <w:rsid w:val="758D193E"/>
    <w:rsid w:val="759242AE"/>
    <w:rsid w:val="759E6FA6"/>
    <w:rsid w:val="75D4756D"/>
    <w:rsid w:val="75FC4D15"/>
    <w:rsid w:val="761738FD"/>
    <w:rsid w:val="76431924"/>
    <w:rsid w:val="76447765"/>
    <w:rsid w:val="767E572A"/>
    <w:rsid w:val="76ED0D20"/>
    <w:rsid w:val="76F9201B"/>
    <w:rsid w:val="771E7D75"/>
    <w:rsid w:val="776668EA"/>
    <w:rsid w:val="77BA09E4"/>
    <w:rsid w:val="77E12415"/>
    <w:rsid w:val="77FA5285"/>
    <w:rsid w:val="781E0F73"/>
    <w:rsid w:val="782725D3"/>
    <w:rsid w:val="78A376CA"/>
    <w:rsid w:val="78B638A1"/>
    <w:rsid w:val="78C71DB0"/>
    <w:rsid w:val="791871BB"/>
    <w:rsid w:val="794A3E9B"/>
    <w:rsid w:val="79790EA1"/>
    <w:rsid w:val="798968C0"/>
    <w:rsid w:val="79B7167F"/>
    <w:rsid w:val="79D96301"/>
    <w:rsid w:val="79DC7338"/>
    <w:rsid w:val="7A1A0D3D"/>
    <w:rsid w:val="7A344A7E"/>
    <w:rsid w:val="7A8D32B9"/>
    <w:rsid w:val="7AA664FD"/>
    <w:rsid w:val="7AC51B7A"/>
    <w:rsid w:val="7B0A3A31"/>
    <w:rsid w:val="7B1524BC"/>
    <w:rsid w:val="7BD754B6"/>
    <w:rsid w:val="7BD858DD"/>
    <w:rsid w:val="7BE36163"/>
    <w:rsid w:val="7BE60B10"/>
    <w:rsid w:val="7C00428B"/>
    <w:rsid w:val="7C501E80"/>
    <w:rsid w:val="7C69085F"/>
    <w:rsid w:val="7CE60F01"/>
    <w:rsid w:val="7D5B1FAF"/>
    <w:rsid w:val="7DC4607A"/>
    <w:rsid w:val="7E415DD1"/>
    <w:rsid w:val="7E4253D3"/>
    <w:rsid w:val="7E6E734E"/>
    <w:rsid w:val="7E985949"/>
    <w:rsid w:val="7EC30AC6"/>
    <w:rsid w:val="7EFB1398"/>
    <w:rsid w:val="7F4A4D43"/>
    <w:rsid w:val="7F995383"/>
  </w:rsids>
  <m:mathPr>
    <m:mathFont m:val="Cambria Math"/>
    <m:brkBin m:val="before"/>
    <m:brkBinSub m:val="--"/>
    <m:smallFrac m:val="1"/>
    <m:dispDef/>
    <m:lMargin m:val="0"/>
    <m:rMargin m:val="0"/>
    <m:defJc m:val="centerGroup"/>
    <m:wrapIndent m:val="1440"/>
    <m:intLim m:val="subSup"/>
    <m:naryLim m:val="undOvr"/>
  </m:mathPr>
  <w:themeFontLang w:val="en-US" w:eastAsia="zh-CN" w:bidi="ug-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9"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99" w:semiHidden="0" w:name="Normal Indent"/>
    <w:lsdException w:qFormat="1" w:unhideWhenUsed="0" w:uiPriority="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nhideWhenUsed="0" w:uiPriority="0" w:semiHidden="0" w:name="table of figures"/>
    <w:lsdException w:uiPriority="99" w:name="envelope address"/>
    <w:lsdException w:uiPriority="99" w:name="envelope return"/>
    <w:lsdException w:qFormat="1" w:unhideWhenUsed="0" w:uiPriority="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qFormat="1" w:unhideWhenUsed="0" w:uiPriority="99" w:semiHidden="0"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qFormat="1"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qFormat="1" w:unhideWhenUsed="0" w:uiPriority="99" w:semiHidden="0"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99" w:name="Body Text First Indent"/>
    <w:lsdException w:qFormat="1" w:uiPriority="99" w:semiHidden="0" w:name="Body Text First Indent 2"/>
    <w:lsdException w:uiPriority="99" w:name="Note Heading"/>
    <w:lsdException w:uiPriority="99" w:name="Body Text 2"/>
    <w:lsdException w:uiPriority="99" w:name="Body Text 3"/>
    <w:lsdException w:qFormat="1" w:unhideWhenUsed="0" w:uiPriority="99" w:semiHidden="0" w:name="Body Text Indent 2"/>
    <w:lsdException w:qFormat="1" w:unhideWhenUsed="0" w:uiPriority="99"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qFormat="1" w:unhideWhenUsed="0" w:uiPriority="99" w:semiHidden="0" w:name="HTML Acronym"/>
    <w:lsdException w:uiPriority="99" w:name="HTML Address"/>
    <w:lsdException w:qFormat="1" w:unhideWhenUsed="0" w:uiPriority="99" w:semiHidden="0" w:name="HTML Cite"/>
    <w:lsdException w:qFormat="1" w:unhideWhenUsed="0" w:uiPriority="99" w:semiHidden="0" w:name="HTML Code"/>
    <w:lsdException w:qFormat="1" w:unhideWhenUsed="0" w:uiPriority="99" w:semiHidden="0" w:name="HTML Definition"/>
    <w:lsdException w:qFormat="1" w:unhideWhenUsed="0" w:uiPriority="99" w:semiHidden="0" w:name="HTML Keyboard"/>
    <w:lsdException w:uiPriority="99" w:name="HTML Preformatted"/>
    <w:lsdException w:qFormat="1" w:unhideWhenUsed="0" w:uiPriority="99" w:semiHidden="0" w:name="HTML Sample"/>
    <w:lsdException w:uiPriority="99" w:name="HTML Typewriter"/>
    <w:lsdException w:qFormat="1" w:unhideWhenUsed="0" w:uiPriority="99"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59"/>
    <w:qFormat/>
    <w:uiPriority w:val="9"/>
    <w:pPr>
      <w:keepNext/>
      <w:widowControl/>
      <w:spacing w:before="340" w:after="330" w:line="576" w:lineRule="auto"/>
      <w:jc w:val="center"/>
      <w:outlineLvl w:val="0"/>
    </w:pPr>
    <w:rPr>
      <w:rFonts w:ascii="???" w:hAnsi="???" w:eastAsia="宋体" w:cs="Arial"/>
      <w:b/>
      <w:bCs/>
      <w:color w:val="020000"/>
      <w:kern w:val="36"/>
      <w:sz w:val="44"/>
      <w:szCs w:val="44"/>
    </w:rPr>
  </w:style>
  <w:style w:type="paragraph" w:styleId="3">
    <w:name w:val="heading 2"/>
    <w:basedOn w:val="1"/>
    <w:next w:val="1"/>
    <w:link w:val="61"/>
    <w:qFormat/>
    <w:uiPriority w:val="0"/>
    <w:pPr>
      <w:keepNext/>
      <w:widowControl/>
      <w:spacing w:before="260" w:after="260" w:line="412" w:lineRule="auto"/>
      <w:outlineLvl w:val="1"/>
    </w:pPr>
    <w:rPr>
      <w:rFonts w:ascii="???" w:hAnsi="???" w:eastAsia="宋体" w:cs="Arial"/>
      <w:b/>
      <w:bCs/>
      <w:color w:val="020000"/>
      <w:kern w:val="0"/>
      <w:sz w:val="32"/>
      <w:szCs w:val="32"/>
    </w:rPr>
  </w:style>
  <w:style w:type="paragraph" w:styleId="4">
    <w:name w:val="heading 3"/>
    <w:basedOn w:val="1"/>
    <w:next w:val="1"/>
    <w:link w:val="60"/>
    <w:qFormat/>
    <w:uiPriority w:val="99"/>
    <w:pPr>
      <w:keepNext/>
      <w:widowControl/>
      <w:spacing w:before="260" w:after="260" w:line="412" w:lineRule="auto"/>
      <w:outlineLvl w:val="2"/>
    </w:pPr>
    <w:rPr>
      <w:rFonts w:ascii="??" w:hAnsi="??" w:eastAsia="宋体" w:cs="Arial"/>
      <w:b/>
      <w:bCs/>
      <w:color w:val="000000"/>
      <w:kern w:val="0"/>
      <w:sz w:val="32"/>
      <w:szCs w:val="32"/>
    </w:rPr>
  </w:style>
  <w:style w:type="paragraph" w:styleId="5">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styleId="6">
    <w:name w:val="toc 7"/>
    <w:basedOn w:val="1"/>
    <w:next w:val="1"/>
    <w:qFormat/>
    <w:uiPriority w:val="0"/>
    <w:pPr>
      <w:ind w:left="2520" w:leftChars="1200"/>
    </w:pPr>
    <w:rPr>
      <w:rFonts w:ascii="Times New Roman" w:hAnsi="Times New Roman" w:eastAsia="宋体" w:cs="Times New Roman"/>
      <w:szCs w:val="24"/>
    </w:rPr>
  </w:style>
  <w:style w:type="paragraph" w:styleId="7">
    <w:name w:val="List Number"/>
    <w:basedOn w:val="1"/>
    <w:qFormat/>
    <w:uiPriority w:val="99"/>
    <w:pPr>
      <w:widowControl/>
      <w:spacing w:before="100" w:beforeAutospacing="1" w:after="100" w:afterAutospacing="1"/>
      <w:jc w:val="left"/>
    </w:pPr>
    <w:rPr>
      <w:rFonts w:ascii="宋体" w:hAnsi="宋体" w:eastAsia="宋体" w:cs="宋体"/>
      <w:kern w:val="0"/>
      <w:sz w:val="24"/>
      <w:szCs w:val="24"/>
    </w:rPr>
  </w:style>
  <w:style w:type="paragraph" w:styleId="8">
    <w:name w:val="Normal Indent"/>
    <w:basedOn w:val="1"/>
    <w:link w:val="112"/>
    <w:qFormat/>
    <w:uiPriority w:val="99"/>
    <w:pPr>
      <w:ind w:firstLine="420" w:firstLineChars="200"/>
    </w:pPr>
    <w:rPr>
      <w:rFonts w:ascii="Times New Roman" w:hAnsi="Times New Roman" w:eastAsia="宋体" w:cs="Times New Roman"/>
      <w:kern w:val="0"/>
      <w:sz w:val="24"/>
      <w:szCs w:val="20"/>
    </w:rPr>
  </w:style>
  <w:style w:type="paragraph" w:styleId="9">
    <w:name w:val="Document Map"/>
    <w:basedOn w:val="1"/>
    <w:link w:val="130"/>
    <w:qFormat/>
    <w:uiPriority w:val="0"/>
    <w:rPr>
      <w:rFonts w:ascii="宋体" w:hAnsi="Calibri" w:eastAsia="宋体" w:cs="Times New Roman"/>
      <w:kern w:val="0"/>
      <w:sz w:val="18"/>
      <w:szCs w:val="20"/>
    </w:rPr>
  </w:style>
  <w:style w:type="paragraph" w:styleId="10">
    <w:name w:val="toa heading"/>
    <w:basedOn w:val="1"/>
    <w:next w:val="1"/>
    <w:qFormat/>
    <w:uiPriority w:val="0"/>
    <w:pPr>
      <w:spacing w:before="120"/>
    </w:pPr>
    <w:rPr>
      <w:rFonts w:ascii="Cambria" w:hAnsi="Cambria"/>
      <w:sz w:val="24"/>
      <w:szCs w:val="24"/>
    </w:rPr>
  </w:style>
  <w:style w:type="paragraph" w:styleId="11">
    <w:name w:val="annotation text"/>
    <w:basedOn w:val="1"/>
    <w:link w:val="158"/>
    <w:qFormat/>
    <w:uiPriority w:val="0"/>
    <w:pPr>
      <w:jc w:val="left"/>
    </w:pPr>
  </w:style>
  <w:style w:type="paragraph" w:styleId="12">
    <w:name w:val="Body Text"/>
    <w:basedOn w:val="1"/>
    <w:next w:val="13"/>
    <w:link w:val="133"/>
    <w:qFormat/>
    <w:uiPriority w:val="99"/>
    <w:pPr>
      <w:spacing w:after="120"/>
    </w:pPr>
    <w:rPr>
      <w:rFonts w:ascii="Calibri" w:hAnsi="Calibri" w:eastAsia="宋体" w:cs="Times New Roman"/>
      <w:kern w:val="0"/>
      <w:sz w:val="24"/>
      <w:szCs w:val="20"/>
    </w:rPr>
  </w:style>
  <w:style w:type="paragraph" w:customStyle="1" w:styleId="13">
    <w:name w:val="Default"/>
    <w:qFormat/>
    <w:uiPriority w:val="0"/>
    <w:pPr>
      <w:widowControl w:val="0"/>
      <w:autoSpaceDE w:val="0"/>
      <w:autoSpaceDN w:val="0"/>
      <w:adjustRightInd w:val="0"/>
      <w:jc w:val="both"/>
    </w:pPr>
    <w:rPr>
      <w:rFonts w:ascii="黑体" w:hAnsi="黑体" w:eastAsia="宋体" w:cs="黑体"/>
      <w:color w:val="000000"/>
      <w:sz w:val="24"/>
      <w:szCs w:val="24"/>
      <w:lang w:val="en-US" w:eastAsia="zh-CN" w:bidi="ar-SA"/>
    </w:rPr>
  </w:style>
  <w:style w:type="paragraph" w:styleId="14">
    <w:name w:val="Body Text Indent"/>
    <w:basedOn w:val="1"/>
    <w:link w:val="64"/>
    <w:qFormat/>
    <w:uiPriority w:val="0"/>
    <w:pPr>
      <w:widowControl/>
      <w:spacing w:after="120"/>
      <w:ind w:left="420"/>
    </w:pPr>
    <w:rPr>
      <w:rFonts w:ascii="??" w:hAnsi="??" w:eastAsia="宋体" w:cs="Arial"/>
      <w:kern w:val="0"/>
      <w:sz w:val="24"/>
      <w:szCs w:val="24"/>
    </w:rPr>
  </w:style>
  <w:style w:type="paragraph" w:styleId="15">
    <w:name w:val="toc 5"/>
    <w:basedOn w:val="1"/>
    <w:next w:val="1"/>
    <w:qFormat/>
    <w:uiPriority w:val="0"/>
    <w:pPr>
      <w:ind w:left="1680" w:leftChars="800"/>
    </w:pPr>
    <w:rPr>
      <w:rFonts w:ascii="Times New Roman" w:hAnsi="Times New Roman" w:eastAsia="宋体" w:cs="Times New Roman"/>
      <w:szCs w:val="24"/>
    </w:rPr>
  </w:style>
  <w:style w:type="paragraph" w:styleId="16">
    <w:name w:val="toc 3"/>
    <w:basedOn w:val="1"/>
    <w:next w:val="1"/>
    <w:qFormat/>
    <w:uiPriority w:val="39"/>
    <w:pPr>
      <w:ind w:left="840" w:leftChars="400"/>
    </w:pPr>
    <w:rPr>
      <w:rFonts w:ascii="Times New Roman" w:hAnsi="Times New Roman" w:eastAsia="宋体" w:cs="Times New Roman"/>
      <w:szCs w:val="24"/>
    </w:rPr>
  </w:style>
  <w:style w:type="paragraph" w:styleId="17">
    <w:name w:val="Plain Text"/>
    <w:basedOn w:val="1"/>
    <w:next w:val="18"/>
    <w:link w:val="193"/>
    <w:qFormat/>
    <w:uiPriority w:val="0"/>
    <w:rPr>
      <w:rFonts w:ascii="宋体" w:hAnsi="Courier New" w:eastAsia="宋体"/>
      <w:szCs w:val="21"/>
    </w:rPr>
  </w:style>
  <w:style w:type="paragraph" w:styleId="18">
    <w:name w:val="List Number 5"/>
    <w:basedOn w:val="1"/>
    <w:semiHidden/>
    <w:unhideWhenUsed/>
    <w:qFormat/>
    <w:uiPriority w:val="99"/>
    <w:pPr>
      <w:numPr>
        <w:ilvl w:val="0"/>
        <w:numId w:val="1"/>
      </w:numPr>
    </w:pPr>
  </w:style>
  <w:style w:type="paragraph" w:styleId="19">
    <w:name w:val="toc 8"/>
    <w:basedOn w:val="1"/>
    <w:next w:val="1"/>
    <w:qFormat/>
    <w:uiPriority w:val="0"/>
    <w:pPr>
      <w:ind w:left="2940" w:leftChars="1400"/>
    </w:pPr>
    <w:rPr>
      <w:rFonts w:ascii="Times New Roman" w:hAnsi="Times New Roman" w:eastAsia="宋体" w:cs="Times New Roman"/>
      <w:szCs w:val="24"/>
    </w:rPr>
  </w:style>
  <w:style w:type="paragraph" w:styleId="20">
    <w:name w:val="Date"/>
    <w:basedOn w:val="1"/>
    <w:next w:val="1"/>
    <w:link w:val="153"/>
    <w:qFormat/>
    <w:uiPriority w:val="0"/>
    <w:rPr>
      <w:szCs w:val="21"/>
    </w:rPr>
  </w:style>
  <w:style w:type="paragraph" w:styleId="21">
    <w:name w:val="Body Text Indent 2"/>
    <w:basedOn w:val="1"/>
    <w:link w:val="126"/>
    <w:qFormat/>
    <w:uiPriority w:val="99"/>
    <w:pPr>
      <w:spacing w:before="100" w:beforeAutospacing="1" w:after="100" w:afterAutospacing="1" w:line="360" w:lineRule="auto"/>
      <w:ind w:firstLine="420"/>
    </w:pPr>
    <w:rPr>
      <w:rFonts w:ascii="宋体" w:hAnsi="Calibri" w:eastAsia="宋体" w:cs="Times New Roman"/>
      <w:kern w:val="0"/>
      <w:sz w:val="24"/>
      <w:szCs w:val="20"/>
    </w:rPr>
  </w:style>
  <w:style w:type="paragraph" w:styleId="22">
    <w:name w:val="Balloon Text"/>
    <w:basedOn w:val="1"/>
    <w:link w:val="76"/>
    <w:qFormat/>
    <w:uiPriority w:val="99"/>
    <w:rPr>
      <w:rFonts w:ascii="Calibri" w:hAnsi="Calibri" w:eastAsia="宋体" w:cs="Times New Roman"/>
      <w:sz w:val="18"/>
      <w:szCs w:val="18"/>
    </w:rPr>
  </w:style>
  <w:style w:type="paragraph" w:styleId="23">
    <w:name w:val="footer"/>
    <w:basedOn w:val="1"/>
    <w:link w:val="63"/>
    <w:qFormat/>
    <w:uiPriority w:val="99"/>
    <w:pPr>
      <w:tabs>
        <w:tab w:val="center" w:pos="4153"/>
        <w:tab w:val="right" w:pos="8306"/>
      </w:tabs>
      <w:snapToGrid w:val="0"/>
      <w:jc w:val="left"/>
    </w:pPr>
    <w:rPr>
      <w:rFonts w:ascii="Calibri" w:hAnsi="Calibri" w:eastAsia="宋体" w:cs="Times New Roman"/>
      <w:sz w:val="18"/>
      <w:szCs w:val="18"/>
    </w:rPr>
  </w:style>
  <w:style w:type="paragraph" w:styleId="24">
    <w:name w:val="header"/>
    <w:basedOn w:val="1"/>
    <w:link w:val="62"/>
    <w:qFormat/>
    <w:uiPriority w:val="0"/>
    <w:pPr>
      <w:pBdr>
        <w:bottom w:val="single" w:color="auto" w:sz="6" w:space="1"/>
      </w:pBdr>
      <w:tabs>
        <w:tab w:val="center" w:pos="4153"/>
        <w:tab w:val="right" w:pos="8306"/>
      </w:tabs>
      <w:snapToGrid w:val="0"/>
      <w:jc w:val="center"/>
    </w:pPr>
    <w:rPr>
      <w:rFonts w:ascii="Calibri" w:hAnsi="Calibri" w:eastAsia="宋体" w:cs="Times New Roman"/>
      <w:sz w:val="18"/>
      <w:szCs w:val="18"/>
    </w:rPr>
  </w:style>
  <w:style w:type="paragraph" w:styleId="25">
    <w:name w:val="toc 1"/>
    <w:basedOn w:val="1"/>
    <w:next w:val="1"/>
    <w:qFormat/>
    <w:uiPriority w:val="39"/>
    <w:rPr>
      <w:rFonts w:ascii="Times New Roman" w:hAnsi="Times New Roman" w:eastAsia="宋体" w:cs="Times New Roman"/>
      <w:szCs w:val="24"/>
    </w:rPr>
  </w:style>
  <w:style w:type="paragraph" w:styleId="26">
    <w:name w:val="toc 4"/>
    <w:basedOn w:val="1"/>
    <w:next w:val="1"/>
    <w:qFormat/>
    <w:uiPriority w:val="0"/>
    <w:pPr>
      <w:ind w:left="1260" w:leftChars="600"/>
    </w:pPr>
    <w:rPr>
      <w:rFonts w:ascii="Times New Roman" w:hAnsi="Times New Roman" w:eastAsia="宋体" w:cs="Times New Roman"/>
      <w:szCs w:val="24"/>
    </w:rPr>
  </w:style>
  <w:style w:type="paragraph" w:styleId="27">
    <w:name w:val="footnote text"/>
    <w:basedOn w:val="1"/>
    <w:link w:val="170"/>
    <w:semiHidden/>
    <w:qFormat/>
    <w:uiPriority w:val="0"/>
    <w:pPr>
      <w:snapToGrid w:val="0"/>
      <w:jc w:val="left"/>
    </w:pPr>
    <w:rPr>
      <w:rFonts w:ascii="Times New Roman" w:hAnsi="Times New Roman" w:eastAsia="宋体" w:cs="Times New Roman"/>
      <w:sz w:val="18"/>
      <w:szCs w:val="18"/>
    </w:rPr>
  </w:style>
  <w:style w:type="paragraph" w:styleId="28">
    <w:name w:val="toc 6"/>
    <w:basedOn w:val="1"/>
    <w:next w:val="1"/>
    <w:qFormat/>
    <w:uiPriority w:val="0"/>
    <w:pPr>
      <w:ind w:left="2100" w:leftChars="1000"/>
    </w:pPr>
    <w:rPr>
      <w:rFonts w:ascii="Times New Roman" w:hAnsi="Times New Roman" w:eastAsia="宋体" w:cs="Times New Roman"/>
      <w:szCs w:val="24"/>
    </w:rPr>
  </w:style>
  <w:style w:type="paragraph" w:styleId="29">
    <w:name w:val="Body Text Indent 3"/>
    <w:basedOn w:val="1"/>
    <w:link w:val="128"/>
    <w:qFormat/>
    <w:uiPriority w:val="99"/>
    <w:pPr>
      <w:spacing w:line="440" w:lineRule="exact"/>
      <w:ind w:firstLine="412" w:firstLineChars="200"/>
    </w:pPr>
    <w:rPr>
      <w:rFonts w:ascii="宋体" w:hAnsi="Calibri" w:eastAsia="宋体" w:cs="Times New Roman"/>
      <w:kern w:val="0"/>
      <w:sz w:val="20"/>
      <w:szCs w:val="20"/>
    </w:rPr>
  </w:style>
  <w:style w:type="paragraph" w:styleId="30">
    <w:name w:val="table of figures"/>
    <w:basedOn w:val="1"/>
    <w:next w:val="1"/>
    <w:qFormat/>
    <w:uiPriority w:val="0"/>
    <w:pPr>
      <w:ind w:left="200" w:leftChars="200" w:hanging="200" w:hangingChars="200"/>
    </w:pPr>
    <w:rPr>
      <w:rFonts w:ascii="Times New Roman" w:hAnsi="Times New Roman" w:eastAsia="宋体" w:cs="Times New Roman"/>
      <w:szCs w:val="20"/>
    </w:rPr>
  </w:style>
  <w:style w:type="paragraph" w:styleId="31">
    <w:name w:val="toc 2"/>
    <w:basedOn w:val="1"/>
    <w:next w:val="1"/>
    <w:qFormat/>
    <w:uiPriority w:val="39"/>
    <w:pPr>
      <w:ind w:left="420" w:leftChars="200"/>
    </w:pPr>
    <w:rPr>
      <w:rFonts w:ascii="Times New Roman" w:hAnsi="Times New Roman" w:eastAsia="宋体" w:cs="Times New Roman"/>
      <w:szCs w:val="24"/>
    </w:rPr>
  </w:style>
  <w:style w:type="paragraph" w:styleId="32">
    <w:name w:val="toc 9"/>
    <w:basedOn w:val="1"/>
    <w:next w:val="1"/>
    <w:qFormat/>
    <w:uiPriority w:val="0"/>
    <w:pPr>
      <w:ind w:left="3360" w:leftChars="1600"/>
    </w:pPr>
    <w:rPr>
      <w:rFonts w:ascii="Times New Roman" w:hAnsi="Times New Roman" w:eastAsia="宋体" w:cs="Times New Roman"/>
      <w:szCs w:val="24"/>
    </w:rPr>
  </w:style>
  <w:style w:type="paragraph" w:styleId="33">
    <w:name w:val="List Continue 2"/>
    <w:basedOn w:val="1"/>
    <w:qFormat/>
    <w:uiPriority w:val="99"/>
    <w:pPr>
      <w:spacing w:after="120"/>
      <w:ind w:left="840" w:leftChars="400"/>
    </w:pPr>
    <w:rPr>
      <w:rFonts w:ascii="Times New Roman" w:hAnsi="Times New Roman" w:eastAsia="宋体" w:cs="Times New Roman"/>
      <w:szCs w:val="24"/>
    </w:rPr>
  </w:style>
  <w:style w:type="paragraph" w:styleId="34">
    <w:name w:val="Normal (Web)"/>
    <w:basedOn w:val="1"/>
    <w:next w:val="1"/>
    <w:qFormat/>
    <w:uiPriority w:val="0"/>
    <w:pPr>
      <w:widowControl/>
      <w:spacing w:before="100" w:beforeAutospacing="1" w:after="100" w:afterAutospacing="1"/>
      <w:jc w:val="left"/>
    </w:pPr>
    <w:rPr>
      <w:rFonts w:ascii="宋体" w:hAnsi="宋体" w:eastAsia="宋体" w:cs="宋体"/>
      <w:kern w:val="0"/>
      <w:sz w:val="24"/>
      <w:szCs w:val="24"/>
    </w:rPr>
  </w:style>
  <w:style w:type="paragraph" w:styleId="35">
    <w:name w:val="index 1"/>
    <w:basedOn w:val="1"/>
    <w:next w:val="1"/>
    <w:qFormat/>
    <w:uiPriority w:val="0"/>
    <w:pPr>
      <w:adjustRightInd w:val="0"/>
      <w:snapToGrid w:val="0"/>
      <w:spacing w:line="300" w:lineRule="exact"/>
    </w:pPr>
    <w:rPr>
      <w:rFonts w:ascii="宋体" w:hAnsi="宋体" w:eastAsia="宋体" w:cs="Times New Roman"/>
      <w:bCs/>
      <w:sz w:val="20"/>
      <w:szCs w:val="21"/>
    </w:rPr>
  </w:style>
  <w:style w:type="paragraph" w:styleId="36">
    <w:name w:val="Title"/>
    <w:basedOn w:val="1"/>
    <w:link w:val="156"/>
    <w:qFormat/>
    <w:uiPriority w:val="0"/>
    <w:pPr>
      <w:spacing w:before="240" w:after="60"/>
      <w:jc w:val="center"/>
      <w:outlineLvl w:val="0"/>
    </w:pPr>
    <w:rPr>
      <w:rFonts w:ascii="Cambria" w:hAnsi="Cambria" w:cs="Times New Roman"/>
      <w:b/>
      <w:bCs/>
      <w:sz w:val="32"/>
      <w:szCs w:val="32"/>
    </w:rPr>
  </w:style>
  <w:style w:type="paragraph" w:styleId="37">
    <w:name w:val="annotation subject"/>
    <w:basedOn w:val="11"/>
    <w:next w:val="11"/>
    <w:link w:val="163"/>
    <w:qFormat/>
    <w:uiPriority w:val="0"/>
    <w:rPr>
      <w:b/>
      <w:bCs/>
    </w:rPr>
  </w:style>
  <w:style w:type="paragraph" w:styleId="38">
    <w:name w:val="Body Text First Indent"/>
    <w:basedOn w:val="12"/>
    <w:link w:val="203"/>
    <w:semiHidden/>
    <w:unhideWhenUsed/>
    <w:qFormat/>
    <w:uiPriority w:val="99"/>
    <w:pPr>
      <w:ind w:firstLine="420" w:firstLineChars="100"/>
    </w:pPr>
    <w:rPr>
      <w:rFonts w:asciiTheme="minorHAnsi" w:hAnsiTheme="minorHAnsi" w:eastAsiaTheme="minorEastAsia" w:cstheme="minorBidi"/>
      <w:kern w:val="2"/>
      <w:sz w:val="21"/>
      <w:szCs w:val="22"/>
    </w:rPr>
  </w:style>
  <w:style w:type="paragraph" w:styleId="39">
    <w:name w:val="Body Text First Indent 2"/>
    <w:basedOn w:val="14"/>
    <w:next w:val="1"/>
    <w:unhideWhenUsed/>
    <w:qFormat/>
    <w:uiPriority w:val="99"/>
    <w:pPr>
      <w:widowControl w:val="0"/>
      <w:ind w:left="200" w:leftChars="200" w:firstLine="420" w:firstLineChars="200"/>
    </w:pPr>
    <w:rPr>
      <w:rFonts w:asciiTheme="minorHAnsi" w:hAnsiTheme="minorHAnsi" w:eastAsiaTheme="minorEastAsia" w:cstheme="minorBidi"/>
      <w:kern w:val="2"/>
      <w:sz w:val="21"/>
      <w:szCs w:val="22"/>
    </w:rPr>
  </w:style>
  <w:style w:type="table" w:styleId="41">
    <w:name w:val="Table Grid"/>
    <w:basedOn w:val="40"/>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3">
    <w:name w:val="Strong"/>
    <w:basedOn w:val="42"/>
    <w:qFormat/>
    <w:uiPriority w:val="22"/>
    <w:rPr>
      <w:rFonts w:cs="Times New Roman"/>
      <w:b/>
    </w:rPr>
  </w:style>
  <w:style w:type="character" w:styleId="44">
    <w:name w:val="page number"/>
    <w:basedOn w:val="42"/>
    <w:qFormat/>
    <w:uiPriority w:val="0"/>
    <w:rPr>
      <w:rFonts w:cs="Times New Roman"/>
    </w:rPr>
  </w:style>
  <w:style w:type="character" w:styleId="45">
    <w:name w:val="FollowedHyperlink"/>
    <w:basedOn w:val="42"/>
    <w:qFormat/>
    <w:uiPriority w:val="99"/>
    <w:rPr>
      <w:rFonts w:cs="Times New Roman"/>
      <w:color w:val="555555"/>
      <w:u w:val="none"/>
    </w:rPr>
  </w:style>
  <w:style w:type="character" w:styleId="46">
    <w:name w:val="Emphasis"/>
    <w:basedOn w:val="42"/>
    <w:qFormat/>
    <w:uiPriority w:val="0"/>
    <w:rPr>
      <w:rFonts w:cs="Times New Roman"/>
      <w:i/>
    </w:rPr>
  </w:style>
  <w:style w:type="character" w:styleId="47">
    <w:name w:val="HTML Definition"/>
    <w:basedOn w:val="42"/>
    <w:qFormat/>
    <w:uiPriority w:val="99"/>
    <w:rPr>
      <w:rFonts w:cs="Times New Roman"/>
    </w:rPr>
  </w:style>
  <w:style w:type="character" w:styleId="48">
    <w:name w:val="HTML Acronym"/>
    <w:basedOn w:val="42"/>
    <w:qFormat/>
    <w:uiPriority w:val="99"/>
    <w:rPr>
      <w:rFonts w:cs="Times New Roman"/>
    </w:rPr>
  </w:style>
  <w:style w:type="character" w:styleId="49">
    <w:name w:val="HTML Variable"/>
    <w:basedOn w:val="42"/>
    <w:qFormat/>
    <w:uiPriority w:val="99"/>
    <w:rPr>
      <w:rFonts w:cs="Times New Roman"/>
    </w:rPr>
  </w:style>
  <w:style w:type="character" w:styleId="50">
    <w:name w:val="Hyperlink"/>
    <w:basedOn w:val="42"/>
    <w:qFormat/>
    <w:uiPriority w:val="99"/>
    <w:rPr>
      <w:rFonts w:cs="Times New Roman"/>
      <w:color w:val="555555"/>
      <w:u w:val="none"/>
    </w:rPr>
  </w:style>
  <w:style w:type="character" w:styleId="51">
    <w:name w:val="HTML Code"/>
    <w:basedOn w:val="42"/>
    <w:qFormat/>
    <w:uiPriority w:val="99"/>
    <w:rPr>
      <w:rFonts w:ascii="monospace" w:hAnsi="monospace" w:cs="Times New Roman"/>
      <w:sz w:val="24"/>
    </w:rPr>
  </w:style>
  <w:style w:type="character" w:styleId="52">
    <w:name w:val="annotation reference"/>
    <w:qFormat/>
    <w:uiPriority w:val="0"/>
    <w:rPr>
      <w:sz w:val="21"/>
      <w:szCs w:val="21"/>
    </w:rPr>
  </w:style>
  <w:style w:type="character" w:styleId="53">
    <w:name w:val="HTML Cite"/>
    <w:basedOn w:val="42"/>
    <w:qFormat/>
    <w:uiPriority w:val="99"/>
    <w:rPr>
      <w:rFonts w:cs="Times New Roman"/>
    </w:rPr>
  </w:style>
  <w:style w:type="character" w:styleId="54">
    <w:name w:val="footnote reference"/>
    <w:semiHidden/>
    <w:qFormat/>
    <w:uiPriority w:val="0"/>
    <w:rPr>
      <w:vertAlign w:val="superscript"/>
    </w:rPr>
  </w:style>
  <w:style w:type="character" w:styleId="55">
    <w:name w:val="HTML Keyboard"/>
    <w:basedOn w:val="42"/>
    <w:qFormat/>
    <w:uiPriority w:val="99"/>
    <w:rPr>
      <w:rFonts w:ascii="monospace" w:hAnsi="monospace" w:cs="Times New Roman"/>
      <w:sz w:val="24"/>
    </w:rPr>
  </w:style>
  <w:style w:type="character" w:styleId="56">
    <w:name w:val="HTML Sample"/>
    <w:basedOn w:val="42"/>
    <w:qFormat/>
    <w:uiPriority w:val="99"/>
    <w:rPr>
      <w:rFonts w:ascii="monospace" w:hAnsi="monospace" w:cs="Times New Roman"/>
      <w:sz w:val="24"/>
    </w:rPr>
  </w:style>
  <w:style w:type="paragraph" w:customStyle="1" w:styleId="57">
    <w:name w:val="Normal Indent1"/>
    <w:next w:val="1"/>
    <w:qFormat/>
    <w:uiPriority w:val="0"/>
    <w:pPr>
      <w:spacing w:afterLines="50" w:line="360" w:lineRule="auto"/>
      <w:ind w:firstLine="420" w:firstLineChars="200"/>
    </w:pPr>
    <w:rPr>
      <w:rFonts w:ascii="Times New Roman" w:hAnsi="Times New Roman" w:eastAsia="宋体" w:cs="Times New Roman"/>
      <w:lang w:val="en-US" w:eastAsia="zh-CN" w:bidi="ar-SA"/>
    </w:rPr>
  </w:style>
  <w:style w:type="paragraph" w:customStyle="1" w:styleId="58">
    <w:name w:val="方案正文"/>
    <w:basedOn w:val="12"/>
    <w:qFormat/>
    <w:uiPriority w:val="0"/>
    <w:pPr>
      <w:spacing w:after="0"/>
      <w:ind w:firstLine="560" w:firstLineChars="200"/>
      <w:jc w:val="left"/>
    </w:pPr>
    <w:rPr>
      <w:rFonts w:ascii="Arial" w:hAnsi="Arial" w:eastAsia="仿宋" w:cs="宋体"/>
      <w:sz w:val="28"/>
      <w:szCs w:val="21"/>
    </w:rPr>
  </w:style>
  <w:style w:type="character" w:customStyle="1" w:styleId="59">
    <w:name w:val="标题 1 字符"/>
    <w:basedOn w:val="42"/>
    <w:link w:val="2"/>
    <w:qFormat/>
    <w:uiPriority w:val="9"/>
    <w:rPr>
      <w:rFonts w:ascii="???" w:hAnsi="???" w:eastAsia="宋体" w:cs="Arial"/>
      <w:b/>
      <w:bCs/>
      <w:color w:val="020000"/>
      <w:kern w:val="36"/>
      <w:sz w:val="44"/>
      <w:szCs w:val="44"/>
    </w:rPr>
  </w:style>
  <w:style w:type="character" w:customStyle="1" w:styleId="60">
    <w:name w:val="标题 3 字符"/>
    <w:basedOn w:val="42"/>
    <w:link w:val="4"/>
    <w:qFormat/>
    <w:uiPriority w:val="0"/>
    <w:rPr>
      <w:rFonts w:ascii="??" w:hAnsi="??" w:eastAsia="宋体" w:cs="Arial"/>
      <w:b/>
      <w:bCs/>
      <w:color w:val="000000"/>
      <w:kern w:val="0"/>
      <w:sz w:val="32"/>
      <w:szCs w:val="32"/>
    </w:rPr>
  </w:style>
  <w:style w:type="character" w:customStyle="1" w:styleId="61">
    <w:name w:val="标题 2 字符"/>
    <w:basedOn w:val="42"/>
    <w:link w:val="3"/>
    <w:qFormat/>
    <w:uiPriority w:val="99"/>
    <w:rPr>
      <w:rFonts w:ascii="???" w:hAnsi="???" w:eastAsia="宋体" w:cs="Arial"/>
      <w:b/>
      <w:bCs/>
      <w:color w:val="020000"/>
      <w:kern w:val="0"/>
      <w:sz w:val="32"/>
      <w:szCs w:val="32"/>
    </w:rPr>
  </w:style>
  <w:style w:type="character" w:customStyle="1" w:styleId="62">
    <w:name w:val="页眉 字符"/>
    <w:basedOn w:val="42"/>
    <w:link w:val="24"/>
    <w:qFormat/>
    <w:uiPriority w:val="99"/>
    <w:rPr>
      <w:rFonts w:ascii="Calibri" w:hAnsi="Calibri" w:eastAsia="宋体" w:cs="Times New Roman"/>
      <w:sz w:val="18"/>
      <w:szCs w:val="18"/>
    </w:rPr>
  </w:style>
  <w:style w:type="character" w:customStyle="1" w:styleId="63">
    <w:name w:val="页脚 字符"/>
    <w:basedOn w:val="42"/>
    <w:link w:val="23"/>
    <w:qFormat/>
    <w:uiPriority w:val="99"/>
    <w:rPr>
      <w:rFonts w:ascii="Calibri" w:hAnsi="Calibri" w:eastAsia="宋体" w:cs="Times New Roman"/>
      <w:sz w:val="18"/>
      <w:szCs w:val="18"/>
    </w:rPr>
  </w:style>
  <w:style w:type="character" w:customStyle="1" w:styleId="64">
    <w:name w:val="正文文本缩进 字符"/>
    <w:basedOn w:val="42"/>
    <w:link w:val="14"/>
    <w:qFormat/>
    <w:uiPriority w:val="0"/>
    <w:rPr>
      <w:rFonts w:ascii="??" w:hAnsi="??" w:eastAsia="宋体" w:cs="Arial"/>
      <w:kern w:val="0"/>
      <w:sz w:val="24"/>
      <w:szCs w:val="24"/>
    </w:rPr>
  </w:style>
  <w:style w:type="paragraph" w:customStyle="1" w:styleId="65">
    <w:name w:val="列出段落1"/>
    <w:basedOn w:val="1"/>
    <w:qFormat/>
    <w:uiPriority w:val="34"/>
    <w:pPr>
      <w:ind w:firstLine="420" w:firstLineChars="200"/>
    </w:pPr>
    <w:rPr>
      <w:rFonts w:ascii="Calibri" w:hAnsi="Calibri" w:eastAsia="宋体" w:cs="Times New Roman"/>
    </w:rPr>
  </w:style>
  <w:style w:type="character" w:customStyle="1" w:styleId="66">
    <w:name w:val="标题 2 Char Char"/>
    <w:qFormat/>
    <w:uiPriority w:val="99"/>
    <w:rPr>
      <w:rFonts w:ascii="Arial" w:hAnsi="Arial" w:eastAsia="黑体"/>
      <w:b/>
      <w:kern w:val="2"/>
      <w:sz w:val="32"/>
      <w:lang w:val="en-US" w:eastAsia="zh-CN"/>
    </w:rPr>
  </w:style>
  <w:style w:type="character" w:customStyle="1" w:styleId="67">
    <w:name w:val="2charchar"/>
    <w:basedOn w:val="42"/>
    <w:qFormat/>
    <w:uiPriority w:val="99"/>
    <w:rPr>
      <w:rFonts w:cs="Times New Roman"/>
    </w:rPr>
  </w:style>
  <w:style w:type="paragraph" w:customStyle="1" w:styleId="68">
    <w:name w:val="表格文字"/>
    <w:basedOn w:val="1"/>
    <w:qFormat/>
    <w:uiPriority w:val="99"/>
    <w:pPr>
      <w:adjustRightInd w:val="0"/>
      <w:spacing w:line="420" w:lineRule="atLeast"/>
      <w:jc w:val="left"/>
    </w:pPr>
    <w:rPr>
      <w:rFonts w:ascii="Times New Roman" w:hAnsi="Times New Roman" w:eastAsia="宋体" w:cs="Times New Roman"/>
      <w:kern w:val="0"/>
      <w:szCs w:val="20"/>
    </w:rPr>
  </w:style>
  <w:style w:type="paragraph" w:customStyle="1" w:styleId="69">
    <w:name w:val="z-窗体顶端1"/>
    <w:basedOn w:val="1"/>
    <w:next w:val="1"/>
    <w:link w:val="70"/>
    <w:semiHidden/>
    <w:qFormat/>
    <w:uiPriority w:val="99"/>
    <w:pPr>
      <w:widowControl/>
      <w:pBdr>
        <w:bottom w:val="single" w:color="auto" w:sz="6" w:space="1"/>
      </w:pBdr>
      <w:jc w:val="center"/>
    </w:pPr>
    <w:rPr>
      <w:rFonts w:ascii="Arial" w:hAnsi="Arial" w:eastAsia="宋体" w:cs="Arial"/>
      <w:vanish/>
      <w:kern w:val="0"/>
      <w:sz w:val="16"/>
      <w:szCs w:val="16"/>
    </w:rPr>
  </w:style>
  <w:style w:type="character" w:customStyle="1" w:styleId="70">
    <w:name w:val="z-窗体顶端 Char"/>
    <w:basedOn w:val="42"/>
    <w:link w:val="69"/>
    <w:semiHidden/>
    <w:qFormat/>
    <w:uiPriority w:val="99"/>
    <w:rPr>
      <w:rFonts w:ascii="Arial" w:hAnsi="Arial" w:eastAsia="宋体" w:cs="Arial"/>
      <w:vanish/>
      <w:kern w:val="0"/>
      <w:sz w:val="16"/>
      <w:szCs w:val="16"/>
    </w:rPr>
  </w:style>
  <w:style w:type="paragraph" w:customStyle="1" w:styleId="71">
    <w:name w:val="z-窗体底端1"/>
    <w:basedOn w:val="1"/>
    <w:next w:val="1"/>
    <w:link w:val="72"/>
    <w:semiHidden/>
    <w:qFormat/>
    <w:uiPriority w:val="99"/>
    <w:pPr>
      <w:widowControl/>
      <w:pBdr>
        <w:top w:val="single" w:color="auto" w:sz="6" w:space="1"/>
      </w:pBdr>
      <w:jc w:val="center"/>
    </w:pPr>
    <w:rPr>
      <w:rFonts w:ascii="Arial" w:hAnsi="Arial" w:eastAsia="宋体" w:cs="Arial"/>
      <w:vanish/>
      <w:kern w:val="0"/>
      <w:sz w:val="16"/>
      <w:szCs w:val="16"/>
    </w:rPr>
  </w:style>
  <w:style w:type="character" w:customStyle="1" w:styleId="72">
    <w:name w:val="z-窗体底端 Char"/>
    <w:basedOn w:val="42"/>
    <w:link w:val="71"/>
    <w:semiHidden/>
    <w:qFormat/>
    <w:uiPriority w:val="99"/>
    <w:rPr>
      <w:rFonts w:ascii="Arial" w:hAnsi="Arial" w:eastAsia="宋体" w:cs="Arial"/>
      <w:vanish/>
      <w:kern w:val="0"/>
      <w:sz w:val="16"/>
      <w:szCs w:val="16"/>
    </w:rPr>
  </w:style>
  <w:style w:type="paragraph" w:customStyle="1" w:styleId="73">
    <w:name w:val="hu正文"/>
    <w:basedOn w:val="1"/>
    <w:link w:val="74"/>
    <w:qFormat/>
    <w:uiPriority w:val="99"/>
    <w:pPr>
      <w:spacing w:before="156" w:after="156" w:line="300" w:lineRule="auto"/>
      <w:ind w:firstLine="480" w:firstLineChars="200"/>
    </w:pPr>
    <w:rPr>
      <w:rFonts w:ascii="Times New Roman" w:hAnsi="Times New Roman" w:eastAsia="宋体" w:cs="Times New Roman"/>
      <w:kern w:val="0"/>
      <w:sz w:val="24"/>
      <w:szCs w:val="20"/>
    </w:rPr>
  </w:style>
  <w:style w:type="character" w:customStyle="1" w:styleId="74">
    <w:name w:val="hu正文 Char"/>
    <w:link w:val="73"/>
    <w:qFormat/>
    <w:locked/>
    <w:uiPriority w:val="99"/>
    <w:rPr>
      <w:rFonts w:ascii="Times New Roman" w:hAnsi="Times New Roman" w:eastAsia="宋体" w:cs="Times New Roman"/>
      <w:kern w:val="0"/>
      <w:sz w:val="24"/>
      <w:szCs w:val="20"/>
    </w:rPr>
  </w:style>
  <w:style w:type="paragraph" w:customStyle="1" w:styleId="75">
    <w:name w:val="无间隔1"/>
    <w:qFormat/>
    <w:uiPriority w:val="99"/>
    <w:pPr>
      <w:widowControl w:val="0"/>
      <w:jc w:val="both"/>
    </w:pPr>
    <w:rPr>
      <w:rFonts w:ascii="Calibri" w:hAnsi="Calibri" w:eastAsia="宋体" w:cs="Times New Roman"/>
      <w:kern w:val="2"/>
      <w:sz w:val="21"/>
      <w:szCs w:val="22"/>
      <w:lang w:val="en-US" w:eastAsia="zh-CN" w:bidi="ar-SA"/>
    </w:rPr>
  </w:style>
  <w:style w:type="character" w:customStyle="1" w:styleId="76">
    <w:name w:val="批注框文本 字符"/>
    <w:basedOn w:val="42"/>
    <w:link w:val="22"/>
    <w:qFormat/>
    <w:uiPriority w:val="99"/>
    <w:rPr>
      <w:rFonts w:ascii="Calibri" w:hAnsi="Calibri" w:eastAsia="宋体" w:cs="Times New Roman"/>
      <w:sz w:val="18"/>
      <w:szCs w:val="18"/>
    </w:rPr>
  </w:style>
  <w:style w:type="character" w:customStyle="1" w:styleId="77">
    <w:name w:val="ui-bz-bg-hover1"/>
    <w:basedOn w:val="42"/>
    <w:qFormat/>
    <w:uiPriority w:val="99"/>
    <w:rPr>
      <w:rFonts w:cs="Times New Roman"/>
    </w:rPr>
  </w:style>
  <w:style w:type="character" w:customStyle="1" w:styleId="78">
    <w:name w:val="批注框文本 Char1"/>
    <w:qFormat/>
    <w:uiPriority w:val="99"/>
    <w:rPr>
      <w:rFonts w:ascii="Times New Roman" w:hAnsi="Times New Roman" w:eastAsia="宋体"/>
      <w:sz w:val="18"/>
    </w:rPr>
  </w:style>
  <w:style w:type="character" w:customStyle="1" w:styleId="79">
    <w:name w:val="bds_nopic"/>
    <w:basedOn w:val="42"/>
    <w:qFormat/>
    <w:uiPriority w:val="99"/>
    <w:rPr>
      <w:rFonts w:cs="Times New Roman"/>
    </w:rPr>
  </w:style>
  <w:style w:type="character" w:customStyle="1" w:styleId="80">
    <w:name w:val="tip12"/>
    <w:qFormat/>
    <w:uiPriority w:val="99"/>
    <w:rPr>
      <w:vanish/>
      <w:color w:val="FF0000"/>
      <w:sz w:val="18"/>
    </w:rPr>
  </w:style>
  <w:style w:type="character" w:customStyle="1" w:styleId="81">
    <w:name w:val="Body Text Indent 3 Char"/>
    <w:qFormat/>
    <w:locked/>
    <w:uiPriority w:val="99"/>
    <w:rPr>
      <w:rFonts w:ascii="宋体" w:eastAsia="宋体"/>
    </w:rPr>
  </w:style>
  <w:style w:type="character" w:customStyle="1" w:styleId="82">
    <w:name w:val="HTML Markup"/>
    <w:qFormat/>
    <w:uiPriority w:val="99"/>
    <w:rPr>
      <w:vanish/>
      <w:color w:val="FF0000"/>
    </w:rPr>
  </w:style>
  <w:style w:type="character" w:customStyle="1" w:styleId="83">
    <w:name w:val="tip7"/>
    <w:qFormat/>
    <w:uiPriority w:val="99"/>
    <w:rPr>
      <w:vanish/>
      <w:color w:val="FF0000"/>
      <w:sz w:val="18"/>
    </w:rPr>
  </w:style>
  <w:style w:type="character" w:customStyle="1" w:styleId="84">
    <w:name w:val="f-star"/>
    <w:qFormat/>
    <w:uiPriority w:val="99"/>
    <w:rPr>
      <w:color w:val="999999"/>
      <w:sz w:val="21"/>
    </w:rPr>
  </w:style>
  <w:style w:type="character" w:customStyle="1" w:styleId="85">
    <w:name w:val="Document Map Char1"/>
    <w:qFormat/>
    <w:uiPriority w:val="99"/>
    <w:rPr>
      <w:rFonts w:ascii="Times New Roman" w:hAnsi="Times New Roman"/>
      <w:kern w:val="2"/>
      <w:sz w:val="2"/>
    </w:rPr>
  </w:style>
  <w:style w:type="character" w:customStyle="1" w:styleId="86">
    <w:name w:val="my-class2"/>
    <w:basedOn w:val="42"/>
    <w:qFormat/>
    <w:uiPriority w:val="99"/>
    <w:rPr>
      <w:rFonts w:cs="Times New Roman"/>
    </w:rPr>
  </w:style>
  <w:style w:type="character" w:customStyle="1" w:styleId="87">
    <w:name w:val="no52"/>
    <w:basedOn w:val="42"/>
    <w:qFormat/>
    <w:uiPriority w:val="99"/>
    <w:rPr>
      <w:rFonts w:cs="Times New Roman"/>
    </w:rPr>
  </w:style>
  <w:style w:type="character" w:customStyle="1" w:styleId="88">
    <w:name w:val="no4"/>
    <w:basedOn w:val="42"/>
    <w:qFormat/>
    <w:uiPriority w:val="99"/>
    <w:rPr>
      <w:rFonts w:cs="Times New Roman"/>
    </w:rPr>
  </w:style>
  <w:style w:type="character" w:customStyle="1" w:styleId="89">
    <w:name w:val="my-notice"/>
    <w:basedOn w:val="42"/>
    <w:qFormat/>
    <w:uiPriority w:val="99"/>
    <w:rPr>
      <w:rFonts w:cs="Times New Roman"/>
    </w:rPr>
  </w:style>
  <w:style w:type="character" w:customStyle="1" w:styleId="90">
    <w:name w:val="ico-jiang"/>
    <w:basedOn w:val="42"/>
    <w:qFormat/>
    <w:uiPriority w:val="99"/>
    <w:rPr>
      <w:rFonts w:cs="Times New Roman"/>
    </w:rPr>
  </w:style>
  <w:style w:type="character" w:customStyle="1" w:styleId="91">
    <w:name w:val="ico-jiang2"/>
    <w:basedOn w:val="42"/>
    <w:qFormat/>
    <w:uiPriority w:val="99"/>
    <w:rPr>
      <w:rFonts w:cs="Times New Roman"/>
    </w:rPr>
  </w:style>
  <w:style w:type="character" w:customStyle="1" w:styleId="92">
    <w:name w:val="bds_more1"/>
    <w:qFormat/>
    <w:uiPriority w:val="99"/>
    <w:rPr>
      <w:rFonts w:ascii="宋体" w:hAnsi="宋体" w:eastAsia="宋体"/>
    </w:rPr>
  </w:style>
  <w:style w:type="character" w:customStyle="1" w:styleId="93">
    <w:name w:val="Body Text Indent 2 Char"/>
    <w:qFormat/>
    <w:locked/>
    <w:uiPriority w:val="99"/>
    <w:rPr>
      <w:rFonts w:ascii="宋体" w:eastAsia="宋体"/>
      <w:sz w:val="24"/>
    </w:rPr>
  </w:style>
  <w:style w:type="character" w:customStyle="1" w:styleId="94">
    <w:name w:val="org_name"/>
    <w:basedOn w:val="42"/>
    <w:qFormat/>
    <w:uiPriority w:val="99"/>
    <w:rPr>
      <w:rFonts w:cs="Times New Roman"/>
    </w:rPr>
  </w:style>
  <w:style w:type="character" w:customStyle="1" w:styleId="95">
    <w:name w:val="org_name2"/>
    <w:basedOn w:val="42"/>
    <w:qFormat/>
    <w:uiPriority w:val="99"/>
    <w:rPr>
      <w:rFonts w:cs="Times New Roman"/>
    </w:rPr>
  </w:style>
  <w:style w:type="character" w:customStyle="1" w:styleId="96">
    <w:name w:val="tip10"/>
    <w:qFormat/>
    <w:uiPriority w:val="99"/>
    <w:rPr>
      <w:vanish/>
      <w:color w:val="FF0000"/>
      <w:sz w:val="18"/>
    </w:rPr>
  </w:style>
  <w:style w:type="character" w:customStyle="1" w:styleId="97">
    <w:name w:val="orange"/>
    <w:qFormat/>
    <w:uiPriority w:val="99"/>
    <w:rPr>
      <w:color w:val="3FB58F"/>
    </w:rPr>
  </w:style>
  <w:style w:type="character" w:customStyle="1" w:styleId="98">
    <w:name w:val="bds_more"/>
    <w:basedOn w:val="42"/>
    <w:qFormat/>
    <w:uiPriority w:val="99"/>
    <w:rPr>
      <w:rFonts w:cs="Times New Roman"/>
    </w:rPr>
  </w:style>
  <w:style w:type="character" w:customStyle="1" w:styleId="99">
    <w:name w:val="t-tag"/>
    <w:qFormat/>
    <w:uiPriority w:val="99"/>
    <w:rPr>
      <w:color w:val="FFFFFF"/>
      <w:sz w:val="18"/>
      <w:shd w:val="clear" w:color="auto" w:fill="FE8833"/>
    </w:rPr>
  </w:style>
  <w:style w:type="character" w:customStyle="1" w:styleId="100">
    <w:name w:val="top-icon"/>
    <w:basedOn w:val="42"/>
    <w:qFormat/>
    <w:uiPriority w:val="99"/>
    <w:rPr>
      <w:rFonts w:cs="Times New Roman"/>
    </w:rPr>
  </w:style>
  <w:style w:type="character" w:customStyle="1" w:styleId="101">
    <w:name w:val="Body Text Char"/>
    <w:qFormat/>
    <w:locked/>
    <w:uiPriority w:val="99"/>
    <w:rPr>
      <w:sz w:val="24"/>
    </w:rPr>
  </w:style>
  <w:style w:type="character" w:customStyle="1" w:styleId="102">
    <w:name w:val="no72"/>
    <w:basedOn w:val="42"/>
    <w:qFormat/>
    <w:uiPriority w:val="99"/>
    <w:rPr>
      <w:rFonts w:cs="Times New Roman"/>
    </w:rPr>
  </w:style>
  <w:style w:type="character" w:customStyle="1" w:styleId="103">
    <w:name w:val="bds_nopic2"/>
    <w:basedOn w:val="42"/>
    <w:qFormat/>
    <w:uiPriority w:val="99"/>
    <w:rPr>
      <w:rFonts w:cs="Times New Roman"/>
    </w:rPr>
  </w:style>
  <w:style w:type="character" w:customStyle="1" w:styleId="104">
    <w:name w:val="Document Map Char"/>
    <w:qFormat/>
    <w:uiPriority w:val="99"/>
    <w:rPr>
      <w:rFonts w:ascii="宋体"/>
      <w:sz w:val="18"/>
    </w:rPr>
  </w:style>
  <w:style w:type="character" w:customStyle="1" w:styleId="105">
    <w:name w:val="no6"/>
    <w:basedOn w:val="42"/>
    <w:qFormat/>
    <w:uiPriority w:val="99"/>
    <w:rPr>
      <w:rFonts w:cs="Times New Roman"/>
    </w:rPr>
  </w:style>
  <w:style w:type="character" w:customStyle="1" w:styleId="106">
    <w:name w:val="tip"/>
    <w:qFormat/>
    <w:uiPriority w:val="99"/>
    <w:rPr>
      <w:vanish/>
      <w:color w:val="FF0000"/>
      <w:sz w:val="18"/>
    </w:rPr>
  </w:style>
  <w:style w:type="character" w:customStyle="1" w:styleId="107">
    <w:name w:val="apple-converted-space"/>
    <w:basedOn w:val="42"/>
    <w:qFormat/>
    <w:uiPriority w:val="99"/>
    <w:rPr>
      <w:rFonts w:cs="Times New Roman"/>
    </w:rPr>
  </w:style>
  <w:style w:type="character" w:customStyle="1" w:styleId="108">
    <w:name w:val="bds_more2"/>
    <w:basedOn w:val="42"/>
    <w:qFormat/>
    <w:uiPriority w:val="99"/>
    <w:rPr>
      <w:rFonts w:cs="Times New Roman"/>
    </w:rPr>
  </w:style>
  <w:style w:type="character" w:customStyle="1" w:styleId="109">
    <w:name w:val="my-class"/>
    <w:basedOn w:val="42"/>
    <w:qFormat/>
    <w:uiPriority w:val="99"/>
    <w:rPr>
      <w:rFonts w:cs="Times New Roman"/>
    </w:rPr>
  </w:style>
  <w:style w:type="character" w:customStyle="1" w:styleId="110">
    <w:name w:val="ui-bz-bg-hover"/>
    <w:qFormat/>
    <w:uiPriority w:val="99"/>
    <w:rPr>
      <w:shd w:val="clear" w:color="auto" w:fill="000000"/>
    </w:rPr>
  </w:style>
  <w:style w:type="character" w:customStyle="1" w:styleId="111">
    <w:name w:val="no7"/>
    <w:basedOn w:val="42"/>
    <w:qFormat/>
    <w:uiPriority w:val="99"/>
    <w:rPr>
      <w:rFonts w:cs="Times New Roman"/>
    </w:rPr>
  </w:style>
  <w:style w:type="character" w:customStyle="1" w:styleId="112">
    <w:name w:val="正文缩进 字符"/>
    <w:link w:val="8"/>
    <w:qFormat/>
    <w:locked/>
    <w:uiPriority w:val="99"/>
    <w:rPr>
      <w:rFonts w:ascii="Times New Roman" w:hAnsi="Times New Roman" w:eastAsia="宋体" w:cs="Times New Roman"/>
      <w:kern w:val="0"/>
      <w:sz w:val="24"/>
      <w:szCs w:val="20"/>
    </w:rPr>
  </w:style>
  <w:style w:type="character" w:customStyle="1" w:styleId="113">
    <w:name w:val="ico-jiang1"/>
    <w:basedOn w:val="42"/>
    <w:qFormat/>
    <w:uiPriority w:val="99"/>
    <w:rPr>
      <w:rFonts w:cs="Times New Roman"/>
    </w:rPr>
  </w:style>
  <w:style w:type="character" w:customStyle="1" w:styleId="114">
    <w:name w:val="no62"/>
    <w:basedOn w:val="42"/>
    <w:qFormat/>
    <w:uiPriority w:val="99"/>
    <w:rPr>
      <w:rFonts w:cs="Times New Roman"/>
    </w:rPr>
  </w:style>
  <w:style w:type="character" w:customStyle="1" w:styleId="115">
    <w:name w:val="orange5"/>
    <w:qFormat/>
    <w:uiPriority w:val="99"/>
    <w:rPr>
      <w:color w:val="3FB58F"/>
    </w:rPr>
  </w:style>
  <w:style w:type="character" w:customStyle="1" w:styleId="116">
    <w:name w:val="bds_more4"/>
    <w:basedOn w:val="42"/>
    <w:qFormat/>
    <w:uiPriority w:val="99"/>
    <w:rPr>
      <w:rFonts w:cs="Times New Roman"/>
    </w:rPr>
  </w:style>
  <w:style w:type="character" w:customStyle="1" w:styleId="117">
    <w:name w:val="no5"/>
    <w:basedOn w:val="42"/>
    <w:qFormat/>
    <w:uiPriority w:val="99"/>
    <w:rPr>
      <w:rFonts w:cs="Times New Roman"/>
    </w:rPr>
  </w:style>
  <w:style w:type="character" w:customStyle="1" w:styleId="118">
    <w:name w:val="bds_more3"/>
    <w:basedOn w:val="42"/>
    <w:qFormat/>
    <w:uiPriority w:val="99"/>
    <w:rPr>
      <w:rFonts w:cs="Times New Roman"/>
    </w:rPr>
  </w:style>
  <w:style w:type="character" w:customStyle="1" w:styleId="119">
    <w:name w:val="no42"/>
    <w:basedOn w:val="42"/>
    <w:qFormat/>
    <w:uiPriority w:val="99"/>
    <w:rPr>
      <w:rFonts w:cs="Times New Roman"/>
    </w:rPr>
  </w:style>
  <w:style w:type="character" w:customStyle="1" w:styleId="120">
    <w:name w:val="bds_nopic1"/>
    <w:basedOn w:val="42"/>
    <w:qFormat/>
    <w:uiPriority w:val="99"/>
    <w:rPr>
      <w:rFonts w:cs="Times New Roman"/>
    </w:rPr>
  </w:style>
  <w:style w:type="character" w:customStyle="1" w:styleId="121">
    <w:name w:val="my-notice1"/>
    <w:basedOn w:val="42"/>
    <w:qFormat/>
    <w:uiPriority w:val="99"/>
    <w:rPr>
      <w:rFonts w:cs="Times New Roman"/>
    </w:rPr>
  </w:style>
  <w:style w:type="character" w:customStyle="1" w:styleId="122">
    <w:name w:val="orange6"/>
    <w:qFormat/>
    <w:uiPriority w:val="99"/>
    <w:rPr>
      <w:color w:val="3FB58F"/>
    </w:rPr>
  </w:style>
  <w:style w:type="character" w:customStyle="1" w:styleId="123">
    <w:name w:val="Document Map Char2"/>
    <w:qFormat/>
    <w:locked/>
    <w:uiPriority w:val="99"/>
    <w:rPr>
      <w:rFonts w:ascii="宋体"/>
      <w:sz w:val="18"/>
    </w:rPr>
  </w:style>
  <w:style w:type="character" w:customStyle="1" w:styleId="124">
    <w:name w:val="ico-jiang3"/>
    <w:basedOn w:val="42"/>
    <w:qFormat/>
    <w:uiPriority w:val="99"/>
    <w:rPr>
      <w:rFonts w:cs="Times New Roman"/>
    </w:rPr>
  </w:style>
  <w:style w:type="character" w:customStyle="1" w:styleId="125">
    <w:name w:val="tip13"/>
    <w:qFormat/>
    <w:uiPriority w:val="99"/>
    <w:rPr>
      <w:vanish/>
      <w:color w:val="FF0000"/>
      <w:sz w:val="18"/>
    </w:rPr>
  </w:style>
  <w:style w:type="character" w:customStyle="1" w:styleId="126">
    <w:name w:val="正文文本缩进 2 字符"/>
    <w:basedOn w:val="42"/>
    <w:link w:val="21"/>
    <w:qFormat/>
    <w:uiPriority w:val="99"/>
    <w:rPr>
      <w:rFonts w:ascii="宋体" w:hAnsi="Calibri" w:eastAsia="宋体" w:cs="Times New Roman"/>
      <w:kern w:val="0"/>
      <w:sz w:val="24"/>
      <w:szCs w:val="20"/>
    </w:rPr>
  </w:style>
  <w:style w:type="character" w:customStyle="1" w:styleId="127">
    <w:name w:val="Body Text Indent 2 Char1"/>
    <w:basedOn w:val="42"/>
    <w:semiHidden/>
    <w:qFormat/>
    <w:locked/>
    <w:uiPriority w:val="99"/>
    <w:rPr>
      <w:rFonts w:cs="Times New Roman"/>
    </w:rPr>
  </w:style>
  <w:style w:type="character" w:customStyle="1" w:styleId="128">
    <w:name w:val="正文文本缩进 3 字符"/>
    <w:basedOn w:val="42"/>
    <w:link w:val="29"/>
    <w:qFormat/>
    <w:uiPriority w:val="99"/>
    <w:rPr>
      <w:rFonts w:ascii="宋体" w:hAnsi="Calibri" w:eastAsia="宋体" w:cs="Times New Roman"/>
      <w:kern w:val="0"/>
      <w:sz w:val="20"/>
      <w:szCs w:val="20"/>
    </w:rPr>
  </w:style>
  <w:style w:type="character" w:customStyle="1" w:styleId="129">
    <w:name w:val="Body Text Indent 3 Char1"/>
    <w:basedOn w:val="42"/>
    <w:semiHidden/>
    <w:qFormat/>
    <w:locked/>
    <w:uiPriority w:val="99"/>
    <w:rPr>
      <w:rFonts w:cs="Times New Roman"/>
      <w:sz w:val="16"/>
      <w:szCs w:val="16"/>
    </w:rPr>
  </w:style>
  <w:style w:type="character" w:customStyle="1" w:styleId="130">
    <w:name w:val="文档结构图 字符"/>
    <w:basedOn w:val="42"/>
    <w:link w:val="9"/>
    <w:qFormat/>
    <w:uiPriority w:val="99"/>
    <w:rPr>
      <w:rFonts w:ascii="宋体" w:hAnsi="Calibri" w:eastAsia="宋体" w:cs="Times New Roman"/>
      <w:kern w:val="0"/>
      <w:sz w:val="18"/>
      <w:szCs w:val="20"/>
    </w:rPr>
  </w:style>
  <w:style w:type="character" w:customStyle="1" w:styleId="131">
    <w:name w:val="Document Map Char3"/>
    <w:basedOn w:val="42"/>
    <w:semiHidden/>
    <w:qFormat/>
    <w:locked/>
    <w:uiPriority w:val="99"/>
    <w:rPr>
      <w:rFonts w:ascii="Times New Roman" w:hAnsi="Times New Roman" w:cs="Times New Roman"/>
      <w:sz w:val="2"/>
    </w:rPr>
  </w:style>
  <w:style w:type="paragraph" w:customStyle="1" w:styleId="132">
    <w:name w:val="_Style 1"/>
    <w:basedOn w:val="1"/>
    <w:qFormat/>
    <w:uiPriority w:val="99"/>
    <w:pPr>
      <w:ind w:firstLine="420" w:firstLineChars="200"/>
    </w:pPr>
    <w:rPr>
      <w:rFonts w:ascii="Times New Roman" w:hAnsi="Times New Roman" w:eastAsia="宋体" w:cs="Times New Roman"/>
      <w:szCs w:val="24"/>
    </w:rPr>
  </w:style>
  <w:style w:type="character" w:customStyle="1" w:styleId="133">
    <w:name w:val="正文文本 字符"/>
    <w:basedOn w:val="42"/>
    <w:link w:val="12"/>
    <w:qFormat/>
    <w:uiPriority w:val="99"/>
    <w:rPr>
      <w:rFonts w:ascii="Calibri" w:hAnsi="Calibri" w:eastAsia="宋体" w:cs="Times New Roman"/>
      <w:kern w:val="0"/>
      <w:sz w:val="24"/>
      <w:szCs w:val="20"/>
    </w:rPr>
  </w:style>
  <w:style w:type="character" w:customStyle="1" w:styleId="134">
    <w:name w:val="Body Text Char1"/>
    <w:basedOn w:val="42"/>
    <w:semiHidden/>
    <w:qFormat/>
    <w:locked/>
    <w:uiPriority w:val="99"/>
    <w:rPr>
      <w:rFonts w:cs="Times New Roman"/>
    </w:rPr>
  </w:style>
  <w:style w:type="paragraph" w:customStyle="1" w:styleId="135">
    <w:name w:val="_Style 21"/>
    <w:basedOn w:val="1"/>
    <w:qFormat/>
    <w:uiPriority w:val="99"/>
    <w:rPr>
      <w:rFonts w:ascii="Times New Roman" w:hAnsi="Times New Roman" w:eastAsia="宋体" w:cs="Times New Roman"/>
      <w:szCs w:val="20"/>
    </w:rPr>
  </w:style>
  <w:style w:type="paragraph" w:customStyle="1" w:styleId="136">
    <w:name w:val="p0"/>
    <w:basedOn w:val="1"/>
    <w:qFormat/>
    <w:uiPriority w:val="99"/>
    <w:pPr>
      <w:widowControl/>
    </w:pPr>
    <w:rPr>
      <w:rFonts w:ascii="Times New Roman" w:hAnsi="Times New Roman" w:eastAsia="宋体" w:cs="Times New Roman"/>
      <w:kern w:val="0"/>
      <w:szCs w:val="21"/>
    </w:rPr>
  </w:style>
  <w:style w:type="paragraph" w:customStyle="1" w:styleId="137">
    <w:name w:val="xl37"/>
    <w:basedOn w:val="1"/>
    <w:qFormat/>
    <w:uiPriority w:val="0"/>
    <w:pPr>
      <w:widowControl/>
      <w:pBdr>
        <w:left w:val="single" w:color="auto" w:sz="8" w:space="0"/>
        <w:right w:val="single" w:color="auto" w:sz="4" w:space="0"/>
      </w:pBdr>
      <w:spacing w:before="100" w:beforeAutospacing="1" w:after="100" w:afterAutospacing="1"/>
      <w:jc w:val="center"/>
      <w:textAlignment w:val="center"/>
    </w:pPr>
    <w:rPr>
      <w:rFonts w:ascii="宋体" w:hAnsi="宋体" w:eastAsia="宋体" w:cs="Times New Roman"/>
      <w:kern w:val="0"/>
      <w:sz w:val="18"/>
      <w:szCs w:val="18"/>
    </w:rPr>
  </w:style>
  <w:style w:type="paragraph" w:customStyle="1" w:styleId="138">
    <w:name w:val="xl25"/>
    <w:basedOn w:val="1"/>
    <w:qFormat/>
    <w:uiPriority w:val="99"/>
    <w:pPr>
      <w:widowControl/>
      <w:spacing w:before="100" w:beforeAutospacing="1" w:after="100" w:afterAutospacing="1"/>
      <w:textAlignment w:val="center"/>
    </w:pPr>
    <w:rPr>
      <w:rFonts w:ascii="宋体" w:hAnsi="宋体" w:eastAsia="宋体" w:cs="Times New Roman"/>
      <w:kern w:val="0"/>
      <w:sz w:val="18"/>
      <w:szCs w:val="18"/>
    </w:rPr>
  </w:style>
  <w:style w:type="paragraph" w:customStyle="1" w:styleId="139">
    <w:name w:val="样式 样式 样式 样式 内容 + 首行缩进:  2 字符18 + 首行缩进:  5.71 厘米 + 首行缩进:  8.04 厘米..."/>
    <w:basedOn w:val="1"/>
    <w:qFormat/>
    <w:uiPriority w:val="99"/>
    <w:pPr>
      <w:widowControl/>
      <w:spacing w:line="360" w:lineRule="auto"/>
      <w:ind w:firstLine="425" w:firstLineChars="177"/>
      <w:jc w:val="left"/>
    </w:pPr>
    <w:rPr>
      <w:rFonts w:ascii="Trebuchet MS" w:hAnsi="Trebuchet MS" w:eastAsia="宋体" w:cs="Times New Roman"/>
      <w:color w:val="404040"/>
      <w:kern w:val="0"/>
      <w:sz w:val="24"/>
      <w:szCs w:val="20"/>
      <w:lang w:eastAsia="en-US"/>
    </w:rPr>
  </w:style>
  <w:style w:type="paragraph" w:customStyle="1" w:styleId="140">
    <w:name w:val="无间隔11"/>
    <w:qFormat/>
    <w:uiPriority w:val="99"/>
    <w:pPr>
      <w:widowControl w:val="0"/>
      <w:spacing w:line="360" w:lineRule="auto"/>
      <w:jc w:val="center"/>
    </w:pPr>
    <w:rPr>
      <w:rFonts w:ascii="Times New Roman" w:hAnsi="Times New Roman" w:eastAsia="宋体" w:cs="Times New Roman"/>
      <w:b/>
      <w:color w:val="000000"/>
      <w:kern w:val="2"/>
      <w:sz w:val="21"/>
      <w:szCs w:val="21"/>
      <w:lang w:val="zh-CN" w:eastAsia="zh-CN" w:bidi="ar-SA"/>
    </w:rPr>
  </w:style>
  <w:style w:type="paragraph" w:customStyle="1" w:styleId="141">
    <w:name w:val="列出段落11"/>
    <w:basedOn w:val="1"/>
    <w:qFormat/>
    <w:uiPriority w:val="99"/>
    <w:pPr>
      <w:ind w:firstLine="420" w:firstLineChars="200"/>
    </w:pPr>
    <w:rPr>
      <w:rFonts w:ascii="Times New Roman" w:hAnsi="Times New Roman" w:eastAsia="宋体" w:cs="Times New Roman"/>
      <w:szCs w:val="24"/>
    </w:rPr>
  </w:style>
  <w:style w:type="paragraph" w:customStyle="1" w:styleId="142">
    <w:name w:val="_Style 2"/>
    <w:basedOn w:val="1"/>
    <w:qFormat/>
    <w:uiPriority w:val="99"/>
    <w:pPr>
      <w:ind w:firstLine="420" w:firstLineChars="200"/>
    </w:pPr>
    <w:rPr>
      <w:rFonts w:ascii="Calibri" w:hAnsi="Calibri" w:eastAsia="宋体" w:cs="Times New Roman"/>
    </w:rPr>
  </w:style>
  <w:style w:type="paragraph" w:customStyle="1" w:styleId="143">
    <w:name w:val="txt14"/>
    <w:basedOn w:val="1"/>
    <w:qFormat/>
    <w:uiPriority w:val="99"/>
    <w:pPr>
      <w:widowControl/>
      <w:spacing w:before="100" w:beforeAutospacing="1" w:after="100" w:afterAutospacing="1"/>
      <w:jc w:val="left"/>
    </w:pPr>
    <w:rPr>
      <w:rFonts w:ascii="宋体" w:hAnsi="宋体" w:eastAsia="宋体" w:cs="Times New Roman"/>
      <w:color w:val="000000"/>
      <w:kern w:val="0"/>
      <w:szCs w:val="21"/>
    </w:rPr>
  </w:style>
  <w:style w:type="paragraph" w:customStyle="1" w:styleId="144">
    <w:name w:val="_Style 11"/>
    <w:basedOn w:val="1"/>
    <w:qFormat/>
    <w:uiPriority w:val="99"/>
    <w:rPr>
      <w:rFonts w:ascii="Times New Roman" w:hAnsi="Times New Roman" w:eastAsia="宋体" w:cs="Times New Roman"/>
      <w:szCs w:val="24"/>
    </w:rPr>
  </w:style>
  <w:style w:type="paragraph" w:customStyle="1" w:styleId="145">
    <w:name w:val="Char"/>
    <w:basedOn w:val="1"/>
    <w:qFormat/>
    <w:uiPriority w:val="99"/>
    <w:rPr>
      <w:rFonts w:ascii="Times New Roman" w:hAnsi="Times New Roman" w:eastAsia="宋体" w:cs="Times New Roman"/>
      <w:szCs w:val="21"/>
    </w:rPr>
  </w:style>
  <w:style w:type="paragraph" w:customStyle="1" w:styleId="146">
    <w:name w:val="列出段落12"/>
    <w:basedOn w:val="1"/>
    <w:qFormat/>
    <w:uiPriority w:val="99"/>
    <w:pPr>
      <w:ind w:firstLine="420" w:firstLineChars="200"/>
    </w:pPr>
    <w:rPr>
      <w:rFonts w:ascii="Times New Roman" w:hAnsi="Times New Roman" w:eastAsia="宋体" w:cs="Times New Roman"/>
      <w:szCs w:val="24"/>
    </w:rPr>
  </w:style>
  <w:style w:type="paragraph" w:customStyle="1" w:styleId="147">
    <w:name w:val="列出段落2"/>
    <w:basedOn w:val="1"/>
    <w:qFormat/>
    <w:uiPriority w:val="99"/>
    <w:pPr>
      <w:ind w:firstLine="420" w:firstLineChars="200"/>
    </w:pPr>
    <w:rPr>
      <w:rFonts w:ascii="Times New Roman" w:hAnsi="Times New Roman" w:eastAsia="宋体" w:cs="Times New Roman"/>
      <w:szCs w:val="24"/>
    </w:rPr>
  </w:style>
  <w:style w:type="paragraph" w:customStyle="1" w:styleId="148">
    <w:name w:val="TOC 标题1"/>
    <w:basedOn w:val="2"/>
    <w:next w:val="1"/>
    <w:qFormat/>
    <w:uiPriority w:val="39"/>
    <w:pPr>
      <w:keepLines/>
      <w:spacing w:before="480" w:after="0" w:line="276" w:lineRule="auto"/>
      <w:jc w:val="left"/>
      <w:outlineLvl w:val="9"/>
    </w:pPr>
    <w:rPr>
      <w:rFonts w:ascii="Cambria" w:hAnsi="Cambria" w:cs="Times New Roman"/>
      <w:color w:val="365F91"/>
      <w:kern w:val="0"/>
      <w:sz w:val="28"/>
      <w:szCs w:val="28"/>
    </w:rPr>
  </w:style>
  <w:style w:type="paragraph" w:customStyle="1" w:styleId="149">
    <w:name w:val="正文文本缩进 31"/>
    <w:basedOn w:val="1"/>
    <w:qFormat/>
    <w:uiPriority w:val="99"/>
    <w:pPr>
      <w:spacing w:line="440" w:lineRule="exact"/>
      <w:ind w:firstLine="412" w:firstLineChars="200"/>
    </w:pPr>
    <w:rPr>
      <w:rFonts w:ascii="宋体" w:hAnsi="宋体" w:eastAsia="宋体" w:cs="Times New Roman"/>
      <w:kern w:val="0"/>
      <w:sz w:val="20"/>
      <w:szCs w:val="20"/>
    </w:rPr>
  </w:style>
  <w:style w:type="character" w:customStyle="1" w:styleId="150">
    <w:name w:val="font41"/>
    <w:qFormat/>
    <w:uiPriority w:val="99"/>
    <w:rPr>
      <w:rFonts w:hint="eastAsia" w:ascii="宋体" w:hAnsi="宋体" w:eastAsia="宋体" w:cs="宋体"/>
      <w:b/>
      <w:color w:val="000000"/>
      <w:sz w:val="22"/>
      <w:szCs w:val="22"/>
      <w:u w:val="none"/>
    </w:rPr>
  </w:style>
  <w:style w:type="character" w:customStyle="1" w:styleId="151">
    <w:name w:val="font81"/>
    <w:qFormat/>
    <w:uiPriority w:val="99"/>
    <w:rPr>
      <w:rFonts w:hint="eastAsia" w:ascii="宋体" w:hAnsi="宋体" w:eastAsia="宋体" w:cs="宋体"/>
      <w:b/>
      <w:color w:val="000000"/>
      <w:sz w:val="22"/>
      <w:szCs w:val="22"/>
      <w:u w:val="none"/>
    </w:rPr>
  </w:style>
  <w:style w:type="character" w:customStyle="1" w:styleId="152">
    <w:name w:val="font21"/>
    <w:basedOn w:val="42"/>
    <w:qFormat/>
    <w:uiPriority w:val="0"/>
    <w:rPr>
      <w:rFonts w:hint="eastAsia" w:ascii="宋体" w:hAnsi="宋体" w:eastAsia="宋体" w:cs="宋体"/>
      <w:color w:val="000000"/>
      <w:sz w:val="18"/>
      <w:szCs w:val="18"/>
      <w:u w:val="none"/>
    </w:rPr>
  </w:style>
  <w:style w:type="character" w:customStyle="1" w:styleId="153">
    <w:name w:val="日期 字符"/>
    <w:link w:val="20"/>
    <w:qFormat/>
    <w:uiPriority w:val="0"/>
    <w:rPr>
      <w:szCs w:val="21"/>
    </w:rPr>
  </w:style>
  <w:style w:type="character" w:customStyle="1" w:styleId="154">
    <w:name w:val="font01"/>
    <w:qFormat/>
    <w:uiPriority w:val="99"/>
    <w:rPr>
      <w:rFonts w:hint="eastAsia" w:ascii="宋体" w:hAnsi="宋体" w:eastAsia="宋体" w:cs="宋体"/>
      <w:color w:val="000000"/>
      <w:sz w:val="22"/>
      <w:szCs w:val="22"/>
      <w:u w:val="none"/>
    </w:rPr>
  </w:style>
  <w:style w:type="character" w:customStyle="1" w:styleId="155">
    <w:name w:val="Char Char1"/>
    <w:qFormat/>
    <w:uiPriority w:val="0"/>
    <w:rPr>
      <w:rFonts w:eastAsia="宋体"/>
      <w:kern w:val="2"/>
      <w:sz w:val="18"/>
      <w:szCs w:val="18"/>
      <w:lang w:val="en-US" w:eastAsia="zh-CN" w:bidi="ar-SA"/>
    </w:rPr>
  </w:style>
  <w:style w:type="character" w:customStyle="1" w:styleId="156">
    <w:name w:val="标题 字符"/>
    <w:link w:val="36"/>
    <w:qFormat/>
    <w:uiPriority w:val="0"/>
    <w:rPr>
      <w:rFonts w:ascii="Cambria" w:hAnsi="Cambria" w:cs="Times New Roman"/>
      <w:b/>
      <w:bCs/>
      <w:sz w:val="32"/>
      <w:szCs w:val="32"/>
    </w:rPr>
  </w:style>
  <w:style w:type="character" w:customStyle="1" w:styleId="157">
    <w:name w:val="hei141"/>
    <w:qFormat/>
    <w:uiPriority w:val="0"/>
    <w:rPr>
      <w:rFonts w:hint="eastAsia" w:ascii="宋体" w:hAnsi="宋体" w:eastAsia="宋体"/>
      <w:color w:val="000000"/>
      <w:sz w:val="19"/>
      <w:szCs w:val="19"/>
      <w:u w:val="none"/>
    </w:rPr>
  </w:style>
  <w:style w:type="character" w:customStyle="1" w:styleId="158">
    <w:name w:val="批注文字 字符"/>
    <w:link w:val="11"/>
    <w:qFormat/>
    <w:uiPriority w:val="0"/>
  </w:style>
  <w:style w:type="character" w:customStyle="1" w:styleId="159">
    <w:name w:val="apple-style-span"/>
    <w:basedOn w:val="42"/>
    <w:qFormat/>
    <w:uiPriority w:val="0"/>
  </w:style>
  <w:style w:type="character" w:customStyle="1" w:styleId="160">
    <w:name w:val="param-value"/>
    <w:qFormat/>
    <w:uiPriority w:val="99"/>
    <w:rPr>
      <w:rFonts w:cs="Times New Roman"/>
    </w:rPr>
  </w:style>
  <w:style w:type="character" w:customStyle="1" w:styleId="161">
    <w:name w:val="font61"/>
    <w:qFormat/>
    <w:uiPriority w:val="0"/>
    <w:rPr>
      <w:rFonts w:hint="eastAsia" w:ascii="宋体" w:hAnsi="宋体" w:eastAsia="宋体" w:cs="宋体"/>
      <w:color w:val="000000"/>
      <w:sz w:val="22"/>
      <w:szCs w:val="22"/>
      <w:u w:val="none"/>
    </w:rPr>
  </w:style>
  <w:style w:type="character" w:customStyle="1" w:styleId="162">
    <w:name w:val="font11"/>
    <w:qFormat/>
    <w:uiPriority w:val="0"/>
    <w:rPr>
      <w:rFonts w:hint="eastAsia" w:ascii="宋体" w:hAnsi="宋体" w:eastAsia="宋体" w:cs="宋体"/>
      <w:color w:val="FF0000"/>
      <w:sz w:val="22"/>
      <w:szCs w:val="22"/>
      <w:u w:val="none"/>
    </w:rPr>
  </w:style>
  <w:style w:type="character" w:customStyle="1" w:styleId="163">
    <w:name w:val="批注主题 字符"/>
    <w:link w:val="37"/>
    <w:qFormat/>
    <w:uiPriority w:val="0"/>
    <w:rPr>
      <w:b/>
      <w:bCs/>
    </w:rPr>
  </w:style>
  <w:style w:type="character" w:customStyle="1" w:styleId="164">
    <w:name w:val="批注文字 Char1"/>
    <w:basedOn w:val="42"/>
    <w:semiHidden/>
    <w:qFormat/>
    <w:uiPriority w:val="99"/>
  </w:style>
  <w:style w:type="paragraph" w:customStyle="1" w:styleId="165">
    <w:name w:val="内文"/>
    <w:basedOn w:val="1"/>
    <w:qFormat/>
    <w:uiPriority w:val="0"/>
    <w:pPr>
      <w:spacing w:line="500" w:lineRule="exact"/>
      <w:ind w:firstLine="560" w:firstLineChars="200"/>
    </w:pPr>
    <w:rPr>
      <w:rFonts w:ascii="方正仿宋简体" w:hAnsi="宋体" w:eastAsia="方正仿宋简体" w:cs="Times New Roman"/>
      <w:sz w:val="28"/>
      <w:szCs w:val="28"/>
    </w:rPr>
  </w:style>
  <w:style w:type="character" w:customStyle="1" w:styleId="166">
    <w:name w:val="批注主题 Char1"/>
    <w:basedOn w:val="164"/>
    <w:semiHidden/>
    <w:qFormat/>
    <w:uiPriority w:val="99"/>
    <w:rPr>
      <w:b/>
      <w:bCs/>
    </w:rPr>
  </w:style>
  <w:style w:type="paragraph" w:customStyle="1" w:styleId="167">
    <w:name w:val="reader-word-layer reader-word-s1-17"/>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168">
    <w:name w:val="日期 Char1"/>
    <w:basedOn w:val="42"/>
    <w:semiHidden/>
    <w:qFormat/>
    <w:uiPriority w:val="99"/>
  </w:style>
  <w:style w:type="paragraph" w:customStyle="1" w:styleId="169">
    <w:name w:val="reader-word-layer reader-word-s1-14"/>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170">
    <w:name w:val="脚注文本 字符"/>
    <w:basedOn w:val="42"/>
    <w:link w:val="27"/>
    <w:semiHidden/>
    <w:qFormat/>
    <w:uiPriority w:val="0"/>
    <w:rPr>
      <w:rFonts w:ascii="Times New Roman" w:hAnsi="Times New Roman" w:eastAsia="宋体" w:cs="Times New Roman"/>
      <w:sz w:val="18"/>
      <w:szCs w:val="18"/>
    </w:rPr>
  </w:style>
  <w:style w:type="paragraph" w:customStyle="1" w:styleId="171">
    <w:name w:val="reader-word-layer reader-word-s1-16"/>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72">
    <w:name w:val="reader-word-layer reader-word-s1-15"/>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173">
    <w:name w:val="标题 Char1"/>
    <w:basedOn w:val="42"/>
    <w:qFormat/>
    <w:uiPriority w:val="10"/>
    <w:rPr>
      <w:rFonts w:eastAsia="宋体" w:asciiTheme="majorHAnsi" w:hAnsiTheme="majorHAnsi" w:cstheme="majorBidi"/>
      <w:b/>
      <w:bCs/>
      <w:sz w:val="32"/>
      <w:szCs w:val="32"/>
    </w:rPr>
  </w:style>
  <w:style w:type="paragraph" w:customStyle="1" w:styleId="174">
    <w:name w:val="本文正文"/>
    <w:basedOn w:val="1"/>
    <w:qFormat/>
    <w:uiPriority w:val="0"/>
    <w:pPr>
      <w:widowControl/>
      <w:spacing w:line="480" w:lineRule="exact"/>
      <w:ind w:firstLine="200" w:firstLineChars="200"/>
      <w:jc w:val="left"/>
    </w:pPr>
    <w:rPr>
      <w:rFonts w:ascii="宋体" w:hAnsi="宋体" w:eastAsia="宋体" w:cs="Times New Roman"/>
      <w:kern w:val="0"/>
      <w:sz w:val="24"/>
      <w:szCs w:val="24"/>
    </w:rPr>
  </w:style>
  <w:style w:type="paragraph" w:customStyle="1" w:styleId="175">
    <w:name w:val="reader-word-layer reader-word-s1-18"/>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76">
    <w:name w:val="Char Char Char1 Char Char Char Char"/>
    <w:basedOn w:val="1"/>
    <w:qFormat/>
    <w:uiPriority w:val="99"/>
    <w:pPr>
      <w:spacing w:line="300" w:lineRule="auto"/>
    </w:pPr>
    <w:rPr>
      <w:rFonts w:ascii="Tahoma" w:hAnsi="Tahoma" w:eastAsia="宋体" w:cs="Times New Roman"/>
      <w:sz w:val="24"/>
      <w:szCs w:val="24"/>
    </w:rPr>
  </w:style>
  <w:style w:type="paragraph" w:customStyle="1" w:styleId="177">
    <w:name w:val="List Paragraph1"/>
    <w:basedOn w:val="1"/>
    <w:qFormat/>
    <w:uiPriority w:val="0"/>
    <w:pPr>
      <w:ind w:firstLine="420" w:firstLineChars="200"/>
    </w:pPr>
    <w:rPr>
      <w:rFonts w:ascii="Times New Roman" w:hAnsi="Times New Roman" w:eastAsia="宋体" w:cs="Times New Roman"/>
      <w:szCs w:val="24"/>
    </w:rPr>
  </w:style>
  <w:style w:type="paragraph" w:customStyle="1" w:styleId="178">
    <w:name w:val="reader-word-layer reader-word-s1-11"/>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79">
    <w:name w:val="reader-word-layer reader-word-s1-19"/>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80">
    <w:name w:val="reader-word-layer reader-word-s1-10"/>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81">
    <w:name w:val="Char Char4"/>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182">
    <w:name w:val="reader-word-layer"/>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83">
    <w:name w:val="Char Char4 Char Char"/>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184">
    <w:name w:val="列出段落3"/>
    <w:basedOn w:val="1"/>
    <w:qFormat/>
    <w:uiPriority w:val="0"/>
    <w:pPr>
      <w:ind w:firstLine="420" w:firstLineChars="200"/>
    </w:pPr>
    <w:rPr>
      <w:rFonts w:ascii="Times New Roman" w:hAnsi="Times New Roman" w:eastAsia="宋体" w:cs="Times New Roman"/>
      <w:szCs w:val="24"/>
    </w:rPr>
  </w:style>
  <w:style w:type="character" w:customStyle="1" w:styleId="185">
    <w:name w:val="Char Char12"/>
    <w:qFormat/>
    <w:uiPriority w:val="0"/>
    <w:rPr>
      <w:rFonts w:eastAsia="宋体"/>
      <w:kern w:val="2"/>
      <w:sz w:val="18"/>
      <w:szCs w:val="18"/>
      <w:lang w:val="en-US" w:eastAsia="zh-CN" w:bidi="ar-SA"/>
    </w:rPr>
  </w:style>
  <w:style w:type="paragraph" w:customStyle="1" w:styleId="186">
    <w:name w:val="Char Char42"/>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187">
    <w:name w:val="Char Char4 Char Char2"/>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188">
    <w:name w:val="列出段落4"/>
    <w:basedOn w:val="1"/>
    <w:qFormat/>
    <w:uiPriority w:val="0"/>
    <w:pPr>
      <w:ind w:firstLine="420" w:firstLineChars="200"/>
    </w:pPr>
    <w:rPr>
      <w:rFonts w:ascii="Times New Roman" w:hAnsi="Times New Roman" w:eastAsia="宋体" w:cs="Times New Roman"/>
      <w:szCs w:val="24"/>
    </w:rPr>
  </w:style>
  <w:style w:type="character" w:customStyle="1" w:styleId="189">
    <w:name w:val="Char Char11"/>
    <w:qFormat/>
    <w:uiPriority w:val="0"/>
    <w:rPr>
      <w:rFonts w:eastAsia="宋体"/>
      <w:kern w:val="2"/>
      <w:sz w:val="18"/>
      <w:szCs w:val="18"/>
      <w:lang w:val="en-US" w:eastAsia="zh-CN" w:bidi="ar-SA"/>
    </w:rPr>
  </w:style>
  <w:style w:type="paragraph" w:customStyle="1" w:styleId="190">
    <w:name w:val="Char Char41"/>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191">
    <w:name w:val="Char Char4 Char Char1"/>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192">
    <w:name w:val="列出段落5"/>
    <w:basedOn w:val="1"/>
    <w:qFormat/>
    <w:uiPriority w:val="0"/>
    <w:pPr>
      <w:ind w:firstLine="420" w:firstLineChars="200"/>
    </w:pPr>
    <w:rPr>
      <w:rFonts w:ascii="Times New Roman" w:hAnsi="Times New Roman" w:eastAsia="宋体" w:cs="Times New Roman"/>
      <w:szCs w:val="24"/>
    </w:rPr>
  </w:style>
  <w:style w:type="character" w:customStyle="1" w:styleId="193">
    <w:name w:val="纯文本 字符"/>
    <w:link w:val="17"/>
    <w:qFormat/>
    <w:uiPriority w:val="0"/>
    <w:rPr>
      <w:rFonts w:ascii="宋体" w:hAnsi="Courier New" w:eastAsia="宋体"/>
      <w:szCs w:val="21"/>
    </w:rPr>
  </w:style>
  <w:style w:type="character" w:customStyle="1" w:styleId="194">
    <w:name w:val="纯文本 Char1"/>
    <w:basedOn w:val="42"/>
    <w:semiHidden/>
    <w:qFormat/>
    <w:uiPriority w:val="99"/>
    <w:rPr>
      <w:rFonts w:ascii="宋体" w:hAnsi="Courier New" w:eastAsia="宋体" w:cs="Courier New"/>
      <w:szCs w:val="21"/>
    </w:rPr>
  </w:style>
  <w:style w:type="paragraph" w:customStyle="1" w:styleId="195">
    <w:name w:val="缺省文本"/>
    <w:qFormat/>
    <w:uiPriority w:val="0"/>
    <w:pPr>
      <w:widowControl w:val="0"/>
      <w:autoSpaceDE w:val="0"/>
      <w:autoSpaceDN w:val="0"/>
      <w:adjustRightInd w:val="0"/>
    </w:pPr>
    <w:rPr>
      <w:rFonts w:ascii="Times New Roman" w:hAnsi="Times New Roman" w:eastAsia="宋体" w:cs="Times New Roman"/>
      <w:color w:val="000000"/>
      <w:szCs w:val="24"/>
      <w:lang w:val="en-US" w:eastAsia="zh-CN" w:bidi="ar-SA"/>
    </w:rPr>
  </w:style>
  <w:style w:type="paragraph" w:customStyle="1" w:styleId="196">
    <w:name w:val="Default Tex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197">
    <w:name w:val="样式4"/>
    <w:basedOn w:val="1"/>
    <w:qFormat/>
    <w:uiPriority w:val="0"/>
    <w:pPr>
      <w:adjustRightInd w:val="0"/>
      <w:spacing w:line="480" w:lineRule="auto"/>
      <w:textAlignment w:val="baseline"/>
    </w:pPr>
    <w:rPr>
      <w:rFonts w:ascii="Times New Roman" w:hAnsi="Times New Roman" w:eastAsia="黑体" w:cs="Times New Roman"/>
      <w:spacing w:val="10"/>
      <w:kern w:val="28"/>
      <w:sz w:val="48"/>
      <w:szCs w:val="20"/>
    </w:rPr>
  </w:style>
  <w:style w:type="paragraph" w:customStyle="1" w:styleId="198">
    <w:name w:val="正文缩进2格"/>
    <w:basedOn w:val="1"/>
    <w:link w:val="199"/>
    <w:qFormat/>
    <w:uiPriority w:val="0"/>
    <w:pPr>
      <w:spacing w:line="600" w:lineRule="exact"/>
      <w:ind w:firstLine="639" w:firstLineChars="206"/>
    </w:pPr>
    <w:rPr>
      <w:rFonts w:ascii="仿宋_GB2312" w:hAnsi="宋体" w:eastAsia="仿宋_GB2312" w:cs="Times New Roman"/>
      <w:sz w:val="31"/>
      <w:szCs w:val="28"/>
    </w:rPr>
  </w:style>
  <w:style w:type="character" w:customStyle="1" w:styleId="199">
    <w:name w:val="正文缩进2格 Char"/>
    <w:link w:val="198"/>
    <w:qFormat/>
    <w:uiPriority w:val="0"/>
    <w:rPr>
      <w:rFonts w:ascii="仿宋_GB2312" w:hAnsi="宋体" w:eastAsia="仿宋_GB2312" w:cs="Times New Roman"/>
      <w:sz w:val="31"/>
      <w:szCs w:val="28"/>
    </w:rPr>
  </w:style>
  <w:style w:type="paragraph" w:customStyle="1" w:styleId="200">
    <w:name w:val="文件抬头"/>
    <w:qFormat/>
    <w:uiPriority w:val="0"/>
    <w:pPr>
      <w:widowControl w:val="0"/>
      <w:jc w:val="both"/>
    </w:pPr>
    <w:rPr>
      <w:rFonts w:ascii="Calibri" w:hAnsi="Calibri" w:eastAsia="仿宋_GB2312" w:cs="Times New Roman"/>
      <w:kern w:val="2"/>
      <w:sz w:val="32"/>
      <w:szCs w:val="21"/>
      <w:lang w:val="en-US" w:eastAsia="zh-CN" w:bidi="ar-SA"/>
    </w:rPr>
  </w:style>
  <w:style w:type="paragraph" w:styleId="201">
    <w:name w:val="List Paragraph"/>
    <w:basedOn w:val="1"/>
    <w:qFormat/>
    <w:uiPriority w:val="34"/>
    <w:pPr>
      <w:ind w:firstLine="420" w:firstLineChars="200"/>
    </w:pPr>
  </w:style>
  <w:style w:type="paragraph" w:customStyle="1" w:styleId="202">
    <w:name w:val="普通正文"/>
    <w:basedOn w:val="1"/>
    <w:qFormat/>
    <w:uiPriority w:val="0"/>
    <w:pPr>
      <w:adjustRightInd w:val="0"/>
      <w:spacing w:before="120" w:after="120" w:line="360" w:lineRule="auto"/>
      <w:ind w:left="50" w:leftChars="50" w:right="50" w:rightChars="50" w:firstLine="480" w:firstLineChars="200"/>
      <w:jc w:val="left"/>
      <w:textAlignment w:val="baseline"/>
    </w:pPr>
    <w:rPr>
      <w:rFonts w:ascii="Arial" w:hAnsi="Arial" w:eastAsia="宋体" w:cs="Times New Roman"/>
      <w:kern w:val="0"/>
      <w:sz w:val="24"/>
      <w:szCs w:val="24"/>
    </w:rPr>
  </w:style>
  <w:style w:type="character" w:customStyle="1" w:styleId="203">
    <w:name w:val="正文文本首行缩进 字符"/>
    <w:basedOn w:val="133"/>
    <w:link w:val="38"/>
    <w:semiHidden/>
    <w:qFormat/>
    <w:uiPriority w:val="99"/>
    <w:rPr>
      <w:rFonts w:asciiTheme="minorHAnsi" w:hAnsiTheme="minorHAnsi" w:eastAsiaTheme="minorEastAsia" w:cstheme="minorBidi"/>
      <w:kern w:val="2"/>
      <w:sz w:val="21"/>
      <w:szCs w:val="22"/>
    </w:rPr>
  </w:style>
  <w:style w:type="paragraph" w:customStyle="1" w:styleId="204">
    <w:name w:val="Table Paragraph"/>
    <w:basedOn w:val="1"/>
    <w:qFormat/>
    <w:uiPriority w:val="1"/>
    <w:pPr>
      <w:autoSpaceDE w:val="0"/>
      <w:autoSpaceDN w:val="0"/>
      <w:jc w:val="left"/>
    </w:pPr>
    <w:rPr>
      <w:rFonts w:ascii="宋体" w:hAnsi="宋体" w:eastAsia="宋体" w:cs="宋体"/>
      <w:kern w:val="0"/>
      <w:sz w:val="22"/>
    </w:rPr>
  </w:style>
  <w:style w:type="paragraph" w:customStyle="1" w:styleId="205">
    <w:name w:val="标书正文"/>
    <w:basedOn w:val="1"/>
    <w:qFormat/>
    <w:uiPriority w:val="0"/>
    <w:pPr>
      <w:spacing w:line="560" w:lineRule="exact"/>
      <w:ind w:firstLine="723" w:firstLineChars="200"/>
      <w:jc w:val="center"/>
    </w:pPr>
    <w:rPr>
      <w:rFonts w:ascii="仿宋_GB2312" w:hAnsi="Times New Roman" w:eastAsia="仿宋_GB2312" w:cs="Times New Roman"/>
      <w:b/>
      <w:sz w:val="36"/>
      <w:szCs w:val="20"/>
    </w:rPr>
  </w:style>
  <w:style w:type="paragraph" w:customStyle="1" w:styleId="206">
    <w:name w:val="表格"/>
    <w:qFormat/>
    <w:uiPriority w:val="0"/>
    <w:pPr>
      <w:adjustRightInd w:val="0"/>
      <w:snapToGrid w:val="0"/>
      <w:spacing w:before="20" w:after="20"/>
      <w:jc w:val="center"/>
      <w:textAlignment w:val="baseline"/>
    </w:pPr>
    <w:rPr>
      <w:rFonts w:ascii="Arial" w:hAnsi="Arial" w:eastAsia="宋体" w:cs="Times New Roman"/>
      <w:snapToGrid w:val="0"/>
      <w:sz w:val="21"/>
      <w:lang w:val="en-US" w:eastAsia="zh-CN" w:bidi="ar-SA"/>
    </w:rPr>
  </w:style>
  <w:style w:type="character" w:customStyle="1" w:styleId="207">
    <w:name w:val="font31"/>
    <w:basedOn w:val="42"/>
    <w:qFormat/>
    <w:uiPriority w:val="0"/>
    <w:rPr>
      <w:rFonts w:ascii="Calibri" w:hAnsi="Calibri" w:cs="Calibri"/>
      <w:color w:val="000000"/>
      <w:sz w:val="18"/>
      <w:szCs w:val="18"/>
      <w:u w:val="none"/>
    </w:rPr>
  </w:style>
  <w:style w:type="paragraph" w:customStyle="1" w:styleId="208">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table" w:customStyle="1" w:styleId="209">
    <w:name w:val="Table Normal"/>
    <w:unhideWhenUsed/>
    <w:qFormat/>
    <w:uiPriority w:val="0"/>
    <w:tblPr>
      <w:tblCellMar>
        <w:top w:w="0" w:type="dxa"/>
        <w:left w:w="0" w:type="dxa"/>
        <w:bottom w:w="0" w:type="dxa"/>
        <w:right w:w="0" w:type="dxa"/>
      </w:tblCellMar>
    </w:tblPr>
  </w:style>
  <w:style w:type="paragraph" w:customStyle="1" w:styleId="210">
    <w:name w:val="字母编号列项"/>
    <w:qFormat/>
    <w:uiPriority w:val="0"/>
    <w:pPr>
      <w:ind w:left="840" w:leftChars="200" w:hanging="420" w:hangingChars="200"/>
      <w:jc w:val="both"/>
    </w:pPr>
    <w:rPr>
      <w:rFonts w:ascii="宋体" w:hAnsi="Times New Roman" w:eastAsia="宋体" w:cs="Times New Roman"/>
      <w:sz w:val="21"/>
      <w:lang w:val="en-US" w:eastAsia="zh-CN" w:bidi="ar-SA"/>
    </w:rPr>
  </w:style>
  <w:style w:type="paragraph" w:customStyle="1" w:styleId="211">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12">
    <w:name w:val="字元 字元"/>
    <w:basedOn w:val="1"/>
    <w:qFormat/>
    <w:uiPriority w:val="0"/>
    <w:rPr>
      <w:rFonts w:ascii="Tahoma" w:hAnsi="Tahoma"/>
      <w:sz w:val="24"/>
      <w:szCs w:val="20"/>
    </w:rPr>
  </w:style>
  <w:style w:type="character" w:customStyle="1" w:styleId="213">
    <w:name w:val="font101"/>
    <w:basedOn w:val="42"/>
    <w:qFormat/>
    <w:uiPriority w:val="0"/>
    <w:rPr>
      <w:rFonts w:hint="default" w:ascii="Times New Roman" w:hAnsi="Times New Roman" w:cs="Times New Roman"/>
      <w:color w:val="000000"/>
      <w:sz w:val="24"/>
      <w:szCs w:val="24"/>
      <w:u w:val="none"/>
    </w:rPr>
  </w:style>
  <w:style w:type="paragraph" w:customStyle="1" w:styleId="214">
    <w:name w:val="Table Text"/>
    <w:basedOn w:val="1"/>
    <w:semiHidden/>
    <w:qFormat/>
    <w:uiPriority w:val="0"/>
    <w:rPr>
      <w:rFonts w:ascii="Arial" w:hAnsi="Arial" w:eastAsia="Arial" w:cs="Arial"/>
      <w:sz w:val="21"/>
      <w:szCs w:val="21"/>
      <w:lang w:val="en-US" w:eastAsia="en-US" w:bidi="ar-SA"/>
    </w:rPr>
  </w:style>
  <w:style w:type="paragraph" w:customStyle="1" w:styleId="215">
    <w:name w:val="白鹤滩正文"/>
    <w:basedOn w:val="148"/>
    <w:qFormat/>
    <w:uiPriority w:val="0"/>
    <w:pPr>
      <w:keepNext w:val="0"/>
      <w:keepLines w:val="0"/>
      <w:suppressAutoHyphens/>
      <w:spacing w:before="0" w:line="360" w:lineRule="auto"/>
      <w:ind w:firstLine="480" w:firstLineChars="200"/>
      <w:jc w:val="both"/>
    </w:pPr>
    <w:rPr>
      <w:rFonts w:ascii="Times New Roman" w:hAnsi="Times New Roman" w:eastAsia="宋体"/>
      <w:snapToGrid w:val="0"/>
      <w:color w:val="auto"/>
      <w:sz w:val="24"/>
      <w:szCs w:val="24"/>
    </w:rPr>
  </w:style>
  <w:style w:type="paragraph" w:customStyle="1" w:styleId="216">
    <w:name w:val="彩色列表 - 强调文字颜色 11"/>
    <w:basedOn w:val="1"/>
    <w:qFormat/>
    <w:uiPriority w:val="34"/>
    <w:pPr>
      <w:adjustRightInd w:val="0"/>
      <w:snapToGrid w:val="0"/>
      <w:spacing w:after="200"/>
      <w:ind w:firstLine="420" w:firstLineChars="200"/>
      <w:jc w:val="left"/>
      <w:textAlignment w:val="auto"/>
    </w:pPr>
    <w:rPr>
      <w:rFonts w:ascii="Tahoma" w:hAnsi="Tahoma" w:eastAsia="微软雅黑" w:cs="Times New Roman"/>
      <w:kern w:val="0"/>
      <w:sz w:val="22"/>
      <w:szCs w:val="2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0C109-E789-406A-BDBA-9506EB43D9C0}">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71</Pages>
  <Words>12813</Words>
  <Characters>13903</Characters>
  <Lines>257</Lines>
  <Paragraphs>72</Paragraphs>
  <TotalTime>0</TotalTime>
  <ScaleCrop>false</ScaleCrop>
  <LinksUpToDate>false</LinksUpToDate>
  <CharactersWithSpaces>14011</CharactersWithSpaces>
  <Application>WPS Office_12.1.0.25860_F1E327BC-269C-435d-A152-05C5408002CA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2024-07-05T12:50:00Z</dcterms:created>
  <dc:creator>Administrator</dc:creator>
  <cp:lastModifiedBy>.</cp:lastModifiedBy>
  <cp:lastPrinted>2026-04-10T11:55:00Z</cp:lastPrinted>
  <dcterms:modified xsi:type="dcterms:W3CDTF">2026-04-26T14:18:52Z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2052-12.1.0.25860</vt:lpwstr>
  </property>
  <property fmtid="{D5CDD505-2E9C-101B-9397-08002B2CF9AE}" pid="3" name="ICV">
    <vt:lpwstr>66F389465C0D4B649ECD38D2897D7DF6_13</vt:lpwstr>
  </property>
  <property fmtid="{D5CDD505-2E9C-101B-9397-08002B2CF9AE}" pid="4" name="KSOTemplateDocerSaveRecord">
    <vt:lpwstr>eyJoZGlkIjoiYzE5M2NlMWI0ZmI4MTMyOTFjNDg1ODY2YTdiMDE0NzAiLCJ1c2VySWQiOiIyMDc2NjcyMDcifQ==</vt:lpwstr>
  </property>
</Properties>
</file>