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CDD4E">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46C2E097">
      <w:pPr>
        <w:adjustRightInd w:val="0"/>
        <w:snapToGrid w:val="0"/>
        <w:spacing w:line="480" w:lineRule="exact"/>
        <w:jc w:val="center"/>
        <w:rPr>
          <w:rFonts w:hint="eastAsia" w:ascii="仿宋" w:hAnsi="仿宋" w:eastAsia="仿宋" w:cs="仿宋"/>
          <w:bCs/>
          <w:color w:val="auto"/>
          <w:sz w:val="48"/>
          <w:szCs w:val="48"/>
          <w:highlight w:val="none"/>
        </w:rPr>
      </w:pPr>
    </w:p>
    <w:p w14:paraId="3D2ECB69">
      <w:pPr>
        <w:adjustRightInd w:val="0"/>
        <w:snapToGrid w:val="0"/>
        <w:spacing w:line="480" w:lineRule="exact"/>
        <w:jc w:val="center"/>
        <w:rPr>
          <w:rFonts w:hint="eastAsia"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473E4AB8">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（公开招标-货物）</w:t>
      </w:r>
    </w:p>
    <w:p w14:paraId="3BC54AF0">
      <w:pPr>
        <w:ind w:left="1574" w:right="-191" w:rightChars="-91" w:hanging="1574" w:hangingChars="492"/>
        <w:rPr>
          <w:rFonts w:hint="eastAsia" w:ascii="仿宋" w:hAnsi="仿宋" w:eastAsia="仿宋" w:cs="仿宋"/>
          <w:bCs/>
          <w:color w:val="auto"/>
          <w:kern w:val="0"/>
          <w:sz w:val="32"/>
          <w:szCs w:val="32"/>
          <w:highlight w:val="none"/>
        </w:rPr>
      </w:pPr>
    </w:p>
    <w:p w14:paraId="1AD8A7B7">
      <w:pPr>
        <w:ind w:left="1574" w:right="-191" w:rightChars="-91" w:hanging="1574" w:hangingChars="492"/>
        <w:rPr>
          <w:rFonts w:hint="eastAsia" w:ascii="仿宋" w:hAnsi="仿宋" w:eastAsia="仿宋" w:cs="仿宋"/>
          <w:bCs/>
          <w:color w:val="auto"/>
          <w:sz w:val="32"/>
          <w:highlight w:val="none"/>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rPr>
        <w:t>新疆农业大学机电学院教学科研设备更新项目第二包</w:t>
      </w:r>
    </w:p>
    <w:p w14:paraId="04A6D8BF">
      <w:pPr>
        <w:adjustRightInd w:val="0"/>
        <w:snapToGrid w:val="0"/>
        <w:spacing w:line="480" w:lineRule="exact"/>
        <w:rPr>
          <w:rFonts w:hint="eastAsia" w:ascii="仿宋" w:hAnsi="仿宋" w:eastAsia="仿宋" w:cs="仿宋"/>
          <w:bCs/>
          <w:color w:val="auto"/>
          <w:kern w:val="0"/>
          <w:sz w:val="32"/>
          <w:szCs w:val="32"/>
          <w:highlight w:val="none"/>
        </w:rPr>
      </w:pPr>
    </w:p>
    <w:p w14:paraId="0FD5D2E2">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rPr>
        <w:t>新疆农业大学</w:t>
      </w:r>
    </w:p>
    <w:p w14:paraId="1907E41F">
      <w:pPr>
        <w:adjustRightInd w:val="0"/>
        <w:snapToGrid w:val="0"/>
        <w:spacing w:line="480" w:lineRule="exact"/>
        <w:rPr>
          <w:rFonts w:hint="eastAsia" w:ascii="仿宋" w:hAnsi="仿宋" w:eastAsia="仿宋" w:cs="仿宋"/>
          <w:bCs/>
          <w:color w:val="auto"/>
          <w:sz w:val="32"/>
          <w:szCs w:val="32"/>
          <w:highlight w:val="none"/>
        </w:rPr>
      </w:pPr>
    </w:p>
    <w:p w14:paraId="5EC73FB1">
      <w:pPr>
        <w:adjustRightInd w:val="0"/>
        <w:snapToGrid w:val="0"/>
        <w:spacing w:line="276" w:lineRule="auto"/>
        <w:rPr>
          <w:rFonts w:hint="eastAsia" w:ascii="仿宋" w:hAnsi="仿宋" w:eastAsia="仿宋" w:cs="仿宋"/>
          <w:bCs/>
          <w:color w:val="auto"/>
          <w:sz w:val="32"/>
          <w:szCs w:val="24"/>
          <w:highlight w:val="none"/>
          <w:lang w:eastAsia="zh-CN"/>
        </w:rPr>
      </w:pPr>
      <w:r>
        <w:rPr>
          <w:rFonts w:hint="eastAsia" w:ascii="仿宋" w:hAnsi="仿宋" w:eastAsia="仿宋" w:cs="仿宋"/>
          <w:bCs/>
          <w:color w:val="auto"/>
          <w:sz w:val="32"/>
          <w:szCs w:val="24"/>
          <w:highlight w:val="none"/>
        </w:rPr>
        <w:t>联系人：</w:t>
      </w:r>
      <w:r>
        <w:rPr>
          <w:rFonts w:hint="eastAsia" w:ascii="仿宋" w:hAnsi="仿宋" w:eastAsia="仿宋" w:cs="仿宋"/>
          <w:bCs/>
          <w:color w:val="auto"/>
          <w:sz w:val="32"/>
          <w:highlight w:val="none"/>
          <w:lang w:eastAsia="zh-CN"/>
        </w:rPr>
        <w:t>解彬彬</w:t>
      </w:r>
    </w:p>
    <w:p w14:paraId="1CE35F9D">
      <w:pPr>
        <w:adjustRightInd w:val="0"/>
        <w:snapToGrid w:val="0"/>
        <w:spacing w:line="276" w:lineRule="auto"/>
        <w:rPr>
          <w:rFonts w:hint="eastAsia" w:ascii="仿宋" w:hAnsi="仿宋" w:eastAsia="仿宋" w:cs="仿宋"/>
          <w:bCs/>
          <w:color w:val="auto"/>
          <w:sz w:val="32"/>
          <w:szCs w:val="24"/>
          <w:highlight w:val="none"/>
        </w:rPr>
      </w:pPr>
    </w:p>
    <w:p w14:paraId="59D7DC9B">
      <w:pPr>
        <w:adjustRightInd w:val="0"/>
        <w:snapToGrid w:val="0"/>
        <w:spacing w:line="276" w:lineRule="auto"/>
        <w:jc w:val="left"/>
        <w:rPr>
          <w:rFonts w:hint="eastAsia" w:ascii="仿宋" w:hAnsi="仿宋" w:eastAsia="仿宋" w:cs="仿宋"/>
          <w:bCs/>
          <w:color w:val="auto"/>
          <w:sz w:val="32"/>
          <w:szCs w:val="24"/>
          <w:highlight w:val="none"/>
          <w:lang w:eastAsia="zh-CN"/>
        </w:rPr>
      </w:pPr>
      <w:r>
        <w:rPr>
          <w:rFonts w:hint="eastAsia" w:ascii="仿宋" w:hAnsi="仿宋" w:eastAsia="仿宋" w:cs="仿宋"/>
          <w:bCs/>
          <w:color w:val="auto"/>
          <w:sz w:val="32"/>
          <w:szCs w:val="24"/>
          <w:highlight w:val="none"/>
        </w:rPr>
        <w:t>电话：</w:t>
      </w:r>
      <w:r>
        <w:rPr>
          <w:rFonts w:hint="eastAsia" w:ascii="仿宋" w:hAnsi="仿宋" w:eastAsia="仿宋" w:cs="仿宋"/>
          <w:bCs/>
          <w:color w:val="auto"/>
          <w:sz w:val="32"/>
          <w:highlight w:val="none"/>
          <w:lang w:eastAsia="zh-CN"/>
        </w:rPr>
        <w:t>18355195087</w:t>
      </w:r>
    </w:p>
    <w:p w14:paraId="49370697">
      <w:pPr>
        <w:rPr>
          <w:rFonts w:hint="eastAsia" w:ascii="仿宋" w:hAnsi="仿宋" w:eastAsia="仿宋" w:cs="仿宋"/>
          <w:color w:val="auto"/>
          <w:highlight w:val="none"/>
        </w:rPr>
      </w:pPr>
    </w:p>
    <w:p w14:paraId="5F04B85A">
      <w:pPr>
        <w:adjustRightInd w:val="0"/>
        <w:snapToGrid w:val="0"/>
        <w:spacing w:line="480" w:lineRule="exact"/>
        <w:jc w:val="lef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53214B4E">
      <w:pPr>
        <w:adjustRightInd w:val="0"/>
        <w:snapToGrid w:val="0"/>
        <w:spacing w:line="480" w:lineRule="exact"/>
        <w:jc w:val="center"/>
        <w:rPr>
          <w:rFonts w:hint="eastAsia" w:ascii="仿宋" w:hAnsi="仿宋" w:eastAsia="仿宋" w:cs="仿宋"/>
          <w:bCs/>
          <w:color w:val="auto"/>
          <w:sz w:val="32"/>
          <w:szCs w:val="32"/>
          <w:highlight w:val="none"/>
        </w:rPr>
      </w:pPr>
    </w:p>
    <w:p w14:paraId="3F52DDC8">
      <w:pPr>
        <w:adjustRightInd w:val="0"/>
        <w:snapToGrid w:val="0"/>
        <w:spacing w:line="480" w:lineRule="exact"/>
        <w:rPr>
          <w:rFonts w:hint="eastAsia" w:ascii="仿宋" w:hAnsi="仿宋" w:eastAsia="仿宋" w:cs="仿宋"/>
          <w:bCs/>
          <w:color w:val="auto"/>
          <w:sz w:val="32"/>
          <w:szCs w:val="32"/>
          <w:highlight w:val="none"/>
        </w:rPr>
      </w:pPr>
    </w:p>
    <w:p w14:paraId="69131174">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1B917A24">
      <w:pPr>
        <w:adjustRightInd w:val="0"/>
        <w:snapToGrid w:val="0"/>
        <w:spacing w:line="480" w:lineRule="exact"/>
        <w:rPr>
          <w:rFonts w:hint="eastAsia" w:ascii="仿宋" w:hAnsi="仿宋" w:eastAsia="仿宋" w:cs="仿宋"/>
          <w:bCs/>
          <w:color w:val="auto"/>
          <w:sz w:val="32"/>
          <w:szCs w:val="32"/>
          <w:highlight w:val="none"/>
        </w:rPr>
      </w:pPr>
    </w:p>
    <w:p w14:paraId="3707793E">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联系人：马丹阳</w:t>
      </w:r>
    </w:p>
    <w:p w14:paraId="34C301E9">
      <w:pPr>
        <w:adjustRightInd w:val="0"/>
        <w:snapToGrid w:val="0"/>
        <w:spacing w:line="480" w:lineRule="exact"/>
        <w:jc w:val="center"/>
        <w:rPr>
          <w:rFonts w:hint="eastAsia" w:ascii="仿宋" w:hAnsi="仿宋" w:eastAsia="仿宋" w:cs="仿宋"/>
          <w:bCs/>
          <w:color w:val="auto"/>
          <w:sz w:val="32"/>
          <w:szCs w:val="32"/>
          <w:highlight w:val="none"/>
        </w:rPr>
      </w:pPr>
    </w:p>
    <w:p w14:paraId="382D1EF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3608A81E">
      <w:pPr>
        <w:adjustRightInd w:val="0"/>
        <w:snapToGrid w:val="0"/>
        <w:spacing w:line="480" w:lineRule="exact"/>
        <w:rPr>
          <w:rFonts w:hint="eastAsia" w:ascii="仿宋" w:hAnsi="仿宋" w:eastAsia="仿宋" w:cs="仿宋"/>
          <w:bCs/>
          <w:color w:val="auto"/>
          <w:sz w:val="32"/>
          <w:szCs w:val="32"/>
          <w:highlight w:val="none"/>
        </w:rPr>
      </w:pPr>
    </w:p>
    <w:p w14:paraId="052652F4">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2A491C21">
      <w:pPr>
        <w:adjustRightInd w:val="0"/>
        <w:snapToGrid w:val="0"/>
        <w:spacing w:line="480" w:lineRule="exact"/>
        <w:rPr>
          <w:rFonts w:hint="eastAsia" w:ascii="仿宋" w:hAnsi="仿宋" w:eastAsia="仿宋" w:cs="仿宋"/>
          <w:bCs/>
          <w:color w:val="auto"/>
          <w:sz w:val="32"/>
          <w:szCs w:val="32"/>
          <w:highlight w:val="none"/>
        </w:rPr>
      </w:pPr>
    </w:p>
    <w:p w14:paraId="51C8EE63">
      <w:pPr>
        <w:spacing w:line="288" w:lineRule="auto"/>
        <w:jc w:val="center"/>
        <w:rPr>
          <w:rFonts w:hint="eastAsia" w:ascii="仿宋" w:hAnsi="仿宋" w:eastAsia="仿宋" w:cs="仿宋"/>
          <w:b/>
          <w:bCs/>
          <w:color w:val="auto"/>
          <w:sz w:val="24"/>
          <w:szCs w:val="24"/>
          <w:highlight w:val="none"/>
        </w:rPr>
        <w:sectPr>
          <w:headerReference r:id="rId3" w:type="default"/>
          <w:footerReference r:id="rId4" w:type="default"/>
          <w:pgSz w:w="11906" w:h="16838"/>
          <w:pgMar w:top="1361" w:right="1134" w:bottom="1361" w:left="1418" w:header="851" w:footer="992" w:gutter="0"/>
          <w:pgNumType w:start="1"/>
          <w:cols w:space="720" w:num="1"/>
          <w:docGrid w:type="lines" w:linePitch="312" w:charSpace="0"/>
        </w:sectPr>
      </w:pPr>
    </w:p>
    <w:p w14:paraId="246E21FC">
      <w:pPr>
        <w:spacing w:line="288"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301A881B">
      <w:pPr>
        <w:pStyle w:val="23"/>
        <w:tabs>
          <w:tab w:val="right" w:leader="dot" w:pos="9354"/>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color w:val="auto"/>
          <w:highlight w:val="none"/>
        </w:rPr>
        <w:fldChar w:fldCharType="begin"/>
      </w:r>
      <w:r>
        <w:rPr>
          <w:color w:val="auto"/>
          <w:highlight w:val="none"/>
        </w:rPr>
        <w:instrText xml:space="preserve"> HYPERLINK \l "_Toc19398" </w:instrText>
      </w:r>
      <w:r>
        <w:rPr>
          <w:color w:val="auto"/>
          <w:highlight w:val="none"/>
        </w:rPr>
        <w:fldChar w:fldCharType="separate"/>
      </w:r>
      <w:r>
        <w:rPr>
          <w:rFonts w:hint="eastAsia" w:ascii="仿宋" w:hAnsi="仿宋" w:eastAsia="仿宋" w:cs="仿宋"/>
          <w:bCs/>
          <w:color w:val="auto"/>
          <w:szCs w:val="32"/>
          <w:highlight w:val="none"/>
        </w:rPr>
        <w:t>招标公告</w:t>
      </w:r>
      <w:r>
        <w:rPr>
          <w:color w:val="auto"/>
          <w:highlight w:val="none"/>
        </w:rPr>
        <w:tab/>
      </w:r>
      <w:r>
        <w:rPr>
          <w:color w:val="auto"/>
          <w:highlight w:val="none"/>
        </w:rPr>
        <w:fldChar w:fldCharType="begin"/>
      </w:r>
      <w:r>
        <w:rPr>
          <w:color w:val="auto"/>
          <w:highlight w:val="none"/>
        </w:rPr>
        <w:instrText xml:space="preserve"> PAGEREF _Toc19398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4E43932">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"_Toc32277" </w:instrText>
      </w:r>
      <w:r>
        <w:rPr>
          <w:color w:val="auto"/>
          <w:highlight w:val="none"/>
        </w:rPr>
        <w:fldChar w:fldCharType="separate"/>
      </w:r>
      <w:r>
        <w:rPr>
          <w:rFonts w:hint="eastAsia" w:ascii="仿宋" w:hAnsi="仿宋" w:eastAsia="仿宋" w:cs="仿宋"/>
          <w:color w:val="auto"/>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_Toc32277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272EE48">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"_Toc25618" </w:instrText>
      </w:r>
      <w:r>
        <w:rPr>
          <w:color w:val="auto"/>
          <w:highlight w:val="none"/>
        </w:rPr>
        <w:fldChar w:fldCharType="separate"/>
      </w:r>
      <w:r>
        <w:rPr>
          <w:rFonts w:hint="eastAsia" w:ascii="仿宋" w:hAnsi="仿宋" w:eastAsia="仿宋" w:cs="仿宋"/>
          <w:color w:val="auto"/>
          <w:highlight w:val="none"/>
        </w:rPr>
        <w:t>第一章 投标人须知</w:t>
      </w:r>
      <w:r>
        <w:rPr>
          <w:color w:val="auto"/>
          <w:highlight w:val="none"/>
        </w:rPr>
        <w:tab/>
      </w:r>
      <w:r>
        <w:rPr>
          <w:color w:val="auto"/>
          <w:highlight w:val="none"/>
        </w:rPr>
        <w:fldChar w:fldCharType="begin"/>
      </w:r>
      <w:r>
        <w:rPr>
          <w:color w:val="auto"/>
          <w:highlight w:val="none"/>
        </w:rPr>
        <w:instrText xml:space="preserve"> PAGEREF _Toc25618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4E2C260F">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"_Toc6031" </w:instrText>
      </w:r>
      <w:r>
        <w:rPr>
          <w:color w:val="auto"/>
          <w:highlight w:val="none"/>
        </w:rPr>
        <w:fldChar w:fldCharType="separate"/>
      </w:r>
      <w:r>
        <w:rPr>
          <w:rFonts w:hint="eastAsia" w:ascii="仿宋" w:hAnsi="仿宋" w:eastAsia="仿宋" w:cs="仿宋"/>
          <w:color w:val="auto"/>
          <w:highlight w:val="none"/>
        </w:rPr>
        <w:t>一、总则</w:t>
      </w:r>
      <w:r>
        <w:rPr>
          <w:color w:val="auto"/>
          <w:highlight w:val="none"/>
        </w:rPr>
        <w:tab/>
      </w:r>
      <w:r>
        <w:rPr>
          <w:color w:val="auto"/>
          <w:highlight w:val="none"/>
        </w:rPr>
        <w:fldChar w:fldCharType="begin"/>
      </w:r>
      <w:r>
        <w:rPr>
          <w:color w:val="auto"/>
          <w:highlight w:val="none"/>
        </w:rPr>
        <w:instrText xml:space="preserve"> PAGEREF _Toc6031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0EBCE87E">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"_Toc30765" </w:instrText>
      </w:r>
      <w:r>
        <w:rPr>
          <w:color w:val="auto"/>
          <w:highlight w:val="none"/>
        </w:rPr>
        <w:fldChar w:fldCharType="separate"/>
      </w:r>
      <w:r>
        <w:rPr>
          <w:rFonts w:hint="eastAsia" w:ascii="仿宋" w:hAnsi="仿宋" w:eastAsia="仿宋" w:cs="仿宋"/>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_Toc30765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02FD17D">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"_Toc8903" </w:instrText>
      </w:r>
      <w:r>
        <w:rPr>
          <w:color w:val="auto"/>
          <w:highlight w:val="none"/>
        </w:rPr>
        <w:fldChar w:fldCharType="separate"/>
      </w:r>
      <w:r>
        <w:rPr>
          <w:rFonts w:hint="eastAsia" w:ascii="仿宋" w:hAnsi="仿宋" w:eastAsia="仿宋" w:cs="仿宋"/>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_Toc8903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4584663A">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"_Toc17545" </w:instrText>
      </w:r>
      <w:r>
        <w:rPr>
          <w:color w:val="auto"/>
          <w:highlight w:val="none"/>
        </w:rPr>
        <w:fldChar w:fldCharType="separate"/>
      </w:r>
      <w:r>
        <w:rPr>
          <w:rFonts w:hint="eastAsia" w:ascii="仿宋" w:hAnsi="仿宋" w:eastAsia="仿宋" w:cs="仿宋"/>
          <w:color w:val="auto"/>
          <w:highlight w:val="none"/>
        </w:rPr>
        <w:t>四、投标</w:t>
      </w:r>
      <w:r>
        <w:rPr>
          <w:color w:val="auto"/>
          <w:highlight w:val="none"/>
        </w:rPr>
        <w:tab/>
      </w:r>
      <w:r>
        <w:rPr>
          <w:color w:val="auto"/>
          <w:highlight w:val="none"/>
        </w:rPr>
        <w:fldChar w:fldCharType="begin"/>
      </w:r>
      <w:r>
        <w:rPr>
          <w:color w:val="auto"/>
          <w:highlight w:val="none"/>
        </w:rPr>
        <w:instrText xml:space="preserve"> PAGEREF _Toc17545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0352934C">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"_Toc9663" </w:instrText>
      </w:r>
      <w:r>
        <w:rPr>
          <w:color w:val="auto"/>
          <w:highlight w:val="none"/>
        </w:rPr>
        <w:fldChar w:fldCharType="separate"/>
      </w:r>
      <w:r>
        <w:rPr>
          <w:rFonts w:hint="eastAsia" w:ascii="仿宋" w:hAnsi="仿宋" w:eastAsia="仿宋" w:cs="仿宋"/>
          <w:color w:val="auto"/>
          <w:highlight w:val="none"/>
        </w:rPr>
        <w:t>五、开标</w:t>
      </w:r>
      <w:r>
        <w:rPr>
          <w:color w:val="auto"/>
          <w:highlight w:val="none"/>
        </w:rPr>
        <w:tab/>
      </w:r>
      <w:r>
        <w:rPr>
          <w:color w:val="auto"/>
          <w:highlight w:val="none"/>
        </w:rPr>
        <w:fldChar w:fldCharType="begin"/>
      </w:r>
      <w:r>
        <w:rPr>
          <w:color w:val="auto"/>
          <w:highlight w:val="none"/>
        </w:rPr>
        <w:instrText xml:space="preserve"> PAGEREF _Toc9663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11E96C68">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"_Toc27927" </w:instrText>
      </w:r>
      <w:r>
        <w:rPr>
          <w:color w:val="auto"/>
          <w:highlight w:val="none"/>
        </w:rPr>
        <w:fldChar w:fldCharType="separate"/>
      </w:r>
      <w:r>
        <w:rPr>
          <w:rFonts w:hint="eastAsia" w:ascii="仿宋" w:hAnsi="仿宋" w:eastAsia="仿宋" w:cs="仿宋"/>
          <w:color w:val="auto"/>
          <w:highlight w:val="none"/>
        </w:rPr>
        <w:t>六、评标</w:t>
      </w:r>
      <w:r>
        <w:rPr>
          <w:color w:val="auto"/>
          <w:highlight w:val="none"/>
        </w:rPr>
        <w:tab/>
      </w:r>
      <w:r>
        <w:rPr>
          <w:color w:val="auto"/>
          <w:highlight w:val="none"/>
        </w:rPr>
        <w:fldChar w:fldCharType="begin"/>
      </w:r>
      <w:r>
        <w:rPr>
          <w:color w:val="auto"/>
          <w:highlight w:val="none"/>
        </w:rPr>
        <w:instrText xml:space="preserve"> PAGEREF _Toc27927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42F08230">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"_Toc23250" </w:instrText>
      </w:r>
      <w:r>
        <w:rPr>
          <w:color w:val="auto"/>
          <w:highlight w:val="none"/>
        </w:rPr>
        <w:fldChar w:fldCharType="separate"/>
      </w:r>
      <w:r>
        <w:rPr>
          <w:rFonts w:hint="eastAsia" w:ascii="仿宋" w:hAnsi="仿宋" w:eastAsia="仿宋" w:cs="仿宋"/>
          <w:color w:val="auto"/>
          <w:highlight w:val="none"/>
        </w:rPr>
        <w:t>七、定标及合同授予</w:t>
      </w:r>
      <w:r>
        <w:rPr>
          <w:color w:val="auto"/>
          <w:highlight w:val="none"/>
        </w:rPr>
        <w:tab/>
      </w:r>
      <w:r>
        <w:rPr>
          <w:color w:val="auto"/>
          <w:highlight w:val="none"/>
        </w:rPr>
        <w:fldChar w:fldCharType="begin"/>
      </w:r>
      <w:r>
        <w:rPr>
          <w:color w:val="auto"/>
          <w:highlight w:val="none"/>
        </w:rPr>
        <w:instrText xml:space="preserve"> PAGEREF _Toc23250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FBF42F5">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"_Toc30790" </w:instrText>
      </w:r>
      <w:r>
        <w:rPr>
          <w:color w:val="auto"/>
          <w:highlight w:val="none"/>
        </w:rPr>
        <w:fldChar w:fldCharType="separate"/>
      </w:r>
      <w:r>
        <w:rPr>
          <w:rFonts w:hint="eastAsia" w:ascii="仿宋" w:hAnsi="仿宋" w:eastAsia="仿宋" w:cs="仿宋"/>
          <w:color w:val="auto"/>
          <w:highlight w:val="none"/>
        </w:rPr>
        <w:t>八、纪律和监督</w:t>
      </w:r>
      <w:r>
        <w:rPr>
          <w:color w:val="auto"/>
          <w:highlight w:val="none"/>
        </w:rPr>
        <w:tab/>
      </w:r>
      <w:r>
        <w:rPr>
          <w:color w:val="auto"/>
          <w:highlight w:val="none"/>
        </w:rPr>
        <w:fldChar w:fldCharType="begin"/>
      </w:r>
      <w:r>
        <w:rPr>
          <w:color w:val="auto"/>
          <w:highlight w:val="none"/>
        </w:rPr>
        <w:instrText xml:space="preserve"> PAGEREF _Toc30790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07786A7A">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"_Toc5676" </w:instrText>
      </w:r>
      <w:r>
        <w:rPr>
          <w:color w:val="auto"/>
          <w:highlight w:val="none"/>
        </w:rPr>
        <w:fldChar w:fldCharType="separate"/>
      </w:r>
      <w:r>
        <w:rPr>
          <w:rFonts w:hint="eastAsia" w:ascii="仿宋" w:hAnsi="仿宋" w:eastAsia="仿宋" w:cs="仿宋"/>
          <w:color w:val="auto"/>
          <w:highlight w:val="none"/>
        </w:rPr>
        <w:t>第二章 评标办法</w:t>
      </w:r>
      <w:r>
        <w:rPr>
          <w:color w:val="auto"/>
          <w:highlight w:val="none"/>
        </w:rPr>
        <w:tab/>
      </w:r>
      <w:r>
        <w:rPr>
          <w:color w:val="auto"/>
          <w:highlight w:val="none"/>
        </w:rPr>
        <w:fldChar w:fldCharType="begin"/>
      </w:r>
      <w:r>
        <w:rPr>
          <w:color w:val="auto"/>
          <w:highlight w:val="none"/>
        </w:rPr>
        <w:instrText xml:space="preserve"> PAGEREF _Toc5676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31998A0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"_Toc6951" </w:instrText>
      </w:r>
      <w:r>
        <w:rPr>
          <w:color w:val="auto"/>
          <w:highlight w:val="none"/>
        </w:rPr>
        <w:fldChar w:fldCharType="separate"/>
      </w:r>
      <w:r>
        <w:rPr>
          <w:rFonts w:hint="eastAsia" w:ascii="仿宋" w:hAnsi="仿宋" w:eastAsia="仿宋" w:cs="仿宋"/>
          <w:color w:val="auto"/>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_Toc6951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A5057B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"_Toc27621" </w:instrText>
      </w:r>
      <w:r>
        <w:rPr>
          <w:color w:val="auto"/>
          <w:highlight w:val="none"/>
        </w:rPr>
        <w:fldChar w:fldCharType="separate"/>
      </w:r>
      <w:r>
        <w:rPr>
          <w:rFonts w:hint="eastAsia" w:ascii="仿宋" w:hAnsi="仿宋" w:eastAsia="仿宋" w:cs="仿宋"/>
          <w:color w:val="auto"/>
          <w:highlight w:val="none"/>
        </w:rPr>
        <w:t>一、评标方法</w:t>
      </w:r>
      <w:r>
        <w:rPr>
          <w:color w:val="auto"/>
          <w:highlight w:val="none"/>
        </w:rPr>
        <w:tab/>
      </w:r>
      <w:r>
        <w:rPr>
          <w:color w:val="auto"/>
          <w:highlight w:val="none"/>
        </w:rPr>
        <w:fldChar w:fldCharType="begin"/>
      </w:r>
      <w:r>
        <w:rPr>
          <w:color w:val="auto"/>
          <w:highlight w:val="none"/>
        </w:rPr>
        <w:instrText xml:space="preserve"> PAGEREF _Toc27621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27415A3A">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"_Toc10127" </w:instrText>
      </w:r>
      <w:r>
        <w:rPr>
          <w:color w:val="auto"/>
          <w:highlight w:val="none"/>
        </w:rPr>
        <w:fldChar w:fldCharType="separate"/>
      </w:r>
      <w:r>
        <w:rPr>
          <w:rFonts w:hint="eastAsia" w:ascii="仿宋" w:hAnsi="仿宋" w:eastAsia="仿宋" w:cs="仿宋"/>
          <w:color w:val="auto"/>
          <w:highlight w:val="none"/>
        </w:rPr>
        <w:t>二、评审标准</w:t>
      </w:r>
      <w:r>
        <w:rPr>
          <w:color w:val="auto"/>
          <w:highlight w:val="none"/>
        </w:rPr>
        <w:tab/>
      </w:r>
      <w:r>
        <w:rPr>
          <w:color w:val="auto"/>
          <w:highlight w:val="none"/>
        </w:rPr>
        <w:fldChar w:fldCharType="begin"/>
      </w:r>
      <w:r>
        <w:rPr>
          <w:color w:val="auto"/>
          <w:highlight w:val="none"/>
        </w:rPr>
        <w:instrText xml:space="preserve"> PAGEREF _Toc10127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112F21A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"_Toc17427" </w:instrText>
      </w:r>
      <w:r>
        <w:rPr>
          <w:color w:val="auto"/>
          <w:highlight w:val="none"/>
        </w:rPr>
        <w:fldChar w:fldCharType="separate"/>
      </w:r>
      <w:r>
        <w:rPr>
          <w:rFonts w:hint="eastAsia" w:ascii="仿宋" w:hAnsi="仿宋" w:eastAsia="仿宋" w:cs="仿宋"/>
          <w:color w:val="auto"/>
          <w:highlight w:val="none"/>
        </w:rPr>
        <w:t>三、评标程序</w:t>
      </w:r>
      <w:r>
        <w:rPr>
          <w:color w:val="auto"/>
          <w:highlight w:val="none"/>
        </w:rPr>
        <w:tab/>
      </w:r>
      <w:r>
        <w:rPr>
          <w:color w:val="auto"/>
          <w:highlight w:val="none"/>
        </w:rPr>
        <w:fldChar w:fldCharType="begin"/>
      </w:r>
      <w:r>
        <w:rPr>
          <w:color w:val="auto"/>
          <w:highlight w:val="none"/>
        </w:rPr>
        <w:instrText xml:space="preserve"> PAGEREF _Toc17427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582A3764">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"_Toc13422" </w:instrText>
      </w:r>
      <w:r>
        <w:rPr>
          <w:color w:val="auto"/>
          <w:highlight w:val="none"/>
        </w:rPr>
        <w:fldChar w:fldCharType="separate"/>
      </w:r>
      <w:r>
        <w:rPr>
          <w:rFonts w:hint="eastAsia" w:ascii="仿宋" w:hAnsi="仿宋" w:eastAsia="仿宋" w:cs="仿宋"/>
          <w:color w:val="auto"/>
          <w:highlight w:val="none"/>
        </w:rPr>
        <w:t>第三章 合同文本</w:t>
      </w:r>
      <w:r>
        <w:rPr>
          <w:color w:val="auto"/>
          <w:highlight w:val="none"/>
        </w:rPr>
        <w:tab/>
      </w:r>
      <w:r>
        <w:rPr>
          <w:color w:val="auto"/>
          <w:highlight w:val="none"/>
        </w:rPr>
        <w:fldChar w:fldCharType="begin"/>
      </w:r>
      <w:r>
        <w:rPr>
          <w:color w:val="auto"/>
          <w:highlight w:val="none"/>
        </w:rPr>
        <w:instrText xml:space="preserve"> PAGEREF _Toc13422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669BD49D">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"_Toc13395" </w:instrText>
      </w:r>
      <w:r>
        <w:rPr>
          <w:color w:val="auto"/>
          <w:highlight w:val="none"/>
        </w:rPr>
        <w:fldChar w:fldCharType="separate"/>
      </w:r>
      <w:r>
        <w:rPr>
          <w:rFonts w:hint="eastAsia" w:ascii="仿宋" w:hAnsi="仿宋" w:eastAsia="仿宋" w:cs="仿宋"/>
          <w:color w:val="auto"/>
          <w:highlight w:val="none"/>
        </w:rPr>
        <w:t>第四章 技术标准和要求</w:t>
      </w:r>
      <w:r>
        <w:rPr>
          <w:color w:val="auto"/>
          <w:highlight w:val="none"/>
        </w:rPr>
        <w:tab/>
      </w:r>
      <w:r>
        <w:rPr>
          <w:color w:val="auto"/>
          <w:highlight w:val="none"/>
        </w:rPr>
        <w:fldChar w:fldCharType="begin"/>
      </w:r>
      <w:r>
        <w:rPr>
          <w:color w:val="auto"/>
          <w:highlight w:val="none"/>
        </w:rPr>
        <w:instrText xml:space="preserve"> PAGEREF _Toc13395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26548D9C">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"_Toc29325" </w:instrText>
      </w:r>
      <w:r>
        <w:rPr>
          <w:color w:val="auto"/>
          <w:highlight w:val="none"/>
        </w:rPr>
        <w:fldChar w:fldCharType="separate"/>
      </w:r>
      <w:r>
        <w:rPr>
          <w:rFonts w:hint="eastAsia" w:ascii="仿宋" w:hAnsi="仿宋" w:eastAsia="仿宋" w:cs="仿宋"/>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_Toc29325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14C952C6">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"_Toc25722" </w:instrText>
      </w:r>
      <w:r>
        <w:rPr>
          <w:color w:val="auto"/>
          <w:highlight w:val="none"/>
        </w:rPr>
        <w:fldChar w:fldCharType="separate"/>
      </w:r>
      <w:r>
        <w:rPr>
          <w:rFonts w:hint="eastAsia" w:ascii="仿宋" w:hAnsi="仿宋" w:eastAsia="仿宋" w:cs="仿宋"/>
          <w:color w:val="auto"/>
          <w:highlight w:val="none"/>
        </w:rPr>
        <w:t>一、开标一览表</w:t>
      </w:r>
      <w:r>
        <w:rPr>
          <w:color w:val="auto"/>
          <w:highlight w:val="none"/>
        </w:rPr>
        <w:tab/>
      </w:r>
      <w:r>
        <w:rPr>
          <w:color w:val="auto"/>
          <w:highlight w:val="none"/>
        </w:rPr>
        <w:fldChar w:fldCharType="begin"/>
      </w:r>
      <w:r>
        <w:rPr>
          <w:color w:val="auto"/>
          <w:highlight w:val="none"/>
        </w:rPr>
        <w:instrText xml:space="preserve"> PAGEREF _Toc25722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0A7929C9">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"_Toc4875" </w:instrText>
      </w:r>
      <w:r>
        <w:rPr>
          <w:color w:val="auto"/>
          <w:highlight w:val="none"/>
        </w:rPr>
        <w:fldChar w:fldCharType="separate"/>
      </w:r>
      <w:r>
        <w:rPr>
          <w:rFonts w:hint="eastAsia" w:ascii="仿宋" w:hAnsi="仿宋" w:eastAsia="仿宋" w:cs="仿宋"/>
          <w:color w:val="auto"/>
          <w:highlight w:val="none"/>
        </w:rPr>
        <w:t>二、投标函</w:t>
      </w:r>
      <w:r>
        <w:rPr>
          <w:color w:val="auto"/>
          <w:highlight w:val="none"/>
        </w:rPr>
        <w:tab/>
      </w:r>
      <w:r>
        <w:rPr>
          <w:color w:val="auto"/>
          <w:highlight w:val="none"/>
        </w:rPr>
        <w:fldChar w:fldCharType="begin"/>
      </w:r>
      <w:r>
        <w:rPr>
          <w:color w:val="auto"/>
          <w:highlight w:val="none"/>
        </w:rPr>
        <w:instrText xml:space="preserve"> PAGEREF _Toc4875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6544ABCE">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"_Toc19775" </w:instrText>
      </w:r>
      <w:r>
        <w:rPr>
          <w:color w:val="auto"/>
          <w:highlight w:val="none"/>
        </w:rPr>
        <w:fldChar w:fldCharType="separate"/>
      </w:r>
      <w:r>
        <w:rPr>
          <w:rFonts w:hint="eastAsia" w:ascii="仿宋" w:hAnsi="仿宋" w:eastAsia="仿宋" w:cs="仿宋"/>
          <w:color w:val="auto"/>
          <w:highlight w:val="none"/>
        </w:rPr>
        <w:t>三、投标价格明细表</w:t>
      </w:r>
      <w:r>
        <w:rPr>
          <w:color w:val="auto"/>
          <w:highlight w:val="none"/>
        </w:rPr>
        <w:tab/>
      </w:r>
      <w:r>
        <w:rPr>
          <w:color w:val="auto"/>
          <w:highlight w:val="none"/>
        </w:rPr>
        <w:fldChar w:fldCharType="begin"/>
      </w:r>
      <w:r>
        <w:rPr>
          <w:color w:val="auto"/>
          <w:highlight w:val="none"/>
        </w:rPr>
        <w:instrText xml:space="preserve"> PAGEREF _Toc19775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167FE8FC">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"_Toc5147" </w:instrText>
      </w:r>
      <w:r>
        <w:rPr>
          <w:color w:val="auto"/>
          <w:highlight w:val="none"/>
        </w:rPr>
        <w:fldChar w:fldCharType="separate"/>
      </w:r>
      <w:r>
        <w:rPr>
          <w:rFonts w:hint="eastAsia" w:ascii="仿宋" w:hAnsi="仿宋" w:eastAsia="仿宋" w:cs="仿宋"/>
          <w:bCs/>
          <w:color w:val="auto"/>
          <w:highlight w:val="none"/>
        </w:rPr>
        <w:t>四、</w:t>
      </w:r>
      <w:r>
        <w:rPr>
          <w:rFonts w:hint="eastAsia" w:ascii="仿宋" w:hAnsi="仿宋" w:eastAsia="仿宋" w:cs="仿宋"/>
          <w:color w:val="auto"/>
          <w:highlight w:val="none"/>
        </w:rPr>
        <w:t>中小企业投标价格统计表</w:t>
      </w:r>
      <w:r>
        <w:rPr>
          <w:color w:val="auto"/>
          <w:highlight w:val="none"/>
        </w:rPr>
        <w:tab/>
      </w:r>
      <w:r>
        <w:rPr>
          <w:color w:val="auto"/>
          <w:highlight w:val="none"/>
        </w:rPr>
        <w:fldChar w:fldCharType="begin"/>
      </w:r>
      <w:r>
        <w:rPr>
          <w:color w:val="auto"/>
          <w:highlight w:val="none"/>
        </w:rPr>
        <w:instrText xml:space="preserve"> PAGEREF _Toc5147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4419DBA5">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"_Toc18831" </w:instrText>
      </w:r>
      <w:r>
        <w:rPr>
          <w:color w:val="auto"/>
          <w:highlight w:val="none"/>
        </w:rPr>
        <w:fldChar w:fldCharType="separate"/>
      </w:r>
      <w:r>
        <w:rPr>
          <w:rFonts w:hint="eastAsia" w:ascii="仿宋" w:hAnsi="仿宋" w:eastAsia="仿宋" w:cs="仿宋"/>
          <w:color w:val="auto"/>
          <w:highlight w:val="none"/>
        </w:rPr>
        <w:t>五、商务条款偏离表</w:t>
      </w:r>
      <w:r>
        <w:rPr>
          <w:color w:val="auto"/>
          <w:highlight w:val="none"/>
        </w:rPr>
        <w:tab/>
      </w:r>
      <w:r>
        <w:rPr>
          <w:color w:val="auto"/>
          <w:highlight w:val="none"/>
        </w:rPr>
        <w:fldChar w:fldCharType="begin"/>
      </w:r>
      <w:r>
        <w:rPr>
          <w:color w:val="auto"/>
          <w:highlight w:val="none"/>
        </w:rPr>
        <w:instrText xml:space="preserve"> PAGEREF _Toc18831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2F0C297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"_Toc3018" </w:instrText>
      </w:r>
      <w:r>
        <w:rPr>
          <w:color w:val="auto"/>
          <w:highlight w:val="none"/>
        </w:rPr>
        <w:fldChar w:fldCharType="separate"/>
      </w:r>
      <w:r>
        <w:rPr>
          <w:rFonts w:hint="eastAsia" w:ascii="仿宋" w:hAnsi="仿宋" w:eastAsia="仿宋" w:cs="仿宋"/>
          <w:color w:val="auto"/>
          <w:highlight w:val="none"/>
        </w:rPr>
        <w:t>六、技术条款偏离表</w:t>
      </w:r>
      <w:r>
        <w:rPr>
          <w:color w:val="auto"/>
          <w:highlight w:val="none"/>
        </w:rPr>
        <w:tab/>
      </w:r>
      <w:r>
        <w:rPr>
          <w:color w:val="auto"/>
          <w:highlight w:val="none"/>
        </w:rPr>
        <w:fldChar w:fldCharType="begin"/>
      </w:r>
      <w:r>
        <w:rPr>
          <w:color w:val="auto"/>
          <w:highlight w:val="none"/>
        </w:rPr>
        <w:instrText xml:space="preserve"> PAGEREF _Toc3018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009EF8D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"_Toc23364" </w:instrText>
      </w:r>
      <w:r>
        <w:rPr>
          <w:color w:val="auto"/>
          <w:highlight w:val="none"/>
        </w:rPr>
        <w:fldChar w:fldCharType="separate"/>
      </w:r>
      <w:r>
        <w:rPr>
          <w:rFonts w:hint="eastAsia" w:ascii="仿宋" w:hAnsi="仿宋" w:eastAsia="仿宋" w:cs="仿宋"/>
          <w:color w:val="auto"/>
          <w:highlight w:val="none"/>
        </w:rPr>
        <w:t>七、法定代表人身份证明书</w:t>
      </w:r>
      <w:r>
        <w:rPr>
          <w:color w:val="auto"/>
          <w:highlight w:val="none"/>
        </w:rPr>
        <w:tab/>
      </w:r>
      <w:r>
        <w:rPr>
          <w:color w:val="auto"/>
          <w:highlight w:val="none"/>
        </w:rPr>
        <w:fldChar w:fldCharType="begin"/>
      </w:r>
      <w:r>
        <w:rPr>
          <w:color w:val="auto"/>
          <w:highlight w:val="none"/>
        </w:rPr>
        <w:instrText xml:space="preserve"> PAGEREF _Toc23364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6DBC542C">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"_Toc12418" </w:instrText>
      </w:r>
      <w:r>
        <w:rPr>
          <w:color w:val="auto"/>
          <w:highlight w:val="none"/>
        </w:rPr>
        <w:fldChar w:fldCharType="separate"/>
      </w:r>
      <w:r>
        <w:rPr>
          <w:rFonts w:hint="eastAsia" w:ascii="仿宋" w:hAnsi="仿宋" w:eastAsia="仿宋" w:cs="仿宋"/>
          <w:color w:val="auto"/>
          <w:highlight w:val="none"/>
        </w:rPr>
        <w:t>八、法定代表人授权委托书</w:t>
      </w:r>
      <w:r>
        <w:rPr>
          <w:color w:val="auto"/>
          <w:highlight w:val="none"/>
        </w:rPr>
        <w:tab/>
      </w:r>
      <w:r>
        <w:rPr>
          <w:color w:val="auto"/>
          <w:highlight w:val="none"/>
        </w:rPr>
        <w:fldChar w:fldCharType="begin"/>
      </w:r>
      <w:r>
        <w:rPr>
          <w:color w:val="auto"/>
          <w:highlight w:val="none"/>
        </w:rPr>
        <w:instrText xml:space="preserve"> PAGEREF _Toc12418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6CF60B8D">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"_Toc13101" </w:instrText>
      </w:r>
      <w:r>
        <w:rPr>
          <w:color w:val="auto"/>
          <w:highlight w:val="none"/>
        </w:rPr>
        <w:fldChar w:fldCharType="separate"/>
      </w:r>
      <w:r>
        <w:rPr>
          <w:rFonts w:hint="eastAsia" w:ascii="仿宋" w:hAnsi="仿宋" w:eastAsia="仿宋" w:cs="仿宋"/>
          <w:color w:val="auto"/>
          <w:highlight w:val="none"/>
        </w:rPr>
        <w:t>十、投标人近年类似项目情况表</w:t>
      </w:r>
      <w:r>
        <w:rPr>
          <w:color w:val="auto"/>
          <w:highlight w:val="none"/>
        </w:rPr>
        <w:tab/>
      </w:r>
      <w:r>
        <w:rPr>
          <w:color w:val="auto"/>
          <w:highlight w:val="none"/>
        </w:rPr>
        <w:fldChar w:fldCharType="begin"/>
      </w:r>
      <w:r>
        <w:rPr>
          <w:color w:val="auto"/>
          <w:highlight w:val="none"/>
        </w:rPr>
        <w:instrText xml:space="preserve"> PAGEREF _Toc13101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3626176F">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"_Toc31200"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十一、售后服务承诺书</w:t>
      </w:r>
      <w:r>
        <w:rPr>
          <w:color w:val="auto"/>
          <w:highlight w:val="none"/>
        </w:rPr>
        <w:tab/>
      </w:r>
      <w:r>
        <w:rPr>
          <w:color w:val="auto"/>
          <w:highlight w:val="none"/>
        </w:rPr>
        <w:fldChar w:fldCharType="begin"/>
      </w:r>
      <w:r>
        <w:rPr>
          <w:color w:val="auto"/>
          <w:highlight w:val="none"/>
        </w:rPr>
        <w:instrText xml:space="preserve"> PAGEREF _Toc31200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6E5DD6DC">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"_Toc1112"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十二、技术方案</w:t>
      </w:r>
      <w:r>
        <w:rPr>
          <w:color w:val="auto"/>
          <w:highlight w:val="none"/>
        </w:rPr>
        <w:tab/>
      </w:r>
      <w:r>
        <w:rPr>
          <w:color w:val="auto"/>
          <w:highlight w:val="none"/>
        </w:rPr>
        <w:fldChar w:fldCharType="begin"/>
      </w:r>
      <w:r>
        <w:rPr>
          <w:color w:val="auto"/>
          <w:highlight w:val="none"/>
        </w:rPr>
        <w:instrText xml:space="preserve"> PAGEREF _Toc1112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2108B873">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"_Toc32491" </w:instrText>
      </w:r>
      <w:r>
        <w:rPr>
          <w:color w:val="auto"/>
          <w:highlight w:val="none"/>
        </w:rPr>
        <w:fldChar w:fldCharType="separate"/>
      </w:r>
      <w:r>
        <w:rPr>
          <w:rFonts w:hint="eastAsia" w:ascii="仿宋" w:hAnsi="仿宋" w:eastAsia="仿宋" w:cs="仿宋"/>
          <w:color w:val="auto"/>
          <w:highlight w:val="none"/>
        </w:rPr>
        <w:t>十三、保证金缴纳证明材料</w:t>
      </w:r>
      <w:r>
        <w:rPr>
          <w:color w:val="auto"/>
          <w:highlight w:val="none"/>
        </w:rPr>
        <w:tab/>
      </w:r>
      <w:r>
        <w:rPr>
          <w:color w:val="auto"/>
          <w:highlight w:val="none"/>
        </w:rPr>
        <w:fldChar w:fldCharType="begin"/>
      </w:r>
      <w:r>
        <w:rPr>
          <w:color w:val="auto"/>
          <w:highlight w:val="none"/>
        </w:rPr>
        <w:instrText xml:space="preserve"> PAGEREF _Toc32491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6698D770">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"_Toc24624" </w:instrText>
      </w:r>
      <w:r>
        <w:rPr>
          <w:color w:val="auto"/>
          <w:highlight w:val="none"/>
        </w:rPr>
        <w:fldChar w:fldCharType="separate"/>
      </w:r>
      <w:r>
        <w:rPr>
          <w:rFonts w:hint="eastAsia" w:ascii="仿宋" w:hAnsi="仿宋" w:eastAsia="仿宋" w:cs="仿宋"/>
          <w:color w:val="auto"/>
          <w:highlight w:val="none"/>
        </w:rPr>
        <w:t>十四、其它需要提交的资料</w:t>
      </w:r>
      <w:r>
        <w:rPr>
          <w:color w:val="auto"/>
          <w:highlight w:val="none"/>
        </w:rPr>
        <w:tab/>
      </w:r>
      <w:r>
        <w:rPr>
          <w:color w:val="auto"/>
          <w:highlight w:val="none"/>
        </w:rPr>
        <w:fldChar w:fldCharType="begin"/>
      </w:r>
      <w:r>
        <w:rPr>
          <w:color w:val="auto"/>
          <w:highlight w:val="none"/>
        </w:rPr>
        <w:instrText xml:space="preserve"> PAGEREF _Toc24624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108DBE5B">
      <w:pPr>
        <w:pStyle w:val="23"/>
        <w:tabs>
          <w:tab w:val="right" w:leader="dot" w:pos="9354"/>
        </w:tabs>
        <w:rPr>
          <w:color w:val="auto"/>
          <w:highlight w:val="none"/>
        </w:rPr>
      </w:pPr>
      <w:r>
        <w:rPr>
          <w:color w:val="auto"/>
          <w:highlight w:val="none"/>
        </w:rPr>
        <w:fldChar w:fldCharType="begin"/>
      </w:r>
      <w:r>
        <w:rPr>
          <w:color w:val="auto"/>
          <w:highlight w:val="none"/>
        </w:rPr>
        <w:instrText xml:space="preserve"> HYPERLINK \l "_Toc11411" </w:instrText>
      </w:r>
      <w:r>
        <w:rPr>
          <w:color w:val="auto"/>
          <w:highlight w:val="none"/>
        </w:rPr>
        <w:fldChar w:fldCharType="separate"/>
      </w:r>
      <w:r>
        <w:rPr>
          <w:rFonts w:hint="eastAsia" w:ascii="仿宋" w:hAnsi="仿宋" w:eastAsia="仿宋" w:cs="仿宋"/>
          <w:color w:val="auto"/>
          <w:highlight w:val="none"/>
        </w:rPr>
        <w:t>第六章 补充条款</w:t>
      </w:r>
      <w:r>
        <w:rPr>
          <w:color w:val="auto"/>
          <w:highlight w:val="none"/>
        </w:rPr>
        <w:tab/>
      </w:r>
      <w:r>
        <w:rPr>
          <w:color w:val="auto"/>
          <w:highlight w:val="none"/>
        </w:rPr>
        <w:fldChar w:fldCharType="begin"/>
      </w:r>
      <w:r>
        <w:rPr>
          <w:color w:val="auto"/>
          <w:highlight w:val="none"/>
        </w:rPr>
        <w:instrText xml:space="preserve"> PAGEREF _Toc11411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28CC544B">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"_Toc3394" </w:instrText>
      </w:r>
      <w:r>
        <w:rPr>
          <w:color w:val="auto"/>
          <w:highlight w:val="none"/>
        </w:rPr>
        <w:fldChar w:fldCharType="separate"/>
      </w:r>
      <w:r>
        <w:rPr>
          <w:rFonts w:hint="eastAsia" w:ascii="仿宋" w:hAnsi="仿宋" w:eastAsia="仿宋" w:cs="仿宋"/>
          <w:color w:val="auto"/>
          <w:spacing w:val="6"/>
          <w:highlight w:val="none"/>
        </w:rPr>
        <w:t>附件一、中小企业扶持政策</w:t>
      </w:r>
      <w:r>
        <w:rPr>
          <w:color w:val="auto"/>
          <w:highlight w:val="none"/>
        </w:rPr>
        <w:tab/>
      </w:r>
      <w:r>
        <w:rPr>
          <w:color w:val="auto"/>
          <w:highlight w:val="none"/>
        </w:rPr>
        <w:fldChar w:fldCharType="begin"/>
      </w:r>
      <w:r>
        <w:rPr>
          <w:color w:val="auto"/>
          <w:highlight w:val="none"/>
        </w:rPr>
        <w:instrText xml:space="preserve"> PAGEREF _Toc3394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41CA93AB">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"_Toc5727" </w:instrText>
      </w:r>
      <w:r>
        <w:rPr>
          <w:color w:val="auto"/>
          <w:highlight w:val="none"/>
        </w:rPr>
        <w:fldChar w:fldCharType="separate"/>
      </w:r>
      <w:r>
        <w:rPr>
          <w:rFonts w:hint="eastAsia" w:ascii="仿宋" w:hAnsi="仿宋" w:eastAsia="仿宋" w:cs="仿宋"/>
          <w:color w:val="auto"/>
          <w:spacing w:val="6"/>
          <w:highlight w:val="none"/>
        </w:rPr>
        <w:t>附件二、残疾人企业扶持政策</w:t>
      </w:r>
      <w:r>
        <w:rPr>
          <w:color w:val="auto"/>
          <w:highlight w:val="none"/>
        </w:rPr>
        <w:tab/>
      </w:r>
      <w:r>
        <w:rPr>
          <w:color w:val="auto"/>
          <w:highlight w:val="none"/>
        </w:rPr>
        <w:fldChar w:fldCharType="begin"/>
      </w:r>
      <w:r>
        <w:rPr>
          <w:color w:val="auto"/>
          <w:highlight w:val="none"/>
        </w:rPr>
        <w:instrText xml:space="preserve"> PAGEREF _Toc5727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138FD978">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仿宋" w:hAnsi="仿宋" w:eastAsia="仿宋" w:cs="仿宋"/>
          <w:color w:val="auto"/>
          <w:spacing w:val="6"/>
          <w:highlight w:val="none"/>
        </w:rPr>
        <w:t>附件三、监狱扶持政策</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10969BFA">
      <w:pPr>
        <w:pStyle w:val="29"/>
        <w:tabs>
          <w:tab w:val="right" w:leader="dot" w:pos="9354"/>
        </w:tabs>
        <w:rPr>
          <w:color w:val="auto"/>
          <w:highlight w:val="none"/>
        </w:rPr>
      </w:pPr>
      <w:r>
        <w:rPr>
          <w:color w:val="auto"/>
          <w:highlight w:val="none"/>
        </w:rPr>
        <w:fldChar w:fldCharType="begin"/>
      </w:r>
      <w:r>
        <w:rPr>
          <w:color w:val="auto"/>
          <w:highlight w:val="none"/>
        </w:rPr>
        <w:instrText xml:space="preserve"> HYPERLINK \l "_Toc17663" </w:instrText>
      </w:r>
      <w:r>
        <w:rPr>
          <w:color w:val="auto"/>
          <w:highlight w:val="none"/>
        </w:rPr>
        <w:fldChar w:fldCharType="separate"/>
      </w:r>
      <w:r>
        <w:rPr>
          <w:rFonts w:hint="eastAsia" w:ascii="仿宋" w:hAnsi="仿宋" w:eastAsia="仿宋" w:cs="仿宋"/>
          <w:color w:val="auto"/>
          <w:spacing w:val="6"/>
          <w:highlight w:val="none"/>
        </w:rPr>
        <w:t>附件四、实施本国产品标准及相关政策</w:t>
      </w:r>
      <w:r>
        <w:rPr>
          <w:color w:val="auto"/>
          <w:highlight w:val="none"/>
        </w:rPr>
        <w:tab/>
      </w:r>
      <w:r>
        <w:rPr>
          <w:color w:val="auto"/>
          <w:highlight w:val="none"/>
        </w:rPr>
        <w:fldChar w:fldCharType="begin"/>
      </w:r>
      <w:r>
        <w:rPr>
          <w:color w:val="auto"/>
          <w:highlight w:val="none"/>
        </w:rPr>
        <w:instrText xml:space="preserve"> PAGEREF _Toc17663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7CEA6EF4">
      <w:pPr>
        <w:rPr>
          <w:rFonts w:hint="eastAsia" w:ascii="仿宋" w:hAnsi="仿宋" w:eastAsia="仿宋" w:cs="仿宋"/>
          <w:color w:val="auto"/>
          <w:highlight w:val="none"/>
        </w:rPr>
      </w:pPr>
      <w:r>
        <w:rPr>
          <w:rFonts w:hint="eastAsia" w:ascii="仿宋" w:hAnsi="仿宋" w:eastAsia="仿宋" w:cs="仿宋"/>
          <w:color w:val="auto"/>
          <w:highlight w:val="none"/>
        </w:rPr>
        <w:fldChar w:fldCharType="end"/>
      </w:r>
      <w:bookmarkStart w:id="0" w:name="_Toc17403"/>
    </w:p>
    <w:p w14:paraId="48AF7C21">
      <w:pPr>
        <w:jc w:val="center"/>
        <w:outlineLvl w:val="0"/>
        <w:rPr>
          <w:rFonts w:hint="eastAsia" w:ascii="仿宋" w:hAnsi="仿宋" w:eastAsia="仿宋" w:cs="仿宋"/>
          <w:b/>
          <w:bCs/>
          <w:color w:val="auto"/>
          <w:sz w:val="32"/>
          <w:szCs w:val="32"/>
          <w:highlight w:val="none"/>
        </w:rPr>
        <w:sectPr>
          <w:footerReference r:id="rId5" w:type="default"/>
          <w:pgSz w:w="11906" w:h="16838"/>
          <w:pgMar w:top="1361" w:right="1134" w:bottom="1361" w:left="1418" w:header="851" w:footer="992" w:gutter="0"/>
          <w:pgNumType w:start="1"/>
          <w:cols w:space="720" w:num="1"/>
          <w:docGrid w:type="lines" w:linePitch="312" w:charSpace="0"/>
        </w:sectPr>
      </w:pPr>
    </w:p>
    <w:p w14:paraId="0F39D0A3">
      <w:pPr>
        <w:jc w:val="center"/>
        <w:outlineLvl w:val="0"/>
        <w:rPr>
          <w:rFonts w:hint="eastAsia" w:ascii="仿宋" w:hAnsi="仿宋" w:eastAsia="仿宋" w:cs="仿宋"/>
          <w:b/>
          <w:bCs/>
          <w:color w:val="auto"/>
          <w:sz w:val="24"/>
          <w:szCs w:val="24"/>
          <w:highlight w:val="none"/>
        </w:rPr>
      </w:pPr>
      <w:bookmarkStart w:id="1" w:name="_Toc19398"/>
      <w:r>
        <w:rPr>
          <w:rFonts w:hint="eastAsia" w:ascii="仿宋" w:hAnsi="仿宋" w:eastAsia="仿宋" w:cs="仿宋"/>
          <w:b/>
          <w:bCs/>
          <w:color w:val="auto"/>
          <w:sz w:val="32"/>
          <w:szCs w:val="32"/>
          <w:highlight w:val="none"/>
        </w:rPr>
        <w:t>招标公告</w:t>
      </w:r>
      <w:bookmarkEnd w:id="0"/>
      <w:bookmarkEnd w:id="1"/>
    </w:p>
    <w:p w14:paraId="3805BE1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4F5AD0D3">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新疆农业大学机电学院教学科研设备更新项目第二包的潜在投标人应在政采云平台线上获取招标文件，并于2026年</w:t>
      </w:r>
      <w:r>
        <w:rPr>
          <w:rFonts w:hint="eastAsia" w:ascii="仿宋" w:hAnsi="仿宋" w:eastAsia="仿宋" w:cs="仿宋"/>
          <w:color w:val="auto"/>
          <w:sz w:val="24"/>
          <w:szCs w:val="24"/>
          <w:highlight w:val="none"/>
          <w:lang w:eastAsia="zh-CN"/>
        </w:rPr>
        <w:t>08月07日 11:00</w:t>
      </w:r>
      <w:r>
        <w:rPr>
          <w:rFonts w:hint="eastAsia" w:ascii="仿宋" w:hAnsi="仿宋" w:eastAsia="仿宋" w:cs="仿宋"/>
          <w:color w:val="auto"/>
          <w:sz w:val="24"/>
          <w:szCs w:val="24"/>
          <w:highlight w:val="none"/>
        </w:rPr>
        <w:t>（北京时间）前递交</w:t>
      </w:r>
      <w:bookmarkStart w:id="363" w:name="_GoBack"/>
      <w:bookmarkEnd w:id="363"/>
      <w:r>
        <w:rPr>
          <w:rFonts w:hint="eastAsia" w:ascii="仿宋" w:hAnsi="仿宋" w:eastAsia="仿宋" w:cs="仿宋"/>
          <w:color w:val="auto"/>
          <w:sz w:val="24"/>
          <w:szCs w:val="24"/>
          <w:highlight w:val="none"/>
        </w:rPr>
        <w:t>投标文件。</w:t>
      </w:r>
    </w:p>
    <w:p w14:paraId="6A09FF4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1C930B5B">
      <w:pPr>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 xml:space="preserve"> XJXSJ-2026（ZC）-301-02（2）</w:t>
      </w:r>
    </w:p>
    <w:p w14:paraId="50275D4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项目名称：新疆农业大学机电学院教学科研设备更新项目第二包</w:t>
      </w:r>
    </w:p>
    <w:p w14:paraId="11314D2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2B68752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预算金额（元）：2490000.00</w:t>
      </w:r>
    </w:p>
    <w:p w14:paraId="6164342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最高限价（元）：2490000.00</w:t>
      </w:r>
    </w:p>
    <w:p w14:paraId="5C31E98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数量:1批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简要规格描述或项目基本概况介绍、用途：</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项目聚焦</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新工科背景下农业工程与智能装备的深度融合</w:t>
      </w:r>
      <w:r>
        <w:rPr>
          <w:rFonts w:hint="eastAsia" w:ascii="MS Gothic" w:hAnsi="MS Gothic" w:eastAsia="MS Gothic" w:cs="MS Gothic"/>
          <w:color w:val="auto"/>
          <w:sz w:val="24"/>
          <w:szCs w:val="24"/>
          <w:highlight w:val="none"/>
        </w:rPr>
        <w:t>‌</w:t>
      </w:r>
      <w:r>
        <w:rPr>
          <w:rFonts w:hint="eastAsia" w:ascii="仿宋" w:hAnsi="仿宋" w:eastAsia="仿宋" w:cs="仿宋"/>
          <w:color w:val="auto"/>
          <w:sz w:val="24"/>
          <w:szCs w:val="24"/>
          <w:highlight w:val="none"/>
        </w:rPr>
        <w:t>，通过引进一批高精度、模块化、智能化的教学科研设备，打造覆盖“设计—仿真—制造—测试”全链条的实训环境。项目强调‌虚实结合、产教融合‌，服务于本科实验教学、研究生科研创新及教师技术攻关，推动机电类专业向数字化、智能化方向转型升级。采购要求详见招标文件。</w:t>
      </w:r>
    </w:p>
    <w:p w14:paraId="01D9AC3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合同履约期限：自合同签订之日起90个工作日内送达采购人指定地点并安装调试完毕。</w:t>
      </w:r>
    </w:p>
    <w:p w14:paraId="16B0028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795E0BB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二、投标人的资格要求：</w:t>
      </w:r>
    </w:p>
    <w:p w14:paraId="27F4B3C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71A12DE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2、本项目专门面向中小企业采购，投标人所投货物制造商须均为中小企业。</w:t>
      </w:r>
    </w:p>
    <w:p w14:paraId="4F6B16F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如在“信用中国”网站（www.creditchina.gov.cn）、中国政府采购网（www.ccgp.gov.cn）等渠道被列入失信被执行人、重大税收违法失信主体、政府采购严重违法失信行为记录名单，尚在处罚期内的将被拒绝参加本次采购活动。</w:t>
      </w:r>
    </w:p>
    <w:p w14:paraId="5A5CDAF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374942B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时间：2026年0</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日至2026年0</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日，每天上午00:00至14:00，下午14:00至23:59（北京时间，法定节假日除外）</w:t>
      </w:r>
    </w:p>
    <w:p w14:paraId="10926D62">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5C7B13D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投标人登录政采云平台https://www.zcygov.cn/在线申请获取采购文件（进入“项目采购”应用，在获取采购文件菜单中选择项目，申请获取采购文件），或者点击采购公告底部潜在投标人“获取采购文件”，页面跳转后登陆，直接获取采购文件。</w:t>
      </w:r>
    </w:p>
    <w:p w14:paraId="78B493F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429C5BE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037F186C">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提交投标文件截止时间：2026年</w:t>
      </w:r>
      <w:r>
        <w:rPr>
          <w:rFonts w:hint="eastAsia" w:ascii="仿宋" w:hAnsi="仿宋" w:eastAsia="仿宋" w:cs="仿宋"/>
          <w:color w:val="auto"/>
          <w:sz w:val="24"/>
          <w:szCs w:val="24"/>
          <w:highlight w:val="none"/>
          <w:lang w:eastAsia="zh-CN"/>
        </w:rPr>
        <w:t>08月07日 11:00</w:t>
      </w:r>
      <w:r>
        <w:rPr>
          <w:rFonts w:hint="eastAsia" w:ascii="仿宋" w:hAnsi="仿宋" w:eastAsia="仿宋" w:cs="仿宋"/>
          <w:color w:val="auto"/>
          <w:sz w:val="24"/>
          <w:szCs w:val="24"/>
          <w:highlight w:val="none"/>
        </w:rPr>
        <w:t>（北京时间）</w:t>
      </w:r>
    </w:p>
    <w:p w14:paraId="3DD896B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391BB0A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开标时间：2026年</w:t>
      </w:r>
      <w:r>
        <w:rPr>
          <w:rFonts w:hint="eastAsia" w:ascii="仿宋" w:hAnsi="仿宋" w:eastAsia="仿宋" w:cs="仿宋"/>
          <w:color w:val="auto"/>
          <w:sz w:val="24"/>
          <w:szCs w:val="24"/>
          <w:highlight w:val="none"/>
          <w:lang w:eastAsia="zh-CN"/>
        </w:rPr>
        <w:t>08月07日 11:00</w:t>
      </w:r>
      <w:r>
        <w:rPr>
          <w:rFonts w:hint="eastAsia" w:ascii="仿宋" w:hAnsi="仿宋" w:eastAsia="仿宋" w:cs="仿宋"/>
          <w:color w:val="auto"/>
          <w:sz w:val="24"/>
          <w:szCs w:val="24"/>
          <w:highlight w:val="none"/>
        </w:rPr>
        <w:t>（北京时间）</w:t>
      </w:r>
    </w:p>
    <w:p w14:paraId="7654779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217BD669">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26DD40C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110BDD5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0F36A5B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3E808B9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6478E4F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w:t>
      </w:r>
    </w:p>
    <w:p w14:paraId="0CF4DD4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18355195087</w:t>
      </w:r>
    </w:p>
    <w:p w14:paraId="28D8D4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2155E8C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77CF69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6B157D0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3269EFC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2520595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65114E3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电 话：0991-4661782</w:t>
      </w:r>
    </w:p>
    <w:p w14:paraId="63F1FFAC">
      <w:pPr>
        <w:rPr>
          <w:rFonts w:hint="eastAsia" w:ascii="仿宋" w:hAnsi="仿宋" w:eastAsia="仿宋" w:cs="仿宋"/>
          <w:color w:val="auto"/>
          <w:sz w:val="24"/>
          <w:highlight w:val="none"/>
        </w:rPr>
        <w:sectPr>
          <w:footerReference r:id="rId6" w:type="default"/>
          <w:pgSz w:w="11906" w:h="16838"/>
          <w:pgMar w:top="1361" w:right="1134" w:bottom="1361" w:left="1418" w:header="851" w:footer="992" w:gutter="0"/>
          <w:pgNumType w:start="1"/>
          <w:cols w:space="720" w:num="1"/>
          <w:docGrid w:type="lines" w:linePitch="312" w:charSpace="0"/>
        </w:sectPr>
      </w:pPr>
    </w:p>
    <w:p w14:paraId="55EA6112">
      <w:pPr>
        <w:spacing w:line="440" w:lineRule="exact"/>
        <w:jc w:val="center"/>
        <w:outlineLvl w:val="0"/>
        <w:rPr>
          <w:rFonts w:hint="eastAsia" w:ascii="仿宋" w:hAnsi="仿宋" w:eastAsia="仿宋" w:cs="仿宋"/>
          <w:b/>
          <w:color w:val="auto"/>
          <w:sz w:val="24"/>
          <w:szCs w:val="24"/>
          <w:highlight w:val="none"/>
        </w:rPr>
      </w:pPr>
      <w:bookmarkStart w:id="2" w:name="_Toc23861"/>
      <w:bookmarkStart w:id="3" w:name="_Toc32277"/>
      <w:r>
        <w:rPr>
          <w:rFonts w:hint="eastAsia" w:ascii="仿宋" w:hAnsi="仿宋" w:eastAsia="仿宋" w:cs="仿宋"/>
          <w:b/>
          <w:color w:val="auto"/>
          <w:sz w:val="24"/>
          <w:szCs w:val="24"/>
          <w:highlight w:val="none"/>
        </w:rPr>
        <w:t>投标人须知前附表</w:t>
      </w:r>
      <w:bookmarkEnd w:id="2"/>
      <w:bookmarkEnd w:id="3"/>
    </w:p>
    <w:tbl>
      <w:tblPr>
        <w:tblStyle w:val="38"/>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071AC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1B9AC57C">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1B96E6A3">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0CBD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28F9A7F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0CACFEB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63B408A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新疆农业大学机电学院教学科研设备更新项目第二包</w:t>
            </w:r>
          </w:p>
        </w:tc>
      </w:tr>
      <w:tr w14:paraId="0E70E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C18815C">
            <w:pPr>
              <w:jc w:val="center"/>
              <w:rPr>
                <w:rFonts w:hint="eastAsia" w:ascii="仿宋" w:hAnsi="仿宋" w:eastAsia="仿宋" w:cs="仿宋"/>
                <w:color w:val="auto"/>
                <w:kern w:val="0"/>
                <w:szCs w:val="21"/>
                <w:highlight w:val="none"/>
              </w:rPr>
            </w:pPr>
          </w:p>
        </w:tc>
        <w:tc>
          <w:tcPr>
            <w:tcW w:w="1410" w:type="dxa"/>
            <w:vAlign w:val="center"/>
          </w:tcPr>
          <w:p w14:paraId="332794F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1089B852">
            <w:pPr>
              <w:keepNext/>
              <w:widowControl/>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 xml:space="preserve"> XJXSJ-2026（ZC）-301-02（2）</w:t>
            </w:r>
          </w:p>
        </w:tc>
      </w:tr>
      <w:tr w14:paraId="7C132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1BA68CE0">
            <w:pPr>
              <w:jc w:val="center"/>
              <w:rPr>
                <w:rFonts w:hint="eastAsia" w:ascii="仿宋" w:hAnsi="仿宋" w:eastAsia="仿宋" w:cs="仿宋"/>
                <w:color w:val="auto"/>
                <w:kern w:val="0"/>
                <w:szCs w:val="21"/>
                <w:highlight w:val="none"/>
              </w:rPr>
            </w:pPr>
          </w:p>
        </w:tc>
        <w:tc>
          <w:tcPr>
            <w:tcW w:w="1410" w:type="dxa"/>
            <w:vAlign w:val="center"/>
          </w:tcPr>
          <w:p w14:paraId="5F772C3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79E90935">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w:t>
            </w:r>
          </w:p>
        </w:tc>
      </w:tr>
      <w:tr w14:paraId="184D2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0628CEC2">
            <w:pPr>
              <w:jc w:val="center"/>
              <w:rPr>
                <w:rFonts w:hint="eastAsia" w:ascii="仿宋" w:hAnsi="仿宋" w:eastAsia="仿宋" w:cs="仿宋"/>
                <w:color w:val="auto"/>
                <w:kern w:val="0"/>
                <w:szCs w:val="21"/>
                <w:highlight w:val="none"/>
              </w:rPr>
            </w:pPr>
          </w:p>
        </w:tc>
        <w:tc>
          <w:tcPr>
            <w:tcW w:w="1410" w:type="dxa"/>
            <w:vAlign w:val="center"/>
          </w:tcPr>
          <w:p w14:paraId="669096B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53F27A5D">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7CBFF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414F92C">
            <w:pPr>
              <w:jc w:val="center"/>
              <w:rPr>
                <w:rFonts w:hint="eastAsia" w:ascii="仿宋" w:hAnsi="仿宋" w:eastAsia="仿宋" w:cs="仿宋"/>
                <w:color w:val="auto"/>
                <w:kern w:val="0"/>
                <w:szCs w:val="21"/>
                <w:highlight w:val="none"/>
              </w:rPr>
            </w:pPr>
          </w:p>
        </w:tc>
        <w:tc>
          <w:tcPr>
            <w:tcW w:w="1410" w:type="dxa"/>
            <w:vAlign w:val="center"/>
          </w:tcPr>
          <w:p w14:paraId="13A7E91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2BA53A72">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5B613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BA3FBCD">
            <w:pPr>
              <w:jc w:val="center"/>
              <w:rPr>
                <w:rFonts w:hint="eastAsia" w:ascii="仿宋" w:hAnsi="仿宋" w:eastAsia="仿宋" w:cs="仿宋"/>
                <w:color w:val="auto"/>
                <w:kern w:val="0"/>
                <w:szCs w:val="21"/>
                <w:highlight w:val="none"/>
              </w:rPr>
            </w:pPr>
          </w:p>
        </w:tc>
        <w:tc>
          <w:tcPr>
            <w:tcW w:w="1410" w:type="dxa"/>
            <w:vAlign w:val="center"/>
          </w:tcPr>
          <w:p w14:paraId="0CFFE32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4FBB315A">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财政资金</w:t>
            </w:r>
          </w:p>
        </w:tc>
      </w:tr>
      <w:tr w14:paraId="05777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C2687B4">
            <w:pPr>
              <w:jc w:val="center"/>
              <w:rPr>
                <w:rFonts w:hint="eastAsia" w:ascii="仿宋" w:hAnsi="仿宋" w:eastAsia="仿宋" w:cs="仿宋"/>
                <w:color w:val="auto"/>
                <w:kern w:val="0"/>
                <w:szCs w:val="21"/>
                <w:highlight w:val="none"/>
              </w:rPr>
            </w:pPr>
          </w:p>
        </w:tc>
        <w:tc>
          <w:tcPr>
            <w:tcW w:w="1410" w:type="dxa"/>
            <w:vAlign w:val="center"/>
          </w:tcPr>
          <w:p w14:paraId="2D30E40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47A7A526">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2490000.00元</w:t>
            </w:r>
          </w:p>
        </w:tc>
      </w:tr>
      <w:tr w14:paraId="480D7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254CA5D">
            <w:pPr>
              <w:jc w:val="center"/>
              <w:rPr>
                <w:rFonts w:hint="eastAsia" w:ascii="仿宋" w:hAnsi="仿宋" w:eastAsia="仿宋" w:cs="仿宋"/>
                <w:color w:val="auto"/>
                <w:kern w:val="0"/>
                <w:szCs w:val="21"/>
                <w:highlight w:val="none"/>
              </w:rPr>
            </w:pPr>
          </w:p>
        </w:tc>
        <w:tc>
          <w:tcPr>
            <w:tcW w:w="1410" w:type="dxa"/>
            <w:vAlign w:val="center"/>
          </w:tcPr>
          <w:p w14:paraId="19E4414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64A9256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2490000.00元</w:t>
            </w:r>
          </w:p>
        </w:tc>
      </w:tr>
      <w:tr w14:paraId="331A3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86" w:hRule="atLeast"/>
          <w:jc w:val="center"/>
        </w:trPr>
        <w:tc>
          <w:tcPr>
            <w:tcW w:w="597" w:type="dxa"/>
            <w:vMerge w:val="continue"/>
            <w:vAlign w:val="center"/>
          </w:tcPr>
          <w:p w14:paraId="47BDA053">
            <w:pPr>
              <w:jc w:val="center"/>
              <w:rPr>
                <w:rFonts w:hint="eastAsia" w:ascii="仿宋" w:hAnsi="仿宋" w:eastAsia="仿宋" w:cs="仿宋"/>
                <w:color w:val="auto"/>
                <w:kern w:val="0"/>
                <w:szCs w:val="21"/>
                <w:highlight w:val="none"/>
              </w:rPr>
            </w:pPr>
          </w:p>
        </w:tc>
        <w:tc>
          <w:tcPr>
            <w:tcW w:w="1410" w:type="dxa"/>
            <w:vAlign w:val="center"/>
          </w:tcPr>
          <w:p w14:paraId="50BC6DF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是否单一产品</w:t>
            </w:r>
          </w:p>
        </w:tc>
        <w:tc>
          <w:tcPr>
            <w:tcW w:w="7073" w:type="dxa"/>
            <w:vAlign w:val="center"/>
          </w:tcPr>
          <w:p w14:paraId="67D3601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是</w:t>
            </w:r>
          </w:p>
        </w:tc>
      </w:tr>
      <w:tr w14:paraId="18998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79" w:hRule="atLeast"/>
          <w:jc w:val="center"/>
        </w:trPr>
        <w:tc>
          <w:tcPr>
            <w:tcW w:w="597" w:type="dxa"/>
            <w:vMerge w:val="continue"/>
            <w:vAlign w:val="center"/>
          </w:tcPr>
          <w:p w14:paraId="0FD05850">
            <w:pPr>
              <w:jc w:val="center"/>
              <w:rPr>
                <w:rFonts w:hint="eastAsia" w:ascii="仿宋" w:hAnsi="仿宋" w:eastAsia="仿宋" w:cs="仿宋"/>
                <w:color w:val="auto"/>
                <w:kern w:val="0"/>
                <w:szCs w:val="21"/>
                <w:highlight w:val="none"/>
              </w:rPr>
            </w:pPr>
          </w:p>
        </w:tc>
        <w:tc>
          <w:tcPr>
            <w:tcW w:w="1410" w:type="dxa"/>
            <w:vAlign w:val="center"/>
          </w:tcPr>
          <w:p w14:paraId="46D89F9F">
            <w:pPr>
              <w:keepNext/>
              <w:widowControl/>
              <w:jc w:val="distribute"/>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合同履约期限</w:t>
            </w:r>
          </w:p>
        </w:tc>
        <w:tc>
          <w:tcPr>
            <w:tcW w:w="7073" w:type="dxa"/>
            <w:vAlign w:val="center"/>
          </w:tcPr>
          <w:p w14:paraId="7F707731">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自合同签订之日起90个工作日内送达采购人指定地点并安装调试完毕。</w:t>
            </w:r>
          </w:p>
        </w:tc>
      </w:tr>
      <w:tr w14:paraId="7790E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90" w:hRule="atLeast"/>
          <w:jc w:val="center"/>
        </w:trPr>
        <w:tc>
          <w:tcPr>
            <w:tcW w:w="597" w:type="dxa"/>
            <w:vMerge w:val="continue"/>
            <w:vAlign w:val="center"/>
          </w:tcPr>
          <w:p w14:paraId="55590E51">
            <w:pPr>
              <w:jc w:val="center"/>
              <w:rPr>
                <w:rFonts w:hint="eastAsia" w:ascii="仿宋" w:hAnsi="仿宋" w:eastAsia="仿宋" w:cs="仿宋"/>
                <w:color w:val="auto"/>
                <w:kern w:val="0"/>
                <w:szCs w:val="21"/>
                <w:highlight w:val="none"/>
              </w:rPr>
            </w:pPr>
          </w:p>
        </w:tc>
        <w:tc>
          <w:tcPr>
            <w:tcW w:w="1410" w:type="dxa"/>
            <w:vAlign w:val="center"/>
          </w:tcPr>
          <w:p w14:paraId="5487103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供货地点</w:t>
            </w:r>
          </w:p>
        </w:tc>
        <w:tc>
          <w:tcPr>
            <w:tcW w:w="7073" w:type="dxa"/>
            <w:vAlign w:val="center"/>
          </w:tcPr>
          <w:p w14:paraId="5C850EAD">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采购人指定地点(新疆农业大学院内）</w:t>
            </w:r>
          </w:p>
        </w:tc>
      </w:tr>
      <w:tr w14:paraId="16F2C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DB0E39E">
            <w:pPr>
              <w:jc w:val="center"/>
              <w:rPr>
                <w:rFonts w:hint="eastAsia" w:ascii="仿宋" w:hAnsi="仿宋" w:eastAsia="仿宋" w:cs="仿宋"/>
                <w:color w:val="auto"/>
                <w:kern w:val="0"/>
                <w:szCs w:val="21"/>
                <w:highlight w:val="none"/>
              </w:rPr>
            </w:pPr>
          </w:p>
        </w:tc>
        <w:tc>
          <w:tcPr>
            <w:tcW w:w="1410" w:type="dxa"/>
            <w:vAlign w:val="center"/>
          </w:tcPr>
          <w:p w14:paraId="5618E72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质保期</w:t>
            </w:r>
          </w:p>
        </w:tc>
        <w:tc>
          <w:tcPr>
            <w:tcW w:w="7073" w:type="dxa"/>
            <w:vAlign w:val="center"/>
          </w:tcPr>
          <w:p w14:paraId="1468E3AB">
            <w:pPr>
              <w:keepNext/>
              <w:widowControl/>
              <w:jc w:val="left"/>
              <w:rPr>
                <w:rFonts w:hint="eastAsia" w:ascii="仿宋" w:hAnsi="仿宋" w:eastAsia="仿宋" w:cs="仿宋"/>
                <w:color w:val="auto"/>
                <w:highlight w:val="none"/>
              </w:rPr>
            </w:pPr>
            <w:r>
              <w:rPr>
                <w:rFonts w:ascii="仿宋" w:hAnsi="仿宋" w:eastAsia="仿宋" w:cs="仿宋"/>
                <w:color w:val="auto"/>
                <w:highlight w:val="none"/>
              </w:rPr>
              <w:t>2</w:t>
            </w:r>
            <w:r>
              <w:rPr>
                <w:rFonts w:hint="eastAsia" w:ascii="仿宋" w:hAnsi="仿宋" w:eastAsia="仿宋" w:cs="仿宋"/>
                <w:color w:val="auto"/>
                <w:highlight w:val="none"/>
              </w:rPr>
              <w:t>年</w:t>
            </w:r>
          </w:p>
        </w:tc>
      </w:tr>
      <w:tr w14:paraId="7F921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BC05C5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1DA34BD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1CA1A05F">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新疆农业大学机电学院教学科研设备更新项目第二包范围内的所有工作内容，关于采购范围的详细说明见招标文件第四章“技术标准和要求”。</w:t>
            </w:r>
          </w:p>
        </w:tc>
      </w:tr>
      <w:tr w14:paraId="02550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235C38F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2402F75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20D7654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7B7A6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144A83CF">
            <w:pPr>
              <w:jc w:val="center"/>
              <w:rPr>
                <w:rFonts w:hint="eastAsia" w:ascii="仿宋" w:hAnsi="仿宋" w:eastAsia="仿宋" w:cs="仿宋"/>
                <w:color w:val="auto"/>
                <w:kern w:val="0"/>
                <w:szCs w:val="21"/>
                <w:highlight w:val="none"/>
              </w:rPr>
            </w:pPr>
          </w:p>
        </w:tc>
        <w:tc>
          <w:tcPr>
            <w:tcW w:w="1410" w:type="dxa"/>
            <w:vAlign w:val="center"/>
          </w:tcPr>
          <w:p w14:paraId="09AF591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26FAB83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24AE9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227067F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4D5124C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3CFBD88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7ED4F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94DF587">
            <w:pPr>
              <w:jc w:val="center"/>
              <w:rPr>
                <w:rFonts w:hint="eastAsia" w:ascii="仿宋" w:hAnsi="仿宋" w:eastAsia="仿宋" w:cs="仿宋"/>
                <w:color w:val="auto"/>
                <w:kern w:val="0"/>
                <w:szCs w:val="21"/>
                <w:highlight w:val="none"/>
              </w:rPr>
            </w:pPr>
          </w:p>
        </w:tc>
        <w:tc>
          <w:tcPr>
            <w:tcW w:w="1410" w:type="dxa"/>
            <w:vAlign w:val="center"/>
          </w:tcPr>
          <w:p w14:paraId="1ED1298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59326EE4">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评标委员会推荐三名中标候选人</w:t>
            </w:r>
          </w:p>
        </w:tc>
      </w:tr>
      <w:tr w14:paraId="2FE71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ABB4E2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0EB1850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投标人的资格要求</w:t>
            </w:r>
          </w:p>
        </w:tc>
        <w:tc>
          <w:tcPr>
            <w:tcW w:w="7073" w:type="dxa"/>
            <w:vAlign w:val="center"/>
          </w:tcPr>
          <w:p w14:paraId="4B496876">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1、满足《中华人民共和国政府采购法》第二十二条规定。</w:t>
            </w:r>
          </w:p>
          <w:p w14:paraId="5A394790">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2、本项目专门面向中小企业采购，投标人所投货物制造商须均为中小企业 。</w:t>
            </w:r>
          </w:p>
          <w:p w14:paraId="627B5134">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3、投标人如在“信用中国”网站（www.creditchina.gov.cn）、中国政府采购网（www.ccgp.gov.cn）等渠道被列入失信被执行人、重大税收违法失信主体、政府采购严重违法失信行为记录名单，尚在处罚期内的将被拒绝参加本次采购活动。</w:t>
            </w:r>
          </w:p>
        </w:tc>
      </w:tr>
      <w:tr w14:paraId="65C0E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F29FE6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1911627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4AFAB5FC">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0F246715">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02933EA4">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65D6BAEB">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79CDC30E">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748BA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36AD44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245D7E02">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31B7D5A4">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5ED9F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DE8C52E">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55E1447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3E0C3909">
            <w:pPr>
              <w:widowControl/>
              <w:numPr>
                <w:ilvl w:val="0"/>
                <w:numId w:val="1"/>
              </w:numPr>
              <w:spacing w:line="288" w:lineRule="auto"/>
              <w:ind w:firstLine="420" w:firstLineChars="200"/>
              <w:jc w:val="left"/>
              <w:rPr>
                <w:rFonts w:hint="eastAsia" w:ascii="仿宋" w:hAnsi="仿宋" w:eastAsia="仿宋" w:cs="仿宋"/>
                <w:b/>
                <w:bCs/>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投标保证金金额：48000.00元</w:t>
            </w:r>
          </w:p>
          <w:p w14:paraId="75F4E3C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2、提交截止时间：同投标文件递交截止时间</w:t>
            </w:r>
          </w:p>
          <w:p w14:paraId="4ED2935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3、提交形式：投标保证金以支票、汇票、本票或者金融机构、担保机构出具的保函等非现金形式提交至采购代理机构。</w:t>
            </w:r>
          </w:p>
          <w:p w14:paraId="7F6B793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59157863">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7B8464F">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36DFE1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0DB9BDCE">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29B34E92">
            <w:pPr>
              <w:widowControl/>
              <w:spacing w:line="288"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5、投标人在提交投标保证金时需备注项目名称简称。</w:t>
            </w:r>
          </w:p>
        </w:tc>
      </w:tr>
      <w:tr w14:paraId="66E4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BB87C9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1F90684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01FD20EC">
            <w:pPr>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6F25C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D3024A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6AFABB6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2FF49385">
            <w:pPr>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54CC3034">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38622165">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质疑接收人：马丹阳、候永康；联系方式：0991-4661782。</w:t>
            </w:r>
          </w:p>
          <w:p w14:paraId="27A7E5C0">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71DA1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7CBAD8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7BCCA5C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vAlign w:val="center"/>
          </w:tcPr>
          <w:p w14:paraId="7501852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565F428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1F870E0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1B32011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6861252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6119B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7E1764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7F83C90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vAlign w:val="center"/>
          </w:tcPr>
          <w:p w14:paraId="7DC3EAB4">
            <w:pPr>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08月07日 11:00</w:t>
            </w:r>
            <w:r>
              <w:rPr>
                <w:rFonts w:hint="eastAsia" w:ascii="仿宋" w:hAnsi="仿宋" w:eastAsia="仿宋" w:cs="仿宋"/>
                <w:color w:val="auto"/>
                <w:kern w:val="0"/>
                <w:szCs w:val="21"/>
                <w:highlight w:val="none"/>
                <w:u w:val="single"/>
              </w:rPr>
              <w:t>（北京时间）</w:t>
            </w:r>
          </w:p>
          <w:p w14:paraId="60100196">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1EA86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38C4658">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27735FA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vAlign w:val="center"/>
          </w:tcPr>
          <w:p w14:paraId="102A7B84">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rPr>
              <w:t>2026年</w:t>
            </w:r>
            <w:r>
              <w:rPr>
                <w:rFonts w:hint="eastAsia" w:ascii="仿宋" w:hAnsi="仿宋" w:eastAsia="仿宋" w:cs="仿宋"/>
                <w:color w:val="auto"/>
                <w:kern w:val="0"/>
                <w:szCs w:val="21"/>
                <w:highlight w:val="none"/>
                <w:u w:val="single"/>
                <w:lang w:eastAsia="zh-CN"/>
              </w:rPr>
              <w:t>08月07日 11:00</w:t>
            </w:r>
            <w:r>
              <w:rPr>
                <w:rFonts w:hint="eastAsia" w:ascii="仿宋" w:hAnsi="仿宋" w:eastAsia="仿宋" w:cs="仿宋"/>
                <w:color w:val="auto"/>
                <w:kern w:val="0"/>
                <w:szCs w:val="21"/>
                <w:highlight w:val="none"/>
                <w:u w:val="single"/>
              </w:rPr>
              <w:t>（北京时间）</w:t>
            </w:r>
          </w:p>
          <w:p w14:paraId="48D1409C">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5D2A6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DDE82E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1C4FBBC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39E339BA">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06CFC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DDDBAB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7E508BAA">
            <w:pPr>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730AF7C2">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2C432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C65E5B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1C2A8EE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27B9CDE0">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1、履约保证金金额：无。</w:t>
            </w:r>
          </w:p>
          <w:p w14:paraId="1E1BD18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2、投标人应当以支票、汇票、本票或者金融机构、担保机构出具的保函等非现金形式提交履约保证金。</w:t>
            </w:r>
          </w:p>
        </w:tc>
      </w:tr>
      <w:tr w14:paraId="7537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323" w:hRule="atLeast"/>
          <w:jc w:val="center"/>
        </w:trPr>
        <w:tc>
          <w:tcPr>
            <w:tcW w:w="597" w:type="dxa"/>
            <w:vAlign w:val="center"/>
          </w:tcPr>
          <w:p w14:paraId="26C3584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2F1EA63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45DA45B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1B18C3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735D1B27">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3、在货物采购项目中，投标人提供的货物既有中小企业制造货物，也有大型企业制造货物的，不享受本办法规定的中小企业扶持政策。</w:t>
            </w:r>
          </w:p>
          <w:p w14:paraId="55E7AD1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4、以联合体形式参加政府采购活动，联合体各方均为中小企业的，联合体视同中小企业。其中，联合体各方均为小微企业的，联合体视同小微企业。</w:t>
            </w:r>
          </w:p>
          <w:p w14:paraId="33E72F6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5、投标人经享受扶持政策获得政府采购合同的，小微企业不得将合同分包给大中型企业，中型企业不得将合同分包给大型企业；</w:t>
            </w:r>
          </w:p>
          <w:p w14:paraId="4713690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6、残疾人福利性单位和监狱企业视同小型、微型企业。</w:t>
            </w:r>
          </w:p>
          <w:p w14:paraId="4EB0F1C2">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7、根据“关于印发中小企业划型标准规定的通知(工信部联企业〔2011〕300号)”等有关规定，本项目标的所属行业为工业。</w:t>
            </w:r>
          </w:p>
        </w:tc>
      </w:tr>
      <w:tr w14:paraId="4BDA6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A4A603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4259DF3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合同分包</w:t>
            </w:r>
          </w:p>
        </w:tc>
        <w:tc>
          <w:tcPr>
            <w:tcW w:w="7073" w:type="dxa"/>
            <w:vAlign w:val="center"/>
          </w:tcPr>
          <w:p w14:paraId="0CD62F62">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0FE47E9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□允许分包</w:t>
            </w:r>
          </w:p>
        </w:tc>
      </w:tr>
      <w:tr w14:paraId="70B46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3A92E1E">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1410" w:type="dxa"/>
            <w:vAlign w:val="center"/>
          </w:tcPr>
          <w:p w14:paraId="5C5AE11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进口产品</w:t>
            </w:r>
          </w:p>
        </w:tc>
        <w:tc>
          <w:tcPr>
            <w:tcW w:w="7073" w:type="dxa"/>
            <w:vAlign w:val="center"/>
          </w:tcPr>
          <w:p w14:paraId="257AA91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☑不接受</w:t>
            </w:r>
          </w:p>
          <w:p w14:paraId="6DB5C0D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□接受</w:t>
            </w:r>
          </w:p>
        </w:tc>
      </w:tr>
      <w:tr w14:paraId="48F70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190A5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1410" w:type="dxa"/>
            <w:vAlign w:val="center"/>
          </w:tcPr>
          <w:p w14:paraId="02AF1BE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本国产品政策说明</w:t>
            </w:r>
          </w:p>
        </w:tc>
        <w:tc>
          <w:tcPr>
            <w:tcW w:w="7073" w:type="dxa"/>
            <w:vAlign w:val="center"/>
          </w:tcPr>
          <w:p w14:paraId="12CE3467">
            <w:pPr>
              <w:keepNext/>
              <w:widowControl/>
              <w:ind w:firstLine="420" w:firstLineChars="200"/>
              <w:jc w:val="left"/>
              <w:rPr>
                <w:rFonts w:hint="eastAsia" w:ascii="仿宋" w:hAnsi="仿宋" w:eastAsia="仿宋" w:cs="仿宋"/>
                <w:color w:val="auto"/>
                <w:kern w:val="0"/>
                <w:szCs w:val="21"/>
                <w:highlight w:val="none"/>
              </w:rPr>
            </w:pPr>
            <w:bookmarkStart w:id="4" w:name="OLE_LINK1"/>
            <w:r>
              <w:rPr>
                <w:rFonts w:hint="eastAsia" w:ascii="仿宋" w:hAnsi="仿宋" w:eastAsia="仿宋" w:cs="仿宋"/>
                <w:color w:val="auto"/>
                <w:kern w:val="0"/>
                <w:szCs w:val="21"/>
                <w:highlight w:val="none"/>
              </w:rPr>
              <w:t>根据《国务院办公厅关于在政府采购中实施本国产品标准及相关政策的通知》（国办发〔2025〕34号）的相关规定，投标产品符合“本国产品标准”的，按照以下政策执行价格评审优惠：</w:t>
            </w:r>
          </w:p>
          <w:p w14:paraId="0BBD11D7">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政府采购活动中既有本国产品又有非本国产品参与竞争的，依法对本国产品给予价格评审优惠，对本国产品的报价给予20%的价格扣除，用扣除后的价格参与评审。</w:t>
            </w:r>
          </w:p>
          <w:p w14:paraId="6F6214F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0CBE403">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供应商对其提供的产品出具《关于符合本国产品标准的声明函》或财政部会同有关部门规定的有关证明文件。出具符合要求的《声明函》或有关证明文件的，该产品视为本国产品。</w:t>
            </w:r>
            <w:bookmarkEnd w:id="4"/>
          </w:p>
        </w:tc>
      </w:tr>
      <w:tr w14:paraId="67EE4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6D1D48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410" w:type="dxa"/>
            <w:vAlign w:val="center"/>
          </w:tcPr>
          <w:p w14:paraId="7AD2C56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w:t>
            </w:r>
          </w:p>
        </w:tc>
        <w:tc>
          <w:tcPr>
            <w:tcW w:w="7073" w:type="dxa"/>
            <w:vAlign w:val="center"/>
          </w:tcPr>
          <w:p w14:paraId="02EC37D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☑不要求</w:t>
            </w:r>
          </w:p>
          <w:p w14:paraId="3B27261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w:t>
            </w:r>
          </w:p>
        </w:tc>
      </w:tr>
      <w:tr w14:paraId="7A0E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B05732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410" w:type="dxa"/>
            <w:vAlign w:val="center"/>
          </w:tcPr>
          <w:p w14:paraId="5B1F48C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7073" w:type="dxa"/>
            <w:vAlign w:val="center"/>
          </w:tcPr>
          <w:p w14:paraId="5A36E6A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1、招标文件中所述政策法规、标准规范等文件，如有新文件则按新文件执行，如已废止则仅为参考。</w:t>
            </w:r>
          </w:p>
          <w:p w14:paraId="073CA7DC">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2、投标人须根据招标文件要求在投标文件中提供评审所需的相应证明材料扫描件。</w:t>
            </w:r>
          </w:p>
          <w:p w14:paraId="3D00660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3、建议投标人对本招标文件技术要求进行点对点应答，根据本招标文件的要求,结合所投产品的实际参数值，进行逐条逐项答复、说明和解释。</w:t>
            </w:r>
          </w:p>
          <w:p w14:paraId="53581DB2">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4、最低报价不能作为中标的保证。</w:t>
            </w:r>
          </w:p>
          <w:p w14:paraId="7678241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5、本表内容如与后文内容不一致处，以本表为准。</w:t>
            </w:r>
          </w:p>
        </w:tc>
      </w:tr>
    </w:tbl>
    <w:p w14:paraId="096DB62C">
      <w:pPr>
        <w:rPr>
          <w:rFonts w:hint="eastAsia" w:ascii="仿宋" w:hAnsi="仿宋" w:eastAsia="仿宋" w:cs="仿宋"/>
          <w:color w:val="auto"/>
          <w:kern w:val="0"/>
          <w:sz w:val="24"/>
          <w:szCs w:val="24"/>
          <w:highlight w:val="none"/>
        </w:rPr>
      </w:pPr>
    </w:p>
    <w:p w14:paraId="50F258D3">
      <w:pPr>
        <w:spacing w:line="360" w:lineRule="auto"/>
        <w:jc w:val="center"/>
        <w:outlineLvl w:val="0"/>
        <w:rPr>
          <w:rFonts w:hint="eastAsia" w:ascii="仿宋" w:hAnsi="仿宋" w:eastAsia="仿宋" w:cs="仿宋"/>
          <w:b/>
          <w:color w:val="auto"/>
          <w:sz w:val="24"/>
          <w:szCs w:val="24"/>
          <w:highlight w:val="none"/>
        </w:rPr>
      </w:pPr>
      <w:bookmarkStart w:id="5" w:name="_BookMark_3"/>
      <w:bookmarkEnd w:id="5"/>
      <w:r>
        <w:rPr>
          <w:rFonts w:hint="eastAsia" w:ascii="仿宋" w:hAnsi="仿宋" w:eastAsia="仿宋" w:cs="仿宋"/>
          <w:color w:val="auto"/>
          <w:kern w:val="0"/>
          <w:sz w:val="24"/>
          <w:szCs w:val="24"/>
          <w:highlight w:val="none"/>
        </w:rPr>
        <w:br w:type="page"/>
      </w:r>
      <w:bookmarkStart w:id="6" w:name="_Toc25618"/>
      <w:bookmarkStart w:id="7" w:name="_Toc3764"/>
      <w:r>
        <w:rPr>
          <w:rFonts w:hint="eastAsia" w:ascii="仿宋" w:hAnsi="仿宋" w:eastAsia="仿宋" w:cs="仿宋"/>
          <w:b/>
          <w:color w:val="auto"/>
          <w:sz w:val="24"/>
          <w:szCs w:val="24"/>
          <w:highlight w:val="none"/>
        </w:rPr>
        <w:t>第一章 投标人须知</w:t>
      </w:r>
      <w:bookmarkEnd w:id="6"/>
      <w:bookmarkEnd w:id="7"/>
      <w:bookmarkStart w:id="8" w:name="_BookMark_2"/>
      <w:bookmarkEnd w:id="8"/>
    </w:p>
    <w:p w14:paraId="7C46823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9" w:name="_Toc31299"/>
      <w:bookmarkStart w:id="10" w:name="_Toc25054"/>
      <w:bookmarkStart w:id="11" w:name="_Toc6031"/>
      <w:bookmarkStart w:id="12" w:name="_Toc130252597"/>
      <w:r>
        <w:rPr>
          <w:rFonts w:hint="eastAsia" w:ascii="仿宋" w:hAnsi="仿宋" w:eastAsia="仿宋" w:cs="仿宋"/>
          <w:b/>
          <w:color w:val="auto"/>
          <w:sz w:val="24"/>
          <w:szCs w:val="24"/>
          <w:highlight w:val="none"/>
        </w:rPr>
        <w:t>一、总则</w:t>
      </w:r>
      <w:bookmarkEnd w:id="9"/>
      <w:bookmarkEnd w:id="10"/>
      <w:bookmarkEnd w:id="11"/>
      <w:bookmarkEnd w:id="12"/>
    </w:p>
    <w:p w14:paraId="37FFA4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6561EDF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1.1.1项目名称：见投标人须知前附表。</w:t>
      </w:r>
    </w:p>
    <w:p w14:paraId="78F2FDF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1.1.2项目编号：见投标人须知前附表。</w:t>
      </w:r>
    </w:p>
    <w:p w14:paraId="1D06A3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1.1.3采购人：见投标人须知前附表。</w:t>
      </w:r>
    </w:p>
    <w:p w14:paraId="22CAE2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1.1.4采购代理机构：见投标人须知前附表。</w:t>
      </w:r>
    </w:p>
    <w:p w14:paraId="5C6A006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1.1.5项目地点：见投标人须知前附表。</w:t>
      </w:r>
    </w:p>
    <w:p w14:paraId="699E0D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1.1.6资金来源：见投标人须知前附表。</w:t>
      </w:r>
    </w:p>
    <w:p w14:paraId="6F71A21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1.1.7采购预算金额：见投标人须知前附表。</w:t>
      </w:r>
    </w:p>
    <w:p w14:paraId="7564E32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1.1.8最高限价：见投标人须知前附表。</w:t>
      </w:r>
    </w:p>
    <w:p w14:paraId="3A6B97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1.1.9是否单一产品：见投标人须知前附表。</w:t>
      </w:r>
    </w:p>
    <w:p w14:paraId="4CA984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1.1.10合同履约期限：见投标人须知前附表。</w:t>
      </w:r>
    </w:p>
    <w:p w14:paraId="1E4673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1.1.11供货地点：见投标人须知前附表。</w:t>
      </w:r>
    </w:p>
    <w:p w14:paraId="0FD20E3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1.1.12质保期：见投标人须知前附表。</w:t>
      </w:r>
    </w:p>
    <w:p w14:paraId="087852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0B1182F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39D950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60F7451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0921A4C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6ABBF71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4803AE3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503F1A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1.5投标人的资格要求：见投标人须知前附表。</w:t>
      </w:r>
    </w:p>
    <w:p w14:paraId="1FEB1B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1987C3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086586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39D2E4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6A9E746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5BE4D8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754356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334FE7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1B7BAF1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72F99B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6CD4AD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361400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3859757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5AFCC3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2DDD56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1F3C602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6A41DA6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7B63EB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434D3CD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052349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35CADE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1.19进口产品：见投标人须知前附表。</w:t>
      </w:r>
    </w:p>
    <w:p w14:paraId="42CC7A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1.20本国产品政策说明：见投标人须知前附表。</w:t>
      </w:r>
    </w:p>
    <w:p w14:paraId="397F4F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1.21样品：见投标人须知前附表。</w:t>
      </w:r>
    </w:p>
    <w:p w14:paraId="642720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1.22保密</w:t>
      </w:r>
    </w:p>
    <w:p w14:paraId="4C1CAB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02E423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1.23语言文字</w:t>
      </w:r>
    </w:p>
    <w:p w14:paraId="05219C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757E31E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1.24计量单位</w:t>
      </w:r>
    </w:p>
    <w:p w14:paraId="054DFD8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1C03BD4C">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3" w:name="_Toc535592196"/>
      <w:bookmarkStart w:id="14" w:name="_Toc30765"/>
      <w:bookmarkStart w:id="15" w:name="_Toc21470"/>
      <w:bookmarkStart w:id="16" w:name="_Toc9197"/>
      <w:r>
        <w:rPr>
          <w:rFonts w:hint="eastAsia" w:ascii="仿宋" w:hAnsi="仿宋" w:eastAsia="仿宋" w:cs="仿宋"/>
          <w:b/>
          <w:color w:val="auto"/>
          <w:sz w:val="24"/>
          <w:szCs w:val="24"/>
          <w:highlight w:val="none"/>
        </w:rPr>
        <w:t>二、招标文件</w:t>
      </w:r>
      <w:bookmarkEnd w:id="13"/>
      <w:bookmarkEnd w:id="14"/>
      <w:bookmarkEnd w:id="15"/>
      <w:bookmarkEnd w:id="16"/>
    </w:p>
    <w:p w14:paraId="5681C84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4BEC2F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3EE9B2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2667522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64C6AD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35096E2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45D47B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（6）技术标准和要求；</w:t>
      </w:r>
    </w:p>
    <w:p w14:paraId="038859D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20EAFA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718E3F3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791CDB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631EB84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凡有意参加并符合投标人须知前附表“投标人的资格要求”的投标人，均可获取招标文件。</w:t>
      </w:r>
    </w:p>
    <w:p w14:paraId="2C8FC3A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2252757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5070A0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0BB92C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59F793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09D5163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4EC2D8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23EC5B7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3D7EB1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405E66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0095E85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7" w:name="_BookMark_6"/>
      <w:bookmarkEnd w:id="17"/>
      <w:bookmarkStart w:id="18" w:name="_Toc535592197"/>
      <w:bookmarkStart w:id="19" w:name="_Toc5138"/>
      <w:bookmarkStart w:id="20" w:name="_Toc8903"/>
      <w:bookmarkStart w:id="21" w:name="_Toc5120"/>
      <w:r>
        <w:rPr>
          <w:rFonts w:hint="eastAsia" w:ascii="仿宋" w:hAnsi="仿宋" w:eastAsia="仿宋" w:cs="仿宋"/>
          <w:b/>
          <w:color w:val="auto"/>
          <w:sz w:val="24"/>
          <w:szCs w:val="24"/>
          <w:highlight w:val="none"/>
        </w:rPr>
        <w:t>三、投标文件</w:t>
      </w:r>
      <w:bookmarkEnd w:id="18"/>
      <w:bookmarkEnd w:id="19"/>
      <w:bookmarkEnd w:id="20"/>
      <w:bookmarkEnd w:id="21"/>
    </w:p>
    <w:p w14:paraId="11FE53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64DEDA6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（1）、开标一览表</w:t>
      </w:r>
    </w:p>
    <w:p w14:paraId="546E03A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（2）、投标函</w:t>
      </w:r>
    </w:p>
    <w:p w14:paraId="1B8F692D">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（3）、投标价格明细表</w:t>
      </w:r>
    </w:p>
    <w:p w14:paraId="67C2A3B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（4）、中小企业投标价格统计表</w:t>
      </w:r>
    </w:p>
    <w:p w14:paraId="310F581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（5）、商务条款偏离表</w:t>
      </w:r>
    </w:p>
    <w:p w14:paraId="34B2E4BD">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（6）、技术条款偏离表</w:t>
      </w:r>
    </w:p>
    <w:p w14:paraId="4DFDE899">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（7）、法定代表人身份证明书</w:t>
      </w:r>
    </w:p>
    <w:p w14:paraId="20D1096E">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（8）、法定代表人授权委托书</w:t>
      </w:r>
    </w:p>
    <w:p w14:paraId="0E637E41">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（9）、投标人资格条件证明材料</w:t>
      </w:r>
    </w:p>
    <w:p w14:paraId="19EF4D6C">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（10）、投标人近年类似项目情况表</w:t>
      </w:r>
    </w:p>
    <w:p w14:paraId="0C79D87E">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（11）、售后服务承诺书</w:t>
      </w:r>
    </w:p>
    <w:p w14:paraId="39730C5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（12）、技术方案</w:t>
      </w:r>
    </w:p>
    <w:p w14:paraId="0DADA37A">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（13）、保证金缴纳证明材料</w:t>
      </w:r>
    </w:p>
    <w:p w14:paraId="59653D6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（14）、其它需要提交的资料</w:t>
      </w:r>
    </w:p>
    <w:p w14:paraId="1BF2BB6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4A0CC785">
      <w:pPr>
        <w:widowControl/>
        <w:shd w:val="clear" w:color="auto" w:fill="FFFFFF"/>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3.2.1</w:t>
      </w:r>
      <w:r>
        <w:rPr>
          <w:rFonts w:hint="eastAsia" w:ascii="仿宋" w:hAnsi="仿宋" w:eastAsia="仿宋" w:cs="仿宋"/>
          <w:color w:val="auto"/>
          <w:sz w:val="24"/>
          <w:szCs w:val="24"/>
          <w:highlight w:val="none"/>
        </w:rPr>
        <w:t>投标价格应包括投标人履行本项目合同（如果成交）所必须的所有成本费用和成交投标人应承担的一切费用，包括但不仅限于外购件、外协件、配套件、备品备件、全套设备全部内容、专用工具、原材料及生产制造、检验、油漆、包装、专利费、保险、利税（各种税费）、管理、运输、装卸、运杂费、设备的安装调试（含辅材、开箱费）、配合费、调试、检验验收、人员培训费、技术资料（含中文与外文的翻译费）、售后服务、技术指导、维保、招标文件所要求的其它服务事项及与合同有关的交钥匙工程等全部费用。未列和没有填写的项目费用，采购人将视为已包括在投标价格中。</w:t>
      </w:r>
    </w:p>
    <w:p w14:paraId="674F16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投标人的投标价格不得超出本项目最高限价。</w:t>
      </w:r>
    </w:p>
    <w:p w14:paraId="601A51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6CBAE8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5979541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1E9C37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6A022DE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70A717AE">
      <w:pPr>
        <w:shd w:val="clear" w:color="auto" w:fill="FFFFFF"/>
        <w:snapToGrid w:val="0"/>
        <w:spacing w:line="384"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55447395">
      <w:pPr>
        <w:shd w:val="clear" w:color="auto" w:fill="FFFFFF"/>
        <w:snapToGrid w:val="0"/>
        <w:spacing w:line="384"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3E1301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7A240A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53B5D1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013925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（1）开标后在投标有效期内，投标人撤销其投标的； </w:t>
      </w:r>
    </w:p>
    <w:p w14:paraId="086AED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（2）中标后无正当理由不与采购人签订合同的；</w:t>
      </w:r>
    </w:p>
    <w:p w14:paraId="092825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（3）中标人与采购人订立背离合同实质性内容的其他协议；</w:t>
      </w:r>
    </w:p>
    <w:p w14:paraId="6425E97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（4）将中标项目转让给他人，或者在投标文件中未说明，且未经采购人同意，将中标项目分包给他人的；</w:t>
      </w:r>
    </w:p>
    <w:p w14:paraId="1D7BA8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（5）存在串通投标行为的；</w:t>
      </w:r>
    </w:p>
    <w:p w14:paraId="2C020C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（6）存在弄虚作假或提供虚假材料谋取中标的；</w:t>
      </w:r>
    </w:p>
    <w:p w14:paraId="65A276F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（7）投标人其他未按招标文件规定和合同约定履行义务的行为。</w:t>
      </w:r>
    </w:p>
    <w:p w14:paraId="24BA36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（8）法律法规规定的其它情形</w:t>
      </w:r>
    </w:p>
    <w:p w14:paraId="16CC67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3AA2689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0392DD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3449E6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22" w:name="_BookMark_7"/>
      <w:bookmarkEnd w:id="22"/>
      <w:bookmarkStart w:id="23"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122CEC3D">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606FA757">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4" w:name="_Toc834"/>
      <w:bookmarkStart w:id="25" w:name="_Toc18120"/>
      <w:bookmarkStart w:id="26" w:name="_Toc17545"/>
      <w:r>
        <w:rPr>
          <w:rFonts w:hint="eastAsia" w:ascii="仿宋" w:hAnsi="仿宋" w:eastAsia="仿宋" w:cs="仿宋"/>
          <w:b/>
          <w:color w:val="auto"/>
          <w:sz w:val="24"/>
          <w:szCs w:val="24"/>
          <w:highlight w:val="none"/>
        </w:rPr>
        <w:t>四、投标</w:t>
      </w:r>
      <w:bookmarkEnd w:id="23"/>
      <w:bookmarkEnd w:id="24"/>
      <w:bookmarkEnd w:id="25"/>
      <w:bookmarkEnd w:id="26"/>
    </w:p>
    <w:p w14:paraId="3673A3E0">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bookmarkStart w:id="27" w:name="_BookMark_8"/>
      <w:bookmarkEnd w:id="27"/>
      <w:bookmarkStart w:id="28"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D62981A">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1A71DB1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1CEFADD2">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31EC134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48AD4BC9">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3B413D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（1）逾期上传的投标文件；</w:t>
      </w:r>
    </w:p>
    <w:p w14:paraId="50E33A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（2）未上传指定地点的投标文件；</w:t>
      </w:r>
    </w:p>
    <w:p w14:paraId="385244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（3）未按要求加密的投标文件；</w:t>
      </w:r>
    </w:p>
    <w:p w14:paraId="471302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（4）未在规定时间内解密的投标文件。</w:t>
      </w:r>
    </w:p>
    <w:p w14:paraId="3F4C5D5A">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6FA61890">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52094878">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492DFCAF">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04439E4B">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311C591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9" w:name="_Toc9663"/>
      <w:bookmarkStart w:id="30" w:name="_Toc8957"/>
      <w:bookmarkStart w:id="31" w:name="_Toc29411"/>
      <w:r>
        <w:rPr>
          <w:rFonts w:hint="eastAsia" w:ascii="仿宋" w:hAnsi="仿宋" w:eastAsia="仿宋" w:cs="仿宋"/>
          <w:b/>
          <w:color w:val="auto"/>
          <w:sz w:val="24"/>
          <w:szCs w:val="24"/>
          <w:highlight w:val="none"/>
        </w:rPr>
        <w:t>五、开标</w:t>
      </w:r>
      <w:bookmarkEnd w:id="28"/>
      <w:bookmarkEnd w:id="29"/>
      <w:bookmarkEnd w:id="30"/>
      <w:bookmarkEnd w:id="31"/>
    </w:p>
    <w:p w14:paraId="2793C4B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6AEF75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7F807B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7F1676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1BCE77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5AC5B5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6DC548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4489DA6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778C3B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59E1920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2" w:name="_BookMark_9"/>
      <w:bookmarkEnd w:id="32"/>
      <w:bookmarkStart w:id="33" w:name="_Toc1874"/>
      <w:bookmarkStart w:id="34" w:name="_Toc535592200"/>
      <w:bookmarkStart w:id="35" w:name="_Toc14199"/>
      <w:bookmarkStart w:id="36" w:name="_Toc27927"/>
      <w:r>
        <w:rPr>
          <w:rFonts w:hint="eastAsia" w:ascii="仿宋" w:hAnsi="仿宋" w:eastAsia="仿宋" w:cs="仿宋"/>
          <w:b/>
          <w:color w:val="auto"/>
          <w:sz w:val="24"/>
          <w:szCs w:val="24"/>
          <w:highlight w:val="none"/>
        </w:rPr>
        <w:t>六、评标</w:t>
      </w:r>
      <w:bookmarkEnd w:id="33"/>
      <w:bookmarkEnd w:id="34"/>
      <w:bookmarkEnd w:id="35"/>
      <w:bookmarkEnd w:id="36"/>
    </w:p>
    <w:p w14:paraId="3DAD1E3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356C28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1154C36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7BD96E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5F67AF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27B232F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7A596F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5424639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130DAB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0E8BE6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281F0A9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7" w:name="_BookMark_10"/>
      <w:bookmarkEnd w:id="37"/>
      <w:bookmarkStart w:id="38" w:name="_Toc10869"/>
      <w:bookmarkStart w:id="39" w:name="_Toc3956"/>
      <w:bookmarkStart w:id="40" w:name="_Toc535592201"/>
      <w:bookmarkStart w:id="41" w:name="_Toc23250"/>
      <w:r>
        <w:rPr>
          <w:rFonts w:hint="eastAsia" w:ascii="仿宋" w:hAnsi="仿宋" w:eastAsia="仿宋" w:cs="仿宋"/>
          <w:b/>
          <w:color w:val="auto"/>
          <w:sz w:val="24"/>
          <w:szCs w:val="24"/>
          <w:highlight w:val="none"/>
        </w:rPr>
        <w:t>七、定标及合同授予</w:t>
      </w:r>
      <w:bookmarkEnd w:id="38"/>
      <w:bookmarkEnd w:id="39"/>
      <w:bookmarkEnd w:id="40"/>
      <w:bookmarkEnd w:id="41"/>
    </w:p>
    <w:p w14:paraId="49E541D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7B1B44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601044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6B0DBA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08C3F5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60A1D4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B57B2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2E5C356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2279995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2DFB9D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28DBF8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19E177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79B7D5B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7.4.4 中标人拒绝与采购人签订合同的，采购人可以按照评标报告推荐的中标候选人名单排序，确定下一候选人为中标人，也可以重新开展政府采购活动。</w:t>
      </w:r>
    </w:p>
    <w:p w14:paraId="1C8FF44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42" w:name="_BookMark_11"/>
      <w:bookmarkEnd w:id="42"/>
      <w:bookmarkStart w:id="43" w:name="_Toc14256"/>
      <w:bookmarkStart w:id="44" w:name="_Toc30790"/>
      <w:bookmarkStart w:id="45" w:name="_Toc535592202"/>
      <w:bookmarkStart w:id="46" w:name="_Toc24040"/>
      <w:r>
        <w:rPr>
          <w:rFonts w:hint="eastAsia" w:ascii="仿宋" w:hAnsi="仿宋" w:eastAsia="仿宋" w:cs="仿宋"/>
          <w:b/>
          <w:color w:val="auto"/>
          <w:sz w:val="24"/>
          <w:szCs w:val="24"/>
          <w:highlight w:val="none"/>
        </w:rPr>
        <w:t>八、纪律和监督</w:t>
      </w:r>
      <w:bookmarkEnd w:id="43"/>
      <w:bookmarkEnd w:id="44"/>
      <w:bookmarkEnd w:id="45"/>
      <w:bookmarkEnd w:id="46"/>
    </w:p>
    <w:p w14:paraId="599C07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51E4883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474B3F3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2CC3E2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1DB5F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07EBF09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0178CBB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122BC13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33A002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1C7A5126">
      <w:pPr>
        <w:widowControl/>
        <w:shd w:val="clear" w:color="auto" w:fill="FFFFFF"/>
        <w:snapToGrid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1B87DA0A">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rPr>
      </w:pPr>
      <w:bookmarkStart w:id="47" w:name="_Toc2631"/>
      <w:bookmarkStart w:id="48" w:name="_Toc5676"/>
      <w:r>
        <w:rPr>
          <w:rFonts w:hint="eastAsia" w:ascii="仿宋" w:hAnsi="仿宋" w:eastAsia="仿宋" w:cs="仿宋"/>
          <w:b/>
          <w:color w:val="auto"/>
          <w:sz w:val="24"/>
          <w:szCs w:val="24"/>
          <w:highlight w:val="none"/>
        </w:rPr>
        <w:t>第二章 评标办法</w:t>
      </w:r>
      <w:bookmarkEnd w:id="47"/>
      <w:bookmarkEnd w:id="48"/>
    </w:p>
    <w:tbl>
      <w:tblPr>
        <w:tblStyle w:val="38"/>
        <w:tblpPr w:leftFromText="181" w:rightFromText="181" w:vertAnchor="text" w:horzAnchor="page" w:tblpX="1396" w:tblpY="460"/>
        <w:tblOverlap w:val="never"/>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1ADA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trPr>
        <w:tc>
          <w:tcPr>
            <w:tcW w:w="612" w:type="dxa"/>
            <w:tcMar>
              <w:top w:w="0" w:type="dxa"/>
              <w:left w:w="28" w:type="dxa"/>
              <w:bottom w:w="0" w:type="dxa"/>
              <w:right w:w="28" w:type="dxa"/>
            </w:tcMar>
            <w:vAlign w:val="center"/>
          </w:tcPr>
          <w:p w14:paraId="45C46871">
            <w:pPr>
              <w:spacing w:line="360" w:lineRule="auto"/>
              <w:jc w:val="center"/>
              <w:rPr>
                <w:rFonts w:hint="eastAsia" w:ascii="仿宋" w:hAnsi="仿宋" w:eastAsia="仿宋" w:cs="仿宋"/>
                <w:color w:val="auto"/>
                <w:szCs w:val="21"/>
                <w:highlight w:val="none"/>
              </w:rPr>
            </w:pPr>
            <w:bookmarkStart w:id="49" w:name="_BookMark_1"/>
            <w:bookmarkEnd w:id="49"/>
            <w:bookmarkStart w:id="50" w:name="_Toc58342531"/>
            <w:bookmarkStart w:id="51" w:name="_Toc18705"/>
            <w:bookmarkStart w:id="52" w:name="_Toc501719166"/>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1AE79F1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42CF040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257D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trPr>
        <w:tc>
          <w:tcPr>
            <w:tcW w:w="612" w:type="dxa"/>
            <w:tcMar>
              <w:top w:w="0" w:type="dxa"/>
              <w:left w:w="28" w:type="dxa"/>
              <w:bottom w:w="0" w:type="dxa"/>
              <w:right w:w="28" w:type="dxa"/>
            </w:tcMar>
            <w:vAlign w:val="center"/>
          </w:tcPr>
          <w:p w14:paraId="49F1C36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5AE2E95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4E1F7A8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28ACCD3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1.详细评审部分70分</w:t>
            </w:r>
          </w:p>
          <w:p w14:paraId="084A4D1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2.投标报价部分30分</w:t>
            </w:r>
          </w:p>
        </w:tc>
      </w:tr>
      <w:tr w14:paraId="0464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trPr>
        <w:tc>
          <w:tcPr>
            <w:tcW w:w="612" w:type="dxa"/>
            <w:tcMar>
              <w:top w:w="0" w:type="dxa"/>
              <w:left w:w="28" w:type="dxa"/>
              <w:bottom w:w="0" w:type="dxa"/>
              <w:right w:w="28" w:type="dxa"/>
            </w:tcMar>
            <w:vAlign w:val="center"/>
          </w:tcPr>
          <w:p w14:paraId="4F65C2F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0DF66D4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41CA2E6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012E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trPr>
        <w:tc>
          <w:tcPr>
            <w:tcW w:w="612" w:type="dxa"/>
            <w:tcMar>
              <w:top w:w="0" w:type="dxa"/>
              <w:left w:w="28" w:type="dxa"/>
              <w:bottom w:w="0" w:type="dxa"/>
              <w:right w:w="28" w:type="dxa"/>
            </w:tcMar>
            <w:vAlign w:val="center"/>
          </w:tcPr>
          <w:p w14:paraId="0C7910E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1B8A586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256DD27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详见《符合性审查标准》</w:t>
            </w:r>
          </w:p>
        </w:tc>
      </w:tr>
      <w:tr w14:paraId="54237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trPr>
        <w:tc>
          <w:tcPr>
            <w:tcW w:w="612" w:type="dxa"/>
            <w:tcMar>
              <w:top w:w="0" w:type="dxa"/>
              <w:left w:w="28" w:type="dxa"/>
              <w:bottom w:w="0" w:type="dxa"/>
              <w:right w:w="28" w:type="dxa"/>
            </w:tcMar>
            <w:vAlign w:val="center"/>
          </w:tcPr>
          <w:p w14:paraId="0103BF6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2783" w:type="dxa"/>
            <w:tcMar>
              <w:top w:w="0" w:type="dxa"/>
              <w:left w:w="28" w:type="dxa"/>
              <w:bottom w:w="0" w:type="dxa"/>
              <w:right w:w="28" w:type="dxa"/>
            </w:tcMar>
          </w:tcPr>
          <w:p w14:paraId="07D2B601">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投标品牌统计</w:t>
            </w:r>
          </w:p>
        </w:tc>
        <w:tc>
          <w:tcPr>
            <w:tcW w:w="5744" w:type="dxa"/>
            <w:tcMar>
              <w:top w:w="0" w:type="dxa"/>
              <w:left w:w="28" w:type="dxa"/>
              <w:bottom w:w="0" w:type="dxa"/>
              <w:right w:w="28" w:type="dxa"/>
            </w:tcMar>
            <w:vAlign w:val="center"/>
          </w:tcPr>
          <w:p w14:paraId="399CEC56">
            <w:pPr>
              <w:rPr>
                <w:rFonts w:hint="eastAsia" w:ascii="仿宋" w:hAnsi="仿宋" w:eastAsia="仿宋" w:cs="仿宋"/>
                <w:color w:val="auto"/>
                <w:highlight w:val="none"/>
              </w:rPr>
            </w:pPr>
            <w:r>
              <w:rPr>
                <w:rFonts w:hint="eastAsia" w:ascii="仿宋" w:hAnsi="仿宋" w:eastAsia="仿宋" w:cs="仿宋"/>
                <w:color w:val="auto"/>
                <w:szCs w:val="21"/>
                <w:highlight w:val="none"/>
              </w:rPr>
              <w:t>详见本节第3.5款</w:t>
            </w:r>
          </w:p>
        </w:tc>
      </w:tr>
      <w:tr w14:paraId="390B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trPr>
        <w:tc>
          <w:tcPr>
            <w:tcW w:w="612" w:type="dxa"/>
            <w:vMerge w:val="restart"/>
            <w:tcMar>
              <w:top w:w="0" w:type="dxa"/>
              <w:left w:w="28" w:type="dxa"/>
              <w:bottom w:w="0" w:type="dxa"/>
              <w:right w:w="28" w:type="dxa"/>
            </w:tcMar>
            <w:vAlign w:val="center"/>
          </w:tcPr>
          <w:p w14:paraId="6ECB452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2783" w:type="dxa"/>
            <w:vMerge w:val="restart"/>
            <w:tcMar>
              <w:top w:w="0" w:type="dxa"/>
              <w:left w:w="28" w:type="dxa"/>
              <w:bottom w:w="0" w:type="dxa"/>
              <w:right w:w="28" w:type="dxa"/>
            </w:tcMar>
            <w:vAlign w:val="center"/>
          </w:tcPr>
          <w:p w14:paraId="0728687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343D91B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详见《详细评审标准》及本节第3.6款</w:t>
            </w:r>
          </w:p>
        </w:tc>
      </w:tr>
      <w:tr w14:paraId="625D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32" w:hRule="atLeast"/>
        </w:trPr>
        <w:tc>
          <w:tcPr>
            <w:tcW w:w="612" w:type="dxa"/>
            <w:vMerge w:val="continue"/>
            <w:tcMar>
              <w:top w:w="0" w:type="dxa"/>
              <w:left w:w="28" w:type="dxa"/>
              <w:bottom w:w="0" w:type="dxa"/>
              <w:right w:w="28" w:type="dxa"/>
            </w:tcMar>
            <w:vAlign w:val="center"/>
          </w:tcPr>
          <w:p w14:paraId="03248F98">
            <w:pPr>
              <w:spacing w:line="360" w:lineRule="auto"/>
              <w:jc w:val="center"/>
              <w:rPr>
                <w:rFonts w:hint="eastAsia" w:ascii="仿宋" w:hAnsi="仿宋" w:eastAsia="仿宋" w:cs="仿宋"/>
                <w:color w:val="auto"/>
                <w:szCs w:val="21"/>
                <w:highlight w:val="none"/>
              </w:rPr>
            </w:pPr>
          </w:p>
        </w:tc>
        <w:tc>
          <w:tcPr>
            <w:tcW w:w="2783" w:type="dxa"/>
            <w:vMerge w:val="continue"/>
            <w:tcMar>
              <w:top w:w="0" w:type="dxa"/>
              <w:left w:w="28" w:type="dxa"/>
              <w:bottom w:w="0" w:type="dxa"/>
              <w:right w:w="28" w:type="dxa"/>
            </w:tcMar>
            <w:vAlign w:val="center"/>
          </w:tcPr>
          <w:p w14:paraId="2CA55BCA">
            <w:pPr>
              <w:spacing w:line="360" w:lineRule="auto"/>
              <w:jc w:val="center"/>
              <w:rPr>
                <w:rFonts w:hint="eastAsia" w:ascii="仿宋" w:hAnsi="仿宋" w:eastAsia="仿宋" w:cs="仿宋"/>
                <w:color w:val="auto"/>
                <w:szCs w:val="21"/>
                <w:highlight w:val="none"/>
              </w:rPr>
            </w:pPr>
          </w:p>
        </w:tc>
        <w:tc>
          <w:tcPr>
            <w:tcW w:w="5744" w:type="dxa"/>
            <w:tcMar>
              <w:top w:w="0" w:type="dxa"/>
              <w:left w:w="28" w:type="dxa"/>
              <w:bottom w:w="0" w:type="dxa"/>
              <w:right w:w="28" w:type="dxa"/>
            </w:tcMar>
            <w:vAlign w:val="center"/>
          </w:tcPr>
          <w:p w14:paraId="5EBF163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投标报价得分计算方法：</w:t>
            </w:r>
          </w:p>
          <w:p w14:paraId="63C552C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1.投标报价的确定</w:t>
            </w:r>
          </w:p>
          <w:p w14:paraId="240507E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投标报价是指经评审的且不超过最高限价的投标价格</w:t>
            </w:r>
          </w:p>
          <w:p w14:paraId="700D664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2.评标基准价的确定</w:t>
            </w:r>
          </w:p>
          <w:p w14:paraId="4D18F26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满足招标文件要求且投标报价最低的为评标基准价</w:t>
            </w:r>
          </w:p>
          <w:p w14:paraId="5118402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3.投标报价得分=(评标基准价／投标报价)×30</w:t>
            </w:r>
          </w:p>
          <w:p w14:paraId="2A61A66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4.评分分值计算保留小数点后两位，小数点后三位“四舍五入”。</w:t>
            </w:r>
          </w:p>
          <w:p w14:paraId="7F39AAE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5.政府采购活动中既有本国产品又有非本国产品参与竞争的，依法对本国产品给予价格评审优惠，对本国产品的报价给予20%的价格扣除，用扣除后的价格参与评审。</w:t>
            </w:r>
          </w:p>
        </w:tc>
      </w:tr>
    </w:tbl>
    <w:p w14:paraId="3F06690C">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53" w:name="_Toc6951"/>
      <w:r>
        <w:rPr>
          <w:rFonts w:hint="eastAsia" w:ascii="仿宋" w:hAnsi="仿宋" w:eastAsia="仿宋" w:cs="仿宋"/>
          <w:b/>
          <w:color w:val="auto"/>
          <w:sz w:val="24"/>
          <w:szCs w:val="24"/>
          <w:highlight w:val="none"/>
        </w:rPr>
        <w:t>评审办法前附表</w:t>
      </w:r>
      <w:bookmarkEnd w:id="50"/>
      <w:bookmarkEnd w:id="51"/>
      <w:bookmarkEnd w:id="53"/>
    </w:p>
    <w:p w14:paraId="73F8D503">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bookmarkEnd w:id="52"/>
    <w:p w14:paraId="2C10C442">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bookmarkStart w:id="54" w:name="_Toc501719167"/>
      <w:r>
        <w:rPr>
          <w:rFonts w:hint="eastAsia" w:ascii="仿宋" w:hAnsi="仿宋" w:eastAsia="仿宋" w:cs="仿宋"/>
          <w:b/>
          <w:color w:val="auto"/>
          <w:kern w:val="0"/>
          <w:sz w:val="24"/>
          <w:szCs w:val="24"/>
          <w:highlight w:val="none"/>
        </w:rPr>
        <w:t>《资格审查标准》</w:t>
      </w:r>
    </w:p>
    <w:tbl>
      <w:tblPr>
        <w:tblStyle w:val="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2"/>
        <w:gridCol w:w="3587"/>
        <w:gridCol w:w="4787"/>
      </w:tblGrid>
      <w:tr w14:paraId="0F34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1A45EEA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1976" w:type="pct"/>
            <w:vAlign w:val="center"/>
          </w:tcPr>
          <w:p w14:paraId="07E1F608">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35" w:type="pct"/>
            <w:vAlign w:val="center"/>
          </w:tcPr>
          <w:p w14:paraId="02A8579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6446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5BF67BD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1976" w:type="pct"/>
            <w:vAlign w:val="center"/>
          </w:tcPr>
          <w:p w14:paraId="19F96C6E">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2635" w:type="pct"/>
            <w:vAlign w:val="center"/>
          </w:tcPr>
          <w:p w14:paraId="10C16778">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1、如投标人是企业（包括合伙企业)，应提供在工商部门注册的有效“企业法人营业执照”或“营业执照”;</w:t>
            </w:r>
          </w:p>
          <w:p w14:paraId="66AB2036">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2、如投标人是事业单位，应提供有效的“事业单位法人证书”;</w:t>
            </w:r>
          </w:p>
          <w:p w14:paraId="4DFFAB9B">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3、如投标人是非企业专业服务机构的，应提供执业许可证等证明文件;</w:t>
            </w:r>
          </w:p>
          <w:p w14:paraId="64673A0A">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4、如投标人是个体工商户，应提供有效的“个体工商户营业执照”;</w:t>
            </w:r>
          </w:p>
          <w:p w14:paraId="672A7E94">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5、如投标人是自然人，应提供有效的自然人身份证明。</w:t>
            </w:r>
          </w:p>
        </w:tc>
      </w:tr>
      <w:tr w14:paraId="49B2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0BE5BE0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1976" w:type="pct"/>
            <w:vAlign w:val="center"/>
          </w:tcPr>
          <w:p w14:paraId="07B6C0AC">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2635" w:type="pct"/>
            <w:vAlign w:val="center"/>
          </w:tcPr>
          <w:p w14:paraId="090A4295">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69A8F52A">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要求1、经审计的财务报告（2024年度或2025年度，包括“四表-注”，即资产负债表、利润表、现金流量表、所有者权益变动表及其附注）或银行出具的资信证明（投标文件递交截止之日前六个月内任意一个月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rPr>
              <w:t>，不限制采购人主体</w:t>
            </w:r>
            <w:r>
              <w:rPr>
                <w:rFonts w:hint="eastAsia" w:ascii="仿宋" w:hAnsi="仿宋" w:eastAsia="仿宋" w:cs="仿宋"/>
                <w:color w:val="auto"/>
                <w:kern w:val="0"/>
                <w:szCs w:val="24"/>
                <w:highlight w:val="none"/>
              </w:rPr>
              <w:t>）。</w:t>
            </w:r>
          </w:p>
          <w:p w14:paraId="11D23E74">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spacing w:val="10"/>
                <w:szCs w:val="24"/>
                <w:highlight w:val="none"/>
                <w:shd w:val="clear" w:color="auto" w:fill="FFFFFF" w:themeFill="background1"/>
              </w:rPr>
              <w:t>六</w:t>
            </w:r>
            <w:r>
              <w:rPr>
                <w:rFonts w:hint="eastAsia" w:ascii="仿宋" w:hAnsi="仿宋" w:eastAsia="仿宋" w:cs="仿宋"/>
                <w:color w:val="auto"/>
                <w:kern w:val="0"/>
                <w:szCs w:val="24"/>
                <w:highlight w:val="none"/>
              </w:rPr>
              <w:t>个月（以投标文件递交截止之日为期限）的投标人无需提供。</w:t>
            </w:r>
          </w:p>
        </w:tc>
      </w:tr>
      <w:tr w14:paraId="58B4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630059F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1976" w:type="pct"/>
            <w:vAlign w:val="center"/>
          </w:tcPr>
          <w:p w14:paraId="1F8853FD">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2635" w:type="pct"/>
            <w:vAlign w:val="center"/>
          </w:tcPr>
          <w:p w14:paraId="4C0AE308">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提供《具有履行合同所必需的设备和专业技术能力的承诺函》，加盖投标人章。</w:t>
            </w:r>
          </w:p>
        </w:tc>
      </w:tr>
      <w:tr w14:paraId="2670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20A202E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1976" w:type="pct"/>
            <w:vAlign w:val="center"/>
          </w:tcPr>
          <w:p w14:paraId="02558C78">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2635" w:type="pct"/>
            <w:vAlign w:val="center"/>
          </w:tcPr>
          <w:p w14:paraId="26FA8E71">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75375D64">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6806BC16">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656A9472">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44CDCE4D">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p>
        </w:tc>
      </w:tr>
      <w:tr w14:paraId="0ED0F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3C779A7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1976" w:type="pct"/>
            <w:vAlign w:val="center"/>
          </w:tcPr>
          <w:p w14:paraId="536C9D11">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2635" w:type="pct"/>
            <w:vAlign w:val="center"/>
          </w:tcPr>
          <w:p w14:paraId="08D281FA">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提供《参加政府采购活动前3年内在经营活动中没有重大违法记录的书面声明》，加盖投标人章。</w:t>
            </w:r>
          </w:p>
        </w:tc>
      </w:tr>
      <w:tr w14:paraId="177B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87" w:type="pct"/>
            <w:vAlign w:val="center"/>
          </w:tcPr>
          <w:p w14:paraId="0296515B">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1976" w:type="pct"/>
            <w:vAlign w:val="center"/>
          </w:tcPr>
          <w:p w14:paraId="5BBBC9FA">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本项目专门面向中小企业采购，投标人所投货物制造商须均为中小企业 。</w:t>
            </w:r>
          </w:p>
        </w:tc>
        <w:tc>
          <w:tcPr>
            <w:tcW w:w="2635" w:type="pct"/>
            <w:vAlign w:val="center"/>
          </w:tcPr>
          <w:p w14:paraId="4E406552">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按招标文件要求提供声明函。</w:t>
            </w:r>
          </w:p>
        </w:tc>
      </w:tr>
      <w:tr w14:paraId="3E10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4" w:hRule="atLeast"/>
          <w:jc w:val="center"/>
        </w:trPr>
        <w:tc>
          <w:tcPr>
            <w:tcW w:w="387" w:type="pct"/>
            <w:vAlign w:val="center"/>
          </w:tcPr>
          <w:p w14:paraId="069B7F0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1976" w:type="pct"/>
            <w:vAlign w:val="center"/>
          </w:tcPr>
          <w:p w14:paraId="166466B7">
            <w:pPr>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35" w:type="pct"/>
            <w:vAlign w:val="center"/>
          </w:tcPr>
          <w:p w14:paraId="24C53F0B">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以采购人或者采购代理机构查询记录为准。</w:t>
            </w:r>
          </w:p>
        </w:tc>
      </w:tr>
      <w:tr w14:paraId="66D4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1114D250">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132C36DA">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2241037E">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《符合性审查标准》</w:t>
      </w:r>
      <w:bookmarkEnd w:id="54"/>
    </w:p>
    <w:tbl>
      <w:tblPr>
        <w:tblStyle w:val="38"/>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929"/>
        <w:gridCol w:w="3446"/>
      </w:tblGrid>
      <w:tr w14:paraId="23B8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332FB86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929" w:type="dxa"/>
            <w:vAlign w:val="center"/>
          </w:tcPr>
          <w:p w14:paraId="48C18FF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446" w:type="dxa"/>
            <w:vAlign w:val="center"/>
          </w:tcPr>
          <w:p w14:paraId="44BD0D6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2EC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7255F8B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929" w:type="dxa"/>
            <w:vAlign w:val="center"/>
          </w:tcPr>
          <w:p w14:paraId="6733C31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投标文件必须按招标文件要求加盖投标人章、法定代表人章（或签字）。</w:t>
            </w:r>
          </w:p>
        </w:tc>
        <w:tc>
          <w:tcPr>
            <w:tcW w:w="3446" w:type="dxa"/>
            <w:vAlign w:val="center"/>
          </w:tcPr>
          <w:p w14:paraId="47D0738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D19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656583E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929" w:type="dxa"/>
            <w:vAlign w:val="center"/>
          </w:tcPr>
          <w:p w14:paraId="0282D4F2">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投标价格明细表必须完整填写。</w:t>
            </w:r>
          </w:p>
        </w:tc>
        <w:tc>
          <w:tcPr>
            <w:tcW w:w="3446" w:type="dxa"/>
            <w:vAlign w:val="center"/>
          </w:tcPr>
          <w:p w14:paraId="7030041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6CCA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539DD4C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4929" w:type="dxa"/>
            <w:vAlign w:val="center"/>
          </w:tcPr>
          <w:p w14:paraId="68F8F451">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投标价格不得超过投标人须知前附表中的最高限价。</w:t>
            </w:r>
          </w:p>
        </w:tc>
        <w:tc>
          <w:tcPr>
            <w:tcW w:w="3446" w:type="dxa"/>
            <w:vAlign w:val="center"/>
          </w:tcPr>
          <w:p w14:paraId="31C1A45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531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tcMar>
              <w:top w:w="0" w:type="dxa"/>
              <w:left w:w="28" w:type="dxa"/>
              <w:bottom w:w="0" w:type="dxa"/>
              <w:right w:w="28" w:type="dxa"/>
            </w:tcMar>
            <w:vAlign w:val="center"/>
          </w:tcPr>
          <w:p w14:paraId="29EE54C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4929" w:type="dxa"/>
            <w:vAlign w:val="center"/>
          </w:tcPr>
          <w:p w14:paraId="37375A64">
            <w:pPr>
              <w:widowControl/>
              <w:shd w:val="clear" w:color="auto" w:fill="FFFFFF"/>
              <w:snapToGrid w:val="0"/>
              <w:spacing w:line="360" w:lineRule="auto"/>
              <w:rPr>
                <w:rFonts w:hint="eastAsia" w:ascii="仿宋" w:hAnsi="仿宋" w:eastAsia="仿宋" w:cs="仿宋"/>
                <w:color w:val="auto"/>
                <w:highlight w:val="none"/>
              </w:rPr>
            </w:pPr>
            <w:r>
              <w:rPr>
                <w:rFonts w:hint="eastAsia" w:ascii="仿宋" w:hAnsi="仿宋" w:eastAsia="仿宋" w:cs="仿宋"/>
                <w:color w:val="auto"/>
                <w:kern w:val="0"/>
                <w:szCs w:val="24"/>
                <w:highlight w:val="none"/>
              </w:rPr>
              <w:t>售后服务承诺必须提供，并盖投标人章。</w:t>
            </w:r>
          </w:p>
        </w:tc>
        <w:tc>
          <w:tcPr>
            <w:tcW w:w="3446" w:type="dxa"/>
            <w:tcMar>
              <w:top w:w="0" w:type="dxa"/>
              <w:left w:w="28" w:type="dxa"/>
              <w:bottom w:w="0" w:type="dxa"/>
              <w:right w:w="28" w:type="dxa"/>
            </w:tcMar>
            <w:vAlign w:val="center"/>
          </w:tcPr>
          <w:p w14:paraId="61939115">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2AB3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10026EA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4929" w:type="dxa"/>
            <w:vAlign w:val="center"/>
          </w:tcPr>
          <w:p w14:paraId="485AC492">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合同履约期限和质保期必须满足招标文件要求。</w:t>
            </w:r>
          </w:p>
        </w:tc>
        <w:tc>
          <w:tcPr>
            <w:tcW w:w="3446" w:type="dxa"/>
            <w:tcMar>
              <w:top w:w="0" w:type="dxa"/>
              <w:left w:w="28" w:type="dxa"/>
              <w:bottom w:w="0" w:type="dxa"/>
              <w:right w:w="28" w:type="dxa"/>
            </w:tcMar>
            <w:vAlign w:val="center"/>
          </w:tcPr>
          <w:p w14:paraId="5D33E3B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3BCD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4ADA96D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4929" w:type="dxa"/>
            <w:vAlign w:val="center"/>
          </w:tcPr>
          <w:p w14:paraId="3ED8FFC8">
            <w:pPr>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投标保证金必须按照招标文件要求缴纳。</w:t>
            </w:r>
          </w:p>
        </w:tc>
        <w:tc>
          <w:tcPr>
            <w:tcW w:w="3446" w:type="dxa"/>
            <w:tcMar>
              <w:top w:w="0" w:type="dxa"/>
              <w:left w:w="28" w:type="dxa"/>
              <w:bottom w:w="0" w:type="dxa"/>
              <w:right w:w="28" w:type="dxa"/>
            </w:tcMar>
            <w:vAlign w:val="center"/>
          </w:tcPr>
          <w:p w14:paraId="25D9816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2446663F">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3E65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tcMar>
              <w:top w:w="0" w:type="dxa"/>
              <w:left w:w="28" w:type="dxa"/>
              <w:bottom w:w="0" w:type="dxa"/>
              <w:right w:w="28" w:type="dxa"/>
            </w:tcMar>
            <w:vAlign w:val="center"/>
          </w:tcPr>
          <w:p w14:paraId="4F4A8F52">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4929" w:type="dxa"/>
            <w:vAlign w:val="center"/>
          </w:tcPr>
          <w:p w14:paraId="7A69180C">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投标文件符合招标文件全部实质性要求。</w:t>
            </w:r>
          </w:p>
        </w:tc>
        <w:tc>
          <w:tcPr>
            <w:tcW w:w="3446" w:type="dxa"/>
            <w:tcMar>
              <w:top w:w="0" w:type="dxa"/>
              <w:left w:w="28" w:type="dxa"/>
              <w:bottom w:w="0" w:type="dxa"/>
              <w:right w:w="28" w:type="dxa"/>
            </w:tcMar>
            <w:vAlign w:val="center"/>
          </w:tcPr>
          <w:p w14:paraId="2CCC8DB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110F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97" w:type="dxa"/>
            <w:gridSpan w:val="3"/>
            <w:vAlign w:val="center"/>
          </w:tcPr>
          <w:p w14:paraId="45484878">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02956B7C">
      <w:pPr>
        <w:rPr>
          <w:rFonts w:hint="eastAsia" w:ascii="仿宋" w:hAnsi="仿宋" w:eastAsia="仿宋" w:cs="仿宋"/>
          <w:color w:val="auto"/>
          <w:highlight w:val="none"/>
        </w:rPr>
      </w:pPr>
    </w:p>
    <w:p w14:paraId="39492846">
      <w:pPr>
        <w:pStyle w:val="12"/>
        <w:jc w:val="center"/>
        <w:rPr>
          <w:rFonts w:hint="eastAsia" w:ascii="仿宋" w:hAnsi="仿宋" w:eastAsia="仿宋" w:cs="仿宋"/>
          <w:color w:val="auto"/>
          <w:highlight w:val="none"/>
        </w:rPr>
      </w:pPr>
      <w:bookmarkStart w:id="55" w:name="_Toc12409"/>
      <w:bookmarkStart w:id="56" w:name="_Toc24504"/>
      <w:bookmarkStart w:id="57" w:name="_Toc115977387"/>
      <w:bookmarkStart w:id="58" w:name="_Toc485312286"/>
      <w:r>
        <w:rPr>
          <w:rFonts w:hint="eastAsia" w:ascii="仿宋" w:hAnsi="仿宋" w:eastAsia="仿宋" w:cs="仿宋"/>
          <w:b/>
          <w:color w:val="auto"/>
          <w:szCs w:val="24"/>
          <w:highlight w:val="none"/>
        </w:rPr>
        <w:t>《详细评审标准》</w:t>
      </w:r>
    </w:p>
    <w:tbl>
      <w:tblPr>
        <w:tblStyle w:val="38"/>
        <w:tblpPr w:leftFromText="181" w:rightFromText="181" w:vertAnchor="text" w:horzAnchor="page" w:tblpX="1396" w:tblpY="460"/>
        <w:tblOverlap w:val="never"/>
        <w:tblW w:w="49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2"/>
        <w:gridCol w:w="1285"/>
        <w:gridCol w:w="953"/>
        <w:gridCol w:w="5891"/>
      </w:tblGrid>
      <w:tr w14:paraId="1CC1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trPr>
        <w:tc>
          <w:tcPr>
            <w:tcW w:w="439" w:type="pct"/>
            <w:vAlign w:val="center"/>
          </w:tcPr>
          <w:p w14:paraId="469ADB8F">
            <w:pPr>
              <w:widowControl/>
              <w:shd w:val="clear" w:color="auto" w:fill="FFFFFF"/>
              <w:snapToGrid w:val="0"/>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721" w:type="pct"/>
            <w:vAlign w:val="center"/>
          </w:tcPr>
          <w:p w14:paraId="3DE5CB2D">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评审项目</w:t>
            </w:r>
          </w:p>
        </w:tc>
        <w:tc>
          <w:tcPr>
            <w:tcW w:w="535" w:type="pct"/>
            <w:vAlign w:val="center"/>
          </w:tcPr>
          <w:p w14:paraId="33B0491A">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标准分</w:t>
            </w:r>
          </w:p>
        </w:tc>
        <w:tc>
          <w:tcPr>
            <w:tcW w:w="3303" w:type="pct"/>
            <w:vAlign w:val="center"/>
          </w:tcPr>
          <w:p w14:paraId="0CF1366D">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评审标准</w:t>
            </w:r>
          </w:p>
        </w:tc>
      </w:tr>
      <w:tr w14:paraId="2AC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4D41896B">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721" w:type="pct"/>
            <w:tcMar>
              <w:top w:w="0" w:type="dxa"/>
              <w:left w:w="108" w:type="dxa"/>
              <w:bottom w:w="0" w:type="dxa"/>
              <w:right w:w="108" w:type="dxa"/>
            </w:tcMar>
            <w:vAlign w:val="center"/>
          </w:tcPr>
          <w:p w14:paraId="6641A383">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类似业绩</w:t>
            </w:r>
          </w:p>
        </w:tc>
        <w:tc>
          <w:tcPr>
            <w:tcW w:w="535" w:type="pct"/>
            <w:tcMar>
              <w:top w:w="0" w:type="dxa"/>
              <w:left w:w="108" w:type="dxa"/>
              <w:bottom w:w="0" w:type="dxa"/>
              <w:right w:w="108" w:type="dxa"/>
            </w:tcMar>
            <w:vAlign w:val="center"/>
          </w:tcPr>
          <w:p w14:paraId="7F2ACA07">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3303" w:type="pct"/>
            <w:tcMar>
              <w:top w:w="0" w:type="dxa"/>
              <w:left w:w="108" w:type="dxa"/>
              <w:bottom w:w="0" w:type="dxa"/>
              <w:right w:w="108" w:type="dxa"/>
            </w:tcMar>
            <w:vAlign w:val="center"/>
          </w:tcPr>
          <w:p w14:paraId="27956EE6">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投标人或产品制造商近三年(2023年1月1日-至今)完成的类似业绩，一项计1分，最多计2项(须提供合同扫描件)。</w:t>
            </w:r>
          </w:p>
        </w:tc>
      </w:tr>
      <w:tr w14:paraId="415F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439" w:type="pct"/>
            <w:tcMar>
              <w:top w:w="0" w:type="dxa"/>
              <w:left w:w="108" w:type="dxa"/>
              <w:bottom w:w="0" w:type="dxa"/>
              <w:right w:w="108" w:type="dxa"/>
            </w:tcMar>
            <w:vAlign w:val="center"/>
          </w:tcPr>
          <w:p w14:paraId="74FC377D">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721" w:type="pct"/>
            <w:tcMar>
              <w:top w:w="0" w:type="dxa"/>
              <w:left w:w="108" w:type="dxa"/>
              <w:bottom w:w="0" w:type="dxa"/>
              <w:right w:w="108" w:type="dxa"/>
            </w:tcMar>
            <w:vAlign w:val="center"/>
          </w:tcPr>
          <w:p w14:paraId="0AE9A7A1">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w:t>
            </w:r>
          </w:p>
        </w:tc>
        <w:tc>
          <w:tcPr>
            <w:tcW w:w="535" w:type="pct"/>
            <w:tcMar>
              <w:top w:w="0" w:type="dxa"/>
              <w:left w:w="108" w:type="dxa"/>
              <w:bottom w:w="0" w:type="dxa"/>
              <w:right w:w="108" w:type="dxa"/>
            </w:tcMar>
            <w:vAlign w:val="center"/>
          </w:tcPr>
          <w:p w14:paraId="40D090A6">
            <w:pPr>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40</w:t>
            </w:r>
          </w:p>
        </w:tc>
        <w:tc>
          <w:tcPr>
            <w:tcW w:w="3303" w:type="pct"/>
            <w:tcMar>
              <w:top w:w="0" w:type="dxa"/>
              <w:left w:w="108" w:type="dxa"/>
              <w:bottom w:w="0" w:type="dxa"/>
              <w:right w:w="108" w:type="dxa"/>
            </w:tcMar>
            <w:vAlign w:val="center"/>
          </w:tcPr>
          <w:p w14:paraId="1C49FCE2">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技术指标全部满足采购文件要求，无偏离得</w:t>
            </w:r>
            <w:r>
              <w:rPr>
                <w:rFonts w:ascii="仿宋" w:hAnsi="仿宋" w:eastAsia="仿宋" w:cs="仿宋"/>
                <w:color w:val="auto"/>
                <w:kern w:val="0"/>
                <w:szCs w:val="21"/>
                <w:highlight w:val="none"/>
              </w:rPr>
              <w:t>40</w:t>
            </w:r>
            <w:r>
              <w:rPr>
                <w:rFonts w:hint="eastAsia" w:ascii="仿宋" w:hAnsi="仿宋" w:eastAsia="仿宋" w:cs="仿宋"/>
                <w:color w:val="auto"/>
                <w:kern w:val="0"/>
                <w:szCs w:val="21"/>
                <w:highlight w:val="none"/>
              </w:rPr>
              <w:t>分，标“</w:t>
            </w:r>
            <w:bookmarkStart w:id="59" w:name="OLE_LINK2"/>
            <w:r>
              <w:rPr>
                <w:rFonts w:hint="eastAsia" w:ascii="仿宋" w:hAnsi="仿宋" w:eastAsia="仿宋" w:cs="仿宋"/>
                <w:color w:val="auto"/>
                <w:kern w:val="0"/>
                <w:szCs w:val="21"/>
                <w:highlight w:val="none"/>
              </w:rPr>
              <w:t>★</w:t>
            </w:r>
            <w:bookmarkEnd w:id="59"/>
            <w:r>
              <w:rPr>
                <w:rFonts w:hint="eastAsia" w:ascii="仿宋" w:hAnsi="仿宋" w:eastAsia="仿宋" w:cs="仿宋"/>
                <w:color w:val="auto"/>
                <w:kern w:val="0"/>
                <w:szCs w:val="21"/>
                <w:highlight w:val="none"/>
              </w:rPr>
              <w:t>”为关键参数，须实质性响应，不允许负偏，有一项负偏离属于无效投标；标注“▲”为重要参数，参数每缺少或负偏离一项扣2分；非标“★”、</w:t>
            </w:r>
            <w:bookmarkStart w:id="60" w:name="OLE_LINK27"/>
            <w:r>
              <w:rPr>
                <w:rFonts w:hint="eastAsia" w:ascii="仿宋" w:hAnsi="仿宋" w:eastAsia="仿宋" w:cs="仿宋"/>
                <w:color w:val="auto"/>
                <w:kern w:val="0"/>
                <w:szCs w:val="21"/>
                <w:highlight w:val="none"/>
              </w:rPr>
              <w:t>“▲”</w:t>
            </w:r>
            <w:bookmarkEnd w:id="60"/>
            <w:r>
              <w:rPr>
                <w:rFonts w:hint="eastAsia" w:ascii="仿宋" w:hAnsi="仿宋" w:eastAsia="仿宋" w:cs="仿宋"/>
                <w:color w:val="auto"/>
                <w:kern w:val="0"/>
                <w:szCs w:val="21"/>
                <w:highlight w:val="none"/>
              </w:rPr>
              <w:t>参数缺少或负偏离一项的项扣</w:t>
            </w:r>
            <w:r>
              <w:rPr>
                <w:rFonts w:ascii="仿宋" w:hAnsi="仿宋" w:eastAsia="仿宋" w:cs="仿宋"/>
                <w:color w:val="auto"/>
                <w:kern w:val="0"/>
                <w:szCs w:val="21"/>
                <w:highlight w:val="none"/>
              </w:rPr>
              <w:t>0.5</w:t>
            </w:r>
            <w:r>
              <w:rPr>
                <w:rFonts w:hint="eastAsia" w:ascii="仿宋" w:hAnsi="仿宋" w:eastAsia="仿宋" w:cs="仿宋"/>
                <w:color w:val="auto"/>
                <w:kern w:val="0"/>
                <w:szCs w:val="21"/>
                <w:highlight w:val="none"/>
              </w:rPr>
              <w:t>分；扣完为止。</w:t>
            </w:r>
          </w:p>
          <w:p w14:paraId="5D773601">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注：标“★”关键参数和标“▲”重要参数要求提供证明材料的，须附对应的证明材料，若未要求则须提供第三方检测报告或者制造商盖章参数证明函或软件截图证明，若未提供有效证明材料或证明材料不符合参数要求的则该参数将被视为负偏离。</w:t>
            </w:r>
          </w:p>
        </w:tc>
      </w:tr>
      <w:tr w14:paraId="5ACC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0C47E270">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721" w:type="pct"/>
            <w:tcMar>
              <w:top w:w="0" w:type="dxa"/>
              <w:left w:w="108" w:type="dxa"/>
              <w:bottom w:w="0" w:type="dxa"/>
              <w:right w:w="108" w:type="dxa"/>
            </w:tcMar>
            <w:vAlign w:val="center"/>
          </w:tcPr>
          <w:p w14:paraId="3CC69198">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p>
        </w:tc>
        <w:tc>
          <w:tcPr>
            <w:tcW w:w="535" w:type="pct"/>
            <w:tcMar>
              <w:top w:w="0" w:type="dxa"/>
              <w:left w:w="108" w:type="dxa"/>
              <w:bottom w:w="0" w:type="dxa"/>
              <w:right w:w="108" w:type="dxa"/>
            </w:tcMar>
            <w:vAlign w:val="center"/>
          </w:tcPr>
          <w:p w14:paraId="28CC42D2">
            <w:pPr>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9</w:t>
            </w:r>
          </w:p>
        </w:tc>
        <w:tc>
          <w:tcPr>
            <w:tcW w:w="3303" w:type="pct"/>
            <w:tcMar>
              <w:top w:w="0" w:type="dxa"/>
              <w:left w:w="108" w:type="dxa"/>
              <w:bottom w:w="0" w:type="dxa"/>
              <w:right w:w="108" w:type="dxa"/>
            </w:tcMar>
            <w:vAlign w:val="center"/>
          </w:tcPr>
          <w:p w14:paraId="3F2C3A85">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实施方案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①供货计划，②</w:t>
            </w:r>
            <w:r>
              <w:rPr>
                <w:rFonts w:hint="eastAsia" w:ascii="仿宋" w:hAnsi="仿宋" w:eastAsia="仿宋" w:cs="仿宋"/>
                <w:color w:val="auto"/>
                <w:szCs w:val="21"/>
                <w:highlight w:val="none"/>
              </w:rPr>
              <w:t>成品包装、运输保护措施，</w:t>
            </w:r>
            <w:r>
              <w:rPr>
                <w:rFonts w:hint="eastAsia" w:ascii="仿宋" w:hAnsi="仿宋" w:eastAsia="仿宋" w:cs="仿宋"/>
                <w:color w:val="auto"/>
                <w:kern w:val="0"/>
                <w:szCs w:val="21"/>
                <w:highlight w:val="none"/>
              </w:rPr>
              <w:t>③安装调试措施；3部分要素。</w:t>
            </w:r>
          </w:p>
          <w:p w14:paraId="1ECDDE0E">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9</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3</w:t>
            </w:r>
            <w:r>
              <w:rPr>
                <w:rFonts w:hint="eastAsia" w:ascii="仿宋" w:hAnsi="仿宋" w:eastAsia="仿宋" w:cs="仿宋"/>
                <w:color w:val="auto"/>
                <w:szCs w:val="21"/>
                <w:highlight w:val="none"/>
              </w:rPr>
              <w:t>分，每个要素里每有一处内容缺陷扣</w:t>
            </w:r>
            <w:r>
              <w:rPr>
                <w:rFonts w:ascii="仿宋" w:hAnsi="仿宋" w:eastAsia="仿宋" w:cs="仿宋"/>
                <w:color w:val="auto"/>
                <w:szCs w:val="21"/>
                <w:highlight w:val="none"/>
              </w:rPr>
              <w:t>1</w:t>
            </w:r>
            <w:r>
              <w:rPr>
                <w:rFonts w:hint="eastAsia" w:ascii="仿宋" w:hAnsi="仿宋" w:eastAsia="仿宋" w:cs="仿宋"/>
                <w:color w:val="auto"/>
                <w:szCs w:val="21"/>
                <w:highlight w:val="none"/>
              </w:rPr>
              <w:t>分（扣完为止）。</w:t>
            </w:r>
          </w:p>
        </w:tc>
      </w:tr>
      <w:tr w14:paraId="22548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71A9E098">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721" w:type="pct"/>
            <w:tcMar>
              <w:top w:w="0" w:type="dxa"/>
              <w:left w:w="108" w:type="dxa"/>
              <w:bottom w:w="0" w:type="dxa"/>
              <w:right w:w="108" w:type="dxa"/>
            </w:tcMar>
            <w:vAlign w:val="center"/>
          </w:tcPr>
          <w:p w14:paraId="1D1A08ED">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p>
        </w:tc>
        <w:tc>
          <w:tcPr>
            <w:tcW w:w="535" w:type="pct"/>
            <w:tcMar>
              <w:top w:w="0" w:type="dxa"/>
              <w:left w:w="108" w:type="dxa"/>
              <w:bottom w:w="0" w:type="dxa"/>
              <w:right w:w="108" w:type="dxa"/>
            </w:tcMar>
            <w:vAlign w:val="center"/>
          </w:tcPr>
          <w:p w14:paraId="0AD5408C">
            <w:pPr>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5</w:t>
            </w:r>
          </w:p>
        </w:tc>
        <w:tc>
          <w:tcPr>
            <w:tcW w:w="3303" w:type="pct"/>
            <w:tcMar>
              <w:top w:w="0" w:type="dxa"/>
              <w:left w:w="108" w:type="dxa"/>
              <w:bottom w:w="0" w:type="dxa"/>
              <w:right w:w="108" w:type="dxa"/>
            </w:tcMar>
            <w:vAlign w:val="center"/>
          </w:tcPr>
          <w:p w14:paraId="3219E32C">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质量保证方案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①质量检测措施，②质量管理制度；2部分要素。</w:t>
            </w:r>
          </w:p>
          <w:p w14:paraId="262CDE2F">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5</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2.5</w:t>
            </w:r>
            <w:r>
              <w:rPr>
                <w:rFonts w:hint="eastAsia" w:ascii="仿宋" w:hAnsi="仿宋" w:eastAsia="仿宋" w:cs="仿宋"/>
                <w:color w:val="auto"/>
                <w:szCs w:val="21"/>
                <w:highlight w:val="none"/>
              </w:rPr>
              <w:t>分，每个要素里每有一处内容缺陷扣1分（扣完为止）。</w:t>
            </w:r>
          </w:p>
        </w:tc>
      </w:tr>
      <w:tr w14:paraId="69467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20596512">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721" w:type="pct"/>
            <w:tcMar>
              <w:top w:w="0" w:type="dxa"/>
              <w:left w:w="108" w:type="dxa"/>
              <w:bottom w:w="0" w:type="dxa"/>
              <w:right w:w="108" w:type="dxa"/>
            </w:tcMar>
            <w:vAlign w:val="center"/>
          </w:tcPr>
          <w:p w14:paraId="208722EE">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p>
        </w:tc>
        <w:tc>
          <w:tcPr>
            <w:tcW w:w="535" w:type="pct"/>
            <w:tcMar>
              <w:top w:w="0" w:type="dxa"/>
              <w:left w:w="108" w:type="dxa"/>
              <w:bottom w:w="0" w:type="dxa"/>
              <w:right w:w="108" w:type="dxa"/>
            </w:tcMar>
            <w:vAlign w:val="center"/>
          </w:tcPr>
          <w:p w14:paraId="7B53D18F">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303" w:type="pct"/>
            <w:tcMar>
              <w:top w:w="0" w:type="dxa"/>
              <w:left w:w="108" w:type="dxa"/>
              <w:bottom w:w="0" w:type="dxa"/>
              <w:right w:w="108" w:type="dxa"/>
            </w:tcMar>
            <w:vAlign w:val="center"/>
          </w:tcPr>
          <w:p w14:paraId="599B57A1">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应急预案</w:t>
            </w:r>
            <w:r>
              <w:rPr>
                <w:rFonts w:hint="eastAsia" w:ascii="仿宋" w:hAnsi="仿宋" w:eastAsia="仿宋" w:cs="仿宋"/>
                <w:color w:val="auto"/>
                <w:szCs w:val="21"/>
                <w:highlight w:val="none"/>
              </w:rPr>
              <w:t>包括但不限于：①风险预防措施，②应急响应流程；</w:t>
            </w:r>
            <w:r>
              <w:rPr>
                <w:rFonts w:hint="eastAsia" w:ascii="仿宋" w:hAnsi="仿宋" w:eastAsia="仿宋" w:cs="仿宋"/>
                <w:color w:val="auto"/>
                <w:kern w:val="0"/>
                <w:szCs w:val="21"/>
                <w:highlight w:val="none"/>
              </w:rPr>
              <w:t>2部分要素。</w:t>
            </w:r>
          </w:p>
          <w:p w14:paraId="377D9EEB">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4E2E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4F8EC1D5">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721" w:type="pct"/>
            <w:tcMar>
              <w:top w:w="0" w:type="dxa"/>
              <w:left w:w="108" w:type="dxa"/>
              <w:bottom w:w="0" w:type="dxa"/>
              <w:right w:w="108" w:type="dxa"/>
            </w:tcMar>
            <w:vAlign w:val="center"/>
          </w:tcPr>
          <w:p w14:paraId="32AEE032">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p>
        </w:tc>
        <w:tc>
          <w:tcPr>
            <w:tcW w:w="535" w:type="pct"/>
            <w:tcMar>
              <w:top w:w="0" w:type="dxa"/>
              <w:left w:w="108" w:type="dxa"/>
              <w:bottom w:w="0" w:type="dxa"/>
              <w:right w:w="108" w:type="dxa"/>
            </w:tcMar>
            <w:vAlign w:val="center"/>
          </w:tcPr>
          <w:p w14:paraId="79DBB381">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3303" w:type="pct"/>
            <w:tcMar>
              <w:top w:w="0" w:type="dxa"/>
              <w:left w:w="108" w:type="dxa"/>
              <w:bottom w:w="0" w:type="dxa"/>
              <w:right w:w="108" w:type="dxa"/>
            </w:tcMar>
            <w:vAlign w:val="center"/>
          </w:tcPr>
          <w:p w14:paraId="7C8257CB">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培训方案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①培训计划，②培训内容；2部分要素。</w:t>
            </w:r>
          </w:p>
          <w:p w14:paraId="2F6EF15F">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所有要素齐全且完全满足项目要求得4分，每缺一个要素扣2分，每个要素里每有一处内容缺陷扣1分（扣完为止）。</w:t>
            </w:r>
          </w:p>
        </w:tc>
      </w:tr>
      <w:tr w14:paraId="726F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439" w:type="pct"/>
            <w:tcMar>
              <w:top w:w="0" w:type="dxa"/>
              <w:left w:w="108" w:type="dxa"/>
              <w:bottom w:w="0" w:type="dxa"/>
              <w:right w:w="108" w:type="dxa"/>
            </w:tcMar>
            <w:vAlign w:val="center"/>
          </w:tcPr>
          <w:p w14:paraId="6B3B2806">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721" w:type="pct"/>
            <w:tcMar>
              <w:top w:w="0" w:type="dxa"/>
              <w:left w:w="108" w:type="dxa"/>
              <w:bottom w:w="0" w:type="dxa"/>
              <w:right w:w="108" w:type="dxa"/>
            </w:tcMar>
            <w:vAlign w:val="center"/>
          </w:tcPr>
          <w:p w14:paraId="577B65D7">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p>
        </w:tc>
        <w:tc>
          <w:tcPr>
            <w:tcW w:w="535" w:type="pct"/>
            <w:tcMar>
              <w:top w:w="0" w:type="dxa"/>
              <w:left w:w="108" w:type="dxa"/>
              <w:bottom w:w="0" w:type="dxa"/>
              <w:right w:w="108" w:type="dxa"/>
            </w:tcMar>
            <w:vAlign w:val="center"/>
          </w:tcPr>
          <w:p w14:paraId="33FEC618">
            <w:pPr>
              <w:spacing w:line="360" w:lineRule="auto"/>
              <w:jc w:val="center"/>
              <w:rPr>
                <w:rFonts w:hint="eastAsia" w:ascii="仿宋" w:hAnsi="仿宋" w:eastAsia="仿宋" w:cs="仿宋"/>
                <w:color w:val="auto"/>
                <w:kern w:val="0"/>
                <w:szCs w:val="21"/>
                <w:highlight w:val="none"/>
              </w:rPr>
            </w:pPr>
            <w:r>
              <w:rPr>
                <w:rFonts w:ascii="仿宋" w:hAnsi="仿宋" w:eastAsia="仿宋" w:cs="仿宋"/>
                <w:color w:val="auto"/>
                <w:kern w:val="0"/>
                <w:szCs w:val="21"/>
                <w:highlight w:val="none"/>
              </w:rPr>
              <w:t>6</w:t>
            </w:r>
          </w:p>
        </w:tc>
        <w:tc>
          <w:tcPr>
            <w:tcW w:w="3303" w:type="pct"/>
            <w:tcMar>
              <w:top w:w="0" w:type="dxa"/>
              <w:left w:w="108" w:type="dxa"/>
              <w:bottom w:w="0" w:type="dxa"/>
              <w:right w:w="108" w:type="dxa"/>
            </w:tcMar>
            <w:vAlign w:val="center"/>
          </w:tcPr>
          <w:p w14:paraId="50024A27">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售后服务方案</w:t>
            </w:r>
            <w:r>
              <w:rPr>
                <w:rFonts w:hint="eastAsia" w:ascii="仿宋" w:hAnsi="仿宋" w:eastAsia="仿宋" w:cs="仿宋"/>
                <w:color w:val="auto"/>
                <w:szCs w:val="21"/>
                <w:highlight w:val="none"/>
              </w:rPr>
              <w:t>包括但不限于：</w:t>
            </w:r>
            <w:r>
              <w:rPr>
                <w:rFonts w:hint="eastAsia" w:ascii="仿宋" w:hAnsi="仿宋" w:eastAsia="仿宋" w:cs="仿宋"/>
                <w:color w:val="auto"/>
                <w:kern w:val="0"/>
                <w:szCs w:val="21"/>
                <w:highlight w:val="none"/>
              </w:rPr>
              <w:t>①质量\非质量问题退换方案及时效，②</w:t>
            </w:r>
            <w:r>
              <w:rPr>
                <w:rFonts w:hint="eastAsia" w:ascii="仿宋" w:hAnsi="仿宋" w:eastAsia="仿宋" w:cs="仿宋"/>
                <w:color w:val="auto"/>
                <w:szCs w:val="21"/>
                <w:highlight w:val="none"/>
              </w:rPr>
              <w:t>备品备件，③</w:t>
            </w:r>
            <w:r>
              <w:rPr>
                <w:rFonts w:hint="eastAsia" w:ascii="仿宋" w:hAnsi="仿宋" w:eastAsia="仿宋" w:cs="仿宋"/>
                <w:color w:val="auto"/>
                <w:kern w:val="0"/>
                <w:szCs w:val="21"/>
                <w:highlight w:val="none"/>
              </w:rPr>
              <w:t>故障维修处理措施；3部分要素。</w:t>
            </w:r>
          </w:p>
          <w:p w14:paraId="02E3A64B">
            <w:pPr>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所有要素齐全且完全满足项目要求得</w:t>
            </w:r>
            <w:r>
              <w:rPr>
                <w:rFonts w:ascii="仿宋" w:hAnsi="仿宋" w:eastAsia="仿宋" w:cs="仿宋"/>
                <w:color w:val="auto"/>
                <w:szCs w:val="21"/>
                <w:highlight w:val="none"/>
              </w:rPr>
              <w:t>6</w:t>
            </w:r>
            <w:r>
              <w:rPr>
                <w:rFonts w:hint="eastAsia" w:ascii="仿宋" w:hAnsi="仿宋" w:eastAsia="仿宋" w:cs="仿宋"/>
                <w:color w:val="auto"/>
                <w:szCs w:val="21"/>
                <w:highlight w:val="none"/>
              </w:rPr>
              <w:t>分，每缺一个要素扣</w:t>
            </w:r>
            <w:r>
              <w:rPr>
                <w:rFonts w:ascii="仿宋" w:hAnsi="仿宋" w:eastAsia="仿宋" w:cs="仿宋"/>
                <w:color w:val="auto"/>
                <w:szCs w:val="21"/>
                <w:highlight w:val="none"/>
              </w:rPr>
              <w:t>2</w:t>
            </w:r>
            <w:r>
              <w:rPr>
                <w:rFonts w:hint="eastAsia" w:ascii="仿宋" w:hAnsi="仿宋" w:eastAsia="仿宋" w:cs="仿宋"/>
                <w:color w:val="auto"/>
                <w:szCs w:val="21"/>
                <w:highlight w:val="none"/>
              </w:rPr>
              <w:t>分，每个要素里每有一处内容缺陷扣</w:t>
            </w:r>
            <w:r>
              <w:rPr>
                <w:rFonts w:ascii="仿宋" w:hAnsi="仿宋" w:eastAsia="仿宋" w:cs="仿宋"/>
                <w:color w:val="auto"/>
                <w:szCs w:val="21"/>
                <w:highlight w:val="none"/>
              </w:rPr>
              <w:t>1</w:t>
            </w:r>
            <w:r>
              <w:rPr>
                <w:rFonts w:hint="eastAsia" w:ascii="仿宋" w:hAnsi="仿宋" w:eastAsia="仿宋" w:cs="仿宋"/>
                <w:color w:val="auto"/>
                <w:szCs w:val="21"/>
                <w:highlight w:val="none"/>
              </w:rPr>
              <w:t>分（扣完为止）。</w:t>
            </w:r>
          </w:p>
        </w:tc>
      </w:tr>
      <w:tr w14:paraId="0602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 w:hRule="atLeast"/>
        </w:trPr>
        <w:tc>
          <w:tcPr>
            <w:tcW w:w="1160" w:type="pct"/>
            <w:gridSpan w:val="2"/>
            <w:tcMar>
              <w:top w:w="0" w:type="dxa"/>
              <w:left w:w="108" w:type="dxa"/>
              <w:bottom w:w="0" w:type="dxa"/>
              <w:right w:w="108" w:type="dxa"/>
            </w:tcMar>
            <w:vAlign w:val="center"/>
          </w:tcPr>
          <w:p w14:paraId="316429C5">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小计</w:t>
            </w:r>
          </w:p>
        </w:tc>
        <w:tc>
          <w:tcPr>
            <w:tcW w:w="535" w:type="pct"/>
            <w:tcMar>
              <w:top w:w="0" w:type="dxa"/>
              <w:left w:w="108" w:type="dxa"/>
              <w:bottom w:w="0" w:type="dxa"/>
              <w:right w:w="108" w:type="dxa"/>
            </w:tcMar>
            <w:vAlign w:val="center"/>
          </w:tcPr>
          <w:p w14:paraId="6AA3381D">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70</w:t>
            </w:r>
          </w:p>
        </w:tc>
        <w:tc>
          <w:tcPr>
            <w:tcW w:w="3303" w:type="pct"/>
            <w:tcMar>
              <w:top w:w="0" w:type="dxa"/>
              <w:left w:w="108" w:type="dxa"/>
              <w:bottom w:w="0" w:type="dxa"/>
              <w:right w:w="108" w:type="dxa"/>
            </w:tcMar>
            <w:vAlign w:val="center"/>
          </w:tcPr>
          <w:p w14:paraId="12ACB0AA">
            <w:pPr>
              <w:spacing w:line="360" w:lineRule="auto"/>
              <w:ind w:firstLine="420" w:firstLineChars="200"/>
              <w:rPr>
                <w:rFonts w:hint="eastAsia" w:ascii="仿宋" w:hAnsi="仿宋" w:eastAsia="仿宋" w:cs="仿宋"/>
                <w:color w:val="auto"/>
                <w:szCs w:val="21"/>
                <w:highlight w:val="none"/>
              </w:rPr>
            </w:pPr>
          </w:p>
        </w:tc>
      </w:tr>
      <w:tr w14:paraId="221B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trPr>
        <w:tc>
          <w:tcPr>
            <w:tcW w:w="5000" w:type="pct"/>
            <w:gridSpan w:val="4"/>
            <w:tcMar>
              <w:top w:w="0" w:type="dxa"/>
              <w:left w:w="108" w:type="dxa"/>
              <w:bottom w:w="0" w:type="dxa"/>
              <w:right w:w="108" w:type="dxa"/>
            </w:tcMar>
            <w:vAlign w:val="center"/>
          </w:tcPr>
          <w:p w14:paraId="1DA37061">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01EBCCA2">
      <w:pPr>
        <w:rPr>
          <w:rFonts w:hint="eastAsia" w:ascii="仿宋" w:hAnsi="仿宋" w:eastAsia="仿宋" w:cs="仿宋"/>
          <w:color w:val="auto"/>
          <w:highlight w:val="none"/>
        </w:rPr>
      </w:pPr>
    </w:p>
    <w:p w14:paraId="4E161D1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1" w:name="_Toc27621"/>
      <w:r>
        <w:rPr>
          <w:rFonts w:hint="eastAsia" w:ascii="仿宋" w:hAnsi="仿宋" w:eastAsia="仿宋" w:cs="仿宋"/>
          <w:b/>
          <w:color w:val="auto"/>
          <w:sz w:val="24"/>
          <w:szCs w:val="24"/>
          <w:highlight w:val="none"/>
        </w:rPr>
        <w:t>一、评标方法</w:t>
      </w:r>
      <w:bookmarkEnd w:id="55"/>
      <w:bookmarkEnd w:id="56"/>
      <w:bookmarkEnd w:id="57"/>
      <w:bookmarkEnd w:id="61"/>
    </w:p>
    <w:p w14:paraId="41661A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p w14:paraId="051569F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2" w:name="_Toc10127"/>
      <w:bookmarkStart w:id="63" w:name="_Toc32415"/>
      <w:bookmarkStart w:id="64" w:name="_Toc8393"/>
      <w:bookmarkStart w:id="65" w:name="_Toc115977388"/>
      <w:r>
        <w:rPr>
          <w:rFonts w:hint="eastAsia" w:ascii="仿宋" w:hAnsi="仿宋" w:eastAsia="仿宋" w:cs="仿宋"/>
          <w:b/>
          <w:color w:val="auto"/>
          <w:sz w:val="24"/>
          <w:szCs w:val="24"/>
          <w:highlight w:val="none"/>
        </w:rPr>
        <w:t>二、评审标准</w:t>
      </w:r>
      <w:bookmarkEnd w:id="62"/>
      <w:bookmarkEnd w:id="63"/>
      <w:bookmarkEnd w:id="64"/>
      <w:bookmarkEnd w:id="65"/>
    </w:p>
    <w:p w14:paraId="218FF5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2AD508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2.2完备性及符合性审查：评审因素和评审标准见《符合性审查标准》。</w:t>
      </w:r>
    </w:p>
    <w:p w14:paraId="49C404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 投标品牌：评审因素和评审标准见本节第3.5款。</w:t>
      </w:r>
    </w:p>
    <w:p w14:paraId="7FF14AA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2.4详细评审：</w:t>
      </w:r>
    </w:p>
    <w:p w14:paraId="66C8F5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2.4.1详细评审：评审因素和评审标准见《详细评审标准》及本节第3.6款。</w:t>
      </w:r>
    </w:p>
    <w:p w14:paraId="4684E8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投标报价评分标准：</w:t>
      </w:r>
    </w:p>
    <w:p w14:paraId="73DA3DB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167F77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331EA6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39DDAC6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6" w:name="_Toc24086"/>
      <w:bookmarkStart w:id="67" w:name="_Toc17427"/>
      <w:bookmarkStart w:id="68" w:name="_Toc115977389"/>
      <w:bookmarkStart w:id="69" w:name="_Toc9604"/>
      <w:r>
        <w:rPr>
          <w:rFonts w:hint="eastAsia" w:ascii="仿宋" w:hAnsi="仿宋" w:eastAsia="仿宋" w:cs="仿宋"/>
          <w:b/>
          <w:color w:val="auto"/>
          <w:sz w:val="24"/>
          <w:szCs w:val="24"/>
          <w:highlight w:val="none"/>
        </w:rPr>
        <w:t>三、评标程序</w:t>
      </w:r>
      <w:bookmarkEnd w:id="66"/>
      <w:bookmarkEnd w:id="67"/>
      <w:bookmarkEnd w:id="68"/>
      <w:bookmarkEnd w:id="69"/>
    </w:p>
    <w:p w14:paraId="082B2D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7B7B8C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4DD02136">
      <w:pPr>
        <w:pStyle w:val="199"/>
        <w:widowControl/>
        <w:numPr>
          <w:ilvl w:val="0"/>
          <w:numId w:val="2"/>
        </w:numPr>
        <w:shd w:val="clear" w:color="auto" w:fill="FFFFFF"/>
        <w:snapToGrid w:val="0"/>
        <w:spacing w:line="360" w:lineRule="auto"/>
        <w:ind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4496EB2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6CC855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5C92F4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 投标品牌统计</w:t>
      </w:r>
    </w:p>
    <w:p w14:paraId="0CBC830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 详细评审</w:t>
      </w:r>
    </w:p>
    <w:p w14:paraId="36FBEA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 澄清、说明或补正</w:t>
      </w:r>
    </w:p>
    <w:p w14:paraId="796D8D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 推荐中标候选人及提交评标报告</w:t>
      </w:r>
    </w:p>
    <w:p w14:paraId="7AD3AB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2556F6E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144AF7A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1B0A8A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7E7792C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4C46940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4AAA22D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7C0873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6B3CCE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16B7E5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27F1800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76C835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79A7FE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3CD2B9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7B21012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评标委员会主任应当组织评标委员会成员认真研究招标文件，了解和熟悉招标目的、招标范围、技术标准和要求，掌握评标标准和方法。</w:t>
      </w:r>
    </w:p>
    <w:p w14:paraId="3C375F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33636C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083BD9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7B1C29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027E91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4C9BC90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0F7C9B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3A67E7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3F1EA41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1588ED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4111F2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688F8E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66498C3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3.4.4政府采购评审中出现下列情形之一的，评审委员会应当启动异常低价投标审查程序：</w:t>
      </w:r>
    </w:p>
    <w:p w14:paraId="2E9538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（1）投标报价低于全部通过符合性审查投标人投标报价平均值50%的，即投标报价&lt;全部通过符合性审查投标人投标报价平均值×50%；</w:t>
      </w:r>
    </w:p>
    <w:p w14:paraId="2D953B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（2）投标报价低于通过符合性审查的次低报价投标人投标报价50%的，即投标报价&lt;通过符合性审查的次低报价投标人投标报价×50%；</w:t>
      </w:r>
    </w:p>
    <w:p w14:paraId="510AD9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（3）投标报价低于采购项目最高限价45%的，即投标报价&lt;采购项目最高限价×45%；</w:t>
      </w:r>
    </w:p>
    <w:p w14:paraId="283977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（4）评审委员会基于专业判断，认为投标人报价过低，有可能影响产品质量或者不能诚信履约的其他情形。</w:t>
      </w:r>
    </w:p>
    <w:p w14:paraId="3FA744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评审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投标人已随投标文件一并提交相关书面说明及必要的证明材料的，在评审现场可不再重复提交。</w:t>
      </w:r>
    </w:p>
    <w:p w14:paraId="0EF3FE31">
      <w:pPr>
        <w:widowControl/>
        <w:shd w:val="clear" w:color="auto" w:fill="FFFFFF"/>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3.4.6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16B44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投标品牌统计</w:t>
      </w:r>
    </w:p>
    <w:p w14:paraId="4B2E58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3.5.1.由评标委员会根据投标人所报核心产品品牌统计计算投标人家数。</w:t>
      </w:r>
    </w:p>
    <w:p w14:paraId="4C090D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3.5.2如招标文件前附表中约定了单一产品或核心产品，则提供相同品牌产品且通过资格审查、完备性及符合性审查的不同投标人参加同一合同项下投标的，按一家投标人计算。</w:t>
      </w:r>
    </w:p>
    <w:p w14:paraId="1250B7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3.6详细评审</w:t>
      </w:r>
    </w:p>
    <w:p w14:paraId="3D955E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3.6.1.只有通过了资格审查、完备性及符合性审查且投标品牌不少于3个方可进入详细评审。</w:t>
      </w:r>
    </w:p>
    <w:p w14:paraId="2659A6B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 澄清、说明和补正</w:t>
      </w:r>
    </w:p>
    <w:p w14:paraId="585E4D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34DA3F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3.6.2.2澄清、说明和补正内容不得改变投标文件的实质性内容（算术性错误修正的除外）。投标人的书面澄清、说明和补正属于投标文件的组成部分。</w:t>
      </w:r>
    </w:p>
    <w:p w14:paraId="33BE4AA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264297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3.6.2.4评标委员会对投标人提交的澄清、说明或补正有疑问的，可以要求投标人进一步澄清、说明或补正，直至满足评标委员会的要求。</w:t>
      </w:r>
    </w:p>
    <w:p w14:paraId="63A991E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3.6.3评委评分：评委按照《详细评审标准》评分，投标人详细评审得分等于全部评委评分的算术平均值。</w:t>
      </w:r>
    </w:p>
    <w:p w14:paraId="7B4F565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 算术错误修正：投标价格有算术错误或前后不一致的，评标委员会按以下原则对投标价格进行修正：</w:t>
      </w:r>
    </w:p>
    <w:p w14:paraId="2DB0E2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3.6.4.1电子交易平台中报价与投标文件相应内容不一致的，以投标文件为准；</w:t>
      </w:r>
    </w:p>
    <w:p w14:paraId="75EF76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3.6.4.2开标一览表与投标文件中相应内容不一致的，以开标一览表为准；</w:t>
      </w:r>
    </w:p>
    <w:p w14:paraId="7EADE99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3.6.4.3大写金额和小写金额不一致的，以大写金额为准；</w:t>
      </w:r>
    </w:p>
    <w:p w14:paraId="70E84D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3.6.4.4单价金额小数点或者百分比有明显错位的，以开标一览表的总价为准，并修改单价；</w:t>
      </w:r>
    </w:p>
    <w:p w14:paraId="1AF238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3.6.4.5总价金额与按单价汇总金额不一致的，以单价金额计算结果为准。</w:t>
      </w:r>
    </w:p>
    <w:p w14:paraId="596DD9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同时出现两种以上不一致的，按照3.6.4.1—3.6.4.5的顺序修正。修正后的报价经投标人确认后产生约束力，投标人不确认或不接受的，其投标无效。</w:t>
      </w:r>
    </w:p>
    <w:p w14:paraId="663124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3.6.5投标报价评分：对投标报价进行投标报价得分计算，计算方法详见评标办法前附表。</w:t>
      </w:r>
    </w:p>
    <w:p w14:paraId="065539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3.6.6汇总评分结果，评分分值计算保留小数点后两位，小数点后第三位“四舍五入”。</w:t>
      </w:r>
    </w:p>
    <w:p w14:paraId="0E88E78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3.6.7详细评审工作全部结束后，投标人总得分排序按照以下原则进行。</w:t>
      </w:r>
    </w:p>
    <w:p w14:paraId="352649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3.6.7.1按照总得分由高到低顺序对投标人进行排序；</w:t>
      </w:r>
    </w:p>
    <w:p w14:paraId="18CD8E5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3.6.7.2总得分相同时报价低的投标人排序靠前；</w:t>
      </w:r>
    </w:p>
    <w:p w14:paraId="20DA0A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3.6.7.3总得分相同且报价相同的同品牌投标人，由采购人确定排序顺序；</w:t>
      </w:r>
    </w:p>
    <w:p w14:paraId="67C25C4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3.6.7.4总得分相同且报价相同的不同品牌投标人，采取随机抽取方式确定排序顺序。</w:t>
      </w:r>
    </w:p>
    <w:p w14:paraId="265A67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3.7推荐中标候选人及提交评标报告</w:t>
      </w:r>
    </w:p>
    <w:p w14:paraId="754F1D8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评标委员会推荐中标候选人，总得分排序第一的投标人将被确定为第一中标候选人（总得分排序最高的同品牌投标人获得中标候选人推荐资格，其它同品牌投标人不作为中标候选人），以此类推确定出规定数量的的中标候选人。</w:t>
      </w:r>
    </w:p>
    <w:p w14:paraId="772C2C7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3.7.2当通过了资格审查、完备性及符合性审查后，投标品牌少于3个时，采购人应当依法重新招标。</w:t>
      </w:r>
    </w:p>
    <w:p w14:paraId="74B1BC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评标委员会完成评标后，应当向采购人提交书面评标报告。</w:t>
      </w:r>
    </w:p>
    <w:p w14:paraId="619EFEC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3.8特殊情况的处置程序</w:t>
      </w:r>
    </w:p>
    <w:p w14:paraId="2BA1D7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 关于评标活动暂停</w:t>
      </w:r>
    </w:p>
    <w:p w14:paraId="7AE307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72A3F85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3.8.2关于评标中途更换评委</w:t>
      </w:r>
    </w:p>
    <w:p w14:paraId="177B140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3.8.2.1 除非发生下列情况之一，评标委员会成员不得在评标中途更换：</w:t>
      </w:r>
    </w:p>
    <w:p w14:paraId="67BBEBB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2F4FAF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1F0861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3.8.2.2 退出评标的评标委员会成员，其已完成的评标行为无效，由更换的评委进行评标。</w:t>
      </w:r>
    </w:p>
    <w:p w14:paraId="1F86B6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 在评标环节中，需评标委员会就某项定性的评审结论做出表决的，由评标委员会全体成员按照少数服从多数的原则确定。</w:t>
      </w:r>
    </w:p>
    <w:bookmarkEnd w:id="58"/>
    <w:p w14:paraId="0E01063B">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5858ABF2">
      <w:pPr>
        <w:spacing w:line="440" w:lineRule="exact"/>
        <w:jc w:val="center"/>
        <w:outlineLvl w:val="0"/>
        <w:rPr>
          <w:rFonts w:hint="eastAsia" w:ascii="仿宋" w:hAnsi="仿宋" w:eastAsia="仿宋" w:cs="仿宋"/>
          <w:b/>
          <w:color w:val="auto"/>
          <w:sz w:val="24"/>
          <w:szCs w:val="24"/>
          <w:highlight w:val="none"/>
        </w:rPr>
      </w:pPr>
      <w:bookmarkStart w:id="70" w:name="_Toc24957"/>
      <w:bookmarkStart w:id="71" w:name="_Toc13422"/>
      <w:r>
        <w:rPr>
          <w:rFonts w:hint="eastAsia" w:ascii="仿宋" w:hAnsi="仿宋" w:eastAsia="仿宋" w:cs="仿宋"/>
          <w:b/>
          <w:color w:val="auto"/>
          <w:sz w:val="24"/>
          <w:szCs w:val="24"/>
          <w:highlight w:val="none"/>
        </w:rPr>
        <w:t>第三章 合同文本</w:t>
      </w:r>
      <w:bookmarkEnd w:id="70"/>
      <w:bookmarkEnd w:id="71"/>
    </w:p>
    <w:p w14:paraId="5CC94AB0">
      <w:pPr>
        <w:rPr>
          <w:rFonts w:hint="eastAsia" w:ascii="仿宋" w:hAnsi="仿宋" w:eastAsia="仿宋" w:cs="仿宋"/>
          <w:color w:val="auto"/>
          <w:highlight w:val="none"/>
        </w:rPr>
      </w:pPr>
    </w:p>
    <w:p w14:paraId="314331BB">
      <w:pPr>
        <w:pStyle w:val="8"/>
        <w:spacing w:line="360" w:lineRule="auto"/>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注：本合同供参考，具体内容以双方签订的为准。</w:t>
      </w:r>
    </w:p>
    <w:p w14:paraId="79D7AD12">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   方：新疆农业大学</w:t>
      </w:r>
    </w:p>
    <w:p w14:paraId="62177915">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乙   方： </w:t>
      </w:r>
    </w:p>
    <w:p w14:paraId="398D0A0C">
      <w:pPr>
        <w:pStyle w:val="32"/>
        <w:spacing w:before="0" w:beforeAutospacing="0" w:after="0" w:afterAutospacing="0" w:line="360" w:lineRule="auto"/>
        <w:ind w:left="-197" w:leftChars="-94" w:right="-172" w:rightChars="-82" w:firstLine="419"/>
        <w:rPr>
          <w:rFonts w:hint="eastAsia" w:ascii="仿宋" w:hAnsi="仿宋" w:eastAsia="仿宋" w:cs="仿宋"/>
          <w:color w:val="auto"/>
          <w:highlight w:val="none"/>
        </w:rPr>
      </w:pPr>
      <w:r>
        <w:rPr>
          <w:rFonts w:hint="eastAsia" w:ascii="仿宋" w:hAnsi="仿宋" w:eastAsia="仿宋" w:cs="仿宋"/>
          <w:color w:val="auto"/>
          <w:highlight w:val="none"/>
        </w:rPr>
        <w:t>新疆农业大学委托</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组织的</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u w:val="single"/>
        </w:rPr>
        <w:t>项目名称</w:t>
      </w:r>
      <w:r>
        <w:rPr>
          <w:rFonts w:hint="eastAsia" w:ascii="仿宋" w:hAnsi="仿宋" w:eastAsia="仿宋" w:cs="仿宋"/>
          <w:color w:val="auto"/>
          <w:highlight w:val="none"/>
        </w:rPr>
        <w:t>的公开采购中，经评定，乙方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为中标方，最终中标总金额为人民币</w:t>
      </w:r>
      <w:r>
        <w:rPr>
          <w:rFonts w:hint="eastAsia" w:ascii="仿宋" w:hAnsi="仿宋" w:eastAsia="仿宋" w:cs="仿宋"/>
          <w:color w:val="auto"/>
          <w:highlight w:val="none"/>
          <w:u w:val="single"/>
        </w:rPr>
        <w:t>￥xxx元。</w:t>
      </w:r>
      <w:r>
        <w:rPr>
          <w:rFonts w:hint="eastAsia" w:ascii="仿宋" w:hAnsi="仿宋" w:eastAsia="仿宋" w:cs="仿宋"/>
          <w:color w:val="auto"/>
          <w:highlight w:val="none"/>
        </w:rPr>
        <w:t>根据《中华人民共和国政府采购法》和《中华人民共和国民法典》的规定，按照公平、公正、平等自愿和诚实信用、协商一致的原则，甲、乙双方授权代表就所供设备的购销、安装、调试和售后服务等事宜达成如下条款。</w:t>
      </w:r>
    </w:p>
    <w:p w14:paraId="72C74C0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一、货物名称、型号、数量及价格</w:t>
      </w:r>
    </w:p>
    <w:tbl>
      <w:tblPr>
        <w:tblStyle w:val="38"/>
        <w:tblW w:w="9075" w:type="dxa"/>
        <w:jc w:val="center"/>
        <w:tblLayout w:type="fixed"/>
        <w:tblCellMar>
          <w:top w:w="0" w:type="dxa"/>
          <w:left w:w="0" w:type="dxa"/>
          <w:bottom w:w="0" w:type="dxa"/>
          <w:right w:w="0" w:type="dxa"/>
        </w:tblCellMar>
      </w:tblPr>
      <w:tblGrid>
        <w:gridCol w:w="682"/>
        <w:gridCol w:w="2296"/>
        <w:gridCol w:w="1830"/>
        <w:gridCol w:w="686"/>
        <w:gridCol w:w="1454"/>
        <w:gridCol w:w="1173"/>
        <w:gridCol w:w="954"/>
      </w:tblGrid>
      <w:tr w14:paraId="5E9E9C49">
        <w:tblPrEx>
          <w:tblCellMar>
            <w:top w:w="0" w:type="dxa"/>
            <w:left w:w="0" w:type="dxa"/>
            <w:bottom w:w="0" w:type="dxa"/>
            <w:right w:w="0" w:type="dxa"/>
          </w:tblCellMar>
        </w:tblPrEx>
        <w:trPr>
          <w:trHeight w:val="28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BC379A">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ADFC6A">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货物名称</w:t>
            </w: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B956CF">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规格型号</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44170C">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数量</w:t>
            </w: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34E4A6">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制造商</w:t>
            </w: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34A478">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单价</w:t>
            </w: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968CA6">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合价</w:t>
            </w:r>
          </w:p>
        </w:tc>
      </w:tr>
      <w:tr w14:paraId="3A15051E">
        <w:tblPrEx>
          <w:tblCellMar>
            <w:top w:w="0" w:type="dxa"/>
            <w:left w:w="0" w:type="dxa"/>
            <w:bottom w:w="0" w:type="dxa"/>
            <w:right w:w="0" w:type="dxa"/>
          </w:tblCellMar>
        </w:tblPrEx>
        <w:trPr>
          <w:trHeight w:val="21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DE9083">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5AABF5">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83C2F4">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DAC22A">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578F97">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2C4E87">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CD4D23">
            <w:pPr>
              <w:widowControl/>
              <w:snapToGrid w:val="0"/>
              <w:spacing w:line="360" w:lineRule="auto"/>
              <w:textAlignment w:val="center"/>
              <w:rPr>
                <w:rFonts w:hint="eastAsia" w:ascii="仿宋" w:hAnsi="仿宋" w:eastAsia="仿宋" w:cs="仿宋"/>
                <w:color w:val="auto"/>
                <w:sz w:val="24"/>
                <w:szCs w:val="24"/>
                <w:highlight w:val="none"/>
              </w:rPr>
            </w:pPr>
          </w:p>
        </w:tc>
      </w:tr>
      <w:tr w14:paraId="42FA64F0">
        <w:tblPrEx>
          <w:tblCellMar>
            <w:top w:w="0" w:type="dxa"/>
            <w:left w:w="0" w:type="dxa"/>
            <w:bottom w:w="0" w:type="dxa"/>
            <w:right w:w="0" w:type="dxa"/>
          </w:tblCellMar>
        </w:tblPrEx>
        <w:trPr>
          <w:trHeight w:val="229"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721BBA">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9E8184">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DB81B6">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0C1E61">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F61B13">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796558">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31CFB6">
            <w:pPr>
              <w:widowControl/>
              <w:snapToGrid w:val="0"/>
              <w:spacing w:line="360" w:lineRule="auto"/>
              <w:textAlignment w:val="center"/>
              <w:rPr>
                <w:rFonts w:hint="eastAsia" w:ascii="仿宋" w:hAnsi="仿宋" w:eastAsia="仿宋" w:cs="仿宋"/>
                <w:color w:val="auto"/>
                <w:sz w:val="24"/>
                <w:szCs w:val="24"/>
                <w:highlight w:val="none"/>
              </w:rPr>
            </w:pPr>
          </w:p>
        </w:tc>
      </w:tr>
      <w:tr w14:paraId="1CBC17FD">
        <w:tblPrEx>
          <w:tblCellMar>
            <w:top w:w="0" w:type="dxa"/>
            <w:left w:w="0" w:type="dxa"/>
            <w:bottom w:w="0" w:type="dxa"/>
            <w:right w:w="0" w:type="dxa"/>
          </w:tblCellMar>
        </w:tblPrEx>
        <w:trPr>
          <w:trHeight w:val="232"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FF33A4">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6CD5FF">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5A730D">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FC8448">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6B675E">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69573E">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44B40D">
            <w:pPr>
              <w:widowControl/>
              <w:snapToGrid w:val="0"/>
              <w:spacing w:line="360" w:lineRule="auto"/>
              <w:textAlignment w:val="center"/>
              <w:rPr>
                <w:rFonts w:hint="eastAsia" w:ascii="仿宋" w:hAnsi="仿宋" w:eastAsia="仿宋" w:cs="仿宋"/>
                <w:color w:val="auto"/>
                <w:sz w:val="24"/>
                <w:szCs w:val="24"/>
                <w:highlight w:val="none"/>
              </w:rPr>
            </w:pPr>
          </w:p>
        </w:tc>
      </w:tr>
      <w:tr w14:paraId="2CCEA435">
        <w:tblPrEx>
          <w:tblCellMar>
            <w:top w:w="0" w:type="dxa"/>
            <w:left w:w="0" w:type="dxa"/>
            <w:bottom w:w="0" w:type="dxa"/>
            <w:right w:w="0" w:type="dxa"/>
          </w:tblCellMar>
        </w:tblPrEx>
        <w:trPr>
          <w:trHeight w:val="22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F10066">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A951CD">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B3EBFA">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70D31A">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5F5AE5">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2EE3DA">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E7E1CE">
            <w:pPr>
              <w:widowControl/>
              <w:snapToGrid w:val="0"/>
              <w:spacing w:line="360" w:lineRule="auto"/>
              <w:textAlignment w:val="center"/>
              <w:rPr>
                <w:rFonts w:hint="eastAsia" w:ascii="仿宋" w:hAnsi="仿宋" w:eastAsia="仿宋" w:cs="仿宋"/>
                <w:color w:val="auto"/>
                <w:sz w:val="24"/>
                <w:szCs w:val="24"/>
                <w:highlight w:val="none"/>
              </w:rPr>
            </w:pPr>
          </w:p>
        </w:tc>
      </w:tr>
      <w:tr w14:paraId="1EB188CF">
        <w:tblPrEx>
          <w:tblCellMar>
            <w:top w:w="0" w:type="dxa"/>
            <w:left w:w="0" w:type="dxa"/>
            <w:bottom w:w="0" w:type="dxa"/>
            <w:right w:w="0" w:type="dxa"/>
          </w:tblCellMar>
        </w:tblPrEx>
        <w:trPr>
          <w:trHeight w:val="367" w:hRule="atLeast"/>
          <w:jc w:val="center"/>
        </w:trPr>
        <w:tc>
          <w:tcPr>
            <w:tcW w:w="9075" w:type="dxa"/>
            <w:gridSpan w:val="7"/>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0E7E4F36">
            <w:pPr>
              <w:widowControl/>
              <w:snapToGrid w:val="0"/>
              <w:spacing w:line="360" w:lineRule="auto"/>
              <w:jc w:val="left"/>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总计（大写）</w:t>
            </w:r>
            <w:bookmarkStart w:id="72" w:name="_Hlk147664522"/>
            <w:r>
              <w:rPr>
                <w:rFonts w:hint="eastAsia" w:ascii="仿宋" w:hAnsi="仿宋" w:eastAsia="仿宋" w:cs="仿宋"/>
                <w:b/>
                <w:color w:val="auto"/>
                <w:kern w:val="0"/>
                <w:sz w:val="24"/>
                <w:szCs w:val="24"/>
                <w:highlight w:val="none"/>
                <w:lang w:bidi="ar"/>
              </w:rPr>
              <w:t>人民币</w:t>
            </w:r>
            <w:bookmarkEnd w:id="72"/>
            <w:r>
              <w:rPr>
                <w:rFonts w:hint="eastAsia" w:ascii="仿宋" w:hAnsi="仿宋" w:eastAsia="仿宋" w:cs="仿宋"/>
                <w:b/>
                <w:color w:val="auto"/>
                <w:kern w:val="0"/>
                <w:sz w:val="24"/>
                <w:szCs w:val="24"/>
                <w:highlight w:val="none"/>
                <w:lang w:bidi="ar"/>
              </w:rPr>
              <w:t>xxxxx   ￥xxxxxx</w:t>
            </w:r>
          </w:p>
        </w:tc>
      </w:tr>
    </w:tbl>
    <w:p w14:paraId="1BDA3DE6">
      <w:pPr>
        <w:tabs>
          <w:tab w:val="left" w:pos="775"/>
        </w:tabs>
        <w:spacing w:line="360" w:lineRule="auto"/>
        <w:rPr>
          <w:rFonts w:hint="eastAsia" w:ascii="仿宋" w:hAnsi="仿宋" w:eastAsia="仿宋" w:cs="仿宋"/>
          <w:b/>
          <w:color w:val="auto"/>
          <w:sz w:val="24"/>
          <w:szCs w:val="24"/>
          <w:highlight w:val="none"/>
        </w:rPr>
      </w:pPr>
    </w:p>
    <w:p w14:paraId="1E856C1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二、报价币种、合同总价</w:t>
      </w:r>
    </w:p>
    <w:p w14:paraId="7F903F10">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本合同总金额为</w:t>
      </w:r>
      <w:r>
        <w:rPr>
          <w:rFonts w:hint="eastAsia" w:ascii="仿宋" w:hAnsi="仿宋" w:eastAsia="仿宋" w:cs="仿宋"/>
          <w:color w:val="auto"/>
          <w:sz w:val="24"/>
          <w:szCs w:val="24"/>
          <w:highlight w:val="none"/>
          <w:u w:val="single"/>
        </w:rPr>
        <w:t>xxxxx元，（大写人民币：xxxxxx元整）</w:t>
      </w:r>
      <w:r>
        <w:rPr>
          <w:rFonts w:hint="eastAsia" w:ascii="仿宋" w:hAnsi="仿宋" w:eastAsia="仿宋" w:cs="仿宋"/>
          <w:color w:val="auto"/>
          <w:sz w:val="24"/>
          <w:szCs w:val="24"/>
          <w:highlight w:val="none"/>
        </w:rPr>
        <w:t>，该费用包括设备、材料、安装、调试、包装、培训、运费、税费等费用。</w:t>
      </w:r>
    </w:p>
    <w:p w14:paraId="5BD0360E">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三、付款方式</w:t>
      </w:r>
    </w:p>
    <w:p w14:paraId="5DB6B0F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1、甲方在签订合同后15个工作日内支付乙方合同总额的</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0%预付款，即：￥XX元（大写:XX元整）。</w:t>
      </w:r>
    </w:p>
    <w:p w14:paraId="06355EDB">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设备全部</w:t>
      </w:r>
      <w:r>
        <w:rPr>
          <w:rFonts w:hint="eastAsia" w:ascii="仿宋" w:hAnsi="仿宋" w:eastAsia="仿宋" w:cs="仿宋"/>
          <w:color w:val="auto"/>
          <w:sz w:val="24"/>
          <w:szCs w:val="24"/>
          <w:highlight w:val="none"/>
          <w:lang w:val="en-US" w:eastAsia="zh-CN"/>
        </w:rPr>
        <w:t>备货完毕后提供所有设备的详细技术方案资料、实物照片以及发货清单材料给甲方后，甲方</w:t>
      </w:r>
      <w:r>
        <w:rPr>
          <w:rFonts w:hint="eastAsia" w:ascii="仿宋" w:hAnsi="仿宋" w:eastAsia="仿宋" w:cs="仿宋"/>
          <w:color w:val="auto"/>
          <w:sz w:val="24"/>
          <w:szCs w:val="24"/>
          <w:highlight w:val="none"/>
        </w:rPr>
        <w:t>支付乙方合同总额的</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0%预付款</w:t>
      </w:r>
      <w:r>
        <w:rPr>
          <w:rFonts w:hint="eastAsia" w:ascii="仿宋" w:hAnsi="仿宋" w:eastAsia="仿宋" w:cs="仿宋"/>
          <w:color w:val="auto"/>
          <w:sz w:val="24"/>
          <w:szCs w:val="24"/>
          <w:highlight w:val="none"/>
          <w:lang w:val="en-US" w:eastAsia="zh-CN"/>
        </w:rPr>
        <w:t>后开始发货</w:t>
      </w:r>
      <w:r>
        <w:rPr>
          <w:rFonts w:hint="eastAsia" w:ascii="仿宋" w:hAnsi="仿宋" w:eastAsia="仿宋" w:cs="仿宋"/>
          <w:color w:val="auto"/>
          <w:sz w:val="24"/>
          <w:szCs w:val="24"/>
          <w:highlight w:val="none"/>
        </w:rPr>
        <w:t>，即：￥XX元（大写:XX元整）。</w:t>
      </w:r>
    </w:p>
    <w:p w14:paraId="44B0EE6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、设备全部运抵指定地点并安装调试完毕，经采购人验收合格后15个工作日内支付合同总额的</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0%，即：￥XX元（大写:XX元整）。</w:t>
      </w:r>
    </w:p>
    <w:p w14:paraId="52B7592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、甲方付款时，乙方应提供同等数额的甲方认可的合法收据或发票，否则甲方有权拒绝付款，并不因此承担任何逾期付款的违约责任。</w:t>
      </w:r>
    </w:p>
    <w:p w14:paraId="5EE44F03">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四、交货地点、时间</w:t>
      </w:r>
    </w:p>
    <w:p w14:paraId="77B80D1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 xml:space="preserve"> 新疆农业大学  </w:t>
      </w:r>
      <w:r>
        <w:rPr>
          <w:rFonts w:hint="eastAsia" w:ascii="仿宋" w:hAnsi="仿宋" w:eastAsia="仿宋" w:cs="仿宋"/>
          <w:color w:val="auto"/>
          <w:sz w:val="24"/>
          <w:szCs w:val="24"/>
          <w:highlight w:val="none"/>
        </w:rPr>
        <w:t xml:space="preserve">；     </w:t>
      </w:r>
    </w:p>
    <w:p w14:paraId="6ADC085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63A01A7">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五、产品质量保证</w:t>
      </w:r>
    </w:p>
    <w:p w14:paraId="4A5E0EC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为全新的产品。</w:t>
      </w:r>
    </w:p>
    <w:p w14:paraId="1568C69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2、乙方所提供的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的型号、数量、规格及技术、质量标准、售后服务必须满足</w:t>
      </w:r>
      <w:r>
        <w:rPr>
          <w:rFonts w:hint="eastAsia" w:ascii="仿宋" w:hAnsi="仿宋" w:eastAsia="仿宋" w:cs="仿宋"/>
          <w:color w:val="auto"/>
          <w:sz w:val="24"/>
          <w:szCs w:val="24"/>
          <w:highlight w:val="none"/>
          <w:u w:val="single"/>
        </w:rPr>
        <w:t xml:space="preserve"> 招标编号</w:t>
      </w:r>
      <w:r>
        <w:rPr>
          <w:rFonts w:hint="eastAsia" w:ascii="仿宋" w:hAnsi="仿宋" w:eastAsia="仿宋" w:cs="仿宋"/>
          <w:color w:val="auto"/>
          <w:sz w:val="24"/>
          <w:szCs w:val="24"/>
          <w:highlight w:val="none"/>
        </w:rPr>
        <w:t>的</w:t>
      </w:r>
      <w:r>
        <w:rPr>
          <w:rFonts w:hint="eastAsia" w:ascii="仿宋" w:hAnsi="仿宋" w:eastAsia="仿宋" w:cs="仿宋"/>
          <w:bCs/>
          <w:color w:val="auto"/>
          <w:sz w:val="24"/>
          <w:szCs w:val="24"/>
          <w:highlight w:val="none"/>
          <w:u w:val="single"/>
        </w:rPr>
        <w:t>xxxxxxxxx项</w:t>
      </w:r>
      <w:r>
        <w:rPr>
          <w:rFonts w:hint="eastAsia" w:ascii="仿宋" w:hAnsi="仿宋" w:eastAsia="仿宋" w:cs="仿宋"/>
          <w:color w:val="auto"/>
          <w:sz w:val="24"/>
          <w:szCs w:val="24"/>
          <w:highlight w:val="none"/>
          <w:u w:val="single"/>
        </w:rPr>
        <w:t>目</w:t>
      </w:r>
      <w:r>
        <w:rPr>
          <w:rFonts w:hint="eastAsia" w:ascii="仿宋" w:hAnsi="仿宋" w:eastAsia="仿宋" w:cs="仿宋"/>
          <w:color w:val="auto"/>
          <w:sz w:val="24"/>
          <w:szCs w:val="24"/>
          <w:highlight w:val="none"/>
        </w:rPr>
        <w:t>招标文件规定的技术要求。</w:t>
      </w:r>
    </w:p>
    <w:p w14:paraId="6F97B62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3、乙方保证提供的合同内全部产品货物按国家标准要求制作，质量完全满足用户的要求。</w:t>
      </w:r>
    </w:p>
    <w:p w14:paraId="2A34809D">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六、质量保证期</w:t>
      </w:r>
    </w:p>
    <w:p w14:paraId="3B36DD94">
      <w:pPr>
        <w:spacing w:line="360" w:lineRule="auto"/>
        <w:ind w:left="-105" w:right="-105"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合同内货物质保期：验收合格后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p>
    <w:p w14:paraId="42DF48BD">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七、技术资料</w:t>
      </w:r>
    </w:p>
    <w:p w14:paraId="0AF649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乙方需向甲方提供下述资料：</w:t>
      </w:r>
    </w:p>
    <w:p w14:paraId="2570D7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所供货物的型号、规格、数量及生产厂家的产品检验证书、出厂检验报告、使用说明书等。</w:t>
      </w:r>
    </w:p>
    <w:p w14:paraId="74F7015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八、包装及验收</w:t>
      </w:r>
    </w:p>
    <w:p w14:paraId="42FB247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1、所提供设备必须进行包装，免收包装费，包装物不回收。</w:t>
      </w:r>
    </w:p>
    <w:p w14:paraId="37B3F77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2、因包装原因造成合同标的物在运输过程中丢失的、损坏的，乙方承担全部责任。</w:t>
      </w:r>
    </w:p>
    <w:p w14:paraId="0E29C6E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验收标准：按投标文件规定的型号、技术参数、数量、产地，并根据制造商的《产品合格证》、《出厂清单》、《技术文件》进行现场验收，并由甲、乙双方签署验收报告。如有异议，各方应当在验收后七天内以书面形式通知对方。合同标的物验收合格后由甲方提供货物的存放地点，并负责货物的保管和安全。</w:t>
      </w:r>
    </w:p>
    <w:p w14:paraId="73C085F9">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九、甲、乙双方的权利及义务</w:t>
      </w:r>
    </w:p>
    <w:p w14:paraId="3BE09D8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若甲方对订购的货物有任何更改，包括货物的型号、品种、规格、数量、颜色、交货期等事宜，必须在双方签订合同后七天内书面通知乙方，交货期从变更之日起顺延。若乙方接到通知后不予更改，由此造成的甲方损失，由乙方承担。</w:t>
      </w:r>
    </w:p>
    <w:p w14:paraId="3308892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2、若乙方在交货时，由于甲方的原因或要求，不能及时将货物送达指定地点和验收时，则双方再次协商送货及验收时间。</w:t>
      </w:r>
    </w:p>
    <w:p w14:paraId="69837F9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3、若甲方在验收后的质量保证期内，发现货物内有部分出现质量问题，应及时通知乙方，若需要更换时，乙方应在接到通知后10天内给予更换。</w:t>
      </w:r>
    </w:p>
    <w:p w14:paraId="74C230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4、乙方须按合同要求提供质量合格的货物，如期交付至甲方指定的交货地点。合同标的物需安装调试的，乙方提供免费的安装调试。</w:t>
      </w:r>
    </w:p>
    <w:p w14:paraId="58D5036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5、乙方对售予甲方的货物提供的质量保证期的质量保证范围，不包括意外事件、不可抗力原因及违规使用。</w:t>
      </w:r>
    </w:p>
    <w:p w14:paraId="7EEF5A9B">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十、合同变更、违约及其它</w:t>
      </w:r>
    </w:p>
    <w:p w14:paraId="3F73D94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1、合同的变更需甲、乙双方协商一致签订补充协议，并由法定代表人或授权代理人签字（盖章）且加盖单位公章后立即生效。补充协议与本合同具有同等法律效力。</w:t>
      </w:r>
    </w:p>
    <w:p w14:paraId="5A6270A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2、甲方按合同规定的付款要求履约，合同价格不变，甲方由于不可抗力不能在本合同规定的时间内支付合同款项时，应事先告知乙方。</w:t>
      </w:r>
    </w:p>
    <w:p w14:paraId="0D8868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必须在本合同规定的时间内按时交货，否则由乙方负责承担全部责任。如果乙方在甲方同意延长的交货时间内仍不能交货时，甲方有权撤销合同，同时乙方还需要按照每延误一天，按合同总金额千分之五的标准向甲方支付违约金，延误超过15日，甲方有权解除合同，并要求乙方返还已收到款项，承担合同总额30%违约金。</w:t>
      </w:r>
    </w:p>
    <w:p w14:paraId="452081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严格按照投标、投标文件中规定的产品规格、型号名称、数量和质量提供相应的产品及服务。乙方提供的产品或服务不符合合同约定的，必须按照甲方的要求进行改正，若整改后导致延迟交货，按照上款执行。若交货后仍然不符合要求，甲方有权解除合同，并要求乙方返还已收到款项，承担合同总额30%违约金。</w:t>
      </w:r>
    </w:p>
    <w:p w14:paraId="0B2185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效后，乙方中途废止合同（不可抗力原因除外），应按给甲方造成的损失向甲方支付赔偿金，并向甲方支付合同总金额20%的违约金；甲方中途废止合同（不可抗力原因除外），应按实际损失向乙方支付赔偿金。</w:t>
      </w:r>
    </w:p>
    <w:p w14:paraId="2000A21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违反本合同约定，应当承担的违约金及赔偿，甲方有权在未付款内扣除，若因此造成甲方损失，应当承担由此造成的甲方损失，该损失包括但不限于由此产生的诉讼费、律师费、公证费、鉴定费、评估费、差旅费等费用。</w:t>
      </w:r>
    </w:p>
    <w:p w14:paraId="53562F2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5、本合同根据</w:t>
      </w:r>
      <w:r>
        <w:rPr>
          <w:rFonts w:hint="eastAsia" w:ascii="仿宋" w:hAnsi="仿宋" w:eastAsia="仿宋" w:cs="仿宋"/>
          <w:color w:val="auto"/>
          <w:sz w:val="24"/>
          <w:szCs w:val="24"/>
          <w:highlight w:val="none"/>
          <w:u w:val="single"/>
        </w:rPr>
        <w:t>xx年x月xx日</w:t>
      </w:r>
      <w:r>
        <w:rPr>
          <w:rFonts w:hint="eastAsia" w:ascii="仿宋" w:hAnsi="仿宋" w:eastAsia="仿宋" w:cs="仿宋"/>
          <w:color w:val="auto"/>
          <w:sz w:val="24"/>
          <w:szCs w:val="24"/>
          <w:highlight w:val="none"/>
        </w:rPr>
        <w:t>由</w:t>
      </w:r>
      <w:r>
        <w:rPr>
          <w:rFonts w:hint="eastAsia" w:ascii="仿宋" w:hAnsi="仿宋" w:eastAsia="仿宋" w:cs="仿宋"/>
          <w:bCs/>
          <w:color w:val="auto"/>
          <w:sz w:val="24"/>
          <w:szCs w:val="24"/>
          <w:highlight w:val="none"/>
          <w:u w:val="single"/>
        </w:rPr>
        <w:t>xxx招标公司</w:t>
      </w:r>
      <w:r>
        <w:rPr>
          <w:rFonts w:hint="eastAsia" w:ascii="仿宋" w:hAnsi="仿宋" w:eastAsia="仿宋" w:cs="仿宋"/>
          <w:color w:val="auto"/>
          <w:sz w:val="24"/>
          <w:szCs w:val="24"/>
          <w:highlight w:val="none"/>
        </w:rPr>
        <w:t>组织的招标会的招投标结果签订。投标文件及开标会议上签名的答疑记录等均作为合同的附件，是合同文本不可分割的组成部分。合同文本未述及和不详之处，以附件为准。</w:t>
      </w:r>
    </w:p>
    <w:p w14:paraId="2C5BE83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6、合同文本不得涂改，如需修改应在合同附件中注明。经甲、乙双方协商达成一致修改意见，需经甲、乙双方代表共同签署此附件，方能生效。</w:t>
      </w:r>
    </w:p>
    <w:p w14:paraId="5CE8B29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7、合同所有附件，均与合同具有同等法律效力。</w:t>
      </w:r>
    </w:p>
    <w:p w14:paraId="66191E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8、合同经甲、乙双方法定代表人或授权代理人签字（盖章）并加盖单位公章后立即生效。</w:t>
      </w:r>
    </w:p>
    <w:p w14:paraId="6CA2E3F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9、甲、乙双方发生争议时，应先协商解决，经协商不能达成协议时，任何一方均可向</w:t>
      </w:r>
      <w:r>
        <w:rPr>
          <w:rFonts w:hint="eastAsia" w:ascii="仿宋" w:hAnsi="仿宋" w:eastAsia="仿宋" w:cs="仿宋"/>
          <w:color w:val="auto"/>
          <w:sz w:val="24"/>
          <w:szCs w:val="24"/>
          <w:highlight w:val="none"/>
          <w:u w:val="single"/>
        </w:rPr>
        <w:t>甲方所在地</w:t>
      </w:r>
      <w:r>
        <w:rPr>
          <w:rFonts w:hint="eastAsia" w:ascii="仿宋" w:hAnsi="仿宋" w:eastAsia="仿宋" w:cs="仿宋"/>
          <w:color w:val="auto"/>
          <w:sz w:val="24"/>
          <w:szCs w:val="24"/>
          <w:highlight w:val="none"/>
        </w:rPr>
        <w:t>人民法院提起诉讼。</w:t>
      </w:r>
    </w:p>
    <w:p w14:paraId="400F5AC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10、合同一式八份，甲方执五份，乙方执叁份。</w:t>
      </w:r>
    </w:p>
    <w:p w14:paraId="2819A5F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11、本合同自签字盖章完毕之日起生效，质量保证期满后终止。</w:t>
      </w:r>
    </w:p>
    <w:p w14:paraId="7B008DE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12、本合同尾部载明的双方地址、电话等信息，系双方有效联系方式，如发生变更，应提前书面通知另一方，否则依该联系方式送达相关文书的，视为送达成功。</w:t>
      </w:r>
    </w:p>
    <w:p w14:paraId="5F50D851">
      <w:pPr>
        <w:spacing w:line="360" w:lineRule="auto"/>
        <w:ind w:firstLine="480" w:firstLineChars="200"/>
        <w:rPr>
          <w:rFonts w:hint="eastAsia" w:ascii="仿宋" w:hAnsi="仿宋" w:eastAsia="仿宋" w:cs="仿宋"/>
          <w:color w:val="auto"/>
          <w:sz w:val="24"/>
          <w:szCs w:val="24"/>
          <w:highlight w:val="none"/>
        </w:rPr>
      </w:pPr>
    </w:p>
    <w:p w14:paraId="3B878FF1">
      <w:pPr>
        <w:pStyle w:val="8"/>
        <w:spacing w:line="360" w:lineRule="auto"/>
        <w:ind w:firstLine="480"/>
        <w:rPr>
          <w:rFonts w:hint="eastAsia" w:ascii="仿宋" w:hAnsi="仿宋" w:eastAsia="仿宋" w:cs="仿宋"/>
          <w:color w:val="auto"/>
          <w:szCs w:val="24"/>
          <w:highlight w:val="none"/>
        </w:rPr>
      </w:pPr>
    </w:p>
    <w:p w14:paraId="5AA9D555">
      <w:pPr>
        <w:pStyle w:val="8"/>
        <w:spacing w:line="360" w:lineRule="auto"/>
        <w:ind w:firstLine="480"/>
        <w:rPr>
          <w:rFonts w:hint="eastAsia" w:ascii="仿宋" w:hAnsi="仿宋" w:eastAsia="仿宋" w:cs="仿宋"/>
          <w:color w:val="auto"/>
          <w:szCs w:val="24"/>
          <w:highlight w:val="none"/>
        </w:rPr>
      </w:pPr>
    </w:p>
    <w:p w14:paraId="406A145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方：(盖章）              乙    方：(盖章） </w:t>
      </w:r>
    </w:p>
    <w:p w14:paraId="409B2E1D">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      法定代表人：(签字或盖章）</w:t>
      </w:r>
    </w:p>
    <w:p w14:paraId="1C44E694">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                     联 系 人：</w:t>
      </w:r>
    </w:p>
    <w:p w14:paraId="1A4E7FA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5083F2DF">
      <w:pPr>
        <w:pStyle w:val="8"/>
        <w:spacing w:line="360" w:lineRule="auto"/>
        <w:ind w:firstLine="240" w:firstLineChars="1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地    址：                     地    址： </w:t>
      </w:r>
    </w:p>
    <w:p w14:paraId="7109409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p>
    <w:p w14:paraId="0B007438">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 </w:t>
      </w:r>
    </w:p>
    <w:p w14:paraId="2B775034">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行    号： </w:t>
      </w:r>
    </w:p>
    <w:p w14:paraId="1B4C95C9">
      <w:pPr>
        <w:pStyle w:val="8"/>
        <w:ind w:firstLine="480"/>
        <w:rPr>
          <w:rFonts w:hint="eastAsia" w:ascii="仿宋" w:hAnsi="仿宋" w:eastAsia="仿宋" w:cs="仿宋"/>
          <w:color w:val="auto"/>
          <w:highlight w:val="none"/>
        </w:rPr>
      </w:pPr>
    </w:p>
    <w:p w14:paraId="641B1104">
      <w:pPr>
        <w:pStyle w:val="8"/>
        <w:ind w:firstLine="480"/>
        <w:rPr>
          <w:rFonts w:hint="eastAsia" w:ascii="仿宋" w:hAnsi="仿宋" w:eastAsia="仿宋" w:cs="仿宋"/>
          <w:color w:val="auto"/>
          <w:highlight w:val="none"/>
        </w:rPr>
      </w:pPr>
    </w:p>
    <w:p w14:paraId="7D68ADDA">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合同签订时间：xx年x 月xx日</w:t>
      </w:r>
    </w:p>
    <w:p w14:paraId="33E27783">
      <w:pPr>
        <w:pStyle w:val="12"/>
        <w:rPr>
          <w:rFonts w:hint="eastAsia" w:ascii="仿宋" w:hAnsi="仿宋" w:eastAsia="仿宋" w:cs="仿宋"/>
          <w:color w:val="auto"/>
          <w:highlight w:val="none"/>
        </w:rPr>
      </w:pPr>
    </w:p>
    <w:p w14:paraId="120FA50C">
      <w:pPr>
        <w:rPr>
          <w:rFonts w:hint="eastAsia" w:ascii="仿宋" w:hAnsi="仿宋" w:eastAsia="仿宋" w:cs="仿宋"/>
          <w:b/>
          <w:color w:val="auto"/>
          <w:sz w:val="24"/>
          <w:szCs w:val="24"/>
          <w:highlight w:val="none"/>
        </w:rPr>
      </w:pPr>
      <w:bookmarkStart w:id="73" w:name="_Toc16100"/>
      <w:r>
        <w:rPr>
          <w:rFonts w:hint="eastAsia" w:ascii="仿宋" w:hAnsi="仿宋" w:eastAsia="仿宋" w:cs="仿宋"/>
          <w:b/>
          <w:color w:val="auto"/>
          <w:sz w:val="24"/>
          <w:szCs w:val="24"/>
          <w:highlight w:val="none"/>
        </w:rPr>
        <w:br w:type="page"/>
      </w:r>
    </w:p>
    <w:p w14:paraId="7D3B89A2">
      <w:pPr>
        <w:spacing w:line="440" w:lineRule="exact"/>
        <w:jc w:val="center"/>
        <w:outlineLvl w:val="0"/>
        <w:rPr>
          <w:rFonts w:hint="eastAsia" w:ascii="仿宋" w:hAnsi="仿宋" w:eastAsia="仿宋" w:cs="仿宋"/>
          <w:bCs/>
          <w:color w:val="auto"/>
          <w:sz w:val="24"/>
          <w:szCs w:val="24"/>
          <w:highlight w:val="none"/>
        </w:rPr>
      </w:pPr>
      <w:bookmarkStart w:id="74" w:name="_Toc13395"/>
      <w:bookmarkStart w:id="75" w:name="_Hlk227256335"/>
      <w:r>
        <w:rPr>
          <w:rFonts w:hint="eastAsia" w:ascii="仿宋" w:hAnsi="仿宋" w:eastAsia="仿宋" w:cs="仿宋"/>
          <w:b/>
          <w:color w:val="auto"/>
          <w:sz w:val="24"/>
          <w:szCs w:val="24"/>
          <w:highlight w:val="none"/>
        </w:rPr>
        <w:t>第四章 技术标准和要求</w:t>
      </w:r>
      <w:bookmarkEnd w:id="73"/>
      <w:bookmarkEnd w:id="74"/>
      <w:bookmarkStart w:id="76" w:name="_Toc138638534"/>
      <w:bookmarkEnd w:id="76"/>
      <w:bookmarkStart w:id="77" w:name="_Toc138638910"/>
      <w:bookmarkEnd w:id="77"/>
      <w:bookmarkStart w:id="78" w:name="_Toc138638538"/>
      <w:bookmarkEnd w:id="78"/>
      <w:bookmarkStart w:id="79" w:name="_Toc138639074"/>
      <w:bookmarkEnd w:id="79"/>
      <w:bookmarkStart w:id="80" w:name="_Toc138639090"/>
      <w:bookmarkEnd w:id="80"/>
      <w:bookmarkStart w:id="81" w:name="_Toc138639091"/>
      <w:bookmarkEnd w:id="81"/>
      <w:bookmarkStart w:id="82" w:name="_Toc138638884"/>
      <w:bookmarkEnd w:id="82"/>
      <w:bookmarkStart w:id="83" w:name="_Toc138638509"/>
      <w:bookmarkEnd w:id="83"/>
      <w:bookmarkStart w:id="84" w:name="_Toc138638718"/>
      <w:bookmarkEnd w:id="84"/>
      <w:bookmarkStart w:id="85" w:name="_Toc138638906"/>
      <w:bookmarkEnd w:id="85"/>
      <w:bookmarkStart w:id="86" w:name="_Toc138638773"/>
      <w:bookmarkEnd w:id="86"/>
      <w:bookmarkStart w:id="87" w:name="_Toc138638883"/>
      <w:bookmarkEnd w:id="87"/>
      <w:bookmarkStart w:id="88" w:name="_Toc138639145"/>
      <w:bookmarkEnd w:id="88"/>
      <w:bookmarkStart w:id="89" w:name="_Toc138638907"/>
      <w:bookmarkEnd w:id="89"/>
      <w:bookmarkStart w:id="90" w:name="_Toc138638510"/>
      <w:bookmarkEnd w:id="90"/>
      <w:bookmarkStart w:id="91" w:name="_合同文件的组成及解释顺序"/>
      <w:bookmarkEnd w:id="91"/>
      <w:bookmarkStart w:id="92" w:name="_Toc138638535"/>
      <w:bookmarkEnd w:id="92"/>
      <w:bookmarkStart w:id="93" w:name="_Toc138638702"/>
      <w:bookmarkEnd w:id="93"/>
      <w:bookmarkStart w:id="94" w:name="_Toc138638719"/>
      <w:bookmarkEnd w:id="94"/>
      <w:bookmarkStart w:id="95" w:name="_Toc531016893"/>
    </w:p>
    <w:p w14:paraId="701C089B">
      <w:pPr>
        <w:spacing w:line="360" w:lineRule="auto"/>
        <w:ind w:firstLine="480" w:firstLineChars="200"/>
        <w:rPr>
          <w:rFonts w:hint="eastAsia" w:ascii="仿宋" w:hAnsi="仿宋" w:eastAsia="仿宋" w:cs="仿宋"/>
          <w:bCs/>
          <w:color w:val="auto"/>
          <w:sz w:val="24"/>
          <w:szCs w:val="24"/>
          <w:highlight w:val="none"/>
        </w:rPr>
      </w:pPr>
    </w:p>
    <w:bookmarkEnd w:id="75"/>
    <w:p w14:paraId="7E830CC7">
      <w:pPr>
        <w:spacing w:line="360" w:lineRule="auto"/>
        <w:ind w:firstLine="480" w:firstLineChars="200"/>
        <w:rPr>
          <w:rFonts w:hint="eastAsia" w:ascii="仿宋" w:hAnsi="仿宋" w:eastAsia="仿宋" w:cs="仿宋"/>
          <w:bCs/>
          <w:color w:val="auto"/>
          <w:sz w:val="24"/>
          <w:szCs w:val="24"/>
          <w:highlight w:val="none"/>
        </w:rPr>
      </w:pPr>
      <w:bookmarkStart w:id="96" w:name="OLE_LINK24"/>
      <w:bookmarkStart w:id="97" w:name="_Toc23505"/>
      <w:r>
        <w:rPr>
          <w:rFonts w:hint="eastAsia" w:ascii="仿宋" w:hAnsi="仿宋" w:eastAsia="仿宋" w:cs="仿宋"/>
          <w:bCs/>
          <w:color w:val="auto"/>
          <w:sz w:val="24"/>
          <w:szCs w:val="24"/>
          <w:highlight w:val="none"/>
        </w:rPr>
        <w:t>说明：投标人应注意采购人在技术要求中指出的参数、工艺、材料和设备等内容仅起说明作用，无任何倾向性或限制性；任何品牌的产品均可依法参加本项目的采购活动。所有产品在安装调试中所需辅材费用包含在投标人投标产品的报价中，不再单独计取。</w:t>
      </w:r>
      <w:bookmarkStart w:id="98" w:name="_Toc27105"/>
      <w:bookmarkStart w:id="99" w:name="_Toc6210"/>
    </w:p>
    <w:tbl>
      <w:tblPr>
        <w:tblStyle w:val="38"/>
        <w:tblW w:w="5000" w:type="pct"/>
        <w:tblInd w:w="0" w:type="dxa"/>
        <w:tblLayout w:type="autofit"/>
        <w:tblCellMar>
          <w:top w:w="0" w:type="dxa"/>
          <w:left w:w="108" w:type="dxa"/>
          <w:bottom w:w="0" w:type="dxa"/>
          <w:right w:w="108" w:type="dxa"/>
        </w:tblCellMar>
      </w:tblPr>
      <w:tblGrid>
        <w:gridCol w:w="837"/>
        <w:gridCol w:w="2643"/>
        <w:gridCol w:w="2188"/>
        <w:gridCol w:w="942"/>
        <w:gridCol w:w="1099"/>
        <w:gridCol w:w="1577"/>
      </w:tblGrid>
      <w:tr w14:paraId="2A974E41">
        <w:tblPrEx>
          <w:tblCellMar>
            <w:top w:w="0" w:type="dxa"/>
            <w:left w:w="108" w:type="dxa"/>
            <w:bottom w:w="0" w:type="dxa"/>
            <w:right w:w="108" w:type="dxa"/>
          </w:tblCellMar>
        </w:tblPrEx>
        <w:trPr>
          <w:trHeight w:val="540" w:hRule="atLeast"/>
        </w:trPr>
        <w:tc>
          <w:tcPr>
            <w:tcW w:w="451" w:type="pct"/>
            <w:tcBorders>
              <w:top w:val="single" w:color="000000" w:sz="4" w:space="0"/>
              <w:left w:val="single" w:color="000000" w:sz="4" w:space="0"/>
              <w:bottom w:val="single" w:color="000000" w:sz="4" w:space="0"/>
              <w:right w:val="single" w:color="000000" w:sz="4" w:space="0"/>
            </w:tcBorders>
            <w:vAlign w:val="center"/>
          </w:tcPr>
          <w:p w14:paraId="048E32D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序号</w:t>
            </w:r>
          </w:p>
        </w:tc>
        <w:tc>
          <w:tcPr>
            <w:tcW w:w="1423" w:type="pct"/>
            <w:tcBorders>
              <w:top w:val="single" w:color="000000" w:sz="4" w:space="0"/>
              <w:left w:val="single" w:color="000000" w:sz="4" w:space="0"/>
              <w:bottom w:val="single" w:color="000000" w:sz="4" w:space="0"/>
              <w:right w:val="single" w:color="000000" w:sz="4" w:space="0"/>
            </w:tcBorders>
            <w:vAlign w:val="center"/>
          </w:tcPr>
          <w:p w14:paraId="5E41486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标的名称</w:t>
            </w:r>
          </w:p>
        </w:tc>
        <w:tc>
          <w:tcPr>
            <w:tcW w:w="1178" w:type="pct"/>
            <w:tcBorders>
              <w:top w:val="single" w:color="000000" w:sz="4" w:space="0"/>
              <w:left w:val="single" w:color="000000" w:sz="4" w:space="0"/>
              <w:bottom w:val="single" w:color="000000" w:sz="4" w:space="0"/>
              <w:right w:val="single" w:color="000000" w:sz="4" w:space="0"/>
            </w:tcBorders>
            <w:vAlign w:val="center"/>
          </w:tcPr>
          <w:p w14:paraId="0982AF1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技术指标</w:t>
            </w:r>
          </w:p>
        </w:tc>
        <w:tc>
          <w:tcPr>
            <w:tcW w:w="507" w:type="pct"/>
            <w:tcBorders>
              <w:top w:val="single" w:color="000000" w:sz="4" w:space="0"/>
              <w:left w:val="single" w:color="000000" w:sz="4" w:space="0"/>
              <w:bottom w:val="single" w:color="000000" w:sz="4" w:space="0"/>
              <w:right w:val="single" w:color="000000" w:sz="4" w:space="0"/>
            </w:tcBorders>
            <w:vAlign w:val="center"/>
          </w:tcPr>
          <w:p w14:paraId="7584F1B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单位</w:t>
            </w:r>
          </w:p>
        </w:tc>
        <w:tc>
          <w:tcPr>
            <w:tcW w:w="592" w:type="pct"/>
            <w:tcBorders>
              <w:top w:val="single" w:color="000000" w:sz="4" w:space="0"/>
              <w:left w:val="single" w:color="000000" w:sz="4" w:space="0"/>
              <w:bottom w:val="single" w:color="000000" w:sz="4" w:space="0"/>
              <w:right w:val="single" w:color="000000" w:sz="4" w:space="0"/>
            </w:tcBorders>
            <w:vAlign w:val="center"/>
          </w:tcPr>
          <w:p w14:paraId="083A78F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数量</w:t>
            </w:r>
          </w:p>
        </w:tc>
        <w:tc>
          <w:tcPr>
            <w:tcW w:w="849" w:type="pct"/>
            <w:tcBorders>
              <w:top w:val="single" w:color="000000" w:sz="4" w:space="0"/>
              <w:left w:val="single" w:color="000000" w:sz="4" w:space="0"/>
              <w:bottom w:val="single" w:color="000000" w:sz="4" w:space="0"/>
              <w:right w:val="single" w:color="000000" w:sz="4" w:space="0"/>
            </w:tcBorders>
            <w:vAlign w:val="center"/>
          </w:tcPr>
          <w:p w14:paraId="464044AC">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单价（万元）</w:t>
            </w:r>
          </w:p>
        </w:tc>
      </w:tr>
      <w:tr w14:paraId="3FE9FE72">
        <w:tblPrEx>
          <w:tblCellMar>
            <w:top w:w="0" w:type="dxa"/>
            <w:left w:w="108" w:type="dxa"/>
            <w:bottom w:w="0" w:type="dxa"/>
            <w:right w:w="108" w:type="dxa"/>
          </w:tblCellMar>
        </w:tblPrEx>
        <w:trPr>
          <w:trHeight w:val="540" w:hRule="atLeast"/>
        </w:trPr>
        <w:tc>
          <w:tcPr>
            <w:tcW w:w="451" w:type="pct"/>
            <w:tcBorders>
              <w:top w:val="single" w:color="000000" w:sz="4" w:space="0"/>
              <w:left w:val="single" w:color="000000" w:sz="4" w:space="0"/>
              <w:bottom w:val="single" w:color="000000" w:sz="4" w:space="0"/>
              <w:right w:val="single" w:color="000000" w:sz="4" w:space="0"/>
            </w:tcBorders>
            <w:vAlign w:val="center"/>
          </w:tcPr>
          <w:p w14:paraId="09A1F04E">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bidi="ar"/>
              </w:rPr>
              <w:t>1</w:t>
            </w:r>
          </w:p>
        </w:tc>
        <w:tc>
          <w:tcPr>
            <w:tcW w:w="1423" w:type="pct"/>
            <w:tcBorders>
              <w:top w:val="single" w:color="000000" w:sz="4" w:space="0"/>
              <w:left w:val="single" w:color="000000" w:sz="4" w:space="0"/>
              <w:bottom w:val="single" w:color="000000" w:sz="4" w:space="0"/>
              <w:right w:val="single" w:color="000000" w:sz="4" w:space="0"/>
            </w:tcBorders>
            <w:vAlign w:val="center"/>
          </w:tcPr>
          <w:p w14:paraId="248C87E6">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多用途复合材料3D打印高端制造装备</w:t>
            </w:r>
          </w:p>
        </w:tc>
        <w:tc>
          <w:tcPr>
            <w:tcW w:w="1178" w:type="pct"/>
            <w:tcBorders>
              <w:top w:val="single" w:color="000000" w:sz="4" w:space="0"/>
              <w:left w:val="single" w:color="000000" w:sz="4" w:space="0"/>
              <w:bottom w:val="single" w:color="000000" w:sz="4" w:space="0"/>
              <w:right w:val="single" w:color="000000" w:sz="4" w:space="0"/>
            </w:tcBorders>
            <w:vAlign w:val="center"/>
          </w:tcPr>
          <w:p w14:paraId="3E4658CC">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后附</w:t>
            </w:r>
          </w:p>
        </w:tc>
        <w:tc>
          <w:tcPr>
            <w:tcW w:w="507" w:type="pct"/>
            <w:tcBorders>
              <w:top w:val="single" w:color="000000" w:sz="4" w:space="0"/>
              <w:left w:val="single" w:color="000000" w:sz="4" w:space="0"/>
              <w:bottom w:val="single" w:color="000000" w:sz="4" w:space="0"/>
              <w:right w:val="single" w:color="000000" w:sz="4" w:space="0"/>
            </w:tcBorders>
            <w:vAlign w:val="center"/>
          </w:tcPr>
          <w:p w14:paraId="2BC96693">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vAlign w:val="center"/>
          </w:tcPr>
          <w:p w14:paraId="6870CE6C">
            <w:pPr>
              <w:widowControl/>
              <w:jc w:val="center"/>
              <w:textAlignment w:val="center"/>
              <w:rPr>
                <w:rFonts w:hint="eastAsia" w:ascii="仿宋" w:hAnsi="仿宋" w:eastAsia="仿宋" w:cs="仿宋"/>
                <w:color w:val="auto"/>
                <w:kern w:val="0"/>
                <w:sz w:val="20"/>
                <w:szCs w:val="20"/>
                <w:highlight w:val="none"/>
                <w:lang w:bidi="ar"/>
              </w:rPr>
            </w:pPr>
            <w:r>
              <w:rPr>
                <w:rFonts w:hint="eastAsia" w:ascii="仿宋" w:hAnsi="仿宋" w:eastAsia="仿宋" w:cs="仿宋"/>
                <w:color w:val="auto"/>
                <w:highlight w:val="none"/>
                <w:lang w:bidi="ar"/>
              </w:rPr>
              <w:t>1</w:t>
            </w:r>
          </w:p>
        </w:tc>
        <w:tc>
          <w:tcPr>
            <w:tcW w:w="849" w:type="pct"/>
            <w:tcBorders>
              <w:top w:val="single" w:color="000000" w:sz="4" w:space="0"/>
              <w:left w:val="single" w:color="000000" w:sz="4" w:space="0"/>
              <w:bottom w:val="single" w:color="000000" w:sz="4" w:space="0"/>
              <w:right w:val="single" w:color="000000" w:sz="4" w:space="0"/>
            </w:tcBorders>
            <w:vAlign w:val="center"/>
          </w:tcPr>
          <w:p w14:paraId="4AABE7D7">
            <w:pPr>
              <w:widowControl/>
              <w:jc w:val="center"/>
              <w:textAlignment w:val="center"/>
              <w:rPr>
                <w:rFonts w:hint="eastAsia" w:ascii="仿宋" w:hAnsi="仿宋" w:eastAsia="仿宋" w:cs="仿宋"/>
                <w:color w:val="auto"/>
                <w:highlight w:val="none"/>
                <w:lang w:bidi="ar"/>
              </w:rPr>
            </w:pPr>
            <w:r>
              <w:rPr>
                <w:rFonts w:hint="eastAsia" w:ascii="仿宋" w:hAnsi="仿宋" w:eastAsia="仿宋" w:cs="仿宋"/>
                <w:color w:val="auto"/>
                <w:sz w:val="20"/>
                <w:szCs w:val="20"/>
                <w:highlight w:val="none"/>
              </w:rPr>
              <w:t>249</w:t>
            </w:r>
          </w:p>
        </w:tc>
      </w:tr>
      <w:bookmarkEnd w:id="98"/>
      <w:bookmarkEnd w:id="99"/>
    </w:tbl>
    <w:p w14:paraId="0ED31F01">
      <w:pPr>
        <w:spacing w:line="360" w:lineRule="auto"/>
        <w:jc w:val="center"/>
        <w:rPr>
          <w:rFonts w:hint="eastAsia" w:ascii="仿宋" w:hAnsi="仿宋" w:eastAsia="仿宋" w:cs="仿宋"/>
          <w:bCs/>
          <w:color w:val="auto"/>
          <w:sz w:val="24"/>
          <w:szCs w:val="24"/>
          <w:highlight w:val="none"/>
        </w:rPr>
      </w:pPr>
    </w:p>
    <w:p w14:paraId="545916B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标“★”为关键参数，须实质性响应，不允许负偏。标“★”关键参数要求提供证明材料的，须附对应的证明材料，若未要求则须提供第三方检测报告或者制造商盖章参数证明或产品彩页或软件截图证明，若未提供有效证明材料或证明材料不符合参数要求的则该参数将被视为负偏离。</w:t>
      </w:r>
    </w:p>
    <w:p w14:paraId="78C88061">
      <w:pPr>
        <w:spacing w:line="360" w:lineRule="auto"/>
        <w:jc w:val="center"/>
        <w:rPr>
          <w:rFonts w:hint="eastAsia" w:ascii="仿宋" w:hAnsi="仿宋" w:eastAsia="仿宋" w:cs="仿宋"/>
          <w:color w:val="auto"/>
          <w:kern w:val="0"/>
          <w:szCs w:val="21"/>
          <w:highlight w:val="none"/>
        </w:rPr>
      </w:pPr>
    </w:p>
    <w:p w14:paraId="3EF201A6">
      <w:pPr>
        <w:tabs>
          <w:tab w:val="center" w:pos="4832"/>
          <w:tab w:val="left" w:pos="7140"/>
        </w:tabs>
        <w:jc w:val="center"/>
        <w:outlineLvl w:val="1"/>
        <w:rPr>
          <w:rFonts w:hint="eastAsia" w:ascii="仿宋" w:hAnsi="仿宋" w:eastAsia="仿宋" w:cs="仿宋"/>
          <w:b/>
          <w:color w:val="auto"/>
          <w:sz w:val="24"/>
          <w:szCs w:val="24"/>
          <w:highlight w:val="none"/>
        </w:rPr>
      </w:pPr>
      <w:bookmarkStart w:id="100" w:name="_Toc6581"/>
      <w:bookmarkStart w:id="101" w:name="OLE_LINK4"/>
      <w:r>
        <w:rPr>
          <w:rFonts w:ascii="仿宋" w:hAnsi="仿宋" w:eastAsia="仿宋" w:cs="仿宋"/>
          <w:b/>
          <w:color w:val="auto"/>
          <w:sz w:val="24"/>
          <w:szCs w:val="24"/>
          <w:highlight w:val="none"/>
        </w:rPr>
        <w:t>标的一：多用途复合材料3D打印高端制造装备</w:t>
      </w:r>
      <w:bookmarkEnd w:id="100"/>
    </w:p>
    <w:p w14:paraId="6536133F">
      <w:pPr>
        <w:spacing w:line="360" w:lineRule="auto"/>
        <w:rPr>
          <w:rFonts w:hint="eastAsia" w:ascii="仿宋" w:hAnsi="仿宋" w:eastAsia="仿宋" w:cs="仿宋"/>
          <w:bCs/>
          <w:color w:val="auto"/>
          <w:sz w:val="24"/>
          <w:szCs w:val="24"/>
          <w:highlight w:val="none"/>
        </w:rPr>
      </w:pPr>
    </w:p>
    <w:p w14:paraId="668D3ED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一、多用途金属材料3D打印高端制造装备</w:t>
      </w:r>
    </w:p>
    <w:p w14:paraId="53B0879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（一）设备基本要求</w:t>
      </w:r>
    </w:p>
    <w:p w14:paraId="364F4CC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1.技术类型：要求选择性激光金属熔化成型，分层制造；</w:t>
      </w:r>
    </w:p>
    <w:p w14:paraId="1B4157B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2.要求设备整体应布局合理、结构紧凑，具有良好的开敞性和接近性，便于操作、观察；</w:t>
      </w:r>
    </w:p>
    <w:p w14:paraId="34CEF72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3.要求系统结构设计合理，有足够静态、动态刚度，系统执行元件精度高；</w:t>
      </w:r>
    </w:p>
    <w:p w14:paraId="02EB52D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4.可靠性好、抗干扰性强、响应速度快；</w:t>
      </w:r>
    </w:p>
    <w:p w14:paraId="18D55E7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5.设备需操作方便、安全可靠、设置急停开关，并有明显标识。有可能对人身安全造成损伤的部位，采取可靠限位、多重保护等相应的安全措施，对操作人员有良好的安全防护措施；</w:t>
      </w:r>
    </w:p>
    <w:p w14:paraId="4C94DD3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▲6.设备配套软件要求：必须保证正版，终身免费使用，终身免费升级，终身免费增加模块（提供承诺函，并加盖公章）。</w:t>
      </w:r>
    </w:p>
    <w:p w14:paraId="05F7280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7.提供该装备全套教学资源包、使用指导书手册、课程课件PPT、视频等课程资源。</w:t>
      </w:r>
    </w:p>
    <w:p w14:paraId="75C74BF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（二）设备配置要求</w:t>
      </w:r>
    </w:p>
    <w:p w14:paraId="79BB12A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1.此选择性激光熔化设备用于复杂金属结构件的增材制造精密成形，应能实现金属材料的增材制造。</w:t>
      </w:r>
    </w:p>
    <w:p w14:paraId="18C6B61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可成型材料：不锈钢、铝合金、模具钢、镍基合金、钛合金、钴铬合金、铜合金等金属粉末材料。设备主机包括激光扫描系统、运动控制系统、气体保护与循环过滤系统、智能监控系统以及配套软件等，配套耗材数量≥100kg 。</w:t>
      </w:r>
    </w:p>
    <w:p w14:paraId="1A44066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3.激光扫描系统：激光扫描系统包括光纤激光器、扩束镜、扫描振镜、F-Theta透镜和保护镜片等，该系统提供能量束将金属粉末熔化并迅速凝固成形。</w:t>
      </w:r>
    </w:p>
    <w:p w14:paraId="3EB5FE1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4.激光器：激光器数量：≥1，输出功率：≥500W，输出功率范围：10%~100%，激光波长：1070nm±10nm，功率稳定度≤±3%；</w:t>
      </w:r>
    </w:p>
    <w:p w14:paraId="66E1E1C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5.扫描振镜：配备知名品牌的高精度扫描振镜，振镜数量：≥1，零件扫描速度：≥2.0m/s，跳跨速度：≥10.0m/s；能够与设备控制软件进行信号传递，读取振镜的工作状态、温度信息等；</w:t>
      </w:r>
    </w:p>
    <w:p w14:paraId="029F107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激光聚焦方式：采用F-Theta透镜激光聚焦方式，在扫描振镜偏转带动下，激光光斑能覆盖到整个熔化区域，光斑聚焦直径80-100μm连续可调；保护镜为熔融石英材质，具有气体保护功能，能够有效阻止舱室内的粉尘附着在镜头上；</w:t>
      </w:r>
    </w:p>
    <w:p w14:paraId="2B48880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7.运动控制系统：运动控制系统包括送粉系统、铺粉系统、成型系统。</w:t>
      </w:r>
    </w:p>
    <w:p w14:paraId="1896DDE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（1）供粉方式：上落粉配合下供粉缸组合连续供粉，打印过程中，实现满缸一次性打印或中间不开舱门续粉；</w:t>
      </w:r>
    </w:p>
    <w:p w14:paraId="6ECC506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（2）手套箱保护：隔绝设备操作人员与粉末的直接接触；</w:t>
      </w:r>
    </w:p>
    <w:p w14:paraId="2F350C3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（3）成型缸体：Z轴运动采用高精度丝杠导轨结构，重复定位精度≤±0.02mm；</w:t>
      </w:r>
    </w:p>
    <w:p w14:paraId="21230FA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（4）外观尺寸：≥1880mm(X)×1390mm(Y)×2200mm(Z)，成型尺寸：≥300mm(X)×300mm(Y)×350mm(Z)，具有快速切换小缸结构80mm(X)×80mm(Y)×80mm（Z）；</w:t>
      </w:r>
    </w:p>
    <w:p w14:paraId="591D03F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（5）成型精度：±0.1mm(L≤100mm),±0.1%×Lmm(L＞100mm)；</w:t>
      </w:r>
    </w:p>
    <w:p w14:paraId="492DE35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（6）打印层厚：0.02～0.1mm；铺粉厚度可自行设置调节；</w:t>
      </w:r>
    </w:p>
    <w:p w14:paraId="0077347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（7）成型舱室：精密电阻丝加热，成形室控温精度可达±1℃，测温精度可达±0.1℃，最高预热温度不低于200℃；</w:t>
      </w:r>
    </w:p>
    <w:p w14:paraId="78243AA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▲（8）铺粉方式：采用可实时自由切换单双缸、单刮刀单双向可调变速方式刮刀铺粉，根据每层打印实际面积，自动调节铺粉粉量；</w:t>
      </w:r>
    </w:p>
    <w:p w14:paraId="20EB03D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（9）自由切换质量模式和快速模式功能：控制软件可以快速切换质量模式和快速模式，质量模式注重产品致密度、力学性能，快速模式注重产品打印效率，实现一机两用；</w:t>
      </w:r>
    </w:p>
    <w:p w14:paraId="72FE448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▲（10）壳芯分离制造与零件分型制造功能：控制系统软件可以接受壳芯组合零件数据，制作过程中可以为壳和芯定义不同的加工参数，从而保证壳有更好的致密度和加工质量，而芯则能更快速地实现打印；</w:t>
      </w:r>
    </w:p>
    <w:p w14:paraId="1F9927C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（11）多零件加工参数个性化自定义功能：客户可根据自身需求定制参数和程序，对单独零件的上下表皮、填充轮廓和支撑的功率速度自定参数，实现不同零件的个性化加工；</w:t>
      </w:r>
    </w:p>
    <w:p w14:paraId="51979A4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多材料参数包：常用材料不锈钢（316L）、铝合金（AlSi10Mg）模具钢（MS1）和镍基高温合金（In718）等均对应一个材料参数文件，开放所有材料的核心成型工艺参数（激光功率、扫描速度、层厚、搭接率等），并可单独对各个参数进行快速设定和控制；</w:t>
      </w:r>
    </w:p>
    <w:p w14:paraId="4006EE0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开放式多参数工艺：提供多零件多参数工艺定制，即在同一次打印过程中，不同的零件分别定义不同的工艺参数，帮助研发和测试新工艺或新材料，用最短时间最小成本实现不同工艺参数测试，并可保存多种定义好的工艺参数以备后续调用；</w:t>
      </w:r>
    </w:p>
    <w:p w14:paraId="64E6B15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（14）开放可编程打印系统：设备可根据文件中定义的运行代码采取不同的运行方式，从而改变设备运行参数及实现设备运行过程控制并可保存多种定义好的运行代码以备后续直接调用；</w:t>
      </w:r>
    </w:p>
    <w:p w14:paraId="012E9A9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可编辑程序包具体功能如下：①铺粉方式：单铺，双铺；②不同焦点位置打印；③隔层扫描支撑轮廓填充；④单道熔池扫描快捷程序，可以快速画出不同功率速度单线；⑤振镜扫描快捷程序，可在不同位置简单扫描出各种形状，包括不限于，矩形，圆形；⑥根据填充、轮廓和支撑数据的不同的成型要求，定义不同的激光功率、扫描速度和扫描间距等；</w:t>
      </w:r>
    </w:p>
    <w:p w14:paraId="73EE7FD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（16）自诊断功能：可对运行过程中的各种故障以声光方式实时报警并在控制软件中显示，对于简单故障，具有一键复位功能；</w:t>
      </w:r>
    </w:p>
    <w:p w14:paraId="1FAADF7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（17）控制系统：微软Windows7及以上操作系统，控制装置、仪表及数据采集：具有PLC数字控制系统，实现数据采集、显示、储存等功能；</w:t>
      </w:r>
    </w:p>
    <w:p w14:paraId="794B38A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8.气体保护与循环过滤系统</w:t>
      </w:r>
    </w:p>
    <w:p w14:paraId="55CA7FB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（1）打印舱室：氧含量、压力为自动控制，打印过程中，可将氧含量和舱压控制在预设范围内，实时记录曲线变化；</w:t>
      </w:r>
    </w:p>
    <w:p w14:paraId="5492904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氧含量监测系统：配备全量程氧含量探头，在成形过程中如果氧含量超出量程范围，软件会自动暂停，待氧含量满足范围后自动恢复打印，如在设定时间内氧含量仍未恢复到正常量程范围，软件将会停止加工并进行声光报警，工件成形过程中仓内氧含量≤100ppm；</w:t>
      </w:r>
    </w:p>
    <w:p w14:paraId="15B5FD3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（3）进气系统：具有减压阀装置，进入设备的保护气体压力可手动调节，避免气体流量瞬间过大，造成危险；</w:t>
      </w:r>
    </w:p>
    <w:p w14:paraId="01BFDF6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（4）超压保护：成型室内装有高压防爆机械泄压阀，当舱内压力超过设定值时，设备进气阀会自动关闭，排气阀自动打开，立即对设备降压，避免电气部分故障时设备超压；</w:t>
      </w:r>
    </w:p>
    <w:p w14:paraId="38EA43A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（5）高温断电保护：成型舱内具有高温防火冗余保护，当设备成型舱意外出现高温聚集时，设备电源被迅速自动切断；</w:t>
      </w:r>
    </w:p>
    <w:p w14:paraId="0E31C08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（6）除尘过滤系统：设备内置旋风除尘过滤和长效滤芯过滤，在线清理滤芯，清理滤芯表面烟尘，滤芯具有自动反吹清粉功能，过滤等级优或同等于H13，长效滤芯连续使用寿命大于等于30000小时；</w:t>
      </w:r>
    </w:p>
    <w:p w14:paraId="25B3AC4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9.智能监控系统</w:t>
      </w:r>
    </w:p>
    <w:p w14:paraId="78E4B9D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（1）第三方互联：提供工业4.0开放平台，可以定制化开放各种通讯协议接口，便于用户远程监控或集成接入信息化服务MES系统，以便将设备的打印信息、工作状态信息集中控制统一管理；</w:t>
      </w:r>
    </w:p>
    <w:p w14:paraId="79BB5B9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数字孪生影像硬件系统：可展示3D数据，同时对互联网+、大学生创新创业等比赛3D数字作品进行全息呈现。支持多学科、多物理量、多尺度、多概率的数字仿真过程，可在现实空间中完成数字影像全息映射，从而反映相对应的实体装备的全生命周期过程；</w:t>
      </w:r>
    </w:p>
    <w:p w14:paraId="23B52631">
      <w:pPr>
        <w:spacing w:line="360" w:lineRule="auto"/>
        <w:rPr>
          <w:rFonts w:hint="eastAsia" w:ascii="仿宋" w:hAnsi="仿宋" w:eastAsia="仿宋" w:cs="仿宋"/>
          <w:bCs/>
          <w:color w:val="auto"/>
          <w:sz w:val="24"/>
          <w:szCs w:val="24"/>
          <w:highlight w:val="none"/>
        </w:rPr>
      </w:pPr>
      <w:r>
        <w:rPr>
          <w:rFonts w:hint="eastAsia"/>
          <w:color w:val="auto"/>
          <w:highlight w:val="none"/>
        </w:rPr>
        <w:t>▲</w:t>
      </w:r>
      <w:r>
        <w:rPr>
          <w:rFonts w:hint="eastAsia" w:ascii="仿宋" w:hAnsi="仿宋" w:eastAsia="仿宋" w:cs="仿宋"/>
          <w:bCs/>
          <w:color w:val="auto"/>
          <w:sz w:val="24"/>
          <w:szCs w:val="24"/>
          <w:highlight w:val="none"/>
        </w:rPr>
        <w:t>（3）配套仿真软件：具有1:1的该装备的仿真，且具有拆装步骤菜单、三维交互区、拆装工具栏，能够实现对于核心零件的选择、拆装工具选择、拆装工艺提示等过程，完成对工艺和结构认知的仿真，提供PC端、VR端以及在线WEB端应用，并具有练习模式、考核模式，具有自动评分功能。（提供软件功能截图证明）</w:t>
      </w:r>
    </w:p>
    <w:p w14:paraId="7786EF2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10.配套软件</w:t>
      </w:r>
    </w:p>
    <w:p w14:paraId="0E91A4B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（1）设备控制软件：提供一套正版3D打印控制系统软件，终生免费使用、升级、新增模块。</w:t>
      </w:r>
    </w:p>
    <w:p w14:paraId="046858D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软件主要功能：①自动生成扫描路径，具有直观的操作界面和模型可视化功能；②加工零件阵列复制打印，零件自动排版；③加工零件摆放位置旋转、移动等一键操作；④实时路径可预览，提供2D及3D视图；⑤软件开放，支撑用户二次开发，用户可自主编程控制及修改工艺参数；⑥控制加工程序，多线程控制成型平台升降、刮刀涂铺、激光扫描跳跨、填充、轮廓扫描等；⑦加工零件自动排列，加工时间预测，实时监控氧含量、铺粉状态、加工层数、加工时间等数据；</w:t>
      </w:r>
    </w:p>
    <w:p w14:paraId="32252CF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在成型过程中，单层供粉量实时可调并可以通过上一层扫描区域面积自动调节供粉量，并可单独对某层进行操作；加工软件具备独有的多模型独立工艺技术，即在同一基板加工中，不同模型可应用不同工艺，一次实验结果可出多种数据，极大缩短新材料研发工艺；打印过程中可进行单一零件删除，不影响其他零件做件过程；</w:t>
      </w:r>
    </w:p>
    <w:p w14:paraId="5739BE3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（4）参数更改：打印过程中可以更改单独或者全部零件的工艺参数（包括不限于功率，速度，间距旋转角度及扫描策略）及手动设定调节供粉高度；</w:t>
      </w:r>
    </w:p>
    <w:p w14:paraId="5D4230D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（5）表皮策略：可在工艺设置中实现不同零件，不同的表皮策略；</w:t>
      </w:r>
    </w:p>
    <w:p w14:paraId="4F57CC0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（6）打印参数记录：如设备断电、打印中断后，后台可查找到当前高度与层数；</w:t>
      </w:r>
    </w:p>
    <w:p w14:paraId="763AAC9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（7）数据加载方式：可直接加载SLC,CLI及OBJ等切片数据文件，可加载具有扫描策略和工艺参数的项目文件,可加载只具有扫描策略的项目文件，控制软件自定义工艺参数；</w:t>
      </w:r>
    </w:p>
    <w:p w14:paraId="43FBEF5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（8）扫描过程中，激光功率、扫描速度、扫描策略可变，轮廓和实体可用不同的功率、速度进行扫描；可加载多种类型支撑（块状，柱状，实体，晶格等）且每种支撑工艺参数可调整；</w:t>
      </w:r>
    </w:p>
    <w:p w14:paraId="331A291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配有离线软件，可安装在任意计算机，实现以下功能：①打印任务预览及时间预测：在加工任务开始前，查看各层预览图，并预估打印时间；②软件可离线预览，包括带扫描线矢量，显示内填充、表皮、边框扫描策略，打印参数等信息；③离线软件编辑后项目文件可远程上传设备直接打印；④多工艺包选择：为方便客户操作，软件中预设多种常用材料的工艺包，用户可直接调取，快速应用成熟工艺，节省试验时间；⑤工艺参数开发模块：提供完全开放的、可调整的所有工艺数据参数，开放的参数包括激光输出功率，扫描速率，扫描间距，扫描路径策略，扫描路径间距，铺粉层厚、搭接率、切片层厚，切片修复策略，收缩率补偿，光斑补偿，光板补偿校正参数，聚焦偏移，边界与填充间距，支撑参数策略，旋转角度增量，限制角，起始角等；⑥开放工艺参数设定界面，用户可自行编辑设定工艺参数。</w:t>
      </w:r>
    </w:p>
    <w:p w14:paraId="0DA6FF3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（10）数据处理软件：提供一套正版三维数据切片出来软件软件，终生免费使用、升级、新增模块。</w:t>
      </w:r>
    </w:p>
    <w:p w14:paraId="5A99D31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软件主要功能：①软件可接受*.3dl、*.STEP、*.STL、*.OBJ、*.Prt、*.SLDPRT、*.IGS等通用格式，输出格式为*.SLC等非加密通用格式；②具有平移、旋转、缩放、角度优化、自动摆放等功能可视化模块；③具有切割、抽壳、偏置、晶格、打孔、简化、平滑、加强筋、合并、分离、布尔运算、测量等功能可视化模块；④具有面片法向、干扰壳体、相交面片、缝隙孔洞等自动修复功能可视化模块；⑤具有一键加支撑功能，多种支撑（线形支撑、十字支撑及柱状支撑）的自动生成与编辑；⑥数据文件自动切片功能模块；⑦直接输出加工设备需要的层数据文件；</w:t>
      </w:r>
    </w:p>
    <w:p w14:paraId="5A44320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三维数据浏览软件：提供一套正版三维数据浏览软件，终生免费使用、升级、新增模块。软件主要功能：①STL多文件加载浏览，STL文件移动、缩放、旋转；②STEP文件、STL文件多文件接口，方便多渠道获取数据文件；③零件距离测量、重量计算、直接在数据浏览软件观察文件；④STEP格式转STL格式；⑤直接读取文件零件体积、包围盒零件体积、形成统计表，保存为Excel文件表格，直接导出合同；</w:t>
      </w:r>
    </w:p>
    <w:p w14:paraId="05414A5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远程管理软件：需提供一套专业3D打印远程管理系统，终生免费使用、升级、新增模块。软件主要功能：①可远程操作所有控制软件功能；②远程故障反馈与诊断；③数据分析功能：对使用率、功率、设备耗材进行统计分析；④远程打印全链路排队与远程历史数据保存；⑤多种机型3D打印机网络化管理；⑥远程打印实时监控和查询；⑦打印数据上传，输出打印日志。</w:t>
      </w:r>
    </w:p>
    <w:p w14:paraId="34CD736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11.设备安全要求</w:t>
      </w:r>
    </w:p>
    <w:p w14:paraId="48D0E5B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（1）设备整机设计符合国家现行防爆标准，配有激光安全锁，确保设备正常运行时成形舱保护罩不能打开；</w:t>
      </w:r>
    </w:p>
    <w:p w14:paraId="1108CF1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（2）设备具有机械、电子锁双重保护，以免在打印过程中误操作，保障人身安全；</w:t>
      </w:r>
    </w:p>
    <w:p w14:paraId="19FE18C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（3）设备具有急停按钮，按下后激光器立即停止运行；</w:t>
      </w:r>
    </w:p>
    <w:p w14:paraId="440A29B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（4）外部环境氧含量监控功能：实时检测外部环境氧含量，避免在密闭环境中人员窒息，保障人生安全；</w:t>
      </w:r>
    </w:p>
    <w:p w14:paraId="54EF48F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（5）工作舱配有操作手套箱，操作人员可通过手套对成形室内的粉末进行清理，将人、粉隔离开，避免粉末的外泄对操作人员造成危害，同时避免了对工作环境的污染；</w:t>
      </w:r>
    </w:p>
    <w:p w14:paraId="7AD0073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12.辅助设备及备品备件要求</w:t>
      </w:r>
    </w:p>
    <w:p w14:paraId="19B2E6F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（1）真空干燥机：控温范围：RT+10-2000C；温度分辨率/波动：≤0.1℃ /±1℃；达到真空度：≤133Pa；真空表：机械指针式；工作环境温度：5～40℃；内胆尺寸：≥300×300×200毫米；</w:t>
      </w:r>
    </w:p>
    <w:p w14:paraId="7F53349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（2）防爆吸尘器：防爆标志:Ex tD A22 IP6X T130℃；防护等级:IP6X；使用环境温度：-20℃≤Ta≤+40℃；额定电压：220-400V 50-60Hz；额定电流:最大5A；额定功率：1.2KW；</w:t>
      </w:r>
    </w:p>
    <w:p w14:paraId="3614B0A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（3）筛粉机：筛网尺寸：300mm；筛粉容积：5L；气体保护：惰性气体置换保护；筛分直径：80目/200目；噪音：≤75dB；</w:t>
      </w:r>
    </w:p>
    <w:p w14:paraId="52C930C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（4）喷砂机：喷砂舱尺寸：≥500*500*500mm；电源：220V 250W 50Hz；压缩空气源：压力6-8Kg/cm2，流量0.8-1.4 m3 /min；</w:t>
      </w:r>
    </w:p>
    <w:p w14:paraId="0B6070A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（5）机械工具箱：适用于设备维修维护工作；</w:t>
      </w:r>
    </w:p>
    <w:p w14:paraId="0DCD5E0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（6）电动风磨笔：适用于打印件表面处理；</w:t>
      </w:r>
    </w:p>
    <w:p w14:paraId="1A9DEDD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（7）后处理工具：大锉刀/什锦锉/斜口钳等；</w:t>
      </w:r>
    </w:p>
    <w:p w14:paraId="37BA382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（8）防护工具：防护服、防护手套、三防工鞋、防尘面具；</w:t>
      </w:r>
    </w:p>
    <w:p w14:paraId="7E0840D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（9）不锈钢粉末：316L粉末；</w:t>
      </w:r>
    </w:p>
    <w:p w14:paraId="1DABBBA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（10）橡胶刮刀：橡胶材质；</w:t>
      </w:r>
    </w:p>
    <w:p w14:paraId="604A461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（11）密封条：适配主机；</w:t>
      </w:r>
    </w:p>
    <w:p w14:paraId="1C6FAD1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（12）排气管过滤筒：适配；</w:t>
      </w:r>
    </w:p>
    <w:p w14:paraId="034FD87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（13）密封钢带：适配主机；</w:t>
      </w:r>
    </w:p>
    <w:p w14:paraId="2930454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（14）成型室手套：适配主机；</w:t>
      </w:r>
    </w:p>
    <w:p w14:paraId="3BDE1B1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（15）专用毛刷：适配主机；</w:t>
      </w:r>
    </w:p>
    <w:p w14:paraId="52C24CF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（16）制作基板：适配不锈钢粉末；适配铝合金粉末。</w:t>
      </w:r>
    </w:p>
    <w:p w14:paraId="030EC8F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二、多用途尼龙3D打印高端制造装备</w:t>
      </w:r>
    </w:p>
    <w:p w14:paraId="6940788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（一）设备技术参数</w:t>
      </w:r>
    </w:p>
    <w:p w14:paraId="695CDA3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1.技术类型：使用二氧化碳激光器对粉末材料进行选择性烧结，是一种由离散逐层堆积三维成型的工艺方法；</w:t>
      </w:r>
    </w:p>
    <w:p w14:paraId="2A2C548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2.材料类型：尼龙粉末；原始状态:约Ra10-16um，喷砂后约Ra4.5-8um，震动抛光后约Ra3-6um。</w:t>
      </w:r>
    </w:p>
    <w:p w14:paraId="01B3DC7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★3.成型精度：±0.15mm(L≤100mm)；±0.15%×Lmm(L&gt;100mm)；（需提供具有检测资格的第三方权威检测机构出具的产品精度检验报告证明文件）</w:t>
      </w:r>
    </w:p>
    <w:p w14:paraId="6C1DB31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4.外观尺寸：≥2200mm(X)×1200mm(Y)×2000mmm(Z);成型缸尺寸：≥300mm(X)×300mm(Y)×300mm(Z)；</w:t>
      </w:r>
    </w:p>
    <w:p w14:paraId="4A6D89B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5.激光类型：氧化碳激光器，波长10.6μm,功率≥60W；</w:t>
      </w:r>
    </w:p>
    <w:p w14:paraId="674875E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6.涂铺方式：自动滚轮铺粉；正常层厚0.1mm,快速制作层厚0.1-0.15mm，精密制作层厚0.075-0.1mm；</w:t>
      </w:r>
    </w:p>
    <w:p w14:paraId="61E05C5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7.光学扫描系统：扫描速度6.0m/s,跳跨速度10.0 m/s；</w:t>
      </w:r>
    </w:p>
    <w:p w14:paraId="7743304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8.控制系统：Windows 7操作系统，以太网，IEEE802.3;</w:t>
      </w:r>
    </w:p>
    <w:p w14:paraId="679FCFE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9.CAD接口：3D设计软件，STL文件格式；</w:t>
      </w:r>
    </w:p>
    <w:p w14:paraId="78F7050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10.多语言支持，至少支持英语、中文；</w:t>
      </w:r>
    </w:p>
    <w:p w14:paraId="3788443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11.提供尼龙粉末20Kg；</w:t>
      </w:r>
    </w:p>
    <w:p w14:paraId="01ADE33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12.控制系统：采用Windows7以上稳定操作系统；</w:t>
      </w:r>
    </w:p>
    <w:p w14:paraId="06F1E09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13.安全警示：具备蜂鸣器报警功能；</w:t>
      </w:r>
    </w:p>
    <w:p w14:paraId="0842ACA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14.设备尺寸：为符合实际安放要求，需设备尺寸≤2200mm*1200mm*1900mm；</w:t>
      </w:r>
    </w:p>
    <w:p w14:paraId="00E61CF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15.提供该装备全套教学资源包、使用指导书手册、课程课件PPT、视频等课程资源。</w:t>
      </w:r>
    </w:p>
    <w:p w14:paraId="16F1CA9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（二）设备软件参数</w:t>
      </w:r>
    </w:p>
    <w:p w14:paraId="54F5986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控制软件：提供一套正版3D打印控制系统软件，终生免费升级并免费新增模块；软件主要功能：①自动生成扫描路径；②控制加工程序，多线程控制成型平台升降、刮板涂铺、激光扫描跳跨、填充、轮廓扫描等；③加工零件自动排列，加工时间预测；④激光器自动关机控制；</w:t>
      </w:r>
    </w:p>
    <w:p w14:paraId="6CE56FA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2.数据处理软件：提供不少于五套正版三维数据分层切片处理软件，终生免费升级并免费新增模块；软件主要功能：① STEP文件、IGS文件、STL文件多文件接口，方便多渠道获取数据文件；②数据模型旋转、平移、缩放、测量等可视化模块；③STL文件修复，数据破面、重面、掉面自动修补功能模块；④数据文件自动切片功能模块；⑤数据自动支撑功能模块，具有一键加支撑功能；⑥打印过程预测与排版；</w:t>
      </w:r>
    </w:p>
    <w:p w14:paraId="38F97F2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三维数据浏览软件：提供不少于五套正版三维数据浏览软件，终生免费升级并免费新增模块；软件主要功能：①STL多文件加载浏览，STL文件移动、缩放、旋转；②STEP文件、STL文件多文件接口，方便多渠道获取数据文件；③零件距离测量、重量计算、直接在数据浏览软件观察文件；④STEP，IGES，BREP格式转STL格式；⑤直接读取文件零件体积、包围盒零件体积、形成统计表，保存为Excel文件表格，直接导出合同；</w:t>
      </w:r>
    </w:p>
    <w:p w14:paraId="5691115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远程管理系统：需提供一套专业3D打印远程管理系统（含手机端和电脑端软件），终生免费升级并免费新增模块；软件主要功能：①远程故障反馈与诊断；②数据分析功能：对使用率、功率、设备耗材进行统计分析；③手机APP与计算机端交互客户服务；</w:t>
      </w:r>
    </w:p>
    <w:p w14:paraId="16539D6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④远程打印全链路排队与远程历史数据保存；⑤多种机型3D打印机网络化管理；⑥远程打印实时监控和查询。</w:t>
      </w:r>
    </w:p>
    <w:p w14:paraId="20C9A3D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三、多用途颗粒3D打印高端制造装备</w:t>
      </w:r>
    </w:p>
    <w:p w14:paraId="729EACB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（一）设备功能要求</w:t>
      </w:r>
    </w:p>
    <w:p w14:paraId="4C54EB3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1.功能用途：采用颗粒状、高分子复合材料打印，通过螺杆挤压熔融逐层堆积，实现大尺寸、高效率、低成本成型，材料兼容性广，成品强度高。适用于打印大尺寸产品外壳。</w:t>
      </w:r>
    </w:p>
    <w:p w14:paraId="70D10EE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（二）设备技术参数</w:t>
      </w:r>
    </w:p>
    <w:p w14:paraId="1F36616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1.外观尺寸：≥2200*1780*2250mm mm</w:t>
      </w:r>
    </w:p>
    <w:p w14:paraId="04448FC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2.打印速度：约80-100mm/S</w:t>
      </w:r>
    </w:p>
    <w:p w14:paraId="554D995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3.其他技术参数：</w:t>
      </w:r>
    </w:p>
    <w:p w14:paraId="1CFF9D3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（1）成型工艺：FGF融粒构造成型</w:t>
      </w:r>
    </w:p>
    <w:p w14:paraId="153EB97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（2）打印尺寸：≥1200x1000x1000mm mm</w:t>
      </w:r>
    </w:p>
    <w:p w14:paraId="225EFC4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（3）喷嘴直径：约0.6-3mm</w:t>
      </w:r>
    </w:p>
    <w:p w14:paraId="3101F48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（4）挤出机构：螺杆挤出</w:t>
      </w:r>
    </w:p>
    <w:p w14:paraId="330EE81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（5）打印温度：室温 ≥450℃</w:t>
      </w:r>
    </w:p>
    <w:p w14:paraId="5DEA764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（6）平台温度：室温 ≥150℃</w:t>
      </w:r>
    </w:p>
    <w:p w14:paraId="06C9277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（7）设备结构：全封闭结构</w:t>
      </w:r>
    </w:p>
    <w:p w14:paraId="6DFAC7C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（8）可用颗粒：2-5mm直径打印材料/TPE/TPV/TPU/15-5PH等复合材料PLA/PETG/PETG+10%玻纤/ABS/PA6/PS/GPPS/PP/PP+30%玻纤</w:t>
      </w:r>
    </w:p>
    <w:p w14:paraId="48CE2FA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（9）调平方式：支持全自动调平和辅助调平两种模式</w:t>
      </w:r>
    </w:p>
    <w:p w14:paraId="2907BD5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（10）驱动方式：采用驱动器驱动</w:t>
      </w:r>
    </w:p>
    <w:p w14:paraId="28F8777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（11）打印层厚：最小打印层厚≤0.32mm、最大打印层厚≥2.4mm</w:t>
      </w:r>
    </w:p>
    <w:p w14:paraId="5F0D0D6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（12）热床：采用高性能弹簧钢平台，材料附着力更强</w:t>
      </w:r>
    </w:p>
    <w:p w14:paraId="12C78F6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4.再生打印：可将3D打印颗粒和碎再生塑料混合打印，并可同时添加不同颜色色母。</w:t>
      </w:r>
    </w:p>
    <w:p w14:paraId="0CD4D5E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5.附件：不低于10KG颗粒料、颗粒专业切片软件（可终生免费升级）</w:t>
      </w:r>
    </w:p>
    <w:p w14:paraId="5C1EF24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6.其他要求：提供投标产品高清图片（凸显i3龙门结构）、设备详情页（凸显设备功能优势）。</w:t>
      </w:r>
    </w:p>
    <w:p w14:paraId="2A42900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四、多用途线材3D打印高端制造装备</w:t>
      </w:r>
    </w:p>
    <w:p w14:paraId="569D03E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（一）设备功能要求</w:t>
      </w:r>
    </w:p>
    <w:p w14:paraId="60ABDC8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功能用途：以热塑性丝材为原料，通过喷头熔融挤出逐层堆积，设备成本低、操作简便、材料选择丰富（PLA/ABS/PETG/TPU/PA+CF等），支持中小尺寸快速成型，无需复杂后处理。用于基础结构件：简单框架、支架、外壳、原型样件、定制化工装夹具、简单异型结构等。</w:t>
      </w:r>
    </w:p>
    <w:p w14:paraId="3C3833E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2.提供该装备全套教学资源包、使用指导书手册、课程课件PPT、视频等课程资源。</w:t>
      </w:r>
    </w:p>
    <w:p w14:paraId="532C37B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（二）设备技术参数</w:t>
      </w:r>
    </w:p>
    <w:p w14:paraId="6261C7D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1.设备硬件技术参数：</w:t>
      </w:r>
    </w:p>
    <w:p w14:paraId="5C3D2A1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（1）成型尺寸：≥1000×1000×1000mm</w:t>
      </w:r>
    </w:p>
    <w:p w14:paraId="3184DF7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（2）打印技术：熔融沉积型（FDM）</w:t>
      </w:r>
    </w:p>
    <w:p w14:paraId="517EB98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（3）层分辨率：约0.05-0.8mm</w:t>
      </w:r>
    </w:p>
    <w:p w14:paraId="059FE78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（4）定位精度：≤0.0125mm</w:t>
      </w:r>
    </w:p>
    <w:p w14:paraId="6280FE9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（5）是否支撑断电续打：支持</w:t>
      </w:r>
    </w:p>
    <w:p w14:paraId="09B34EE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（6）喷头数量：≥1个</w:t>
      </w:r>
    </w:p>
    <w:p w14:paraId="3EE5E2C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（7）打印头：单色打印</w:t>
      </w:r>
    </w:p>
    <w:p w14:paraId="1439F2B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（8）打印速度：约30-350mm/s</w:t>
      </w:r>
    </w:p>
    <w:p w14:paraId="0E212B1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（9）XY传动：工业级伺服电机</w:t>
      </w:r>
    </w:p>
    <w:p w14:paraId="297E548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（10）Z轴传动：四轴联动</w:t>
      </w:r>
    </w:p>
    <w:p w14:paraId="6E7D12E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（11）挤出头直径：可选: 0.3 , 0.4，0.5，0.6，0.8，1.0mm</w:t>
      </w:r>
    </w:p>
    <w:p w14:paraId="4F4B4F0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（12）挤出头工作温度：Max 320℃</w:t>
      </w:r>
    </w:p>
    <w:p w14:paraId="1722DBF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（13）显示屏幕特性：7.0寸全彩全彩触摸屏</w:t>
      </w:r>
    </w:p>
    <w:p w14:paraId="2F5D5D3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（14）中央处理器（CPU）：32位ARM CPU单片机</w:t>
      </w:r>
    </w:p>
    <w:p w14:paraId="2BCDA93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（15）切片软件：支持多格式模型导入、智能分层切片、参数自定义调节及G代码导出的专业3D打印切片工具，适配主流FDM打印设备，满足从基础原型到工业级精细打印的多样化需求。</w:t>
      </w:r>
    </w:p>
    <w:p w14:paraId="0BE1C9E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（16）电源要求：AC100v-AC240V/15A 50Hz/60Hz </w:t>
      </w:r>
    </w:p>
    <w:p w14:paraId="700C30E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（17）操作系统支持：Windows系列,Linux,Mac OS</w:t>
      </w:r>
    </w:p>
    <w:p w14:paraId="1EBC394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（18）文件格式支持：STL、OBJ转Gcode</w:t>
      </w:r>
    </w:p>
    <w:p w14:paraId="35ED1C8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（19）机器外观表面处理：钣金高温烤漆形成独特的外观</w:t>
      </w:r>
    </w:p>
    <w:p w14:paraId="646B229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（20）外形尺寸：≥1675*1600*1900mm</w:t>
      </w:r>
    </w:p>
    <w:p w14:paraId="7D1A7DE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（21）包装尺寸：≥1840*1800*2100mm</w:t>
      </w:r>
    </w:p>
    <w:p w14:paraId="7C5DD81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（22）毛重：≥500kg</w:t>
      </w:r>
    </w:p>
    <w:p w14:paraId="3737F93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（23）包装规格：符合出口标准高强度包装箱</w:t>
      </w:r>
    </w:p>
    <w:p w14:paraId="7961A85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（24）推荐使用环境温度：0℃-40℃</w:t>
      </w:r>
    </w:p>
    <w:p w14:paraId="32843C9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（25）仓存温度：0℃-32℃（32°-90℉）</w:t>
      </w:r>
    </w:p>
    <w:p w14:paraId="16155A2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（26）随机附送10卷PLA耗材，1个喷嘴，常用工具包</w:t>
      </w:r>
    </w:p>
    <w:p w14:paraId="4C314AB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（27）耗材标准：1.75mm直径标准3D打印耗材</w:t>
      </w:r>
    </w:p>
    <w:p w14:paraId="1A0C043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（28）模型数据：采用Allcct盒子</w:t>
      </w:r>
    </w:p>
    <w:p w14:paraId="5A0A21C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3.耗材种类：推荐PLA(环保材料,安全无毒) tpu ,木质，碳纤维，尼龙，彩色混合，仿金属；</w:t>
      </w:r>
    </w:p>
    <w:p w14:paraId="51BF5FF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4.根据特别打印需求，对PLA可提供高级的工业和艺术品适用材料。</w:t>
      </w:r>
    </w:p>
    <w:p w14:paraId="35D1137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提供1年质保,保修范围:非认为损坏的故障。</w:t>
      </w:r>
    </w:p>
    <w:p w14:paraId="30E4B7C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五、光固化3D增材制造装备</w:t>
      </w:r>
    </w:p>
    <w:p w14:paraId="516B880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（一）设备硬件参数</w:t>
      </w:r>
    </w:p>
    <w:p w14:paraId="254DCDC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1.设备技术参数</w:t>
      </w:r>
    </w:p>
    <w:p w14:paraId="34DD353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（1）技术类型：采用立体光固化成型；</w:t>
      </w:r>
    </w:p>
    <w:p w14:paraId="254EA57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（2）外形尺寸：≥1460×1370×2200mm，成型尺寸：≥800mm×800mm×550mm；</w:t>
      </w:r>
    </w:p>
    <w:p w14:paraId="552DB79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（3）成型精度：±0.1mm(L≤100mm),±0.1%×Lmm(L＞100mm)；</w:t>
      </w:r>
    </w:p>
    <w:p w14:paraId="55E8158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（4）激光类型：二极管半导体泵浦源水冷激光器，出口功率≥3000mW@30KHZ，优化打印策略；</w:t>
      </w:r>
    </w:p>
    <w:p w14:paraId="438E024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（5）光斑：填充和边缘扫描光斑可变；</w:t>
      </w:r>
    </w:p>
    <w:p w14:paraId="39FA46C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（6）涂铺方式：智能定位树脂正压吸附涂浦系统，不锈钢刮刀，保证液面平整和打印效果；</w:t>
      </w:r>
    </w:p>
    <w:p w14:paraId="5179B96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（7）打印模式：具有变焦模式、精准模式、快速模式、极速模式等自适应不同打印速度和精度要求；</w:t>
      </w:r>
    </w:p>
    <w:p w14:paraId="45CA62FC">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（8）光学扫描系统：高品质振镜扫描系统，扫描速度6.0～10.0m/s；</w:t>
      </w:r>
    </w:p>
    <w:p w14:paraId="00442AB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成型速度：60～180g/h；</w:t>
      </w:r>
    </w:p>
    <w:p w14:paraId="5227D87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（9）打印材料：提供高光表面光敏树脂≥520Kg；</w:t>
      </w:r>
    </w:p>
    <w:p w14:paraId="5DA9391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2.树脂加热方式：热空气循环加热系统，加热表层树脂，延长树脂保存时间，避免电加热板或贴片长期加热树脂槽导致材料损伤；</w:t>
      </w:r>
    </w:p>
    <w:p w14:paraId="3FFFC4A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3.设备控制系统：Windows7及以上操作系统工业控制计算机+运动控制卡的设备控制方式；工控机处理器不低于I7 12代及以上规格处理器，具备多线程处理能力，缓存容量不低于20MB，基准主频不低于2.5GHz，内存≥8G，固态硬盘≥500G，仪器显示终端≥15寸；控制方式采用运动控制卡，使用PCI总线运动控制器，通讯速度快，运动位置的实时性好，具有限位保护，模块化接线便于后期维护，提供实物图片；</w:t>
      </w:r>
    </w:p>
    <w:p w14:paraId="5228155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4.设备机械结构：XY一体式“口”字形大理石成型台面,保证机床精度长久稳定，大理石厚度≥80mm，提供实物图片；</w:t>
      </w:r>
    </w:p>
    <w:p w14:paraId="66C72F7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5.第三方互联：提供工业4.0开放平台，可以定制化开放各种通讯协议接口，便于用户远程监控或集成接入信息化服务MES系统，以便将设备的打印信息、工作状态信息集中控制统一管理；</w:t>
      </w:r>
    </w:p>
    <w:p w14:paraId="02752DB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数字孪生影像硬件系统：可展示3D数据，同时对互联网+、大学生创新创业等比赛3D数字作品进行全息呈现。支持多学科、多物理量、多尺度、多概率的数字仿真过程，可在现实空间中完成数字影像全息映射，从而反映相对应的实体装备的全生命周期过程；</w:t>
      </w:r>
    </w:p>
    <w:p w14:paraId="6468A45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随机附件：①后固化箱，LED灯管，灯管数量≥12根；②机械工具箱；③清洗工具：含不锈钢托盘、铲刀、塑料箱、一次性手套、镊子、毛刷和料杯；④随机附件：软件光盘、产品出厂合格证、使用说明书、设备及附件装箱清单；</w:t>
      </w:r>
    </w:p>
    <w:p w14:paraId="1D769BE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8.提供该装备全套教学资源包、使用指导书手册、课程课件PPT、视频等课程资源。</w:t>
      </w:r>
    </w:p>
    <w:p w14:paraId="6A476054">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（二）设备软件参数</w:t>
      </w:r>
    </w:p>
    <w:p w14:paraId="4F4762F0">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设备控制软件：提供正版3D打印控制系统软件，为保障兼容性，升级并免费新增模块；软件主要功能：①加工零件阵列复制打印，零件自动排版；②加工零件摆放位置旋转、镜像等一键操作；③多线程控制成型平台升降、刮板涂铺、激光扫描跳跨、填充、轮廓扫描等；④加工零件预测打印时间，显示加工进度；具备激光功率实时监测功能；⑤零件加工过程中，可以选择任意一个件飞行删除，不影响其他零件进程；⑥具备偏差设置功能，保证打印件精度；⑦具备液位检测、自动液位补偿功能；</w:t>
      </w:r>
    </w:p>
    <w:p w14:paraId="00AB64A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数据处理软件：提供正版三维数据分层切片处理软件，为保障兼容性，终生免费使用、升级并免费新增模块；软件主要功能：①软件可接受*.3dl、*.STEP、*.STL、*.OBJ、*.Prt、*.SLDPRT、*.IGS等通用格式，输出格式为*.SLC非加密通用格式；②具有平移、旋转、缩放、角度优化、自动摆放等功能可视化模块；③具有切割、抽壳、偏置、晶格、打孔、简化、平滑、加强筋、合并、分离、布尔运算、测量等功能可视化模块；④数据文件自动切片功能模块；⑤具有面片法向、干扰壳体、相交面片、缝隙孔洞等自动修复功能可视化模块；⑥具有一键加支撑功能，多种支撑（线形支撑、十字支撑及柱状支撑）的自动生成与编辑；⑦直接输出加工设备需要的层数据文件；</w:t>
      </w:r>
    </w:p>
    <w:p w14:paraId="4A41683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三维数据浏览软件：提供与设备同一厂家不少于五套正版三维数据浏览软件，升级并免费新增模块；软件主要功能：①STL多文件加载浏览，STL文件移动、缩放、旋转；②STEP文件、STL文件多文件接口，方便多渠道获取数据文件；③零件距离测量、重量计算、直接在数据浏览软件观察文件；④STEP格式转STL格式；⑤直接读取文件零件体积、包围盒零件体积、形成统计表，保存为Excel文件表格，直接导出合同；</w:t>
      </w:r>
    </w:p>
    <w:p w14:paraId="4A4797AA">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配套仿真软件：具有1:1的该装备的仿真，且具有拆装步骤菜单、三维交互区、拆装工具栏，能够实现对于核心零件的选择、拆装工具选择、拆装工艺提示等过程，完成对工艺和结构认知的仿真，提供PC端、VR端以及在线WEB端应用，并具有练习模式、考核模式，具有自动评分功能。（提供软件功能截图证明）</w:t>
      </w:r>
    </w:p>
    <w:p w14:paraId="379234F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远程管理系统：提供与设备同一厂家专业3D打印远程管理系统，升级并免费新增模块；软件主要功能：①可远程操作所有控制软件功能；②远程故障反馈与诊断；③数据分析功能：对使用率、功率、设备耗材进行统计分析；④远程打印全链路排队与远程历史数据保存；⑤多种机型3D打印机网络化管理；远程打印实时监控和查询；⑥打印数据上传，输出打印日志。</w:t>
      </w:r>
    </w:p>
    <w:p w14:paraId="7F06CA42">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六、复杂多用途高端农机智能装备系统</w:t>
      </w:r>
    </w:p>
    <w:p w14:paraId="428A40B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（一）功能参数要求</w:t>
      </w:r>
    </w:p>
    <w:p w14:paraId="4CE14DF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面向棉花、稻麦、玉豆等作物提供精准表型巡检等复杂多用途的高端农机智能装备，以机器人自动化作业巡检，实现表型数据采集高效化、标准化、规模化，为作物育种、长势监测、产量预估及农田精细化管理提供高质量数据支撑，配套增材制造设计与制作。</w:t>
      </w:r>
    </w:p>
    <w:p w14:paraId="7A792AB6">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2.提供该装备全套教学资源包、使用指导书手册、课程课件PPT、视频等课程资源。</w:t>
      </w:r>
    </w:p>
    <w:p w14:paraId="15687F7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（二）主要技术参数</w:t>
      </w:r>
    </w:p>
    <w:p w14:paraId="64EF52C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平台主要包含高地隙可变幅宽四轮独立驱动全向机器人系统、可视化多源融合全局自主导航系统、集成融合表型感知系统、融合感知与分析评价系统，保障机器人稳定、高效完成田间表型巡检与高通量数据采集任务，可精准适配玉米、小麦、大豆等多种大田作物，为作物育种、生长监测及规模化田间管理提供可靠技术支撑。</w:t>
      </w:r>
    </w:p>
    <w:p w14:paraId="4C48300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四轮独立驱动全向机器人系统：包括全向行走驱动转向模块、嵌入式控制模块、多模态远程遥控模块和运动控制算法模块；全向行走驱动转向模块参数：标准外形尺寸≥长2650mm*宽1700mm*高1860mm，轮距≥1200mm，轴距≥1800mm，离地间隙≥1000mm且可定制，最大载重≥200kg，最大行驶速度≥1m/s，最大攀爬角度≥20°；嵌入式控制模块参数：控制器集成3个12位模数转换器、2个通用16位定时器、2个PWM定时器及多路标准通信接口，内置芯片支持USB串口直连与上位机通讯，外部交互具备4.3寸电阻显示屏，亮度≥250nit，有效显示尺寸≥90（L）*50（W），分辨率≥480-272，数据传输支持数传接口不低于1个、网口不低于1个、工作频段支持2.4G/5.8G，控制器与驱动器等采用模块化封装集成，提供四轮独立驱动全向机器人系统的运动控制程序调用接口，支持运动控制算法的二次开发与嵌入；多模态远程遥控模块参数：搭载屏幕显示亮度不低于1000nit，3.配备运行内存≥2GB、存储内存≥64GB；重量≤2kg，内置电池容量≥12000mAh，续航时间大于5小时；通信支持2.4G/5.8G 双频段、16通道及自动跳频，射频功率23dBm，支持USB口、SIM卡槽、TYPE-C接口。运动控制算法模块参数：系统集成PID闭环控制、梯形/S型加减速规划、差速/全向轮运动学解算等运动控制算法，满足精准调速、定位、平滑运动、姿态稳定的控制需求，可实现差速/全向轮/阿克曼底盘的运动学解算、平滑加减速与点位精准控制，支持控制系统的二次开发。</w:t>
      </w:r>
    </w:p>
    <w:p w14:paraId="0867672B">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4.可视化自动驾驶管理调度系统：包括卫星定位模块、视觉感知模块、触摸显示屏、自主导航控制模块和机器人远程路径规划与控制算法模块；</w:t>
      </w:r>
    </w:p>
    <w:p w14:paraId="01EDA24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卫星定位模块参数：高精度RTK系统支持北斗/GPS/GLONASS多系统多频，双天线标准SMA接口，航向角精度±0.15°，俯仰角精度不低于±0.25°，RTK初始化时间＜10s，数据更新频率1Hz，2Hz，5Hz，10Hz，20Hz(可选)，输出格式支持标准及扩展的NMEA0183，CNB(ComNav Binary)，RTCM2.X，RTCM3.X，外部通讯支持CAN、PPS，网络模块支持4G全网通，网络通讯支持TCP、FTP、NTRIP，内置蓝牙模块可通过手机APP快捷设置接收机；</w:t>
      </w:r>
    </w:p>
    <w:p w14:paraId="14786155">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6.视觉感知模块参数：深度测量范围0.3–3m；深度视场角85.2°×58°，RGB视场角69.4°×42.5°；深度输出最高1280×720，RGB最高1920×1080；硬件支持同步采集RGB图、深度图与彩色点云，数据接支持USB 3.0 Type C（兼容USB 3.1 Gen1）；</w:t>
      </w:r>
    </w:p>
    <w:p w14:paraId="693AA8EF">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触摸显示屏参数：屏幕类型LED液晶仪器显示终端，分辨率不低于1920*1080，尺寸不小于10寸，触摸屏类型电容触摸，支持不少于8点触摸，响应时间≤10ms，视频输入支持HDMI、VGA；机器人远程路径规划与控制算法模块参数：主控运行内存≥8GB、存储≥256GB固态硬盘，支持2.4G无线WIFI通讯，算法具备感知模块数据同步接收能力，支持作物行、人等多源位置信息采集、存储与可视化，提供场景类型自理解、多物体目标识别分类、身份识别和行为意图理解等算法案例，支持大田跨行导航与盆栽跨行导航多模态决策控制二次开发、全局定位/局部感知信息融合与定位以及组合导航算法机载开发与部署。</w:t>
      </w:r>
    </w:p>
    <w:p w14:paraId="0A6FCC5E">
      <w:pPr>
        <w:spacing w:line="360" w:lineRule="auto"/>
        <w:rPr>
          <w:rFonts w:hint="eastAsia" w:ascii="仿宋" w:hAnsi="仿宋" w:eastAsia="仿宋" w:cs="仿宋"/>
          <w:bCs/>
          <w:color w:val="auto"/>
          <w:sz w:val="24"/>
          <w:szCs w:val="24"/>
          <w:highlight w:val="none"/>
        </w:rPr>
      </w:pPr>
      <w:r>
        <w:rPr>
          <w:rFonts w:hint="eastAsia"/>
          <w:color w:val="auto"/>
          <w:highlight w:val="none"/>
        </w:rPr>
        <w:t>▲</w:t>
      </w:r>
      <w:r>
        <w:rPr>
          <w:rFonts w:hint="eastAsia" w:ascii="仿宋" w:hAnsi="仿宋" w:eastAsia="仿宋" w:cs="仿宋"/>
          <w:bCs/>
          <w:color w:val="auto"/>
          <w:sz w:val="24"/>
          <w:szCs w:val="24"/>
          <w:highlight w:val="none"/>
        </w:rPr>
        <w:t>8.配备专业级软件，可搭载在手持高性能地面站上，基本功能可实现机器人的路径规划、遥控操作与状态监控，可实时查看机器人运行状态，在地图上标注目标点并生成、保存作业路径，支持手动控制机器人移动，还能完成地图更换、深度相机查看、设备信息调取等操作；同时系统支持感知模块数据同步接收，实现视频监控与地图导航联动，可同步查看机器人视频画面与地图位置，辅助精准判断作业环境、机器人姿态及当前位置。</w:t>
      </w:r>
    </w:p>
    <w:p w14:paraId="7DFFE911">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集成融合表型感知采集系统：包括多光谱成像传感单元、高性能深度相机单元、表型数据采集系统。多光谱成像传感单元参数：多光谱传感器采用8通道微纳结构带通设计，通道参数支持450nm、550nm、650nm、720nm、750nm、800nm、850nm，另包含940nm长波通通道；高性能深度相机单元参数：传感器采用iToF深度传感器，深度分辨率640×480@30fps，彩色分辨率1920×1080@30fps；深度视场角86°×57°，彩色视场角90°×60°，深度测量范围0.25m–5.5m，近距离精度达毫米级；采用USB 3.0 Type-C 接口，USB 5V/1A 供电，尺寸约90mm×25mm×35mm，工作温度0°C~40°C；</w:t>
      </w:r>
    </w:p>
    <w:p w14:paraId="5D9D36D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表型数据采集系统参数：软件系统基于C++图形用户界面框架C#开发，可实现相机选择、参数配置等操作，能与机器人自主导航模块联动，确保采集动作与行驶轨迹同步，保障表型数据的关联性与完整性，可对采集的数据进行规范存储，便于后续整理、分析与建模、与可视化需求，同时支持用户通过触屏或软件界面完成相机控制、数据存储等操作，提供算法接口支持二次开发。</w:t>
      </w:r>
    </w:p>
    <w:p w14:paraId="734DFE77">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11.配套三维空间扫描仪系统：长X宽X高：≥90mm X130mm X240mm；激光雷达FOV：水平360度，垂直59度，双目相机基线：≥65mm，板载CPU:不低于8核心@2.4Ghz，配套三维建模软件系统。</w:t>
      </w:r>
    </w:p>
    <w:p w14:paraId="3059B3BC">
      <w:pPr>
        <w:spacing w:line="360" w:lineRule="auto"/>
        <w:rPr>
          <w:rFonts w:hint="eastAsia" w:ascii="仿宋" w:hAnsi="仿宋" w:eastAsia="仿宋" w:cs="仿宋"/>
          <w:bCs/>
          <w:color w:val="auto"/>
          <w:sz w:val="24"/>
          <w:szCs w:val="24"/>
          <w:highlight w:val="none"/>
        </w:rPr>
      </w:pPr>
      <w:r>
        <w:rPr>
          <w:rFonts w:hint="eastAsia"/>
          <w:color w:val="auto"/>
          <w:highlight w:val="none"/>
        </w:rPr>
        <w:t>▲</w:t>
      </w:r>
      <w:r>
        <w:rPr>
          <w:rFonts w:hint="eastAsia" w:ascii="仿宋" w:hAnsi="仿宋" w:eastAsia="仿宋" w:cs="仿宋"/>
          <w:bCs/>
          <w:color w:val="auto"/>
          <w:sz w:val="24"/>
          <w:szCs w:val="24"/>
          <w:highlight w:val="none"/>
          <w:lang w:val="en-US" w:eastAsia="zh-CN"/>
        </w:rPr>
        <w:t>12.</w:t>
      </w:r>
      <w:r>
        <w:rPr>
          <w:rFonts w:hint="eastAsia" w:ascii="仿宋" w:hAnsi="仿宋" w:eastAsia="仿宋" w:cs="仿宋"/>
          <w:bCs/>
          <w:color w:val="auto"/>
          <w:sz w:val="24"/>
          <w:szCs w:val="24"/>
          <w:highlight w:val="none"/>
        </w:rPr>
        <w:t>配套仿真软件：具有1:1的该装备</w:t>
      </w:r>
      <w:r>
        <w:rPr>
          <w:rFonts w:hint="eastAsia" w:ascii="仿宋" w:hAnsi="仿宋" w:eastAsia="仿宋" w:cs="仿宋"/>
          <w:bCs/>
          <w:color w:val="auto"/>
          <w:sz w:val="24"/>
          <w:szCs w:val="24"/>
          <w:highlight w:val="none"/>
          <w:lang w:val="en-US" w:eastAsia="zh-CN"/>
        </w:rPr>
        <w:t>系统</w:t>
      </w:r>
      <w:r>
        <w:rPr>
          <w:rFonts w:hint="eastAsia" w:ascii="仿宋" w:hAnsi="仿宋" w:eastAsia="仿宋" w:cs="仿宋"/>
          <w:bCs/>
          <w:color w:val="auto"/>
          <w:sz w:val="24"/>
          <w:szCs w:val="24"/>
          <w:highlight w:val="none"/>
        </w:rPr>
        <w:t>的仿真，且具有拆装步骤菜单、三维交互区、拆装工具栏，能够实现对于核心零件的选择、拆装工具选择、拆装工艺提示等过程，完成对工艺和结构认知的仿真，提供PC端、VR端以及在线WEB端应用，并具有练习模式、考核模式，具有自动评分功能。（提供软件功能截图证明）</w:t>
      </w:r>
    </w:p>
    <w:p w14:paraId="1228210E">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13</w:t>
      </w:r>
      <w:r>
        <w:rPr>
          <w:rFonts w:hint="eastAsia" w:ascii="仿宋" w:hAnsi="仿宋" w:eastAsia="仿宋" w:cs="仿宋"/>
          <w:bCs/>
          <w:color w:val="auto"/>
          <w:sz w:val="24"/>
          <w:szCs w:val="24"/>
          <w:highlight w:val="none"/>
        </w:rPr>
        <w:t>.融合感知与分析评价系统：包含机器人多源数据管理软件和表型数据分析软件。机器人多源数据管理软件参数：系统配置CPU优于5-6500、内存≥8G、存储≥128G系统SSD+1T数据SSD，软件支持感知模块数据同步接收，适配冠层表型数据采集作业场景的机器人运动轨迹和表型数据标准化获取能力，支持接收多光谱传感器和深度相机、RGB相机，全面采集多视角作物图像、多光谱数据及深度数据；表型数据分析软件参数：配备基于RGB-D相机的植物表型智能分析软件，利用深度和颜色信息提取植物形态、生长状态和生理特征等表型数据，可读取并解析高质量彩色与深度图像，一般可获取表型参数如总面积、绿叶面积、绿叶面积占比、分形维数、内接矩面积、内接矩宽度、高度、周长面积比、总面积最小内接矩面积比、凸包面积、可见叶片边缘长度、作物持绿特性、卷叶程度、枯死叶比例、生物量的评估、株高、地上部分鲜重（干）重、植株紧凑度、植株伸展度、株型分撒度、生物量、干旱程度、稻穗分割、产量预估等，帮助科研人员和农业工作者精准评估作物生长状况，为品种改良、病害监测、产量预测及农田智慧化管理提供数据支撑与决策依据。表型数据分析软件支持二次开发能力与部署需求，支持预留接口实现多种表型数据集成与二次开发能力。</w:t>
      </w:r>
    </w:p>
    <w:bookmarkEnd w:id="101"/>
    <w:p w14:paraId="2888D973">
      <w:pPr>
        <w:rPr>
          <w:rFonts w:hint="eastAsia" w:ascii="仿宋" w:hAnsi="仿宋" w:eastAsia="仿宋" w:cs="仿宋"/>
          <w:bCs/>
          <w:color w:val="auto"/>
          <w:sz w:val="24"/>
          <w:szCs w:val="24"/>
          <w:highlight w:val="none"/>
        </w:rPr>
      </w:pPr>
    </w:p>
    <w:p w14:paraId="250ACF92">
      <w:pPr>
        <w:rPr>
          <w:rFonts w:hint="eastAsia" w:ascii="仿宋" w:hAnsi="仿宋" w:eastAsia="仿宋" w:cs="仿宋"/>
          <w:bCs/>
          <w:color w:val="auto"/>
          <w:sz w:val="24"/>
          <w:szCs w:val="24"/>
          <w:highlight w:val="none"/>
        </w:rPr>
      </w:pPr>
    </w:p>
    <w:p w14:paraId="2AC9CFC2">
      <w:pPr>
        <w:rPr>
          <w:rFonts w:hint="eastAsia" w:ascii="仿宋" w:hAnsi="仿宋" w:eastAsia="仿宋" w:cs="仿宋"/>
          <w:bCs/>
          <w:color w:val="auto"/>
          <w:sz w:val="24"/>
          <w:szCs w:val="24"/>
          <w:highlight w:val="none"/>
        </w:rPr>
      </w:pPr>
    </w:p>
    <w:p w14:paraId="1B341667">
      <w:pPr>
        <w:rPr>
          <w:rFonts w:hint="eastAsia" w:ascii="仿宋" w:hAnsi="仿宋" w:eastAsia="仿宋" w:cs="仿宋"/>
          <w:bCs/>
          <w:color w:val="auto"/>
          <w:sz w:val="24"/>
          <w:szCs w:val="24"/>
          <w:highlight w:val="none"/>
        </w:rPr>
      </w:pPr>
    </w:p>
    <w:bookmarkEnd w:id="96"/>
    <w:p w14:paraId="384C277D">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5C93B77B">
      <w:pPr>
        <w:spacing w:line="440" w:lineRule="exact"/>
        <w:jc w:val="center"/>
        <w:outlineLvl w:val="0"/>
        <w:rPr>
          <w:rFonts w:hint="eastAsia" w:ascii="仿宋" w:hAnsi="仿宋" w:eastAsia="仿宋" w:cs="仿宋"/>
          <w:b/>
          <w:color w:val="auto"/>
          <w:sz w:val="24"/>
          <w:szCs w:val="24"/>
          <w:highlight w:val="none"/>
        </w:rPr>
      </w:pPr>
      <w:bookmarkStart w:id="102" w:name="_Toc29325"/>
      <w:r>
        <w:rPr>
          <w:rFonts w:hint="eastAsia" w:ascii="仿宋" w:hAnsi="仿宋" w:eastAsia="仿宋" w:cs="仿宋"/>
          <w:b/>
          <w:color w:val="auto"/>
          <w:sz w:val="24"/>
          <w:szCs w:val="24"/>
          <w:highlight w:val="none"/>
        </w:rPr>
        <w:t>第五章 投标文件格式</w:t>
      </w:r>
      <w:bookmarkEnd w:id="95"/>
      <w:bookmarkEnd w:id="97"/>
      <w:bookmarkEnd w:id="102"/>
    </w:p>
    <w:p w14:paraId="29F2D80E">
      <w:pPr>
        <w:rPr>
          <w:rFonts w:hint="eastAsia" w:ascii="仿宋" w:hAnsi="仿宋" w:eastAsia="仿宋" w:cs="仿宋"/>
          <w:b/>
          <w:color w:val="auto"/>
          <w:sz w:val="24"/>
          <w:szCs w:val="24"/>
          <w:highlight w:val="none"/>
        </w:rPr>
      </w:pPr>
    </w:p>
    <w:p w14:paraId="645759EA">
      <w:pPr>
        <w:rPr>
          <w:rFonts w:hint="eastAsia" w:ascii="仿宋" w:hAnsi="仿宋" w:eastAsia="仿宋" w:cs="仿宋"/>
          <w:color w:val="auto"/>
          <w:sz w:val="24"/>
          <w:szCs w:val="24"/>
          <w:highlight w:val="none"/>
          <w:u w:val="single"/>
        </w:rPr>
      </w:pPr>
    </w:p>
    <w:p w14:paraId="06215521">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47CB94C6">
      <w:pPr>
        <w:spacing w:line="480" w:lineRule="auto"/>
        <w:jc w:val="center"/>
        <w:rPr>
          <w:rFonts w:hint="eastAsia" w:ascii="仿宋" w:hAnsi="仿宋" w:eastAsia="仿宋" w:cs="仿宋"/>
          <w:b/>
          <w:bCs/>
          <w:color w:val="auto"/>
          <w:sz w:val="24"/>
          <w:szCs w:val="24"/>
          <w:highlight w:val="none"/>
          <w:u w:val="single"/>
        </w:rPr>
      </w:pPr>
    </w:p>
    <w:p w14:paraId="68175C33">
      <w:pPr>
        <w:pStyle w:val="36"/>
        <w:ind w:firstLine="0" w:firstLineChars="0"/>
        <w:rPr>
          <w:rFonts w:hint="eastAsia" w:ascii="仿宋" w:hAnsi="仿宋" w:eastAsia="仿宋" w:cs="仿宋"/>
          <w:color w:val="auto"/>
          <w:highlight w:val="none"/>
        </w:rPr>
      </w:pPr>
    </w:p>
    <w:p w14:paraId="6338FC6C">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（项目名称）</w:t>
      </w:r>
    </w:p>
    <w:p w14:paraId="1C38AAA8">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（项目编号）</w:t>
      </w:r>
    </w:p>
    <w:p w14:paraId="44F7A654">
      <w:pPr>
        <w:spacing w:line="300" w:lineRule="exact"/>
        <w:jc w:val="center"/>
        <w:rPr>
          <w:rFonts w:hint="eastAsia" w:ascii="仿宋" w:hAnsi="仿宋" w:eastAsia="仿宋" w:cs="仿宋"/>
          <w:b/>
          <w:bCs/>
          <w:color w:val="auto"/>
          <w:sz w:val="24"/>
          <w:szCs w:val="24"/>
          <w:highlight w:val="none"/>
        </w:rPr>
      </w:pPr>
    </w:p>
    <w:p w14:paraId="6BB4C04D">
      <w:pPr>
        <w:spacing w:line="300" w:lineRule="exact"/>
        <w:jc w:val="center"/>
        <w:rPr>
          <w:rFonts w:hint="eastAsia" w:ascii="仿宋" w:hAnsi="仿宋" w:eastAsia="仿宋" w:cs="仿宋"/>
          <w:b/>
          <w:bCs/>
          <w:color w:val="auto"/>
          <w:sz w:val="24"/>
          <w:szCs w:val="24"/>
          <w:highlight w:val="none"/>
        </w:rPr>
      </w:pPr>
    </w:p>
    <w:p w14:paraId="1042375F">
      <w:pPr>
        <w:spacing w:line="3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5752F27B">
      <w:pPr>
        <w:spacing w:line="720" w:lineRule="auto"/>
        <w:rPr>
          <w:rFonts w:hint="eastAsia" w:ascii="仿宋" w:hAnsi="仿宋" w:eastAsia="仿宋" w:cs="仿宋"/>
          <w:color w:val="auto"/>
          <w:sz w:val="24"/>
          <w:szCs w:val="24"/>
          <w:highlight w:val="none"/>
        </w:rPr>
      </w:pPr>
    </w:p>
    <w:p w14:paraId="242D30A7">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74B03395">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sz w:val="24"/>
          <w:szCs w:val="24"/>
          <w:highlight w:val="none"/>
        </w:rPr>
        <w:t>）</w:t>
      </w:r>
    </w:p>
    <w:p w14:paraId="26B7CED2">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74861325">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56996FDF">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57659A8C">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6FE6D335">
      <w:pPr>
        <w:spacing w:line="720" w:lineRule="auto"/>
        <w:rPr>
          <w:rFonts w:hint="eastAsia" w:ascii="仿宋" w:hAnsi="仿宋" w:eastAsia="仿宋" w:cs="仿宋"/>
          <w:color w:val="auto"/>
          <w:sz w:val="24"/>
          <w:szCs w:val="24"/>
          <w:highlight w:val="none"/>
        </w:rPr>
      </w:pPr>
    </w:p>
    <w:p w14:paraId="05419D1B">
      <w:pPr>
        <w:spacing w:line="72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4134CA3C">
      <w:pPr>
        <w:tabs>
          <w:tab w:val="center" w:pos="4832"/>
          <w:tab w:val="left" w:pos="7140"/>
        </w:tabs>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03" w:name="_Toc130252613"/>
      <w:r>
        <w:rPr>
          <w:rFonts w:hint="eastAsia" w:ascii="仿宋" w:hAnsi="仿宋" w:eastAsia="仿宋" w:cs="仿宋"/>
          <w:b/>
          <w:color w:val="auto"/>
          <w:sz w:val="24"/>
          <w:szCs w:val="24"/>
          <w:highlight w:val="none"/>
        </w:rPr>
        <w:t>目 录</w:t>
      </w:r>
      <w:bookmarkEnd w:id="103"/>
    </w:p>
    <w:p w14:paraId="213F26D5">
      <w:pPr>
        <w:pStyle w:val="8"/>
        <w:spacing w:line="360" w:lineRule="auto"/>
        <w:ind w:firstLine="480"/>
        <w:rPr>
          <w:rFonts w:hint="eastAsia" w:ascii="仿宋" w:hAnsi="仿宋" w:eastAsia="仿宋" w:cs="仿宋"/>
          <w:color w:val="auto"/>
          <w:highlight w:val="none"/>
        </w:rPr>
      </w:pPr>
    </w:p>
    <w:p w14:paraId="0EC1745A">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一、开标一览表</w:t>
      </w:r>
    </w:p>
    <w:p w14:paraId="2E99524D">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二、投标函</w:t>
      </w:r>
    </w:p>
    <w:p w14:paraId="4AF710E4">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三、投标价格明细表</w:t>
      </w:r>
    </w:p>
    <w:p w14:paraId="034FC828">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四、中小企业投标价格统计表</w:t>
      </w:r>
    </w:p>
    <w:p w14:paraId="26BE6B64">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五、商务条款偏离表</w:t>
      </w:r>
    </w:p>
    <w:p w14:paraId="722AB26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六、技术条款偏离表</w:t>
      </w:r>
    </w:p>
    <w:p w14:paraId="6B0AC014">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七、法定代表人身份证明书</w:t>
      </w:r>
    </w:p>
    <w:p w14:paraId="1677B4FB">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八、法定代表人授权委托书</w:t>
      </w:r>
    </w:p>
    <w:p w14:paraId="0966C273">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九、投标人资格条件证明材料</w:t>
      </w:r>
    </w:p>
    <w:p w14:paraId="463E714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十、投标人近年类似项目情况表</w:t>
      </w:r>
    </w:p>
    <w:p w14:paraId="648C4672">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十一、售后服务承诺书</w:t>
      </w:r>
    </w:p>
    <w:p w14:paraId="74777035">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十二、技术方案</w:t>
      </w:r>
    </w:p>
    <w:p w14:paraId="25189791">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十三、保证金缴纳证明材料</w:t>
      </w:r>
    </w:p>
    <w:p w14:paraId="3B7B6853">
      <w:pPr>
        <w:pStyle w:val="8"/>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十四、其它需要提交的资料</w:t>
      </w:r>
    </w:p>
    <w:p w14:paraId="085DF90B">
      <w:pPr>
        <w:spacing w:line="360" w:lineRule="auto"/>
        <w:rPr>
          <w:rFonts w:hint="eastAsia" w:ascii="仿宋" w:hAnsi="仿宋" w:eastAsia="仿宋" w:cs="仿宋"/>
          <w:bCs/>
          <w:color w:val="auto"/>
          <w:sz w:val="24"/>
          <w:szCs w:val="24"/>
          <w:highlight w:val="none"/>
        </w:rPr>
      </w:pPr>
    </w:p>
    <w:p w14:paraId="1827DA0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4BE375B6">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04" w:name="_Toc6644"/>
      <w:bookmarkStart w:id="105" w:name="_Toc9432"/>
      <w:bookmarkStart w:id="106" w:name="_Toc24099"/>
      <w:bookmarkStart w:id="107" w:name="_Toc25722"/>
      <w:r>
        <w:rPr>
          <w:rFonts w:hint="eastAsia" w:ascii="仿宋" w:hAnsi="仿宋" w:eastAsia="仿宋" w:cs="仿宋"/>
          <w:b/>
          <w:color w:val="auto"/>
          <w:sz w:val="24"/>
          <w:szCs w:val="24"/>
          <w:highlight w:val="none"/>
        </w:rPr>
        <w:t>一、开标一览表</w:t>
      </w:r>
      <w:bookmarkEnd w:id="104"/>
      <w:bookmarkEnd w:id="105"/>
      <w:bookmarkEnd w:id="106"/>
      <w:bookmarkEnd w:id="107"/>
    </w:p>
    <w:p w14:paraId="7027B20A">
      <w:pPr>
        <w:rPr>
          <w:rFonts w:hint="eastAsia" w:ascii="仿宋" w:hAnsi="仿宋" w:eastAsia="仿宋" w:cs="仿宋"/>
          <w:color w:val="auto"/>
          <w:highlight w:val="none"/>
        </w:rPr>
      </w:pPr>
    </w:p>
    <w:p w14:paraId="3DE60B31">
      <w:pPr>
        <w:rPr>
          <w:rFonts w:hint="eastAsia" w:ascii="仿宋" w:hAnsi="仿宋" w:eastAsia="仿宋" w:cs="仿宋"/>
          <w:color w:val="auto"/>
          <w:highlight w:val="none"/>
        </w:rPr>
      </w:pPr>
    </w:p>
    <w:tbl>
      <w:tblPr>
        <w:tblStyle w:val="38"/>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775D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D481D7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vAlign w:val="center"/>
          </w:tcPr>
          <w:p w14:paraId="129EF65C">
            <w:pPr>
              <w:spacing w:line="360" w:lineRule="auto"/>
              <w:ind w:right="-670"/>
              <w:rPr>
                <w:rFonts w:hint="eastAsia" w:ascii="仿宋" w:hAnsi="仿宋" w:eastAsia="仿宋" w:cs="仿宋"/>
                <w:bCs/>
                <w:color w:val="auto"/>
                <w:sz w:val="24"/>
                <w:szCs w:val="24"/>
                <w:highlight w:val="none"/>
              </w:rPr>
            </w:pPr>
          </w:p>
        </w:tc>
      </w:tr>
      <w:tr w14:paraId="6A1E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69721AE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vAlign w:val="center"/>
          </w:tcPr>
          <w:p w14:paraId="597EA220">
            <w:pPr>
              <w:spacing w:line="360" w:lineRule="auto"/>
              <w:ind w:right="-670"/>
              <w:rPr>
                <w:rFonts w:hint="eastAsia" w:ascii="仿宋" w:hAnsi="仿宋" w:eastAsia="仿宋" w:cs="仿宋"/>
                <w:bCs/>
                <w:color w:val="auto"/>
                <w:sz w:val="24"/>
                <w:szCs w:val="24"/>
                <w:highlight w:val="none"/>
              </w:rPr>
            </w:pPr>
          </w:p>
        </w:tc>
      </w:tr>
      <w:tr w14:paraId="317E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vAlign w:val="center"/>
          </w:tcPr>
          <w:p w14:paraId="2FD8E0B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投标价格</w:t>
            </w:r>
          </w:p>
        </w:tc>
        <w:tc>
          <w:tcPr>
            <w:tcW w:w="3499" w:type="pct"/>
            <w:tcBorders>
              <w:left w:val="single" w:color="auto" w:sz="4" w:space="0"/>
            </w:tcBorders>
            <w:vAlign w:val="center"/>
          </w:tcPr>
          <w:p w14:paraId="2E31DA8C">
            <w:pPr>
              <w:spacing w:line="360" w:lineRule="auto"/>
              <w:ind w:right="-67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p w14:paraId="4999EF52">
            <w:pPr>
              <w:pStyle w:val="37"/>
              <w:ind w:left="0" w:leftChars="0" w:firstLine="0" w:firstLineChars="0"/>
              <w:rPr>
                <w:rFonts w:hint="eastAsia"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tc>
      </w:tr>
      <w:tr w14:paraId="139F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exact"/>
        </w:trPr>
        <w:tc>
          <w:tcPr>
            <w:tcW w:w="1500" w:type="pct"/>
            <w:tcBorders>
              <w:top w:val="single" w:color="auto" w:sz="4" w:space="0"/>
              <w:left w:val="single" w:color="auto" w:sz="4" w:space="0"/>
              <w:bottom w:val="single" w:color="auto" w:sz="4" w:space="0"/>
              <w:right w:val="single" w:color="auto" w:sz="4" w:space="0"/>
            </w:tcBorders>
            <w:vAlign w:val="center"/>
          </w:tcPr>
          <w:p w14:paraId="6F71E887">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vAlign w:val="center"/>
          </w:tcPr>
          <w:p w14:paraId="7FF275D4">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自合同签订之日起90个工作日内送达采购人指定地点并安装调试完毕。</w:t>
            </w:r>
          </w:p>
        </w:tc>
      </w:tr>
      <w:tr w14:paraId="634F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exact"/>
        </w:trPr>
        <w:tc>
          <w:tcPr>
            <w:tcW w:w="1500" w:type="pct"/>
            <w:tcBorders>
              <w:top w:val="single" w:color="auto" w:sz="4" w:space="0"/>
              <w:left w:val="single" w:color="auto" w:sz="4" w:space="0"/>
              <w:bottom w:val="single" w:color="auto" w:sz="4" w:space="0"/>
              <w:right w:val="single" w:color="auto" w:sz="4" w:space="0"/>
            </w:tcBorders>
            <w:vAlign w:val="center"/>
          </w:tcPr>
          <w:p w14:paraId="61E811FC">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质保期</w:t>
            </w:r>
          </w:p>
        </w:tc>
        <w:tc>
          <w:tcPr>
            <w:tcW w:w="3499" w:type="pct"/>
            <w:tcBorders>
              <w:left w:val="single" w:color="auto" w:sz="4" w:space="0"/>
            </w:tcBorders>
            <w:vAlign w:val="center"/>
          </w:tcPr>
          <w:p w14:paraId="1F06CF69">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本项目货物质保期为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年（如与招标文件“第四章技术标准和要求”中要求不一致，以较长质保期为标准执行），自采购人及相关部门总体验收合格之日起计算。如果由于我方责任致使不能验收，此质保期相应顺延。</w:t>
            </w:r>
          </w:p>
        </w:tc>
      </w:tr>
      <w:tr w14:paraId="3245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0DF4248">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投标有效期</w:t>
            </w:r>
          </w:p>
        </w:tc>
        <w:tc>
          <w:tcPr>
            <w:tcW w:w="3499" w:type="pct"/>
            <w:tcBorders>
              <w:left w:val="single" w:color="auto" w:sz="4" w:space="0"/>
            </w:tcBorders>
            <w:vAlign w:val="center"/>
          </w:tcPr>
          <w:p w14:paraId="0FFE851F">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自投标截止之日90日历日</w:t>
            </w:r>
          </w:p>
        </w:tc>
      </w:tr>
      <w:tr w14:paraId="4EC6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385394E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vAlign w:val="center"/>
          </w:tcPr>
          <w:p w14:paraId="7983C268">
            <w:pPr>
              <w:rPr>
                <w:rFonts w:hint="eastAsia" w:ascii="仿宋" w:hAnsi="仿宋" w:eastAsia="仿宋" w:cs="仿宋"/>
                <w:bCs/>
                <w:color w:val="auto"/>
                <w:sz w:val="24"/>
                <w:szCs w:val="24"/>
                <w:highlight w:val="none"/>
              </w:rPr>
            </w:pPr>
          </w:p>
        </w:tc>
      </w:tr>
    </w:tbl>
    <w:p w14:paraId="200F605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8EF611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26B87E4">
      <w:pPr>
        <w:pStyle w:val="37"/>
        <w:ind w:left="420"/>
        <w:rPr>
          <w:rFonts w:hint="eastAsia" w:ascii="仿宋" w:hAnsi="仿宋" w:eastAsia="仿宋" w:cs="仿宋"/>
          <w:color w:val="auto"/>
          <w:highlight w:val="none"/>
        </w:rPr>
      </w:pPr>
    </w:p>
    <w:p w14:paraId="524910F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81BC29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C05214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2BDA756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6D6339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12857BBA">
      <w:pPr>
        <w:tabs>
          <w:tab w:val="center" w:pos="4832"/>
          <w:tab w:val="left" w:pos="7140"/>
        </w:tabs>
        <w:jc w:val="center"/>
        <w:outlineLvl w:val="1"/>
        <w:rPr>
          <w:rFonts w:hint="eastAsia" w:ascii="仿宋" w:hAnsi="仿宋" w:eastAsia="仿宋" w:cs="仿宋"/>
          <w:b/>
          <w:color w:val="auto"/>
          <w:sz w:val="24"/>
          <w:szCs w:val="24"/>
          <w:highlight w:val="none"/>
        </w:rPr>
      </w:pPr>
      <w:bookmarkStart w:id="108" w:name="_Toc13707"/>
      <w:bookmarkStart w:id="109" w:name="_Toc4875"/>
      <w:bookmarkStart w:id="110" w:name="_Toc17938"/>
      <w:bookmarkStart w:id="111" w:name="_Toc20988"/>
      <w:r>
        <w:rPr>
          <w:rFonts w:hint="eastAsia" w:ascii="仿宋" w:hAnsi="仿宋" w:eastAsia="仿宋" w:cs="仿宋"/>
          <w:b/>
          <w:color w:val="auto"/>
          <w:sz w:val="24"/>
          <w:szCs w:val="24"/>
          <w:highlight w:val="none"/>
        </w:rPr>
        <w:t>二、投标函</w:t>
      </w:r>
      <w:bookmarkEnd w:id="108"/>
      <w:bookmarkEnd w:id="109"/>
      <w:bookmarkEnd w:id="110"/>
      <w:bookmarkEnd w:id="111"/>
    </w:p>
    <w:p w14:paraId="25E842A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A5196F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071A936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1966775">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（项目名称）的招标文件，遵照《中华人民共和国政府采购法》等有关法律法规的规定，经考察现场和充分研究贵方的招标文件的全部内容后，我方郑重承诺如下：</w:t>
      </w:r>
    </w:p>
    <w:p w14:paraId="220BC973">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393C015E">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4E0D3CA7">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6CDCB3C6">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69E99C5A">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4220186A">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64556DAD">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3C5D778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68BECB7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A91274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2D9D3A8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3DAC4E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7ABFA6EE">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573E55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A31C4DE">
      <w:pPr>
        <w:tabs>
          <w:tab w:val="center" w:pos="4832"/>
          <w:tab w:val="left" w:pos="7140"/>
        </w:tabs>
        <w:jc w:val="center"/>
        <w:outlineLvl w:val="1"/>
        <w:rPr>
          <w:rFonts w:hint="eastAsia" w:ascii="仿宋" w:hAnsi="仿宋" w:eastAsia="仿宋" w:cs="仿宋"/>
          <w:b/>
          <w:color w:val="auto"/>
          <w:sz w:val="24"/>
          <w:szCs w:val="24"/>
          <w:highlight w:val="none"/>
        </w:rPr>
        <w:sectPr>
          <w:headerReference r:id="rId7" w:type="default"/>
          <w:footerReference r:id="rId8" w:type="default"/>
          <w:pgSz w:w="11906" w:h="16838"/>
          <w:pgMar w:top="1134" w:right="1418" w:bottom="1134" w:left="1418" w:header="851" w:footer="992" w:gutter="0"/>
          <w:cols w:space="425" w:num="1"/>
          <w:docGrid w:linePitch="312" w:charSpace="0"/>
        </w:sectPr>
      </w:pPr>
      <w:bookmarkStart w:id="112" w:name="_Toc110707965"/>
      <w:bookmarkStart w:id="113" w:name="_Toc109921158"/>
      <w:bookmarkStart w:id="114" w:name="_Toc4866"/>
      <w:bookmarkStart w:id="115" w:name="_Toc130252615"/>
      <w:bookmarkStart w:id="116" w:name="_Toc109941765"/>
    </w:p>
    <w:p w14:paraId="125A746F">
      <w:pPr>
        <w:tabs>
          <w:tab w:val="center" w:pos="4832"/>
          <w:tab w:val="left" w:pos="7140"/>
        </w:tabs>
        <w:jc w:val="center"/>
        <w:outlineLvl w:val="1"/>
        <w:rPr>
          <w:rFonts w:hint="eastAsia" w:ascii="仿宋" w:hAnsi="仿宋" w:eastAsia="仿宋" w:cs="仿宋"/>
          <w:color w:val="auto"/>
          <w:sz w:val="24"/>
          <w:szCs w:val="24"/>
          <w:highlight w:val="none"/>
        </w:rPr>
      </w:pPr>
      <w:bookmarkStart w:id="117" w:name="_Toc19775"/>
      <w:bookmarkStart w:id="118" w:name="_Toc25815"/>
      <w:r>
        <w:rPr>
          <w:rFonts w:hint="eastAsia" w:ascii="仿宋" w:hAnsi="仿宋" w:eastAsia="仿宋" w:cs="仿宋"/>
          <w:b/>
          <w:color w:val="auto"/>
          <w:sz w:val="24"/>
          <w:szCs w:val="24"/>
          <w:highlight w:val="none"/>
        </w:rPr>
        <w:t>三、投标价格明细表</w:t>
      </w:r>
      <w:bookmarkEnd w:id="112"/>
      <w:bookmarkEnd w:id="113"/>
      <w:bookmarkEnd w:id="114"/>
      <w:bookmarkEnd w:id="115"/>
      <w:bookmarkEnd w:id="116"/>
      <w:bookmarkEnd w:id="117"/>
      <w:bookmarkEnd w:id="118"/>
    </w:p>
    <w:p w14:paraId="33317C80">
      <w:pPr>
        <w:spacing w:line="360" w:lineRule="auto"/>
        <w:jc w:val="left"/>
        <w:rPr>
          <w:rFonts w:hint="eastAsia" w:ascii="仿宋" w:hAnsi="仿宋" w:eastAsia="仿宋" w:cs="仿宋"/>
          <w:color w:val="auto"/>
          <w:sz w:val="24"/>
          <w:szCs w:val="24"/>
          <w:highlight w:val="none"/>
        </w:rPr>
      </w:pPr>
    </w:p>
    <w:tbl>
      <w:tblPr>
        <w:tblStyle w:val="38"/>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054"/>
        <w:gridCol w:w="847"/>
        <w:gridCol w:w="835"/>
        <w:gridCol w:w="732"/>
        <w:gridCol w:w="732"/>
        <w:gridCol w:w="736"/>
        <w:gridCol w:w="1175"/>
        <w:gridCol w:w="939"/>
        <w:gridCol w:w="761"/>
      </w:tblGrid>
      <w:tr w14:paraId="62D8E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0C81FA7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619" w:type="pct"/>
            <w:vAlign w:val="center"/>
          </w:tcPr>
          <w:p w14:paraId="71736BE4">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标的名称</w:t>
            </w:r>
          </w:p>
        </w:tc>
        <w:tc>
          <w:tcPr>
            <w:tcW w:w="497" w:type="pct"/>
            <w:vAlign w:val="center"/>
          </w:tcPr>
          <w:p w14:paraId="73FF0BE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规格型号</w:t>
            </w:r>
          </w:p>
        </w:tc>
        <w:tc>
          <w:tcPr>
            <w:tcW w:w="490" w:type="pct"/>
            <w:vAlign w:val="center"/>
          </w:tcPr>
          <w:p w14:paraId="1A78835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品牌</w:t>
            </w:r>
          </w:p>
        </w:tc>
        <w:tc>
          <w:tcPr>
            <w:tcW w:w="430" w:type="pct"/>
            <w:vAlign w:val="center"/>
          </w:tcPr>
          <w:p w14:paraId="1C53AC8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制造商</w:t>
            </w:r>
          </w:p>
        </w:tc>
        <w:tc>
          <w:tcPr>
            <w:tcW w:w="430" w:type="pct"/>
            <w:vAlign w:val="center"/>
          </w:tcPr>
          <w:p w14:paraId="510D62B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单位</w:t>
            </w:r>
          </w:p>
        </w:tc>
        <w:tc>
          <w:tcPr>
            <w:tcW w:w="432" w:type="pct"/>
            <w:vAlign w:val="center"/>
          </w:tcPr>
          <w:p w14:paraId="0990295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数量</w:t>
            </w:r>
          </w:p>
        </w:tc>
        <w:tc>
          <w:tcPr>
            <w:tcW w:w="688" w:type="pct"/>
            <w:vAlign w:val="center"/>
          </w:tcPr>
          <w:p w14:paraId="7A8EF74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单价（</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551" w:type="pct"/>
            <w:vAlign w:val="center"/>
          </w:tcPr>
          <w:p w14:paraId="59B11E4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447" w:type="pct"/>
            <w:vAlign w:val="center"/>
          </w:tcPr>
          <w:p w14:paraId="7AE29E1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563F2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35C0096F">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619" w:type="pct"/>
            <w:vAlign w:val="center"/>
          </w:tcPr>
          <w:p w14:paraId="2336A704">
            <w:pPr>
              <w:jc w:val="center"/>
              <w:rPr>
                <w:rFonts w:hint="eastAsia" w:ascii="仿宋" w:hAnsi="仿宋" w:eastAsia="仿宋" w:cs="仿宋"/>
                <w:bCs/>
                <w:color w:val="auto"/>
                <w:szCs w:val="21"/>
                <w:highlight w:val="none"/>
              </w:rPr>
            </w:pPr>
          </w:p>
        </w:tc>
        <w:tc>
          <w:tcPr>
            <w:tcW w:w="497" w:type="pct"/>
            <w:vAlign w:val="center"/>
          </w:tcPr>
          <w:p w14:paraId="02B20712">
            <w:pPr>
              <w:jc w:val="center"/>
              <w:rPr>
                <w:rFonts w:hint="eastAsia" w:ascii="仿宋" w:hAnsi="仿宋" w:eastAsia="仿宋" w:cs="仿宋"/>
                <w:bCs/>
                <w:color w:val="auto"/>
                <w:szCs w:val="21"/>
                <w:highlight w:val="none"/>
              </w:rPr>
            </w:pPr>
          </w:p>
        </w:tc>
        <w:tc>
          <w:tcPr>
            <w:tcW w:w="490" w:type="pct"/>
            <w:vAlign w:val="center"/>
          </w:tcPr>
          <w:p w14:paraId="02C5DD03">
            <w:pPr>
              <w:jc w:val="center"/>
              <w:rPr>
                <w:rFonts w:hint="eastAsia" w:ascii="仿宋" w:hAnsi="仿宋" w:eastAsia="仿宋" w:cs="仿宋"/>
                <w:bCs/>
                <w:color w:val="auto"/>
                <w:szCs w:val="21"/>
                <w:highlight w:val="none"/>
              </w:rPr>
            </w:pPr>
          </w:p>
        </w:tc>
        <w:tc>
          <w:tcPr>
            <w:tcW w:w="430" w:type="pct"/>
            <w:vAlign w:val="center"/>
          </w:tcPr>
          <w:p w14:paraId="7BBC7AA7">
            <w:pPr>
              <w:jc w:val="center"/>
              <w:rPr>
                <w:rFonts w:hint="eastAsia" w:ascii="仿宋" w:hAnsi="仿宋" w:eastAsia="仿宋" w:cs="仿宋"/>
                <w:bCs/>
                <w:color w:val="auto"/>
                <w:szCs w:val="21"/>
                <w:highlight w:val="none"/>
              </w:rPr>
            </w:pPr>
          </w:p>
        </w:tc>
        <w:tc>
          <w:tcPr>
            <w:tcW w:w="430" w:type="pct"/>
            <w:vAlign w:val="center"/>
          </w:tcPr>
          <w:p w14:paraId="08BA6336">
            <w:pPr>
              <w:jc w:val="center"/>
              <w:rPr>
                <w:rFonts w:hint="eastAsia" w:ascii="仿宋" w:hAnsi="仿宋" w:eastAsia="仿宋" w:cs="仿宋"/>
                <w:bCs/>
                <w:color w:val="auto"/>
                <w:szCs w:val="21"/>
                <w:highlight w:val="none"/>
              </w:rPr>
            </w:pPr>
          </w:p>
        </w:tc>
        <w:tc>
          <w:tcPr>
            <w:tcW w:w="432" w:type="pct"/>
            <w:vAlign w:val="center"/>
          </w:tcPr>
          <w:p w14:paraId="717CB4E7">
            <w:pPr>
              <w:jc w:val="center"/>
              <w:rPr>
                <w:rFonts w:hint="eastAsia" w:ascii="仿宋" w:hAnsi="仿宋" w:eastAsia="仿宋" w:cs="仿宋"/>
                <w:bCs/>
                <w:color w:val="auto"/>
                <w:szCs w:val="21"/>
                <w:highlight w:val="none"/>
              </w:rPr>
            </w:pPr>
          </w:p>
        </w:tc>
        <w:tc>
          <w:tcPr>
            <w:tcW w:w="688" w:type="pct"/>
            <w:vAlign w:val="center"/>
          </w:tcPr>
          <w:p w14:paraId="5834FB27">
            <w:pPr>
              <w:jc w:val="center"/>
              <w:rPr>
                <w:rFonts w:hint="eastAsia" w:ascii="仿宋" w:hAnsi="仿宋" w:eastAsia="仿宋" w:cs="仿宋"/>
                <w:bCs/>
                <w:color w:val="auto"/>
                <w:szCs w:val="21"/>
                <w:highlight w:val="none"/>
              </w:rPr>
            </w:pPr>
          </w:p>
        </w:tc>
        <w:tc>
          <w:tcPr>
            <w:tcW w:w="551" w:type="pct"/>
            <w:vAlign w:val="center"/>
          </w:tcPr>
          <w:p w14:paraId="0393DD1D">
            <w:pPr>
              <w:jc w:val="center"/>
              <w:rPr>
                <w:rFonts w:hint="eastAsia" w:ascii="仿宋" w:hAnsi="仿宋" w:eastAsia="仿宋" w:cs="仿宋"/>
                <w:bCs/>
                <w:color w:val="auto"/>
                <w:szCs w:val="21"/>
                <w:highlight w:val="none"/>
              </w:rPr>
            </w:pPr>
          </w:p>
        </w:tc>
        <w:tc>
          <w:tcPr>
            <w:tcW w:w="447" w:type="pct"/>
            <w:vAlign w:val="center"/>
          </w:tcPr>
          <w:p w14:paraId="5A96621F">
            <w:pPr>
              <w:jc w:val="center"/>
              <w:rPr>
                <w:rFonts w:hint="eastAsia" w:ascii="仿宋" w:hAnsi="仿宋" w:eastAsia="仿宋" w:cs="仿宋"/>
                <w:bCs/>
                <w:color w:val="auto"/>
                <w:szCs w:val="21"/>
                <w:highlight w:val="none"/>
              </w:rPr>
            </w:pPr>
          </w:p>
        </w:tc>
      </w:tr>
      <w:tr w14:paraId="005C4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0FFE61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619" w:type="pct"/>
            <w:vAlign w:val="center"/>
          </w:tcPr>
          <w:p w14:paraId="042B1026">
            <w:pPr>
              <w:jc w:val="center"/>
              <w:rPr>
                <w:rFonts w:hint="eastAsia" w:ascii="仿宋" w:hAnsi="仿宋" w:eastAsia="仿宋" w:cs="仿宋"/>
                <w:bCs/>
                <w:color w:val="auto"/>
                <w:szCs w:val="21"/>
                <w:highlight w:val="none"/>
              </w:rPr>
            </w:pPr>
          </w:p>
        </w:tc>
        <w:tc>
          <w:tcPr>
            <w:tcW w:w="497" w:type="pct"/>
            <w:vAlign w:val="center"/>
          </w:tcPr>
          <w:p w14:paraId="031724BA">
            <w:pPr>
              <w:jc w:val="center"/>
              <w:rPr>
                <w:rFonts w:hint="eastAsia" w:ascii="仿宋" w:hAnsi="仿宋" w:eastAsia="仿宋" w:cs="仿宋"/>
                <w:bCs/>
                <w:color w:val="auto"/>
                <w:szCs w:val="21"/>
                <w:highlight w:val="none"/>
              </w:rPr>
            </w:pPr>
          </w:p>
        </w:tc>
        <w:tc>
          <w:tcPr>
            <w:tcW w:w="490" w:type="pct"/>
            <w:vAlign w:val="center"/>
          </w:tcPr>
          <w:p w14:paraId="29E89969">
            <w:pPr>
              <w:jc w:val="center"/>
              <w:rPr>
                <w:rFonts w:hint="eastAsia" w:ascii="仿宋" w:hAnsi="仿宋" w:eastAsia="仿宋" w:cs="仿宋"/>
                <w:bCs/>
                <w:color w:val="auto"/>
                <w:szCs w:val="21"/>
                <w:highlight w:val="none"/>
              </w:rPr>
            </w:pPr>
          </w:p>
        </w:tc>
        <w:tc>
          <w:tcPr>
            <w:tcW w:w="430" w:type="pct"/>
            <w:vAlign w:val="center"/>
          </w:tcPr>
          <w:p w14:paraId="5B522092">
            <w:pPr>
              <w:jc w:val="center"/>
              <w:rPr>
                <w:rFonts w:hint="eastAsia" w:ascii="仿宋" w:hAnsi="仿宋" w:eastAsia="仿宋" w:cs="仿宋"/>
                <w:bCs/>
                <w:color w:val="auto"/>
                <w:szCs w:val="21"/>
                <w:highlight w:val="none"/>
              </w:rPr>
            </w:pPr>
          </w:p>
        </w:tc>
        <w:tc>
          <w:tcPr>
            <w:tcW w:w="430" w:type="pct"/>
            <w:vAlign w:val="center"/>
          </w:tcPr>
          <w:p w14:paraId="78B86032">
            <w:pPr>
              <w:jc w:val="center"/>
              <w:rPr>
                <w:rFonts w:hint="eastAsia" w:ascii="仿宋" w:hAnsi="仿宋" w:eastAsia="仿宋" w:cs="仿宋"/>
                <w:bCs/>
                <w:color w:val="auto"/>
                <w:szCs w:val="21"/>
                <w:highlight w:val="none"/>
              </w:rPr>
            </w:pPr>
          </w:p>
        </w:tc>
        <w:tc>
          <w:tcPr>
            <w:tcW w:w="432" w:type="pct"/>
            <w:vAlign w:val="center"/>
          </w:tcPr>
          <w:p w14:paraId="544F523A">
            <w:pPr>
              <w:jc w:val="center"/>
              <w:rPr>
                <w:rFonts w:hint="eastAsia" w:ascii="仿宋" w:hAnsi="仿宋" w:eastAsia="仿宋" w:cs="仿宋"/>
                <w:bCs/>
                <w:color w:val="auto"/>
                <w:szCs w:val="21"/>
                <w:highlight w:val="none"/>
              </w:rPr>
            </w:pPr>
          </w:p>
        </w:tc>
        <w:tc>
          <w:tcPr>
            <w:tcW w:w="688" w:type="pct"/>
            <w:vAlign w:val="center"/>
          </w:tcPr>
          <w:p w14:paraId="021262DA">
            <w:pPr>
              <w:jc w:val="center"/>
              <w:rPr>
                <w:rFonts w:hint="eastAsia" w:ascii="仿宋" w:hAnsi="仿宋" w:eastAsia="仿宋" w:cs="仿宋"/>
                <w:bCs/>
                <w:color w:val="auto"/>
                <w:szCs w:val="21"/>
                <w:highlight w:val="none"/>
              </w:rPr>
            </w:pPr>
          </w:p>
        </w:tc>
        <w:tc>
          <w:tcPr>
            <w:tcW w:w="551" w:type="pct"/>
            <w:vAlign w:val="center"/>
          </w:tcPr>
          <w:p w14:paraId="1666E844">
            <w:pPr>
              <w:jc w:val="center"/>
              <w:rPr>
                <w:rFonts w:hint="eastAsia" w:ascii="仿宋" w:hAnsi="仿宋" w:eastAsia="仿宋" w:cs="仿宋"/>
                <w:bCs/>
                <w:color w:val="auto"/>
                <w:szCs w:val="21"/>
                <w:highlight w:val="none"/>
              </w:rPr>
            </w:pPr>
          </w:p>
        </w:tc>
        <w:tc>
          <w:tcPr>
            <w:tcW w:w="447" w:type="pct"/>
            <w:vAlign w:val="center"/>
          </w:tcPr>
          <w:p w14:paraId="04E92C7C">
            <w:pPr>
              <w:jc w:val="center"/>
              <w:rPr>
                <w:rFonts w:hint="eastAsia" w:ascii="仿宋" w:hAnsi="仿宋" w:eastAsia="仿宋" w:cs="仿宋"/>
                <w:bCs/>
                <w:color w:val="auto"/>
                <w:szCs w:val="21"/>
                <w:highlight w:val="none"/>
              </w:rPr>
            </w:pPr>
          </w:p>
        </w:tc>
      </w:tr>
      <w:tr w14:paraId="21912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6F6452D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619" w:type="pct"/>
            <w:vAlign w:val="center"/>
          </w:tcPr>
          <w:p w14:paraId="76CB45BE">
            <w:pPr>
              <w:jc w:val="center"/>
              <w:rPr>
                <w:rFonts w:hint="eastAsia" w:ascii="仿宋" w:hAnsi="仿宋" w:eastAsia="仿宋" w:cs="仿宋"/>
                <w:bCs/>
                <w:color w:val="auto"/>
                <w:szCs w:val="21"/>
                <w:highlight w:val="none"/>
              </w:rPr>
            </w:pPr>
          </w:p>
        </w:tc>
        <w:tc>
          <w:tcPr>
            <w:tcW w:w="497" w:type="pct"/>
            <w:vAlign w:val="center"/>
          </w:tcPr>
          <w:p w14:paraId="6F3F7C70">
            <w:pPr>
              <w:jc w:val="center"/>
              <w:rPr>
                <w:rFonts w:hint="eastAsia" w:ascii="仿宋" w:hAnsi="仿宋" w:eastAsia="仿宋" w:cs="仿宋"/>
                <w:bCs/>
                <w:color w:val="auto"/>
                <w:szCs w:val="21"/>
                <w:highlight w:val="none"/>
              </w:rPr>
            </w:pPr>
          </w:p>
        </w:tc>
        <w:tc>
          <w:tcPr>
            <w:tcW w:w="490" w:type="pct"/>
            <w:vAlign w:val="center"/>
          </w:tcPr>
          <w:p w14:paraId="7195BC9C">
            <w:pPr>
              <w:jc w:val="center"/>
              <w:rPr>
                <w:rFonts w:hint="eastAsia" w:ascii="仿宋" w:hAnsi="仿宋" w:eastAsia="仿宋" w:cs="仿宋"/>
                <w:bCs/>
                <w:color w:val="auto"/>
                <w:szCs w:val="21"/>
                <w:highlight w:val="none"/>
              </w:rPr>
            </w:pPr>
          </w:p>
        </w:tc>
        <w:tc>
          <w:tcPr>
            <w:tcW w:w="430" w:type="pct"/>
            <w:vAlign w:val="center"/>
          </w:tcPr>
          <w:p w14:paraId="1871AA7B">
            <w:pPr>
              <w:jc w:val="center"/>
              <w:rPr>
                <w:rFonts w:hint="eastAsia" w:ascii="仿宋" w:hAnsi="仿宋" w:eastAsia="仿宋" w:cs="仿宋"/>
                <w:bCs/>
                <w:color w:val="auto"/>
                <w:szCs w:val="21"/>
                <w:highlight w:val="none"/>
              </w:rPr>
            </w:pPr>
          </w:p>
        </w:tc>
        <w:tc>
          <w:tcPr>
            <w:tcW w:w="430" w:type="pct"/>
            <w:vAlign w:val="center"/>
          </w:tcPr>
          <w:p w14:paraId="5BA5E342">
            <w:pPr>
              <w:jc w:val="center"/>
              <w:rPr>
                <w:rFonts w:hint="eastAsia" w:ascii="仿宋" w:hAnsi="仿宋" w:eastAsia="仿宋" w:cs="仿宋"/>
                <w:bCs/>
                <w:color w:val="auto"/>
                <w:szCs w:val="21"/>
                <w:highlight w:val="none"/>
              </w:rPr>
            </w:pPr>
          </w:p>
        </w:tc>
        <w:tc>
          <w:tcPr>
            <w:tcW w:w="432" w:type="pct"/>
            <w:vAlign w:val="center"/>
          </w:tcPr>
          <w:p w14:paraId="060C4C1F">
            <w:pPr>
              <w:jc w:val="center"/>
              <w:rPr>
                <w:rFonts w:hint="eastAsia" w:ascii="仿宋" w:hAnsi="仿宋" w:eastAsia="仿宋" w:cs="仿宋"/>
                <w:bCs/>
                <w:color w:val="auto"/>
                <w:szCs w:val="21"/>
                <w:highlight w:val="none"/>
              </w:rPr>
            </w:pPr>
          </w:p>
        </w:tc>
        <w:tc>
          <w:tcPr>
            <w:tcW w:w="688" w:type="pct"/>
            <w:vAlign w:val="center"/>
          </w:tcPr>
          <w:p w14:paraId="20D0FF61">
            <w:pPr>
              <w:jc w:val="center"/>
              <w:rPr>
                <w:rFonts w:hint="eastAsia" w:ascii="仿宋" w:hAnsi="仿宋" w:eastAsia="仿宋" w:cs="仿宋"/>
                <w:bCs/>
                <w:color w:val="auto"/>
                <w:szCs w:val="21"/>
                <w:highlight w:val="none"/>
              </w:rPr>
            </w:pPr>
          </w:p>
        </w:tc>
        <w:tc>
          <w:tcPr>
            <w:tcW w:w="551" w:type="pct"/>
            <w:vAlign w:val="center"/>
          </w:tcPr>
          <w:p w14:paraId="0CE1F5F9">
            <w:pPr>
              <w:jc w:val="center"/>
              <w:rPr>
                <w:rFonts w:hint="eastAsia" w:ascii="仿宋" w:hAnsi="仿宋" w:eastAsia="仿宋" w:cs="仿宋"/>
                <w:bCs/>
                <w:color w:val="auto"/>
                <w:szCs w:val="21"/>
                <w:highlight w:val="none"/>
              </w:rPr>
            </w:pPr>
          </w:p>
        </w:tc>
        <w:tc>
          <w:tcPr>
            <w:tcW w:w="447" w:type="pct"/>
            <w:vAlign w:val="center"/>
          </w:tcPr>
          <w:p w14:paraId="53A5FABE">
            <w:pPr>
              <w:jc w:val="center"/>
              <w:rPr>
                <w:rFonts w:hint="eastAsia" w:ascii="仿宋" w:hAnsi="仿宋" w:eastAsia="仿宋" w:cs="仿宋"/>
                <w:bCs/>
                <w:color w:val="auto"/>
                <w:szCs w:val="21"/>
                <w:highlight w:val="none"/>
              </w:rPr>
            </w:pPr>
          </w:p>
        </w:tc>
      </w:tr>
      <w:tr w14:paraId="55C52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58BB9E6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619" w:type="pct"/>
            <w:vAlign w:val="center"/>
          </w:tcPr>
          <w:p w14:paraId="30B870B1">
            <w:pPr>
              <w:jc w:val="center"/>
              <w:rPr>
                <w:rFonts w:hint="eastAsia" w:ascii="仿宋" w:hAnsi="仿宋" w:eastAsia="仿宋" w:cs="仿宋"/>
                <w:bCs/>
                <w:color w:val="auto"/>
                <w:szCs w:val="21"/>
                <w:highlight w:val="none"/>
              </w:rPr>
            </w:pPr>
          </w:p>
        </w:tc>
        <w:tc>
          <w:tcPr>
            <w:tcW w:w="497" w:type="pct"/>
            <w:vAlign w:val="center"/>
          </w:tcPr>
          <w:p w14:paraId="2EC814A3">
            <w:pPr>
              <w:jc w:val="center"/>
              <w:rPr>
                <w:rFonts w:hint="eastAsia" w:ascii="仿宋" w:hAnsi="仿宋" w:eastAsia="仿宋" w:cs="仿宋"/>
                <w:bCs/>
                <w:color w:val="auto"/>
                <w:szCs w:val="21"/>
                <w:highlight w:val="none"/>
              </w:rPr>
            </w:pPr>
          </w:p>
        </w:tc>
        <w:tc>
          <w:tcPr>
            <w:tcW w:w="490" w:type="pct"/>
            <w:vAlign w:val="center"/>
          </w:tcPr>
          <w:p w14:paraId="4CCC7EFD">
            <w:pPr>
              <w:jc w:val="center"/>
              <w:rPr>
                <w:rFonts w:hint="eastAsia" w:ascii="仿宋" w:hAnsi="仿宋" w:eastAsia="仿宋" w:cs="仿宋"/>
                <w:bCs/>
                <w:color w:val="auto"/>
                <w:szCs w:val="21"/>
                <w:highlight w:val="none"/>
              </w:rPr>
            </w:pPr>
          </w:p>
        </w:tc>
        <w:tc>
          <w:tcPr>
            <w:tcW w:w="430" w:type="pct"/>
            <w:vAlign w:val="center"/>
          </w:tcPr>
          <w:p w14:paraId="5C309E94">
            <w:pPr>
              <w:jc w:val="center"/>
              <w:rPr>
                <w:rFonts w:hint="eastAsia" w:ascii="仿宋" w:hAnsi="仿宋" w:eastAsia="仿宋" w:cs="仿宋"/>
                <w:bCs/>
                <w:color w:val="auto"/>
                <w:szCs w:val="21"/>
                <w:highlight w:val="none"/>
              </w:rPr>
            </w:pPr>
          </w:p>
        </w:tc>
        <w:tc>
          <w:tcPr>
            <w:tcW w:w="430" w:type="pct"/>
            <w:vAlign w:val="center"/>
          </w:tcPr>
          <w:p w14:paraId="50407878">
            <w:pPr>
              <w:jc w:val="center"/>
              <w:rPr>
                <w:rFonts w:hint="eastAsia" w:ascii="仿宋" w:hAnsi="仿宋" w:eastAsia="仿宋" w:cs="仿宋"/>
                <w:bCs/>
                <w:color w:val="auto"/>
                <w:szCs w:val="21"/>
                <w:highlight w:val="none"/>
              </w:rPr>
            </w:pPr>
          </w:p>
        </w:tc>
        <w:tc>
          <w:tcPr>
            <w:tcW w:w="432" w:type="pct"/>
            <w:vAlign w:val="center"/>
          </w:tcPr>
          <w:p w14:paraId="545A723A">
            <w:pPr>
              <w:jc w:val="center"/>
              <w:rPr>
                <w:rFonts w:hint="eastAsia" w:ascii="仿宋" w:hAnsi="仿宋" w:eastAsia="仿宋" w:cs="仿宋"/>
                <w:bCs/>
                <w:color w:val="auto"/>
                <w:szCs w:val="21"/>
                <w:highlight w:val="none"/>
              </w:rPr>
            </w:pPr>
          </w:p>
        </w:tc>
        <w:tc>
          <w:tcPr>
            <w:tcW w:w="688" w:type="pct"/>
            <w:vAlign w:val="center"/>
          </w:tcPr>
          <w:p w14:paraId="2CDD04B8">
            <w:pPr>
              <w:jc w:val="center"/>
              <w:rPr>
                <w:rFonts w:hint="eastAsia" w:ascii="仿宋" w:hAnsi="仿宋" w:eastAsia="仿宋" w:cs="仿宋"/>
                <w:bCs/>
                <w:color w:val="auto"/>
                <w:szCs w:val="21"/>
                <w:highlight w:val="none"/>
              </w:rPr>
            </w:pPr>
          </w:p>
        </w:tc>
        <w:tc>
          <w:tcPr>
            <w:tcW w:w="551" w:type="pct"/>
            <w:vAlign w:val="center"/>
          </w:tcPr>
          <w:p w14:paraId="360AE508">
            <w:pPr>
              <w:jc w:val="center"/>
              <w:rPr>
                <w:rFonts w:hint="eastAsia" w:ascii="仿宋" w:hAnsi="仿宋" w:eastAsia="仿宋" w:cs="仿宋"/>
                <w:bCs/>
                <w:color w:val="auto"/>
                <w:szCs w:val="21"/>
                <w:highlight w:val="none"/>
              </w:rPr>
            </w:pPr>
          </w:p>
        </w:tc>
        <w:tc>
          <w:tcPr>
            <w:tcW w:w="447" w:type="pct"/>
            <w:vAlign w:val="center"/>
          </w:tcPr>
          <w:p w14:paraId="5B0123BE">
            <w:pPr>
              <w:jc w:val="center"/>
              <w:rPr>
                <w:rFonts w:hint="eastAsia" w:ascii="仿宋" w:hAnsi="仿宋" w:eastAsia="仿宋" w:cs="仿宋"/>
                <w:bCs/>
                <w:color w:val="auto"/>
                <w:szCs w:val="21"/>
                <w:highlight w:val="none"/>
              </w:rPr>
            </w:pPr>
          </w:p>
        </w:tc>
      </w:tr>
      <w:tr w14:paraId="5B0FB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001" w:type="pct"/>
            <w:gridSpan w:val="8"/>
            <w:vAlign w:val="center"/>
          </w:tcPr>
          <w:p w14:paraId="077382C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合计（元）</w:t>
            </w:r>
          </w:p>
        </w:tc>
        <w:tc>
          <w:tcPr>
            <w:tcW w:w="551" w:type="pct"/>
            <w:vAlign w:val="center"/>
          </w:tcPr>
          <w:p w14:paraId="756CF1F8">
            <w:pPr>
              <w:jc w:val="center"/>
              <w:rPr>
                <w:rFonts w:hint="eastAsia" w:ascii="仿宋" w:hAnsi="仿宋" w:eastAsia="仿宋" w:cs="仿宋"/>
                <w:bCs/>
                <w:color w:val="auto"/>
                <w:szCs w:val="21"/>
                <w:highlight w:val="none"/>
              </w:rPr>
            </w:pPr>
          </w:p>
        </w:tc>
        <w:tc>
          <w:tcPr>
            <w:tcW w:w="447" w:type="pct"/>
            <w:vAlign w:val="center"/>
          </w:tcPr>
          <w:p w14:paraId="6F8BA396">
            <w:pPr>
              <w:jc w:val="center"/>
              <w:rPr>
                <w:rFonts w:hint="eastAsia" w:ascii="仿宋" w:hAnsi="仿宋" w:eastAsia="仿宋" w:cs="仿宋"/>
                <w:bCs/>
                <w:color w:val="auto"/>
                <w:szCs w:val="21"/>
                <w:highlight w:val="none"/>
              </w:rPr>
            </w:pPr>
          </w:p>
        </w:tc>
      </w:tr>
    </w:tbl>
    <w:p w14:paraId="0437CA6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6B5BAAA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1、投标人应按照第四章“技术标准和要求”内容填写标的名称和数量等信息，现有内容为示例。</w:t>
      </w:r>
    </w:p>
    <w:p w14:paraId="36ADAF9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2、投标价格应包括投标人履行本项目合同（如果成交）所必须的所有成本费用和成交投标人应承担的一切费用。未列和没有填写的项目费用，采购人将视为已包括在投标价格中</w:t>
      </w:r>
    </w:p>
    <w:p w14:paraId="40360A4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433FD4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988B0A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BEE26D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A5447E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6E57BEF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746C7BA">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168FFEA">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242E8994">
      <w:pPr>
        <w:tabs>
          <w:tab w:val="center" w:pos="4832"/>
          <w:tab w:val="left" w:pos="7140"/>
        </w:tabs>
        <w:jc w:val="center"/>
        <w:outlineLvl w:val="1"/>
        <w:rPr>
          <w:rFonts w:hint="eastAsia" w:ascii="仿宋" w:hAnsi="仿宋" w:eastAsia="仿宋" w:cs="仿宋"/>
          <w:b/>
          <w:color w:val="auto"/>
          <w:sz w:val="24"/>
          <w:szCs w:val="24"/>
          <w:highlight w:val="none"/>
        </w:rPr>
      </w:pPr>
      <w:bookmarkStart w:id="119" w:name="_Toc10734"/>
      <w:bookmarkStart w:id="120" w:name="_Toc110707966"/>
      <w:bookmarkStart w:id="121" w:name="_Toc109941766"/>
      <w:bookmarkStart w:id="122" w:name="_Toc109921159"/>
      <w:bookmarkStart w:id="123" w:name="_Toc130252616"/>
      <w:bookmarkStart w:id="124" w:name="_Toc5147"/>
      <w:bookmarkStart w:id="125" w:name="_Toc4702"/>
      <w:r>
        <w:rPr>
          <w:rFonts w:hint="eastAsia" w:ascii="仿宋" w:hAnsi="仿宋" w:eastAsia="仿宋" w:cs="仿宋"/>
          <w:b/>
          <w:bCs/>
          <w:color w:val="auto"/>
          <w:sz w:val="24"/>
          <w:szCs w:val="24"/>
          <w:highlight w:val="none"/>
        </w:rPr>
        <w:t>四、</w:t>
      </w:r>
      <w:bookmarkEnd w:id="119"/>
      <w:bookmarkEnd w:id="120"/>
      <w:bookmarkEnd w:id="121"/>
      <w:bookmarkEnd w:id="122"/>
      <w:bookmarkEnd w:id="123"/>
      <w:r>
        <w:rPr>
          <w:rFonts w:hint="eastAsia" w:ascii="仿宋" w:hAnsi="仿宋" w:eastAsia="仿宋" w:cs="仿宋"/>
          <w:b/>
          <w:color w:val="auto"/>
          <w:sz w:val="24"/>
          <w:szCs w:val="24"/>
          <w:highlight w:val="none"/>
        </w:rPr>
        <w:t>中小企业投标价格统计表</w:t>
      </w:r>
      <w:bookmarkEnd w:id="124"/>
      <w:bookmarkEnd w:id="125"/>
    </w:p>
    <w:p w14:paraId="2860B6E1">
      <w:pPr>
        <w:spacing w:line="360" w:lineRule="auto"/>
        <w:ind w:left="8040" w:hanging="8040" w:hangingChars="33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单位：元</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2"/>
        <w:gridCol w:w="1298"/>
        <w:gridCol w:w="1445"/>
        <w:gridCol w:w="2153"/>
        <w:gridCol w:w="1292"/>
        <w:gridCol w:w="2256"/>
      </w:tblGrid>
      <w:tr w14:paraId="100C3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842" w:type="dxa"/>
            <w:vAlign w:val="center"/>
          </w:tcPr>
          <w:p w14:paraId="21548D7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1298" w:type="dxa"/>
            <w:vAlign w:val="center"/>
          </w:tcPr>
          <w:p w14:paraId="43C4AD48">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标的</w:t>
            </w:r>
            <w:r>
              <w:rPr>
                <w:rFonts w:hint="eastAsia" w:ascii="仿宋" w:hAnsi="仿宋" w:eastAsia="仿宋" w:cs="仿宋"/>
                <w:bCs/>
                <w:color w:val="auto"/>
                <w:sz w:val="24"/>
                <w:szCs w:val="24"/>
                <w:highlight w:val="none"/>
              </w:rPr>
              <w:t>名称</w:t>
            </w:r>
          </w:p>
        </w:tc>
        <w:tc>
          <w:tcPr>
            <w:tcW w:w="1445" w:type="dxa"/>
            <w:vAlign w:val="center"/>
          </w:tcPr>
          <w:p w14:paraId="6B3877D3">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w:t>
            </w:r>
          </w:p>
        </w:tc>
        <w:tc>
          <w:tcPr>
            <w:tcW w:w="2153" w:type="dxa"/>
            <w:vAlign w:val="center"/>
          </w:tcPr>
          <w:p w14:paraId="7059BD3B">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制造商企业规模</w:t>
            </w:r>
          </w:p>
        </w:tc>
        <w:tc>
          <w:tcPr>
            <w:tcW w:w="1292" w:type="dxa"/>
            <w:vAlign w:val="center"/>
          </w:tcPr>
          <w:p w14:paraId="3DBD69B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2256" w:type="dxa"/>
            <w:vAlign w:val="center"/>
          </w:tcPr>
          <w:p w14:paraId="268D268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5FEA6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EC7A2A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1298" w:type="dxa"/>
            <w:vAlign w:val="center"/>
          </w:tcPr>
          <w:p w14:paraId="0BB6CA11">
            <w:pPr>
              <w:jc w:val="center"/>
              <w:rPr>
                <w:rFonts w:hint="eastAsia" w:ascii="仿宋" w:hAnsi="仿宋" w:eastAsia="仿宋" w:cs="仿宋"/>
                <w:bCs/>
                <w:color w:val="auto"/>
                <w:sz w:val="24"/>
                <w:szCs w:val="24"/>
                <w:highlight w:val="none"/>
              </w:rPr>
            </w:pPr>
          </w:p>
        </w:tc>
        <w:tc>
          <w:tcPr>
            <w:tcW w:w="1445" w:type="dxa"/>
            <w:vAlign w:val="center"/>
          </w:tcPr>
          <w:p w14:paraId="7E729DE7">
            <w:pPr>
              <w:jc w:val="center"/>
              <w:rPr>
                <w:rFonts w:hint="eastAsia" w:ascii="仿宋" w:hAnsi="仿宋" w:eastAsia="仿宋" w:cs="仿宋"/>
                <w:bCs/>
                <w:color w:val="auto"/>
                <w:sz w:val="24"/>
                <w:szCs w:val="24"/>
                <w:highlight w:val="none"/>
              </w:rPr>
            </w:pPr>
          </w:p>
        </w:tc>
        <w:tc>
          <w:tcPr>
            <w:tcW w:w="2153" w:type="dxa"/>
            <w:vAlign w:val="center"/>
          </w:tcPr>
          <w:p w14:paraId="0E209BCF">
            <w:pPr>
              <w:jc w:val="center"/>
              <w:rPr>
                <w:rFonts w:hint="eastAsia" w:ascii="仿宋" w:hAnsi="仿宋" w:eastAsia="仿宋" w:cs="仿宋"/>
                <w:bCs/>
                <w:color w:val="auto"/>
                <w:sz w:val="24"/>
                <w:szCs w:val="24"/>
                <w:highlight w:val="none"/>
              </w:rPr>
            </w:pPr>
          </w:p>
        </w:tc>
        <w:tc>
          <w:tcPr>
            <w:tcW w:w="1292" w:type="dxa"/>
            <w:vAlign w:val="center"/>
          </w:tcPr>
          <w:p w14:paraId="14061577">
            <w:pPr>
              <w:jc w:val="center"/>
              <w:rPr>
                <w:rFonts w:hint="eastAsia" w:ascii="仿宋" w:hAnsi="仿宋" w:eastAsia="仿宋" w:cs="仿宋"/>
                <w:bCs/>
                <w:color w:val="auto"/>
                <w:sz w:val="24"/>
                <w:szCs w:val="24"/>
                <w:highlight w:val="none"/>
              </w:rPr>
            </w:pPr>
          </w:p>
        </w:tc>
        <w:tc>
          <w:tcPr>
            <w:tcW w:w="2256" w:type="dxa"/>
            <w:vAlign w:val="center"/>
          </w:tcPr>
          <w:p w14:paraId="487231B9">
            <w:pPr>
              <w:jc w:val="center"/>
              <w:rPr>
                <w:rFonts w:hint="eastAsia" w:ascii="仿宋" w:hAnsi="仿宋" w:eastAsia="仿宋" w:cs="仿宋"/>
                <w:bCs/>
                <w:color w:val="auto"/>
                <w:sz w:val="24"/>
                <w:szCs w:val="24"/>
                <w:highlight w:val="none"/>
              </w:rPr>
            </w:pPr>
          </w:p>
        </w:tc>
      </w:tr>
      <w:tr w14:paraId="6E3B3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EBB2F4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1298" w:type="dxa"/>
            <w:vAlign w:val="center"/>
          </w:tcPr>
          <w:p w14:paraId="2E11F9D5">
            <w:pPr>
              <w:jc w:val="center"/>
              <w:rPr>
                <w:rFonts w:hint="eastAsia" w:ascii="仿宋" w:hAnsi="仿宋" w:eastAsia="仿宋" w:cs="仿宋"/>
                <w:bCs/>
                <w:color w:val="auto"/>
                <w:sz w:val="24"/>
                <w:szCs w:val="24"/>
                <w:highlight w:val="none"/>
              </w:rPr>
            </w:pPr>
          </w:p>
        </w:tc>
        <w:tc>
          <w:tcPr>
            <w:tcW w:w="1445" w:type="dxa"/>
            <w:vAlign w:val="center"/>
          </w:tcPr>
          <w:p w14:paraId="02AA32F4">
            <w:pPr>
              <w:jc w:val="center"/>
              <w:rPr>
                <w:rFonts w:hint="eastAsia" w:ascii="仿宋" w:hAnsi="仿宋" w:eastAsia="仿宋" w:cs="仿宋"/>
                <w:bCs/>
                <w:color w:val="auto"/>
                <w:sz w:val="24"/>
                <w:szCs w:val="24"/>
                <w:highlight w:val="none"/>
              </w:rPr>
            </w:pPr>
          </w:p>
        </w:tc>
        <w:tc>
          <w:tcPr>
            <w:tcW w:w="2153" w:type="dxa"/>
            <w:vAlign w:val="center"/>
          </w:tcPr>
          <w:p w14:paraId="5671748F">
            <w:pPr>
              <w:jc w:val="center"/>
              <w:rPr>
                <w:rFonts w:hint="eastAsia" w:ascii="仿宋" w:hAnsi="仿宋" w:eastAsia="仿宋" w:cs="仿宋"/>
                <w:bCs/>
                <w:color w:val="auto"/>
                <w:sz w:val="24"/>
                <w:szCs w:val="24"/>
                <w:highlight w:val="none"/>
              </w:rPr>
            </w:pPr>
          </w:p>
        </w:tc>
        <w:tc>
          <w:tcPr>
            <w:tcW w:w="1292" w:type="dxa"/>
            <w:vAlign w:val="center"/>
          </w:tcPr>
          <w:p w14:paraId="59917B73">
            <w:pPr>
              <w:jc w:val="center"/>
              <w:rPr>
                <w:rFonts w:hint="eastAsia" w:ascii="仿宋" w:hAnsi="仿宋" w:eastAsia="仿宋" w:cs="仿宋"/>
                <w:bCs/>
                <w:color w:val="auto"/>
                <w:sz w:val="24"/>
                <w:szCs w:val="24"/>
                <w:highlight w:val="none"/>
              </w:rPr>
            </w:pPr>
          </w:p>
        </w:tc>
        <w:tc>
          <w:tcPr>
            <w:tcW w:w="2256" w:type="dxa"/>
            <w:vAlign w:val="center"/>
          </w:tcPr>
          <w:p w14:paraId="3D39D207">
            <w:pPr>
              <w:jc w:val="center"/>
              <w:rPr>
                <w:rFonts w:hint="eastAsia" w:ascii="仿宋" w:hAnsi="仿宋" w:eastAsia="仿宋" w:cs="仿宋"/>
                <w:bCs/>
                <w:color w:val="auto"/>
                <w:sz w:val="24"/>
                <w:szCs w:val="24"/>
                <w:highlight w:val="none"/>
              </w:rPr>
            </w:pPr>
          </w:p>
        </w:tc>
      </w:tr>
      <w:tr w14:paraId="3D149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71769D5B">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1298" w:type="dxa"/>
            <w:vAlign w:val="center"/>
          </w:tcPr>
          <w:p w14:paraId="6E7F96FB">
            <w:pPr>
              <w:jc w:val="center"/>
              <w:rPr>
                <w:rFonts w:hint="eastAsia" w:ascii="仿宋" w:hAnsi="仿宋" w:eastAsia="仿宋" w:cs="仿宋"/>
                <w:bCs/>
                <w:color w:val="auto"/>
                <w:sz w:val="24"/>
                <w:szCs w:val="24"/>
                <w:highlight w:val="none"/>
              </w:rPr>
            </w:pPr>
          </w:p>
        </w:tc>
        <w:tc>
          <w:tcPr>
            <w:tcW w:w="1445" w:type="dxa"/>
            <w:vAlign w:val="center"/>
          </w:tcPr>
          <w:p w14:paraId="2FCFFCD1">
            <w:pPr>
              <w:jc w:val="center"/>
              <w:rPr>
                <w:rFonts w:hint="eastAsia" w:ascii="仿宋" w:hAnsi="仿宋" w:eastAsia="仿宋" w:cs="仿宋"/>
                <w:bCs/>
                <w:color w:val="auto"/>
                <w:sz w:val="24"/>
                <w:szCs w:val="24"/>
                <w:highlight w:val="none"/>
              </w:rPr>
            </w:pPr>
          </w:p>
        </w:tc>
        <w:tc>
          <w:tcPr>
            <w:tcW w:w="2153" w:type="dxa"/>
            <w:vAlign w:val="center"/>
          </w:tcPr>
          <w:p w14:paraId="5922AB7A">
            <w:pPr>
              <w:jc w:val="center"/>
              <w:rPr>
                <w:rFonts w:hint="eastAsia" w:ascii="仿宋" w:hAnsi="仿宋" w:eastAsia="仿宋" w:cs="仿宋"/>
                <w:bCs/>
                <w:color w:val="auto"/>
                <w:sz w:val="24"/>
                <w:szCs w:val="24"/>
                <w:highlight w:val="none"/>
              </w:rPr>
            </w:pPr>
          </w:p>
        </w:tc>
        <w:tc>
          <w:tcPr>
            <w:tcW w:w="1292" w:type="dxa"/>
            <w:vAlign w:val="center"/>
          </w:tcPr>
          <w:p w14:paraId="22194116">
            <w:pPr>
              <w:jc w:val="center"/>
              <w:rPr>
                <w:rFonts w:hint="eastAsia" w:ascii="仿宋" w:hAnsi="仿宋" w:eastAsia="仿宋" w:cs="仿宋"/>
                <w:bCs/>
                <w:color w:val="auto"/>
                <w:sz w:val="24"/>
                <w:szCs w:val="24"/>
                <w:highlight w:val="none"/>
              </w:rPr>
            </w:pPr>
          </w:p>
        </w:tc>
        <w:tc>
          <w:tcPr>
            <w:tcW w:w="2256" w:type="dxa"/>
            <w:vAlign w:val="center"/>
          </w:tcPr>
          <w:p w14:paraId="3DE2B3B2">
            <w:pPr>
              <w:jc w:val="center"/>
              <w:rPr>
                <w:rFonts w:hint="eastAsia" w:ascii="仿宋" w:hAnsi="仿宋" w:eastAsia="仿宋" w:cs="仿宋"/>
                <w:bCs/>
                <w:color w:val="auto"/>
                <w:sz w:val="24"/>
                <w:szCs w:val="24"/>
                <w:highlight w:val="none"/>
              </w:rPr>
            </w:pPr>
          </w:p>
        </w:tc>
      </w:tr>
      <w:tr w14:paraId="7BCAB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5912393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1298" w:type="dxa"/>
            <w:vAlign w:val="center"/>
          </w:tcPr>
          <w:p w14:paraId="2B2928CE">
            <w:pPr>
              <w:jc w:val="center"/>
              <w:rPr>
                <w:rFonts w:hint="eastAsia" w:ascii="仿宋" w:hAnsi="仿宋" w:eastAsia="仿宋" w:cs="仿宋"/>
                <w:bCs/>
                <w:color w:val="auto"/>
                <w:sz w:val="24"/>
                <w:szCs w:val="24"/>
                <w:highlight w:val="none"/>
              </w:rPr>
            </w:pPr>
          </w:p>
        </w:tc>
        <w:tc>
          <w:tcPr>
            <w:tcW w:w="1445" w:type="dxa"/>
            <w:vAlign w:val="center"/>
          </w:tcPr>
          <w:p w14:paraId="650F210E">
            <w:pPr>
              <w:jc w:val="center"/>
              <w:rPr>
                <w:rFonts w:hint="eastAsia" w:ascii="仿宋" w:hAnsi="仿宋" w:eastAsia="仿宋" w:cs="仿宋"/>
                <w:bCs/>
                <w:color w:val="auto"/>
                <w:sz w:val="24"/>
                <w:szCs w:val="24"/>
                <w:highlight w:val="none"/>
              </w:rPr>
            </w:pPr>
          </w:p>
        </w:tc>
        <w:tc>
          <w:tcPr>
            <w:tcW w:w="2153" w:type="dxa"/>
            <w:vAlign w:val="center"/>
          </w:tcPr>
          <w:p w14:paraId="1073F519">
            <w:pPr>
              <w:jc w:val="center"/>
              <w:rPr>
                <w:rFonts w:hint="eastAsia" w:ascii="仿宋" w:hAnsi="仿宋" w:eastAsia="仿宋" w:cs="仿宋"/>
                <w:bCs/>
                <w:color w:val="auto"/>
                <w:sz w:val="24"/>
                <w:szCs w:val="24"/>
                <w:highlight w:val="none"/>
              </w:rPr>
            </w:pPr>
          </w:p>
        </w:tc>
        <w:tc>
          <w:tcPr>
            <w:tcW w:w="1292" w:type="dxa"/>
            <w:vAlign w:val="center"/>
          </w:tcPr>
          <w:p w14:paraId="4B8E7FD8">
            <w:pPr>
              <w:jc w:val="center"/>
              <w:rPr>
                <w:rFonts w:hint="eastAsia" w:ascii="仿宋" w:hAnsi="仿宋" w:eastAsia="仿宋" w:cs="仿宋"/>
                <w:bCs/>
                <w:color w:val="auto"/>
                <w:sz w:val="24"/>
                <w:szCs w:val="24"/>
                <w:highlight w:val="none"/>
              </w:rPr>
            </w:pPr>
          </w:p>
        </w:tc>
        <w:tc>
          <w:tcPr>
            <w:tcW w:w="2256" w:type="dxa"/>
            <w:vAlign w:val="center"/>
          </w:tcPr>
          <w:p w14:paraId="34CB716A">
            <w:pPr>
              <w:jc w:val="center"/>
              <w:rPr>
                <w:rFonts w:hint="eastAsia" w:ascii="仿宋" w:hAnsi="仿宋" w:eastAsia="仿宋" w:cs="仿宋"/>
                <w:bCs/>
                <w:color w:val="auto"/>
                <w:sz w:val="24"/>
                <w:szCs w:val="24"/>
                <w:highlight w:val="none"/>
              </w:rPr>
            </w:pPr>
          </w:p>
        </w:tc>
      </w:tr>
      <w:tr w14:paraId="38B62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29FD96A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1298" w:type="dxa"/>
            <w:vAlign w:val="center"/>
          </w:tcPr>
          <w:p w14:paraId="008927F7">
            <w:pPr>
              <w:jc w:val="center"/>
              <w:rPr>
                <w:rFonts w:hint="eastAsia" w:ascii="仿宋" w:hAnsi="仿宋" w:eastAsia="仿宋" w:cs="仿宋"/>
                <w:bCs/>
                <w:color w:val="auto"/>
                <w:sz w:val="24"/>
                <w:szCs w:val="24"/>
                <w:highlight w:val="none"/>
              </w:rPr>
            </w:pPr>
          </w:p>
        </w:tc>
        <w:tc>
          <w:tcPr>
            <w:tcW w:w="1445" w:type="dxa"/>
            <w:vAlign w:val="center"/>
          </w:tcPr>
          <w:p w14:paraId="28CED10D">
            <w:pPr>
              <w:jc w:val="center"/>
              <w:rPr>
                <w:rFonts w:hint="eastAsia" w:ascii="仿宋" w:hAnsi="仿宋" w:eastAsia="仿宋" w:cs="仿宋"/>
                <w:bCs/>
                <w:color w:val="auto"/>
                <w:sz w:val="24"/>
                <w:szCs w:val="24"/>
                <w:highlight w:val="none"/>
              </w:rPr>
            </w:pPr>
          </w:p>
        </w:tc>
        <w:tc>
          <w:tcPr>
            <w:tcW w:w="2153" w:type="dxa"/>
            <w:vAlign w:val="center"/>
          </w:tcPr>
          <w:p w14:paraId="21369A8B">
            <w:pPr>
              <w:jc w:val="center"/>
              <w:rPr>
                <w:rFonts w:hint="eastAsia" w:ascii="仿宋" w:hAnsi="仿宋" w:eastAsia="仿宋" w:cs="仿宋"/>
                <w:bCs/>
                <w:color w:val="auto"/>
                <w:sz w:val="24"/>
                <w:szCs w:val="24"/>
                <w:highlight w:val="none"/>
              </w:rPr>
            </w:pPr>
          </w:p>
        </w:tc>
        <w:tc>
          <w:tcPr>
            <w:tcW w:w="1292" w:type="dxa"/>
            <w:vAlign w:val="center"/>
          </w:tcPr>
          <w:p w14:paraId="46D39C07">
            <w:pPr>
              <w:jc w:val="center"/>
              <w:rPr>
                <w:rFonts w:hint="eastAsia" w:ascii="仿宋" w:hAnsi="仿宋" w:eastAsia="仿宋" w:cs="仿宋"/>
                <w:bCs/>
                <w:color w:val="auto"/>
                <w:sz w:val="24"/>
                <w:szCs w:val="24"/>
                <w:highlight w:val="none"/>
              </w:rPr>
            </w:pPr>
          </w:p>
        </w:tc>
        <w:tc>
          <w:tcPr>
            <w:tcW w:w="2256" w:type="dxa"/>
            <w:vAlign w:val="center"/>
          </w:tcPr>
          <w:p w14:paraId="3F158C5A">
            <w:pPr>
              <w:jc w:val="center"/>
              <w:rPr>
                <w:rFonts w:hint="eastAsia" w:ascii="仿宋" w:hAnsi="仿宋" w:eastAsia="仿宋" w:cs="仿宋"/>
                <w:bCs/>
                <w:color w:val="auto"/>
                <w:sz w:val="24"/>
                <w:szCs w:val="24"/>
                <w:highlight w:val="none"/>
              </w:rPr>
            </w:pPr>
          </w:p>
        </w:tc>
      </w:tr>
      <w:tr w14:paraId="4C821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vAlign w:val="center"/>
          </w:tcPr>
          <w:p w14:paraId="3ED1F98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tc>
        <w:tc>
          <w:tcPr>
            <w:tcW w:w="1298" w:type="dxa"/>
            <w:vAlign w:val="center"/>
          </w:tcPr>
          <w:p w14:paraId="185FA424">
            <w:pPr>
              <w:jc w:val="center"/>
              <w:rPr>
                <w:rFonts w:hint="eastAsia" w:ascii="仿宋" w:hAnsi="仿宋" w:eastAsia="仿宋" w:cs="仿宋"/>
                <w:bCs/>
                <w:color w:val="auto"/>
                <w:sz w:val="24"/>
                <w:szCs w:val="24"/>
                <w:highlight w:val="none"/>
              </w:rPr>
            </w:pPr>
          </w:p>
        </w:tc>
        <w:tc>
          <w:tcPr>
            <w:tcW w:w="1445" w:type="dxa"/>
            <w:vAlign w:val="center"/>
          </w:tcPr>
          <w:p w14:paraId="2828AD9B">
            <w:pPr>
              <w:jc w:val="center"/>
              <w:rPr>
                <w:rFonts w:hint="eastAsia" w:ascii="仿宋" w:hAnsi="仿宋" w:eastAsia="仿宋" w:cs="仿宋"/>
                <w:bCs/>
                <w:color w:val="auto"/>
                <w:sz w:val="24"/>
                <w:szCs w:val="24"/>
                <w:highlight w:val="none"/>
              </w:rPr>
            </w:pPr>
          </w:p>
        </w:tc>
        <w:tc>
          <w:tcPr>
            <w:tcW w:w="2153" w:type="dxa"/>
            <w:vAlign w:val="center"/>
          </w:tcPr>
          <w:p w14:paraId="3B98D373">
            <w:pPr>
              <w:jc w:val="center"/>
              <w:rPr>
                <w:rFonts w:hint="eastAsia" w:ascii="仿宋" w:hAnsi="仿宋" w:eastAsia="仿宋" w:cs="仿宋"/>
                <w:bCs/>
                <w:color w:val="auto"/>
                <w:sz w:val="24"/>
                <w:szCs w:val="24"/>
                <w:highlight w:val="none"/>
              </w:rPr>
            </w:pPr>
          </w:p>
        </w:tc>
        <w:tc>
          <w:tcPr>
            <w:tcW w:w="1292" w:type="dxa"/>
            <w:vAlign w:val="center"/>
          </w:tcPr>
          <w:p w14:paraId="70F4A8D5">
            <w:pPr>
              <w:jc w:val="center"/>
              <w:rPr>
                <w:rFonts w:hint="eastAsia" w:ascii="仿宋" w:hAnsi="仿宋" w:eastAsia="仿宋" w:cs="仿宋"/>
                <w:bCs/>
                <w:color w:val="auto"/>
                <w:sz w:val="24"/>
                <w:szCs w:val="24"/>
                <w:highlight w:val="none"/>
              </w:rPr>
            </w:pPr>
          </w:p>
        </w:tc>
        <w:tc>
          <w:tcPr>
            <w:tcW w:w="2256" w:type="dxa"/>
            <w:vAlign w:val="center"/>
          </w:tcPr>
          <w:p w14:paraId="74FDED36">
            <w:pPr>
              <w:jc w:val="center"/>
              <w:rPr>
                <w:rFonts w:hint="eastAsia" w:ascii="仿宋" w:hAnsi="仿宋" w:eastAsia="仿宋" w:cs="仿宋"/>
                <w:bCs/>
                <w:color w:val="auto"/>
                <w:sz w:val="24"/>
                <w:szCs w:val="24"/>
                <w:highlight w:val="none"/>
              </w:rPr>
            </w:pPr>
          </w:p>
        </w:tc>
      </w:tr>
      <w:tr w14:paraId="1637A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5738" w:type="dxa"/>
            <w:gridSpan w:val="4"/>
            <w:vAlign w:val="center"/>
          </w:tcPr>
          <w:p w14:paraId="35DD64F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①制造商（大型企业）投标价格小计</w:t>
            </w:r>
          </w:p>
        </w:tc>
        <w:tc>
          <w:tcPr>
            <w:tcW w:w="1292" w:type="dxa"/>
            <w:vAlign w:val="center"/>
          </w:tcPr>
          <w:p w14:paraId="097777EE">
            <w:pPr>
              <w:jc w:val="center"/>
              <w:rPr>
                <w:rFonts w:hint="eastAsia" w:ascii="仿宋" w:hAnsi="仿宋" w:eastAsia="仿宋" w:cs="仿宋"/>
                <w:bCs/>
                <w:color w:val="auto"/>
                <w:sz w:val="24"/>
                <w:szCs w:val="24"/>
                <w:highlight w:val="none"/>
              </w:rPr>
            </w:pPr>
          </w:p>
        </w:tc>
        <w:tc>
          <w:tcPr>
            <w:tcW w:w="2256" w:type="dxa"/>
            <w:vAlign w:val="center"/>
          </w:tcPr>
          <w:p w14:paraId="4740A646">
            <w:pPr>
              <w:rPr>
                <w:rFonts w:hint="eastAsia" w:ascii="仿宋" w:hAnsi="仿宋" w:eastAsia="仿宋" w:cs="仿宋"/>
                <w:bCs/>
                <w:color w:val="auto"/>
                <w:sz w:val="24"/>
                <w:szCs w:val="24"/>
                <w:highlight w:val="none"/>
              </w:rPr>
            </w:pPr>
          </w:p>
        </w:tc>
      </w:tr>
      <w:tr w14:paraId="7EBA1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5738" w:type="dxa"/>
            <w:gridSpan w:val="4"/>
            <w:vAlign w:val="center"/>
          </w:tcPr>
          <w:p w14:paraId="707B71D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②制造商（中型企业）投标价格小计</w:t>
            </w:r>
          </w:p>
        </w:tc>
        <w:tc>
          <w:tcPr>
            <w:tcW w:w="1292" w:type="dxa"/>
            <w:vAlign w:val="center"/>
          </w:tcPr>
          <w:p w14:paraId="4ACB7C61">
            <w:pPr>
              <w:jc w:val="center"/>
              <w:rPr>
                <w:rFonts w:hint="eastAsia" w:ascii="仿宋" w:hAnsi="仿宋" w:eastAsia="仿宋" w:cs="仿宋"/>
                <w:bCs/>
                <w:color w:val="auto"/>
                <w:sz w:val="24"/>
                <w:szCs w:val="24"/>
                <w:highlight w:val="none"/>
              </w:rPr>
            </w:pPr>
          </w:p>
        </w:tc>
        <w:tc>
          <w:tcPr>
            <w:tcW w:w="2256" w:type="dxa"/>
            <w:vAlign w:val="center"/>
          </w:tcPr>
          <w:p w14:paraId="7B6F7A77">
            <w:pPr>
              <w:jc w:val="center"/>
              <w:rPr>
                <w:rFonts w:hint="eastAsia" w:ascii="仿宋" w:hAnsi="仿宋" w:eastAsia="仿宋" w:cs="仿宋"/>
                <w:bCs/>
                <w:color w:val="auto"/>
                <w:sz w:val="24"/>
                <w:szCs w:val="24"/>
                <w:highlight w:val="none"/>
              </w:rPr>
            </w:pPr>
          </w:p>
        </w:tc>
      </w:tr>
      <w:tr w14:paraId="7E473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430F671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③制造商（小型企业）投标价格小计</w:t>
            </w:r>
          </w:p>
        </w:tc>
        <w:tc>
          <w:tcPr>
            <w:tcW w:w="1292" w:type="dxa"/>
            <w:vAlign w:val="center"/>
          </w:tcPr>
          <w:p w14:paraId="40F365A1">
            <w:pPr>
              <w:jc w:val="center"/>
              <w:rPr>
                <w:rFonts w:hint="eastAsia" w:ascii="仿宋" w:hAnsi="仿宋" w:eastAsia="仿宋" w:cs="仿宋"/>
                <w:bCs/>
                <w:color w:val="auto"/>
                <w:sz w:val="24"/>
                <w:szCs w:val="24"/>
                <w:highlight w:val="none"/>
              </w:rPr>
            </w:pPr>
          </w:p>
        </w:tc>
        <w:tc>
          <w:tcPr>
            <w:tcW w:w="2256" w:type="dxa"/>
            <w:vAlign w:val="center"/>
          </w:tcPr>
          <w:p w14:paraId="548E9DC4">
            <w:pPr>
              <w:jc w:val="center"/>
              <w:rPr>
                <w:rFonts w:hint="eastAsia" w:ascii="仿宋" w:hAnsi="仿宋" w:eastAsia="仿宋" w:cs="仿宋"/>
                <w:bCs/>
                <w:color w:val="auto"/>
                <w:sz w:val="24"/>
                <w:szCs w:val="24"/>
                <w:highlight w:val="none"/>
              </w:rPr>
            </w:pPr>
          </w:p>
        </w:tc>
      </w:tr>
      <w:tr w14:paraId="020CF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738" w:type="dxa"/>
            <w:gridSpan w:val="4"/>
            <w:vAlign w:val="center"/>
          </w:tcPr>
          <w:p w14:paraId="0E39379F">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④制造商（微型企业）投标价格小计</w:t>
            </w:r>
          </w:p>
        </w:tc>
        <w:tc>
          <w:tcPr>
            <w:tcW w:w="1292" w:type="dxa"/>
            <w:vAlign w:val="center"/>
          </w:tcPr>
          <w:p w14:paraId="44177F8A">
            <w:pPr>
              <w:jc w:val="center"/>
              <w:rPr>
                <w:rFonts w:hint="eastAsia" w:ascii="仿宋" w:hAnsi="仿宋" w:eastAsia="仿宋" w:cs="仿宋"/>
                <w:bCs/>
                <w:color w:val="auto"/>
                <w:sz w:val="24"/>
                <w:szCs w:val="24"/>
                <w:highlight w:val="none"/>
              </w:rPr>
            </w:pPr>
          </w:p>
        </w:tc>
        <w:tc>
          <w:tcPr>
            <w:tcW w:w="2256" w:type="dxa"/>
            <w:vAlign w:val="center"/>
          </w:tcPr>
          <w:p w14:paraId="5484B47D">
            <w:pPr>
              <w:jc w:val="center"/>
              <w:rPr>
                <w:rFonts w:hint="eastAsia" w:ascii="仿宋" w:hAnsi="仿宋" w:eastAsia="仿宋" w:cs="仿宋"/>
                <w:bCs/>
                <w:color w:val="auto"/>
                <w:sz w:val="24"/>
                <w:szCs w:val="24"/>
                <w:highlight w:val="none"/>
              </w:rPr>
            </w:pPr>
          </w:p>
        </w:tc>
      </w:tr>
      <w:tr w14:paraId="7ED90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5738" w:type="dxa"/>
            <w:gridSpan w:val="4"/>
            <w:vAlign w:val="center"/>
          </w:tcPr>
          <w:p w14:paraId="45EE277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合计（①+②+③+④）</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3548" w:type="dxa"/>
            <w:gridSpan w:val="2"/>
            <w:vAlign w:val="center"/>
          </w:tcPr>
          <w:p w14:paraId="5C6DE437">
            <w:pPr>
              <w:jc w:val="center"/>
              <w:rPr>
                <w:rFonts w:hint="eastAsia" w:ascii="仿宋" w:hAnsi="仿宋" w:eastAsia="仿宋" w:cs="仿宋"/>
                <w:bCs/>
                <w:color w:val="auto"/>
                <w:sz w:val="24"/>
                <w:szCs w:val="24"/>
                <w:highlight w:val="none"/>
              </w:rPr>
            </w:pPr>
          </w:p>
        </w:tc>
      </w:tr>
      <w:tr w14:paraId="48600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2" w:hRule="atLeast"/>
          <w:jc w:val="center"/>
        </w:trPr>
        <w:tc>
          <w:tcPr>
            <w:tcW w:w="9286" w:type="dxa"/>
            <w:gridSpan w:val="6"/>
            <w:vAlign w:val="center"/>
          </w:tcPr>
          <w:p w14:paraId="6628C2F0">
            <w:pPr>
              <w:numPr>
                <w:ilvl w:val="0"/>
                <w:numId w:val="3"/>
              </w:num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制造商（中小企业）投标价格占总投标价格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%（②+③+④/（①+②+③+④））</w:t>
            </w:r>
          </w:p>
          <w:p w14:paraId="44CB5A9D">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2、制造商（小微企业）投标价格占总投标价格</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%（③+④/（①+②+③+④））</w:t>
            </w:r>
          </w:p>
        </w:tc>
      </w:tr>
    </w:tbl>
    <w:p w14:paraId="2645A9A1">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598954E9">
      <w:p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1、中小企业，是指在中华人民共和国境内依法设立，依据国务院批准的中小企业划分标准确定的中型企业、小型企业和微型企业。</w:t>
      </w:r>
    </w:p>
    <w:p w14:paraId="048B5D2B">
      <w:pPr>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color w:val="auto"/>
          <w:sz w:val="24"/>
          <w:szCs w:val="24"/>
          <w:highlight w:val="none"/>
        </w:rPr>
        <w:t>制造商企业规模分为：</w:t>
      </w:r>
      <w:r>
        <w:rPr>
          <w:rFonts w:hint="eastAsia" w:ascii="仿宋" w:hAnsi="仿宋" w:eastAsia="仿宋" w:cs="仿宋"/>
          <w:bCs/>
          <w:color w:val="auto"/>
          <w:sz w:val="24"/>
          <w:szCs w:val="24"/>
          <w:highlight w:val="none"/>
        </w:rPr>
        <w:t>大型企业、中型企业、小型企业和微型企业。</w:t>
      </w:r>
    </w:p>
    <w:p w14:paraId="7181EB0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pacing w:val="6"/>
          <w:sz w:val="24"/>
          <w:szCs w:val="24"/>
          <w:highlight w:val="none"/>
        </w:rPr>
        <w:t>标的所属行业（工业）的中小企业判断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0222C0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4、残疾人福利性单位和监狱企业视同小型、微型企业。</w:t>
      </w:r>
    </w:p>
    <w:p w14:paraId="5A00FE0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5、标的名称必须与投标价格明细表中一致。</w:t>
      </w:r>
    </w:p>
    <w:p w14:paraId="731F71A5">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6、我公司声明上述内容全部真实有效。</w:t>
      </w:r>
    </w:p>
    <w:p w14:paraId="1857ABD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6695743">
      <w:pPr>
        <w:rPr>
          <w:color w:val="auto"/>
          <w:highlight w:val="none"/>
        </w:rPr>
      </w:pPr>
    </w:p>
    <w:p w14:paraId="4245899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0BC678F">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56DD9C89">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p>
    <w:p w14:paraId="0ECB0778">
      <w:pPr>
        <w:rPr>
          <w:rFonts w:hint="eastAsia" w:ascii="仿宋" w:hAnsi="仿宋" w:eastAsia="仿宋" w:cs="仿宋"/>
          <w:b/>
          <w:color w:val="auto"/>
          <w:sz w:val="24"/>
          <w:szCs w:val="24"/>
          <w:highlight w:val="none"/>
        </w:rPr>
        <w:sectPr>
          <w:pgSz w:w="11906" w:h="16838"/>
          <w:pgMar w:top="1134" w:right="1417" w:bottom="1134" w:left="1417" w:header="851" w:footer="992" w:gutter="0"/>
          <w:cols w:space="0" w:num="1"/>
          <w:docGrid w:linePitch="312" w:charSpace="0"/>
        </w:sectPr>
      </w:pPr>
      <w:bookmarkStart w:id="126" w:name="_Toc30686"/>
      <w:bookmarkStart w:id="127" w:name="_Toc109921161"/>
      <w:bookmarkStart w:id="128" w:name="_Toc27046"/>
      <w:bookmarkStart w:id="129" w:name="_Toc109941768"/>
      <w:bookmarkStart w:id="130" w:name="_Toc130252618"/>
      <w:bookmarkStart w:id="131" w:name="_Toc110707968"/>
      <w:bookmarkStart w:id="132" w:name="_Toc17089"/>
    </w:p>
    <w:p w14:paraId="1DEA416A">
      <w:pPr>
        <w:tabs>
          <w:tab w:val="center" w:pos="4832"/>
          <w:tab w:val="left" w:pos="7140"/>
        </w:tabs>
        <w:jc w:val="center"/>
        <w:outlineLvl w:val="1"/>
        <w:rPr>
          <w:rFonts w:hint="eastAsia" w:ascii="仿宋" w:hAnsi="仿宋" w:eastAsia="仿宋" w:cs="仿宋"/>
          <w:b/>
          <w:color w:val="auto"/>
          <w:sz w:val="24"/>
          <w:szCs w:val="24"/>
          <w:highlight w:val="none"/>
        </w:rPr>
      </w:pPr>
      <w:bookmarkStart w:id="133" w:name="_Toc18831"/>
      <w:bookmarkStart w:id="134" w:name="_Toc30902"/>
      <w:r>
        <w:rPr>
          <w:rFonts w:hint="eastAsia" w:ascii="仿宋" w:hAnsi="仿宋" w:eastAsia="仿宋" w:cs="仿宋"/>
          <w:b/>
          <w:color w:val="auto"/>
          <w:sz w:val="24"/>
          <w:szCs w:val="24"/>
          <w:highlight w:val="none"/>
        </w:rPr>
        <w:t>五、商务条款偏离表</w:t>
      </w:r>
      <w:bookmarkEnd w:id="126"/>
      <w:bookmarkEnd w:id="127"/>
      <w:bookmarkEnd w:id="128"/>
      <w:bookmarkEnd w:id="129"/>
      <w:bookmarkEnd w:id="130"/>
      <w:bookmarkEnd w:id="131"/>
      <w:bookmarkEnd w:id="132"/>
      <w:bookmarkEnd w:id="133"/>
      <w:bookmarkEnd w:id="134"/>
    </w:p>
    <w:p w14:paraId="3EDC498A">
      <w:pPr>
        <w:rPr>
          <w:rFonts w:hint="eastAsia" w:ascii="仿宋" w:hAnsi="仿宋" w:eastAsia="仿宋" w:cs="仿宋"/>
          <w:color w:val="auto"/>
          <w:highlight w:val="none"/>
        </w:rPr>
      </w:pPr>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3D12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23FDF84B">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612B21D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4EBD678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533A8C8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082CE32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499AF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12A71EF">
            <w:pPr>
              <w:jc w:val="center"/>
              <w:rPr>
                <w:rFonts w:hint="eastAsia" w:ascii="仿宋" w:hAnsi="仿宋" w:eastAsia="仿宋" w:cs="仿宋"/>
                <w:b/>
                <w:bCs/>
                <w:color w:val="auto"/>
                <w:sz w:val="24"/>
                <w:szCs w:val="24"/>
                <w:highlight w:val="none"/>
              </w:rPr>
            </w:pPr>
          </w:p>
        </w:tc>
        <w:tc>
          <w:tcPr>
            <w:tcW w:w="2070" w:type="dxa"/>
          </w:tcPr>
          <w:p w14:paraId="2461A60F">
            <w:pPr>
              <w:jc w:val="center"/>
              <w:rPr>
                <w:rFonts w:hint="eastAsia" w:ascii="仿宋" w:hAnsi="仿宋" w:eastAsia="仿宋" w:cs="仿宋"/>
                <w:b/>
                <w:bCs/>
                <w:color w:val="auto"/>
                <w:sz w:val="24"/>
                <w:szCs w:val="24"/>
                <w:highlight w:val="none"/>
              </w:rPr>
            </w:pPr>
          </w:p>
        </w:tc>
        <w:tc>
          <w:tcPr>
            <w:tcW w:w="2052" w:type="dxa"/>
          </w:tcPr>
          <w:p w14:paraId="512C44D2">
            <w:pPr>
              <w:jc w:val="center"/>
              <w:rPr>
                <w:rFonts w:hint="eastAsia" w:ascii="仿宋" w:hAnsi="仿宋" w:eastAsia="仿宋" w:cs="仿宋"/>
                <w:b/>
                <w:bCs/>
                <w:color w:val="auto"/>
                <w:sz w:val="24"/>
                <w:szCs w:val="24"/>
                <w:highlight w:val="none"/>
              </w:rPr>
            </w:pPr>
          </w:p>
        </w:tc>
        <w:tc>
          <w:tcPr>
            <w:tcW w:w="2126" w:type="dxa"/>
          </w:tcPr>
          <w:p w14:paraId="2A590F0C">
            <w:pPr>
              <w:jc w:val="center"/>
              <w:rPr>
                <w:rFonts w:hint="eastAsia" w:ascii="仿宋" w:hAnsi="仿宋" w:eastAsia="仿宋" w:cs="仿宋"/>
                <w:b/>
                <w:bCs/>
                <w:color w:val="auto"/>
                <w:sz w:val="24"/>
                <w:szCs w:val="24"/>
                <w:highlight w:val="none"/>
              </w:rPr>
            </w:pPr>
          </w:p>
        </w:tc>
        <w:tc>
          <w:tcPr>
            <w:tcW w:w="1985" w:type="dxa"/>
          </w:tcPr>
          <w:p w14:paraId="35A30245">
            <w:pPr>
              <w:jc w:val="center"/>
              <w:rPr>
                <w:rFonts w:hint="eastAsia" w:ascii="仿宋" w:hAnsi="仿宋" w:eastAsia="仿宋" w:cs="仿宋"/>
                <w:b/>
                <w:bCs/>
                <w:color w:val="auto"/>
                <w:sz w:val="24"/>
                <w:szCs w:val="24"/>
                <w:highlight w:val="none"/>
              </w:rPr>
            </w:pPr>
          </w:p>
        </w:tc>
      </w:tr>
      <w:tr w14:paraId="20DB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8606A5F">
            <w:pPr>
              <w:jc w:val="center"/>
              <w:rPr>
                <w:rFonts w:hint="eastAsia" w:ascii="仿宋" w:hAnsi="仿宋" w:eastAsia="仿宋" w:cs="仿宋"/>
                <w:b/>
                <w:bCs/>
                <w:color w:val="auto"/>
                <w:sz w:val="24"/>
                <w:szCs w:val="24"/>
                <w:highlight w:val="none"/>
              </w:rPr>
            </w:pPr>
          </w:p>
        </w:tc>
        <w:tc>
          <w:tcPr>
            <w:tcW w:w="2070" w:type="dxa"/>
          </w:tcPr>
          <w:p w14:paraId="05DDB38E">
            <w:pPr>
              <w:jc w:val="center"/>
              <w:rPr>
                <w:rFonts w:hint="eastAsia" w:ascii="仿宋" w:hAnsi="仿宋" w:eastAsia="仿宋" w:cs="仿宋"/>
                <w:b/>
                <w:bCs/>
                <w:color w:val="auto"/>
                <w:sz w:val="24"/>
                <w:szCs w:val="24"/>
                <w:highlight w:val="none"/>
              </w:rPr>
            </w:pPr>
          </w:p>
        </w:tc>
        <w:tc>
          <w:tcPr>
            <w:tcW w:w="2052" w:type="dxa"/>
          </w:tcPr>
          <w:p w14:paraId="253DF76C">
            <w:pPr>
              <w:jc w:val="center"/>
              <w:rPr>
                <w:rFonts w:hint="eastAsia" w:ascii="仿宋" w:hAnsi="仿宋" w:eastAsia="仿宋" w:cs="仿宋"/>
                <w:b/>
                <w:bCs/>
                <w:color w:val="auto"/>
                <w:sz w:val="24"/>
                <w:szCs w:val="24"/>
                <w:highlight w:val="none"/>
              </w:rPr>
            </w:pPr>
          </w:p>
        </w:tc>
        <w:tc>
          <w:tcPr>
            <w:tcW w:w="2126" w:type="dxa"/>
          </w:tcPr>
          <w:p w14:paraId="5549C3D9">
            <w:pPr>
              <w:jc w:val="center"/>
              <w:rPr>
                <w:rFonts w:hint="eastAsia" w:ascii="仿宋" w:hAnsi="仿宋" w:eastAsia="仿宋" w:cs="仿宋"/>
                <w:b/>
                <w:bCs/>
                <w:color w:val="auto"/>
                <w:sz w:val="24"/>
                <w:szCs w:val="24"/>
                <w:highlight w:val="none"/>
              </w:rPr>
            </w:pPr>
          </w:p>
        </w:tc>
        <w:tc>
          <w:tcPr>
            <w:tcW w:w="1985" w:type="dxa"/>
          </w:tcPr>
          <w:p w14:paraId="09EB3EF7">
            <w:pPr>
              <w:jc w:val="center"/>
              <w:rPr>
                <w:rFonts w:hint="eastAsia" w:ascii="仿宋" w:hAnsi="仿宋" w:eastAsia="仿宋" w:cs="仿宋"/>
                <w:b/>
                <w:bCs/>
                <w:color w:val="auto"/>
                <w:sz w:val="24"/>
                <w:szCs w:val="24"/>
                <w:highlight w:val="none"/>
              </w:rPr>
            </w:pPr>
          </w:p>
        </w:tc>
      </w:tr>
      <w:tr w14:paraId="7D636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790F75E">
            <w:pPr>
              <w:jc w:val="center"/>
              <w:rPr>
                <w:rFonts w:hint="eastAsia" w:ascii="仿宋" w:hAnsi="仿宋" w:eastAsia="仿宋" w:cs="仿宋"/>
                <w:b/>
                <w:bCs/>
                <w:color w:val="auto"/>
                <w:sz w:val="24"/>
                <w:szCs w:val="24"/>
                <w:highlight w:val="none"/>
              </w:rPr>
            </w:pPr>
          </w:p>
        </w:tc>
        <w:tc>
          <w:tcPr>
            <w:tcW w:w="2070" w:type="dxa"/>
          </w:tcPr>
          <w:p w14:paraId="2F6E811B">
            <w:pPr>
              <w:jc w:val="center"/>
              <w:rPr>
                <w:rFonts w:hint="eastAsia" w:ascii="仿宋" w:hAnsi="仿宋" w:eastAsia="仿宋" w:cs="仿宋"/>
                <w:b/>
                <w:bCs/>
                <w:color w:val="auto"/>
                <w:sz w:val="24"/>
                <w:szCs w:val="24"/>
                <w:highlight w:val="none"/>
              </w:rPr>
            </w:pPr>
          </w:p>
        </w:tc>
        <w:tc>
          <w:tcPr>
            <w:tcW w:w="2052" w:type="dxa"/>
          </w:tcPr>
          <w:p w14:paraId="3D5BA5E0">
            <w:pPr>
              <w:jc w:val="center"/>
              <w:rPr>
                <w:rFonts w:hint="eastAsia" w:ascii="仿宋" w:hAnsi="仿宋" w:eastAsia="仿宋" w:cs="仿宋"/>
                <w:b/>
                <w:bCs/>
                <w:color w:val="auto"/>
                <w:sz w:val="24"/>
                <w:szCs w:val="24"/>
                <w:highlight w:val="none"/>
              </w:rPr>
            </w:pPr>
          </w:p>
        </w:tc>
        <w:tc>
          <w:tcPr>
            <w:tcW w:w="2126" w:type="dxa"/>
          </w:tcPr>
          <w:p w14:paraId="7FF75DA2">
            <w:pPr>
              <w:jc w:val="center"/>
              <w:rPr>
                <w:rFonts w:hint="eastAsia" w:ascii="仿宋" w:hAnsi="仿宋" w:eastAsia="仿宋" w:cs="仿宋"/>
                <w:b/>
                <w:bCs/>
                <w:color w:val="auto"/>
                <w:sz w:val="24"/>
                <w:szCs w:val="24"/>
                <w:highlight w:val="none"/>
              </w:rPr>
            </w:pPr>
          </w:p>
        </w:tc>
        <w:tc>
          <w:tcPr>
            <w:tcW w:w="1985" w:type="dxa"/>
          </w:tcPr>
          <w:p w14:paraId="4FD01932">
            <w:pPr>
              <w:jc w:val="center"/>
              <w:rPr>
                <w:rFonts w:hint="eastAsia" w:ascii="仿宋" w:hAnsi="仿宋" w:eastAsia="仿宋" w:cs="仿宋"/>
                <w:b/>
                <w:bCs/>
                <w:color w:val="auto"/>
                <w:sz w:val="24"/>
                <w:szCs w:val="24"/>
                <w:highlight w:val="none"/>
              </w:rPr>
            </w:pPr>
          </w:p>
        </w:tc>
      </w:tr>
      <w:tr w14:paraId="2082F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A0ED465">
            <w:pPr>
              <w:jc w:val="center"/>
              <w:rPr>
                <w:rFonts w:hint="eastAsia" w:ascii="仿宋" w:hAnsi="仿宋" w:eastAsia="仿宋" w:cs="仿宋"/>
                <w:b/>
                <w:bCs/>
                <w:color w:val="auto"/>
                <w:sz w:val="24"/>
                <w:szCs w:val="24"/>
                <w:highlight w:val="none"/>
              </w:rPr>
            </w:pPr>
          </w:p>
        </w:tc>
        <w:tc>
          <w:tcPr>
            <w:tcW w:w="2070" w:type="dxa"/>
          </w:tcPr>
          <w:p w14:paraId="55F71E80">
            <w:pPr>
              <w:jc w:val="center"/>
              <w:rPr>
                <w:rFonts w:hint="eastAsia" w:ascii="仿宋" w:hAnsi="仿宋" w:eastAsia="仿宋" w:cs="仿宋"/>
                <w:b/>
                <w:bCs/>
                <w:color w:val="auto"/>
                <w:sz w:val="24"/>
                <w:szCs w:val="24"/>
                <w:highlight w:val="none"/>
              </w:rPr>
            </w:pPr>
          </w:p>
        </w:tc>
        <w:tc>
          <w:tcPr>
            <w:tcW w:w="2052" w:type="dxa"/>
          </w:tcPr>
          <w:p w14:paraId="0459FF5A">
            <w:pPr>
              <w:jc w:val="center"/>
              <w:rPr>
                <w:rFonts w:hint="eastAsia" w:ascii="仿宋" w:hAnsi="仿宋" w:eastAsia="仿宋" w:cs="仿宋"/>
                <w:b/>
                <w:bCs/>
                <w:color w:val="auto"/>
                <w:sz w:val="24"/>
                <w:szCs w:val="24"/>
                <w:highlight w:val="none"/>
              </w:rPr>
            </w:pPr>
          </w:p>
        </w:tc>
        <w:tc>
          <w:tcPr>
            <w:tcW w:w="2126" w:type="dxa"/>
          </w:tcPr>
          <w:p w14:paraId="0BA5D3ED">
            <w:pPr>
              <w:jc w:val="center"/>
              <w:rPr>
                <w:rFonts w:hint="eastAsia" w:ascii="仿宋" w:hAnsi="仿宋" w:eastAsia="仿宋" w:cs="仿宋"/>
                <w:b/>
                <w:bCs/>
                <w:color w:val="auto"/>
                <w:sz w:val="24"/>
                <w:szCs w:val="24"/>
                <w:highlight w:val="none"/>
              </w:rPr>
            </w:pPr>
          </w:p>
        </w:tc>
        <w:tc>
          <w:tcPr>
            <w:tcW w:w="1985" w:type="dxa"/>
          </w:tcPr>
          <w:p w14:paraId="73BFCF5C">
            <w:pPr>
              <w:jc w:val="center"/>
              <w:rPr>
                <w:rFonts w:hint="eastAsia" w:ascii="仿宋" w:hAnsi="仿宋" w:eastAsia="仿宋" w:cs="仿宋"/>
                <w:b/>
                <w:bCs/>
                <w:color w:val="auto"/>
                <w:sz w:val="24"/>
                <w:szCs w:val="24"/>
                <w:highlight w:val="none"/>
              </w:rPr>
            </w:pPr>
          </w:p>
        </w:tc>
      </w:tr>
      <w:tr w14:paraId="25D4E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BA3DD90">
            <w:pPr>
              <w:jc w:val="center"/>
              <w:rPr>
                <w:rFonts w:hint="eastAsia" w:ascii="仿宋" w:hAnsi="仿宋" w:eastAsia="仿宋" w:cs="仿宋"/>
                <w:b/>
                <w:bCs/>
                <w:color w:val="auto"/>
                <w:sz w:val="24"/>
                <w:szCs w:val="24"/>
                <w:highlight w:val="none"/>
              </w:rPr>
            </w:pPr>
          </w:p>
        </w:tc>
        <w:tc>
          <w:tcPr>
            <w:tcW w:w="2070" w:type="dxa"/>
          </w:tcPr>
          <w:p w14:paraId="3877B32E">
            <w:pPr>
              <w:jc w:val="center"/>
              <w:rPr>
                <w:rFonts w:hint="eastAsia" w:ascii="仿宋" w:hAnsi="仿宋" w:eastAsia="仿宋" w:cs="仿宋"/>
                <w:b/>
                <w:bCs/>
                <w:color w:val="auto"/>
                <w:sz w:val="24"/>
                <w:szCs w:val="24"/>
                <w:highlight w:val="none"/>
              </w:rPr>
            </w:pPr>
          </w:p>
        </w:tc>
        <w:tc>
          <w:tcPr>
            <w:tcW w:w="2052" w:type="dxa"/>
          </w:tcPr>
          <w:p w14:paraId="6321CBB1">
            <w:pPr>
              <w:jc w:val="center"/>
              <w:rPr>
                <w:rFonts w:hint="eastAsia" w:ascii="仿宋" w:hAnsi="仿宋" w:eastAsia="仿宋" w:cs="仿宋"/>
                <w:b/>
                <w:bCs/>
                <w:color w:val="auto"/>
                <w:sz w:val="24"/>
                <w:szCs w:val="24"/>
                <w:highlight w:val="none"/>
              </w:rPr>
            </w:pPr>
          </w:p>
        </w:tc>
        <w:tc>
          <w:tcPr>
            <w:tcW w:w="2126" w:type="dxa"/>
          </w:tcPr>
          <w:p w14:paraId="2290394B">
            <w:pPr>
              <w:jc w:val="center"/>
              <w:rPr>
                <w:rFonts w:hint="eastAsia" w:ascii="仿宋" w:hAnsi="仿宋" w:eastAsia="仿宋" w:cs="仿宋"/>
                <w:b/>
                <w:bCs/>
                <w:color w:val="auto"/>
                <w:sz w:val="24"/>
                <w:szCs w:val="24"/>
                <w:highlight w:val="none"/>
              </w:rPr>
            </w:pPr>
          </w:p>
        </w:tc>
        <w:tc>
          <w:tcPr>
            <w:tcW w:w="1985" w:type="dxa"/>
          </w:tcPr>
          <w:p w14:paraId="11F2AC9E">
            <w:pPr>
              <w:jc w:val="center"/>
              <w:rPr>
                <w:rFonts w:hint="eastAsia" w:ascii="仿宋" w:hAnsi="仿宋" w:eastAsia="仿宋" w:cs="仿宋"/>
                <w:b/>
                <w:bCs/>
                <w:color w:val="auto"/>
                <w:sz w:val="24"/>
                <w:szCs w:val="24"/>
                <w:highlight w:val="none"/>
              </w:rPr>
            </w:pPr>
          </w:p>
        </w:tc>
      </w:tr>
    </w:tbl>
    <w:p w14:paraId="75074E1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344AD2DE">
      <w:pPr>
        <w:spacing w:line="360" w:lineRule="auto"/>
        <w:jc w:val="left"/>
        <w:rPr>
          <w:rFonts w:hint="eastAsia" w:ascii="仿宋" w:hAnsi="仿宋" w:eastAsia="仿宋" w:cs="仿宋"/>
          <w:color w:val="auto"/>
          <w:sz w:val="24"/>
          <w:szCs w:val="24"/>
          <w:highlight w:val="none"/>
        </w:rPr>
      </w:pPr>
    </w:p>
    <w:p w14:paraId="35886FAE">
      <w:pPr>
        <w:spacing w:line="360" w:lineRule="auto"/>
        <w:jc w:val="left"/>
        <w:rPr>
          <w:rFonts w:hint="eastAsia" w:ascii="仿宋" w:hAnsi="仿宋" w:eastAsia="仿宋" w:cs="仿宋"/>
          <w:color w:val="auto"/>
          <w:sz w:val="24"/>
          <w:szCs w:val="24"/>
          <w:highlight w:val="none"/>
        </w:rPr>
      </w:pPr>
    </w:p>
    <w:p w14:paraId="4E3148A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3BD958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B1E018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392CAB2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01AF93C0">
      <w:pPr>
        <w:rPr>
          <w:rFonts w:hint="eastAsia"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47C3DB48">
      <w:pPr>
        <w:widowControl/>
        <w:jc w:val="left"/>
        <w:rPr>
          <w:rFonts w:hint="eastAsia" w:ascii="仿宋" w:hAnsi="仿宋" w:eastAsia="仿宋" w:cs="仿宋"/>
          <w:color w:val="auto"/>
          <w:sz w:val="24"/>
          <w:szCs w:val="24"/>
          <w:highlight w:val="none"/>
        </w:rPr>
      </w:pPr>
    </w:p>
    <w:p w14:paraId="3FC02B48">
      <w:pPr>
        <w:tabs>
          <w:tab w:val="center" w:pos="4832"/>
          <w:tab w:val="left" w:pos="7140"/>
        </w:tabs>
        <w:jc w:val="center"/>
        <w:outlineLvl w:val="1"/>
        <w:rPr>
          <w:rFonts w:hint="eastAsia" w:ascii="仿宋" w:hAnsi="仿宋" w:eastAsia="仿宋" w:cs="仿宋"/>
          <w:b/>
          <w:color w:val="auto"/>
          <w:sz w:val="24"/>
          <w:szCs w:val="24"/>
          <w:highlight w:val="none"/>
        </w:rPr>
      </w:pPr>
      <w:bookmarkStart w:id="135" w:name="_Toc109921160"/>
      <w:bookmarkStart w:id="136" w:name="_Toc3018"/>
      <w:bookmarkStart w:id="137" w:name="_Toc27420"/>
      <w:bookmarkStart w:id="138" w:name="_Toc109941767"/>
      <w:bookmarkStart w:id="139" w:name="_Toc130252617"/>
      <w:bookmarkStart w:id="140" w:name="_Toc110707967"/>
      <w:bookmarkStart w:id="141" w:name="_Toc6958"/>
      <w:bookmarkStart w:id="142" w:name="_Toc2642"/>
      <w:bookmarkStart w:id="143" w:name="_Toc21848"/>
      <w:r>
        <w:rPr>
          <w:rFonts w:hint="eastAsia" w:ascii="仿宋" w:hAnsi="仿宋" w:eastAsia="仿宋" w:cs="仿宋"/>
          <w:b/>
          <w:color w:val="auto"/>
          <w:sz w:val="24"/>
          <w:szCs w:val="24"/>
          <w:highlight w:val="none"/>
        </w:rPr>
        <w:t>六、技术条款偏离表</w:t>
      </w:r>
      <w:bookmarkEnd w:id="135"/>
      <w:bookmarkEnd w:id="136"/>
      <w:bookmarkEnd w:id="137"/>
      <w:bookmarkEnd w:id="138"/>
      <w:bookmarkEnd w:id="139"/>
      <w:bookmarkEnd w:id="140"/>
      <w:bookmarkEnd w:id="141"/>
      <w:bookmarkEnd w:id="142"/>
      <w:bookmarkEnd w:id="143"/>
    </w:p>
    <w:tbl>
      <w:tblPr>
        <w:tblStyle w:val="38"/>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0ECB1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4A4936A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75C1B7A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23AF2A2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11F0112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41CDC9FF">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6FCC4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184E9AA">
            <w:pPr>
              <w:jc w:val="center"/>
              <w:rPr>
                <w:rFonts w:hint="eastAsia" w:ascii="仿宋" w:hAnsi="仿宋" w:eastAsia="仿宋" w:cs="仿宋"/>
                <w:b/>
                <w:bCs/>
                <w:color w:val="auto"/>
                <w:sz w:val="24"/>
                <w:szCs w:val="24"/>
                <w:highlight w:val="none"/>
              </w:rPr>
            </w:pPr>
          </w:p>
        </w:tc>
        <w:tc>
          <w:tcPr>
            <w:tcW w:w="2070" w:type="dxa"/>
          </w:tcPr>
          <w:p w14:paraId="0304E904">
            <w:pPr>
              <w:jc w:val="center"/>
              <w:rPr>
                <w:rFonts w:hint="eastAsia" w:ascii="仿宋" w:hAnsi="仿宋" w:eastAsia="仿宋" w:cs="仿宋"/>
                <w:b/>
                <w:bCs/>
                <w:color w:val="auto"/>
                <w:sz w:val="24"/>
                <w:szCs w:val="24"/>
                <w:highlight w:val="none"/>
              </w:rPr>
            </w:pPr>
          </w:p>
        </w:tc>
        <w:tc>
          <w:tcPr>
            <w:tcW w:w="2052" w:type="dxa"/>
          </w:tcPr>
          <w:p w14:paraId="6E6BF227">
            <w:pPr>
              <w:jc w:val="center"/>
              <w:rPr>
                <w:rFonts w:hint="eastAsia" w:ascii="仿宋" w:hAnsi="仿宋" w:eastAsia="仿宋" w:cs="仿宋"/>
                <w:b/>
                <w:bCs/>
                <w:color w:val="auto"/>
                <w:sz w:val="24"/>
                <w:szCs w:val="24"/>
                <w:highlight w:val="none"/>
              </w:rPr>
            </w:pPr>
          </w:p>
        </w:tc>
        <w:tc>
          <w:tcPr>
            <w:tcW w:w="2126" w:type="dxa"/>
          </w:tcPr>
          <w:p w14:paraId="3E35A8BF">
            <w:pPr>
              <w:jc w:val="center"/>
              <w:rPr>
                <w:rFonts w:hint="eastAsia" w:ascii="仿宋" w:hAnsi="仿宋" w:eastAsia="仿宋" w:cs="仿宋"/>
                <w:b/>
                <w:bCs/>
                <w:color w:val="auto"/>
                <w:sz w:val="24"/>
                <w:szCs w:val="24"/>
                <w:highlight w:val="none"/>
              </w:rPr>
            </w:pPr>
          </w:p>
        </w:tc>
        <w:tc>
          <w:tcPr>
            <w:tcW w:w="1985" w:type="dxa"/>
          </w:tcPr>
          <w:p w14:paraId="2B978B6B">
            <w:pPr>
              <w:jc w:val="center"/>
              <w:rPr>
                <w:rFonts w:hint="eastAsia" w:ascii="仿宋" w:hAnsi="仿宋" w:eastAsia="仿宋" w:cs="仿宋"/>
                <w:b/>
                <w:bCs/>
                <w:color w:val="auto"/>
                <w:sz w:val="24"/>
                <w:szCs w:val="24"/>
                <w:highlight w:val="none"/>
              </w:rPr>
            </w:pPr>
          </w:p>
        </w:tc>
      </w:tr>
      <w:tr w14:paraId="7C336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BDF168C">
            <w:pPr>
              <w:jc w:val="center"/>
              <w:rPr>
                <w:rFonts w:hint="eastAsia" w:ascii="仿宋" w:hAnsi="仿宋" w:eastAsia="仿宋" w:cs="仿宋"/>
                <w:b/>
                <w:bCs/>
                <w:color w:val="auto"/>
                <w:sz w:val="24"/>
                <w:szCs w:val="24"/>
                <w:highlight w:val="none"/>
              </w:rPr>
            </w:pPr>
          </w:p>
        </w:tc>
        <w:tc>
          <w:tcPr>
            <w:tcW w:w="2070" w:type="dxa"/>
          </w:tcPr>
          <w:p w14:paraId="0870AD63">
            <w:pPr>
              <w:jc w:val="center"/>
              <w:rPr>
                <w:rFonts w:hint="eastAsia" w:ascii="仿宋" w:hAnsi="仿宋" w:eastAsia="仿宋" w:cs="仿宋"/>
                <w:b/>
                <w:bCs/>
                <w:color w:val="auto"/>
                <w:sz w:val="24"/>
                <w:szCs w:val="24"/>
                <w:highlight w:val="none"/>
              </w:rPr>
            </w:pPr>
          </w:p>
        </w:tc>
        <w:tc>
          <w:tcPr>
            <w:tcW w:w="2052" w:type="dxa"/>
          </w:tcPr>
          <w:p w14:paraId="65B86F1A">
            <w:pPr>
              <w:jc w:val="center"/>
              <w:rPr>
                <w:rFonts w:hint="eastAsia" w:ascii="仿宋" w:hAnsi="仿宋" w:eastAsia="仿宋" w:cs="仿宋"/>
                <w:b/>
                <w:bCs/>
                <w:color w:val="auto"/>
                <w:sz w:val="24"/>
                <w:szCs w:val="24"/>
                <w:highlight w:val="none"/>
              </w:rPr>
            </w:pPr>
          </w:p>
        </w:tc>
        <w:tc>
          <w:tcPr>
            <w:tcW w:w="2126" w:type="dxa"/>
          </w:tcPr>
          <w:p w14:paraId="6F8B24DD">
            <w:pPr>
              <w:jc w:val="center"/>
              <w:rPr>
                <w:rFonts w:hint="eastAsia" w:ascii="仿宋" w:hAnsi="仿宋" w:eastAsia="仿宋" w:cs="仿宋"/>
                <w:b/>
                <w:bCs/>
                <w:color w:val="auto"/>
                <w:sz w:val="24"/>
                <w:szCs w:val="24"/>
                <w:highlight w:val="none"/>
              </w:rPr>
            </w:pPr>
          </w:p>
        </w:tc>
        <w:tc>
          <w:tcPr>
            <w:tcW w:w="1985" w:type="dxa"/>
          </w:tcPr>
          <w:p w14:paraId="48122C1E">
            <w:pPr>
              <w:jc w:val="center"/>
              <w:rPr>
                <w:rFonts w:hint="eastAsia" w:ascii="仿宋" w:hAnsi="仿宋" w:eastAsia="仿宋" w:cs="仿宋"/>
                <w:b/>
                <w:bCs/>
                <w:color w:val="auto"/>
                <w:sz w:val="24"/>
                <w:szCs w:val="24"/>
                <w:highlight w:val="none"/>
              </w:rPr>
            </w:pPr>
          </w:p>
        </w:tc>
      </w:tr>
      <w:tr w14:paraId="3BB9A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A4C110D">
            <w:pPr>
              <w:jc w:val="center"/>
              <w:rPr>
                <w:rFonts w:hint="eastAsia" w:ascii="仿宋" w:hAnsi="仿宋" w:eastAsia="仿宋" w:cs="仿宋"/>
                <w:b/>
                <w:bCs/>
                <w:color w:val="auto"/>
                <w:sz w:val="24"/>
                <w:szCs w:val="24"/>
                <w:highlight w:val="none"/>
              </w:rPr>
            </w:pPr>
          </w:p>
        </w:tc>
        <w:tc>
          <w:tcPr>
            <w:tcW w:w="2070" w:type="dxa"/>
          </w:tcPr>
          <w:p w14:paraId="333712BD">
            <w:pPr>
              <w:jc w:val="center"/>
              <w:rPr>
                <w:rFonts w:hint="eastAsia" w:ascii="仿宋" w:hAnsi="仿宋" w:eastAsia="仿宋" w:cs="仿宋"/>
                <w:b/>
                <w:bCs/>
                <w:color w:val="auto"/>
                <w:sz w:val="24"/>
                <w:szCs w:val="24"/>
                <w:highlight w:val="none"/>
              </w:rPr>
            </w:pPr>
          </w:p>
        </w:tc>
        <w:tc>
          <w:tcPr>
            <w:tcW w:w="2052" w:type="dxa"/>
          </w:tcPr>
          <w:p w14:paraId="62D6AF87">
            <w:pPr>
              <w:jc w:val="center"/>
              <w:rPr>
                <w:rFonts w:hint="eastAsia" w:ascii="仿宋" w:hAnsi="仿宋" w:eastAsia="仿宋" w:cs="仿宋"/>
                <w:b/>
                <w:bCs/>
                <w:color w:val="auto"/>
                <w:sz w:val="24"/>
                <w:szCs w:val="24"/>
                <w:highlight w:val="none"/>
              </w:rPr>
            </w:pPr>
          </w:p>
        </w:tc>
        <w:tc>
          <w:tcPr>
            <w:tcW w:w="2126" w:type="dxa"/>
          </w:tcPr>
          <w:p w14:paraId="6118CA33">
            <w:pPr>
              <w:jc w:val="center"/>
              <w:rPr>
                <w:rFonts w:hint="eastAsia" w:ascii="仿宋" w:hAnsi="仿宋" w:eastAsia="仿宋" w:cs="仿宋"/>
                <w:b/>
                <w:bCs/>
                <w:color w:val="auto"/>
                <w:sz w:val="24"/>
                <w:szCs w:val="24"/>
                <w:highlight w:val="none"/>
              </w:rPr>
            </w:pPr>
          </w:p>
        </w:tc>
        <w:tc>
          <w:tcPr>
            <w:tcW w:w="1985" w:type="dxa"/>
          </w:tcPr>
          <w:p w14:paraId="0F11DF8C">
            <w:pPr>
              <w:jc w:val="center"/>
              <w:rPr>
                <w:rFonts w:hint="eastAsia" w:ascii="仿宋" w:hAnsi="仿宋" w:eastAsia="仿宋" w:cs="仿宋"/>
                <w:b/>
                <w:bCs/>
                <w:color w:val="auto"/>
                <w:sz w:val="24"/>
                <w:szCs w:val="24"/>
                <w:highlight w:val="none"/>
              </w:rPr>
            </w:pPr>
          </w:p>
        </w:tc>
      </w:tr>
      <w:tr w14:paraId="1DF82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C9E8FE1">
            <w:pPr>
              <w:jc w:val="center"/>
              <w:rPr>
                <w:rFonts w:hint="eastAsia" w:ascii="仿宋" w:hAnsi="仿宋" w:eastAsia="仿宋" w:cs="仿宋"/>
                <w:b/>
                <w:bCs/>
                <w:color w:val="auto"/>
                <w:sz w:val="24"/>
                <w:szCs w:val="24"/>
                <w:highlight w:val="none"/>
              </w:rPr>
            </w:pPr>
          </w:p>
        </w:tc>
        <w:tc>
          <w:tcPr>
            <w:tcW w:w="2070" w:type="dxa"/>
          </w:tcPr>
          <w:p w14:paraId="4A029B35">
            <w:pPr>
              <w:jc w:val="center"/>
              <w:rPr>
                <w:rFonts w:hint="eastAsia" w:ascii="仿宋" w:hAnsi="仿宋" w:eastAsia="仿宋" w:cs="仿宋"/>
                <w:b/>
                <w:bCs/>
                <w:color w:val="auto"/>
                <w:sz w:val="24"/>
                <w:szCs w:val="24"/>
                <w:highlight w:val="none"/>
              </w:rPr>
            </w:pPr>
          </w:p>
        </w:tc>
        <w:tc>
          <w:tcPr>
            <w:tcW w:w="2052" w:type="dxa"/>
          </w:tcPr>
          <w:p w14:paraId="61090C61">
            <w:pPr>
              <w:jc w:val="center"/>
              <w:rPr>
                <w:rFonts w:hint="eastAsia" w:ascii="仿宋" w:hAnsi="仿宋" w:eastAsia="仿宋" w:cs="仿宋"/>
                <w:b/>
                <w:bCs/>
                <w:color w:val="auto"/>
                <w:sz w:val="24"/>
                <w:szCs w:val="24"/>
                <w:highlight w:val="none"/>
              </w:rPr>
            </w:pPr>
          </w:p>
        </w:tc>
        <w:tc>
          <w:tcPr>
            <w:tcW w:w="2126" w:type="dxa"/>
          </w:tcPr>
          <w:p w14:paraId="332CD40F">
            <w:pPr>
              <w:jc w:val="center"/>
              <w:rPr>
                <w:rFonts w:hint="eastAsia" w:ascii="仿宋" w:hAnsi="仿宋" w:eastAsia="仿宋" w:cs="仿宋"/>
                <w:b/>
                <w:bCs/>
                <w:color w:val="auto"/>
                <w:sz w:val="24"/>
                <w:szCs w:val="24"/>
                <w:highlight w:val="none"/>
              </w:rPr>
            </w:pPr>
          </w:p>
        </w:tc>
        <w:tc>
          <w:tcPr>
            <w:tcW w:w="1985" w:type="dxa"/>
          </w:tcPr>
          <w:p w14:paraId="59D00FBA">
            <w:pPr>
              <w:jc w:val="center"/>
              <w:rPr>
                <w:rFonts w:hint="eastAsia" w:ascii="仿宋" w:hAnsi="仿宋" w:eastAsia="仿宋" w:cs="仿宋"/>
                <w:b/>
                <w:bCs/>
                <w:color w:val="auto"/>
                <w:sz w:val="24"/>
                <w:szCs w:val="24"/>
                <w:highlight w:val="none"/>
              </w:rPr>
            </w:pPr>
          </w:p>
        </w:tc>
      </w:tr>
      <w:tr w14:paraId="3A83F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4484FC4">
            <w:pPr>
              <w:jc w:val="center"/>
              <w:rPr>
                <w:rFonts w:hint="eastAsia" w:ascii="仿宋" w:hAnsi="仿宋" w:eastAsia="仿宋" w:cs="仿宋"/>
                <w:b/>
                <w:bCs/>
                <w:color w:val="auto"/>
                <w:sz w:val="24"/>
                <w:szCs w:val="24"/>
                <w:highlight w:val="none"/>
              </w:rPr>
            </w:pPr>
          </w:p>
        </w:tc>
        <w:tc>
          <w:tcPr>
            <w:tcW w:w="2070" w:type="dxa"/>
          </w:tcPr>
          <w:p w14:paraId="7528E958">
            <w:pPr>
              <w:jc w:val="center"/>
              <w:rPr>
                <w:rFonts w:hint="eastAsia" w:ascii="仿宋" w:hAnsi="仿宋" w:eastAsia="仿宋" w:cs="仿宋"/>
                <w:b/>
                <w:bCs/>
                <w:color w:val="auto"/>
                <w:sz w:val="24"/>
                <w:szCs w:val="24"/>
                <w:highlight w:val="none"/>
              </w:rPr>
            </w:pPr>
          </w:p>
        </w:tc>
        <w:tc>
          <w:tcPr>
            <w:tcW w:w="2052" w:type="dxa"/>
          </w:tcPr>
          <w:p w14:paraId="3D8CB853">
            <w:pPr>
              <w:jc w:val="center"/>
              <w:rPr>
                <w:rFonts w:hint="eastAsia" w:ascii="仿宋" w:hAnsi="仿宋" w:eastAsia="仿宋" w:cs="仿宋"/>
                <w:b/>
                <w:bCs/>
                <w:color w:val="auto"/>
                <w:sz w:val="24"/>
                <w:szCs w:val="24"/>
                <w:highlight w:val="none"/>
              </w:rPr>
            </w:pPr>
          </w:p>
        </w:tc>
        <w:tc>
          <w:tcPr>
            <w:tcW w:w="2126" w:type="dxa"/>
          </w:tcPr>
          <w:p w14:paraId="5A881C98">
            <w:pPr>
              <w:jc w:val="center"/>
              <w:rPr>
                <w:rFonts w:hint="eastAsia" w:ascii="仿宋" w:hAnsi="仿宋" w:eastAsia="仿宋" w:cs="仿宋"/>
                <w:b/>
                <w:bCs/>
                <w:color w:val="auto"/>
                <w:sz w:val="24"/>
                <w:szCs w:val="24"/>
                <w:highlight w:val="none"/>
              </w:rPr>
            </w:pPr>
          </w:p>
        </w:tc>
        <w:tc>
          <w:tcPr>
            <w:tcW w:w="1985" w:type="dxa"/>
          </w:tcPr>
          <w:p w14:paraId="32BDE842">
            <w:pPr>
              <w:jc w:val="center"/>
              <w:rPr>
                <w:rFonts w:hint="eastAsia" w:ascii="仿宋" w:hAnsi="仿宋" w:eastAsia="仿宋" w:cs="仿宋"/>
                <w:b/>
                <w:bCs/>
                <w:color w:val="auto"/>
                <w:sz w:val="24"/>
                <w:szCs w:val="24"/>
                <w:highlight w:val="none"/>
              </w:rPr>
            </w:pPr>
          </w:p>
        </w:tc>
      </w:tr>
    </w:tbl>
    <w:p w14:paraId="7447C6F6">
      <w:pPr>
        <w:rPr>
          <w:rFonts w:hint="eastAsia" w:ascii="仿宋" w:hAnsi="仿宋" w:eastAsia="仿宋" w:cs="仿宋"/>
          <w:color w:val="auto"/>
          <w:highlight w:val="none"/>
        </w:rPr>
      </w:pPr>
    </w:p>
    <w:p w14:paraId="00A8AE80">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623B23F6">
      <w:pPr>
        <w:spacing w:line="360" w:lineRule="auto"/>
        <w:ind w:firstLine="475" w:firstLineChars="198"/>
        <w:jc w:val="left"/>
        <w:rPr>
          <w:rFonts w:hint="eastAsia" w:ascii="仿宋" w:hAnsi="仿宋" w:eastAsia="仿宋" w:cs="仿宋"/>
          <w:color w:val="auto"/>
          <w:sz w:val="24"/>
          <w:szCs w:val="24"/>
          <w:highlight w:val="none"/>
        </w:rPr>
      </w:pPr>
    </w:p>
    <w:p w14:paraId="11DF8EC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8762C2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887F02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2145C1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21E7F8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570E4FD4">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5B195B4B">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44" w:name="_Toc29249"/>
      <w:bookmarkStart w:id="145" w:name="_Toc15137"/>
      <w:bookmarkStart w:id="146" w:name="_Toc110707969"/>
      <w:bookmarkStart w:id="147" w:name="_Toc130252619"/>
      <w:bookmarkStart w:id="148" w:name="_Toc109921162"/>
      <w:bookmarkStart w:id="149" w:name="_Toc23364"/>
      <w:bookmarkStart w:id="150" w:name="_Toc5075"/>
      <w:bookmarkStart w:id="151" w:name="_Toc109941769"/>
      <w:bookmarkStart w:id="152" w:name="_Toc25525"/>
      <w:r>
        <w:rPr>
          <w:rFonts w:hint="eastAsia" w:ascii="仿宋" w:hAnsi="仿宋" w:eastAsia="仿宋" w:cs="仿宋"/>
          <w:b/>
          <w:color w:val="auto"/>
          <w:sz w:val="24"/>
          <w:szCs w:val="24"/>
          <w:highlight w:val="none"/>
        </w:rPr>
        <w:t>七、法定代表人身份证明书</w:t>
      </w:r>
      <w:bookmarkEnd w:id="144"/>
      <w:bookmarkEnd w:id="145"/>
      <w:bookmarkEnd w:id="146"/>
      <w:bookmarkEnd w:id="147"/>
      <w:bookmarkEnd w:id="148"/>
      <w:bookmarkEnd w:id="149"/>
      <w:bookmarkEnd w:id="150"/>
      <w:bookmarkEnd w:id="151"/>
      <w:bookmarkEnd w:id="152"/>
    </w:p>
    <w:p w14:paraId="76D03FE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E319F0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40AF668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23FC1FD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1A5EE8D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4617DA4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1C1E6D0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64A649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7F01B8A9">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00163A5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FC9A4C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25C3397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tbl>
      <w:tblPr>
        <w:tblStyle w:val="3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16F1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D806352">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2E32461A">
      <w:pPr>
        <w:rPr>
          <w:rFonts w:hint="eastAsia" w:ascii="仿宋" w:hAnsi="仿宋" w:eastAsia="仿宋" w:cs="仿宋"/>
          <w:vanish/>
          <w:color w:val="auto"/>
          <w:highlight w:val="none"/>
        </w:rPr>
      </w:pPr>
    </w:p>
    <w:tbl>
      <w:tblPr>
        <w:tblStyle w:val="3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760D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59B81DEC">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28F3349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535EC7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0BD2FA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4D9E9C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6E9E4B6">
      <w:pPr>
        <w:widowControl/>
        <w:shd w:val="clear" w:color="auto" w:fill="FFFFFF"/>
        <w:wordWrap w:val="0"/>
        <w:snapToGrid w:val="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45F7F22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411D2C7">
      <w:pPr>
        <w:tabs>
          <w:tab w:val="center" w:pos="4832"/>
          <w:tab w:val="left" w:pos="7140"/>
        </w:tabs>
        <w:jc w:val="center"/>
        <w:outlineLvl w:val="1"/>
        <w:rPr>
          <w:rFonts w:hint="eastAsia" w:ascii="仿宋" w:hAnsi="仿宋" w:eastAsia="仿宋" w:cs="仿宋"/>
          <w:b/>
          <w:color w:val="auto"/>
          <w:sz w:val="24"/>
          <w:szCs w:val="24"/>
          <w:highlight w:val="none"/>
        </w:rPr>
      </w:pPr>
      <w:bookmarkStart w:id="153" w:name="_Toc29077"/>
      <w:bookmarkStart w:id="154" w:name="_Toc130252620"/>
      <w:bookmarkStart w:id="155" w:name="_Toc22186"/>
      <w:bookmarkStart w:id="156" w:name="_Toc109941770"/>
      <w:bookmarkStart w:id="157" w:name="_Toc27079"/>
      <w:bookmarkStart w:id="158" w:name="_Toc19364"/>
      <w:bookmarkStart w:id="159" w:name="_Toc109921163"/>
      <w:bookmarkStart w:id="160" w:name="_Toc110707970"/>
      <w:bookmarkStart w:id="161" w:name="_Toc12418"/>
      <w:r>
        <w:rPr>
          <w:rFonts w:hint="eastAsia" w:ascii="仿宋" w:hAnsi="仿宋" w:eastAsia="仿宋" w:cs="仿宋"/>
          <w:b/>
          <w:color w:val="auto"/>
          <w:sz w:val="24"/>
          <w:szCs w:val="24"/>
          <w:highlight w:val="none"/>
        </w:rPr>
        <w:t>八、法定代表人授权委托书</w:t>
      </w:r>
      <w:bookmarkEnd w:id="153"/>
      <w:bookmarkEnd w:id="154"/>
      <w:bookmarkEnd w:id="155"/>
      <w:bookmarkEnd w:id="156"/>
      <w:bookmarkEnd w:id="157"/>
      <w:bookmarkEnd w:id="158"/>
      <w:bookmarkEnd w:id="159"/>
      <w:bookmarkEnd w:id="160"/>
      <w:bookmarkEnd w:id="161"/>
    </w:p>
    <w:p w14:paraId="4AD00BD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A63E285">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54F5DBDC">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77007510">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6797E77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4997956C">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p>
    <w:p w14:paraId="574C3E3A">
      <w:pPr>
        <w:widowControl/>
        <w:shd w:val="clear" w:color="auto" w:fill="FFFFFF"/>
        <w:snapToGrid w:val="0"/>
        <w:spacing w:line="384"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38"/>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3EDB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22FC29CA">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14622C85">
      <w:pPr>
        <w:rPr>
          <w:rFonts w:hint="eastAsia" w:ascii="仿宋" w:hAnsi="仿宋" w:eastAsia="仿宋" w:cs="仿宋"/>
          <w:vanish/>
          <w:color w:val="auto"/>
          <w:highlight w:val="none"/>
        </w:rPr>
      </w:pPr>
    </w:p>
    <w:tbl>
      <w:tblPr>
        <w:tblStyle w:val="38"/>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D232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15529B79">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691F7DA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824324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FA9B9F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D5103D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80D1C4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A02D37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976755D">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0812610">
      <w:pPr>
        <w:rPr>
          <w:rFonts w:hint="eastAsia" w:ascii="仿宋" w:hAnsi="仿宋" w:eastAsia="仿宋" w:cs="仿宋"/>
          <w:b/>
          <w:color w:val="auto"/>
          <w:sz w:val="24"/>
          <w:szCs w:val="24"/>
          <w:highlight w:val="none"/>
        </w:rPr>
      </w:pPr>
      <w:bookmarkStart w:id="162" w:name="_Toc109941771"/>
      <w:bookmarkStart w:id="163" w:name="_Toc109921164"/>
      <w:bookmarkStart w:id="164" w:name="_Toc110707971"/>
      <w:bookmarkStart w:id="165" w:name="_Toc25783"/>
      <w:bookmarkStart w:id="166" w:name="_Toc130252621"/>
      <w:bookmarkStart w:id="167" w:name="_Toc29422"/>
      <w:bookmarkStart w:id="168" w:name="_Toc358451723"/>
      <w:r>
        <w:rPr>
          <w:rFonts w:hint="eastAsia" w:ascii="仿宋" w:hAnsi="仿宋" w:eastAsia="仿宋" w:cs="仿宋"/>
          <w:b/>
          <w:color w:val="auto"/>
          <w:sz w:val="24"/>
          <w:szCs w:val="24"/>
          <w:highlight w:val="none"/>
        </w:rPr>
        <w:br w:type="page"/>
      </w:r>
    </w:p>
    <w:p w14:paraId="159DECE9">
      <w:pPr>
        <w:tabs>
          <w:tab w:val="center" w:pos="4832"/>
          <w:tab w:val="left" w:pos="7140"/>
        </w:tabs>
        <w:jc w:val="center"/>
        <w:outlineLvl w:val="1"/>
        <w:rPr>
          <w:rFonts w:hint="eastAsia" w:ascii="仿宋" w:hAnsi="仿宋" w:eastAsia="仿宋" w:cs="仿宋"/>
          <w:b/>
          <w:color w:val="auto"/>
          <w:sz w:val="24"/>
          <w:szCs w:val="24"/>
          <w:highlight w:val="none"/>
        </w:rPr>
      </w:pPr>
      <w:bookmarkStart w:id="169" w:name="_Toc4916"/>
      <w:bookmarkStart w:id="170" w:name="_Toc5003"/>
      <w:bookmarkStart w:id="171" w:name="_Toc7575"/>
      <w:r>
        <w:rPr>
          <w:rFonts w:hint="eastAsia" w:ascii="仿宋" w:hAnsi="仿宋" w:eastAsia="仿宋" w:cs="仿宋"/>
          <w:b/>
          <w:color w:val="auto"/>
          <w:sz w:val="24"/>
          <w:szCs w:val="24"/>
          <w:highlight w:val="none"/>
        </w:rPr>
        <w:t>九、</w:t>
      </w:r>
      <w:bookmarkEnd w:id="162"/>
      <w:bookmarkEnd w:id="163"/>
      <w:bookmarkEnd w:id="164"/>
      <w:r>
        <w:rPr>
          <w:rFonts w:hint="eastAsia" w:ascii="仿宋" w:hAnsi="仿宋" w:eastAsia="仿宋" w:cs="仿宋"/>
          <w:b/>
          <w:bCs/>
          <w:color w:val="auto"/>
          <w:sz w:val="24"/>
          <w:szCs w:val="24"/>
          <w:highlight w:val="none"/>
        </w:rPr>
        <w:t>投标人资格条件证明材料</w:t>
      </w:r>
      <w:bookmarkEnd w:id="165"/>
      <w:bookmarkEnd w:id="166"/>
      <w:bookmarkEnd w:id="167"/>
      <w:bookmarkEnd w:id="169"/>
      <w:bookmarkEnd w:id="170"/>
      <w:bookmarkEnd w:id="171"/>
    </w:p>
    <w:p w14:paraId="669669DA">
      <w:pPr>
        <w:rPr>
          <w:rFonts w:hint="eastAsia" w:ascii="仿宋" w:hAnsi="仿宋" w:eastAsia="仿宋" w:cs="仿宋"/>
          <w:color w:val="auto"/>
          <w:highlight w:val="none"/>
        </w:rPr>
      </w:pPr>
    </w:p>
    <w:tbl>
      <w:tblPr>
        <w:tblStyle w:val="3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3DAC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367CDC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304E0F4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609F1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AA7068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44B10A0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6DBA5B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4370FCC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625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2ED79A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7B60B1D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7936B7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7D8E462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585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B064C1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3BA30F0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984BB1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740A2DA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BA6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C1BD2B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4270728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6EE6850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1C8A2B2C">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89E5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E85F6A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0453CF9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E50924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14096CC4">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872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DA48AB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2C6A7DD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C69DE7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489759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DC2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B568AF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121D71C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EA3CA6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C98675F">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9E5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6B2DFCC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5E464C2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36E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36FEF9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7848298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F36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6FC92D7">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129A02FF">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3971AFA7">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596C6A4A">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596B5764">
      <w:pPr>
        <w:spacing w:line="360" w:lineRule="auto"/>
        <w:jc w:val="left"/>
        <w:rPr>
          <w:rFonts w:hint="eastAsia" w:ascii="仿宋" w:hAnsi="仿宋" w:eastAsia="仿宋" w:cs="仿宋"/>
          <w:color w:val="auto"/>
          <w:sz w:val="24"/>
          <w:szCs w:val="24"/>
          <w:highlight w:val="none"/>
        </w:rPr>
      </w:pPr>
    </w:p>
    <w:p w14:paraId="06048434">
      <w:pPr>
        <w:spacing w:line="360" w:lineRule="auto"/>
        <w:jc w:val="center"/>
        <w:outlineLvl w:val="1"/>
        <w:rPr>
          <w:rFonts w:hint="eastAsia" w:ascii="仿宋" w:hAnsi="仿宋" w:eastAsia="仿宋" w:cs="仿宋"/>
          <w:b/>
          <w:color w:val="auto"/>
          <w:sz w:val="24"/>
          <w:szCs w:val="24"/>
          <w:highlight w:val="none"/>
        </w:rPr>
      </w:pPr>
      <w:bookmarkStart w:id="172" w:name="_Toc18158"/>
      <w:bookmarkStart w:id="173" w:name="_Toc113901850"/>
      <w:bookmarkStart w:id="174" w:name="_Toc5144"/>
      <w:bookmarkStart w:id="175" w:name="_Toc30664"/>
      <w:bookmarkStart w:id="176" w:name="_Toc28034"/>
      <w:bookmarkStart w:id="177" w:name="_Toc14695"/>
      <w:bookmarkStart w:id="178" w:name="_Toc31943"/>
      <w:bookmarkStart w:id="179" w:name="_Toc643"/>
      <w:bookmarkStart w:id="180" w:name="_Toc13140"/>
      <w:bookmarkStart w:id="181" w:name="_Toc24317"/>
      <w:bookmarkStart w:id="182" w:name="_Toc130252623"/>
      <w:bookmarkStart w:id="183" w:name="_Toc11980"/>
      <w:bookmarkStart w:id="184" w:name="_Toc23897"/>
      <w:bookmarkStart w:id="185" w:name="_Toc4679"/>
      <w:bookmarkStart w:id="186" w:name="_Toc29380"/>
      <w:bookmarkStart w:id="187" w:name="_Toc141050516"/>
      <w:bookmarkStart w:id="188" w:name="_Toc7702"/>
      <w:bookmarkStart w:id="189" w:name="_Toc13628"/>
      <w:bookmarkStart w:id="190" w:name="_Toc19961"/>
      <w:bookmarkStart w:id="191" w:name="_Toc128476879"/>
      <w:r>
        <w:rPr>
          <w:rFonts w:hint="eastAsia" w:ascii="仿宋" w:hAnsi="仿宋" w:eastAsia="仿宋" w:cs="仿宋"/>
          <w:color w:val="auto"/>
          <w:sz w:val="24"/>
          <w:szCs w:val="24"/>
          <w:highlight w:val="none"/>
        </w:rPr>
        <w:br w:type="page"/>
      </w:r>
      <w:bookmarkStart w:id="192" w:name="_Toc23206"/>
      <w:bookmarkStart w:id="193" w:name="_Toc18253"/>
      <w:bookmarkStart w:id="194" w:name="_Toc7909"/>
      <w:bookmarkStart w:id="195" w:name="_Toc15903"/>
      <w:bookmarkStart w:id="196" w:name="_Toc26222"/>
      <w:bookmarkStart w:id="197" w:name="_Toc31631"/>
      <w:bookmarkStart w:id="198" w:name="_Toc15268"/>
      <w:bookmarkStart w:id="199" w:name="_Toc130252622"/>
      <w:bookmarkStart w:id="200" w:name="_Toc5059"/>
      <w:bookmarkStart w:id="201" w:name="_Toc5302"/>
      <w:bookmarkStart w:id="202" w:name="_Toc29597"/>
      <w:bookmarkStart w:id="203" w:name="_Toc141050515"/>
      <w:bookmarkStart w:id="204" w:name="_Toc27784"/>
      <w:bookmarkStart w:id="205" w:name="_Toc113901849"/>
      <w:bookmarkStart w:id="206" w:name="_Toc8286"/>
      <w:bookmarkStart w:id="207" w:name="_Toc2553"/>
      <w:bookmarkStart w:id="208" w:name="_Toc14445"/>
      <w:bookmarkStart w:id="209" w:name="_Toc8046"/>
      <w:bookmarkStart w:id="210" w:name="_Toc29907"/>
      <w:bookmarkStart w:id="211" w:name="_Toc22107"/>
      <w:bookmarkStart w:id="212" w:name="_Toc5906"/>
      <w:bookmarkStart w:id="213" w:name="_Toc56"/>
      <w:bookmarkStart w:id="214" w:name="_Toc128476878"/>
      <w:bookmarkStart w:id="215" w:name="_Toc29449"/>
      <w:bookmarkStart w:id="216" w:name="_Toc19012"/>
      <w:bookmarkStart w:id="217" w:name="_Toc31890"/>
      <w:bookmarkStart w:id="218" w:name="_Toc7329"/>
      <w:r>
        <w:rPr>
          <w:rFonts w:hint="eastAsia" w:ascii="仿宋" w:hAnsi="仿宋" w:eastAsia="仿宋" w:cs="仿宋"/>
          <w:b/>
          <w:color w:val="auto"/>
          <w:sz w:val="24"/>
          <w:szCs w:val="24"/>
          <w:highlight w:val="none"/>
        </w:rPr>
        <w:t>9.1 法人或者其他组织的营业执照等证明文件，自然人的身份证明</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6506F71">
      <w:pPr>
        <w:spacing w:line="360" w:lineRule="auto"/>
        <w:rPr>
          <w:rFonts w:hint="eastAsia" w:ascii="仿宋" w:hAnsi="仿宋" w:eastAsia="仿宋" w:cs="仿宋"/>
          <w:color w:val="auto"/>
          <w:sz w:val="24"/>
          <w:szCs w:val="24"/>
          <w:highlight w:val="none"/>
        </w:rPr>
      </w:pPr>
    </w:p>
    <w:p w14:paraId="06D036DE">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一、如投标人是企业（包括合伙企业)，应提供在工商部门注册的有效“企业法人营业执照”或“营业执照”;</w:t>
      </w:r>
    </w:p>
    <w:p w14:paraId="7CD59D04">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二、如投标人是事业单位，应提供有效的“事业单位法人证书”;</w:t>
      </w:r>
    </w:p>
    <w:p w14:paraId="29F58F67">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三、如投标人是非企业专业服务机构的，应提供执业许可证等证明文件;</w:t>
      </w:r>
    </w:p>
    <w:p w14:paraId="4C8B1A17">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四、如投标人是个体工商户，应提供有效的“个体工商户营业执照”;</w:t>
      </w:r>
    </w:p>
    <w:p w14:paraId="0F74BCA0">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五、如投标人是自然人，应提供有效的自然人身份证明。</w:t>
      </w:r>
    </w:p>
    <w:p w14:paraId="0C74F88E">
      <w:pPr>
        <w:spacing w:line="360" w:lineRule="auto"/>
        <w:rPr>
          <w:rFonts w:hint="eastAsia" w:ascii="仿宋" w:hAnsi="仿宋" w:eastAsia="仿宋" w:cs="仿宋"/>
          <w:color w:val="auto"/>
          <w:sz w:val="24"/>
          <w:szCs w:val="24"/>
          <w:highlight w:val="none"/>
        </w:rPr>
      </w:pPr>
    </w:p>
    <w:p w14:paraId="7E701C6D">
      <w:pPr>
        <w:spacing w:line="360" w:lineRule="auto"/>
        <w:ind w:firstLine="480" w:firstLineChars="200"/>
        <w:rPr>
          <w:rFonts w:hint="eastAsia" w:ascii="仿宋" w:hAnsi="仿宋" w:eastAsia="仿宋" w:cs="仿宋"/>
          <w:color w:val="auto"/>
          <w:sz w:val="24"/>
          <w:szCs w:val="24"/>
          <w:highlight w:val="none"/>
        </w:rPr>
      </w:pPr>
    </w:p>
    <w:p w14:paraId="2DFF6E52">
      <w:pPr>
        <w:spacing w:line="360" w:lineRule="auto"/>
        <w:rPr>
          <w:rFonts w:hint="eastAsia" w:ascii="仿宋" w:hAnsi="仿宋" w:eastAsia="仿宋" w:cs="仿宋"/>
          <w:color w:val="auto"/>
          <w:sz w:val="24"/>
          <w:szCs w:val="24"/>
          <w:highlight w:val="none"/>
        </w:rPr>
      </w:pPr>
    </w:p>
    <w:p w14:paraId="3B3808D8">
      <w:pPr>
        <w:widowControl/>
        <w:spacing w:line="360" w:lineRule="auto"/>
        <w:jc w:val="left"/>
        <w:rPr>
          <w:rFonts w:hint="eastAsia"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6FB82420">
      <w:pPr>
        <w:spacing w:line="360" w:lineRule="auto"/>
        <w:jc w:val="center"/>
        <w:outlineLvl w:val="1"/>
        <w:rPr>
          <w:rFonts w:hint="eastAsia" w:ascii="仿宋" w:hAnsi="仿宋" w:eastAsia="仿宋" w:cs="仿宋"/>
          <w:b/>
          <w:color w:val="auto"/>
          <w:sz w:val="24"/>
          <w:szCs w:val="24"/>
          <w:highlight w:val="none"/>
        </w:rPr>
      </w:pPr>
      <w:bookmarkStart w:id="219" w:name="_Toc4941"/>
      <w:bookmarkStart w:id="220" w:name="_Toc2737"/>
      <w:bookmarkStart w:id="221" w:name="_Toc1284"/>
      <w:bookmarkStart w:id="222" w:name="_Toc4668"/>
      <w:bookmarkStart w:id="223" w:name="_Toc7913"/>
      <w:bookmarkStart w:id="224" w:name="_Toc7669"/>
      <w:bookmarkStart w:id="225" w:name="_Toc10777"/>
      <w:r>
        <w:rPr>
          <w:rFonts w:hint="eastAsia" w:ascii="仿宋" w:hAnsi="仿宋" w:eastAsia="仿宋" w:cs="仿宋"/>
          <w:b/>
          <w:color w:val="auto"/>
          <w:sz w:val="24"/>
          <w:szCs w:val="24"/>
          <w:highlight w:val="none"/>
        </w:rPr>
        <w:t>9.2 财务状况报告，依法缴纳税收和社会保障资金的相关材料</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219"/>
      <w:bookmarkEnd w:id="220"/>
      <w:bookmarkEnd w:id="221"/>
      <w:bookmarkEnd w:id="222"/>
      <w:bookmarkEnd w:id="223"/>
      <w:bookmarkEnd w:id="224"/>
      <w:bookmarkEnd w:id="225"/>
    </w:p>
    <w:p w14:paraId="064EE1C7">
      <w:pPr>
        <w:spacing w:after="120" w:line="360" w:lineRule="auto"/>
        <w:rPr>
          <w:rFonts w:hint="eastAsia" w:ascii="仿宋" w:hAnsi="仿宋" w:eastAsia="仿宋" w:cs="仿宋"/>
          <w:color w:val="auto"/>
          <w:spacing w:val="10"/>
          <w:kern w:val="0"/>
          <w:sz w:val="24"/>
          <w:szCs w:val="24"/>
          <w:highlight w:val="none"/>
        </w:rPr>
      </w:pPr>
    </w:p>
    <w:p w14:paraId="1B38566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5B576F5B">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投标文件递交截止之日前六个月内任意一个月，不限制采购人主体）。</w:t>
      </w:r>
    </w:p>
    <w:p w14:paraId="4457C9E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要求2、成立不足六个月（以投标文件递交截止之日为期限）的投标人无需提供。</w:t>
      </w:r>
    </w:p>
    <w:p w14:paraId="76E98692">
      <w:pPr>
        <w:rPr>
          <w:rFonts w:hint="eastAsia" w:ascii="仿宋" w:hAnsi="仿宋" w:eastAsia="仿宋" w:cs="仿宋"/>
          <w:color w:val="auto"/>
          <w:highlight w:val="none"/>
        </w:rPr>
      </w:pPr>
    </w:p>
    <w:p w14:paraId="77DC7F34">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6108EAF2">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2E2A25E6">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21FCB62F">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76E5E37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6C5352FF">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2.3、依法免税或不需要缴纳社会保障资金的投标人，应提供相应文件证明其依法免税或不需要缴纳社会保障资金。</w:t>
      </w:r>
    </w:p>
    <w:p w14:paraId="53A3DEAC">
      <w:pPr>
        <w:rPr>
          <w:rFonts w:hint="eastAsia" w:ascii="仿宋" w:hAnsi="仿宋" w:eastAsia="仿宋" w:cs="仿宋"/>
          <w:color w:val="auto"/>
          <w:highlight w:val="none"/>
        </w:rPr>
      </w:pPr>
    </w:p>
    <w:p w14:paraId="50A244D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7C373268">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C95C53A">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3.2、如投标人所在地有关主管部门反馈的证明材料与本文中要求不一致时，以当地要求为准，但须投标人提供文字说明。</w:t>
      </w:r>
    </w:p>
    <w:p w14:paraId="48BC2F3E">
      <w:pPr>
        <w:spacing w:after="120" w:line="360" w:lineRule="auto"/>
        <w:ind w:firstLine="460" w:firstLineChars="200"/>
        <w:rPr>
          <w:rFonts w:hint="eastAsia" w:ascii="仿宋" w:hAnsi="仿宋" w:eastAsia="仿宋" w:cs="仿宋"/>
          <w:color w:val="auto"/>
          <w:spacing w:val="10"/>
          <w:szCs w:val="24"/>
          <w:highlight w:val="none"/>
          <w:shd w:val="clear" w:color="auto" w:fill="FFFFFF" w:themeFill="background1"/>
        </w:rPr>
      </w:pPr>
    </w:p>
    <w:p w14:paraId="766D2A06">
      <w:pPr>
        <w:rPr>
          <w:rFonts w:hint="eastAsia" w:ascii="仿宋" w:hAnsi="仿宋" w:eastAsia="仿宋" w:cs="仿宋"/>
          <w:b/>
          <w:color w:val="auto"/>
          <w:sz w:val="24"/>
          <w:szCs w:val="24"/>
          <w:highlight w:val="none"/>
        </w:rPr>
      </w:pPr>
      <w:bookmarkStart w:id="226" w:name="_Toc29582"/>
      <w:bookmarkStart w:id="227" w:name="_Toc130252624"/>
      <w:bookmarkStart w:id="228" w:name="_Toc24817"/>
      <w:bookmarkStart w:id="229" w:name="_Toc113901851"/>
      <w:bookmarkStart w:id="230" w:name="_Toc6527"/>
      <w:bookmarkStart w:id="231" w:name="_Toc8262"/>
      <w:bookmarkStart w:id="232" w:name="_Toc128476880"/>
      <w:bookmarkStart w:id="233" w:name="_Toc24943"/>
      <w:bookmarkStart w:id="234" w:name="_Toc28937"/>
      <w:bookmarkStart w:id="235" w:name="_Toc141050517"/>
      <w:bookmarkStart w:id="236" w:name="_Toc28397"/>
      <w:bookmarkStart w:id="237" w:name="_Toc22195"/>
      <w:bookmarkStart w:id="238" w:name="_Toc3038"/>
      <w:bookmarkStart w:id="239" w:name="_Toc20521"/>
      <w:bookmarkStart w:id="240" w:name="_Toc15267"/>
      <w:bookmarkStart w:id="241" w:name="_Toc6490"/>
      <w:bookmarkStart w:id="242" w:name="_Toc28756"/>
      <w:bookmarkStart w:id="243" w:name="_Toc111556488"/>
      <w:r>
        <w:rPr>
          <w:rFonts w:hint="eastAsia" w:ascii="仿宋" w:hAnsi="仿宋" w:eastAsia="仿宋" w:cs="仿宋"/>
          <w:b/>
          <w:color w:val="auto"/>
          <w:sz w:val="24"/>
          <w:szCs w:val="24"/>
          <w:highlight w:val="none"/>
        </w:rPr>
        <w:br w:type="page"/>
      </w:r>
    </w:p>
    <w:p w14:paraId="54F2137A">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244" w:name="_Toc20309"/>
      <w:bookmarkStart w:id="245" w:name="_Toc23545"/>
      <w:bookmarkStart w:id="246" w:name="_Toc22614"/>
      <w:bookmarkStart w:id="247" w:name="_Toc23779"/>
      <w:bookmarkStart w:id="248" w:name="_Toc7515"/>
      <w:bookmarkStart w:id="249" w:name="_Toc23769"/>
      <w:bookmarkStart w:id="250" w:name="_Toc6917"/>
      <w:bookmarkStart w:id="251" w:name="_Toc13146"/>
      <w:bookmarkStart w:id="252" w:name="_Toc12041"/>
      <w:bookmarkStart w:id="253" w:name="_Toc31926"/>
      <w:r>
        <w:rPr>
          <w:rFonts w:hint="eastAsia" w:ascii="仿宋" w:hAnsi="仿宋" w:eastAsia="仿宋" w:cs="仿宋"/>
          <w:b/>
          <w:color w:val="auto"/>
          <w:sz w:val="24"/>
          <w:szCs w:val="24"/>
          <w:highlight w:val="none"/>
        </w:rPr>
        <w:t>9.3 具备履行合同所必需的设备和专业技术能力的证明材料</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4"/>
      <w:bookmarkEnd w:id="245"/>
      <w:bookmarkEnd w:id="246"/>
      <w:bookmarkEnd w:id="247"/>
      <w:bookmarkEnd w:id="248"/>
      <w:bookmarkEnd w:id="249"/>
      <w:bookmarkEnd w:id="250"/>
      <w:bookmarkEnd w:id="251"/>
      <w:bookmarkEnd w:id="252"/>
      <w:bookmarkEnd w:id="253"/>
    </w:p>
    <w:p w14:paraId="65E20D5A">
      <w:pPr>
        <w:spacing w:line="360" w:lineRule="auto"/>
        <w:jc w:val="center"/>
        <w:rPr>
          <w:rFonts w:hint="eastAsia" w:ascii="仿宋" w:hAnsi="仿宋" w:eastAsia="仿宋" w:cs="仿宋"/>
          <w:b/>
          <w:color w:val="auto"/>
          <w:sz w:val="24"/>
          <w:szCs w:val="24"/>
          <w:highlight w:val="none"/>
        </w:rPr>
      </w:pPr>
    </w:p>
    <w:p w14:paraId="2C273453">
      <w:pPr>
        <w:spacing w:line="360" w:lineRule="auto"/>
        <w:jc w:val="center"/>
        <w:rPr>
          <w:rFonts w:hint="eastAsia" w:ascii="仿宋" w:hAnsi="仿宋" w:eastAsia="仿宋" w:cs="仿宋"/>
          <w:b/>
          <w:color w:val="auto"/>
          <w:sz w:val="24"/>
          <w:szCs w:val="24"/>
          <w:highlight w:val="none"/>
        </w:rPr>
      </w:pPr>
    </w:p>
    <w:p w14:paraId="770F2CF0">
      <w:pPr>
        <w:spacing w:line="360" w:lineRule="auto"/>
        <w:jc w:val="center"/>
        <w:rPr>
          <w:rFonts w:hint="eastAsia" w:ascii="仿宋" w:hAnsi="仿宋" w:eastAsia="仿宋" w:cs="仿宋"/>
          <w:b/>
          <w:color w:val="auto"/>
          <w:sz w:val="24"/>
          <w:szCs w:val="24"/>
          <w:highlight w:val="none"/>
        </w:rPr>
      </w:pPr>
    </w:p>
    <w:p w14:paraId="1C3BFCC2">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43"/>
      <w:r>
        <w:rPr>
          <w:rFonts w:hint="eastAsia" w:ascii="仿宋" w:hAnsi="仿宋" w:eastAsia="仿宋" w:cs="仿宋"/>
          <w:b/>
          <w:color w:val="auto"/>
          <w:sz w:val="24"/>
          <w:szCs w:val="24"/>
          <w:highlight w:val="none"/>
        </w:rPr>
        <w:t>函</w:t>
      </w:r>
    </w:p>
    <w:p w14:paraId="445C64D6">
      <w:pPr>
        <w:adjustRightInd w:val="0"/>
        <w:snapToGrid w:val="0"/>
        <w:spacing w:line="360" w:lineRule="auto"/>
        <w:ind w:firstLine="480" w:firstLineChars="200"/>
        <w:jc w:val="center"/>
        <w:rPr>
          <w:rFonts w:hint="eastAsia" w:ascii="仿宋" w:hAnsi="仿宋" w:eastAsia="仿宋" w:cs="仿宋"/>
          <w:color w:val="auto"/>
          <w:sz w:val="24"/>
          <w:szCs w:val="24"/>
          <w:highlight w:val="none"/>
        </w:rPr>
      </w:pPr>
    </w:p>
    <w:p w14:paraId="27952EB9">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212E45E7">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073C6877">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338063E4">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（项目名称）合同所必需的设备和专业技术能力；</w:t>
      </w:r>
    </w:p>
    <w:p w14:paraId="5F84E051">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079E7000">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643B6B0B">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568663EE">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7CB4809E">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3B72177">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38B93A5">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6CABEA5E">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1A4B18A7">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4DFD85ED">
      <w:pPr>
        <w:adjustRightInd w:val="0"/>
        <w:snapToGrid w:val="0"/>
        <w:spacing w:line="360" w:lineRule="auto"/>
        <w:rPr>
          <w:rFonts w:hint="eastAsia" w:ascii="仿宋" w:hAnsi="仿宋" w:eastAsia="仿宋" w:cs="仿宋"/>
          <w:bCs/>
          <w:color w:val="auto"/>
          <w:sz w:val="24"/>
          <w:szCs w:val="24"/>
          <w:highlight w:val="none"/>
        </w:rPr>
      </w:pPr>
    </w:p>
    <w:p w14:paraId="1207A4F9">
      <w:pPr>
        <w:spacing w:line="360" w:lineRule="auto"/>
        <w:rPr>
          <w:rFonts w:hint="eastAsia" w:ascii="仿宋" w:hAnsi="仿宋" w:eastAsia="仿宋" w:cs="仿宋"/>
          <w:color w:val="auto"/>
          <w:sz w:val="24"/>
          <w:szCs w:val="24"/>
          <w:highlight w:val="none"/>
        </w:rPr>
      </w:pPr>
    </w:p>
    <w:p w14:paraId="4A50B00F">
      <w:pPr>
        <w:spacing w:line="360" w:lineRule="auto"/>
        <w:rPr>
          <w:rFonts w:hint="eastAsia" w:ascii="仿宋" w:hAnsi="仿宋" w:eastAsia="仿宋" w:cs="仿宋"/>
          <w:color w:val="auto"/>
          <w:sz w:val="24"/>
          <w:szCs w:val="24"/>
          <w:highlight w:val="none"/>
        </w:rPr>
      </w:pPr>
    </w:p>
    <w:p w14:paraId="147F13DB">
      <w:pPr>
        <w:spacing w:line="360" w:lineRule="auto"/>
        <w:rPr>
          <w:rFonts w:hint="eastAsia" w:ascii="仿宋" w:hAnsi="仿宋" w:eastAsia="仿宋" w:cs="仿宋"/>
          <w:color w:val="auto"/>
          <w:sz w:val="24"/>
          <w:szCs w:val="24"/>
          <w:highlight w:val="none"/>
        </w:rPr>
      </w:pPr>
    </w:p>
    <w:p w14:paraId="6A297B51">
      <w:pPr>
        <w:spacing w:line="360" w:lineRule="auto"/>
        <w:rPr>
          <w:rFonts w:hint="eastAsia" w:ascii="仿宋" w:hAnsi="仿宋" w:eastAsia="仿宋" w:cs="仿宋"/>
          <w:color w:val="auto"/>
          <w:sz w:val="24"/>
          <w:szCs w:val="24"/>
          <w:highlight w:val="none"/>
        </w:rPr>
      </w:pPr>
    </w:p>
    <w:p w14:paraId="546CCC8F">
      <w:pPr>
        <w:spacing w:line="360" w:lineRule="auto"/>
        <w:rPr>
          <w:rFonts w:hint="eastAsia" w:ascii="仿宋" w:hAnsi="仿宋" w:eastAsia="仿宋" w:cs="仿宋"/>
          <w:color w:val="auto"/>
          <w:sz w:val="24"/>
          <w:szCs w:val="24"/>
          <w:highlight w:val="none"/>
        </w:rPr>
      </w:pPr>
    </w:p>
    <w:p w14:paraId="6CF066A2">
      <w:pPr>
        <w:spacing w:line="360" w:lineRule="auto"/>
        <w:rPr>
          <w:rFonts w:hint="eastAsia" w:ascii="仿宋" w:hAnsi="仿宋" w:eastAsia="仿宋" w:cs="仿宋"/>
          <w:color w:val="auto"/>
          <w:sz w:val="24"/>
          <w:szCs w:val="24"/>
          <w:highlight w:val="none"/>
        </w:rPr>
      </w:pPr>
    </w:p>
    <w:p w14:paraId="5D9E4924">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54" w:name="_Toc31613"/>
      <w:bookmarkStart w:id="255" w:name="_Toc29127"/>
      <w:bookmarkStart w:id="256" w:name="_Toc19989"/>
      <w:bookmarkStart w:id="257" w:name="_Toc16035"/>
      <w:bookmarkStart w:id="258" w:name="_Toc18553"/>
      <w:bookmarkStart w:id="259" w:name="_Toc12824"/>
      <w:bookmarkStart w:id="260" w:name="_Toc1561"/>
      <w:bookmarkStart w:id="261" w:name="_Toc4857"/>
      <w:bookmarkStart w:id="262" w:name="_Toc19260"/>
      <w:bookmarkStart w:id="263" w:name="_Toc141050518"/>
      <w:bookmarkStart w:id="264" w:name="_Toc5472"/>
      <w:bookmarkStart w:id="265" w:name="_Toc5597"/>
      <w:bookmarkStart w:id="266" w:name="_Toc130252625"/>
      <w:bookmarkStart w:id="267" w:name="_Toc9960"/>
      <w:bookmarkStart w:id="268" w:name="_Toc27620"/>
      <w:bookmarkStart w:id="269" w:name="_Toc12742"/>
      <w:bookmarkStart w:id="270" w:name="_Toc14597"/>
      <w:bookmarkStart w:id="271" w:name="_Toc154"/>
      <w:bookmarkStart w:id="272" w:name="_Toc14189"/>
      <w:bookmarkStart w:id="273" w:name="_Toc27933"/>
      <w:bookmarkStart w:id="274" w:name="_Toc128476881"/>
      <w:bookmarkStart w:id="275" w:name="_Toc113901852"/>
      <w:bookmarkStart w:id="276" w:name="_Toc7322"/>
      <w:bookmarkStart w:id="277" w:name="_Toc12060"/>
      <w:bookmarkStart w:id="278" w:name="_Toc17656"/>
      <w:bookmarkStart w:id="279" w:name="_Toc9901"/>
      <w:bookmarkStart w:id="280" w:name="_Toc27121"/>
      <w:bookmarkStart w:id="281" w:name="_Toc111556490"/>
      <w:r>
        <w:rPr>
          <w:rFonts w:hint="eastAsia" w:ascii="仿宋" w:hAnsi="仿宋" w:eastAsia="仿宋" w:cs="仿宋"/>
          <w:b/>
          <w:color w:val="auto"/>
          <w:sz w:val="24"/>
          <w:szCs w:val="24"/>
          <w:highlight w:val="none"/>
        </w:rPr>
        <w:t>9.4 参加政府采购活动前3年内在经营活动中没有重大违法记录的书面声明</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14:paraId="1C68C053">
      <w:pPr>
        <w:widowControl/>
        <w:adjustRightInd w:val="0"/>
        <w:snapToGrid w:val="0"/>
        <w:spacing w:line="360" w:lineRule="auto"/>
        <w:rPr>
          <w:rFonts w:hint="eastAsia" w:ascii="仿宋" w:hAnsi="仿宋" w:eastAsia="仿宋" w:cs="仿宋"/>
          <w:color w:val="auto"/>
          <w:sz w:val="24"/>
          <w:szCs w:val="24"/>
          <w:highlight w:val="none"/>
        </w:rPr>
      </w:pPr>
    </w:p>
    <w:p w14:paraId="79A6E63F">
      <w:pPr>
        <w:widowControl/>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12DC04A3">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1DAA9D89">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356A4CB7">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4A0DC7F2">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0DBC62F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0F2E2FBF">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79EA6FD3">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31D0EFC2">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378AB3ED">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p>
    <w:p w14:paraId="5F256BC1">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39A3B117">
      <w:pPr>
        <w:adjustRightInd w:val="0"/>
        <w:snapToGrid w:val="0"/>
        <w:spacing w:line="360" w:lineRule="auto"/>
        <w:ind w:firstLine="480" w:firstLineChars="200"/>
        <w:rPr>
          <w:rFonts w:hint="eastAsia" w:ascii="仿宋" w:hAnsi="仿宋" w:eastAsia="仿宋" w:cs="仿宋"/>
          <w:color w:val="auto"/>
          <w:kern w:val="0"/>
          <w:sz w:val="24"/>
          <w:szCs w:val="24"/>
          <w:highlight w:val="none"/>
        </w:rPr>
      </w:pPr>
    </w:p>
    <w:p w14:paraId="57CDA15C">
      <w:pPr>
        <w:adjustRightInd w:val="0"/>
        <w:snapToGrid w:val="0"/>
        <w:spacing w:line="360" w:lineRule="auto"/>
        <w:ind w:firstLine="3112" w:firstLineChars="1297"/>
        <w:rPr>
          <w:rFonts w:hint="eastAsia" w:ascii="仿宋" w:hAnsi="仿宋" w:eastAsia="仿宋" w:cs="仿宋"/>
          <w:color w:val="auto"/>
          <w:sz w:val="24"/>
          <w:szCs w:val="24"/>
          <w:highlight w:val="none"/>
        </w:rPr>
      </w:pPr>
    </w:p>
    <w:p w14:paraId="06B436BE">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AA4D537">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30946FAE">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498D31BD">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48B9FD18">
      <w:pPr>
        <w:widowControl/>
        <w:shd w:val="clear" w:color="auto" w:fill="FFFFFF"/>
        <w:snapToGrid w:val="0"/>
        <w:spacing w:line="360" w:lineRule="auto"/>
        <w:ind w:firstLine="420"/>
        <w:rPr>
          <w:rFonts w:hint="eastAsia" w:ascii="仿宋" w:hAnsi="仿宋" w:eastAsia="仿宋" w:cs="仿宋"/>
          <w:color w:val="auto"/>
          <w:kern w:val="0"/>
          <w:sz w:val="24"/>
          <w:szCs w:val="24"/>
          <w:highlight w:val="none"/>
        </w:rPr>
      </w:pPr>
    </w:p>
    <w:p w14:paraId="222F6EF7">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82" w:name="_Toc26082"/>
      <w:bookmarkStart w:id="283" w:name="_Toc17442"/>
      <w:bookmarkStart w:id="284" w:name="_Toc30447"/>
      <w:bookmarkStart w:id="285" w:name="_Toc29008"/>
      <w:bookmarkStart w:id="286" w:name="_Toc25108"/>
      <w:bookmarkStart w:id="287" w:name="_Toc9134"/>
      <w:bookmarkStart w:id="288" w:name="_Toc11552"/>
      <w:bookmarkStart w:id="289" w:name="_Toc8192"/>
      <w:bookmarkStart w:id="290" w:name="_Toc24660"/>
      <w:bookmarkStart w:id="291" w:name="_Toc13030"/>
      <w:bookmarkStart w:id="292" w:name="_Toc9945"/>
      <w:bookmarkStart w:id="293" w:name="_Toc130252626"/>
      <w:bookmarkStart w:id="294" w:name="_Toc128476882"/>
      <w:bookmarkStart w:id="295" w:name="_Toc14380"/>
      <w:bookmarkStart w:id="296" w:name="_Toc8186"/>
      <w:bookmarkStart w:id="297" w:name="_Toc113901853"/>
      <w:bookmarkStart w:id="298" w:name="_Toc313"/>
      <w:bookmarkStart w:id="299" w:name="_Toc30930"/>
      <w:bookmarkStart w:id="300" w:name="_Toc31144"/>
      <w:bookmarkStart w:id="301" w:name="_Toc428"/>
      <w:bookmarkStart w:id="302" w:name="_Toc25296"/>
      <w:bookmarkStart w:id="303" w:name="_Toc17488"/>
      <w:bookmarkStart w:id="304" w:name="_Toc4675"/>
      <w:bookmarkStart w:id="305" w:name="_Toc141050519"/>
      <w:bookmarkStart w:id="306" w:name="_Toc16508"/>
      <w:bookmarkStart w:id="307" w:name="_Toc9385"/>
      <w:bookmarkStart w:id="308" w:name="_Toc6424"/>
      <w:r>
        <w:rPr>
          <w:rFonts w:hint="eastAsia" w:ascii="仿宋" w:hAnsi="仿宋" w:eastAsia="仿宋" w:cs="仿宋"/>
          <w:b/>
          <w:color w:val="auto"/>
          <w:sz w:val="24"/>
          <w:szCs w:val="24"/>
          <w:highlight w:val="none"/>
        </w:rPr>
        <w:t>9.5 具备法律、行政法规规定的其他条件的证明材料</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10C0CD21">
      <w:pPr>
        <w:widowControl/>
        <w:adjustRightInd w:val="0"/>
        <w:snapToGrid w:val="0"/>
        <w:spacing w:line="360" w:lineRule="auto"/>
        <w:rPr>
          <w:rFonts w:hint="eastAsia" w:ascii="仿宋" w:hAnsi="仿宋" w:eastAsia="仿宋" w:cs="仿宋"/>
          <w:color w:val="auto"/>
          <w:sz w:val="24"/>
          <w:szCs w:val="24"/>
          <w:highlight w:val="none"/>
        </w:rPr>
      </w:pPr>
    </w:p>
    <w:p w14:paraId="4F8A24D5">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01B3E1EA">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6CEE7C03">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三、关于符合本国产品标准的声明函或</w:t>
      </w:r>
      <w:r>
        <w:rPr>
          <w:rFonts w:hint="eastAsia" w:ascii="仿宋" w:hAnsi="仿宋" w:eastAsia="仿宋" w:cs="仿宋"/>
          <w:color w:val="auto"/>
          <w:sz w:val="24"/>
          <w:szCs w:val="24"/>
          <w:highlight w:val="none"/>
          <w:shd w:val="clear" w:color="auto" w:fill="FFFFFF"/>
        </w:rPr>
        <w:t>或财政部会同有关部门规定的有关证明文件</w:t>
      </w:r>
      <w:r>
        <w:rPr>
          <w:rFonts w:hint="eastAsia" w:ascii="仿宋" w:hAnsi="仿宋" w:eastAsia="仿宋" w:cs="仿宋"/>
          <w:color w:val="auto"/>
          <w:sz w:val="24"/>
          <w:szCs w:val="24"/>
          <w:highlight w:val="none"/>
          <w:shd w:val="clear" w:color="auto" w:fill="FFFFFF" w:themeFill="background1"/>
        </w:rPr>
        <w:t>（如有时）。</w:t>
      </w:r>
    </w:p>
    <w:p w14:paraId="14186D2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820A839">
      <w:pPr>
        <w:widowControl/>
        <w:spacing w:line="36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67E23C84">
      <w:pPr>
        <w:spacing w:line="588" w:lineRule="exact"/>
        <w:jc w:val="center"/>
        <w:rPr>
          <w:rFonts w:hint="eastAsia" w:ascii="仿宋" w:hAnsi="仿宋" w:eastAsia="仿宋" w:cs="仿宋"/>
          <w:b/>
          <w:color w:val="auto"/>
          <w:spacing w:val="6"/>
          <w:sz w:val="24"/>
          <w:szCs w:val="24"/>
          <w:highlight w:val="none"/>
        </w:rPr>
      </w:pPr>
    </w:p>
    <w:p w14:paraId="6D387B6D">
      <w:pPr>
        <w:spacing w:line="588" w:lineRule="exact"/>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中小企业声明函（货物）</w:t>
      </w:r>
    </w:p>
    <w:p w14:paraId="2AE3FEE2">
      <w:pPr>
        <w:spacing w:line="588" w:lineRule="exact"/>
        <w:jc w:val="center"/>
        <w:rPr>
          <w:rFonts w:hint="eastAsia" w:ascii="仿宋" w:hAnsi="仿宋" w:eastAsia="仿宋" w:cs="仿宋"/>
          <w:b/>
          <w:color w:val="auto"/>
          <w:spacing w:val="6"/>
          <w:sz w:val="24"/>
          <w:szCs w:val="24"/>
          <w:highlight w:val="none"/>
        </w:rPr>
      </w:pPr>
    </w:p>
    <w:p w14:paraId="07B5E85D">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rPr>
        <w:t xml:space="preserve">  （联合体）</w:t>
      </w:r>
      <w:r>
        <w:rPr>
          <w:rFonts w:hint="eastAsia" w:ascii="仿宋" w:hAnsi="仿宋" w:eastAsia="仿宋" w:cs="仿宋"/>
          <w:color w:val="auto"/>
          <w:kern w:val="0"/>
          <w:sz w:val="24"/>
          <w:szCs w:val="24"/>
          <w:highlight w:val="none"/>
        </w:rPr>
        <w:t>参加</w:t>
      </w:r>
      <w:r>
        <w:rPr>
          <w:rFonts w:hint="eastAsia" w:ascii="仿宋" w:hAnsi="仿宋" w:eastAsia="仿宋" w:cs="仿宋"/>
          <w:color w:val="auto"/>
          <w:kern w:val="0"/>
          <w:sz w:val="24"/>
          <w:szCs w:val="24"/>
          <w:highlight w:val="none"/>
          <w:u w:val="single"/>
        </w:rPr>
        <w:t xml:space="preserve">  （单位名称）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 xml:space="preserve">  （项目名称）</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689FFD77">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5CCBBB96">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0EE83EEA">
      <w:pPr>
        <w:spacing w:line="588" w:lineRule="exact"/>
        <w:rPr>
          <w:rFonts w:hint="eastAsia" w:ascii="仿宋" w:hAnsi="仿宋" w:eastAsia="仿宋" w:cs="仿宋"/>
          <w:color w:val="auto"/>
          <w:kern w:val="0"/>
          <w:sz w:val="24"/>
          <w:szCs w:val="24"/>
          <w:highlight w:val="none"/>
        </w:rPr>
      </w:pPr>
    </w:p>
    <w:p w14:paraId="7EC24D2D">
      <w:pPr>
        <w:spacing w:line="588"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7F17C40F">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4DC97872">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451E9723">
      <w:pPr>
        <w:spacing w:line="588" w:lineRule="exact"/>
        <w:ind w:firstLine="480" w:firstLineChars="200"/>
        <w:rPr>
          <w:rFonts w:hint="eastAsia" w:ascii="仿宋" w:hAnsi="仿宋" w:eastAsia="仿宋" w:cs="仿宋"/>
          <w:color w:val="auto"/>
          <w:kern w:val="0"/>
          <w:sz w:val="24"/>
          <w:szCs w:val="24"/>
          <w:highlight w:val="none"/>
        </w:rPr>
      </w:pPr>
    </w:p>
    <w:p w14:paraId="4198FEDE">
      <w:pPr>
        <w:spacing w:line="588" w:lineRule="exact"/>
        <w:ind w:right="48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企业名称（盖章）：</w:t>
      </w:r>
    </w:p>
    <w:p w14:paraId="25766CBB">
      <w:pPr>
        <w:spacing w:line="588" w:lineRule="exact"/>
        <w:ind w:right="480" w:firstLine="6240" w:firstLineChars="26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p>
    <w:p w14:paraId="4B3612DB">
      <w:pPr>
        <w:spacing w:line="588" w:lineRule="exact"/>
        <w:ind w:right="480" w:firstLine="6240" w:firstLineChars="2600"/>
        <w:rPr>
          <w:rFonts w:hint="eastAsia" w:ascii="仿宋" w:hAnsi="仿宋" w:eastAsia="仿宋" w:cs="仿宋"/>
          <w:color w:val="auto"/>
          <w:kern w:val="0"/>
          <w:sz w:val="24"/>
          <w:szCs w:val="24"/>
          <w:highlight w:val="none"/>
        </w:rPr>
      </w:pPr>
    </w:p>
    <w:p w14:paraId="747E3BFD">
      <w:pPr>
        <w:spacing w:line="588"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注：人员、营业收入、资产总额填报上一年度数据，无上一年度数据的新成立企业可不填报。</w:t>
      </w:r>
    </w:p>
    <w:p w14:paraId="29D05059">
      <w:pPr>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37A72E7D">
      <w:pPr>
        <w:spacing w:line="360" w:lineRule="auto"/>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23AF482E">
      <w:pPr>
        <w:spacing w:line="360" w:lineRule="auto"/>
        <w:rPr>
          <w:rFonts w:hint="eastAsia" w:ascii="仿宋" w:hAnsi="仿宋" w:eastAsia="仿宋" w:cs="仿宋"/>
          <w:b/>
          <w:color w:val="auto"/>
          <w:spacing w:val="6"/>
          <w:sz w:val="24"/>
          <w:szCs w:val="24"/>
          <w:highlight w:val="none"/>
        </w:rPr>
      </w:pPr>
    </w:p>
    <w:p w14:paraId="1670CD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07DEC9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79EADB89">
      <w:pPr>
        <w:spacing w:line="360" w:lineRule="auto"/>
        <w:ind w:firstLine="504" w:firstLineChars="200"/>
        <w:rPr>
          <w:rFonts w:hint="eastAsia" w:ascii="仿宋" w:hAnsi="仿宋" w:eastAsia="仿宋" w:cs="仿宋"/>
          <w:color w:val="auto"/>
          <w:spacing w:val="6"/>
          <w:sz w:val="24"/>
          <w:szCs w:val="24"/>
          <w:highlight w:val="none"/>
        </w:rPr>
      </w:pPr>
    </w:p>
    <w:p w14:paraId="41F4FFD2">
      <w:pPr>
        <w:spacing w:line="360" w:lineRule="auto"/>
        <w:ind w:firstLine="504" w:firstLineChars="200"/>
        <w:rPr>
          <w:rFonts w:hint="eastAsia" w:ascii="仿宋" w:hAnsi="仿宋" w:eastAsia="仿宋" w:cs="仿宋"/>
          <w:color w:val="auto"/>
          <w:spacing w:val="6"/>
          <w:sz w:val="24"/>
          <w:szCs w:val="24"/>
          <w:highlight w:val="none"/>
        </w:rPr>
      </w:pPr>
    </w:p>
    <w:p w14:paraId="6F06F3A1">
      <w:pPr>
        <w:tabs>
          <w:tab w:val="left" w:pos="4860"/>
        </w:tabs>
        <w:spacing w:line="360" w:lineRule="auto"/>
        <w:ind w:right="1560"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78BD473E">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10631B20">
      <w:pPr>
        <w:spacing w:line="360" w:lineRule="auto"/>
        <w:rPr>
          <w:rFonts w:hint="eastAsia" w:ascii="仿宋" w:hAnsi="仿宋" w:eastAsia="仿宋" w:cs="仿宋"/>
          <w:color w:val="auto"/>
          <w:sz w:val="24"/>
          <w:szCs w:val="24"/>
          <w:highlight w:val="none"/>
        </w:rPr>
      </w:pPr>
    </w:p>
    <w:p w14:paraId="45144901">
      <w:pPr>
        <w:spacing w:line="360" w:lineRule="auto"/>
        <w:rPr>
          <w:rFonts w:hint="eastAsia" w:ascii="仿宋" w:hAnsi="仿宋" w:eastAsia="仿宋" w:cs="仿宋"/>
          <w:color w:val="auto"/>
          <w:sz w:val="24"/>
          <w:szCs w:val="24"/>
          <w:highlight w:val="none"/>
        </w:rPr>
      </w:pPr>
    </w:p>
    <w:p w14:paraId="364195EA">
      <w:pPr>
        <w:spacing w:line="360" w:lineRule="auto"/>
        <w:rPr>
          <w:rFonts w:hint="eastAsia" w:ascii="仿宋" w:hAnsi="仿宋" w:eastAsia="仿宋" w:cs="仿宋"/>
          <w:color w:val="auto"/>
          <w:sz w:val="24"/>
          <w:szCs w:val="24"/>
          <w:highlight w:val="none"/>
        </w:rPr>
      </w:pPr>
    </w:p>
    <w:p w14:paraId="0D20F0BA">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3BFC452">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2EDB52D6">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2F05957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0442BE49">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F8AACC5">
      <w:pPr>
        <w:widowControl/>
        <w:spacing w:line="360" w:lineRule="auto"/>
        <w:jc w:val="left"/>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b/>
          <w:color w:val="auto"/>
          <w:kern w:val="0"/>
          <w:sz w:val="24"/>
          <w:szCs w:val="24"/>
          <w:highlight w:val="none"/>
        </w:rPr>
        <w:t>附件</w:t>
      </w:r>
      <w:r>
        <w:rPr>
          <w:rStyle w:val="41"/>
          <w:rFonts w:hint="eastAsia" w:ascii="仿宋" w:hAnsi="仿宋" w:eastAsia="仿宋" w:cs="仿宋"/>
          <w:color w:val="auto"/>
          <w:kern w:val="0"/>
          <w:sz w:val="24"/>
          <w:szCs w:val="24"/>
          <w:highlight w:val="none"/>
          <w:shd w:val="clear" w:color="auto" w:fill="FFFFFF" w:themeFill="background1"/>
        </w:rPr>
        <w:t>四、</w:t>
      </w:r>
    </w:p>
    <w:p w14:paraId="5612C88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9A3970B">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03E65D1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378DD18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AC459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29F797D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1A89CE7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33C30C5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5CBC4BC7">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3EB3EEA7">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17D762F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3CFBB56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1F6C1CC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u w:val="single"/>
          <w:shd w:val="clear" w:color="auto" w:fill="FFFFFF"/>
        </w:rPr>
      </w:pPr>
      <w:r>
        <w:rPr>
          <w:rFonts w:hint="eastAsia" w:ascii="仿宋" w:hAnsi="仿宋" w:eastAsia="仿宋" w:cs="仿宋"/>
          <w:color w:val="auto"/>
          <w:highlight w:val="none"/>
          <w:u w:val="single"/>
          <w:shd w:val="clear" w:color="auto" w:fill="FFFFFF"/>
        </w:rPr>
        <w:t xml:space="preserve">                                                                         </w:t>
      </w:r>
    </w:p>
    <w:p w14:paraId="11997DC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487BE41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53E9E5D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4F22B49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0176854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3AE4DE9F">
      <w:pPr>
        <w:spacing w:line="360" w:lineRule="auto"/>
        <w:ind w:firstLine="504" w:firstLineChars="200"/>
        <w:rPr>
          <w:rFonts w:hint="eastAsia" w:ascii="仿宋" w:hAnsi="仿宋" w:eastAsia="仿宋" w:cs="仿宋"/>
          <w:color w:val="auto"/>
          <w:spacing w:val="6"/>
          <w:sz w:val="24"/>
          <w:szCs w:val="24"/>
          <w:highlight w:val="none"/>
        </w:rPr>
      </w:pPr>
    </w:p>
    <w:p w14:paraId="793D5912">
      <w:pPr>
        <w:widowControl/>
        <w:adjustRightInd w:val="0"/>
        <w:snapToGrid w:val="0"/>
        <w:spacing w:line="360" w:lineRule="auto"/>
        <w:rPr>
          <w:rFonts w:hint="eastAsia" w:ascii="仿宋" w:hAnsi="仿宋" w:eastAsia="仿宋" w:cs="仿宋"/>
          <w:color w:val="auto"/>
          <w:sz w:val="24"/>
          <w:szCs w:val="24"/>
          <w:highlight w:val="none"/>
        </w:rPr>
      </w:pPr>
    </w:p>
    <w:p w14:paraId="418EEEA4">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309" w:name="_Toc109921165"/>
      <w:bookmarkStart w:id="310" w:name="_Toc130252627"/>
      <w:bookmarkStart w:id="311" w:name="_Toc20402"/>
      <w:bookmarkStart w:id="312" w:name="_Toc27167"/>
      <w:bookmarkStart w:id="313" w:name="_Toc28554"/>
      <w:bookmarkStart w:id="314" w:name="_Toc10677"/>
      <w:bookmarkStart w:id="315" w:name="_Toc110707972"/>
      <w:bookmarkStart w:id="316" w:name="_Toc109941772"/>
      <w:bookmarkStart w:id="317" w:name="_Toc13101"/>
      <w:bookmarkStart w:id="318" w:name="_Toc18236"/>
      <w:r>
        <w:rPr>
          <w:rFonts w:hint="eastAsia" w:ascii="仿宋" w:hAnsi="仿宋" w:eastAsia="仿宋" w:cs="仿宋"/>
          <w:b/>
          <w:color w:val="auto"/>
          <w:sz w:val="24"/>
          <w:szCs w:val="24"/>
          <w:highlight w:val="none"/>
        </w:rPr>
        <w:t>十、投标人近年类似项目情况表</w:t>
      </w:r>
      <w:bookmarkEnd w:id="309"/>
      <w:bookmarkEnd w:id="310"/>
      <w:bookmarkEnd w:id="311"/>
      <w:bookmarkEnd w:id="312"/>
      <w:bookmarkEnd w:id="313"/>
      <w:bookmarkEnd w:id="314"/>
      <w:bookmarkEnd w:id="315"/>
      <w:bookmarkEnd w:id="316"/>
      <w:bookmarkEnd w:id="317"/>
      <w:bookmarkEnd w:id="318"/>
    </w:p>
    <w:p w14:paraId="2365E106">
      <w:pPr>
        <w:spacing w:line="360" w:lineRule="auto"/>
        <w:jc w:val="left"/>
        <w:rPr>
          <w:rFonts w:hint="eastAsia" w:ascii="仿宋" w:hAnsi="仿宋" w:eastAsia="仿宋" w:cs="仿宋"/>
          <w:color w:val="auto"/>
          <w:sz w:val="24"/>
          <w:szCs w:val="24"/>
          <w:highlight w:val="none"/>
        </w:rPr>
      </w:pPr>
    </w:p>
    <w:tbl>
      <w:tblPr>
        <w:tblStyle w:val="3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23455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167655A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tcPr>
          <w:p w14:paraId="54C1DE6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tcPr>
          <w:p w14:paraId="2C7D3E3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tcPr>
          <w:p w14:paraId="5BC81A3E">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tcPr>
          <w:p w14:paraId="26A3B60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tcPr>
          <w:p w14:paraId="718C28C0">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tcPr>
          <w:p w14:paraId="29043CA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tcPr>
          <w:p w14:paraId="22975930">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62241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36690287">
            <w:pPr>
              <w:rPr>
                <w:rFonts w:hint="eastAsia" w:ascii="仿宋" w:hAnsi="仿宋" w:eastAsia="仿宋" w:cs="仿宋"/>
                <w:color w:val="auto"/>
                <w:kern w:val="0"/>
                <w:sz w:val="24"/>
                <w:szCs w:val="24"/>
                <w:highlight w:val="none"/>
              </w:rPr>
            </w:pPr>
          </w:p>
        </w:tc>
        <w:tc>
          <w:tcPr>
            <w:tcW w:w="1233" w:type="dxa"/>
          </w:tcPr>
          <w:p w14:paraId="7592C8A9">
            <w:pPr>
              <w:rPr>
                <w:rFonts w:hint="eastAsia" w:ascii="仿宋" w:hAnsi="仿宋" w:eastAsia="仿宋" w:cs="仿宋"/>
                <w:color w:val="auto"/>
                <w:kern w:val="0"/>
                <w:sz w:val="24"/>
                <w:szCs w:val="24"/>
                <w:highlight w:val="none"/>
              </w:rPr>
            </w:pPr>
          </w:p>
        </w:tc>
        <w:tc>
          <w:tcPr>
            <w:tcW w:w="963" w:type="dxa"/>
          </w:tcPr>
          <w:p w14:paraId="1B28F083">
            <w:pPr>
              <w:rPr>
                <w:rFonts w:hint="eastAsia" w:ascii="仿宋" w:hAnsi="仿宋" w:eastAsia="仿宋" w:cs="仿宋"/>
                <w:color w:val="auto"/>
                <w:kern w:val="0"/>
                <w:sz w:val="24"/>
                <w:szCs w:val="24"/>
                <w:highlight w:val="none"/>
              </w:rPr>
            </w:pPr>
          </w:p>
        </w:tc>
        <w:tc>
          <w:tcPr>
            <w:tcW w:w="1922" w:type="dxa"/>
          </w:tcPr>
          <w:p w14:paraId="0C9F8179">
            <w:pPr>
              <w:rPr>
                <w:rFonts w:hint="eastAsia" w:ascii="仿宋" w:hAnsi="仿宋" w:eastAsia="仿宋" w:cs="仿宋"/>
                <w:color w:val="auto"/>
                <w:kern w:val="0"/>
                <w:sz w:val="24"/>
                <w:szCs w:val="24"/>
                <w:highlight w:val="none"/>
              </w:rPr>
            </w:pPr>
          </w:p>
        </w:tc>
        <w:tc>
          <w:tcPr>
            <w:tcW w:w="1212" w:type="dxa"/>
          </w:tcPr>
          <w:p w14:paraId="5E36B50E">
            <w:pPr>
              <w:rPr>
                <w:rFonts w:hint="eastAsia" w:ascii="仿宋" w:hAnsi="仿宋" w:eastAsia="仿宋" w:cs="仿宋"/>
                <w:color w:val="auto"/>
                <w:kern w:val="0"/>
                <w:sz w:val="24"/>
                <w:szCs w:val="24"/>
                <w:highlight w:val="none"/>
              </w:rPr>
            </w:pPr>
          </w:p>
        </w:tc>
        <w:tc>
          <w:tcPr>
            <w:tcW w:w="1232" w:type="dxa"/>
          </w:tcPr>
          <w:p w14:paraId="73CCB978">
            <w:pPr>
              <w:rPr>
                <w:rFonts w:hint="eastAsia" w:ascii="仿宋" w:hAnsi="仿宋" w:eastAsia="仿宋" w:cs="仿宋"/>
                <w:color w:val="auto"/>
                <w:kern w:val="0"/>
                <w:sz w:val="24"/>
                <w:szCs w:val="24"/>
                <w:highlight w:val="none"/>
              </w:rPr>
            </w:pPr>
          </w:p>
        </w:tc>
        <w:tc>
          <w:tcPr>
            <w:tcW w:w="1232" w:type="dxa"/>
          </w:tcPr>
          <w:p w14:paraId="0FF41334">
            <w:pPr>
              <w:rPr>
                <w:rFonts w:hint="eastAsia" w:ascii="仿宋" w:hAnsi="仿宋" w:eastAsia="仿宋" w:cs="仿宋"/>
                <w:color w:val="auto"/>
                <w:kern w:val="0"/>
                <w:sz w:val="24"/>
                <w:szCs w:val="24"/>
                <w:highlight w:val="none"/>
              </w:rPr>
            </w:pPr>
          </w:p>
        </w:tc>
        <w:tc>
          <w:tcPr>
            <w:tcW w:w="795" w:type="dxa"/>
          </w:tcPr>
          <w:p w14:paraId="219166DE">
            <w:pPr>
              <w:rPr>
                <w:rFonts w:hint="eastAsia" w:ascii="仿宋" w:hAnsi="仿宋" w:eastAsia="仿宋" w:cs="仿宋"/>
                <w:color w:val="auto"/>
                <w:kern w:val="0"/>
                <w:sz w:val="24"/>
                <w:szCs w:val="24"/>
                <w:highlight w:val="none"/>
              </w:rPr>
            </w:pPr>
          </w:p>
        </w:tc>
      </w:tr>
      <w:tr w14:paraId="16510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1D75CF7F">
            <w:pPr>
              <w:rPr>
                <w:rFonts w:hint="eastAsia" w:ascii="仿宋" w:hAnsi="仿宋" w:eastAsia="仿宋" w:cs="仿宋"/>
                <w:color w:val="auto"/>
                <w:kern w:val="0"/>
                <w:sz w:val="24"/>
                <w:szCs w:val="24"/>
                <w:highlight w:val="none"/>
              </w:rPr>
            </w:pPr>
          </w:p>
        </w:tc>
        <w:tc>
          <w:tcPr>
            <w:tcW w:w="1233" w:type="dxa"/>
          </w:tcPr>
          <w:p w14:paraId="4BA5EA7E">
            <w:pPr>
              <w:rPr>
                <w:rFonts w:hint="eastAsia" w:ascii="仿宋" w:hAnsi="仿宋" w:eastAsia="仿宋" w:cs="仿宋"/>
                <w:color w:val="auto"/>
                <w:kern w:val="0"/>
                <w:sz w:val="24"/>
                <w:szCs w:val="24"/>
                <w:highlight w:val="none"/>
              </w:rPr>
            </w:pPr>
          </w:p>
        </w:tc>
        <w:tc>
          <w:tcPr>
            <w:tcW w:w="963" w:type="dxa"/>
          </w:tcPr>
          <w:p w14:paraId="3721B5D2">
            <w:pPr>
              <w:rPr>
                <w:rFonts w:hint="eastAsia" w:ascii="仿宋" w:hAnsi="仿宋" w:eastAsia="仿宋" w:cs="仿宋"/>
                <w:color w:val="auto"/>
                <w:kern w:val="0"/>
                <w:sz w:val="24"/>
                <w:szCs w:val="24"/>
                <w:highlight w:val="none"/>
              </w:rPr>
            </w:pPr>
          </w:p>
        </w:tc>
        <w:tc>
          <w:tcPr>
            <w:tcW w:w="1922" w:type="dxa"/>
          </w:tcPr>
          <w:p w14:paraId="23490F29">
            <w:pPr>
              <w:rPr>
                <w:rFonts w:hint="eastAsia" w:ascii="仿宋" w:hAnsi="仿宋" w:eastAsia="仿宋" w:cs="仿宋"/>
                <w:color w:val="auto"/>
                <w:kern w:val="0"/>
                <w:sz w:val="24"/>
                <w:szCs w:val="24"/>
                <w:highlight w:val="none"/>
              </w:rPr>
            </w:pPr>
          </w:p>
        </w:tc>
        <w:tc>
          <w:tcPr>
            <w:tcW w:w="1212" w:type="dxa"/>
          </w:tcPr>
          <w:p w14:paraId="44D75184">
            <w:pPr>
              <w:rPr>
                <w:rFonts w:hint="eastAsia" w:ascii="仿宋" w:hAnsi="仿宋" w:eastAsia="仿宋" w:cs="仿宋"/>
                <w:color w:val="auto"/>
                <w:kern w:val="0"/>
                <w:sz w:val="24"/>
                <w:szCs w:val="24"/>
                <w:highlight w:val="none"/>
              </w:rPr>
            </w:pPr>
          </w:p>
        </w:tc>
        <w:tc>
          <w:tcPr>
            <w:tcW w:w="1232" w:type="dxa"/>
          </w:tcPr>
          <w:p w14:paraId="135F0295">
            <w:pPr>
              <w:rPr>
                <w:rFonts w:hint="eastAsia" w:ascii="仿宋" w:hAnsi="仿宋" w:eastAsia="仿宋" w:cs="仿宋"/>
                <w:color w:val="auto"/>
                <w:kern w:val="0"/>
                <w:sz w:val="24"/>
                <w:szCs w:val="24"/>
                <w:highlight w:val="none"/>
              </w:rPr>
            </w:pPr>
          </w:p>
        </w:tc>
        <w:tc>
          <w:tcPr>
            <w:tcW w:w="1232" w:type="dxa"/>
          </w:tcPr>
          <w:p w14:paraId="3EF2C880">
            <w:pPr>
              <w:rPr>
                <w:rFonts w:hint="eastAsia" w:ascii="仿宋" w:hAnsi="仿宋" w:eastAsia="仿宋" w:cs="仿宋"/>
                <w:color w:val="auto"/>
                <w:kern w:val="0"/>
                <w:sz w:val="24"/>
                <w:szCs w:val="24"/>
                <w:highlight w:val="none"/>
              </w:rPr>
            </w:pPr>
          </w:p>
        </w:tc>
        <w:tc>
          <w:tcPr>
            <w:tcW w:w="795" w:type="dxa"/>
          </w:tcPr>
          <w:p w14:paraId="03029D16">
            <w:pPr>
              <w:rPr>
                <w:rFonts w:hint="eastAsia" w:ascii="仿宋" w:hAnsi="仿宋" w:eastAsia="仿宋" w:cs="仿宋"/>
                <w:color w:val="auto"/>
                <w:kern w:val="0"/>
                <w:sz w:val="24"/>
                <w:szCs w:val="24"/>
                <w:highlight w:val="none"/>
              </w:rPr>
            </w:pPr>
          </w:p>
        </w:tc>
      </w:tr>
      <w:tr w14:paraId="10950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3E59EE49">
            <w:pPr>
              <w:rPr>
                <w:rFonts w:hint="eastAsia" w:ascii="仿宋" w:hAnsi="仿宋" w:eastAsia="仿宋" w:cs="仿宋"/>
                <w:color w:val="auto"/>
                <w:kern w:val="0"/>
                <w:sz w:val="24"/>
                <w:szCs w:val="24"/>
                <w:highlight w:val="none"/>
              </w:rPr>
            </w:pPr>
          </w:p>
        </w:tc>
        <w:tc>
          <w:tcPr>
            <w:tcW w:w="1233" w:type="dxa"/>
          </w:tcPr>
          <w:p w14:paraId="1B173832">
            <w:pPr>
              <w:rPr>
                <w:rFonts w:hint="eastAsia" w:ascii="仿宋" w:hAnsi="仿宋" w:eastAsia="仿宋" w:cs="仿宋"/>
                <w:color w:val="auto"/>
                <w:kern w:val="0"/>
                <w:sz w:val="24"/>
                <w:szCs w:val="24"/>
                <w:highlight w:val="none"/>
              </w:rPr>
            </w:pPr>
          </w:p>
        </w:tc>
        <w:tc>
          <w:tcPr>
            <w:tcW w:w="963" w:type="dxa"/>
          </w:tcPr>
          <w:p w14:paraId="64D38930">
            <w:pPr>
              <w:rPr>
                <w:rFonts w:hint="eastAsia" w:ascii="仿宋" w:hAnsi="仿宋" w:eastAsia="仿宋" w:cs="仿宋"/>
                <w:color w:val="auto"/>
                <w:kern w:val="0"/>
                <w:sz w:val="24"/>
                <w:szCs w:val="24"/>
                <w:highlight w:val="none"/>
              </w:rPr>
            </w:pPr>
          </w:p>
        </w:tc>
        <w:tc>
          <w:tcPr>
            <w:tcW w:w="1922" w:type="dxa"/>
          </w:tcPr>
          <w:p w14:paraId="2242EB07">
            <w:pPr>
              <w:rPr>
                <w:rFonts w:hint="eastAsia" w:ascii="仿宋" w:hAnsi="仿宋" w:eastAsia="仿宋" w:cs="仿宋"/>
                <w:color w:val="auto"/>
                <w:kern w:val="0"/>
                <w:sz w:val="24"/>
                <w:szCs w:val="24"/>
                <w:highlight w:val="none"/>
              </w:rPr>
            </w:pPr>
          </w:p>
        </w:tc>
        <w:tc>
          <w:tcPr>
            <w:tcW w:w="1212" w:type="dxa"/>
          </w:tcPr>
          <w:p w14:paraId="7C3F374B">
            <w:pPr>
              <w:rPr>
                <w:rFonts w:hint="eastAsia" w:ascii="仿宋" w:hAnsi="仿宋" w:eastAsia="仿宋" w:cs="仿宋"/>
                <w:color w:val="auto"/>
                <w:kern w:val="0"/>
                <w:sz w:val="24"/>
                <w:szCs w:val="24"/>
                <w:highlight w:val="none"/>
              </w:rPr>
            </w:pPr>
          </w:p>
        </w:tc>
        <w:tc>
          <w:tcPr>
            <w:tcW w:w="1232" w:type="dxa"/>
          </w:tcPr>
          <w:p w14:paraId="20392A97">
            <w:pPr>
              <w:rPr>
                <w:rFonts w:hint="eastAsia" w:ascii="仿宋" w:hAnsi="仿宋" w:eastAsia="仿宋" w:cs="仿宋"/>
                <w:color w:val="auto"/>
                <w:kern w:val="0"/>
                <w:sz w:val="24"/>
                <w:szCs w:val="24"/>
                <w:highlight w:val="none"/>
              </w:rPr>
            </w:pPr>
          </w:p>
        </w:tc>
        <w:tc>
          <w:tcPr>
            <w:tcW w:w="1232" w:type="dxa"/>
          </w:tcPr>
          <w:p w14:paraId="4C239D86">
            <w:pPr>
              <w:rPr>
                <w:rFonts w:hint="eastAsia" w:ascii="仿宋" w:hAnsi="仿宋" w:eastAsia="仿宋" w:cs="仿宋"/>
                <w:color w:val="auto"/>
                <w:kern w:val="0"/>
                <w:sz w:val="24"/>
                <w:szCs w:val="24"/>
                <w:highlight w:val="none"/>
              </w:rPr>
            </w:pPr>
          </w:p>
        </w:tc>
        <w:tc>
          <w:tcPr>
            <w:tcW w:w="795" w:type="dxa"/>
          </w:tcPr>
          <w:p w14:paraId="0D5F0024">
            <w:pPr>
              <w:rPr>
                <w:rFonts w:hint="eastAsia" w:ascii="仿宋" w:hAnsi="仿宋" w:eastAsia="仿宋" w:cs="仿宋"/>
                <w:color w:val="auto"/>
                <w:kern w:val="0"/>
                <w:sz w:val="24"/>
                <w:szCs w:val="24"/>
                <w:highlight w:val="none"/>
              </w:rPr>
            </w:pPr>
          </w:p>
        </w:tc>
      </w:tr>
      <w:tr w14:paraId="254C4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40FEA6BA">
            <w:pPr>
              <w:rPr>
                <w:rFonts w:hint="eastAsia" w:ascii="仿宋" w:hAnsi="仿宋" w:eastAsia="仿宋" w:cs="仿宋"/>
                <w:color w:val="auto"/>
                <w:kern w:val="0"/>
                <w:sz w:val="24"/>
                <w:szCs w:val="24"/>
                <w:highlight w:val="none"/>
              </w:rPr>
            </w:pPr>
          </w:p>
        </w:tc>
        <w:tc>
          <w:tcPr>
            <w:tcW w:w="1233" w:type="dxa"/>
          </w:tcPr>
          <w:p w14:paraId="044F0085">
            <w:pPr>
              <w:rPr>
                <w:rFonts w:hint="eastAsia" w:ascii="仿宋" w:hAnsi="仿宋" w:eastAsia="仿宋" w:cs="仿宋"/>
                <w:color w:val="auto"/>
                <w:kern w:val="0"/>
                <w:sz w:val="24"/>
                <w:szCs w:val="24"/>
                <w:highlight w:val="none"/>
              </w:rPr>
            </w:pPr>
          </w:p>
        </w:tc>
        <w:tc>
          <w:tcPr>
            <w:tcW w:w="963" w:type="dxa"/>
          </w:tcPr>
          <w:p w14:paraId="65D3A4B6">
            <w:pPr>
              <w:rPr>
                <w:rFonts w:hint="eastAsia" w:ascii="仿宋" w:hAnsi="仿宋" w:eastAsia="仿宋" w:cs="仿宋"/>
                <w:color w:val="auto"/>
                <w:kern w:val="0"/>
                <w:sz w:val="24"/>
                <w:szCs w:val="24"/>
                <w:highlight w:val="none"/>
              </w:rPr>
            </w:pPr>
          </w:p>
        </w:tc>
        <w:tc>
          <w:tcPr>
            <w:tcW w:w="1922" w:type="dxa"/>
          </w:tcPr>
          <w:p w14:paraId="0362D561">
            <w:pPr>
              <w:rPr>
                <w:rFonts w:hint="eastAsia" w:ascii="仿宋" w:hAnsi="仿宋" w:eastAsia="仿宋" w:cs="仿宋"/>
                <w:color w:val="auto"/>
                <w:kern w:val="0"/>
                <w:sz w:val="24"/>
                <w:szCs w:val="24"/>
                <w:highlight w:val="none"/>
              </w:rPr>
            </w:pPr>
          </w:p>
        </w:tc>
        <w:tc>
          <w:tcPr>
            <w:tcW w:w="1212" w:type="dxa"/>
          </w:tcPr>
          <w:p w14:paraId="01A09600">
            <w:pPr>
              <w:rPr>
                <w:rFonts w:hint="eastAsia" w:ascii="仿宋" w:hAnsi="仿宋" w:eastAsia="仿宋" w:cs="仿宋"/>
                <w:color w:val="auto"/>
                <w:kern w:val="0"/>
                <w:sz w:val="24"/>
                <w:szCs w:val="24"/>
                <w:highlight w:val="none"/>
              </w:rPr>
            </w:pPr>
          </w:p>
        </w:tc>
        <w:tc>
          <w:tcPr>
            <w:tcW w:w="1232" w:type="dxa"/>
          </w:tcPr>
          <w:p w14:paraId="08A7347A">
            <w:pPr>
              <w:rPr>
                <w:rFonts w:hint="eastAsia" w:ascii="仿宋" w:hAnsi="仿宋" w:eastAsia="仿宋" w:cs="仿宋"/>
                <w:color w:val="auto"/>
                <w:kern w:val="0"/>
                <w:sz w:val="24"/>
                <w:szCs w:val="24"/>
                <w:highlight w:val="none"/>
              </w:rPr>
            </w:pPr>
          </w:p>
        </w:tc>
        <w:tc>
          <w:tcPr>
            <w:tcW w:w="1232" w:type="dxa"/>
          </w:tcPr>
          <w:p w14:paraId="1194E1D3">
            <w:pPr>
              <w:rPr>
                <w:rFonts w:hint="eastAsia" w:ascii="仿宋" w:hAnsi="仿宋" w:eastAsia="仿宋" w:cs="仿宋"/>
                <w:color w:val="auto"/>
                <w:kern w:val="0"/>
                <w:sz w:val="24"/>
                <w:szCs w:val="24"/>
                <w:highlight w:val="none"/>
              </w:rPr>
            </w:pPr>
          </w:p>
        </w:tc>
        <w:tc>
          <w:tcPr>
            <w:tcW w:w="795" w:type="dxa"/>
          </w:tcPr>
          <w:p w14:paraId="17A80ECB">
            <w:pPr>
              <w:rPr>
                <w:rFonts w:hint="eastAsia" w:ascii="仿宋" w:hAnsi="仿宋" w:eastAsia="仿宋" w:cs="仿宋"/>
                <w:color w:val="auto"/>
                <w:kern w:val="0"/>
                <w:sz w:val="24"/>
                <w:szCs w:val="24"/>
                <w:highlight w:val="none"/>
              </w:rPr>
            </w:pPr>
          </w:p>
        </w:tc>
      </w:tr>
      <w:tr w14:paraId="43EAD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7A55EE46">
            <w:pPr>
              <w:rPr>
                <w:rFonts w:hint="eastAsia" w:ascii="仿宋" w:hAnsi="仿宋" w:eastAsia="仿宋" w:cs="仿宋"/>
                <w:color w:val="auto"/>
                <w:kern w:val="0"/>
                <w:sz w:val="24"/>
                <w:szCs w:val="24"/>
                <w:highlight w:val="none"/>
              </w:rPr>
            </w:pPr>
          </w:p>
        </w:tc>
        <w:tc>
          <w:tcPr>
            <w:tcW w:w="1233" w:type="dxa"/>
          </w:tcPr>
          <w:p w14:paraId="4DA2E655">
            <w:pPr>
              <w:rPr>
                <w:rFonts w:hint="eastAsia" w:ascii="仿宋" w:hAnsi="仿宋" w:eastAsia="仿宋" w:cs="仿宋"/>
                <w:color w:val="auto"/>
                <w:kern w:val="0"/>
                <w:sz w:val="24"/>
                <w:szCs w:val="24"/>
                <w:highlight w:val="none"/>
              </w:rPr>
            </w:pPr>
          </w:p>
        </w:tc>
        <w:tc>
          <w:tcPr>
            <w:tcW w:w="963" w:type="dxa"/>
          </w:tcPr>
          <w:p w14:paraId="7D6B2683">
            <w:pPr>
              <w:rPr>
                <w:rFonts w:hint="eastAsia" w:ascii="仿宋" w:hAnsi="仿宋" w:eastAsia="仿宋" w:cs="仿宋"/>
                <w:color w:val="auto"/>
                <w:kern w:val="0"/>
                <w:sz w:val="24"/>
                <w:szCs w:val="24"/>
                <w:highlight w:val="none"/>
              </w:rPr>
            </w:pPr>
          </w:p>
        </w:tc>
        <w:tc>
          <w:tcPr>
            <w:tcW w:w="1922" w:type="dxa"/>
          </w:tcPr>
          <w:p w14:paraId="12B1756A">
            <w:pPr>
              <w:rPr>
                <w:rFonts w:hint="eastAsia" w:ascii="仿宋" w:hAnsi="仿宋" w:eastAsia="仿宋" w:cs="仿宋"/>
                <w:color w:val="auto"/>
                <w:kern w:val="0"/>
                <w:sz w:val="24"/>
                <w:szCs w:val="24"/>
                <w:highlight w:val="none"/>
              </w:rPr>
            </w:pPr>
          </w:p>
        </w:tc>
        <w:tc>
          <w:tcPr>
            <w:tcW w:w="1212" w:type="dxa"/>
          </w:tcPr>
          <w:p w14:paraId="3CF226DE">
            <w:pPr>
              <w:rPr>
                <w:rFonts w:hint="eastAsia" w:ascii="仿宋" w:hAnsi="仿宋" w:eastAsia="仿宋" w:cs="仿宋"/>
                <w:color w:val="auto"/>
                <w:kern w:val="0"/>
                <w:sz w:val="24"/>
                <w:szCs w:val="24"/>
                <w:highlight w:val="none"/>
              </w:rPr>
            </w:pPr>
          </w:p>
        </w:tc>
        <w:tc>
          <w:tcPr>
            <w:tcW w:w="1232" w:type="dxa"/>
          </w:tcPr>
          <w:p w14:paraId="30C9F7CE">
            <w:pPr>
              <w:rPr>
                <w:rFonts w:hint="eastAsia" w:ascii="仿宋" w:hAnsi="仿宋" w:eastAsia="仿宋" w:cs="仿宋"/>
                <w:color w:val="auto"/>
                <w:kern w:val="0"/>
                <w:sz w:val="24"/>
                <w:szCs w:val="24"/>
                <w:highlight w:val="none"/>
              </w:rPr>
            </w:pPr>
          </w:p>
        </w:tc>
        <w:tc>
          <w:tcPr>
            <w:tcW w:w="1232" w:type="dxa"/>
          </w:tcPr>
          <w:p w14:paraId="4F34558E">
            <w:pPr>
              <w:rPr>
                <w:rFonts w:hint="eastAsia" w:ascii="仿宋" w:hAnsi="仿宋" w:eastAsia="仿宋" w:cs="仿宋"/>
                <w:color w:val="auto"/>
                <w:kern w:val="0"/>
                <w:sz w:val="24"/>
                <w:szCs w:val="24"/>
                <w:highlight w:val="none"/>
              </w:rPr>
            </w:pPr>
          </w:p>
        </w:tc>
        <w:tc>
          <w:tcPr>
            <w:tcW w:w="795" w:type="dxa"/>
          </w:tcPr>
          <w:p w14:paraId="25C2F983">
            <w:pPr>
              <w:rPr>
                <w:rFonts w:hint="eastAsia" w:ascii="仿宋" w:hAnsi="仿宋" w:eastAsia="仿宋" w:cs="仿宋"/>
                <w:color w:val="auto"/>
                <w:kern w:val="0"/>
                <w:sz w:val="24"/>
                <w:szCs w:val="24"/>
                <w:highlight w:val="none"/>
              </w:rPr>
            </w:pPr>
          </w:p>
        </w:tc>
      </w:tr>
    </w:tbl>
    <w:p w14:paraId="2253B47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03F279B">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319" w:name="_Toc18139"/>
      <w:bookmarkStart w:id="320" w:name="_Toc5084"/>
      <w:bookmarkStart w:id="321" w:name="_Toc38446480"/>
      <w:bookmarkStart w:id="322" w:name="_Toc507586175"/>
      <w:bookmarkStart w:id="323" w:name="_Toc533503191"/>
      <w:bookmarkStart w:id="324" w:name="_Toc27045"/>
      <w:bookmarkStart w:id="325" w:name="_Toc20936"/>
      <w:bookmarkStart w:id="326" w:name="_Toc19296"/>
      <w:bookmarkStart w:id="327" w:name="_Toc31200"/>
      <w:r>
        <w:rPr>
          <w:rFonts w:hint="eastAsia" w:ascii="仿宋" w:hAnsi="仿宋" w:eastAsia="仿宋" w:cs="仿宋"/>
          <w:b/>
          <w:color w:val="auto"/>
          <w:sz w:val="24"/>
          <w:szCs w:val="24"/>
          <w:highlight w:val="none"/>
          <w:shd w:val="clear" w:color="auto" w:fill="FFFFFF" w:themeFill="background1"/>
        </w:rPr>
        <w:t>十一、</w:t>
      </w:r>
      <w:bookmarkEnd w:id="319"/>
      <w:bookmarkEnd w:id="320"/>
      <w:bookmarkEnd w:id="321"/>
      <w:bookmarkEnd w:id="322"/>
      <w:bookmarkEnd w:id="323"/>
      <w:bookmarkEnd w:id="324"/>
      <w:r>
        <w:rPr>
          <w:rFonts w:hint="eastAsia" w:ascii="仿宋" w:hAnsi="仿宋" w:eastAsia="仿宋" w:cs="仿宋"/>
          <w:b/>
          <w:color w:val="auto"/>
          <w:sz w:val="24"/>
          <w:szCs w:val="24"/>
          <w:highlight w:val="none"/>
          <w:shd w:val="clear" w:color="auto" w:fill="FFFFFF" w:themeFill="background1"/>
        </w:rPr>
        <w:t>售后服务承诺书</w:t>
      </w:r>
      <w:bookmarkEnd w:id="325"/>
      <w:bookmarkEnd w:id="326"/>
      <w:bookmarkEnd w:id="327"/>
    </w:p>
    <w:p w14:paraId="11DF07C7">
      <w:pPr>
        <w:spacing w:line="360" w:lineRule="auto"/>
        <w:jc w:val="left"/>
        <w:rPr>
          <w:rFonts w:hint="eastAsia" w:ascii="仿宋" w:hAnsi="仿宋" w:eastAsia="仿宋" w:cs="仿宋"/>
          <w:color w:val="auto"/>
          <w:sz w:val="24"/>
          <w:szCs w:val="24"/>
          <w:highlight w:val="none"/>
          <w:shd w:val="clear" w:color="auto" w:fill="FFFFFF" w:themeFill="background1"/>
        </w:rPr>
      </w:pPr>
    </w:p>
    <w:p w14:paraId="343A260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p>
    <w:p w14:paraId="35D290E1">
      <w:pPr>
        <w:spacing w:line="360" w:lineRule="auto"/>
        <w:ind w:firstLine="480" w:firstLineChars="200"/>
        <w:rPr>
          <w:rFonts w:hint="eastAsia" w:ascii="仿宋" w:hAnsi="仿宋" w:eastAsia="仿宋" w:cs="仿宋"/>
          <w:color w:val="auto"/>
          <w:sz w:val="24"/>
          <w:szCs w:val="24"/>
          <w:highlight w:val="none"/>
        </w:rPr>
      </w:pPr>
    </w:p>
    <w:p w14:paraId="6A0CD0B7">
      <w:pPr>
        <w:spacing w:line="360" w:lineRule="auto"/>
        <w:ind w:firstLine="480" w:firstLineChars="200"/>
        <w:rPr>
          <w:rFonts w:hint="eastAsia" w:ascii="仿宋" w:hAnsi="仿宋" w:eastAsia="仿宋" w:cs="仿宋"/>
          <w:color w:val="auto"/>
          <w:sz w:val="24"/>
          <w:szCs w:val="24"/>
          <w:highlight w:val="none"/>
        </w:rPr>
      </w:pPr>
    </w:p>
    <w:p w14:paraId="08AFF98A">
      <w:pPr>
        <w:spacing w:line="360" w:lineRule="auto"/>
        <w:ind w:firstLine="480" w:firstLineChars="200"/>
        <w:rPr>
          <w:rFonts w:hint="eastAsia" w:ascii="仿宋" w:hAnsi="仿宋" w:eastAsia="仿宋" w:cs="仿宋"/>
          <w:color w:val="auto"/>
          <w:sz w:val="24"/>
          <w:szCs w:val="24"/>
          <w:highlight w:val="none"/>
        </w:rPr>
      </w:pPr>
    </w:p>
    <w:p w14:paraId="6204DCA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F92C5D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CBDBA80">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5A8AD39">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30A2CC2">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328" w:name="_Toc22814"/>
      <w:bookmarkStart w:id="329" w:name="_Toc9493"/>
      <w:bookmarkStart w:id="330" w:name="_Toc21274"/>
      <w:bookmarkStart w:id="331" w:name="_Toc1112"/>
      <w:bookmarkStart w:id="332" w:name="_Toc31355"/>
      <w:r>
        <w:rPr>
          <w:rFonts w:hint="eastAsia" w:ascii="仿宋" w:hAnsi="仿宋" w:eastAsia="仿宋" w:cs="仿宋"/>
          <w:b/>
          <w:color w:val="auto"/>
          <w:sz w:val="24"/>
          <w:szCs w:val="24"/>
          <w:highlight w:val="none"/>
          <w:shd w:val="clear" w:color="auto" w:fill="FFFFFF" w:themeFill="background1"/>
        </w:rPr>
        <w:t>十二、</w:t>
      </w:r>
      <w:bookmarkEnd w:id="328"/>
      <w:bookmarkEnd w:id="329"/>
      <w:r>
        <w:rPr>
          <w:rFonts w:hint="eastAsia" w:ascii="仿宋" w:hAnsi="仿宋" w:eastAsia="仿宋" w:cs="仿宋"/>
          <w:b/>
          <w:color w:val="auto"/>
          <w:sz w:val="24"/>
          <w:szCs w:val="24"/>
          <w:highlight w:val="none"/>
          <w:shd w:val="clear" w:color="auto" w:fill="FFFFFF" w:themeFill="background1"/>
        </w:rPr>
        <w:t>技术方案</w:t>
      </w:r>
      <w:bookmarkEnd w:id="330"/>
      <w:bookmarkEnd w:id="331"/>
      <w:bookmarkEnd w:id="332"/>
    </w:p>
    <w:p w14:paraId="68641280">
      <w:pPr>
        <w:widowControl/>
        <w:jc w:val="left"/>
        <w:rPr>
          <w:rFonts w:hint="eastAsia" w:ascii="仿宋" w:hAnsi="仿宋" w:eastAsia="仿宋" w:cs="仿宋"/>
          <w:color w:val="auto"/>
          <w:highlight w:val="none"/>
        </w:rPr>
      </w:pPr>
    </w:p>
    <w:p w14:paraId="6226946F">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格式和内容自行拟定</w:t>
      </w:r>
    </w:p>
    <w:p w14:paraId="7D1961A7">
      <w:pPr>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1C4431F">
      <w:pPr>
        <w:tabs>
          <w:tab w:val="center" w:pos="4832"/>
          <w:tab w:val="left" w:pos="7140"/>
        </w:tabs>
        <w:jc w:val="center"/>
        <w:outlineLvl w:val="1"/>
        <w:rPr>
          <w:rFonts w:hint="eastAsia" w:ascii="仿宋" w:hAnsi="仿宋" w:eastAsia="仿宋" w:cs="仿宋"/>
          <w:b/>
          <w:color w:val="auto"/>
          <w:sz w:val="24"/>
          <w:szCs w:val="24"/>
          <w:highlight w:val="none"/>
        </w:rPr>
      </w:pPr>
      <w:bookmarkStart w:id="333" w:name="_Toc5810"/>
      <w:bookmarkStart w:id="334" w:name="_Toc12468"/>
      <w:bookmarkStart w:id="335" w:name="_Toc32491"/>
      <w:r>
        <w:rPr>
          <w:rFonts w:hint="eastAsia" w:ascii="仿宋" w:hAnsi="仿宋" w:eastAsia="仿宋" w:cs="仿宋"/>
          <w:b/>
          <w:color w:val="auto"/>
          <w:sz w:val="24"/>
          <w:szCs w:val="24"/>
          <w:highlight w:val="none"/>
        </w:rPr>
        <w:t>十三、保证金缴纳证明材料</w:t>
      </w:r>
      <w:bookmarkEnd w:id="333"/>
      <w:bookmarkEnd w:id="334"/>
      <w:bookmarkEnd w:id="335"/>
    </w:p>
    <w:p w14:paraId="714FD50D">
      <w:pPr>
        <w:spacing w:line="360" w:lineRule="auto"/>
        <w:ind w:firstLine="480" w:firstLineChars="200"/>
        <w:rPr>
          <w:rFonts w:hint="eastAsia" w:ascii="仿宋" w:hAnsi="仿宋" w:eastAsia="仿宋" w:cs="仿宋"/>
          <w:color w:val="auto"/>
          <w:sz w:val="24"/>
          <w:szCs w:val="24"/>
          <w:highlight w:val="none"/>
        </w:rPr>
      </w:pPr>
    </w:p>
    <w:p w14:paraId="1EAD36EE">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76210ED1">
      <w:pPr>
        <w:spacing w:line="360" w:lineRule="auto"/>
        <w:jc w:val="center"/>
        <w:rPr>
          <w:rFonts w:hint="eastAsia" w:ascii="仿宋" w:hAnsi="仿宋" w:eastAsia="仿宋" w:cs="仿宋"/>
          <w:color w:val="auto"/>
          <w:sz w:val="24"/>
          <w:szCs w:val="24"/>
          <w:highlight w:val="none"/>
          <w:shd w:val="clear" w:color="auto" w:fill="FFFFFF" w:themeFill="background1"/>
        </w:rPr>
      </w:pPr>
    </w:p>
    <w:p w14:paraId="6D425744">
      <w:pPr>
        <w:pStyle w:val="37"/>
        <w:ind w:left="420" w:firstLine="480"/>
        <w:rPr>
          <w:rFonts w:hint="eastAsia" w:ascii="仿宋" w:hAnsi="仿宋" w:eastAsia="仿宋" w:cs="仿宋"/>
          <w:color w:val="auto"/>
          <w:sz w:val="24"/>
          <w:szCs w:val="24"/>
          <w:highlight w:val="none"/>
          <w:shd w:val="clear" w:color="auto" w:fill="FFFFFF" w:themeFill="background1"/>
        </w:rPr>
      </w:pPr>
    </w:p>
    <w:p w14:paraId="251AC8E9">
      <w:pPr>
        <w:rPr>
          <w:rFonts w:hint="eastAsia" w:ascii="仿宋" w:hAnsi="仿宋" w:eastAsia="仿宋" w:cs="仿宋"/>
          <w:color w:val="auto"/>
          <w:sz w:val="24"/>
          <w:szCs w:val="24"/>
          <w:highlight w:val="none"/>
          <w:shd w:val="clear" w:color="auto" w:fill="FFFFFF" w:themeFill="background1"/>
        </w:rPr>
      </w:pPr>
    </w:p>
    <w:p w14:paraId="0F9A5A34">
      <w:pPr>
        <w:pStyle w:val="37"/>
        <w:ind w:left="420"/>
        <w:rPr>
          <w:rFonts w:hint="eastAsia" w:ascii="仿宋" w:hAnsi="仿宋" w:eastAsia="仿宋" w:cs="仿宋"/>
          <w:color w:val="auto"/>
          <w:highlight w:val="none"/>
        </w:rPr>
      </w:pPr>
    </w:p>
    <w:bookmarkEnd w:id="168"/>
    <w:p w14:paraId="2F834247">
      <w:pPr>
        <w:rPr>
          <w:rFonts w:hint="eastAsia" w:ascii="仿宋" w:hAnsi="仿宋" w:eastAsia="仿宋" w:cs="仿宋"/>
          <w:b/>
          <w:color w:val="auto"/>
          <w:sz w:val="24"/>
          <w:szCs w:val="24"/>
          <w:highlight w:val="none"/>
        </w:rPr>
      </w:pPr>
      <w:bookmarkStart w:id="336" w:name="_Toc16202"/>
      <w:bookmarkStart w:id="337" w:name="_Toc32457"/>
      <w:bookmarkStart w:id="338" w:name="_Toc109921168"/>
      <w:bookmarkStart w:id="339" w:name="_Toc24108"/>
      <w:bookmarkStart w:id="340" w:name="_Toc130252630"/>
      <w:bookmarkStart w:id="341" w:name="_Toc110707975"/>
      <w:bookmarkStart w:id="342" w:name="_Toc109941775"/>
      <w:r>
        <w:rPr>
          <w:rFonts w:hint="eastAsia" w:ascii="仿宋" w:hAnsi="仿宋" w:eastAsia="仿宋" w:cs="仿宋"/>
          <w:b/>
          <w:color w:val="auto"/>
          <w:sz w:val="24"/>
          <w:szCs w:val="24"/>
          <w:highlight w:val="none"/>
        </w:rPr>
        <w:br w:type="page"/>
      </w:r>
    </w:p>
    <w:p w14:paraId="599258E9">
      <w:pPr>
        <w:tabs>
          <w:tab w:val="center" w:pos="4832"/>
          <w:tab w:val="left" w:pos="7140"/>
        </w:tabs>
        <w:jc w:val="center"/>
        <w:outlineLvl w:val="1"/>
        <w:rPr>
          <w:rFonts w:hint="eastAsia" w:ascii="仿宋" w:hAnsi="仿宋" w:eastAsia="仿宋" w:cs="仿宋"/>
          <w:b/>
          <w:color w:val="auto"/>
          <w:sz w:val="24"/>
          <w:szCs w:val="24"/>
          <w:highlight w:val="none"/>
        </w:rPr>
      </w:pPr>
      <w:bookmarkStart w:id="343" w:name="_Toc30263"/>
      <w:bookmarkStart w:id="344" w:name="_Toc24624"/>
      <w:r>
        <w:rPr>
          <w:rFonts w:hint="eastAsia" w:ascii="仿宋" w:hAnsi="仿宋" w:eastAsia="仿宋" w:cs="仿宋"/>
          <w:b/>
          <w:color w:val="auto"/>
          <w:sz w:val="24"/>
          <w:szCs w:val="24"/>
          <w:highlight w:val="none"/>
        </w:rPr>
        <w:t>十四、其它需要提交的资料</w:t>
      </w:r>
      <w:bookmarkEnd w:id="336"/>
      <w:bookmarkEnd w:id="337"/>
      <w:bookmarkEnd w:id="338"/>
      <w:bookmarkEnd w:id="339"/>
      <w:bookmarkEnd w:id="340"/>
      <w:bookmarkEnd w:id="341"/>
      <w:bookmarkEnd w:id="342"/>
      <w:bookmarkEnd w:id="343"/>
      <w:bookmarkEnd w:id="344"/>
    </w:p>
    <w:p w14:paraId="5E69C88C">
      <w:pPr>
        <w:spacing w:line="360" w:lineRule="auto"/>
        <w:ind w:firstLine="480" w:firstLineChars="200"/>
        <w:rPr>
          <w:rFonts w:hint="eastAsia" w:ascii="仿宋" w:hAnsi="仿宋" w:eastAsia="仿宋" w:cs="仿宋"/>
          <w:color w:val="auto"/>
          <w:sz w:val="24"/>
          <w:szCs w:val="24"/>
          <w:highlight w:val="none"/>
        </w:rPr>
      </w:pPr>
    </w:p>
    <w:p w14:paraId="1B3F7DE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根据招标文件的要求和投标人认为需要提供的资料。</w:t>
      </w:r>
    </w:p>
    <w:p w14:paraId="6DCDAEA1">
      <w:pPr>
        <w:pStyle w:val="37"/>
        <w:ind w:left="420"/>
        <w:rPr>
          <w:rFonts w:hint="eastAsia" w:ascii="仿宋" w:hAnsi="仿宋" w:eastAsia="仿宋" w:cs="仿宋"/>
          <w:color w:val="auto"/>
          <w:highlight w:val="none"/>
        </w:rPr>
      </w:pPr>
      <w:bookmarkStart w:id="345" w:name="_Toc22688"/>
      <w:bookmarkStart w:id="346" w:name="_Toc30206"/>
      <w:bookmarkStart w:id="347" w:name="_Toc60925660"/>
      <w:bookmarkStart w:id="348" w:name="_Toc130252631"/>
    </w:p>
    <w:p w14:paraId="06B13AAC">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5824866A">
      <w:pPr>
        <w:rPr>
          <w:rFonts w:hint="eastAsia" w:ascii="仿宋" w:hAnsi="仿宋" w:eastAsia="仿宋" w:cs="仿宋"/>
          <w:b/>
          <w:color w:val="auto"/>
          <w:sz w:val="24"/>
          <w:szCs w:val="24"/>
          <w:highlight w:val="none"/>
        </w:rPr>
      </w:pPr>
    </w:p>
    <w:p w14:paraId="0C45779D">
      <w:pPr>
        <w:spacing w:line="440" w:lineRule="exact"/>
        <w:jc w:val="center"/>
        <w:outlineLvl w:val="0"/>
        <w:rPr>
          <w:rFonts w:hint="eastAsia" w:ascii="仿宋" w:hAnsi="仿宋" w:eastAsia="仿宋" w:cs="仿宋"/>
          <w:b/>
          <w:color w:val="auto"/>
          <w:sz w:val="24"/>
          <w:szCs w:val="24"/>
          <w:highlight w:val="none"/>
        </w:rPr>
      </w:pPr>
      <w:bookmarkStart w:id="349" w:name="_Toc11411"/>
      <w:bookmarkStart w:id="350" w:name="_Toc5616"/>
      <w:bookmarkStart w:id="351" w:name="_Toc4913"/>
      <w:r>
        <w:rPr>
          <w:rFonts w:hint="eastAsia" w:ascii="仿宋" w:hAnsi="仿宋" w:eastAsia="仿宋" w:cs="仿宋"/>
          <w:b/>
          <w:color w:val="auto"/>
          <w:sz w:val="24"/>
          <w:szCs w:val="24"/>
          <w:highlight w:val="none"/>
        </w:rPr>
        <w:t>第六章 补充条款</w:t>
      </w:r>
      <w:bookmarkEnd w:id="345"/>
      <w:bookmarkEnd w:id="346"/>
      <w:bookmarkEnd w:id="347"/>
      <w:bookmarkEnd w:id="348"/>
      <w:bookmarkEnd w:id="349"/>
      <w:bookmarkEnd w:id="350"/>
      <w:bookmarkEnd w:id="351"/>
    </w:p>
    <w:p w14:paraId="600A731D">
      <w:pPr>
        <w:rPr>
          <w:rFonts w:hint="eastAsia" w:ascii="仿宋" w:hAnsi="仿宋" w:eastAsia="仿宋" w:cs="仿宋"/>
          <w:color w:val="auto"/>
          <w:highlight w:val="none"/>
        </w:rPr>
      </w:pPr>
    </w:p>
    <w:p w14:paraId="0BEEF867">
      <w:pPr>
        <w:rPr>
          <w:rFonts w:hint="eastAsia" w:ascii="仿宋" w:hAnsi="仿宋" w:eastAsia="仿宋" w:cs="仿宋"/>
          <w:color w:val="auto"/>
          <w:highlight w:val="none"/>
        </w:rPr>
      </w:pPr>
    </w:p>
    <w:p w14:paraId="69BC4B3A">
      <w:pPr>
        <w:spacing w:line="360" w:lineRule="auto"/>
        <w:outlineLvl w:val="1"/>
        <w:rPr>
          <w:rFonts w:hint="eastAsia" w:ascii="仿宋" w:hAnsi="仿宋" w:eastAsia="仿宋" w:cs="仿宋"/>
          <w:color w:val="auto"/>
          <w:spacing w:val="6"/>
          <w:sz w:val="24"/>
          <w:szCs w:val="24"/>
          <w:highlight w:val="none"/>
        </w:rPr>
      </w:pPr>
      <w:bookmarkStart w:id="352" w:name="_Toc30027"/>
      <w:bookmarkStart w:id="353" w:name="_Toc1119"/>
      <w:bookmarkStart w:id="354" w:name="_Toc3394"/>
      <w:r>
        <w:rPr>
          <w:rFonts w:hint="eastAsia" w:ascii="仿宋" w:hAnsi="仿宋" w:eastAsia="仿宋" w:cs="仿宋"/>
          <w:color w:val="auto"/>
          <w:spacing w:val="6"/>
          <w:sz w:val="24"/>
          <w:szCs w:val="24"/>
          <w:highlight w:val="none"/>
        </w:rPr>
        <w:t>附件一、中小企业扶持政策</w:t>
      </w:r>
      <w:bookmarkEnd w:id="352"/>
      <w:bookmarkEnd w:id="353"/>
      <w:bookmarkEnd w:id="354"/>
    </w:p>
    <w:p w14:paraId="779ED8AB">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23EB07D7">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0A98965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1ACCCCF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DE00A81">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56FFCA7B">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2E07C5C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7B3BF946">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46D6EE49">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3E804A1A">
      <w:pPr>
        <w:spacing w:line="360" w:lineRule="auto"/>
        <w:ind w:firstLine="504" w:firstLineChars="200"/>
        <w:rPr>
          <w:rFonts w:hint="eastAsia" w:ascii="仿宋" w:hAnsi="仿宋" w:eastAsia="仿宋" w:cs="仿宋"/>
          <w:color w:val="auto"/>
          <w:spacing w:val="6"/>
          <w:sz w:val="24"/>
          <w:szCs w:val="24"/>
          <w:highlight w:val="none"/>
        </w:rPr>
      </w:pPr>
    </w:p>
    <w:p w14:paraId="5AA78A4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6870C6E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498B17C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781B3B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7D1140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AF9A54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1647A8F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629900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86376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08375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940FFE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DA5B97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9CA3E0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EB9E31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4AAA3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70382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725F60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65CFCB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57772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E8222D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17FD46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5004004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448C937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600221F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CDE8DA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10ECEFA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6CB18A3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720F5510">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513F29F1">
      <w:pPr>
        <w:spacing w:line="360" w:lineRule="auto"/>
        <w:outlineLvl w:val="1"/>
        <w:rPr>
          <w:rFonts w:hint="eastAsia" w:ascii="仿宋" w:hAnsi="仿宋" w:eastAsia="仿宋" w:cs="仿宋"/>
          <w:color w:val="auto"/>
          <w:spacing w:val="6"/>
          <w:sz w:val="24"/>
          <w:szCs w:val="24"/>
          <w:highlight w:val="none"/>
        </w:rPr>
      </w:pPr>
      <w:bookmarkStart w:id="355" w:name="_Toc5727"/>
      <w:bookmarkStart w:id="356" w:name="_Toc15980"/>
      <w:bookmarkStart w:id="357" w:name="_Toc30451"/>
      <w:r>
        <w:rPr>
          <w:rFonts w:hint="eastAsia" w:ascii="仿宋" w:hAnsi="仿宋" w:eastAsia="仿宋" w:cs="仿宋"/>
          <w:color w:val="auto"/>
          <w:spacing w:val="6"/>
          <w:sz w:val="24"/>
          <w:szCs w:val="24"/>
          <w:highlight w:val="none"/>
        </w:rPr>
        <w:t>附件二、残疾人企业扶持政策</w:t>
      </w:r>
      <w:bookmarkEnd w:id="355"/>
      <w:bookmarkEnd w:id="356"/>
      <w:bookmarkEnd w:id="357"/>
    </w:p>
    <w:p w14:paraId="7F38E860">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4537A54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2CD9A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249B89B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7DFFE72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5D53F60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79120DD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44A9936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3889779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0CBCCDA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29EFD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DE3983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7F5494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6AC2CD3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E4879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4D71880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177BDFF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64AD5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7FFCBEFA">
      <w:pPr>
        <w:pStyle w:val="8"/>
        <w:ind w:firstLine="480"/>
        <w:rPr>
          <w:rFonts w:hint="eastAsia" w:ascii="仿宋" w:hAnsi="仿宋" w:eastAsia="仿宋" w:cs="仿宋"/>
          <w:color w:val="auto"/>
          <w:highlight w:val="none"/>
        </w:rPr>
      </w:pPr>
    </w:p>
    <w:p w14:paraId="1E3788A4">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5381ACF4">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30D50161">
      <w:pPr>
        <w:spacing w:line="360" w:lineRule="auto"/>
        <w:outlineLvl w:val="1"/>
        <w:rPr>
          <w:rFonts w:hint="eastAsia" w:ascii="仿宋" w:hAnsi="仿宋" w:eastAsia="仿宋" w:cs="仿宋"/>
          <w:color w:val="auto"/>
          <w:spacing w:val="6"/>
          <w:sz w:val="24"/>
          <w:szCs w:val="24"/>
          <w:highlight w:val="none"/>
        </w:rPr>
      </w:pPr>
      <w:bookmarkStart w:id="358" w:name="_Toc23851"/>
      <w:bookmarkStart w:id="359" w:name="_Toc12671"/>
      <w:bookmarkStart w:id="360" w:name="_Toc17275"/>
      <w:r>
        <w:rPr>
          <w:rFonts w:hint="eastAsia" w:ascii="仿宋" w:hAnsi="仿宋" w:eastAsia="仿宋" w:cs="仿宋"/>
          <w:color w:val="auto"/>
          <w:spacing w:val="6"/>
          <w:sz w:val="24"/>
          <w:szCs w:val="24"/>
          <w:highlight w:val="none"/>
        </w:rPr>
        <w:t>附件三、监狱扶持政策</w:t>
      </w:r>
      <w:bookmarkEnd w:id="358"/>
      <w:bookmarkEnd w:id="359"/>
      <w:bookmarkEnd w:id="360"/>
    </w:p>
    <w:p w14:paraId="76A2BFED">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5CA9D13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79CB4CCB">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074DFB9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5B97C70">
      <w:pPr>
        <w:pStyle w:val="8"/>
        <w:ind w:firstLine="480"/>
        <w:rPr>
          <w:rFonts w:hint="eastAsia" w:ascii="仿宋" w:hAnsi="仿宋" w:eastAsia="仿宋" w:cs="仿宋"/>
          <w:color w:val="auto"/>
          <w:highlight w:val="none"/>
        </w:rPr>
      </w:pPr>
    </w:p>
    <w:p w14:paraId="47E7B173">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1E8F5DAC">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D09619A">
      <w:pPr>
        <w:spacing w:line="360" w:lineRule="auto"/>
        <w:outlineLvl w:val="1"/>
        <w:rPr>
          <w:rFonts w:hint="eastAsia" w:ascii="仿宋" w:hAnsi="仿宋" w:eastAsia="仿宋" w:cs="仿宋"/>
          <w:color w:val="auto"/>
          <w:spacing w:val="6"/>
          <w:sz w:val="24"/>
          <w:szCs w:val="24"/>
          <w:highlight w:val="none"/>
        </w:rPr>
      </w:pPr>
      <w:bookmarkStart w:id="361" w:name="_Toc400"/>
      <w:bookmarkStart w:id="362" w:name="_Toc17663"/>
      <w:r>
        <w:rPr>
          <w:rFonts w:hint="eastAsia" w:ascii="仿宋" w:hAnsi="仿宋" w:eastAsia="仿宋" w:cs="仿宋"/>
          <w:color w:val="auto"/>
          <w:spacing w:val="6"/>
          <w:sz w:val="24"/>
          <w:szCs w:val="24"/>
          <w:highlight w:val="none"/>
        </w:rPr>
        <w:t>附件四、实施本国产品标准及相关政策</w:t>
      </w:r>
      <w:bookmarkEnd w:id="361"/>
      <w:bookmarkEnd w:id="362"/>
    </w:p>
    <w:p w14:paraId="6BF25424">
      <w:pPr>
        <w:pStyle w:val="32"/>
        <w:shd w:val="clear" w:color="auto" w:fill="FFFFFF"/>
        <w:wordWrap w:val="0"/>
        <w:spacing w:before="20" w:beforeAutospacing="0" w:after="20" w:afterAutospacing="0"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w:t>
      </w:r>
    </w:p>
    <w:p w14:paraId="4A92EB61">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国务院办公厅关于在政府采购中</w:t>
      </w:r>
    </w:p>
    <w:p w14:paraId="015CBD49">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实施本国产品标准及相关政策的通知</w:t>
      </w:r>
    </w:p>
    <w:p w14:paraId="5DD6533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02433994">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国办发〔2025〕34号  </w:t>
      </w:r>
    </w:p>
    <w:p w14:paraId="6804A47A">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各省、自治区、直辖市人民政府，国务院各部委、各直属机构：</w:t>
      </w:r>
    </w:p>
    <w:p w14:paraId="1526C1A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0ADEF7C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一、本国产品标准</w:t>
      </w:r>
    </w:p>
    <w:p w14:paraId="26D499A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本国产品应当符合以下条件：</w:t>
      </w:r>
    </w:p>
    <w:p w14:paraId="4516BDD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（一）在中国境内生产</w:t>
      </w:r>
    </w:p>
    <w:p w14:paraId="147E6AE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产品应当在中国境内生产，即在中华人民共和国关境内实现从原材料、组件到产品的属性改变。</w:t>
      </w:r>
    </w:p>
    <w:p w14:paraId="50D6F7E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属性改变是指经过制造、加工或者组装等工序，产生完全不同于原材料、组件的新产品，并具有新的名称和特征（用途）。属性改变不包括以下细微操作：</w:t>
      </w:r>
    </w:p>
    <w:p w14:paraId="61F2362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1.为确保产品在运输或者储存期间保持某种状态而进行的操作；</w:t>
      </w:r>
    </w:p>
    <w:p w14:paraId="24148E6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2.为产品运输或者销售进行的包装或者展示；</w:t>
      </w:r>
    </w:p>
    <w:p w14:paraId="43A8A2A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3.在产品或者其包装上粘贴或者印刷品牌、标志、标识以及其他用于区别的标记；</w:t>
      </w:r>
    </w:p>
    <w:p w14:paraId="3775675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4.简单的上漆、磨光和分装；</w:t>
      </w:r>
    </w:p>
    <w:p w14:paraId="2E0B548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5.其他不属于属性改变的情形。</w:t>
      </w:r>
    </w:p>
    <w:p w14:paraId="03B738B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（二）在中国境内生产的组件成本占比达到规定比例</w:t>
      </w:r>
    </w:p>
    <w:p w14:paraId="270733E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产品在中国境内生产的组件成本占比应当达到规定比例，计算公式为：</w:t>
      </w:r>
    </w:p>
    <w:p w14:paraId="5A5FB91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drawing>
          <wp:inline distT="0" distB="0" distL="114300" distR="114300">
            <wp:extent cx="2733675" cy="390525"/>
            <wp:effectExtent l="0" t="0" r="9525" b="952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3"/>
                    <a:stretch>
                      <a:fillRect/>
                    </a:stretch>
                  </pic:blipFill>
                  <pic:spPr>
                    <a:xfrm>
                      <a:off x="0" y="0"/>
                      <a:ext cx="2733675" cy="390525"/>
                    </a:xfrm>
                    <a:prstGeom prst="rect">
                      <a:avLst/>
                    </a:prstGeom>
                    <a:noFill/>
                    <a:ln w="9525">
                      <a:noFill/>
                    </a:ln>
                  </pic:spPr>
                </pic:pic>
              </a:graphicData>
            </a:graphic>
          </wp:inline>
        </w:drawing>
      </w:r>
    </w:p>
    <w:p w14:paraId="254D088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74C834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（三）特定产品的关键组件、关键工序符合相关要求</w:t>
      </w:r>
    </w:p>
    <w:p w14:paraId="6D54EDA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6E2E9FC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DB4431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二、本国产品标准的适用范围</w:t>
      </w:r>
    </w:p>
    <w:p w14:paraId="577E092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3190B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三、对本国产品的支持政策</w:t>
      </w:r>
    </w:p>
    <w:p w14:paraId="1D8A29E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58775AB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DEF9D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四、政策执行要求</w:t>
      </w:r>
    </w:p>
    <w:p w14:paraId="06246AA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（一）产品在中国境内生产的组件成本核算规则。产品在中国境内生产的组件成本，按照《中国境内生产的组件成本核算基本规则》（见附件1）计算。</w:t>
      </w:r>
    </w:p>
    <w:p w14:paraId="3E1C5AB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60D0F45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采购人、采购代理机构应当随中标、成交结果同时公告中标、成交供应商提供的《声明函》或有关证明文件。</w:t>
      </w:r>
    </w:p>
    <w:p w14:paraId="4B3ADA5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2BD6230E">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（四）中华人民共和国缔结或者共同参加的国际条约、协定对政府采购中本国产品政策另有规定的，按照有关条约、协定执行。</w:t>
      </w:r>
    </w:p>
    <w:p w14:paraId="510B8A7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五、争议处理</w:t>
      </w:r>
    </w:p>
    <w:p w14:paraId="42CB711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11BE36E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（一）政府采购投诉处理、监督检查中，对产品或组件是否在中国境内生产存在争议的，按照以下原则处理：</w:t>
      </w:r>
    </w:p>
    <w:p w14:paraId="494C2011">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08770D3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5A428CB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461CEF8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5F1D8D2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0BBC976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本通知自2026年1月1日起施行。</w:t>
      </w:r>
    </w:p>
    <w:p w14:paraId="5D088DB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附件：1.中国境内生产的组件成本核算基本规则</w:t>
      </w:r>
    </w:p>
    <w:p w14:paraId="2C31ED7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2.关于符合本国产品标准的声明函</w:t>
      </w:r>
    </w:p>
    <w:p w14:paraId="126FC05B">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国务院办公厅         </w:t>
      </w:r>
    </w:p>
    <w:p w14:paraId="64331988">
      <w:pPr>
        <w:pStyle w:val="32"/>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2025年9月28日    </w:t>
      </w:r>
    </w:p>
    <w:p w14:paraId="1767524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71CBEF10">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379F3C63">
      <w:pPr>
        <w:rPr>
          <w:rStyle w:val="41"/>
          <w:rFonts w:hint="eastAsia"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72DC7A4D">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附件1</w:t>
      </w:r>
    </w:p>
    <w:p w14:paraId="0F4CE219">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138A91F5">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中国境内生产的组件成本核算基本规则</w:t>
      </w:r>
    </w:p>
    <w:p w14:paraId="460E124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4E1444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10540F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一、产品的一级组件是指直接组成产品的组件。产品的二级组件是指直接组成产品一级组件的组件。一级组件不可分解的，视同二级组件。</w:t>
      </w:r>
    </w:p>
    <w:p w14:paraId="719B2B0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二、二级组件在中国境内生产的，其全部成本计入中国境内生产的组件成本；二级组件不在中国境内生产的，其成本不计入中国境内生产的组件成本。</w:t>
      </w:r>
    </w:p>
    <w:p w14:paraId="68CDEAB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三、产品总成本和组件成本以相关会计核算数据、采购合同、进货记录等为基础进行计算。</w:t>
      </w:r>
    </w:p>
    <w:p w14:paraId="3EB2DD4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四、需要对成本核算规则予以进一步明确的其他有关事项，由财政部会同有关部门另行规定。</w:t>
      </w:r>
    </w:p>
    <w:p w14:paraId="6EDFC25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19302DE6">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85D8860">
      <w:pPr>
        <w:rPr>
          <w:rStyle w:val="41"/>
          <w:rFonts w:hint="eastAsia" w:ascii="仿宋" w:hAnsi="仿宋" w:eastAsia="仿宋" w:cs="仿宋"/>
          <w:color w:val="auto"/>
          <w:sz w:val="24"/>
          <w:szCs w:val="24"/>
          <w:highlight w:val="none"/>
          <w:shd w:val="clear" w:color="auto" w:fill="FFFFFF"/>
        </w:rPr>
      </w:pPr>
      <w:r>
        <w:rPr>
          <w:rStyle w:val="41"/>
          <w:rFonts w:hint="eastAsia" w:ascii="仿宋" w:hAnsi="仿宋" w:eastAsia="仿宋" w:cs="仿宋"/>
          <w:color w:val="auto"/>
          <w:sz w:val="24"/>
          <w:szCs w:val="24"/>
          <w:highlight w:val="none"/>
          <w:shd w:val="clear" w:color="auto" w:fill="FFFFFF"/>
        </w:rPr>
        <w:br w:type="page"/>
      </w:r>
    </w:p>
    <w:p w14:paraId="6745B113">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附件2</w:t>
      </w:r>
    </w:p>
    <w:p w14:paraId="77A71CC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1093B84">
      <w:pPr>
        <w:pStyle w:val="32"/>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1"/>
          <w:rFonts w:hint="eastAsia" w:ascii="仿宋" w:hAnsi="仿宋" w:eastAsia="仿宋" w:cs="仿宋"/>
          <w:color w:val="auto"/>
          <w:highlight w:val="none"/>
          <w:shd w:val="clear" w:color="auto" w:fill="FFFFFF"/>
        </w:rPr>
        <w:t>关于符合本国产品标准的声明函</w:t>
      </w:r>
    </w:p>
    <w:p w14:paraId="3A3D1CC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5585F8BA">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FA3C9C5">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4"/>
          <w:rFonts w:hint="eastAsia" w:ascii="仿宋" w:hAnsi="仿宋" w:eastAsia="仿宋" w:cs="仿宋"/>
          <w:i w:val="0"/>
          <w:color w:val="auto"/>
          <w:highlight w:val="none"/>
          <w:shd w:val="clear" w:color="auto" w:fill="FFFFFF"/>
        </w:rPr>
        <w:t>（产品名称1）</w:t>
      </w:r>
      <w:r>
        <w:rPr>
          <w:rStyle w:val="44"/>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Style w:val="44"/>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Style w:val="44"/>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Style w:val="44"/>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Style w:val="44"/>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19804803">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4"/>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4"/>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4"/>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4"/>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4"/>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69574C77">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551D65F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63DDB4C8">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4B6D46C1">
      <w:pPr>
        <w:pStyle w:val="32"/>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3A403BBF">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4D40DBDD">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4C3F8015">
      <w:pPr>
        <w:pStyle w:val="32"/>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_____________________________</w:t>
      </w:r>
    </w:p>
    <w:p w14:paraId="3B217474">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0D7D6348">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1E566C2B">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74806B22">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7D9AFC6C">
      <w:pPr>
        <w:pStyle w:val="32"/>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3DD2ABDA">
      <w:pPr>
        <w:spacing w:line="360" w:lineRule="auto"/>
        <w:rPr>
          <w:rFonts w:hint="eastAsia" w:ascii="仿宋" w:hAnsi="仿宋" w:eastAsia="仿宋" w:cs="仿宋"/>
          <w:color w:val="auto"/>
          <w:sz w:val="24"/>
          <w:szCs w:val="24"/>
          <w:highlight w:val="none"/>
        </w:rPr>
      </w:pPr>
    </w:p>
    <w:p w14:paraId="5617A455">
      <w:pPr>
        <w:spacing w:line="360" w:lineRule="auto"/>
        <w:rPr>
          <w:rFonts w:hint="eastAsia" w:ascii="仿宋" w:hAnsi="仿宋" w:eastAsia="仿宋" w:cs="仿宋"/>
          <w:color w:val="auto"/>
          <w:sz w:val="24"/>
          <w:szCs w:val="24"/>
          <w:highlight w:val="none"/>
        </w:rPr>
      </w:pPr>
    </w:p>
    <w:sectPr>
      <w:headerReference r:id="rId9" w:type="default"/>
      <w:footerReference r:id="rId10" w:type="default"/>
      <w:pgSz w:w="11906" w:h="16838"/>
      <w:pgMar w:top="1134" w:right="1417" w:bottom="1134" w:left="141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1" w:fontKey="{C4D18A76-9B67-4ED6-A708-13E5EDC108E8}"/>
  </w:font>
  <w:font w:name="Trebuchet MS">
    <w:panose1 w:val="020B0603020202020204"/>
    <w:charset w:val="00"/>
    <w:family w:val="swiss"/>
    <w:pitch w:val="default"/>
    <w:sig w:usb0="00000687" w:usb1="00000000" w:usb2="00000000" w:usb3="00000000" w:csb0="200000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embedRegular r:id="rId2" w:fontKey="{211BA29F-E69F-4908-A7B9-669618C58FF3}"/>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53D6C">
    <w:pPr>
      <w:pStyle w:val="21"/>
      <w:ind w:right="9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D103B">
                          <w:pPr>
                            <w:pStyle w:val="2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5AD103B">
                    <w:pPr>
                      <w:pStyle w:val="2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0D15C">
    <w:pPr>
      <w:pStyle w:val="21"/>
      <w:ind w:right="9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4CEAD">
    <w:pPr>
      <w:pStyle w:val="21"/>
      <w:ind w:right="90"/>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C796E5">
                          <w:pPr>
                            <w:pStyle w:val="21"/>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5C796E5">
                    <w:pPr>
                      <w:pStyle w:val="21"/>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AAC1C">
    <w:pPr>
      <w:pStyle w:val="21"/>
      <w:ind w:right="360"/>
      <w:jc w:val="center"/>
      <w:rPr>
        <w:rFonts w:hint="eastAsia" w:asciiTheme="minorEastAsia" w:hAnsiTheme="minorEastAsia" w:eastAsiaTheme="minorEastAsia"/>
        <w:sz w:val="24"/>
        <w:szCs w:val="24"/>
      </w:rPr>
    </w:pPr>
    <w:r>
      <w:rPr>
        <w:sz w:val="24"/>
        <w:szCs w:val="15"/>
      </w:rPr>
      <mc:AlternateContent>
        <mc:Choice Requires="wps">
          <w:drawing>
            <wp:anchor distT="0" distB="0" distL="114300" distR="114300" simplePos="0" relativeHeight="251660288" behindDoc="0" locked="0" layoutInCell="1" allowOverlap="1">
              <wp:simplePos x="0" y="0"/>
              <wp:positionH relativeFrom="margin">
                <wp:posOffset>2720975</wp:posOffset>
              </wp:positionH>
              <wp:positionV relativeFrom="paragraph">
                <wp:posOffset>-1905</wp:posOffset>
              </wp:positionV>
              <wp:extent cx="80772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807522"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47480599"/>
                          </w:sdtPr>
                          <w:sdtEndPr>
                            <w:rPr>
                              <w:rFonts w:hint="eastAsia" w:cs="仿宋" w:asciiTheme="minorEastAsia" w:hAnsiTheme="minorEastAsia" w:eastAsiaTheme="minorEastAsia"/>
                              <w:sz w:val="30"/>
                              <w:szCs w:val="30"/>
                            </w:rPr>
                          </w:sdtEndPr>
                          <w:sdtContent>
                            <w:p w14:paraId="7567D338">
                              <w:pPr>
                                <w:pStyle w:val="21"/>
                                <w:ind w:right="360"/>
                                <w:jc w:val="center"/>
                                <w:rPr>
                                  <w:rFonts w:hint="eastAsia"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2B1EFB5D">
                          <w:pPr>
                            <w:rPr>
                              <w:rFonts w:hint="eastAsia" w:asciiTheme="minorEastAsia" w:hAnsiTheme="minorEastAsia"/>
                              <w:sz w:val="30"/>
                              <w:szCs w:val="30"/>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4.25pt;margin-top:-0.15pt;height:144pt;width:63.6pt;mso-position-horizontal-relative:margin;z-index:251660288;mso-width-relative:page;mso-height-relative:page;" filled="f" stroked="f" coordsize="21600,21600" o:gfxdata="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Wh0D42QAAAAkBAAAPAAAAAAAAAAEAIAAAACIAAABkcnMvZG93bnJldi54&#10;bWxQSwECFAAUAAAACACHTuJAEs+ABjICAABWBAAADgAAAAAAAAABACAAAAAoAQAAZHJzL2Uyb0Rv&#10;Yy54bWxQSwUGAAAAAAYABgBZAQAAzA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47480599"/>
                    </w:sdtPr>
                    <w:sdtEndPr>
                      <w:rPr>
                        <w:rFonts w:hint="eastAsia" w:cs="仿宋" w:asciiTheme="minorEastAsia" w:hAnsiTheme="minorEastAsia" w:eastAsiaTheme="minorEastAsia"/>
                        <w:sz w:val="30"/>
                        <w:szCs w:val="30"/>
                      </w:rPr>
                    </w:sdtEndPr>
                    <w:sdtContent>
                      <w:p w14:paraId="7567D338">
                        <w:pPr>
                          <w:pStyle w:val="21"/>
                          <w:ind w:right="360"/>
                          <w:jc w:val="center"/>
                          <w:rPr>
                            <w:rFonts w:hint="eastAsia"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2B1EFB5D">
                    <w:pPr>
                      <w:rPr>
                        <w:rFonts w:hint="eastAsia" w:asciiTheme="minorEastAsia" w:hAnsiTheme="minorEastAsia"/>
                        <w:sz w:val="30"/>
                        <w:szCs w:val="30"/>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81E63">
    <w:pPr>
      <w:pStyle w:val="21"/>
      <w:ind w:right="360"/>
      <w:jc w:val="center"/>
      <w:rPr>
        <w:rFonts w:hint="eastAsia" w:asciiTheme="minorEastAsia" w:hAnsiTheme="minorEastAsia" w:eastAsiaTheme="minorEastAsia"/>
        <w:sz w:val="24"/>
        <w:szCs w:val="24"/>
      </w:rPr>
    </w:pPr>
    <w:r>
      <w:rPr>
        <w:sz w:val="24"/>
        <w:szCs w:val="15"/>
      </w:rPr>
      <mc:AlternateContent>
        <mc:Choice Requires="wps">
          <w:drawing>
            <wp:anchor distT="0" distB="0" distL="114300" distR="114300" simplePos="0" relativeHeight="251659264" behindDoc="0" locked="0" layoutInCell="1" allowOverlap="1">
              <wp:simplePos x="0" y="0"/>
              <wp:positionH relativeFrom="margin">
                <wp:posOffset>2720975</wp:posOffset>
              </wp:positionH>
              <wp:positionV relativeFrom="paragraph">
                <wp:posOffset>-1905</wp:posOffset>
              </wp:positionV>
              <wp:extent cx="807720" cy="1828800"/>
              <wp:effectExtent l="0" t="0" r="12065" b="6350"/>
              <wp:wrapNone/>
              <wp:docPr id="3" name="文本框 3"/>
              <wp:cNvGraphicFramePr/>
              <a:graphic xmlns:a="http://schemas.openxmlformats.org/drawingml/2006/main">
                <a:graphicData uri="http://schemas.microsoft.com/office/word/2010/wordprocessingShape">
                  <wps:wsp>
                    <wps:cNvSpPr txBox="1"/>
                    <wps:spPr>
                      <a:xfrm>
                        <a:off x="0" y="0"/>
                        <a:ext cx="807522"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6AC88148">
                              <w:pPr>
                                <w:pStyle w:val="21"/>
                                <w:ind w:right="360"/>
                                <w:jc w:val="center"/>
                                <w:rPr>
                                  <w:rFonts w:hint="eastAsia"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2914936E">
                          <w:pPr>
                            <w:rPr>
                              <w:rFonts w:hint="eastAsia" w:asciiTheme="minorEastAsia" w:hAnsiTheme="minorEastAsia"/>
                              <w:sz w:val="30"/>
                              <w:szCs w:val="30"/>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4.25pt;margin-top:-0.15pt;height:144pt;width:63.6pt;mso-position-horizontal-relative:margin;z-index:251659264;mso-width-relative:page;mso-height-relative:page;" filled="f" stroked="f" coordsize="21600,21600" o:gfxdata="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Wh0D42QAAAAkBAAAPAAAAAAAAAAEAIAAAACIAAABkcnMvZG93bnJldi54&#10;bWxQSwECFAAUAAAACACHTuJAN7u+9TICAABWBAAADgAAAAAAAAABACAAAAAoAQAAZHJzL2Uyb0Rv&#10;Yy54bWxQSwUGAAAAAAYABgBZAQAAzA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1"/>
                    </w:sdtPr>
                    <w:sdtEndPr>
                      <w:rPr>
                        <w:rFonts w:hint="eastAsia" w:cs="仿宋" w:asciiTheme="minorEastAsia" w:hAnsiTheme="minorEastAsia" w:eastAsiaTheme="minorEastAsia"/>
                        <w:sz w:val="30"/>
                        <w:szCs w:val="30"/>
                      </w:rPr>
                    </w:sdtEndPr>
                    <w:sdtContent>
                      <w:p w14:paraId="6AC88148">
                        <w:pPr>
                          <w:pStyle w:val="21"/>
                          <w:ind w:right="360"/>
                          <w:jc w:val="center"/>
                          <w:rPr>
                            <w:rFonts w:hint="eastAsia"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2914936E">
                    <w:pPr>
                      <w:rPr>
                        <w:rFonts w:hint="eastAsia" w:asciiTheme="minorEastAsia" w:hAnsiTheme="minorEastAsia"/>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D71AF">
    <w:pPr>
      <w:pStyle w:val="22"/>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56E91">
    <w:pPr>
      <w:pStyle w:val="2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96841">
    <w:pPr>
      <w:pStyle w:val="2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7E124"/>
    <w:multiLevelType w:val="singleLevel"/>
    <w:tmpl w:val="A5C7E124"/>
    <w:lvl w:ilvl="0" w:tentative="0">
      <w:start w:val="1"/>
      <w:numFmt w:val="decimal"/>
      <w:suff w:val="nothing"/>
      <w:lvlText w:val="%1、"/>
      <w:lvlJc w:val="left"/>
    </w:lvl>
  </w:abstractNum>
  <w:abstractNum w:abstractNumId="1">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8C9FAB4"/>
    <w:multiLevelType w:val="singleLevel"/>
    <w:tmpl w:val="68C9FAB4"/>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172A27"/>
    <w:rsid w:val="000002B4"/>
    <w:rsid w:val="00000A06"/>
    <w:rsid w:val="00001340"/>
    <w:rsid w:val="00002143"/>
    <w:rsid w:val="00002CDD"/>
    <w:rsid w:val="00004DAA"/>
    <w:rsid w:val="00005C75"/>
    <w:rsid w:val="00006BD9"/>
    <w:rsid w:val="00006C31"/>
    <w:rsid w:val="00007BA8"/>
    <w:rsid w:val="000104D6"/>
    <w:rsid w:val="00010CE2"/>
    <w:rsid w:val="00012108"/>
    <w:rsid w:val="00012E01"/>
    <w:rsid w:val="000138DE"/>
    <w:rsid w:val="00014F7D"/>
    <w:rsid w:val="000162FE"/>
    <w:rsid w:val="00020411"/>
    <w:rsid w:val="0002386B"/>
    <w:rsid w:val="0002405E"/>
    <w:rsid w:val="00024351"/>
    <w:rsid w:val="000244CA"/>
    <w:rsid w:val="00024E41"/>
    <w:rsid w:val="000250A8"/>
    <w:rsid w:val="0002545E"/>
    <w:rsid w:val="00027B5D"/>
    <w:rsid w:val="00030171"/>
    <w:rsid w:val="00033566"/>
    <w:rsid w:val="00033852"/>
    <w:rsid w:val="000343A0"/>
    <w:rsid w:val="000347EB"/>
    <w:rsid w:val="00036B12"/>
    <w:rsid w:val="000400E8"/>
    <w:rsid w:val="00044B32"/>
    <w:rsid w:val="00046152"/>
    <w:rsid w:val="00046EB4"/>
    <w:rsid w:val="0005003E"/>
    <w:rsid w:val="00051397"/>
    <w:rsid w:val="00053D27"/>
    <w:rsid w:val="00054F47"/>
    <w:rsid w:val="0005551C"/>
    <w:rsid w:val="000604DE"/>
    <w:rsid w:val="0006199F"/>
    <w:rsid w:val="000641A9"/>
    <w:rsid w:val="000653CD"/>
    <w:rsid w:val="000661C0"/>
    <w:rsid w:val="00070AF5"/>
    <w:rsid w:val="00070BFE"/>
    <w:rsid w:val="0007362D"/>
    <w:rsid w:val="00073846"/>
    <w:rsid w:val="00073D96"/>
    <w:rsid w:val="0007583D"/>
    <w:rsid w:val="000762D4"/>
    <w:rsid w:val="00077070"/>
    <w:rsid w:val="00077DB3"/>
    <w:rsid w:val="0008025F"/>
    <w:rsid w:val="00080E16"/>
    <w:rsid w:val="000829F2"/>
    <w:rsid w:val="00082FC4"/>
    <w:rsid w:val="00085ED3"/>
    <w:rsid w:val="000904A3"/>
    <w:rsid w:val="00090F37"/>
    <w:rsid w:val="000916AB"/>
    <w:rsid w:val="000923E8"/>
    <w:rsid w:val="0009335E"/>
    <w:rsid w:val="000946D4"/>
    <w:rsid w:val="00094989"/>
    <w:rsid w:val="000A0272"/>
    <w:rsid w:val="000A02F9"/>
    <w:rsid w:val="000A1ECD"/>
    <w:rsid w:val="000A32B9"/>
    <w:rsid w:val="000A3552"/>
    <w:rsid w:val="000A43C4"/>
    <w:rsid w:val="000A452A"/>
    <w:rsid w:val="000B210F"/>
    <w:rsid w:val="000B318F"/>
    <w:rsid w:val="000B331B"/>
    <w:rsid w:val="000B4C6A"/>
    <w:rsid w:val="000B7C76"/>
    <w:rsid w:val="000C364C"/>
    <w:rsid w:val="000C3FDE"/>
    <w:rsid w:val="000D171A"/>
    <w:rsid w:val="000D5DA0"/>
    <w:rsid w:val="000D66DA"/>
    <w:rsid w:val="000D7CE7"/>
    <w:rsid w:val="000E1972"/>
    <w:rsid w:val="000E2D54"/>
    <w:rsid w:val="000E34FC"/>
    <w:rsid w:val="000E40A6"/>
    <w:rsid w:val="000E5B9C"/>
    <w:rsid w:val="000E674D"/>
    <w:rsid w:val="000E7461"/>
    <w:rsid w:val="000F186E"/>
    <w:rsid w:val="000F56EE"/>
    <w:rsid w:val="00100D44"/>
    <w:rsid w:val="00101AA4"/>
    <w:rsid w:val="00102AB6"/>
    <w:rsid w:val="00104F86"/>
    <w:rsid w:val="001063D0"/>
    <w:rsid w:val="0010650C"/>
    <w:rsid w:val="00106BA4"/>
    <w:rsid w:val="00107C0E"/>
    <w:rsid w:val="00110E2F"/>
    <w:rsid w:val="00111383"/>
    <w:rsid w:val="001145B2"/>
    <w:rsid w:val="00114C9B"/>
    <w:rsid w:val="00115901"/>
    <w:rsid w:val="00115A4B"/>
    <w:rsid w:val="0011725D"/>
    <w:rsid w:val="00121DF5"/>
    <w:rsid w:val="001248E7"/>
    <w:rsid w:val="00126044"/>
    <w:rsid w:val="00127B38"/>
    <w:rsid w:val="00127C9A"/>
    <w:rsid w:val="00130E76"/>
    <w:rsid w:val="0013312B"/>
    <w:rsid w:val="00134210"/>
    <w:rsid w:val="00134F82"/>
    <w:rsid w:val="001357C8"/>
    <w:rsid w:val="00137A6B"/>
    <w:rsid w:val="00142BB8"/>
    <w:rsid w:val="00143169"/>
    <w:rsid w:val="001437CB"/>
    <w:rsid w:val="00143BC6"/>
    <w:rsid w:val="0014554F"/>
    <w:rsid w:val="00146E26"/>
    <w:rsid w:val="001543A3"/>
    <w:rsid w:val="00155737"/>
    <w:rsid w:val="001575BE"/>
    <w:rsid w:val="00157673"/>
    <w:rsid w:val="00157767"/>
    <w:rsid w:val="0015794E"/>
    <w:rsid w:val="00160159"/>
    <w:rsid w:val="00160311"/>
    <w:rsid w:val="001613F4"/>
    <w:rsid w:val="00161961"/>
    <w:rsid w:val="00162DD4"/>
    <w:rsid w:val="001652C6"/>
    <w:rsid w:val="0016644B"/>
    <w:rsid w:val="00170A17"/>
    <w:rsid w:val="00171110"/>
    <w:rsid w:val="00172A27"/>
    <w:rsid w:val="00172AA0"/>
    <w:rsid w:val="001733AF"/>
    <w:rsid w:val="00175451"/>
    <w:rsid w:val="001763E6"/>
    <w:rsid w:val="00176FAD"/>
    <w:rsid w:val="0017733A"/>
    <w:rsid w:val="00181200"/>
    <w:rsid w:val="00187C8C"/>
    <w:rsid w:val="001901CA"/>
    <w:rsid w:val="00192185"/>
    <w:rsid w:val="00192878"/>
    <w:rsid w:val="00192C8A"/>
    <w:rsid w:val="00193017"/>
    <w:rsid w:val="001930FC"/>
    <w:rsid w:val="00193402"/>
    <w:rsid w:val="00194DD8"/>
    <w:rsid w:val="00197628"/>
    <w:rsid w:val="001A1456"/>
    <w:rsid w:val="001A1D16"/>
    <w:rsid w:val="001A2117"/>
    <w:rsid w:val="001A45DD"/>
    <w:rsid w:val="001A4E5A"/>
    <w:rsid w:val="001A4E90"/>
    <w:rsid w:val="001A539F"/>
    <w:rsid w:val="001A71AF"/>
    <w:rsid w:val="001B1372"/>
    <w:rsid w:val="001B1748"/>
    <w:rsid w:val="001B5A4C"/>
    <w:rsid w:val="001B7377"/>
    <w:rsid w:val="001C15DD"/>
    <w:rsid w:val="001C1C05"/>
    <w:rsid w:val="001C4134"/>
    <w:rsid w:val="001D029C"/>
    <w:rsid w:val="001D4B73"/>
    <w:rsid w:val="001D50A5"/>
    <w:rsid w:val="001D756B"/>
    <w:rsid w:val="001E288B"/>
    <w:rsid w:val="001E33A7"/>
    <w:rsid w:val="001E36B5"/>
    <w:rsid w:val="001E3D69"/>
    <w:rsid w:val="001E4755"/>
    <w:rsid w:val="001E5D68"/>
    <w:rsid w:val="001E6E8F"/>
    <w:rsid w:val="001E794E"/>
    <w:rsid w:val="001F292C"/>
    <w:rsid w:val="001F3A08"/>
    <w:rsid w:val="001F4A81"/>
    <w:rsid w:val="001F610A"/>
    <w:rsid w:val="001F79E8"/>
    <w:rsid w:val="002003B2"/>
    <w:rsid w:val="00200BA8"/>
    <w:rsid w:val="0020240F"/>
    <w:rsid w:val="002055DD"/>
    <w:rsid w:val="00205968"/>
    <w:rsid w:val="00205DF6"/>
    <w:rsid w:val="00205F22"/>
    <w:rsid w:val="00210631"/>
    <w:rsid w:val="0021147C"/>
    <w:rsid w:val="00213EEB"/>
    <w:rsid w:val="00214257"/>
    <w:rsid w:val="00214392"/>
    <w:rsid w:val="00215BA5"/>
    <w:rsid w:val="00215F58"/>
    <w:rsid w:val="00217E00"/>
    <w:rsid w:val="0022016C"/>
    <w:rsid w:val="0022177D"/>
    <w:rsid w:val="002224AE"/>
    <w:rsid w:val="00223931"/>
    <w:rsid w:val="002246D6"/>
    <w:rsid w:val="00226DEC"/>
    <w:rsid w:val="0022747A"/>
    <w:rsid w:val="0023151C"/>
    <w:rsid w:val="0023323E"/>
    <w:rsid w:val="002360DC"/>
    <w:rsid w:val="002366E4"/>
    <w:rsid w:val="00236A48"/>
    <w:rsid w:val="00236D43"/>
    <w:rsid w:val="00240D63"/>
    <w:rsid w:val="00243861"/>
    <w:rsid w:val="00243F35"/>
    <w:rsid w:val="00243F4C"/>
    <w:rsid w:val="002472C0"/>
    <w:rsid w:val="002508FA"/>
    <w:rsid w:val="00253DC3"/>
    <w:rsid w:val="002541CE"/>
    <w:rsid w:val="00255C6B"/>
    <w:rsid w:val="002564CC"/>
    <w:rsid w:val="00256681"/>
    <w:rsid w:val="0025723D"/>
    <w:rsid w:val="00257637"/>
    <w:rsid w:val="00257F22"/>
    <w:rsid w:val="002604A7"/>
    <w:rsid w:val="00260910"/>
    <w:rsid w:val="00262A6E"/>
    <w:rsid w:val="00263141"/>
    <w:rsid w:val="00266F04"/>
    <w:rsid w:val="002715F8"/>
    <w:rsid w:val="00277D72"/>
    <w:rsid w:val="00280F38"/>
    <w:rsid w:val="00283558"/>
    <w:rsid w:val="00283C54"/>
    <w:rsid w:val="00285885"/>
    <w:rsid w:val="00285ABC"/>
    <w:rsid w:val="002967DA"/>
    <w:rsid w:val="002A2C3B"/>
    <w:rsid w:val="002A56CF"/>
    <w:rsid w:val="002A6197"/>
    <w:rsid w:val="002A7CE2"/>
    <w:rsid w:val="002B0041"/>
    <w:rsid w:val="002B01D0"/>
    <w:rsid w:val="002B38BE"/>
    <w:rsid w:val="002B3DBF"/>
    <w:rsid w:val="002B53C3"/>
    <w:rsid w:val="002B77E1"/>
    <w:rsid w:val="002C02A1"/>
    <w:rsid w:val="002C2DD2"/>
    <w:rsid w:val="002C7FCF"/>
    <w:rsid w:val="002D280B"/>
    <w:rsid w:val="002D3439"/>
    <w:rsid w:val="002D635D"/>
    <w:rsid w:val="002D6627"/>
    <w:rsid w:val="002D6CF2"/>
    <w:rsid w:val="002E1B79"/>
    <w:rsid w:val="002E2136"/>
    <w:rsid w:val="002E25BC"/>
    <w:rsid w:val="002E29B4"/>
    <w:rsid w:val="002E5AAD"/>
    <w:rsid w:val="002F065A"/>
    <w:rsid w:val="002F10F5"/>
    <w:rsid w:val="002F13B5"/>
    <w:rsid w:val="002F2283"/>
    <w:rsid w:val="002F640F"/>
    <w:rsid w:val="002F73FF"/>
    <w:rsid w:val="002F7FD1"/>
    <w:rsid w:val="00300C92"/>
    <w:rsid w:val="003017E3"/>
    <w:rsid w:val="00301FBF"/>
    <w:rsid w:val="00304A1A"/>
    <w:rsid w:val="00304D2D"/>
    <w:rsid w:val="00305EE3"/>
    <w:rsid w:val="0030747A"/>
    <w:rsid w:val="003117CE"/>
    <w:rsid w:val="003121AD"/>
    <w:rsid w:val="00313F13"/>
    <w:rsid w:val="00315623"/>
    <w:rsid w:val="00315D4B"/>
    <w:rsid w:val="00315D59"/>
    <w:rsid w:val="003160D4"/>
    <w:rsid w:val="00316DBA"/>
    <w:rsid w:val="00317D34"/>
    <w:rsid w:val="00321036"/>
    <w:rsid w:val="00323AFC"/>
    <w:rsid w:val="0032592F"/>
    <w:rsid w:val="00326152"/>
    <w:rsid w:val="00331C14"/>
    <w:rsid w:val="0033231B"/>
    <w:rsid w:val="00332D2E"/>
    <w:rsid w:val="00333E01"/>
    <w:rsid w:val="003357D8"/>
    <w:rsid w:val="00336EED"/>
    <w:rsid w:val="003414CA"/>
    <w:rsid w:val="003424AE"/>
    <w:rsid w:val="00344BCD"/>
    <w:rsid w:val="003467BC"/>
    <w:rsid w:val="003468AE"/>
    <w:rsid w:val="00347E66"/>
    <w:rsid w:val="0035118C"/>
    <w:rsid w:val="003522FB"/>
    <w:rsid w:val="003537E4"/>
    <w:rsid w:val="0035581F"/>
    <w:rsid w:val="00356596"/>
    <w:rsid w:val="00357E91"/>
    <w:rsid w:val="00360D30"/>
    <w:rsid w:val="00361C9D"/>
    <w:rsid w:val="00363991"/>
    <w:rsid w:val="00364473"/>
    <w:rsid w:val="003646E5"/>
    <w:rsid w:val="00366F29"/>
    <w:rsid w:val="00367BA8"/>
    <w:rsid w:val="00370F25"/>
    <w:rsid w:val="00371E75"/>
    <w:rsid w:val="003726FF"/>
    <w:rsid w:val="00373602"/>
    <w:rsid w:val="00373826"/>
    <w:rsid w:val="003738CE"/>
    <w:rsid w:val="00373AD1"/>
    <w:rsid w:val="0037573F"/>
    <w:rsid w:val="00375CD0"/>
    <w:rsid w:val="00376E83"/>
    <w:rsid w:val="00384E2D"/>
    <w:rsid w:val="00386407"/>
    <w:rsid w:val="00390A3C"/>
    <w:rsid w:val="00392652"/>
    <w:rsid w:val="003956E1"/>
    <w:rsid w:val="00396763"/>
    <w:rsid w:val="003974F8"/>
    <w:rsid w:val="003A28C5"/>
    <w:rsid w:val="003A5B50"/>
    <w:rsid w:val="003A6107"/>
    <w:rsid w:val="003A7427"/>
    <w:rsid w:val="003B0D63"/>
    <w:rsid w:val="003B35E1"/>
    <w:rsid w:val="003B70AD"/>
    <w:rsid w:val="003B7226"/>
    <w:rsid w:val="003C0B9E"/>
    <w:rsid w:val="003C179F"/>
    <w:rsid w:val="003C21E8"/>
    <w:rsid w:val="003C558B"/>
    <w:rsid w:val="003C7665"/>
    <w:rsid w:val="003D01BB"/>
    <w:rsid w:val="003D05EA"/>
    <w:rsid w:val="003D2C56"/>
    <w:rsid w:val="003D3CCB"/>
    <w:rsid w:val="003D4211"/>
    <w:rsid w:val="003E11F4"/>
    <w:rsid w:val="003E459C"/>
    <w:rsid w:val="003E4A7A"/>
    <w:rsid w:val="003E63FF"/>
    <w:rsid w:val="003F08DC"/>
    <w:rsid w:val="003F3849"/>
    <w:rsid w:val="003F4611"/>
    <w:rsid w:val="003F59D7"/>
    <w:rsid w:val="0040310D"/>
    <w:rsid w:val="00403571"/>
    <w:rsid w:val="00404253"/>
    <w:rsid w:val="00407128"/>
    <w:rsid w:val="004079CE"/>
    <w:rsid w:val="004143A5"/>
    <w:rsid w:val="0041514B"/>
    <w:rsid w:val="00416E5D"/>
    <w:rsid w:val="004220B6"/>
    <w:rsid w:val="004238E7"/>
    <w:rsid w:val="00423980"/>
    <w:rsid w:val="0042662D"/>
    <w:rsid w:val="004270EF"/>
    <w:rsid w:val="00427533"/>
    <w:rsid w:val="00432C0C"/>
    <w:rsid w:val="00433EED"/>
    <w:rsid w:val="004404D7"/>
    <w:rsid w:val="004412B9"/>
    <w:rsid w:val="0044198C"/>
    <w:rsid w:val="0044280B"/>
    <w:rsid w:val="00443888"/>
    <w:rsid w:val="004442BD"/>
    <w:rsid w:val="00444834"/>
    <w:rsid w:val="004449F3"/>
    <w:rsid w:val="00444EE1"/>
    <w:rsid w:val="00445872"/>
    <w:rsid w:val="0044799D"/>
    <w:rsid w:val="0045091A"/>
    <w:rsid w:val="00450FBF"/>
    <w:rsid w:val="00451F71"/>
    <w:rsid w:val="00452BB8"/>
    <w:rsid w:val="00454FA1"/>
    <w:rsid w:val="00455196"/>
    <w:rsid w:val="00455345"/>
    <w:rsid w:val="0045602F"/>
    <w:rsid w:val="0045745E"/>
    <w:rsid w:val="00457A37"/>
    <w:rsid w:val="00462096"/>
    <w:rsid w:val="004639BC"/>
    <w:rsid w:val="004640C1"/>
    <w:rsid w:val="00464725"/>
    <w:rsid w:val="00464BAE"/>
    <w:rsid w:val="004660B0"/>
    <w:rsid w:val="004704FB"/>
    <w:rsid w:val="004825A8"/>
    <w:rsid w:val="0048468B"/>
    <w:rsid w:val="00484DCB"/>
    <w:rsid w:val="0048512D"/>
    <w:rsid w:val="00491321"/>
    <w:rsid w:val="00491EB4"/>
    <w:rsid w:val="004A010F"/>
    <w:rsid w:val="004A01F6"/>
    <w:rsid w:val="004A1F5D"/>
    <w:rsid w:val="004A3D6D"/>
    <w:rsid w:val="004A4981"/>
    <w:rsid w:val="004A5190"/>
    <w:rsid w:val="004A5376"/>
    <w:rsid w:val="004A6517"/>
    <w:rsid w:val="004A67FA"/>
    <w:rsid w:val="004A68AF"/>
    <w:rsid w:val="004A7173"/>
    <w:rsid w:val="004A7D7E"/>
    <w:rsid w:val="004B029E"/>
    <w:rsid w:val="004B0537"/>
    <w:rsid w:val="004B28CA"/>
    <w:rsid w:val="004B7DE5"/>
    <w:rsid w:val="004C1AE6"/>
    <w:rsid w:val="004C450A"/>
    <w:rsid w:val="004C6BAD"/>
    <w:rsid w:val="004C7102"/>
    <w:rsid w:val="004C7FD7"/>
    <w:rsid w:val="004D00C8"/>
    <w:rsid w:val="004D0A4A"/>
    <w:rsid w:val="004D0E18"/>
    <w:rsid w:val="004D11B3"/>
    <w:rsid w:val="004D3C30"/>
    <w:rsid w:val="004D5AE9"/>
    <w:rsid w:val="004D5C23"/>
    <w:rsid w:val="004D5F63"/>
    <w:rsid w:val="004D75D5"/>
    <w:rsid w:val="004E0230"/>
    <w:rsid w:val="004E2088"/>
    <w:rsid w:val="004E419C"/>
    <w:rsid w:val="004E56D8"/>
    <w:rsid w:val="004E5B18"/>
    <w:rsid w:val="004E606C"/>
    <w:rsid w:val="004E6954"/>
    <w:rsid w:val="004E76F6"/>
    <w:rsid w:val="004E7786"/>
    <w:rsid w:val="004F0D23"/>
    <w:rsid w:val="004F7EA4"/>
    <w:rsid w:val="00501303"/>
    <w:rsid w:val="0050507E"/>
    <w:rsid w:val="00507DCF"/>
    <w:rsid w:val="00511664"/>
    <w:rsid w:val="00516A4F"/>
    <w:rsid w:val="005170D9"/>
    <w:rsid w:val="00520FE8"/>
    <w:rsid w:val="0052394D"/>
    <w:rsid w:val="00524F86"/>
    <w:rsid w:val="00526F0E"/>
    <w:rsid w:val="005271EF"/>
    <w:rsid w:val="00527A46"/>
    <w:rsid w:val="005307A5"/>
    <w:rsid w:val="0053132A"/>
    <w:rsid w:val="00536952"/>
    <w:rsid w:val="005369FB"/>
    <w:rsid w:val="00537638"/>
    <w:rsid w:val="0054181E"/>
    <w:rsid w:val="00541AC4"/>
    <w:rsid w:val="00541FB5"/>
    <w:rsid w:val="00544251"/>
    <w:rsid w:val="0055435D"/>
    <w:rsid w:val="0055441E"/>
    <w:rsid w:val="005574D7"/>
    <w:rsid w:val="00560740"/>
    <w:rsid w:val="005627EE"/>
    <w:rsid w:val="00562B2E"/>
    <w:rsid w:val="00566F28"/>
    <w:rsid w:val="00570015"/>
    <w:rsid w:val="00573EAA"/>
    <w:rsid w:val="005744E9"/>
    <w:rsid w:val="00576ADE"/>
    <w:rsid w:val="00577ECB"/>
    <w:rsid w:val="00577FFA"/>
    <w:rsid w:val="0058012A"/>
    <w:rsid w:val="00582F95"/>
    <w:rsid w:val="0058540C"/>
    <w:rsid w:val="00586658"/>
    <w:rsid w:val="00587816"/>
    <w:rsid w:val="005879D1"/>
    <w:rsid w:val="0059145C"/>
    <w:rsid w:val="00594BE3"/>
    <w:rsid w:val="00595F0C"/>
    <w:rsid w:val="00596BA7"/>
    <w:rsid w:val="005A215C"/>
    <w:rsid w:val="005A6326"/>
    <w:rsid w:val="005A69CA"/>
    <w:rsid w:val="005A770A"/>
    <w:rsid w:val="005B0CC6"/>
    <w:rsid w:val="005B4EDD"/>
    <w:rsid w:val="005C1F6F"/>
    <w:rsid w:val="005C53A8"/>
    <w:rsid w:val="005D2A28"/>
    <w:rsid w:val="005D3846"/>
    <w:rsid w:val="005D5695"/>
    <w:rsid w:val="005D651D"/>
    <w:rsid w:val="005D6F56"/>
    <w:rsid w:val="005E22B8"/>
    <w:rsid w:val="005E28BD"/>
    <w:rsid w:val="005E29BA"/>
    <w:rsid w:val="005E3C18"/>
    <w:rsid w:val="005E617A"/>
    <w:rsid w:val="005F3159"/>
    <w:rsid w:val="005F3701"/>
    <w:rsid w:val="005F437E"/>
    <w:rsid w:val="005F4DCF"/>
    <w:rsid w:val="005F580C"/>
    <w:rsid w:val="005F6E37"/>
    <w:rsid w:val="005F73DF"/>
    <w:rsid w:val="005F7CCF"/>
    <w:rsid w:val="0060072E"/>
    <w:rsid w:val="0060086F"/>
    <w:rsid w:val="00600C9C"/>
    <w:rsid w:val="00601507"/>
    <w:rsid w:val="006053D2"/>
    <w:rsid w:val="00606716"/>
    <w:rsid w:val="00607BD4"/>
    <w:rsid w:val="0061147C"/>
    <w:rsid w:val="00613CC0"/>
    <w:rsid w:val="00613E30"/>
    <w:rsid w:val="00614490"/>
    <w:rsid w:val="0061632F"/>
    <w:rsid w:val="00616341"/>
    <w:rsid w:val="00617E79"/>
    <w:rsid w:val="00617EC4"/>
    <w:rsid w:val="00622699"/>
    <w:rsid w:val="00624E16"/>
    <w:rsid w:val="00627F1A"/>
    <w:rsid w:val="00630AAC"/>
    <w:rsid w:val="006314C2"/>
    <w:rsid w:val="0063187D"/>
    <w:rsid w:val="00631C5A"/>
    <w:rsid w:val="0063569B"/>
    <w:rsid w:val="00635CE4"/>
    <w:rsid w:val="0063610A"/>
    <w:rsid w:val="006367D4"/>
    <w:rsid w:val="00644CAA"/>
    <w:rsid w:val="00646460"/>
    <w:rsid w:val="0064722F"/>
    <w:rsid w:val="00647D58"/>
    <w:rsid w:val="0065082F"/>
    <w:rsid w:val="00650F27"/>
    <w:rsid w:val="0065179B"/>
    <w:rsid w:val="00651977"/>
    <w:rsid w:val="006523BD"/>
    <w:rsid w:val="00652A1B"/>
    <w:rsid w:val="00652A7E"/>
    <w:rsid w:val="00652A9D"/>
    <w:rsid w:val="00653B67"/>
    <w:rsid w:val="006546EA"/>
    <w:rsid w:val="00654D73"/>
    <w:rsid w:val="00655FCC"/>
    <w:rsid w:val="006568E0"/>
    <w:rsid w:val="00656C08"/>
    <w:rsid w:val="00657AD0"/>
    <w:rsid w:val="00660336"/>
    <w:rsid w:val="0066102E"/>
    <w:rsid w:val="006619C0"/>
    <w:rsid w:val="00661E10"/>
    <w:rsid w:val="00664BD0"/>
    <w:rsid w:val="0066520F"/>
    <w:rsid w:val="006654E8"/>
    <w:rsid w:val="0066681E"/>
    <w:rsid w:val="00666A31"/>
    <w:rsid w:val="00670008"/>
    <w:rsid w:val="00670790"/>
    <w:rsid w:val="0067272A"/>
    <w:rsid w:val="006728AB"/>
    <w:rsid w:val="00672F73"/>
    <w:rsid w:val="00673798"/>
    <w:rsid w:val="00674559"/>
    <w:rsid w:val="00674A1B"/>
    <w:rsid w:val="00674AFD"/>
    <w:rsid w:val="006804BB"/>
    <w:rsid w:val="00691232"/>
    <w:rsid w:val="0069270C"/>
    <w:rsid w:val="006932B7"/>
    <w:rsid w:val="00693C26"/>
    <w:rsid w:val="00693DA7"/>
    <w:rsid w:val="00694538"/>
    <w:rsid w:val="006956A0"/>
    <w:rsid w:val="0069732C"/>
    <w:rsid w:val="0069791E"/>
    <w:rsid w:val="006A4AC4"/>
    <w:rsid w:val="006A72C3"/>
    <w:rsid w:val="006B014A"/>
    <w:rsid w:val="006B14EC"/>
    <w:rsid w:val="006B191B"/>
    <w:rsid w:val="006B2DDD"/>
    <w:rsid w:val="006B6380"/>
    <w:rsid w:val="006B6739"/>
    <w:rsid w:val="006B72B0"/>
    <w:rsid w:val="006B72D9"/>
    <w:rsid w:val="006B7760"/>
    <w:rsid w:val="006B79F5"/>
    <w:rsid w:val="006C06C9"/>
    <w:rsid w:val="006C08F0"/>
    <w:rsid w:val="006C214D"/>
    <w:rsid w:val="006C2490"/>
    <w:rsid w:val="006C3250"/>
    <w:rsid w:val="006C32EE"/>
    <w:rsid w:val="006C551A"/>
    <w:rsid w:val="006C5A93"/>
    <w:rsid w:val="006D0395"/>
    <w:rsid w:val="006D21CC"/>
    <w:rsid w:val="006D3A4C"/>
    <w:rsid w:val="006D3A5D"/>
    <w:rsid w:val="006D5419"/>
    <w:rsid w:val="006D541A"/>
    <w:rsid w:val="006D54D4"/>
    <w:rsid w:val="006D72DF"/>
    <w:rsid w:val="006D747B"/>
    <w:rsid w:val="006E249F"/>
    <w:rsid w:val="006E344D"/>
    <w:rsid w:val="006E4F24"/>
    <w:rsid w:val="006E51CF"/>
    <w:rsid w:val="006F07AB"/>
    <w:rsid w:val="006F2889"/>
    <w:rsid w:val="006F2A4E"/>
    <w:rsid w:val="006F3AF3"/>
    <w:rsid w:val="006F5509"/>
    <w:rsid w:val="006F6DB0"/>
    <w:rsid w:val="006F7BBE"/>
    <w:rsid w:val="00700939"/>
    <w:rsid w:val="00703743"/>
    <w:rsid w:val="00704AEC"/>
    <w:rsid w:val="00704C14"/>
    <w:rsid w:val="00705A54"/>
    <w:rsid w:val="00707DD7"/>
    <w:rsid w:val="007104B7"/>
    <w:rsid w:val="00711806"/>
    <w:rsid w:val="00711DFE"/>
    <w:rsid w:val="007127BA"/>
    <w:rsid w:val="00712834"/>
    <w:rsid w:val="007128C2"/>
    <w:rsid w:val="007137F1"/>
    <w:rsid w:val="007138D7"/>
    <w:rsid w:val="007156D2"/>
    <w:rsid w:val="007171D2"/>
    <w:rsid w:val="0072037A"/>
    <w:rsid w:val="00731CAD"/>
    <w:rsid w:val="007333C2"/>
    <w:rsid w:val="00737F44"/>
    <w:rsid w:val="00742828"/>
    <w:rsid w:val="00747623"/>
    <w:rsid w:val="007509C9"/>
    <w:rsid w:val="007509D8"/>
    <w:rsid w:val="00750F56"/>
    <w:rsid w:val="0075151D"/>
    <w:rsid w:val="0075182A"/>
    <w:rsid w:val="00751E8B"/>
    <w:rsid w:val="00752280"/>
    <w:rsid w:val="00752409"/>
    <w:rsid w:val="007555F9"/>
    <w:rsid w:val="00756E59"/>
    <w:rsid w:val="0075781F"/>
    <w:rsid w:val="00757D50"/>
    <w:rsid w:val="007614D5"/>
    <w:rsid w:val="0076194F"/>
    <w:rsid w:val="00763F5B"/>
    <w:rsid w:val="00767044"/>
    <w:rsid w:val="00767A9C"/>
    <w:rsid w:val="007706A6"/>
    <w:rsid w:val="00774C16"/>
    <w:rsid w:val="00774ECD"/>
    <w:rsid w:val="00775831"/>
    <w:rsid w:val="007758AC"/>
    <w:rsid w:val="00775DEA"/>
    <w:rsid w:val="00775E04"/>
    <w:rsid w:val="00777B6C"/>
    <w:rsid w:val="0078024F"/>
    <w:rsid w:val="0078033B"/>
    <w:rsid w:val="00781F52"/>
    <w:rsid w:val="00782548"/>
    <w:rsid w:val="00782584"/>
    <w:rsid w:val="00784173"/>
    <w:rsid w:val="00786AAF"/>
    <w:rsid w:val="00787D19"/>
    <w:rsid w:val="007952C7"/>
    <w:rsid w:val="00796034"/>
    <w:rsid w:val="007A0C42"/>
    <w:rsid w:val="007A0E43"/>
    <w:rsid w:val="007A1947"/>
    <w:rsid w:val="007A1A09"/>
    <w:rsid w:val="007A237A"/>
    <w:rsid w:val="007A3B2A"/>
    <w:rsid w:val="007A402F"/>
    <w:rsid w:val="007A5319"/>
    <w:rsid w:val="007A7C18"/>
    <w:rsid w:val="007A7EF1"/>
    <w:rsid w:val="007B2A84"/>
    <w:rsid w:val="007B32E9"/>
    <w:rsid w:val="007C4912"/>
    <w:rsid w:val="007C5873"/>
    <w:rsid w:val="007C66D2"/>
    <w:rsid w:val="007C6BBF"/>
    <w:rsid w:val="007D1C55"/>
    <w:rsid w:val="007D1FBD"/>
    <w:rsid w:val="007D3CF4"/>
    <w:rsid w:val="007D3DC6"/>
    <w:rsid w:val="007D4455"/>
    <w:rsid w:val="007D62D7"/>
    <w:rsid w:val="007D68A5"/>
    <w:rsid w:val="007D792B"/>
    <w:rsid w:val="007E7421"/>
    <w:rsid w:val="007F314D"/>
    <w:rsid w:val="007F6C55"/>
    <w:rsid w:val="0080072A"/>
    <w:rsid w:val="008012FC"/>
    <w:rsid w:val="00801FFA"/>
    <w:rsid w:val="00802886"/>
    <w:rsid w:val="008036B7"/>
    <w:rsid w:val="0080494D"/>
    <w:rsid w:val="00804D5D"/>
    <w:rsid w:val="0080672E"/>
    <w:rsid w:val="008067AA"/>
    <w:rsid w:val="008068DA"/>
    <w:rsid w:val="008068EC"/>
    <w:rsid w:val="00807795"/>
    <w:rsid w:val="00810459"/>
    <w:rsid w:val="008117BB"/>
    <w:rsid w:val="00813D04"/>
    <w:rsid w:val="0081414C"/>
    <w:rsid w:val="00815617"/>
    <w:rsid w:val="00816A53"/>
    <w:rsid w:val="008179D3"/>
    <w:rsid w:val="00820914"/>
    <w:rsid w:val="00822EBD"/>
    <w:rsid w:val="008247D9"/>
    <w:rsid w:val="00825A15"/>
    <w:rsid w:val="00825F46"/>
    <w:rsid w:val="00825FAA"/>
    <w:rsid w:val="00826C3A"/>
    <w:rsid w:val="00830296"/>
    <w:rsid w:val="0083223D"/>
    <w:rsid w:val="008330C9"/>
    <w:rsid w:val="00835D98"/>
    <w:rsid w:val="00835F52"/>
    <w:rsid w:val="008375BA"/>
    <w:rsid w:val="00837AB5"/>
    <w:rsid w:val="00840117"/>
    <w:rsid w:val="008407E2"/>
    <w:rsid w:val="00843C8F"/>
    <w:rsid w:val="00844290"/>
    <w:rsid w:val="008443B1"/>
    <w:rsid w:val="00844507"/>
    <w:rsid w:val="0084490D"/>
    <w:rsid w:val="00844A00"/>
    <w:rsid w:val="00846F1B"/>
    <w:rsid w:val="008526D9"/>
    <w:rsid w:val="00854E30"/>
    <w:rsid w:val="00857654"/>
    <w:rsid w:val="00857B62"/>
    <w:rsid w:val="008618C1"/>
    <w:rsid w:val="00862EBB"/>
    <w:rsid w:val="008631DD"/>
    <w:rsid w:val="00864330"/>
    <w:rsid w:val="00865EDB"/>
    <w:rsid w:val="00866173"/>
    <w:rsid w:val="008703DB"/>
    <w:rsid w:val="00872CE4"/>
    <w:rsid w:val="00872F9B"/>
    <w:rsid w:val="0087459C"/>
    <w:rsid w:val="00877E4D"/>
    <w:rsid w:val="00880D74"/>
    <w:rsid w:val="00880ED3"/>
    <w:rsid w:val="00881BAB"/>
    <w:rsid w:val="00881D84"/>
    <w:rsid w:val="00883470"/>
    <w:rsid w:val="00884BA6"/>
    <w:rsid w:val="0088566B"/>
    <w:rsid w:val="008858F6"/>
    <w:rsid w:val="00886850"/>
    <w:rsid w:val="00890712"/>
    <w:rsid w:val="00890B69"/>
    <w:rsid w:val="008919D5"/>
    <w:rsid w:val="00892BDA"/>
    <w:rsid w:val="00892DE8"/>
    <w:rsid w:val="008A047F"/>
    <w:rsid w:val="008A072E"/>
    <w:rsid w:val="008A2656"/>
    <w:rsid w:val="008A3A9E"/>
    <w:rsid w:val="008A4942"/>
    <w:rsid w:val="008A4B8E"/>
    <w:rsid w:val="008A53DE"/>
    <w:rsid w:val="008A561B"/>
    <w:rsid w:val="008A6628"/>
    <w:rsid w:val="008B01C2"/>
    <w:rsid w:val="008B029B"/>
    <w:rsid w:val="008B0A8F"/>
    <w:rsid w:val="008B1D39"/>
    <w:rsid w:val="008B5573"/>
    <w:rsid w:val="008C24AF"/>
    <w:rsid w:val="008C5641"/>
    <w:rsid w:val="008C6135"/>
    <w:rsid w:val="008C6A31"/>
    <w:rsid w:val="008D0766"/>
    <w:rsid w:val="008D4229"/>
    <w:rsid w:val="008D4521"/>
    <w:rsid w:val="008D4BDD"/>
    <w:rsid w:val="008D5387"/>
    <w:rsid w:val="008D60F8"/>
    <w:rsid w:val="008D7591"/>
    <w:rsid w:val="008E1C79"/>
    <w:rsid w:val="008E1EA1"/>
    <w:rsid w:val="008E2F61"/>
    <w:rsid w:val="008E337E"/>
    <w:rsid w:val="008E47C0"/>
    <w:rsid w:val="008E6003"/>
    <w:rsid w:val="008E69FC"/>
    <w:rsid w:val="008E6AAE"/>
    <w:rsid w:val="008F1D6D"/>
    <w:rsid w:val="008F52D0"/>
    <w:rsid w:val="008F6A70"/>
    <w:rsid w:val="008F6AA2"/>
    <w:rsid w:val="00900116"/>
    <w:rsid w:val="00900AE9"/>
    <w:rsid w:val="00901EE7"/>
    <w:rsid w:val="00905273"/>
    <w:rsid w:val="009055EE"/>
    <w:rsid w:val="00905A28"/>
    <w:rsid w:val="00906F1B"/>
    <w:rsid w:val="00910B36"/>
    <w:rsid w:val="00910FF9"/>
    <w:rsid w:val="00913858"/>
    <w:rsid w:val="00914849"/>
    <w:rsid w:val="009166AD"/>
    <w:rsid w:val="00916E2E"/>
    <w:rsid w:val="0091776B"/>
    <w:rsid w:val="00917C51"/>
    <w:rsid w:val="009209E8"/>
    <w:rsid w:val="009211B4"/>
    <w:rsid w:val="00922373"/>
    <w:rsid w:val="00922592"/>
    <w:rsid w:val="00923C4A"/>
    <w:rsid w:val="009259D5"/>
    <w:rsid w:val="00925B9C"/>
    <w:rsid w:val="00926CDD"/>
    <w:rsid w:val="00926EE7"/>
    <w:rsid w:val="009278C5"/>
    <w:rsid w:val="0093107D"/>
    <w:rsid w:val="009324FE"/>
    <w:rsid w:val="00933150"/>
    <w:rsid w:val="00933165"/>
    <w:rsid w:val="0093334D"/>
    <w:rsid w:val="00934B57"/>
    <w:rsid w:val="00935142"/>
    <w:rsid w:val="00935307"/>
    <w:rsid w:val="0093548B"/>
    <w:rsid w:val="009357CB"/>
    <w:rsid w:val="0094041C"/>
    <w:rsid w:val="0094055B"/>
    <w:rsid w:val="00941545"/>
    <w:rsid w:val="009435A6"/>
    <w:rsid w:val="009437A7"/>
    <w:rsid w:val="00946789"/>
    <w:rsid w:val="00950163"/>
    <w:rsid w:val="0095139A"/>
    <w:rsid w:val="00951EC0"/>
    <w:rsid w:val="009546B7"/>
    <w:rsid w:val="00955047"/>
    <w:rsid w:val="00955238"/>
    <w:rsid w:val="009558DD"/>
    <w:rsid w:val="009608A6"/>
    <w:rsid w:val="009613A3"/>
    <w:rsid w:val="0096147D"/>
    <w:rsid w:val="0096479F"/>
    <w:rsid w:val="00965552"/>
    <w:rsid w:val="0096574A"/>
    <w:rsid w:val="0096617A"/>
    <w:rsid w:val="00967429"/>
    <w:rsid w:val="009700E7"/>
    <w:rsid w:val="009701A2"/>
    <w:rsid w:val="00971FF1"/>
    <w:rsid w:val="0097382B"/>
    <w:rsid w:val="00973FB8"/>
    <w:rsid w:val="00975775"/>
    <w:rsid w:val="00977D99"/>
    <w:rsid w:val="0098099B"/>
    <w:rsid w:val="00981749"/>
    <w:rsid w:val="00982857"/>
    <w:rsid w:val="00983E4E"/>
    <w:rsid w:val="009840B0"/>
    <w:rsid w:val="00984531"/>
    <w:rsid w:val="0098659E"/>
    <w:rsid w:val="009869E5"/>
    <w:rsid w:val="00991F92"/>
    <w:rsid w:val="00992117"/>
    <w:rsid w:val="0099239A"/>
    <w:rsid w:val="00992683"/>
    <w:rsid w:val="009930AE"/>
    <w:rsid w:val="00994368"/>
    <w:rsid w:val="009956A1"/>
    <w:rsid w:val="009960AD"/>
    <w:rsid w:val="00997017"/>
    <w:rsid w:val="009A089A"/>
    <w:rsid w:val="009A1ABA"/>
    <w:rsid w:val="009A456E"/>
    <w:rsid w:val="009A6799"/>
    <w:rsid w:val="009A693B"/>
    <w:rsid w:val="009A7284"/>
    <w:rsid w:val="009A75CB"/>
    <w:rsid w:val="009B074B"/>
    <w:rsid w:val="009B0A3E"/>
    <w:rsid w:val="009B72EB"/>
    <w:rsid w:val="009B792F"/>
    <w:rsid w:val="009C07B4"/>
    <w:rsid w:val="009C4BB9"/>
    <w:rsid w:val="009C4C50"/>
    <w:rsid w:val="009C7D0A"/>
    <w:rsid w:val="009C7FD8"/>
    <w:rsid w:val="009D05BF"/>
    <w:rsid w:val="009D2432"/>
    <w:rsid w:val="009D245C"/>
    <w:rsid w:val="009D67D9"/>
    <w:rsid w:val="009D6AFE"/>
    <w:rsid w:val="009D71DE"/>
    <w:rsid w:val="009E0EA7"/>
    <w:rsid w:val="009E36F0"/>
    <w:rsid w:val="009E6AB6"/>
    <w:rsid w:val="009F064F"/>
    <w:rsid w:val="009F11C8"/>
    <w:rsid w:val="009F15EF"/>
    <w:rsid w:val="009F22B8"/>
    <w:rsid w:val="009F24D1"/>
    <w:rsid w:val="009F3D47"/>
    <w:rsid w:val="009F4563"/>
    <w:rsid w:val="009F487E"/>
    <w:rsid w:val="009F6C40"/>
    <w:rsid w:val="00A01EFD"/>
    <w:rsid w:val="00A039D2"/>
    <w:rsid w:val="00A04B51"/>
    <w:rsid w:val="00A05781"/>
    <w:rsid w:val="00A068B7"/>
    <w:rsid w:val="00A069FC"/>
    <w:rsid w:val="00A0749F"/>
    <w:rsid w:val="00A12D09"/>
    <w:rsid w:val="00A15084"/>
    <w:rsid w:val="00A17158"/>
    <w:rsid w:val="00A2031C"/>
    <w:rsid w:val="00A20856"/>
    <w:rsid w:val="00A2140F"/>
    <w:rsid w:val="00A24145"/>
    <w:rsid w:val="00A24411"/>
    <w:rsid w:val="00A252A2"/>
    <w:rsid w:val="00A25ADF"/>
    <w:rsid w:val="00A319A4"/>
    <w:rsid w:val="00A320D2"/>
    <w:rsid w:val="00A32455"/>
    <w:rsid w:val="00A32D75"/>
    <w:rsid w:val="00A33EC9"/>
    <w:rsid w:val="00A35094"/>
    <w:rsid w:val="00A36113"/>
    <w:rsid w:val="00A377F1"/>
    <w:rsid w:val="00A40087"/>
    <w:rsid w:val="00A41C5F"/>
    <w:rsid w:val="00A41CA5"/>
    <w:rsid w:val="00A426D2"/>
    <w:rsid w:val="00A46BC3"/>
    <w:rsid w:val="00A51A47"/>
    <w:rsid w:val="00A5296E"/>
    <w:rsid w:val="00A5323E"/>
    <w:rsid w:val="00A5538A"/>
    <w:rsid w:val="00A5692F"/>
    <w:rsid w:val="00A57C84"/>
    <w:rsid w:val="00A6358C"/>
    <w:rsid w:val="00A63DE3"/>
    <w:rsid w:val="00A648D2"/>
    <w:rsid w:val="00A648FB"/>
    <w:rsid w:val="00A665B8"/>
    <w:rsid w:val="00A67621"/>
    <w:rsid w:val="00A709D1"/>
    <w:rsid w:val="00A70DE0"/>
    <w:rsid w:val="00A81B56"/>
    <w:rsid w:val="00A82E49"/>
    <w:rsid w:val="00A83E23"/>
    <w:rsid w:val="00A83F70"/>
    <w:rsid w:val="00A841E3"/>
    <w:rsid w:val="00A86E53"/>
    <w:rsid w:val="00A914A8"/>
    <w:rsid w:val="00A920ED"/>
    <w:rsid w:val="00A92497"/>
    <w:rsid w:val="00A94B95"/>
    <w:rsid w:val="00A95164"/>
    <w:rsid w:val="00A96056"/>
    <w:rsid w:val="00A969C3"/>
    <w:rsid w:val="00A97447"/>
    <w:rsid w:val="00AA0C7F"/>
    <w:rsid w:val="00AA1E25"/>
    <w:rsid w:val="00AA65EF"/>
    <w:rsid w:val="00AA6837"/>
    <w:rsid w:val="00AA70A3"/>
    <w:rsid w:val="00AB07FC"/>
    <w:rsid w:val="00AB0BCB"/>
    <w:rsid w:val="00AB1812"/>
    <w:rsid w:val="00AB1B7A"/>
    <w:rsid w:val="00AB234F"/>
    <w:rsid w:val="00AB490B"/>
    <w:rsid w:val="00AB50A1"/>
    <w:rsid w:val="00AB63EC"/>
    <w:rsid w:val="00AB656D"/>
    <w:rsid w:val="00AB706C"/>
    <w:rsid w:val="00AB7635"/>
    <w:rsid w:val="00AB7D40"/>
    <w:rsid w:val="00AC0195"/>
    <w:rsid w:val="00AC169A"/>
    <w:rsid w:val="00AC17BD"/>
    <w:rsid w:val="00AC627A"/>
    <w:rsid w:val="00AC6DCD"/>
    <w:rsid w:val="00AC7076"/>
    <w:rsid w:val="00AD0219"/>
    <w:rsid w:val="00AD0858"/>
    <w:rsid w:val="00AD159E"/>
    <w:rsid w:val="00AD25AF"/>
    <w:rsid w:val="00AD3FA3"/>
    <w:rsid w:val="00AD5B00"/>
    <w:rsid w:val="00AE0905"/>
    <w:rsid w:val="00AE2F7F"/>
    <w:rsid w:val="00AF35AE"/>
    <w:rsid w:val="00AF394B"/>
    <w:rsid w:val="00AF6C87"/>
    <w:rsid w:val="00AF7196"/>
    <w:rsid w:val="00B001EA"/>
    <w:rsid w:val="00B006E0"/>
    <w:rsid w:val="00B0365E"/>
    <w:rsid w:val="00B03D5C"/>
    <w:rsid w:val="00B11AE8"/>
    <w:rsid w:val="00B11E1C"/>
    <w:rsid w:val="00B12CAE"/>
    <w:rsid w:val="00B12DA9"/>
    <w:rsid w:val="00B1771E"/>
    <w:rsid w:val="00B179E6"/>
    <w:rsid w:val="00B20979"/>
    <w:rsid w:val="00B20B9D"/>
    <w:rsid w:val="00B20CA6"/>
    <w:rsid w:val="00B2179E"/>
    <w:rsid w:val="00B21830"/>
    <w:rsid w:val="00B24130"/>
    <w:rsid w:val="00B24BED"/>
    <w:rsid w:val="00B259B3"/>
    <w:rsid w:val="00B25F6D"/>
    <w:rsid w:val="00B3066F"/>
    <w:rsid w:val="00B31572"/>
    <w:rsid w:val="00B32FDE"/>
    <w:rsid w:val="00B3485C"/>
    <w:rsid w:val="00B3551C"/>
    <w:rsid w:val="00B41CC5"/>
    <w:rsid w:val="00B42433"/>
    <w:rsid w:val="00B4456E"/>
    <w:rsid w:val="00B455A2"/>
    <w:rsid w:val="00B5121C"/>
    <w:rsid w:val="00B5421D"/>
    <w:rsid w:val="00B55DD4"/>
    <w:rsid w:val="00B562EE"/>
    <w:rsid w:val="00B601DE"/>
    <w:rsid w:val="00B60D21"/>
    <w:rsid w:val="00B612D6"/>
    <w:rsid w:val="00B61DB0"/>
    <w:rsid w:val="00B628A3"/>
    <w:rsid w:val="00B635C3"/>
    <w:rsid w:val="00B64059"/>
    <w:rsid w:val="00B64E0D"/>
    <w:rsid w:val="00B65DD7"/>
    <w:rsid w:val="00B66B82"/>
    <w:rsid w:val="00B67C8D"/>
    <w:rsid w:val="00B71A77"/>
    <w:rsid w:val="00B746DE"/>
    <w:rsid w:val="00B761D0"/>
    <w:rsid w:val="00B76B5B"/>
    <w:rsid w:val="00B76E0A"/>
    <w:rsid w:val="00B770A1"/>
    <w:rsid w:val="00B81651"/>
    <w:rsid w:val="00B81BE6"/>
    <w:rsid w:val="00B826E5"/>
    <w:rsid w:val="00B82E07"/>
    <w:rsid w:val="00B836E8"/>
    <w:rsid w:val="00B83FBC"/>
    <w:rsid w:val="00B841A4"/>
    <w:rsid w:val="00B871DD"/>
    <w:rsid w:val="00B87B57"/>
    <w:rsid w:val="00B93135"/>
    <w:rsid w:val="00B97056"/>
    <w:rsid w:val="00B9774B"/>
    <w:rsid w:val="00BA1954"/>
    <w:rsid w:val="00BA376F"/>
    <w:rsid w:val="00BA5F64"/>
    <w:rsid w:val="00BA61A9"/>
    <w:rsid w:val="00BA779B"/>
    <w:rsid w:val="00BB0A71"/>
    <w:rsid w:val="00BB11E2"/>
    <w:rsid w:val="00BB33FD"/>
    <w:rsid w:val="00BB33FE"/>
    <w:rsid w:val="00BB5C5F"/>
    <w:rsid w:val="00BB612A"/>
    <w:rsid w:val="00BB627A"/>
    <w:rsid w:val="00BC193E"/>
    <w:rsid w:val="00BC3015"/>
    <w:rsid w:val="00BC3C77"/>
    <w:rsid w:val="00BC4F1B"/>
    <w:rsid w:val="00BC6F1B"/>
    <w:rsid w:val="00BC753E"/>
    <w:rsid w:val="00BC7668"/>
    <w:rsid w:val="00BC7E29"/>
    <w:rsid w:val="00BD1D60"/>
    <w:rsid w:val="00BD1FA5"/>
    <w:rsid w:val="00BD2812"/>
    <w:rsid w:val="00BD3A3F"/>
    <w:rsid w:val="00BD6949"/>
    <w:rsid w:val="00BD7B88"/>
    <w:rsid w:val="00BE4B8D"/>
    <w:rsid w:val="00BE5EB9"/>
    <w:rsid w:val="00BE73E9"/>
    <w:rsid w:val="00BF0B2C"/>
    <w:rsid w:val="00BF0C97"/>
    <w:rsid w:val="00BF28EC"/>
    <w:rsid w:val="00BF51F6"/>
    <w:rsid w:val="00BF52C5"/>
    <w:rsid w:val="00BF682C"/>
    <w:rsid w:val="00BF7476"/>
    <w:rsid w:val="00C02D9A"/>
    <w:rsid w:val="00C06808"/>
    <w:rsid w:val="00C10DEC"/>
    <w:rsid w:val="00C10EEC"/>
    <w:rsid w:val="00C12240"/>
    <w:rsid w:val="00C138B2"/>
    <w:rsid w:val="00C13F57"/>
    <w:rsid w:val="00C17074"/>
    <w:rsid w:val="00C1758E"/>
    <w:rsid w:val="00C21672"/>
    <w:rsid w:val="00C21ACC"/>
    <w:rsid w:val="00C22755"/>
    <w:rsid w:val="00C27A0F"/>
    <w:rsid w:val="00C31F14"/>
    <w:rsid w:val="00C34E9B"/>
    <w:rsid w:val="00C34FE2"/>
    <w:rsid w:val="00C36041"/>
    <w:rsid w:val="00C36B8D"/>
    <w:rsid w:val="00C37669"/>
    <w:rsid w:val="00C402C9"/>
    <w:rsid w:val="00C406A0"/>
    <w:rsid w:val="00C41C1D"/>
    <w:rsid w:val="00C421A0"/>
    <w:rsid w:val="00C439B2"/>
    <w:rsid w:val="00C44001"/>
    <w:rsid w:val="00C4439D"/>
    <w:rsid w:val="00C45F5C"/>
    <w:rsid w:val="00C466A2"/>
    <w:rsid w:val="00C468DC"/>
    <w:rsid w:val="00C46AF0"/>
    <w:rsid w:val="00C479FE"/>
    <w:rsid w:val="00C47EB3"/>
    <w:rsid w:val="00C50B1D"/>
    <w:rsid w:val="00C53ADD"/>
    <w:rsid w:val="00C56178"/>
    <w:rsid w:val="00C562B0"/>
    <w:rsid w:val="00C56DD1"/>
    <w:rsid w:val="00C57D52"/>
    <w:rsid w:val="00C603C1"/>
    <w:rsid w:val="00C6061D"/>
    <w:rsid w:val="00C62E07"/>
    <w:rsid w:val="00C63C53"/>
    <w:rsid w:val="00C67FC0"/>
    <w:rsid w:val="00C70B15"/>
    <w:rsid w:val="00C70F4F"/>
    <w:rsid w:val="00C72E5C"/>
    <w:rsid w:val="00C7603F"/>
    <w:rsid w:val="00C800A8"/>
    <w:rsid w:val="00C80ECD"/>
    <w:rsid w:val="00C8206E"/>
    <w:rsid w:val="00C82962"/>
    <w:rsid w:val="00C83BA2"/>
    <w:rsid w:val="00C840F2"/>
    <w:rsid w:val="00C8538F"/>
    <w:rsid w:val="00C85AC4"/>
    <w:rsid w:val="00C87F75"/>
    <w:rsid w:val="00C9122B"/>
    <w:rsid w:val="00C93D82"/>
    <w:rsid w:val="00C94904"/>
    <w:rsid w:val="00C9683B"/>
    <w:rsid w:val="00CA0EF6"/>
    <w:rsid w:val="00CA31DB"/>
    <w:rsid w:val="00CA4361"/>
    <w:rsid w:val="00CB21A0"/>
    <w:rsid w:val="00CB26B0"/>
    <w:rsid w:val="00CB2ACC"/>
    <w:rsid w:val="00CC0A81"/>
    <w:rsid w:val="00CC2EA3"/>
    <w:rsid w:val="00CC41D4"/>
    <w:rsid w:val="00CC4A6A"/>
    <w:rsid w:val="00CD2724"/>
    <w:rsid w:val="00CD33AB"/>
    <w:rsid w:val="00CD4A09"/>
    <w:rsid w:val="00CD5E71"/>
    <w:rsid w:val="00CD6B61"/>
    <w:rsid w:val="00CE6812"/>
    <w:rsid w:val="00CF08A4"/>
    <w:rsid w:val="00CF0C7B"/>
    <w:rsid w:val="00CF1C70"/>
    <w:rsid w:val="00CF291C"/>
    <w:rsid w:val="00CF3213"/>
    <w:rsid w:val="00CF4750"/>
    <w:rsid w:val="00CF4B54"/>
    <w:rsid w:val="00D02613"/>
    <w:rsid w:val="00D060F5"/>
    <w:rsid w:val="00D06613"/>
    <w:rsid w:val="00D114B4"/>
    <w:rsid w:val="00D119E0"/>
    <w:rsid w:val="00D11B4E"/>
    <w:rsid w:val="00D1210A"/>
    <w:rsid w:val="00D12679"/>
    <w:rsid w:val="00D13574"/>
    <w:rsid w:val="00D13FCC"/>
    <w:rsid w:val="00D149B3"/>
    <w:rsid w:val="00D14B46"/>
    <w:rsid w:val="00D14E0D"/>
    <w:rsid w:val="00D156E5"/>
    <w:rsid w:val="00D15B9A"/>
    <w:rsid w:val="00D15D80"/>
    <w:rsid w:val="00D1666A"/>
    <w:rsid w:val="00D17D8C"/>
    <w:rsid w:val="00D21BE7"/>
    <w:rsid w:val="00D26793"/>
    <w:rsid w:val="00D27953"/>
    <w:rsid w:val="00D33441"/>
    <w:rsid w:val="00D334C0"/>
    <w:rsid w:val="00D34816"/>
    <w:rsid w:val="00D36619"/>
    <w:rsid w:val="00D3707C"/>
    <w:rsid w:val="00D375DC"/>
    <w:rsid w:val="00D450F4"/>
    <w:rsid w:val="00D45431"/>
    <w:rsid w:val="00D505AC"/>
    <w:rsid w:val="00D50730"/>
    <w:rsid w:val="00D50898"/>
    <w:rsid w:val="00D50E55"/>
    <w:rsid w:val="00D50E97"/>
    <w:rsid w:val="00D538AF"/>
    <w:rsid w:val="00D539DF"/>
    <w:rsid w:val="00D53B3B"/>
    <w:rsid w:val="00D542EE"/>
    <w:rsid w:val="00D545D3"/>
    <w:rsid w:val="00D54F3E"/>
    <w:rsid w:val="00D577AF"/>
    <w:rsid w:val="00D57932"/>
    <w:rsid w:val="00D57C07"/>
    <w:rsid w:val="00D65F39"/>
    <w:rsid w:val="00D664CF"/>
    <w:rsid w:val="00D67757"/>
    <w:rsid w:val="00D72D71"/>
    <w:rsid w:val="00D7517D"/>
    <w:rsid w:val="00D7654E"/>
    <w:rsid w:val="00D76D8D"/>
    <w:rsid w:val="00D83166"/>
    <w:rsid w:val="00D8329A"/>
    <w:rsid w:val="00D85475"/>
    <w:rsid w:val="00D86304"/>
    <w:rsid w:val="00D87DC8"/>
    <w:rsid w:val="00D9044D"/>
    <w:rsid w:val="00D90F3B"/>
    <w:rsid w:val="00D94EB2"/>
    <w:rsid w:val="00D96521"/>
    <w:rsid w:val="00DA2563"/>
    <w:rsid w:val="00DA318F"/>
    <w:rsid w:val="00DA380B"/>
    <w:rsid w:val="00DA5364"/>
    <w:rsid w:val="00DA5370"/>
    <w:rsid w:val="00DA772B"/>
    <w:rsid w:val="00DB160F"/>
    <w:rsid w:val="00DB2F65"/>
    <w:rsid w:val="00DB4270"/>
    <w:rsid w:val="00DB50E6"/>
    <w:rsid w:val="00DB5B28"/>
    <w:rsid w:val="00DB7459"/>
    <w:rsid w:val="00DC1DBB"/>
    <w:rsid w:val="00DC2111"/>
    <w:rsid w:val="00DC2BD1"/>
    <w:rsid w:val="00DC32BC"/>
    <w:rsid w:val="00DC3B2A"/>
    <w:rsid w:val="00DC3C54"/>
    <w:rsid w:val="00DC499D"/>
    <w:rsid w:val="00DC7034"/>
    <w:rsid w:val="00DC7399"/>
    <w:rsid w:val="00DC770C"/>
    <w:rsid w:val="00DD3685"/>
    <w:rsid w:val="00DD5A57"/>
    <w:rsid w:val="00DD5B1D"/>
    <w:rsid w:val="00DE29FD"/>
    <w:rsid w:val="00DE3125"/>
    <w:rsid w:val="00DE664E"/>
    <w:rsid w:val="00DE6FEA"/>
    <w:rsid w:val="00DF29E0"/>
    <w:rsid w:val="00DF59DF"/>
    <w:rsid w:val="00E002E1"/>
    <w:rsid w:val="00E00882"/>
    <w:rsid w:val="00E00DF4"/>
    <w:rsid w:val="00E0178C"/>
    <w:rsid w:val="00E0297A"/>
    <w:rsid w:val="00E0354C"/>
    <w:rsid w:val="00E045BC"/>
    <w:rsid w:val="00E05CD7"/>
    <w:rsid w:val="00E110AE"/>
    <w:rsid w:val="00E121FC"/>
    <w:rsid w:val="00E14149"/>
    <w:rsid w:val="00E14FC8"/>
    <w:rsid w:val="00E155EB"/>
    <w:rsid w:val="00E17B8A"/>
    <w:rsid w:val="00E27F9E"/>
    <w:rsid w:val="00E311A1"/>
    <w:rsid w:val="00E34833"/>
    <w:rsid w:val="00E34FF9"/>
    <w:rsid w:val="00E3576F"/>
    <w:rsid w:val="00E36033"/>
    <w:rsid w:val="00E36E35"/>
    <w:rsid w:val="00E40272"/>
    <w:rsid w:val="00E413FB"/>
    <w:rsid w:val="00E41690"/>
    <w:rsid w:val="00E41A56"/>
    <w:rsid w:val="00E41F24"/>
    <w:rsid w:val="00E4229F"/>
    <w:rsid w:val="00E426EE"/>
    <w:rsid w:val="00E42A20"/>
    <w:rsid w:val="00E4570B"/>
    <w:rsid w:val="00E45AB6"/>
    <w:rsid w:val="00E50150"/>
    <w:rsid w:val="00E501D3"/>
    <w:rsid w:val="00E53766"/>
    <w:rsid w:val="00E53FDA"/>
    <w:rsid w:val="00E56EAE"/>
    <w:rsid w:val="00E61523"/>
    <w:rsid w:val="00E62EE1"/>
    <w:rsid w:val="00E62FB0"/>
    <w:rsid w:val="00E656AA"/>
    <w:rsid w:val="00E6785B"/>
    <w:rsid w:val="00E67BB4"/>
    <w:rsid w:val="00E702E4"/>
    <w:rsid w:val="00E705A5"/>
    <w:rsid w:val="00E7116A"/>
    <w:rsid w:val="00E71356"/>
    <w:rsid w:val="00E713BE"/>
    <w:rsid w:val="00E715AA"/>
    <w:rsid w:val="00E718FA"/>
    <w:rsid w:val="00E72050"/>
    <w:rsid w:val="00E73C64"/>
    <w:rsid w:val="00E761CC"/>
    <w:rsid w:val="00E76A25"/>
    <w:rsid w:val="00E82AFE"/>
    <w:rsid w:val="00E8351B"/>
    <w:rsid w:val="00E8434D"/>
    <w:rsid w:val="00E847F7"/>
    <w:rsid w:val="00E84BDF"/>
    <w:rsid w:val="00E86E6A"/>
    <w:rsid w:val="00E87230"/>
    <w:rsid w:val="00E872AD"/>
    <w:rsid w:val="00E87666"/>
    <w:rsid w:val="00E9078D"/>
    <w:rsid w:val="00E90F88"/>
    <w:rsid w:val="00E912E2"/>
    <w:rsid w:val="00E92B97"/>
    <w:rsid w:val="00E92E6C"/>
    <w:rsid w:val="00E94407"/>
    <w:rsid w:val="00E94EF8"/>
    <w:rsid w:val="00E955AD"/>
    <w:rsid w:val="00E964E5"/>
    <w:rsid w:val="00E96D5C"/>
    <w:rsid w:val="00EA076E"/>
    <w:rsid w:val="00EA75E3"/>
    <w:rsid w:val="00EB19B3"/>
    <w:rsid w:val="00EB312C"/>
    <w:rsid w:val="00EC012F"/>
    <w:rsid w:val="00EC22AB"/>
    <w:rsid w:val="00EC4291"/>
    <w:rsid w:val="00EC6959"/>
    <w:rsid w:val="00EC767D"/>
    <w:rsid w:val="00ED1CD5"/>
    <w:rsid w:val="00ED4D77"/>
    <w:rsid w:val="00ED7DB6"/>
    <w:rsid w:val="00EE1040"/>
    <w:rsid w:val="00EE2F7B"/>
    <w:rsid w:val="00EE35B9"/>
    <w:rsid w:val="00EE4888"/>
    <w:rsid w:val="00EE5DF7"/>
    <w:rsid w:val="00EE7991"/>
    <w:rsid w:val="00EF0DD2"/>
    <w:rsid w:val="00EF3196"/>
    <w:rsid w:val="00EF3352"/>
    <w:rsid w:val="00EF4BD4"/>
    <w:rsid w:val="00EF5440"/>
    <w:rsid w:val="00EF6989"/>
    <w:rsid w:val="00EF702C"/>
    <w:rsid w:val="00F00A1D"/>
    <w:rsid w:val="00F00D73"/>
    <w:rsid w:val="00F011EE"/>
    <w:rsid w:val="00F01251"/>
    <w:rsid w:val="00F01EC3"/>
    <w:rsid w:val="00F029A4"/>
    <w:rsid w:val="00F0325A"/>
    <w:rsid w:val="00F04C40"/>
    <w:rsid w:val="00F0695D"/>
    <w:rsid w:val="00F077F5"/>
    <w:rsid w:val="00F078E8"/>
    <w:rsid w:val="00F07B53"/>
    <w:rsid w:val="00F101CF"/>
    <w:rsid w:val="00F10359"/>
    <w:rsid w:val="00F11AEB"/>
    <w:rsid w:val="00F141A0"/>
    <w:rsid w:val="00F1438C"/>
    <w:rsid w:val="00F21F0C"/>
    <w:rsid w:val="00F22CC8"/>
    <w:rsid w:val="00F2452B"/>
    <w:rsid w:val="00F24CE7"/>
    <w:rsid w:val="00F25732"/>
    <w:rsid w:val="00F26479"/>
    <w:rsid w:val="00F27F0C"/>
    <w:rsid w:val="00F31749"/>
    <w:rsid w:val="00F338B0"/>
    <w:rsid w:val="00F3403B"/>
    <w:rsid w:val="00F360D6"/>
    <w:rsid w:val="00F3784A"/>
    <w:rsid w:val="00F37DC2"/>
    <w:rsid w:val="00F41097"/>
    <w:rsid w:val="00F410C8"/>
    <w:rsid w:val="00F4197F"/>
    <w:rsid w:val="00F42929"/>
    <w:rsid w:val="00F42B8A"/>
    <w:rsid w:val="00F44D8C"/>
    <w:rsid w:val="00F45130"/>
    <w:rsid w:val="00F47920"/>
    <w:rsid w:val="00F518BA"/>
    <w:rsid w:val="00F52661"/>
    <w:rsid w:val="00F5283D"/>
    <w:rsid w:val="00F52D03"/>
    <w:rsid w:val="00F536DA"/>
    <w:rsid w:val="00F555A6"/>
    <w:rsid w:val="00F57796"/>
    <w:rsid w:val="00F61283"/>
    <w:rsid w:val="00F63A6B"/>
    <w:rsid w:val="00F65CFD"/>
    <w:rsid w:val="00F66EAC"/>
    <w:rsid w:val="00F6738F"/>
    <w:rsid w:val="00F72E4D"/>
    <w:rsid w:val="00F73D80"/>
    <w:rsid w:val="00F7596E"/>
    <w:rsid w:val="00F7639C"/>
    <w:rsid w:val="00F7675F"/>
    <w:rsid w:val="00F81D99"/>
    <w:rsid w:val="00F83541"/>
    <w:rsid w:val="00F84E2A"/>
    <w:rsid w:val="00F85A84"/>
    <w:rsid w:val="00F94DA0"/>
    <w:rsid w:val="00F95020"/>
    <w:rsid w:val="00F95580"/>
    <w:rsid w:val="00FA6BE0"/>
    <w:rsid w:val="00FA72A6"/>
    <w:rsid w:val="00FB1EB5"/>
    <w:rsid w:val="00FB2B09"/>
    <w:rsid w:val="00FB3DE9"/>
    <w:rsid w:val="00FB5939"/>
    <w:rsid w:val="00FB5C0D"/>
    <w:rsid w:val="00FB5EA4"/>
    <w:rsid w:val="00FB5ED8"/>
    <w:rsid w:val="00FB716A"/>
    <w:rsid w:val="00FC3E48"/>
    <w:rsid w:val="00FC44AA"/>
    <w:rsid w:val="00FC5C9D"/>
    <w:rsid w:val="00FC6F7D"/>
    <w:rsid w:val="00FD026D"/>
    <w:rsid w:val="00FD0E95"/>
    <w:rsid w:val="00FD28D5"/>
    <w:rsid w:val="00FD2BC5"/>
    <w:rsid w:val="00FD3D53"/>
    <w:rsid w:val="00FD722D"/>
    <w:rsid w:val="00FD7235"/>
    <w:rsid w:val="00FE0791"/>
    <w:rsid w:val="00FE2F34"/>
    <w:rsid w:val="00FE3038"/>
    <w:rsid w:val="00FE3D42"/>
    <w:rsid w:val="00FE404D"/>
    <w:rsid w:val="00FE5094"/>
    <w:rsid w:val="00FE7CD8"/>
    <w:rsid w:val="00FF2520"/>
    <w:rsid w:val="00FF2E08"/>
    <w:rsid w:val="00FF4215"/>
    <w:rsid w:val="00FF4B81"/>
    <w:rsid w:val="00FF4C85"/>
    <w:rsid w:val="00FF63F7"/>
    <w:rsid w:val="00FF6B5E"/>
    <w:rsid w:val="00FF7BA0"/>
    <w:rsid w:val="01190B56"/>
    <w:rsid w:val="01192C1F"/>
    <w:rsid w:val="01233A9E"/>
    <w:rsid w:val="01362DA8"/>
    <w:rsid w:val="014529B7"/>
    <w:rsid w:val="014F219D"/>
    <w:rsid w:val="016519C1"/>
    <w:rsid w:val="019239B4"/>
    <w:rsid w:val="0196601E"/>
    <w:rsid w:val="01A544B3"/>
    <w:rsid w:val="01BD7A4F"/>
    <w:rsid w:val="01C401C9"/>
    <w:rsid w:val="01DD30DE"/>
    <w:rsid w:val="01F33470"/>
    <w:rsid w:val="02251890"/>
    <w:rsid w:val="023870D5"/>
    <w:rsid w:val="02895B83"/>
    <w:rsid w:val="02BF77F6"/>
    <w:rsid w:val="02CC5DE9"/>
    <w:rsid w:val="02D23086"/>
    <w:rsid w:val="02DA63DE"/>
    <w:rsid w:val="02F94BC3"/>
    <w:rsid w:val="02FD6D4D"/>
    <w:rsid w:val="038D5F62"/>
    <w:rsid w:val="03936C34"/>
    <w:rsid w:val="039D344D"/>
    <w:rsid w:val="03EC32E0"/>
    <w:rsid w:val="042A0AD1"/>
    <w:rsid w:val="04A10F62"/>
    <w:rsid w:val="04A3407A"/>
    <w:rsid w:val="04A37004"/>
    <w:rsid w:val="04A8452D"/>
    <w:rsid w:val="04C109CE"/>
    <w:rsid w:val="04E1113F"/>
    <w:rsid w:val="04E90B5B"/>
    <w:rsid w:val="05353DA0"/>
    <w:rsid w:val="05366A2C"/>
    <w:rsid w:val="054E467A"/>
    <w:rsid w:val="055F2BCB"/>
    <w:rsid w:val="05602A5A"/>
    <w:rsid w:val="056326BB"/>
    <w:rsid w:val="057C19CF"/>
    <w:rsid w:val="058368B9"/>
    <w:rsid w:val="05997E8B"/>
    <w:rsid w:val="05A218FD"/>
    <w:rsid w:val="05B0498B"/>
    <w:rsid w:val="05B35D6A"/>
    <w:rsid w:val="05BA5435"/>
    <w:rsid w:val="05C018BB"/>
    <w:rsid w:val="05C72C4A"/>
    <w:rsid w:val="05CF7D50"/>
    <w:rsid w:val="05F9301F"/>
    <w:rsid w:val="060101C2"/>
    <w:rsid w:val="06035C4C"/>
    <w:rsid w:val="063F4718"/>
    <w:rsid w:val="065546FA"/>
    <w:rsid w:val="06B56F46"/>
    <w:rsid w:val="06C00186"/>
    <w:rsid w:val="06DE46EF"/>
    <w:rsid w:val="070677A2"/>
    <w:rsid w:val="0711495B"/>
    <w:rsid w:val="071719AF"/>
    <w:rsid w:val="071A149F"/>
    <w:rsid w:val="071E0F8F"/>
    <w:rsid w:val="07204271"/>
    <w:rsid w:val="07702E6D"/>
    <w:rsid w:val="077F1302"/>
    <w:rsid w:val="0790350F"/>
    <w:rsid w:val="07971D2A"/>
    <w:rsid w:val="07AA45D1"/>
    <w:rsid w:val="07CA3595"/>
    <w:rsid w:val="07CC05D8"/>
    <w:rsid w:val="07D93108"/>
    <w:rsid w:val="080F6B2A"/>
    <w:rsid w:val="082075C9"/>
    <w:rsid w:val="082D6FB0"/>
    <w:rsid w:val="083321D8"/>
    <w:rsid w:val="084D31AF"/>
    <w:rsid w:val="085B3B1D"/>
    <w:rsid w:val="086329D2"/>
    <w:rsid w:val="0898267C"/>
    <w:rsid w:val="08A50077"/>
    <w:rsid w:val="08B5322E"/>
    <w:rsid w:val="08C77405"/>
    <w:rsid w:val="08EE04EE"/>
    <w:rsid w:val="09153CCC"/>
    <w:rsid w:val="09197B3E"/>
    <w:rsid w:val="0935436E"/>
    <w:rsid w:val="09461222"/>
    <w:rsid w:val="094B394B"/>
    <w:rsid w:val="09510A7C"/>
    <w:rsid w:val="095F0CAA"/>
    <w:rsid w:val="09662A3F"/>
    <w:rsid w:val="09802D58"/>
    <w:rsid w:val="09870B6B"/>
    <w:rsid w:val="09954E0D"/>
    <w:rsid w:val="099948FD"/>
    <w:rsid w:val="09A45050"/>
    <w:rsid w:val="09B01C47"/>
    <w:rsid w:val="09B94F9F"/>
    <w:rsid w:val="09D771D4"/>
    <w:rsid w:val="09E518F1"/>
    <w:rsid w:val="09E638BB"/>
    <w:rsid w:val="0A454A85"/>
    <w:rsid w:val="0A56459C"/>
    <w:rsid w:val="0A7809B7"/>
    <w:rsid w:val="0AF04546"/>
    <w:rsid w:val="0AF10769"/>
    <w:rsid w:val="0B3A5CA3"/>
    <w:rsid w:val="0BA31A63"/>
    <w:rsid w:val="0BB96C70"/>
    <w:rsid w:val="0BBA6DAD"/>
    <w:rsid w:val="0BC10DE0"/>
    <w:rsid w:val="0BEF6A57"/>
    <w:rsid w:val="0C112E71"/>
    <w:rsid w:val="0C2A3F33"/>
    <w:rsid w:val="0C5E598A"/>
    <w:rsid w:val="0CA5180B"/>
    <w:rsid w:val="0CB8153E"/>
    <w:rsid w:val="0CF3376D"/>
    <w:rsid w:val="0D2332ED"/>
    <w:rsid w:val="0D415C54"/>
    <w:rsid w:val="0D444B80"/>
    <w:rsid w:val="0D466B4A"/>
    <w:rsid w:val="0D5C45C0"/>
    <w:rsid w:val="0D6D2E9E"/>
    <w:rsid w:val="0DD028B8"/>
    <w:rsid w:val="0DDA3736"/>
    <w:rsid w:val="0DEA1BCB"/>
    <w:rsid w:val="0DFB786F"/>
    <w:rsid w:val="0E317578"/>
    <w:rsid w:val="0E347BBB"/>
    <w:rsid w:val="0E351858"/>
    <w:rsid w:val="0E562298"/>
    <w:rsid w:val="0E9272B5"/>
    <w:rsid w:val="0F000F7B"/>
    <w:rsid w:val="0F1B7B63"/>
    <w:rsid w:val="0F4E7C06"/>
    <w:rsid w:val="0F4E7F38"/>
    <w:rsid w:val="0F5576A6"/>
    <w:rsid w:val="0F73174D"/>
    <w:rsid w:val="0F75161B"/>
    <w:rsid w:val="0F781459"/>
    <w:rsid w:val="0F885DD7"/>
    <w:rsid w:val="0FA91612"/>
    <w:rsid w:val="0FAB0EE6"/>
    <w:rsid w:val="0FD348E1"/>
    <w:rsid w:val="0FD85A54"/>
    <w:rsid w:val="0FDC5544"/>
    <w:rsid w:val="0FEB39D9"/>
    <w:rsid w:val="0FEE34C9"/>
    <w:rsid w:val="0FF7412C"/>
    <w:rsid w:val="10141182"/>
    <w:rsid w:val="103E5A93"/>
    <w:rsid w:val="10923E54"/>
    <w:rsid w:val="1092654A"/>
    <w:rsid w:val="10DD2B9B"/>
    <w:rsid w:val="10E87F18"/>
    <w:rsid w:val="111E0546"/>
    <w:rsid w:val="11204879"/>
    <w:rsid w:val="11517434"/>
    <w:rsid w:val="117B39D6"/>
    <w:rsid w:val="11AC7198"/>
    <w:rsid w:val="11AF4A68"/>
    <w:rsid w:val="11B20C52"/>
    <w:rsid w:val="11C023CD"/>
    <w:rsid w:val="11C72224"/>
    <w:rsid w:val="11C8783A"/>
    <w:rsid w:val="11F254F3"/>
    <w:rsid w:val="11F70C71"/>
    <w:rsid w:val="1202500A"/>
    <w:rsid w:val="1209283C"/>
    <w:rsid w:val="120A12F0"/>
    <w:rsid w:val="126161D4"/>
    <w:rsid w:val="128F3808"/>
    <w:rsid w:val="12913ADB"/>
    <w:rsid w:val="12BE5A78"/>
    <w:rsid w:val="12DA1AE3"/>
    <w:rsid w:val="131462C7"/>
    <w:rsid w:val="132536A6"/>
    <w:rsid w:val="13620456"/>
    <w:rsid w:val="13631AD8"/>
    <w:rsid w:val="13870AC5"/>
    <w:rsid w:val="13955291"/>
    <w:rsid w:val="139B3968"/>
    <w:rsid w:val="13BD568C"/>
    <w:rsid w:val="13EF712B"/>
    <w:rsid w:val="13FB724D"/>
    <w:rsid w:val="14143A09"/>
    <w:rsid w:val="14321BD6"/>
    <w:rsid w:val="14465682"/>
    <w:rsid w:val="1461239E"/>
    <w:rsid w:val="14642A47"/>
    <w:rsid w:val="146A5814"/>
    <w:rsid w:val="148C3F7D"/>
    <w:rsid w:val="14A423A8"/>
    <w:rsid w:val="14A8633C"/>
    <w:rsid w:val="14BE4314"/>
    <w:rsid w:val="14C8078D"/>
    <w:rsid w:val="14DD41E6"/>
    <w:rsid w:val="14E47444"/>
    <w:rsid w:val="15023C9F"/>
    <w:rsid w:val="151948F4"/>
    <w:rsid w:val="15205ED3"/>
    <w:rsid w:val="154020D1"/>
    <w:rsid w:val="15453B8B"/>
    <w:rsid w:val="15610299"/>
    <w:rsid w:val="158E37F0"/>
    <w:rsid w:val="159D571F"/>
    <w:rsid w:val="15A72150"/>
    <w:rsid w:val="15C34AB0"/>
    <w:rsid w:val="15D13671"/>
    <w:rsid w:val="15DD5B72"/>
    <w:rsid w:val="15FD6214"/>
    <w:rsid w:val="1607785B"/>
    <w:rsid w:val="160A7825"/>
    <w:rsid w:val="16353154"/>
    <w:rsid w:val="16610551"/>
    <w:rsid w:val="16695657"/>
    <w:rsid w:val="167209B0"/>
    <w:rsid w:val="16762429"/>
    <w:rsid w:val="167F30CD"/>
    <w:rsid w:val="168510F5"/>
    <w:rsid w:val="16A6065A"/>
    <w:rsid w:val="16D72F09"/>
    <w:rsid w:val="172E66CD"/>
    <w:rsid w:val="178A2F5A"/>
    <w:rsid w:val="178D2ADC"/>
    <w:rsid w:val="18047D2E"/>
    <w:rsid w:val="182E414D"/>
    <w:rsid w:val="185537EF"/>
    <w:rsid w:val="188E357D"/>
    <w:rsid w:val="18CB25F9"/>
    <w:rsid w:val="18D21BDA"/>
    <w:rsid w:val="19043F59"/>
    <w:rsid w:val="19061883"/>
    <w:rsid w:val="190D1AE1"/>
    <w:rsid w:val="19153875"/>
    <w:rsid w:val="19306900"/>
    <w:rsid w:val="19351120"/>
    <w:rsid w:val="19525EEA"/>
    <w:rsid w:val="19683FBD"/>
    <w:rsid w:val="19766A09"/>
    <w:rsid w:val="1977008B"/>
    <w:rsid w:val="19805192"/>
    <w:rsid w:val="19A05834"/>
    <w:rsid w:val="19A370D2"/>
    <w:rsid w:val="19F511C1"/>
    <w:rsid w:val="19F912CD"/>
    <w:rsid w:val="1A351DCA"/>
    <w:rsid w:val="1A497C7A"/>
    <w:rsid w:val="1A7F5449"/>
    <w:rsid w:val="1A891F2F"/>
    <w:rsid w:val="1A937147"/>
    <w:rsid w:val="1A951111"/>
    <w:rsid w:val="1AB05F4B"/>
    <w:rsid w:val="1AC94917"/>
    <w:rsid w:val="1AE71241"/>
    <w:rsid w:val="1B140288"/>
    <w:rsid w:val="1B574618"/>
    <w:rsid w:val="1B617245"/>
    <w:rsid w:val="1B8145D6"/>
    <w:rsid w:val="1B8229A5"/>
    <w:rsid w:val="1B884CB7"/>
    <w:rsid w:val="1B8F0552"/>
    <w:rsid w:val="1B9A62B3"/>
    <w:rsid w:val="1BA3785E"/>
    <w:rsid w:val="1BA535D6"/>
    <w:rsid w:val="1BD10986"/>
    <w:rsid w:val="1BD664C1"/>
    <w:rsid w:val="1BEA0FE8"/>
    <w:rsid w:val="1BEB6743"/>
    <w:rsid w:val="1BF72D21"/>
    <w:rsid w:val="1BFD0D1C"/>
    <w:rsid w:val="1C312E45"/>
    <w:rsid w:val="1C381D54"/>
    <w:rsid w:val="1C6568C1"/>
    <w:rsid w:val="1C7A60C9"/>
    <w:rsid w:val="1C890801"/>
    <w:rsid w:val="1CC54B7F"/>
    <w:rsid w:val="1CC632EB"/>
    <w:rsid w:val="1CCC03E2"/>
    <w:rsid w:val="1CD47504"/>
    <w:rsid w:val="1D2027D7"/>
    <w:rsid w:val="1D370008"/>
    <w:rsid w:val="1D3A5FA0"/>
    <w:rsid w:val="1D3A6632"/>
    <w:rsid w:val="1D532BBD"/>
    <w:rsid w:val="1D7B3FF9"/>
    <w:rsid w:val="1D860599"/>
    <w:rsid w:val="1DAA1C58"/>
    <w:rsid w:val="1DB93368"/>
    <w:rsid w:val="1DBC4C07"/>
    <w:rsid w:val="1DF24184"/>
    <w:rsid w:val="1DF60118"/>
    <w:rsid w:val="1E1265D5"/>
    <w:rsid w:val="1E1D38F7"/>
    <w:rsid w:val="1E2A7DC2"/>
    <w:rsid w:val="1E3D5D47"/>
    <w:rsid w:val="1E62130A"/>
    <w:rsid w:val="1E9B2A6E"/>
    <w:rsid w:val="1EA11890"/>
    <w:rsid w:val="1EA75C2F"/>
    <w:rsid w:val="1EFF124F"/>
    <w:rsid w:val="1F06438B"/>
    <w:rsid w:val="1F0813F5"/>
    <w:rsid w:val="1F0C54A8"/>
    <w:rsid w:val="1F332CA6"/>
    <w:rsid w:val="1F3709E9"/>
    <w:rsid w:val="1F3F164B"/>
    <w:rsid w:val="1F601FA9"/>
    <w:rsid w:val="1F95077E"/>
    <w:rsid w:val="1FC14756"/>
    <w:rsid w:val="1FC16504"/>
    <w:rsid w:val="1FC61D6D"/>
    <w:rsid w:val="1FD91AA0"/>
    <w:rsid w:val="1FE12702"/>
    <w:rsid w:val="1FEA5A5B"/>
    <w:rsid w:val="200308CB"/>
    <w:rsid w:val="203B4489"/>
    <w:rsid w:val="20646A1B"/>
    <w:rsid w:val="207451CF"/>
    <w:rsid w:val="209E357D"/>
    <w:rsid w:val="20CC69EF"/>
    <w:rsid w:val="20DB35F6"/>
    <w:rsid w:val="21020B82"/>
    <w:rsid w:val="21140BF4"/>
    <w:rsid w:val="211704C9"/>
    <w:rsid w:val="212E4E27"/>
    <w:rsid w:val="213934BC"/>
    <w:rsid w:val="21505D92"/>
    <w:rsid w:val="21683A4C"/>
    <w:rsid w:val="21690C01"/>
    <w:rsid w:val="217F06F4"/>
    <w:rsid w:val="21934186"/>
    <w:rsid w:val="21966885"/>
    <w:rsid w:val="21A36FDB"/>
    <w:rsid w:val="21B46321"/>
    <w:rsid w:val="21C878B8"/>
    <w:rsid w:val="21E9221E"/>
    <w:rsid w:val="222334A6"/>
    <w:rsid w:val="226715E5"/>
    <w:rsid w:val="22837AA1"/>
    <w:rsid w:val="22993768"/>
    <w:rsid w:val="22A85759"/>
    <w:rsid w:val="22C858FF"/>
    <w:rsid w:val="22DC7E78"/>
    <w:rsid w:val="231E32E1"/>
    <w:rsid w:val="236553F8"/>
    <w:rsid w:val="23744181"/>
    <w:rsid w:val="238F6834"/>
    <w:rsid w:val="23A81EB5"/>
    <w:rsid w:val="23C12F77"/>
    <w:rsid w:val="23CE7442"/>
    <w:rsid w:val="23D20CE0"/>
    <w:rsid w:val="23DE7685"/>
    <w:rsid w:val="23FA0237"/>
    <w:rsid w:val="23FC43CB"/>
    <w:rsid w:val="23FF3832"/>
    <w:rsid w:val="24117358"/>
    <w:rsid w:val="24286B52"/>
    <w:rsid w:val="242B4894"/>
    <w:rsid w:val="245C67FB"/>
    <w:rsid w:val="24612064"/>
    <w:rsid w:val="247A2DDF"/>
    <w:rsid w:val="24833D88"/>
    <w:rsid w:val="249C309C"/>
    <w:rsid w:val="249C4E4A"/>
    <w:rsid w:val="24B04998"/>
    <w:rsid w:val="24FD3B3B"/>
    <w:rsid w:val="25070E5D"/>
    <w:rsid w:val="250749B9"/>
    <w:rsid w:val="252C08C4"/>
    <w:rsid w:val="252E6649"/>
    <w:rsid w:val="25382DC5"/>
    <w:rsid w:val="2540611D"/>
    <w:rsid w:val="255D7526"/>
    <w:rsid w:val="2573095D"/>
    <w:rsid w:val="25847A9B"/>
    <w:rsid w:val="25873D4C"/>
    <w:rsid w:val="25E4441C"/>
    <w:rsid w:val="2608575D"/>
    <w:rsid w:val="26323CB8"/>
    <w:rsid w:val="264D464E"/>
    <w:rsid w:val="265E685B"/>
    <w:rsid w:val="267A740D"/>
    <w:rsid w:val="268A58A2"/>
    <w:rsid w:val="2690396B"/>
    <w:rsid w:val="26B96187"/>
    <w:rsid w:val="26C32B62"/>
    <w:rsid w:val="26CB04CF"/>
    <w:rsid w:val="26FB054E"/>
    <w:rsid w:val="272E0923"/>
    <w:rsid w:val="27535154"/>
    <w:rsid w:val="27541D8F"/>
    <w:rsid w:val="275639D6"/>
    <w:rsid w:val="275D6B12"/>
    <w:rsid w:val="27976C47"/>
    <w:rsid w:val="27C065A2"/>
    <w:rsid w:val="27F3046A"/>
    <w:rsid w:val="280444F2"/>
    <w:rsid w:val="28092E82"/>
    <w:rsid w:val="283C7070"/>
    <w:rsid w:val="284B1663"/>
    <w:rsid w:val="285831A2"/>
    <w:rsid w:val="287D5314"/>
    <w:rsid w:val="28AB0135"/>
    <w:rsid w:val="28C32245"/>
    <w:rsid w:val="28D472A8"/>
    <w:rsid w:val="28D771B3"/>
    <w:rsid w:val="28E15521"/>
    <w:rsid w:val="28F22610"/>
    <w:rsid w:val="28F6715F"/>
    <w:rsid w:val="290C054A"/>
    <w:rsid w:val="29211DC2"/>
    <w:rsid w:val="2927562A"/>
    <w:rsid w:val="293E5137"/>
    <w:rsid w:val="294D1B32"/>
    <w:rsid w:val="295C2DFA"/>
    <w:rsid w:val="297B7831"/>
    <w:rsid w:val="29C15A7E"/>
    <w:rsid w:val="29C275A9"/>
    <w:rsid w:val="2A247DBB"/>
    <w:rsid w:val="2A352282"/>
    <w:rsid w:val="2A37580D"/>
    <w:rsid w:val="2A5F71FE"/>
    <w:rsid w:val="2A7E1274"/>
    <w:rsid w:val="2AD4533E"/>
    <w:rsid w:val="2ADC41F2"/>
    <w:rsid w:val="2ADF3CE2"/>
    <w:rsid w:val="2B006133"/>
    <w:rsid w:val="2B183E1B"/>
    <w:rsid w:val="2B19215E"/>
    <w:rsid w:val="2B22112A"/>
    <w:rsid w:val="2B265158"/>
    <w:rsid w:val="2B3744A0"/>
    <w:rsid w:val="2BAF21A8"/>
    <w:rsid w:val="2BB66F76"/>
    <w:rsid w:val="2BCC11A7"/>
    <w:rsid w:val="2BDB76C2"/>
    <w:rsid w:val="2BE27F2E"/>
    <w:rsid w:val="2BE87AAD"/>
    <w:rsid w:val="2BE912BD"/>
    <w:rsid w:val="2BF15B26"/>
    <w:rsid w:val="2C1A1476"/>
    <w:rsid w:val="2C2E6CCF"/>
    <w:rsid w:val="2C37360C"/>
    <w:rsid w:val="2C5A3DB0"/>
    <w:rsid w:val="2C666469"/>
    <w:rsid w:val="2C6D3C9C"/>
    <w:rsid w:val="2C732934"/>
    <w:rsid w:val="2C7548FE"/>
    <w:rsid w:val="2C7F154B"/>
    <w:rsid w:val="2CCB451E"/>
    <w:rsid w:val="2D1944EE"/>
    <w:rsid w:val="2D26365A"/>
    <w:rsid w:val="2D4B565F"/>
    <w:rsid w:val="2D5B1AF1"/>
    <w:rsid w:val="2D71156A"/>
    <w:rsid w:val="2D7121BC"/>
    <w:rsid w:val="2D8F7C42"/>
    <w:rsid w:val="2DB23588"/>
    <w:rsid w:val="2DB61DC2"/>
    <w:rsid w:val="2DD85145"/>
    <w:rsid w:val="2E0F48DF"/>
    <w:rsid w:val="2E2C36E3"/>
    <w:rsid w:val="2E4A0A0F"/>
    <w:rsid w:val="2E61479F"/>
    <w:rsid w:val="2E935510"/>
    <w:rsid w:val="2EC21111"/>
    <w:rsid w:val="2ED964C1"/>
    <w:rsid w:val="2EED10C4"/>
    <w:rsid w:val="2F0C2E65"/>
    <w:rsid w:val="2F113395"/>
    <w:rsid w:val="2F2B1BEC"/>
    <w:rsid w:val="2F3F2FA2"/>
    <w:rsid w:val="2F5729E1"/>
    <w:rsid w:val="2F8337D6"/>
    <w:rsid w:val="2FAC473C"/>
    <w:rsid w:val="2FAD2601"/>
    <w:rsid w:val="2FBD207A"/>
    <w:rsid w:val="2FC46C7B"/>
    <w:rsid w:val="2FE8309F"/>
    <w:rsid w:val="2FE861DB"/>
    <w:rsid w:val="2FF975F4"/>
    <w:rsid w:val="30091D21"/>
    <w:rsid w:val="301A5EE8"/>
    <w:rsid w:val="301D68DE"/>
    <w:rsid w:val="30226E93"/>
    <w:rsid w:val="302A1EA4"/>
    <w:rsid w:val="306A22A0"/>
    <w:rsid w:val="30847806"/>
    <w:rsid w:val="30D75B88"/>
    <w:rsid w:val="31181CFC"/>
    <w:rsid w:val="31307046"/>
    <w:rsid w:val="313A6116"/>
    <w:rsid w:val="319770C5"/>
    <w:rsid w:val="31FE7144"/>
    <w:rsid w:val="32285F6F"/>
    <w:rsid w:val="322C5A5F"/>
    <w:rsid w:val="3245276F"/>
    <w:rsid w:val="32546D64"/>
    <w:rsid w:val="325A31AA"/>
    <w:rsid w:val="32650FD7"/>
    <w:rsid w:val="32916000"/>
    <w:rsid w:val="32AC4DF2"/>
    <w:rsid w:val="32FF13C6"/>
    <w:rsid w:val="33030EB6"/>
    <w:rsid w:val="330B682A"/>
    <w:rsid w:val="33163A81"/>
    <w:rsid w:val="332561EC"/>
    <w:rsid w:val="334260EE"/>
    <w:rsid w:val="336D4581"/>
    <w:rsid w:val="33705E1F"/>
    <w:rsid w:val="33835B53"/>
    <w:rsid w:val="33953AD8"/>
    <w:rsid w:val="33AB50A9"/>
    <w:rsid w:val="33C70135"/>
    <w:rsid w:val="33CF4C6C"/>
    <w:rsid w:val="33DC5BDE"/>
    <w:rsid w:val="34181BA1"/>
    <w:rsid w:val="341B222F"/>
    <w:rsid w:val="342015F4"/>
    <w:rsid w:val="3446557F"/>
    <w:rsid w:val="34480B4A"/>
    <w:rsid w:val="34567FB6"/>
    <w:rsid w:val="34A30383"/>
    <w:rsid w:val="34AE6BFF"/>
    <w:rsid w:val="34C1517C"/>
    <w:rsid w:val="34C91C8B"/>
    <w:rsid w:val="34FA3BF3"/>
    <w:rsid w:val="350B632D"/>
    <w:rsid w:val="351E0F07"/>
    <w:rsid w:val="3524277C"/>
    <w:rsid w:val="3529033D"/>
    <w:rsid w:val="35607A21"/>
    <w:rsid w:val="356A4E1F"/>
    <w:rsid w:val="3589141A"/>
    <w:rsid w:val="359009FB"/>
    <w:rsid w:val="359360C4"/>
    <w:rsid w:val="3599165E"/>
    <w:rsid w:val="35C67F79"/>
    <w:rsid w:val="35C97A69"/>
    <w:rsid w:val="35D97CAC"/>
    <w:rsid w:val="35E46651"/>
    <w:rsid w:val="35E87EEF"/>
    <w:rsid w:val="35F3679E"/>
    <w:rsid w:val="35FA7C22"/>
    <w:rsid w:val="35FB3FA8"/>
    <w:rsid w:val="35FF348B"/>
    <w:rsid w:val="36063CE6"/>
    <w:rsid w:val="36415C96"/>
    <w:rsid w:val="3647031A"/>
    <w:rsid w:val="36525CB0"/>
    <w:rsid w:val="368528CA"/>
    <w:rsid w:val="36910587"/>
    <w:rsid w:val="36B129D7"/>
    <w:rsid w:val="36CF172B"/>
    <w:rsid w:val="36D668E1"/>
    <w:rsid w:val="36E80454"/>
    <w:rsid w:val="37012882"/>
    <w:rsid w:val="375D1A85"/>
    <w:rsid w:val="37737C8C"/>
    <w:rsid w:val="37984548"/>
    <w:rsid w:val="37C91FA2"/>
    <w:rsid w:val="37CD55EE"/>
    <w:rsid w:val="37E61FE4"/>
    <w:rsid w:val="37E734B9"/>
    <w:rsid w:val="38073014"/>
    <w:rsid w:val="380D6333"/>
    <w:rsid w:val="384004B6"/>
    <w:rsid w:val="38400B30"/>
    <w:rsid w:val="38653A79"/>
    <w:rsid w:val="386901D1"/>
    <w:rsid w:val="389E1FD9"/>
    <w:rsid w:val="38A26A7B"/>
    <w:rsid w:val="38AB12B1"/>
    <w:rsid w:val="38C000E0"/>
    <w:rsid w:val="38C764E2"/>
    <w:rsid w:val="38DB2C38"/>
    <w:rsid w:val="38F55BAA"/>
    <w:rsid w:val="39206C68"/>
    <w:rsid w:val="39495149"/>
    <w:rsid w:val="394A04AD"/>
    <w:rsid w:val="394B3C70"/>
    <w:rsid w:val="395104A1"/>
    <w:rsid w:val="396B3311"/>
    <w:rsid w:val="39B051C8"/>
    <w:rsid w:val="39B27192"/>
    <w:rsid w:val="39D37108"/>
    <w:rsid w:val="39E460AF"/>
    <w:rsid w:val="39F46F0A"/>
    <w:rsid w:val="39FD5F33"/>
    <w:rsid w:val="3A080B60"/>
    <w:rsid w:val="3A085004"/>
    <w:rsid w:val="3A361B71"/>
    <w:rsid w:val="3A4A585F"/>
    <w:rsid w:val="3A4D6F07"/>
    <w:rsid w:val="3A5A5133"/>
    <w:rsid w:val="3A6366DE"/>
    <w:rsid w:val="3A685AA2"/>
    <w:rsid w:val="3A6C5593"/>
    <w:rsid w:val="3A773948"/>
    <w:rsid w:val="3A7E0A06"/>
    <w:rsid w:val="3A942F44"/>
    <w:rsid w:val="3A972710"/>
    <w:rsid w:val="3B293484"/>
    <w:rsid w:val="3B3E6803"/>
    <w:rsid w:val="3B806E1C"/>
    <w:rsid w:val="3B86054F"/>
    <w:rsid w:val="3B945A17"/>
    <w:rsid w:val="3B9D177C"/>
    <w:rsid w:val="3BA64AD4"/>
    <w:rsid w:val="3BA90120"/>
    <w:rsid w:val="3BB0325D"/>
    <w:rsid w:val="3BB17243"/>
    <w:rsid w:val="3BC95E9A"/>
    <w:rsid w:val="3BE455FD"/>
    <w:rsid w:val="3C0D48A1"/>
    <w:rsid w:val="3C2679C3"/>
    <w:rsid w:val="3C3C2B3B"/>
    <w:rsid w:val="3C634773"/>
    <w:rsid w:val="3C996A8E"/>
    <w:rsid w:val="3CDE6407"/>
    <w:rsid w:val="3CFB0E50"/>
    <w:rsid w:val="3D0A1093"/>
    <w:rsid w:val="3D136199"/>
    <w:rsid w:val="3D2C1009"/>
    <w:rsid w:val="3D2F6747"/>
    <w:rsid w:val="3D361E88"/>
    <w:rsid w:val="3D410A49"/>
    <w:rsid w:val="3D4D2D2E"/>
    <w:rsid w:val="3D8337AC"/>
    <w:rsid w:val="3DA84E3B"/>
    <w:rsid w:val="3DD14FC6"/>
    <w:rsid w:val="3DD36477"/>
    <w:rsid w:val="3DF82424"/>
    <w:rsid w:val="3E06185A"/>
    <w:rsid w:val="3E2B12C1"/>
    <w:rsid w:val="3E4A068A"/>
    <w:rsid w:val="3E500D27"/>
    <w:rsid w:val="3E607FF6"/>
    <w:rsid w:val="3E656809"/>
    <w:rsid w:val="3E864749"/>
    <w:rsid w:val="3E9064A4"/>
    <w:rsid w:val="3EA34825"/>
    <w:rsid w:val="3EED2A1A"/>
    <w:rsid w:val="3EF45B57"/>
    <w:rsid w:val="3EFC4A0B"/>
    <w:rsid w:val="3F22673D"/>
    <w:rsid w:val="3F31711E"/>
    <w:rsid w:val="3F543E53"/>
    <w:rsid w:val="3F5C54AA"/>
    <w:rsid w:val="3F656A54"/>
    <w:rsid w:val="3F706ED1"/>
    <w:rsid w:val="3F760C61"/>
    <w:rsid w:val="3F83115D"/>
    <w:rsid w:val="3F984734"/>
    <w:rsid w:val="3FAE422A"/>
    <w:rsid w:val="3FDA7ED4"/>
    <w:rsid w:val="3FDE5C0F"/>
    <w:rsid w:val="40224945"/>
    <w:rsid w:val="405C7E57"/>
    <w:rsid w:val="406B3BF6"/>
    <w:rsid w:val="40742202"/>
    <w:rsid w:val="40803118"/>
    <w:rsid w:val="409C0254"/>
    <w:rsid w:val="40BE01CA"/>
    <w:rsid w:val="40CA3013"/>
    <w:rsid w:val="40CE4185"/>
    <w:rsid w:val="40D02C36"/>
    <w:rsid w:val="40D21EC7"/>
    <w:rsid w:val="40D7128C"/>
    <w:rsid w:val="40D854C8"/>
    <w:rsid w:val="40D914A8"/>
    <w:rsid w:val="410B008F"/>
    <w:rsid w:val="41313092"/>
    <w:rsid w:val="41362456"/>
    <w:rsid w:val="416163D3"/>
    <w:rsid w:val="416845DA"/>
    <w:rsid w:val="418331C2"/>
    <w:rsid w:val="41B576FD"/>
    <w:rsid w:val="41E81277"/>
    <w:rsid w:val="420C765B"/>
    <w:rsid w:val="42273EA0"/>
    <w:rsid w:val="423F17DF"/>
    <w:rsid w:val="42402E61"/>
    <w:rsid w:val="42611433"/>
    <w:rsid w:val="426C6E5E"/>
    <w:rsid w:val="42876CE2"/>
    <w:rsid w:val="42997141"/>
    <w:rsid w:val="42B775C7"/>
    <w:rsid w:val="42F26851"/>
    <w:rsid w:val="42F54C39"/>
    <w:rsid w:val="42F70A75"/>
    <w:rsid w:val="43064911"/>
    <w:rsid w:val="43156510"/>
    <w:rsid w:val="435318D7"/>
    <w:rsid w:val="4395708E"/>
    <w:rsid w:val="43A40C40"/>
    <w:rsid w:val="43BC79A0"/>
    <w:rsid w:val="43C23C8A"/>
    <w:rsid w:val="44006D4C"/>
    <w:rsid w:val="44093E52"/>
    <w:rsid w:val="44123658"/>
    <w:rsid w:val="441B2477"/>
    <w:rsid w:val="44305883"/>
    <w:rsid w:val="44617F98"/>
    <w:rsid w:val="44877E79"/>
    <w:rsid w:val="448E4357"/>
    <w:rsid w:val="44A675B4"/>
    <w:rsid w:val="44A8366B"/>
    <w:rsid w:val="44B518E4"/>
    <w:rsid w:val="44CC6850"/>
    <w:rsid w:val="44D90D2D"/>
    <w:rsid w:val="44EB79FC"/>
    <w:rsid w:val="44EE4DF6"/>
    <w:rsid w:val="45193A79"/>
    <w:rsid w:val="453A7E81"/>
    <w:rsid w:val="454A1600"/>
    <w:rsid w:val="45594965"/>
    <w:rsid w:val="45765517"/>
    <w:rsid w:val="457C0654"/>
    <w:rsid w:val="4588524B"/>
    <w:rsid w:val="45895E80"/>
    <w:rsid w:val="459E0800"/>
    <w:rsid w:val="459F6E66"/>
    <w:rsid w:val="45B33821"/>
    <w:rsid w:val="45EC1A9C"/>
    <w:rsid w:val="45F97EF6"/>
    <w:rsid w:val="46152F37"/>
    <w:rsid w:val="461B7E6D"/>
    <w:rsid w:val="463351B6"/>
    <w:rsid w:val="464C1070"/>
    <w:rsid w:val="465377FB"/>
    <w:rsid w:val="4656787E"/>
    <w:rsid w:val="468477C0"/>
    <w:rsid w:val="468A0B4E"/>
    <w:rsid w:val="468F7886"/>
    <w:rsid w:val="469A3487"/>
    <w:rsid w:val="469C7200"/>
    <w:rsid w:val="46A43C5E"/>
    <w:rsid w:val="46B1432D"/>
    <w:rsid w:val="46C16C66"/>
    <w:rsid w:val="46DF533E"/>
    <w:rsid w:val="4740699E"/>
    <w:rsid w:val="476538B5"/>
    <w:rsid w:val="47743CD8"/>
    <w:rsid w:val="47A12944"/>
    <w:rsid w:val="47B16CDB"/>
    <w:rsid w:val="480F46F9"/>
    <w:rsid w:val="483E19A4"/>
    <w:rsid w:val="4856518C"/>
    <w:rsid w:val="489108BA"/>
    <w:rsid w:val="48961A2D"/>
    <w:rsid w:val="49025314"/>
    <w:rsid w:val="490364C8"/>
    <w:rsid w:val="495E079C"/>
    <w:rsid w:val="496569CB"/>
    <w:rsid w:val="496747FE"/>
    <w:rsid w:val="4972249A"/>
    <w:rsid w:val="49885819"/>
    <w:rsid w:val="498F50D9"/>
    <w:rsid w:val="49C600F0"/>
    <w:rsid w:val="49C70A83"/>
    <w:rsid w:val="49CA66DE"/>
    <w:rsid w:val="49CD76D0"/>
    <w:rsid w:val="49D00F6E"/>
    <w:rsid w:val="49EA3D54"/>
    <w:rsid w:val="49EB7B56"/>
    <w:rsid w:val="49FF361D"/>
    <w:rsid w:val="4A1E7200"/>
    <w:rsid w:val="4A3228A6"/>
    <w:rsid w:val="4A3B24EE"/>
    <w:rsid w:val="4A3B6699"/>
    <w:rsid w:val="4A7E7BF1"/>
    <w:rsid w:val="4A835FE1"/>
    <w:rsid w:val="4A897A9B"/>
    <w:rsid w:val="4AA20B5D"/>
    <w:rsid w:val="4B0F0874"/>
    <w:rsid w:val="4B202D95"/>
    <w:rsid w:val="4B38326F"/>
    <w:rsid w:val="4B3D4790"/>
    <w:rsid w:val="4B4340EE"/>
    <w:rsid w:val="4B5300A9"/>
    <w:rsid w:val="4B553E21"/>
    <w:rsid w:val="4B5C6F5D"/>
    <w:rsid w:val="4B78366B"/>
    <w:rsid w:val="4BA37583"/>
    <w:rsid w:val="4BAB333E"/>
    <w:rsid w:val="4BB70638"/>
    <w:rsid w:val="4BE84ADE"/>
    <w:rsid w:val="4BEA35E2"/>
    <w:rsid w:val="4BFF5B3B"/>
    <w:rsid w:val="4C231829"/>
    <w:rsid w:val="4C261319"/>
    <w:rsid w:val="4C2D26A8"/>
    <w:rsid w:val="4C4208FA"/>
    <w:rsid w:val="4C453E95"/>
    <w:rsid w:val="4C6D6F48"/>
    <w:rsid w:val="4C722204"/>
    <w:rsid w:val="4C9170DB"/>
    <w:rsid w:val="4C9B1D07"/>
    <w:rsid w:val="4C9E46AD"/>
    <w:rsid w:val="4CCB7D93"/>
    <w:rsid w:val="4CEC3221"/>
    <w:rsid w:val="4CEE0089"/>
    <w:rsid w:val="4D16138E"/>
    <w:rsid w:val="4D245859"/>
    <w:rsid w:val="4D2515D1"/>
    <w:rsid w:val="4D3B7C96"/>
    <w:rsid w:val="4D42685E"/>
    <w:rsid w:val="4D4978AC"/>
    <w:rsid w:val="4D5221B8"/>
    <w:rsid w:val="4DE8774A"/>
    <w:rsid w:val="4DF354E4"/>
    <w:rsid w:val="4E121B55"/>
    <w:rsid w:val="4E2F4B6D"/>
    <w:rsid w:val="4E3046D1"/>
    <w:rsid w:val="4E353A96"/>
    <w:rsid w:val="4E6F2738"/>
    <w:rsid w:val="4E822DD2"/>
    <w:rsid w:val="4E9764FE"/>
    <w:rsid w:val="4E9B4352"/>
    <w:rsid w:val="4EB76F46"/>
    <w:rsid w:val="4EDE412D"/>
    <w:rsid w:val="4EF574D2"/>
    <w:rsid w:val="4F02606E"/>
    <w:rsid w:val="4F144A63"/>
    <w:rsid w:val="4F22401A"/>
    <w:rsid w:val="4F254E70"/>
    <w:rsid w:val="4F3D0E54"/>
    <w:rsid w:val="4F561F16"/>
    <w:rsid w:val="4F622668"/>
    <w:rsid w:val="4F6603AB"/>
    <w:rsid w:val="4F7725B8"/>
    <w:rsid w:val="4F9D7B44"/>
    <w:rsid w:val="4F9F1B0F"/>
    <w:rsid w:val="4FC43323"/>
    <w:rsid w:val="4FD712A8"/>
    <w:rsid w:val="4FD95020"/>
    <w:rsid w:val="4FEA0478"/>
    <w:rsid w:val="500B71A4"/>
    <w:rsid w:val="501047BA"/>
    <w:rsid w:val="501E2A33"/>
    <w:rsid w:val="502B5150"/>
    <w:rsid w:val="50373AF5"/>
    <w:rsid w:val="50616DC4"/>
    <w:rsid w:val="50783615"/>
    <w:rsid w:val="50A22688"/>
    <w:rsid w:val="50C03AEB"/>
    <w:rsid w:val="50F33EC0"/>
    <w:rsid w:val="510A745C"/>
    <w:rsid w:val="511107EA"/>
    <w:rsid w:val="51251CF4"/>
    <w:rsid w:val="512A18AC"/>
    <w:rsid w:val="51402E7D"/>
    <w:rsid w:val="51482C7D"/>
    <w:rsid w:val="515B7031"/>
    <w:rsid w:val="515D758B"/>
    <w:rsid w:val="51656D01"/>
    <w:rsid w:val="51864D34"/>
    <w:rsid w:val="518B234A"/>
    <w:rsid w:val="519311FF"/>
    <w:rsid w:val="51965D71"/>
    <w:rsid w:val="519F7BA4"/>
    <w:rsid w:val="51A96C75"/>
    <w:rsid w:val="51AE428B"/>
    <w:rsid w:val="51C55131"/>
    <w:rsid w:val="51D57A6A"/>
    <w:rsid w:val="522E4989"/>
    <w:rsid w:val="52804A52"/>
    <w:rsid w:val="52A53AFB"/>
    <w:rsid w:val="52B256B5"/>
    <w:rsid w:val="52CC2C1B"/>
    <w:rsid w:val="52E57838"/>
    <w:rsid w:val="52F421A7"/>
    <w:rsid w:val="5302488E"/>
    <w:rsid w:val="531E4716"/>
    <w:rsid w:val="532F4F57"/>
    <w:rsid w:val="53310342"/>
    <w:rsid w:val="534F55FA"/>
    <w:rsid w:val="539D5CEC"/>
    <w:rsid w:val="53A72D40"/>
    <w:rsid w:val="53B355D7"/>
    <w:rsid w:val="53C806C1"/>
    <w:rsid w:val="53E421E6"/>
    <w:rsid w:val="53EA1748"/>
    <w:rsid w:val="53F33750"/>
    <w:rsid w:val="541128AF"/>
    <w:rsid w:val="541E31C1"/>
    <w:rsid w:val="542A0708"/>
    <w:rsid w:val="542D5A32"/>
    <w:rsid w:val="54622F99"/>
    <w:rsid w:val="548968E9"/>
    <w:rsid w:val="54A75BE6"/>
    <w:rsid w:val="54A83213"/>
    <w:rsid w:val="54B2355D"/>
    <w:rsid w:val="54B77AC1"/>
    <w:rsid w:val="54BE5272"/>
    <w:rsid w:val="54F46459"/>
    <w:rsid w:val="550D12C8"/>
    <w:rsid w:val="553D706B"/>
    <w:rsid w:val="556F3D31"/>
    <w:rsid w:val="557462A8"/>
    <w:rsid w:val="55825812"/>
    <w:rsid w:val="55AD03B6"/>
    <w:rsid w:val="55B11F2F"/>
    <w:rsid w:val="55B42D84"/>
    <w:rsid w:val="55C51FC7"/>
    <w:rsid w:val="55C67DF5"/>
    <w:rsid w:val="55E60D40"/>
    <w:rsid w:val="561C4D71"/>
    <w:rsid w:val="5624659F"/>
    <w:rsid w:val="563034C0"/>
    <w:rsid w:val="5632548A"/>
    <w:rsid w:val="564F6F9C"/>
    <w:rsid w:val="56715A24"/>
    <w:rsid w:val="567B189B"/>
    <w:rsid w:val="56BA0D62"/>
    <w:rsid w:val="56BF65F2"/>
    <w:rsid w:val="56D54068"/>
    <w:rsid w:val="57054EF3"/>
    <w:rsid w:val="570D55B0"/>
    <w:rsid w:val="57142097"/>
    <w:rsid w:val="572D0CFC"/>
    <w:rsid w:val="57633CE5"/>
    <w:rsid w:val="577A4DC8"/>
    <w:rsid w:val="57960AF2"/>
    <w:rsid w:val="57A51C8C"/>
    <w:rsid w:val="57AA6E55"/>
    <w:rsid w:val="57C83332"/>
    <w:rsid w:val="57CE2F91"/>
    <w:rsid w:val="57D4431F"/>
    <w:rsid w:val="58311772"/>
    <w:rsid w:val="583F79EB"/>
    <w:rsid w:val="589E0EC5"/>
    <w:rsid w:val="58BA3515"/>
    <w:rsid w:val="58D26AB1"/>
    <w:rsid w:val="58D273BA"/>
    <w:rsid w:val="58E107A1"/>
    <w:rsid w:val="58E16CF4"/>
    <w:rsid w:val="5906099D"/>
    <w:rsid w:val="590B5B1F"/>
    <w:rsid w:val="59115444"/>
    <w:rsid w:val="59145045"/>
    <w:rsid w:val="591D7F46"/>
    <w:rsid w:val="59351195"/>
    <w:rsid w:val="59577DF1"/>
    <w:rsid w:val="59B937CD"/>
    <w:rsid w:val="59BE5DFE"/>
    <w:rsid w:val="59F667CF"/>
    <w:rsid w:val="5A371DD9"/>
    <w:rsid w:val="5A3A140D"/>
    <w:rsid w:val="5A3C1A2E"/>
    <w:rsid w:val="5A4237C2"/>
    <w:rsid w:val="5A443ABB"/>
    <w:rsid w:val="5A571C23"/>
    <w:rsid w:val="5A767910"/>
    <w:rsid w:val="5A8E2EAB"/>
    <w:rsid w:val="5A957D96"/>
    <w:rsid w:val="5AA77AC9"/>
    <w:rsid w:val="5ABA77FD"/>
    <w:rsid w:val="5ABE498D"/>
    <w:rsid w:val="5AD76600"/>
    <w:rsid w:val="5B0B62AA"/>
    <w:rsid w:val="5B21787C"/>
    <w:rsid w:val="5B2378A8"/>
    <w:rsid w:val="5B4812AC"/>
    <w:rsid w:val="5B4D241F"/>
    <w:rsid w:val="5B5A431C"/>
    <w:rsid w:val="5BBF7FC8"/>
    <w:rsid w:val="5BCA7F13"/>
    <w:rsid w:val="5BE34B31"/>
    <w:rsid w:val="5BE80399"/>
    <w:rsid w:val="5BEE7330"/>
    <w:rsid w:val="5C001B87"/>
    <w:rsid w:val="5C07081F"/>
    <w:rsid w:val="5C1473E0"/>
    <w:rsid w:val="5C1A4C32"/>
    <w:rsid w:val="5C7F2AAC"/>
    <w:rsid w:val="5CAC586B"/>
    <w:rsid w:val="5CB519F1"/>
    <w:rsid w:val="5CB8077F"/>
    <w:rsid w:val="5D235B2D"/>
    <w:rsid w:val="5D2C38E4"/>
    <w:rsid w:val="5D2D2508"/>
    <w:rsid w:val="5D323FC2"/>
    <w:rsid w:val="5D454E22"/>
    <w:rsid w:val="5D641CA2"/>
    <w:rsid w:val="5D8B5B79"/>
    <w:rsid w:val="5DE30E18"/>
    <w:rsid w:val="5DEA7BA9"/>
    <w:rsid w:val="5DF448C0"/>
    <w:rsid w:val="5DF9063C"/>
    <w:rsid w:val="5DFB2D6D"/>
    <w:rsid w:val="5E365ED2"/>
    <w:rsid w:val="5E4F72F6"/>
    <w:rsid w:val="5E6301AB"/>
    <w:rsid w:val="5E6F4DA2"/>
    <w:rsid w:val="5E7B54F5"/>
    <w:rsid w:val="5E821550"/>
    <w:rsid w:val="5E875C48"/>
    <w:rsid w:val="5E9F7435"/>
    <w:rsid w:val="5EA12F67"/>
    <w:rsid w:val="5EA44A4C"/>
    <w:rsid w:val="5EDD61AF"/>
    <w:rsid w:val="5EF43590"/>
    <w:rsid w:val="5F1F40D2"/>
    <w:rsid w:val="5F434264"/>
    <w:rsid w:val="5F57386C"/>
    <w:rsid w:val="5F593A88"/>
    <w:rsid w:val="5F5B4A5D"/>
    <w:rsid w:val="5F7A57AC"/>
    <w:rsid w:val="5F9745B0"/>
    <w:rsid w:val="5FB355F1"/>
    <w:rsid w:val="601856F1"/>
    <w:rsid w:val="602D0A71"/>
    <w:rsid w:val="603277EB"/>
    <w:rsid w:val="60387556"/>
    <w:rsid w:val="603B4F3C"/>
    <w:rsid w:val="604162CA"/>
    <w:rsid w:val="60584392"/>
    <w:rsid w:val="605C7849"/>
    <w:rsid w:val="606326E4"/>
    <w:rsid w:val="607246D5"/>
    <w:rsid w:val="60777D0A"/>
    <w:rsid w:val="60795A64"/>
    <w:rsid w:val="608A7C71"/>
    <w:rsid w:val="6098238E"/>
    <w:rsid w:val="60CA4AE4"/>
    <w:rsid w:val="60D47DFC"/>
    <w:rsid w:val="60D659FD"/>
    <w:rsid w:val="60EF5D26"/>
    <w:rsid w:val="60F039E4"/>
    <w:rsid w:val="611F660B"/>
    <w:rsid w:val="612754C0"/>
    <w:rsid w:val="614C3178"/>
    <w:rsid w:val="61783F6D"/>
    <w:rsid w:val="61835CB6"/>
    <w:rsid w:val="61845D8D"/>
    <w:rsid w:val="618943CD"/>
    <w:rsid w:val="61F611D0"/>
    <w:rsid w:val="61FE0917"/>
    <w:rsid w:val="62007000"/>
    <w:rsid w:val="620E510C"/>
    <w:rsid w:val="62287777"/>
    <w:rsid w:val="628F56D7"/>
    <w:rsid w:val="62A53835"/>
    <w:rsid w:val="62C21944"/>
    <w:rsid w:val="62E0001C"/>
    <w:rsid w:val="62E4606E"/>
    <w:rsid w:val="62EC4C13"/>
    <w:rsid w:val="63332842"/>
    <w:rsid w:val="633E116D"/>
    <w:rsid w:val="63464492"/>
    <w:rsid w:val="6347009B"/>
    <w:rsid w:val="63554566"/>
    <w:rsid w:val="63586D06"/>
    <w:rsid w:val="637D586B"/>
    <w:rsid w:val="638360B9"/>
    <w:rsid w:val="63A97172"/>
    <w:rsid w:val="63E92F01"/>
    <w:rsid w:val="63EC3F70"/>
    <w:rsid w:val="63F7386F"/>
    <w:rsid w:val="642D54E3"/>
    <w:rsid w:val="64383AD1"/>
    <w:rsid w:val="643C1282"/>
    <w:rsid w:val="64502F80"/>
    <w:rsid w:val="64526CF8"/>
    <w:rsid w:val="64590086"/>
    <w:rsid w:val="64754794"/>
    <w:rsid w:val="647629E6"/>
    <w:rsid w:val="648669A1"/>
    <w:rsid w:val="64923598"/>
    <w:rsid w:val="64BA2183"/>
    <w:rsid w:val="650515E5"/>
    <w:rsid w:val="65312F1B"/>
    <w:rsid w:val="65384140"/>
    <w:rsid w:val="65554CF2"/>
    <w:rsid w:val="65735178"/>
    <w:rsid w:val="658C7FE7"/>
    <w:rsid w:val="659155FE"/>
    <w:rsid w:val="65996677"/>
    <w:rsid w:val="65A417D5"/>
    <w:rsid w:val="65AE3D26"/>
    <w:rsid w:val="65BC5B66"/>
    <w:rsid w:val="65CD26B4"/>
    <w:rsid w:val="65DC4ACB"/>
    <w:rsid w:val="65EC7453"/>
    <w:rsid w:val="66047238"/>
    <w:rsid w:val="660648E1"/>
    <w:rsid w:val="66154481"/>
    <w:rsid w:val="661A0A16"/>
    <w:rsid w:val="66410DD2"/>
    <w:rsid w:val="66543237"/>
    <w:rsid w:val="666176C6"/>
    <w:rsid w:val="666B22F3"/>
    <w:rsid w:val="666F1DE3"/>
    <w:rsid w:val="66987BCA"/>
    <w:rsid w:val="66B9305E"/>
    <w:rsid w:val="66C832A1"/>
    <w:rsid w:val="66D24120"/>
    <w:rsid w:val="66E63727"/>
    <w:rsid w:val="66F83B86"/>
    <w:rsid w:val="66FD14C3"/>
    <w:rsid w:val="6700465F"/>
    <w:rsid w:val="670544F5"/>
    <w:rsid w:val="67195C3B"/>
    <w:rsid w:val="67236BC5"/>
    <w:rsid w:val="67543217"/>
    <w:rsid w:val="676A4610"/>
    <w:rsid w:val="676A6F7B"/>
    <w:rsid w:val="677156E7"/>
    <w:rsid w:val="67753429"/>
    <w:rsid w:val="67780A64"/>
    <w:rsid w:val="677D30E0"/>
    <w:rsid w:val="678609C8"/>
    <w:rsid w:val="678E44EB"/>
    <w:rsid w:val="67EE0AE5"/>
    <w:rsid w:val="67EE31DB"/>
    <w:rsid w:val="68071BA7"/>
    <w:rsid w:val="68093B71"/>
    <w:rsid w:val="683230C8"/>
    <w:rsid w:val="683A01CF"/>
    <w:rsid w:val="684B418A"/>
    <w:rsid w:val="68555008"/>
    <w:rsid w:val="686200DD"/>
    <w:rsid w:val="686F7E78"/>
    <w:rsid w:val="687B6875"/>
    <w:rsid w:val="688D02FE"/>
    <w:rsid w:val="688F22C8"/>
    <w:rsid w:val="689E69AF"/>
    <w:rsid w:val="68B65AA7"/>
    <w:rsid w:val="68EB20F0"/>
    <w:rsid w:val="68ED3493"/>
    <w:rsid w:val="68F95994"/>
    <w:rsid w:val="6917406C"/>
    <w:rsid w:val="6922138F"/>
    <w:rsid w:val="694420CC"/>
    <w:rsid w:val="69661355"/>
    <w:rsid w:val="696E1C4C"/>
    <w:rsid w:val="69A00505"/>
    <w:rsid w:val="69A34438"/>
    <w:rsid w:val="6A0A597F"/>
    <w:rsid w:val="6A0B5A82"/>
    <w:rsid w:val="6A132A85"/>
    <w:rsid w:val="6A1C1F14"/>
    <w:rsid w:val="6A31115D"/>
    <w:rsid w:val="6A4175F2"/>
    <w:rsid w:val="6A7F7B72"/>
    <w:rsid w:val="6A96716E"/>
    <w:rsid w:val="6AC0668D"/>
    <w:rsid w:val="6AC93629"/>
    <w:rsid w:val="6AD42215"/>
    <w:rsid w:val="6ADF6E0B"/>
    <w:rsid w:val="6AFA27E1"/>
    <w:rsid w:val="6B064EE5"/>
    <w:rsid w:val="6B1C36D8"/>
    <w:rsid w:val="6B2A277C"/>
    <w:rsid w:val="6B2E1512"/>
    <w:rsid w:val="6B4F21E3"/>
    <w:rsid w:val="6B7B77ED"/>
    <w:rsid w:val="6B833C3B"/>
    <w:rsid w:val="6B923E7E"/>
    <w:rsid w:val="6BA84AE2"/>
    <w:rsid w:val="6BAF4A30"/>
    <w:rsid w:val="6BC24637"/>
    <w:rsid w:val="6BF40EC1"/>
    <w:rsid w:val="6C16685D"/>
    <w:rsid w:val="6C3F4006"/>
    <w:rsid w:val="6C5E021D"/>
    <w:rsid w:val="6C7041BF"/>
    <w:rsid w:val="6C7425A7"/>
    <w:rsid w:val="6CA922DA"/>
    <w:rsid w:val="6CBA36C1"/>
    <w:rsid w:val="6CD02EB0"/>
    <w:rsid w:val="6D01750D"/>
    <w:rsid w:val="6D260D22"/>
    <w:rsid w:val="6D341690"/>
    <w:rsid w:val="6D714693"/>
    <w:rsid w:val="6D9034EF"/>
    <w:rsid w:val="6DA560EA"/>
    <w:rsid w:val="6DAF0D17"/>
    <w:rsid w:val="6DAF3EC3"/>
    <w:rsid w:val="6DBD1686"/>
    <w:rsid w:val="6DC761B7"/>
    <w:rsid w:val="6DD01ED5"/>
    <w:rsid w:val="6DD05733"/>
    <w:rsid w:val="6DD571EC"/>
    <w:rsid w:val="6E1D776A"/>
    <w:rsid w:val="6E2711F5"/>
    <w:rsid w:val="6E3336F6"/>
    <w:rsid w:val="6E3B6A4F"/>
    <w:rsid w:val="6E3C0F89"/>
    <w:rsid w:val="6E3E23D3"/>
    <w:rsid w:val="6E58315D"/>
    <w:rsid w:val="6E9137E0"/>
    <w:rsid w:val="6E916298"/>
    <w:rsid w:val="6E9323E7"/>
    <w:rsid w:val="6E9F307A"/>
    <w:rsid w:val="6EA84809"/>
    <w:rsid w:val="6EE36271"/>
    <w:rsid w:val="6EF041DC"/>
    <w:rsid w:val="6F244603"/>
    <w:rsid w:val="6F4831D1"/>
    <w:rsid w:val="6F66625A"/>
    <w:rsid w:val="6FA51644"/>
    <w:rsid w:val="6FAF3250"/>
    <w:rsid w:val="6FC50CC6"/>
    <w:rsid w:val="6FC61E8F"/>
    <w:rsid w:val="6FCE7B7A"/>
    <w:rsid w:val="6FD607DD"/>
    <w:rsid w:val="6FDE7692"/>
    <w:rsid w:val="6FF75479"/>
    <w:rsid w:val="705A140E"/>
    <w:rsid w:val="705F4C76"/>
    <w:rsid w:val="70613731"/>
    <w:rsid w:val="70812E3F"/>
    <w:rsid w:val="70981F36"/>
    <w:rsid w:val="70997AC2"/>
    <w:rsid w:val="70C374A1"/>
    <w:rsid w:val="70F133F4"/>
    <w:rsid w:val="71096990"/>
    <w:rsid w:val="7113780F"/>
    <w:rsid w:val="712E63F7"/>
    <w:rsid w:val="713003C1"/>
    <w:rsid w:val="713A2FED"/>
    <w:rsid w:val="716A52DB"/>
    <w:rsid w:val="71706A0F"/>
    <w:rsid w:val="719178EE"/>
    <w:rsid w:val="71A60683"/>
    <w:rsid w:val="71B763EC"/>
    <w:rsid w:val="71CD5C10"/>
    <w:rsid w:val="71D32BF0"/>
    <w:rsid w:val="723839D1"/>
    <w:rsid w:val="72614E1F"/>
    <w:rsid w:val="72695938"/>
    <w:rsid w:val="72BA11D4"/>
    <w:rsid w:val="73025D8D"/>
    <w:rsid w:val="731D4975"/>
    <w:rsid w:val="73335F46"/>
    <w:rsid w:val="734B7734"/>
    <w:rsid w:val="73722F12"/>
    <w:rsid w:val="7375655F"/>
    <w:rsid w:val="7386225B"/>
    <w:rsid w:val="73972979"/>
    <w:rsid w:val="739F6935"/>
    <w:rsid w:val="73B201E3"/>
    <w:rsid w:val="73CB43D1"/>
    <w:rsid w:val="740718AD"/>
    <w:rsid w:val="741B5358"/>
    <w:rsid w:val="744F6DB0"/>
    <w:rsid w:val="745E5245"/>
    <w:rsid w:val="74624D35"/>
    <w:rsid w:val="74714F78"/>
    <w:rsid w:val="748A428C"/>
    <w:rsid w:val="7497043C"/>
    <w:rsid w:val="74CC6652"/>
    <w:rsid w:val="74DD43BC"/>
    <w:rsid w:val="74DE2D28"/>
    <w:rsid w:val="7521074C"/>
    <w:rsid w:val="75317F36"/>
    <w:rsid w:val="753A7A60"/>
    <w:rsid w:val="755248A6"/>
    <w:rsid w:val="75660855"/>
    <w:rsid w:val="759242AE"/>
    <w:rsid w:val="75B51DBC"/>
    <w:rsid w:val="75C94940"/>
    <w:rsid w:val="75CB06B8"/>
    <w:rsid w:val="75D0476C"/>
    <w:rsid w:val="75E57159"/>
    <w:rsid w:val="75ED6880"/>
    <w:rsid w:val="75FC4D15"/>
    <w:rsid w:val="763C5112"/>
    <w:rsid w:val="76431924"/>
    <w:rsid w:val="765E152C"/>
    <w:rsid w:val="766034F6"/>
    <w:rsid w:val="767E572A"/>
    <w:rsid w:val="76966F18"/>
    <w:rsid w:val="76A333E3"/>
    <w:rsid w:val="76C21ABB"/>
    <w:rsid w:val="76E01F41"/>
    <w:rsid w:val="76E45ED5"/>
    <w:rsid w:val="76EB7264"/>
    <w:rsid w:val="770025E3"/>
    <w:rsid w:val="771E7D75"/>
    <w:rsid w:val="77347057"/>
    <w:rsid w:val="77416E84"/>
    <w:rsid w:val="776668EA"/>
    <w:rsid w:val="77A64F39"/>
    <w:rsid w:val="77CF26E1"/>
    <w:rsid w:val="77E12415"/>
    <w:rsid w:val="77E84216"/>
    <w:rsid w:val="77F9775E"/>
    <w:rsid w:val="77FA5285"/>
    <w:rsid w:val="781E0F73"/>
    <w:rsid w:val="781E29DE"/>
    <w:rsid w:val="782725D3"/>
    <w:rsid w:val="782B3690"/>
    <w:rsid w:val="7831514A"/>
    <w:rsid w:val="784B788E"/>
    <w:rsid w:val="78660DE1"/>
    <w:rsid w:val="78B638A1"/>
    <w:rsid w:val="78C80EDF"/>
    <w:rsid w:val="78D02979"/>
    <w:rsid w:val="78D14237"/>
    <w:rsid w:val="791871BB"/>
    <w:rsid w:val="793547C6"/>
    <w:rsid w:val="794A3E9B"/>
    <w:rsid w:val="79616A26"/>
    <w:rsid w:val="798968C0"/>
    <w:rsid w:val="799F4335"/>
    <w:rsid w:val="79D96301"/>
    <w:rsid w:val="79DC7338"/>
    <w:rsid w:val="79E461EC"/>
    <w:rsid w:val="7A1A0D3D"/>
    <w:rsid w:val="7A344A7E"/>
    <w:rsid w:val="7A48677B"/>
    <w:rsid w:val="7A546ECE"/>
    <w:rsid w:val="7A592736"/>
    <w:rsid w:val="7A6450F2"/>
    <w:rsid w:val="7A6766F3"/>
    <w:rsid w:val="7A8F4065"/>
    <w:rsid w:val="7AC51B7A"/>
    <w:rsid w:val="7AEC5358"/>
    <w:rsid w:val="7B0A3A31"/>
    <w:rsid w:val="7B1524BC"/>
    <w:rsid w:val="7B9D6653"/>
    <w:rsid w:val="7BA06143"/>
    <w:rsid w:val="7BD754B6"/>
    <w:rsid w:val="7BE36163"/>
    <w:rsid w:val="7BE60B10"/>
    <w:rsid w:val="7BFF0F42"/>
    <w:rsid w:val="7C1F52BA"/>
    <w:rsid w:val="7C282DC5"/>
    <w:rsid w:val="7C4A61CB"/>
    <w:rsid w:val="7C69085F"/>
    <w:rsid w:val="7C8F68E3"/>
    <w:rsid w:val="7C920C6D"/>
    <w:rsid w:val="7D210AD2"/>
    <w:rsid w:val="7D5B1FAF"/>
    <w:rsid w:val="7D666D02"/>
    <w:rsid w:val="7DA979A9"/>
    <w:rsid w:val="7DBD4D8A"/>
    <w:rsid w:val="7DC4607A"/>
    <w:rsid w:val="7E1F77F3"/>
    <w:rsid w:val="7E3B475B"/>
    <w:rsid w:val="7E4253D3"/>
    <w:rsid w:val="7E6E734E"/>
    <w:rsid w:val="7E955D07"/>
    <w:rsid w:val="7E985949"/>
    <w:rsid w:val="7EC30AC6"/>
    <w:rsid w:val="7EC65EC0"/>
    <w:rsid w:val="7ECA7238"/>
    <w:rsid w:val="7ED57C99"/>
    <w:rsid w:val="7EDE145C"/>
    <w:rsid w:val="7EE061AE"/>
    <w:rsid w:val="7EFB1398"/>
    <w:rsid w:val="7F1C1F84"/>
    <w:rsid w:val="7F4D213E"/>
    <w:rsid w:val="7F7B6CAB"/>
    <w:rsid w:val="7F8A3DE7"/>
    <w:rsid w:val="7F930498"/>
    <w:rsid w:val="7F995383"/>
    <w:rsid w:val="7FAB3A34"/>
    <w:rsid w:val="7FCF6FF7"/>
    <w:rsid w:val="7FD12D6F"/>
    <w:rsid w:val="7FD64829"/>
  </w:rsids>
  <m:mathPr>
    <m:mathFont m:val="Cambria Math"/>
    <m:brkBin m:val="before"/>
    <m:brkBinSub m:val="--"/>
    <m:smallFrac m:val="1"/>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7"/>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59"/>
    <w:qFormat/>
    <w:uiPriority w:val="9"/>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58"/>
    <w:qFormat/>
    <w:uiPriority w:val="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0"/>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28"/>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6"/>
    <w:qFormat/>
    <w:uiPriority w:val="99"/>
    <w:pPr>
      <w:jc w:val="left"/>
    </w:pPr>
  </w:style>
  <w:style w:type="paragraph" w:styleId="12">
    <w:name w:val="Body Text"/>
    <w:basedOn w:val="1"/>
    <w:next w:val="1"/>
    <w:link w:val="131"/>
    <w:qFormat/>
    <w:uiPriority w:val="0"/>
    <w:pPr>
      <w:spacing w:after="120"/>
    </w:pPr>
    <w:rPr>
      <w:rFonts w:ascii="Calibri" w:hAnsi="Calibri" w:eastAsia="宋体" w:cs="Times New Roman"/>
      <w:kern w:val="0"/>
      <w:sz w:val="24"/>
      <w:szCs w:val="20"/>
    </w:rPr>
  </w:style>
  <w:style w:type="paragraph" w:styleId="13">
    <w:name w:val="Body Text Indent"/>
    <w:basedOn w:val="1"/>
    <w:link w:val="62"/>
    <w:qFormat/>
    <w:uiPriority w:val="0"/>
    <w:pPr>
      <w:widowControl/>
      <w:spacing w:after="120"/>
      <w:ind w:left="420"/>
    </w:pPr>
    <w:rPr>
      <w:rFonts w:ascii="??" w:hAnsi="??" w:eastAsia="宋体" w:cs="Arial"/>
      <w:kern w:val="0"/>
      <w:sz w:val="24"/>
      <w:szCs w:val="24"/>
    </w:rPr>
  </w:style>
  <w:style w:type="paragraph" w:styleId="14">
    <w:name w:val="toc 5"/>
    <w:basedOn w:val="1"/>
    <w:next w:val="1"/>
    <w:qFormat/>
    <w:uiPriority w:val="0"/>
    <w:pPr>
      <w:ind w:left="1680" w:leftChars="800"/>
    </w:pPr>
    <w:rPr>
      <w:rFonts w:ascii="Times New Roman" w:hAnsi="Times New Roman" w:eastAsia="宋体" w:cs="Times New Roman"/>
      <w:szCs w:val="24"/>
    </w:rPr>
  </w:style>
  <w:style w:type="paragraph" w:styleId="15">
    <w:name w:val="toc 3"/>
    <w:basedOn w:val="1"/>
    <w:next w:val="1"/>
    <w:qFormat/>
    <w:uiPriority w:val="39"/>
    <w:pPr>
      <w:ind w:left="840" w:leftChars="400"/>
    </w:pPr>
    <w:rPr>
      <w:rFonts w:ascii="Times New Roman" w:hAnsi="Times New Roman" w:eastAsia="宋体" w:cs="Times New Roman"/>
      <w:szCs w:val="24"/>
    </w:rPr>
  </w:style>
  <w:style w:type="paragraph" w:styleId="16">
    <w:name w:val="Plain Text"/>
    <w:basedOn w:val="1"/>
    <w:link w:val="191"/>
    <w:qFormat/>
    <w:uiPriority w:val="0"/>
    <w:rPr>
      <w:rFonts w:ascii="宋体" w:hAnsi="Courier New" w:eastAsia="宋体"/>
      <w:szCs w:val="21"/>
    </w:rPr>
  </w:style>
  <w:style w:type="paragraph" w:styleId="17">
    <w:name w:val="toc 8"/>
    <w:basedOn w:val="1"/>
    <w:next w:val="1"/>
    <w:qFormat/>
    <w:uiPriority w:val="0"/>
    <w:pPr>
      <w:ind w:left="2940" w:leftChars="1400"/>
    </w:pPr>
    <w:rPr>
      <w:rFonts w:ascii="Times New Roman" w:hAnsi="Times New Roman" w:eastAsia="宋体" w:cs="Times New Roman"/>
      <w:szCs w:val="24"/>
    </w:rPr>
  </w:style>
  <w:style w:type="paragraph" w:styleId="18">
    <w:name w:val="Date"/>
    <w:basedOn w:val="1"/>
    <w:next w:val="1"/>
    <w:link w:val="151"/>
    <w:qFormat/>
    <w:uiPriority w:val="0"/>
    <w:rPr>
      <w:szCs w:val="21"/>
    </w:rPr>
  </w:style>
  <w:style w:type="paragraph" w:styleId="19">
    <w:name w:val="Body Text Indent 2"/>
    <w:basedOn w:val="1"/>
    <w:link w:val="124"/>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0">
    <w:name w:val="Balloon Text"/>
    <w:basedOn w:val="1"/>
    <w:link w:val="74"/>
    <w:qFormat/>
    <w:uiPriority w:val="99"/>
    <w:rPr>
      <w:rFonts w:ascii="Calibri" w:hAnsi="Calibri" w:eastAsia="宋体" w:cs="Times New Roman"/>
      <w:sz w:val="18"/>
      <w:szCs w:val="18"/>
    </w:rPr>
  </w:style>
  <w:style w:type="paragraph" w:styleId="21">
    <w:name w:val="footer"/>
    <w:basedOn w:val="1"/>
    <w:link w:val="61"/>
    <w:qFormat/>
    <w:uiPriority w:val="99"/>
    <w:pPr>
      <w:tabs>
        <w:tab w:val="center" w:pos="4153"/>
        <w:tab w:val="right" w:pos="8306"/>
      </w:tabs>
      <w:snapToGrid w:val="0"/>
      <w:jc w:val="left"/>
    </w:pPr>
    <w:rPr>
      <w:rFonts w:ascii="Calibri" w:hAnsi="Calibri" w:eastAsia="宋体" w:cs="Times New Roman"/>
      <w:sz w:val="18"/>
      <w:szCs w:val="18"/>
    </w:rPr>
  </w:style>
  <w:style w:type="paragraph" w:styleId="22">
    <w:name w:val="header"/>
    <w:basedOn w:val="1"/>
    <w:link w:val="60"/>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39"/>
    <w:rPr>
      <w:rFonts w:ascii="Times New Roman" w:hAnsi="Times New Roman" w:eastAsia="宋体" w:cs="Times New Roman"/>
      <w:szCs w:val="24"/>
    </w:rPr>
  </w:style>
  <w:style w:type="paragraph" w:styleId="24">
    <w:name w:val="toc 4"/>
    <w:basedOn w:val="1"/>
    <w:next w:val="1"/>
    <w:qFormat/>
    <w:uiPriority w:val="0"/>
    <w:pPr>
      <w:ind w:left="1260" w:leftChars="600"/>
    </w:pPr>
    <w:rPr>
      <w:rFonts w:ascii="Times New Roman" w:hAnsi="Times New Roman" w:eastAsia="宋体" w:cs="Times New Roman"/>
      <w:szCs w:val="24"/>
    </w:rPr>
  </w:style>
  <w:style w:type="paragraph" w:styleId="25">
    <w:name w:val="footnote text"/>
    <w:basedOn w:val="1"/>
    <w:link w:val="168"/>
    <w:semiHidden/>
    <w:qFormat/>
    <w:uiPriority w:val="0"/>
    <w:pPr>
      <w:snapToGrid w:val="0"/>
      <w:jc w:val="left"/>
    </w:pPr>
    <w:rPr>
      <w:rFonts w:ascii="Times New Roman" w:hAnsi="Times New Roman" w:eastAsia="宋体" w:cs="Times New Roman"/>
      <w:sz w:val="18"/>
      <w:szCs w:val="18"/>
    </w:rPr>
  </w:style>
  <w:style w:type="paragraph" w:styleId="26">
    <w:name w:val="toc 6"/>
    <w:basedOn w:val="1"/>
    <w:next w:val="1"/>
    <w:qFormat/>
    <w:uiPriority w:val="0"/>
    <w:pPr>
      <w:ind w:left="2100" w:leftChars="1000"/>
    </w:pPr>
    <w:rPr>
      <w:rFonts w:ascii="Times New Roman" w:hAnsi="Times New Roman" w:eastAsia="宋体" w:cs="Times New Roman"/>
      <w:szCs w:val="24"/>
    </w:rPr>
  </w:style>
  <w:style w:type="paragraph" w:styleId="27">
    <w:name w:val="Body Text Indent 3"/>
    <w:basedOn w:val="1"/>
    <w:link w:val="126"/>
    <w:qFormat/>
    <w:uiPriority w:val="99"/>
    <w:pPr>
      <w:spacing w:line="440" w:lineRule="exact"/>
      <w:ind w:firstLine="412" w:firstLineChars="200"/>
    </w:pPr>
    <w:rPr>
      <w:rFonts w:ascii="宋体" w:hAnsi="Calibri" w:eastAsia="宋体" w:cs="Times New Roman"/>
      <w:kern w:val="0"/>
      <w:sz w:val="20"/>
      <w:szCs w:val="20"/>
    </w:rPr>
  </w:style>
  <w:style w:type="paragraph" w:styleId="28">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29">
    <w:name w:val="toc 2"/>
    <w:basedOn w:val="1"/>
    <w:next w:val="1"/>
    <w:qFormat/>
    <w:uiPriority w:val="39"/>
    <w:pPr>
      <w:ind w:left="420" w:leftChars="200"/>
    </w:pPr>
    <w:rPr>
      <w:rFonts w:ascii="Times New Roman" w:hAnsi="Times New Roman" w:eastAsia="宋体" w:cs="Times New Roman"/>
      <w:szCs w:val="24"/>
    </w:rPr>
  </w:style>
  <w:style w:type="paragraph" w:styleId="30">
    <w:name w:val="toc 9"/>
    <w:basedOn w:val="1"/>
    <w:next w:val="1"/>
    <w:qFormat/>
    <w:uiPriority w:val="0"/>
    <w:pPr>
      <w:ind w:left="3360" w:leftChars="1600"/>
    </w:pPr>
    <w:rPr>
      <w:rFonts w:ascii="Times New Roman" w:hAnsi="Times New Roman" w:eastAsia="宋体" w:cs="Times New Roman"/>
      <w:szCs w:val="24"/>
    </w:rPr>
  </w:style>
  <w:style w:type="paragraph" w:styleId="31">
    <w:name w:val="List Continue 2"/>
    <w:basedOn w:val="1"/>
    <w:qFormat/>
    <w:uiPriority w:val="99"/>
    <w:pPr>
      <w:spacing w:after="120"/>
      <w:ind w:left="840" w:leftChars="400"/>
    </w:pPr>
    <w:rPr>
      <w:rFonts w:ascii="Times New Roman" w:hAnsi="Times New Roman" w:eastAsia="宋体" w:cs="Times New Roman"/>
      <w:szCs w:val="24"/>
    </w:rPr>
  </w:style>
  <w:style w:type="paragraph" w:styleId="3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3">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4">
    <w:name w:val="Title"/>
    <w:basedOn w:val="1"/>
    <w:link w:val="154"/>
    <w:qFormat/>
    <w:uiPriority w:val="0"/>
    <w:pPr>
      <w:spacing w:before="240" w:after="60"/>
      <w:jc w:val="center"/>
      <w:outlineLvl w:val="0"/>
    </w:pPr>
    <w:rPr>
      <w:rFonts w:ascii="Cambria" w:hAnsi="Cambria" w:cs="Times New Roman"/>
      <w:b/>
      <w:bCs/>
      <w:sz w:val="32"/>
      <w:szCs w:val="32"/>
    </w:rPr>
  </w:style>
  <w:style w:type="paragraph" w:styleId="35">
    <w:name w:val="annotation subject"/>
    <w:basedOn w:val="11"/>
    <w:next w:val="11"/>
    <w:link w:val="161"/>
    <w:qFormat/>
    <w:uiPriority w:val="99"/>
    <w:rPr>
      <w:b/>
      <w:bCs/>
    </w:rPr>
  </w:style>
  <w:style w:type="paragraph" w:styleId="36">
    <w:name w:val="Body Text First Indent"/>
    <w:basedOn w:val="12"/>
    <w:link w:val="201"/>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7">
    <w:name w:val="Body Text First Indent 2"/>
    <w:basedOn w:val="13"/>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39">
    <w:name w:val="Table Grid"/>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rFonts w:cs="Times New Roman"/>
      <w:b/>
    </w:rPr>
  </w:style>
  <w:style w:type="character" w:styleId="42">
    <w:name w:val="page number"/>
    <w:basedOn w:val="40"/>
    <w:qFormat/>
    <w:uiPriority w:val="0"/>
    <w:rPr>
      <w:rFonts w:cs="Times New Roman"/>
    </w:rPr>
  </w:style>
  <w:style w:type="character" w:styleId="43">
    <w:name w:val="FollowedHyperlink"/>
    <w:basedOn w:val="40"/>
    <w:qFormat/>
    <w:uiPriority w:val="99"/>
    <w:rPr>
      <w:rFonts w:cs="Times New Roman"/>
      <w:color w:val="555555"/>
      <w:u w:val="none"/>
    </w:rPr>
  </w:style>
  <w:style w:type="character" w:styleId="44">
    <w:name w:val="Emphasis"/>
    <w:basedOn w:val="40"/>
    <w:qFormat/>
    <w:uiPriority w:val="0"/>
    <w:rPr>
      <w:rFonts w:cs="Times New Roman"/>
      <w:i/>
    </w:rPr>
  </w:style>
  <w:style w:type="character" w:styleId="45">
    <w:name w:val="HTML Definition"/>
    <w:basedOn w:val="40"/>
    <w:qFormat/>
    <w:uiPriority w:val="99"/>
    <w:rPr>
      <w:rFonts w:cs="Times New Roman"/>
    </w:rPr>
  </w:style>
  <w:style w:type="character" w:styleId="46">
    <w:name w:val="HTML Acronym"/>
    <w:basedOn w:val="40"/>
    <w:qFormat/>
    <w:uiPriority w:val="99"/>
    <w:rPr>
      <w:rFonts w:cs="Times New Roman"/>
    </w:rPr>
  </w:style>
  <w:style w:type="character" w:styleId="47">
    <w:name w:val="HTML Variable"/>
    <w:basedOn w:val="40"/>
    <w:qFormat/>
    <w:uiPriority w:val="99"/>
    <w:rPr>
      <w:rFonts w:cs="Times New Roman"/>
    </w:rPr>
  </w:style>
  <w:style w:type="character" w:styleId="48">
    <w:name w:val="Hyperlink"/>
    <w:basedOn w:val="40"/>
    <w:qFormat/>
    <w:uiPriority w:val="99"/>
    <w:rPr>
      <w:rFonts w:cs="Times New Roman"/>
      <w:color w:val="555555"/>
      <w:u w:val="none"/>
    </w:rPr>
  </w:style>
  <w:style w:type="character" w:styleId="49">
    <w:name w:val="HTML Code"/>
    <w:basedOn w:val="40"/>
    <w:qFormat/>
    <w:uiPriority w:val="99"/>
    <w:rPr>
      <w:rFonts w:ascii="monospace" w:hAnsi="monospace" w:cs="Times New Roman"/>
      <w:sz w:val="24"/>
    </w:rPr>
  </w:style>
  <w:style w:type="character" w:styleId="50">
    <w:name w:val="annotation reference"/>
    <w:qFormat/>
    <w:uiPriority w:val="99"/>
    <w:rPr>
      <w:sz w:val="21"/>
      <w:szCs w:val="21"/>
    </w:rPr>
  </w:style>
  <w:style w:type="character" w:styleId="51">
    <w:name w:val="HTML Cite"/>
    <w:basedOn w:val="40"/>
    <w:qFormat/>
    <w:uiPriority w:val="99"/>
    <w:rPr>
      <w:rFonts w:cs="Times New Roman"/>
    </w:rPr>
  </w:style>
  <w:style w:type="character" w:styleId="52">
    <w:name w:val="footnote reference"/>
    <w:semiHidden/>
    <w:qFormat/>
    <w:uiPriority w:val="0"/>
    <w:rPr>
      <w:vertAlign w:val="superscript"/>
    </w:rPr>
  </w:style>
  <w:style w:type="character" w:styleId="53">
    <w:name w:val="HTML Keyboard"/>
    <w:basedOn w:val="40"/>
    <w:qFormat/>
    <w:uiPriority w:val="99"/>
    <w:rPr>
      <w:rFonts w:ascii="monospace" w:hAnsi="monospace" w:cs="Times New Roman"/>
      <w:sz w:val="24"/>
    </w:rPr>
  </w:style>
  <w:style w:type="character" w:styleId="54">
    <w:name w:val="HTML Sample"/>
    <w:basedOn w:val="40"/>
    <w:qFormat/>
    <w:uiPriority w:val="99"/>
    <w:rPr>
      <w:rFonts w:ascii="monospace" w:hAnsi="monospace" w:cs="Times New Roman"/>
      <w:sz w:val="24"/>
    </w:rPr>
  </w:style>
  <w:style w:type="paragraph" w:customStyle="1" w:styleId="55">
    <w:name w:val="Default"/>
    <w:basedOn w:val="34"/>
    <w:next w:val="2"/>
    <w:qFormat/>
    <w:uiPriority w:val="0"/>
    <w:pPr>
      <w:autoSpaceDE w:val="0"/>
      <w:autoSpaceDN w:val="0"/>
      <w:adjustRightInd w:val="0"/>
      <w:jc w:val="both"/>
    </w:pPr>
    <w:rPr>
      <w:rFonts w:ascii="黑体" w:hAnsi="黑体" w:eastAsia="宋体" w:cs="黑体"/>
      <w:color w:val="000000"/>
      <w:sz w:val="24"/>
      <w:szCs w:val="24"/>
    </w:rPr>
  </w:style>
  <w:style w:type="paragraph" w:customStyle="1" w:styleId="56">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7">
    <w:name w:val="标题 1 字符"/>
    <w:basedOn w:val="40"/>
    <w:link w:val="2"/>
    <w:qFormat/>
    <w:uiPriority w:val="9"/>
    <w:rPr>
      <w:rFonts w:ascii="???" w:hAnsi="???" w:eastAsia="宋体" w:cs="Arial"/>
      <w:b/>
      <w:bCs/>
      <w:color w:val="020000"/>
      <w:kern w:val="36"/>
      <w:sz w:val="44"/>
      <w:szCs w:val="44"/>
    </w:rPr>
  </w:style>
  <w:style w:type="character" w:customStyle="1" w:styleId="58">
    <w:name w:val="标题 3 字符"/>
    <w:basedOn w:val="40"/>
    <w:link w:val="4"/>
    <w:qFormat/>
    <w:uiPriority w:val="9"/>
    <w:rPr>
      <w:rFonts w:ascii="??" w:hAnsi="??" w:eastAsia="宋体" w:cs="Arial"/>
      <w:b/>
      <w:bCs/>
      <w:color w:val="000000"/>
      <w:kern w:val="0"/>
      <w:sz w:val="32"/>
      <w:szCs w:val="32"/>
    </w:rPr>
  </w:style>
  <w:style w:type="character" w:customStyle="1" w:styleId="59">
    <w:name w:val="标题 2 字符"/>
    <w:basedOn w:val="40"/>
    <w:link w:val="3"/>
    <w:qFormat/>
    <w:uiPriority w:val="9"/>
    <w:rPr>
      <w:rFonts w:ascii="???" w:hAnsi="???" w:eastAsia="宋体" w:cs="Arial"/>
      <w:b/>
      <w:bCs/>
      <w:color w:val="020000"/>
      <w:kern w:val="0"/>
      <w:sz w:val="32"/>
      <w:szCs w:val="32"/>
    </w:rPr>
  </w:style>
  <w:style w:type="character" w:customStyle="1" w:styleId="60">
    <w:name w:val="页眉 字符"/>
    <w:basedOn w:val="40"/>
    <w:link w:val="22"/>
    <w:qFormat/>
    <w:uiPriority w:val="99"/>
    <w:rPr>
      <w:rFonts w:ascii="Calibri" w:hAnsi="Calibri" w:eastAsia="宋体" w:cs="Times New Roman"/>
      <w:sz w:val="18"/>
      <w:szCs w:val="18"/>
    </w:rPr>
  </w:style>
  <w:style w:type="character" w:customStyle="1" w:styleId="61">
    <w:name w:val="页脚 字符"/>
    <w:basedOn w:val="40"/>
    <w:link w:val="21"/>
    <w:qFormat/>
    <w:uiPriority w:val="99"/>
    <w:rPr>
      <w:rFonts w:ascii="Calibri" w:hAnsi="Calibri" w:eastAsia="宋体" w:cs="Times New Roman"/>
      <w:sz w:val="18"/>
      <w:szCs w:val="18"/>
    </w:rPr>
  </w:style>
  <w:style w:type="character" w:customStyle="1" w:styleId="62">
    <w:name w:val="正文文本缩进 字符"/>
    <w:basedOn w:val="40"/>
    <w:link w:val="13"/>
    <w:qFormat/>
    <w:uiPriority w:val="0"/>
    <w:rPr>
      <w:rFonts w:ascii="??" w:hAnsi="??" w:eastAsia="宋体" w:cs="Arial"/>
      <w:kern w:val="0"/>
      <w:sz w:val="24"/>
      <w:szCs w:val="24"/>
    </w:rPr>
  </w:style>
  <w:style w:type="paragraph" w:customStyle="1" w:styleId="63">
    <w:name w:val="列出段落1"/>
    <w:basedOn w:val="1"/>
    <w:qFormat/>
    <w:uiPriority w:val="34"/>
    <w:pPr>
      <w:ind w:firstLine="420" w:firstLineChars="200"/>
    </w:pPr>
    <w:rPr>
      <w:rFonts w:ascii="Calibri" w:hAnsi="Calibri" w:eastAsia="宋体" w:cs="Times New Roman"/>
    </w:rPr>
  </w:style>
  <w:style w:type="character" w:customStyle="1" w:styleId="64">
    <w:name w:val="标题 2 Char Char"/>
    <w:qFormat/>
    <w:uiPriority w:val="99"/>
    <w:rPr>
      <w:rFonts w:ascii="Arial" w:hAnsi="Arial" w:eastAsia="黑体"/>
      <w:b/>
      <w:kern w:val="2"/>
      <w:sz w:val="32"/>
      <w:lang w:val="en-US" w:eastAsia="zh-CN"/>
    </w:rPr>
  </w:style>
  <w:style w:type="character" w:customStyle="1" w:styleId="65">
    <w:name w:val="2charchar"/>
    <w:basedOn w:val="40"/>
    <w:qFormat/>
    <w:uiPriority w:val="99"/>
    <w:rPr>
      <w:rFonts w:cs="Times New Roman"/>
    </w:rPr>
  </w:style>
  <w:style w:type="paragraph" w:customStyle="1" w:styleId="66">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7">
    <w:name w:val="z-窗体顶端1"/>
    <w:basedOn w:val="1"/>
    <w:next w:val="1"/>
    <w:link w:val="68"/>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68">
    <w:name w:val="z-窗体顶端 Char"/>
    <w:basedOn w:val="40"/>
    <w:link w:val="67"/>
    <w:semiHidden/>
    <w:qFormat/>
    <w:uiPriority w:val="99"/>
    <w:rPr>
      <w:rFonts w:ascii="Arial" w:hAnsi="Arial" w:eastAsia="宋体" w:cs="Arial"/>
      <w:vanish/>
      <w:kern w:val="0"/>
      <w:sz w:val="16"/>
      <w:szCs w:val="16"/>
    </w:rPr>
  </w:style>
  <w:style w:type="paragraph" w:customStyle="1" w:styleId="69">
    <w:name w:val="z-窗体底端1"/>
    <w:basedOn w:val="1"/>
    <w:next w:val="1"/>
    <w:link w:val="70"/>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0">
    <w:name w:val="z-窗体底端 Char"/>
    <w:basedOn w:val="40"/>
    <w:link w:val="69"/>
    <w:semiHidden/>
    <w:qFormat/>
    <w:uiPriority w:val="99"/>
    <w:rPr>
      <w:rFonts w:ascii="Arial" w:hAnsi="Arial" w:eastAsia="宋体" w:cs="Arial"/>
      <w:vanish/>
      <w:kern w:val="0"/>
      <w:sz w:val="16"/>
      <w:szCs w:val="16"/>
    </w:rPr>
  </w:style>
  <w:style w:type="paragraph" w:customStyle="1" w:styleId="71">
    <w:name w:val="hu正文"/>
    <w:basedOn w:val="1"/>
    <w:link w:val="72"/>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2">
    <w:name w:val="hu正文 Char"/>
    <w:link w:val="71"/>
    <w:qFormat/>
    <w:locked/>
    <w:uiPriority w:val="99"/>
    <w:rPr>
      <w:rFonts w:ascii="Times New Roman" w:hAnsi="Times New Roman" w:eastAsia="宋体" w:cs="Times New Roman"/>
      <w:kern w:val="0"/>
      <w:sz w:val="24"/>
      <w:szCs w:val="20"/>
    </w:rPr>
  </w:style>
  <w:style w:type="paragraph" w:customStyle="1" w:styleId="73">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4">
    <w:name w:val="批注框文本 字符"/>
    <w:basedOn w:val="40"/>
    <w:link w:val="20"/>
    <w:qFormat/>
    <w:uiPriority w:val="99"/>
    <w:rPr>
      <w:rFonts w:ascii="Calibri" w:hAnsi="Calibri" w:eastAsia="宋体" w:cs="Times New Roman"/>
      <w:sz w:val="18"/>
      <w:szCs w:val="18"/>
    </w:rPr>
  </w:style>
  <w:style w:type="character" w:customStyle="1" w:styleId="75">
    <w:name w:val="ui-bz-bg-hover1"/>
    <w:basedOn w:val="40"/>
    <w:qFormat/>
    <w:uiPriority w:val="99"/>
    <w:rPr>
      <w:rFonts w:cs="Times New Roman"/>
    </w:rPr>
  </w:style>
  <w:style w:type="character" w:customStyle="1" w:styleId="76">
    <w:name w:val="批注框文本 Char1"/>
    <w:qFormat/>
    <w:uiPriority w:val="99"/>
    <w:rPr>
      <w:rFonts w:ascii="Times New Roman" w:hAnsi="Times New Roman" w:eastAsia="宋体"/>
      <w:sz w:val="18"/>
    </w:rPr>
  </w:style>
  <w:style w:type="character" w:customStyle="1" w:styleId="77">
    <w:name w:val="bds_nopic"/>
    <w:basedOn w:val="40"/>
    <w:qFormat/>
    <w:uiPriority w:val="99"/>
    <w:rPr>
      <w:rFonts w:cs="Times New Roman"/>
    </w:rPr>
  </w:style>
  <w:style w:type="character" w:customStyle="1" w:styleId="78">
    <w:name w:val="tip12"/>
    <w:qFormat/>
    <w:uiPriority w:val="99"/>
    <w:rPr>
      <w:vanish/>
      <w:color w:val="FF0000"/>
      <w:sz w:val="18"/>
    </w:rPr>
  </w:style>
  <w:style w:type="character" w:customStyle="1" w:styleId="79">
    <w:name w:val="Body Text Indent 3 Char"/>
    <w:qFormat/>
    <w:locked/>
    <w:uiPriority w:val="99"/>
    <w:rPr>
      <w:rFonts w:ascii="宋体" w:eastAsia="宋体"/>
    </w:rPr>
  </w:style>
  <w:style w:type="character" w:customStyle="1" w:styleId="80">
    <w:name w:val="HTML Markup"/>
    <w:qFormat/>
    <w:uiPriority w:val="99"/>
    <w:rPr>
      <w:vanish/>
      <w:color w:val="FF0000"/>
    </w:rPr>
  </w:style>
  <w:style w:type="character" w:customStyle="1" w:styleId="81">
    <w:name w:val="tip7"/>
    <w:qFormat/>
    <w:uiPriority w:val="99"/>
    <w:rPr>
      <w:vanish/>
      <w:color w:val="FF0000"/>
      <w:sz w:val="18"/>
    </w:rPr>
  </w:style>
  <w:style w:type="character" w:customStyle="1" w:styleId="82">
    <w:name w:val="f-star"/>
    <w:qFormat/>
    <w:uiPriority w:val="99"/>
    <w:rPr>
      <w:color w:val="999999"/>
      <w:sz w:val="21"/>
    </w:rPr>
  </w:style>
  <w:style w:type="character" w:customStyle="1" w:styleId="83">
    <w:name w:val="Document Map Char1"/>
    <w:qFormat/>
    <w:uiPriority w:val="99"/>
    <w:rPr>
      <w:rFonts w:ascii="Times New Roman" w:hAnsi="Times New Roman"/>
      <w:kern w:val="2"/>
      <w:sz w:val="2"/>
    </w:rPr>
  </w:style>
  <w:style w:type="character" w:customStyle="1" w:styleId="84">
    <w:name w:val="my-class2"/>
    <w:basedOn w:val="40"/>
    <w:qFormat/>
    <w:uiPriority w:val="99"/>
    <w:rPr>
      <w:rFonts w:cs="Times New Roman"/>
    </w:rPr>
  </w:style>
  <w:style w:type="character" w:customStyle="1" w:styleId="85">
    <w:name w:val="no52"/>
    <w:basedOn w:val="40"/>
    <w:qFormat/>
    <w:uiPriority w:val="99"/>
    <w:rPr>
      <w:rFonts w:cs="Times New Roman"/>
    </w:rPr>
  </w:style>
  <w:style w:type="character" w:customStyle="1" w:styleId="86">
    <w:name w:val="no4"/>
    <w:basedOn w:val="40"/>
    <w:qFormat/>
    <w:uiPriority w:val="99"/>
    <w:rPr>
      <w:rFonts w:cs="Times New Roman"/>
    </w:rPr>
  </w:style>
  <w:style w:type="character" w:customStyle="1" w:styleId="87">
    <w:name w:val="my-notice"/>
    <w:basedOn w:val="40"/>
    <w:qFormat/>
    <w:uiPriority w:val="99"/>
    <w:rPr>
      <w:rFonts w:cs="Times New Roman"/>
    </w:rPr>
  </w:style>
  <w:style w:type="character" w:customStyle="1" w:styleId="88">
    <w:name w:val="ico-jiang"/>
    <w:basedOn w:val="40"/>
    <w:qFormat/>
    <w:uiPriority w:val="99"/>
    <w:rPr>
      <w:rFonts w:cs="Times New Roman"/>
    </w:rPr>
  </w:style>
  <w:style w:type="character" w:customStyle="1" w:styleId="89">
    <w:name w:val="ico-jiang2"/>
    <w:basedOn w:val="40"/>
    <w:qFormat/>
    <w:uiPriority w:val="99"/>
    <w:rPr>
      <w:rFonts w:cs="Times New Roman"/>
    </w:rPr>
  </w:style>
  <w:style w:type="character" w:customStyle="1" w:styleId="90">
    <w:name w:val="bds_more1"/>
    <w:qFormat/>
    <w:uiPriority w:val="99"/>
    <w:rPr>
      <w:rFonts w:ascii="宋体" w:hAnsi="宋体" w:eastAsia="宋体"/>
    </w:rPr>
  </w:style>
  <w:style w:type="character" w:customStyle="1" w:styleId="91">
    <w:name w:val="Body Text Indent 2 Char"/>
    <w:qFormat/>
    <w:locked/>
    <w:uiPriority w:val="99"/>
    <w:rPr>
      <w:rFonts w:ascii="宋体" w:eastAsia="宋体"/>
      <w:sz w:val="24"/>
    </w:rPr>
  </w:style>
  <w:style w:type="character" w:customStyle="1" w:styleId="92">
    <w:name w:val="org_name"/>
    <w:basedOn w:val="40"/>
    <w:qFormat/>
    <w:uiPriority w:val="99"/>
    <w:rPr>
      <w:rFonts w:cs="Times New Roman"/>
    </w:rPr>
  </w:style>
  <w:style w:type="character" w:customStyle="1" w:styleId="93">
    <w:name w:val="org_name2"/>
    <w:basedOn w:val="40"/>
    <w:qFormat/>
    <w:uiPriority w:val="99"/>
    <w:rPr>
      <w:rFonts w:cs="Times New Roman"/>
    </w:rPr>
  </w:style>
  <w:style w:type="character" w:customStyle="1" w:styleId="94">
    <w:name w:val="tip10"/>
    <w:qFormat/>
    <w:uiPriority w:val="99"/>
    <w:rPr>
      <w:vanish/>
      <w:color w:val="FF0000"/>
      <w:sz w:val="18"/>
    </w:rPr>
  </w:style>
  <w:style w:type="character" w:customStyle="1" w:styleId="95">
    <w:name w:val="orange"/>
    <w:qFormat/>
    <w:uiPriority w:val="99"/>
    <w:rPr>
      <w:color w:val="3FB58F"/>
    </w:rPr>
  </w:style>
  <w:style w:type="character" w:customStyle="1" w:styleId="96">
    <w:name w:val="bds_more"/>
    <w:basedOn w:val="40"/>
    <w:qFormat/>
    <w:uiPriority w:val="99"/>
    <w:rPr>
      <w:rFonts w:cs="Times New Roman"/>
    </w:rPr>
  </w:style>
  <w:style w:type="character" w:customStyle="1" w:styleId="97">
    <w:name w:val="t-tag"/>
    <w:qFormat/>
    <w:uiPriority w:val="99"/>
    <w:rPr>
      <w:color w:val="FFFFFF"/>
      <w:sz w:val="18"/>
      <w:shd w:val="clear" w:color="auto" w:fill="FE8833"/>
    </w:rPr>
  </w:style>
  <w:style w:type="character" w:customStyle="1" w:styleId="98">
    <w:name w:val="top-icon"/>
    <w:basedOn w:val="40"/>
    <w:qFormat/>
    <w:uiPriority w:val="99"/>
    <w:rPr>
      <w:rFonts w:cs="Times New Roman"/>
    </w:rPr>
  </w:style>
  <w:style w:type="character" w:customStyle="1" w:styleId="99">
    <w:name w:val="Body Text Char"/>
    <w:qFormat/>
    <w:locked/>
    <w:uiPriority w:val="99"/>
    <w:rPr>
      <w:sz w:val="24"/>
    </w:rPr>
  </w:style>
  <w:style w:type="character" w:customStyle="1" w:styleId="100">
    <w:name w:val="no72"/>
    <w:basedOn w:val="40"/>
    <w:qFormat/>
    <w:uiPriority w:val="99"/>
    <w:rPr>
      <w:rFonts w:cs="Times New Roman"/>
    </w:rPr>
  </w:style>
  <w:style w:type="character" w:customStyle="1" w:styleId="101">
    <w:name w:val="bds_nopic2"/>
    <w:basedOn w:val="40"/>
    <w:qFormat/>
    <w:uiPriority w:val="99"/>
    <w:rPr>
      <w:rFonts w:cs="Times New Roman"/>
    </w:rPr>
  </w:style>
  <w:style w:type="character" w:customStyle="1" w:styleId="102">
    <w:name w:val="Document Map Char"/>
    <w:qFormat/>
    <w:uiPriority w:val="99"/>
    <w:rPr>
      <w:rFonts w:ascii="宋体"/>
      <w:sz w:val="18"/>
    </w:rPr>
  </w:style>
  <w:style w:type="character" w:customStyle="1" w:styleId="103">
    <w:name w:val="no6"/>
    <w:basedOn w:val="40"/>
    <w:qFormat/>
    <w:uiPriority w:val="99"/>
    <w:rPr>
      <w:rFonts w:cs="Times New Roman"/>
    </w:rPr>
  </w:style>
  <w:style w:type="character" w:customStyle="1" w:styleId="104">
    <w:name w:val="tip"/>
    <w:qFormat/>
    <w:uiPriority w:val="99"/>
    <w:rPr>
      <w:vanish/>
      <w:color w:val="FF0000"/>
      <w:sz w:val="18"/>
    </w:rPr>
  </w:style>
  <w:style w:type="character" w:customStyle="1" w:styleId="105">
    <w:name w:val="apple-converted-space"/>
    <w:basedOn w:val="40"/>
    <w:qFormat/>
    <w:uiPriority w:val="99"/>
    <w:rPr>
      <w:rFonts w:cs="Times New Roman"/>
    </w:rPr>
  </w:style>
  <w:style w:type="character" w:customStyle="1" w:styleId="106">
    <w:name w:val="bds_more2"/>
    <w:basedOn w:val="40"/>
    <w:qFormat/>
    <w:uiPriority w:val="99"/>
    <w:rPr>
      <w:rFonts w:cs="Times New Roman"/>
    </w:rPr>
  </w:style>
  <w:style w:type="character" w:customStyle="1" w:styleId="107">
    <w:name w:val="my-class"/>
    <w:basedOn w:val="40"/>
    <w:qFormat/>
    <w:uiPriority w:val="99"/>
    <w:rPr>
      <w:rFonts w:cs="Times New Roman"/>
    </w:rPr>
  </w:style>
  <w:style w:type="character" w:customStyle="1" w:styleId="108">
    <w:name w:val="ui-bz-bg-hover"/>
    <w:qFormat/>
    <w:uiPriority w:val="99"/>
    <w:rPr>
      <w:shd w:val="clear" w:color="auto" w:fill="000000"/>
    </w:rPr>
  </w:style>
  <w:style w:type="character" w:customStyle="1" w:styleId="109">
    <w:name w:val="no7"/>
    <w:basedOn w:val="40"/>
    <w:qFormat/>
    <w:uiPriority w:val="99"/>
    <w:rPr>
      <w:rFonts w:cs="Times New Roman"/>
    </w:rPr>
  </w:style>
  <w:style w:type="character" w:customStyle="1" w:styleId="110">
    <w:name w:val="正文缩进 字符"/>
    <w:link w:val="8"/>
    <w:qFormat/>
    <w:locked/>
    <w:uiPriority w:val="99"/>
    <w:rPr>
      <w:rFonts w:ascii="Times New Roman" w:hAnsi="Times New Roman" w:eastAsia="宋体" w:cs="Times New Roman"/>
      <w:kern w:val="0"/>
      <w:sz w:val="24"/>
      <w:szCs w:val="20"/>
    </w:rPr>
  </w:style>
  <w:style w:type="character" w:customStyle="1" w:styleId="111">
    <w:name w:val="ico-jiang1"/>
    <w:basedOn w:val="40"/>
    <w:qFormat/>
    <w:uiPriority w:val="99"/>
    <w:rPr>
      <w:rFonts w:cs="Times New Roman"/>
    </w:rPr>
  </w:style>
  <w:style w:type="character" w:customStyle="1" w:styleId="112">
    <w:name w:val="no62"/>
    <w:basedOn w:val="40"/>
    <w:qFormat/>
    <w:uiPriority w:val="99"/>
    <w:rPr>
      <w:rFonts w:cs="Times New Roman"/>
    </w:rPr>
  </w:style>
  <w:style w:type="character" w:customStyle="1" w:styleId="113">
    <w:name w:val="orange5"/>
    <w:qFormat/>
    <w:uiPriority w:val="99"/>
    <w:rPr>
      <w:color w:val="3FB58F"/>
    </w:rPr>
  </w:style>
  <w:style w:type="character" w:customStyle="1" w:styleId="114">
    <w:name w:val="bds_more4"/>
    <w:basedOn w:val="40"/>
    <w:qFormat/>
    <w:uiPriority w:val="99"/>
    <w:rPr>
      <w:rFonts w:cs="Times New Roman"/>
    </w:rPr>
  </w:style>
  <w:style w:type="character" w:customStyle="1" w:styleId="115">
    <w:name w:val="no5"/>
    <w:basedOn w:val="40"/>
    <w:qFormat/>
    <w:uiPriority w:val="99"/>
    <w:rPr>
      <w:rFonts w:cs="Times New Roman"/>
    </w:rPr>
  </w:style>
  <w:style w:type="character" w:customStyle="1" w:styleId="116">
    <w:name w:val="bds_more3"/>
    <w:basedOn w:val="40"/>
    <w:qFormat/>
    <w:uiPriority w:val="99"/>
    <w:rPr>
      <w:rFonts w:cs="Times New Roman"/>
    </w:rPr>
  </w:style>
  <w:style w:type="character" w:customStyle="1" w:styleId="117">
    <w:name w:val="no42"/>
    <w:basedOn w:val="40"/>
    <w:qFormat/>
    <w:uiPriority w:val="99"/>
    <w:rPr>
      <w:rFonts w:cs="Times New Roman"/>
    </w:rPr>
  </w:style>
  <w:style w:type="character" w:customStyle="1" w:styleId="118">
    <w:name w:val="bds_nopic1"/>
    <w:basedOn w:val="40"/>
    <w:qFormat/>
    <w:uiPriority w:val="99"/>
    <w:rPr>
      <w:rFonts w:cs="Times New Roman"/>
    </w:rPr>
  </w:style>
  <w:style w:type="character" w:customStyle="1" w:styleId="119">
    <w:name w:val="my-notice1"/>
    <w:basedOn w:val="40"/>
    <w:qFormat/>
    <w:uiPriority w:val="99"/>
    <w:rPr>
      <w:rFonts w:cs="Times New Roman"/>
    </w:rPr>
  </w:style>
  <w:style w:type="character" w:customStyle="1" w:styleId="120">
    <w:name w:val="orange6"/>
    <w:qFormat/>
    <w:uiPriority w:val="99"/>
    <w:rPr>
      <w:color w:val="3FB58F"/>
    </w:rPr>
  </w:style>
  <w:style w:type="character" w:customStyle="1" w:styleId="121">
    <w:name w:val="Document Map Char2"/>
    <w:qFormat/>
    <w:locked/>
    <w:uiPriority w:val="99"/>
    <w:rPr>
      <w:rFonts w:ascii="宋体"/>
      <w:sz w:val="18"/>
    </w:rPr>
  </w:style>
  <w:style w:type="character" w:customStyle="1" w:styleId="122">
    <w:name w:val="ico-jiang3"/>
    <w:basedOn w:val="40"/>
    <w:qFormat/>
    <w:uiPriority w:val="99"/>
    <w:rPr>
      <w:rFonts w:cs="Times New Roman"/>
    </w:rPr>
  </w:style>
  <w:style w:type="character" w:customStyle="1" w:styleId="123">
    <w:name w:val="tip13"/>
    <w:qFormat/>
    <w:uiPriority w:val="99"/>
    <w:rPr>
      <w:vanish/>
      <w:color w:val="FF0000"/>
      <w:sz w:val="18"/>
    </w:rPr>
  </w:style>
  <w:style w:type="character" w:customStyle="1" w:styleId="124">
    <w:name w:val="正文文本缩进 2 字符"/>
    <w:basedOn w:val="40"/>
    <w:link w:val="19"/>
    <w:qFormat/>
    <w:uiPriority w:val="99"/>
    <w:rPr>
      <w:rFonts w:ascii="宋体" w:hAnsi="Calibri" w:eastAsia="宋体" w:cs="Times New Roman"/>
      <w:kern w:val="0"/>
      <w:sz w:val="24"/>
      <w:szCs w:val="20"/>
    </w:rPr>
  </w:style>
  <w:style w:type="character" w:customStyle="1" w:styleId="125">
    <w:name w:val="Body Text Indent 2 Char1"/>
    <w:basedOn w:val="40"/>
    <w:semiHidden/>
    <w:qFormat/>
    <w:locked/>
    <w:uiPriority w:val="99"/>
    <w:rPr>
      <w:rFonts w:cs="Times New Roman"/>
    </w:rPr>
  </w:style>
  <w:style w:type="character" w:customStyle="1" w:styleId="126">
    <w:name w:val="正文文本缩进 3 字符"/>
    <w:basedOn w:val="40"/>
    <w:link w:val="27"/>
    <w:qFormat/>
    <w:uiPriority w:val="99"/>
    <w:rPr>
      <w:rFonts w:ascii="宋体" w:hAnsi="Calibri" w:eastAsia="宋体" w:cs="Times New Roman"/>
      <w:kern w:val="0"/>
      <w:sz w:val="20"/>
      <w:szCs w:val="20"/>
    </w:rPr>
  </w:style>
  <w:style w:type="character" w:customStyle="1" w:styleId="127">
    <w:name w:val="Body Text Indent 3 Char1"/>
    <w:basedOn w:val="40"/>
    <w:semiHidden/>
    <w:qFormat/>
    <w:locked/>
    <w:uiPriority w:val="99"/>
    <w:rPr>
      <w:rFonts w:cs="Times New Roman"/>
      <w:sz w:val="16"/>
      <w:szCs w:val="16"/>
    </w:rPr>
  </w:style>
  <w:style w:type="character" w:customStyle="1" w:styleId="128">
    <w:name w:val="文档结构图 字符"/>
    <w:basedOn w:val="40"/>
    <w:link w:val="9"/>
    <w:qFormat/>
    <w:uiPriority w:val="99"/>
    <w:rPr>
      <w:rFonts w:ascii="宋体" w:hAnsi="Calibri" w:eastAsia="宋体" w:cs="Times New Roman"/>
      <w:kern w:val="0"/>
      <w:sz w:val="18"/>
      <w:szCs w:val="20"/>
    </w:rPr>
  </w:style>
  <w:style w:type="character" w:customStyle="1" w:styleId="129">
    <w:name w:val="Document Map Char3"/>
    <w:basedOn w:val="40"/>
    <w:semiHidden/>
    <w:qFormat/>
    <w:locked/>
    <w:uiPriority w:val="99"/>
    <w:rPr>
      <w:rFonts w:ascii="Times New Roman" w:hAnsi="Times New Roman" w:cs="Times New Roman"/>
      <w:sz w:val="2"/>
    </w:rPr>
  </w:style>
  <w:style w:type="paragraph" w:customStyle="1" w:styleId="130">
    <w:name w:val="_Style 1"/>
    <w:basedOn w:val="1"/>
    <w:qFormat/>
    <w:uiPriority w:val="99"/>
    <w:pPr>
      <w:ind w:firstLine="420" w:firstLineChars="200"/>
    </w:pPr>
    <w:rPr>
      <w:rFonts w:ascii="Times New Roman" w:hAnsi="Times New Roman" w:eastAsia="宋体" w:cs="Times New Roman"/>
      <w:szCs w:val="24"/>
    </w:rPr>
  </w:style>
  <w:style w:type="character" w:customStyle="1" w:styleId="131">
    <w:name w:val="正文文本 字符"/>
    <w:basedOn w:val="40"/>
    <w:link w:val="12"/>
    <w:qFormat/>
    <w:uiPriority w:val="99"/>
    <w:rPr>
      <w:rFonts w:ascii="Calibri" w:hAnsi="Calibri" w:eastAsia="宋体" w:cs="Times New Roman"/>
      <w:kern w:val="0"/>
      <w:sz w:val="24"/>
      <w:szCs w:val="20"/>
    </w:rPr>
  </w:style>
  <w:style w:type="character" w:customStyle="1" w:styleId="132">
    <w:name w:val="Body Text Char1"/>
    <w:basedOn w:val="40"/>
    <w:semiHidden/>
    <w:qFormat/>
    <w:locked/>
    <w:uiPriority w:val="99"/>
    <w:rPr>
      <w:rFonts w:cs="Times New Roman"/>
    </w:rPr>
  </w:style>
  <w:style w:type="paragraph" w:customStyle="1" w:styleId="133">
    <w:name w:val="_Style 21"/>
    <w:basedOn w:val="1"/>
    <w:qFormat/>
    <w:uiPriority w:val="99"/>
    <w:rPr>
      <w:rFonts w:ascii="Times New Roman" w:hAnsi="Times New Roman" w:eastAsia="宋体" w:cs="Times New Roman"/>
      <w:szCs w:val="20"/>
    </w:rPr>
  </w:style>
  <w:style w:type="paragraph" w:customStyle="1" w:styleId="134">
    <w:name w:val="p0"/>
    <w:basedOn w:val="1"/>
    <w:qFormat/>
    <w:uiPriority w:val="99"/>
    <w:pPr>
      <w:widowControl/>
    </w:pPr>
    <w:rPr>
      <w:rFonts w:ascii="Times New Roman" w:hAnsi="Times New Roman" w:eastAsia="宋体" w:cs="Times New Roman"/>
      <w:kern w:val="0"/>
      <w:szCs w:val="21"/>
    </w:rPr>
  </w:style>
  <w:style w:type="paragraph" w:customStyle="1" w:styleId="135">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6">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7">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38">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39">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0">
    <w:name w:val="_Style 2"/>
    <w:basedOn w:val="1"/>
    <w:qFormat/>
    <w:uiPriority w:val="99"/>
    <w:pPr>
      <w:ind w:firstLine="420" w:firstLineChars="200"/>
    </w:pPr>
    <w:rPr>
      <w:rFonts w:ascii="Calibri" w:hAnsi="Calibri" w:eastAsia="宋体" w:cs="Times New Roman"/>
    </w:rPr>
  </w:style>
  <w:style w:type="paragraph" w:customStyle="1" w:styleId="141">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2">
    <w:name w:val="_Style 11"/>
    <w:basedOn w:val="1"/>
    <w:qFormat/>
    <w:uiPriority w:val="99"/>
    <w:rPr>
      <w:rFonts w:ascii="Times New Roman" w:hAnsi="Times New Roman" w:eastAsia="宋体" w:cs="Times New Roman"/>
      <w:szCs w:val="24"/>
    </w:rPr>
  </w:style>
  <w:style w:type="paragraph" w:customStyle="1" w:styleId="143">
    <w:name w:val="Char"/>
    <w:basedOn w:val="1"/>
    <w:qFormat/>
    <w:uiPriority w:val="99"/>
    <w:rPr>
      <w:rFonts w:ascii="Times New Roman" w:hAnsi="Times New Roman" w:eastAsia="宋体" w:cs="Times New Roman"/>
      <w:szCs w:val="21"/>
    </w:rPr>
  </w:style>
  <w:style w:type="paragraph" w:customStyle="1" w:styleId="144">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5">
    <w:name w:val="列出段落2"/>
    <w:basedOn w:val="1"/>
    <w:qFormat/>
    <w:uiPriority w:val="99"/>
    <w:pPr>
      <w:ind w:firstLine="420" w:firstLineChars="200"/>
    </w:pPr>
    <w:rPr>
      <w:rFonts w:ascii="Times New Roman" w:hAnsi="Times New Roman" w:eastAsia="宋体" w:cs="Times New Roman"/>
      <w:szCs w:val="24"/>
    </w:rPr>
  </w:style>
  <w:style w:type="paragraph" w:customStyle="1" w:styleId="146">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7">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48">
    <w:name w:val="font41"/>
    <w:qFormat/>
    <w:uiPriority w:val="99"/>
    <w:rPr>
      <w:rFonts w:hint="eastAsia" w:ascii="宋体" w:hAnsi="宋体" w:eastAsia="宋体" w:cs="宋体"/>
      <w:b/>
      <w:color w:val="000000"/>
      <w:sz w:val="22"/>
      <w:szCs w:val="22"/>
      <w:u w:val="none"/>
    </w:rPr>
  </w:style>
  <w:style w:type="character" w:customStyle="1" w:styleId="149">
    <w:name w:val="font81"/>
    <w:qFormat/>
    <w:uiPriority w:val="99"/>
    <w:rPr>
      <w:rFonts w:hint="eastAsia" w:ascii="宋体" w:hAnsi="宋体" w:eastAsia="宋体" w:cs="宋体"/>
      <w:b/>
      <w:color w:val="000000"/>
      <w:sz w:val="22"/>
      <w:szCs w:val="22"/>
      <w:u w:val="none"/>
    </w:rPr>
  </w:style>
  <w:style w:type="character" w:customStyle="1" w:styleId="150">
    <w:name w:val="font21"/>
    <w:qFormat/>
    <w:uiPriority w:val="0"/>
    <w:rPr>
      <w:rFonts w:hint="eastAsia" w:ascii="宋体" w:hAnsi="宋体" w:eastAsia="宋体" w:cs="宋体"/>
      <w:color w:val="000000"/>
      <w:sz w:val="18"/>
      <w:szCs w:val="18"/>
      <w:u w:val="none"/>
    </w:rPr>
  </w:style>
  <w:style w:type="character" w:customStyle="1" w:styleId="151">
    <w:name w:val="日期 字符"/>
    <w:link w:val="18"/>
    <w:qFormat/>
    <w:uiPriority w:val="0"/>
    <w:rPr>
      <w:szCs w:val="21"/>
    </w:rPr>
  </w:style>
  <w:style w:type="character" w:customStyle="1" w:styleId="152">
    <w:name w:val="font01"/>
    <w:qFormat/>
    <w:uiPriority w:val="99"/>
    <w:rPr>
      <w:rFonts w:hint="eastAsia" w:ascii="宋体" w:hAnsi="宋体" w:eastAsia="宋体" w:cs="宋体"/>
      <w:color w:val="000000"/>
      <w:sz w:val="22"/>
      <w:szCs w:val="22"/>
      <w:u w:val="none"/>
    </w:rPr>
  </w:style>
  <w:style w:type="character" w:customStyle="1" w:styleId="153">
    <w:name w:val="Char Char1"/>
    <w:qFormat/>
    <w:uiPriority w:val="0"/>
    <w:rPr>
      <w:rFonts w:eastAsia="宋体"/>
      <w:kern w:val="2"/>
      <w:sz w:val="18"/>
      <w:szCs w:val="18"/>
      <w:lang w:val="en-US" w:eastAsia="zh-CN" w:bidi="ar-SA"/>
    </w:rPr>
  </w:style>
  <w:style w:type="character" w:customStyle="1" w:styleId="154">
    <w:name w:val="标题 字符"/>
    <w:link w:val="34"/>
    <w:qFormat/>
    <w:uiPriority w:val="0"/>
    <w:rPr>
      <w:rFonts w:ascii="Cambria" w:hAnsi="Cambria" w:cs="Times New Roman"/>
      <w:b/>
      <w:bCs/>
      <w:sz w:val="32"/>
      <w:szCs w:val="32"/>
    </w:rPr>
  </w:style>
  <w:style w:type="character" w:customStyle="1" w:styleId="155">
    <w:name w:val="hei141"/>
    <w:qFormat/>
    <w:uiPriority w:val="0"/>
    <w:rPr>
      <w:rFonts w:hint="eastAsia" w:ascii="宋体" w:hAnsi="宋体" w:eastAsia="宋体"/>
      <w:color w:val="000000"/>
      <w:sz w:val="19"/>
      <w:szCs w:val="19"/>
      <w:u w:val="none"/>
    </w:rPr>
  </w:style>
  <w:style w:type="character" w:customStyle="1" w:styleId="156">
    <w:name w:val="批注文字 字符"/>
    <w:link w:val="11"/>
    <w:qFormat/>
    <w:uiPriority w:val="99"/>
  </w:style>
  <w:style w:type="character" w:customStyle="1" w:styleId="157">
    <w:name w:val="apple-style-span"/>
    <w:basedOn w:val="40"/>
    <w:qFormat/>
    <w:uiPriority w:val="0"/>
  </w:style>
  <w:style w:type="character" w:customStyle="1" w:styleId="158">
    <w:name w:val="param-value"/>
    <w:qFormat/>
    <w:uiPriority w:val="99"/>
    <w:rPr>
      <w:rFonts w:cs="Times New Roman"/>
    </w:rPr>
  </w:style>
  <w:style w:type="character" w:customStyle="1" w:styleId="159">
    <w:name w:val="font61"/>
    <w:qFormat/>
    <w:uiPriority w:val="0"/>
    <w:rPr>
      <w:rFonts w:hint="eastAsia" w:ascii="宋体" w:hAnsi="宋体" w:eastAsia="宋体" w:cs="宋体"/>
      <w:color w:val="000000"/>
      <w:sz w:val="22"/>
      <w:szCs w:val="22"/>
      <w:u w:val="none"/>
    </w:rPr>
  </w:style>
  <w:style w:type="character" w:customStyle="1" w:styleId="160">
    <w:name w:val="font11"/>
    <w:basedOn w:val="40"/>
    <w:qFormat/>
    <w:uiPriority w:val="0"/>
    <w:rPr>
      <w:rFonts w:hint="eastAsia" w:ascii="宋体" w:hAnsi="宋体" w:eastAsia="宋体" w:cs="宋体"/>
      <w:color w:val="FF0000"/>
      <w:sz w:val="22"/>
      <w:szCs w:val="22"/>
      <w:u w:val="none"/>
    </w:rPr>
  </w:style>
  <w:style w:type="character" w:customStyle="1" w:styleId="161">
    <w:name w:val="批注主题 字符"/>
    <w:link w:val="35"/>
    <w:qFormat/>
    <w:uiPriority w:val="99"/>
    <w:rPr>
      <w:b/>
      <w:bCs/>
    </w:rPr>
  </w:style>
  <w:style w:type="character" w:customStyle="1" w:styleId="162">
    <w:name w:val="批注文字 Char1"/>
    <w:basedOn w:val="40"/>
    <w:semiHidden/>
    <w:qFormat/>
    <w:uiPriority w:val="99"/>
  </w:style>
  <w:style w:type="paragraph" w:customStyle="1" w:styleId="163">
    <w:name w:val="内文"/>
    <w:basedOn w:val="1"/>
    <w:qFormat/>
    <w:uiPriority w:val="0"/>
    <w:pPr>
      <w:spacing w:line="500" w:lineRule="exact"/>
      <w:ind w:firstLine="560" w:firstLineChars="200"/>
    </w:pPr>
    <w:rPr>
      <w:rFonts w:ascii="Arial Unicode MS" w:hAnsi="宋体" w:eastAsia="Arial Unicode MS" w:cs="Times New Roman"/>
      <w:sz w:val="28"/>
      <w:szCs w:val="28"/>
    </w:rPr>
  </w:style>
  <w:style w:type="character" w:customStyle="1" w:styleId="164">
    <w:name w:val="批注主题 Char1"/>
    <w:basedOn w:val="162"/>
    <w:semiHidden/>
    <w:qFormat/>
    <w:uiPriority w:val="99"/>
    <w:rPr>
      <w:b/>
      <w:bCs/>
    </w:rPr>
  </w:style>
  <w:style w:type="paragraph" w:customStyle="1" w:styleId="165">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6">
    <w:name w:val="日期 Char1"/>
    <w:basedOn w:val="40"/>
    <w:semiHidden/>
    <w:qFormat/>
    <w:uiPriority w:val="99"/>
  </w:style>
  <w:style w:type="paragraph" w:customStyle="1" w:styleId="167">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脚注文本 字符"/>
    <w:basedOn w:val="40"/>
    <w:link w:val="25"/>
    <w:semiHidden/>
    <w:qFormat/>
    <w:uiPriority w:val="0"/>
    <w:rPr>
      <w:rFonts w:ascii="Times New Roman" w:hAnsi="Times New Roman" w:eastAsia="宋体" w:cs="Times New Roman"/>
      <w:sz w:val="18"/>
      <w:szCs w:val="18"/>
    </w:rPr>
  </w:style>
  <w:style w:type="paragraph" w:customStyle="1" w:styleId="169">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0">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标题 Char1"/>
    <w:basedOn w:val="40"/>
    <w:qFormat/>
    <w:uiPriority w:val="10"/>
    <w:rPr>
      <w:rFonts w:eastAsia="宋体" w:asciiTheme="majorHAnsi" w:hAnsiTheme="majorHAnsi" w:cstheme="majorBidi"/>
      <w:b/>
      <w:bCs/>
      <w:sz w:val="32"/>
      <w:szCs w:val="32"/>
    </w:rPr>
  </w:style>
  <w:style w:type="paragraph" w:customStyle="1" w:styleId="172">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3">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4">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5">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6">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7">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8">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0">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列出段落3"/>
    <w:basedOn w:val="1"/>
    <w:qFormat/>
    <w:uiPriority w:val="0"/>
    <w:pPr>
      <w:ind w:firstLine="420" w:firstLineChars="200"/>
    </w:pPr>
    <w:rPr>
      <w:rFonts w:ascii="Times New Roman" w:hAnsi="Times New Roman" w:eastAsia="宋体" w:cs="Times New Roman"/>
      <w:szCs w:val="24"/>
    </w:rPr>
  </w:style>
  <w:style w:type="character" w:customStyle="1" w:styleId="183">
    <w:name w:val="Char Char12"/>
    <w:qFormat/>
    <w:uiPriority w:val="0"/>
    <w:rPr>
      <w:rFonts w:eastAsia="宋体"/>
      <w:kern w:val="2"/>
      <w:sz w:val="18"/>
      <w:szCs w:val="18"/>
      <w:lang w:val="en-US" w:eastAsia="zh-CN" w:bidi="ar-SA"/>
    </w:rPr>
  </w:style>
  <w:style w:type="paragraph" w:customStyle="1" w:styleId="184">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5">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列出段落4"/>
    <w:basedOn w:val="1"/>
    <w:qFormat/>
    <w:uiPriority w:val="0"/>
    <w:pPr>
      <w:ind w:firstLine="420" w:firstLineChars="200"/>
    </w:pPr>
    <w:rPr>
      <w:rFonts w:ascii="Times New Roman" w:hAnsi="Times New Roman" w:eastAsia="宋体" w:cs="Times New Roman"/>
      <w:szCs w:val="24"/>
    </w:rPr>
  </w:style>
  <w:style w:type="character" w:customStyle="1" w:styleId="187">
    <w:name w:val="Char Char11"/>
    <w:qFormat/>
    <w:uiPriority w:val="0"/>
    <w:rPr>
      <w:rFonts w:eastAsia="宋体"/>
      <w:kern w:val="2"/>
      <w:sz w:val="18"/>
      <w:szCs w:val="18"/>
      <w:lang w:val="en-US" w:eastAsia="zh-CN" w:bidi="ar-SA"/>
    </w:rPr>
  </w:style>
  <w:style w:type="paragraph" w:customStyle="1" w:styleId="188">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9">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0">
    <w:name w:val="列出段落5"/>
    <w:basedOn w:val="1"/>
    <w:qFormat/>
    <w:uiPriority w:val="0"/>
    <w:pPr>
      <w:ind w:firstLine="420" w:firstLineChars="200"/>
    </w:pPr>
    <w:rPr>
      <w:rFonts w:ascii="Times New Roman" w:hAnsi="Times New Roman" w:eastAsia="宋体" w:cs="Times New Roman"/>
      <w:szCs w:val="24"/>
    </w:rPr>
  </w:style>
  <w:style w:type="character" w:customStyle="1" w:styleId="191">
    <w:name w:val="纯文本 字符"/>
    <w:link w:val="16"/>
    <w:qFormat/>
    <w:uiPriority w:val="0"/>
    <w:rPr>
      <w:rFonts w:ascii="宋体" w:hAnsi="Courier New" w:eastAsia="宋体"/>
      <w:szCs w:val="21"/>
    </w:rPr>
  </w:style>
  <w:style w:type="character" w:customStyle="1" w:styleId="192">
    <w:name w:val="纯文本 Char1"/>
    <w:basedOn w:val="40"/>
    <w:semiHidden/>
    <w:qFormat/>
    <w:uiPriority w:val="99"/>
    <w:rPr>
      <w:rFonts w:ascii="宋体" w:hAnsi="Courier New" w:eastAsia="宋体" w:cs="Courier New"/>
      <w:szCs w:val="21"/>
    </w:rPr>
  </w:style>
  <w:style w:type="paragraph" w:customStyle="1" w:styleId="193">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4">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5">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6">
    <w:name w:val="正文缩进2格"/>
    <w:basedOn w:val="1"/>
    <w:link w:val="197"/>
    <w:qFormat/>
    <w:uiPriority w:val="0"/>
    <w:pPr>
      <w:spacing w:line="600" w:lineRule="exact"/>
      <w:ind w:firstLine="639" w:firstLineChars="206"/>
    </w:pPr>
    <w:rPr>
      <w:rFonts w:ascii="仿宋_GB2312" w:hAnsi="宋体" w:eastAsia="仿宋_GB2312" w:cs="Times New Roman"/>
      <w:sz w:val="31"/>
      <w:szCs w:val="28"/>
    </w:rPr>
  </w:style>
  <w:style w:type="character" w:customStyle="1" w:styleId="197">
    <w:name w:val="正文缩进2格 Char"/>
    <w:link w:val="196"/>
    <w:qFormat/>
    <w:uiPriority w:val="0"/>
    <w:rPr>
      <w:rFonts w:ascii="仿宋_GB2312" w:hAnsi="宋体" w:eastAsia="仿宋_GB2312" w:cs="Times New Roman"/>
      <w:sz w:val="31"/>
      <w:szCs w:val="28"/>
    </w:rPr>
  </w:style>
  <w:style w:type="paragraph" w:customStyle="1" w:styleId="198">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199">
    <w:name w:val="List Paragraph"/>
    <w:basedOn w:val="1"/>
    <w:qFormat/>
    <w:uiPriority w:val="34"/>
    <w:pPr>
      <w:ind w:firstLine="420" w:firstLineChars="200"/>
    </w:pPr>
  </w:style>
  <w:style w:type="paragraph" w:customStyle="1" w:styleId="200">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1">
    <w:name w:val="正文文本首行缩进 字符"/>
    <w:basedOn w:val="131"/>
    <w:link w:val="36"/>
    <w:semiHidden/>
    <w:qFormat/>
    <w:uiPriority w:val="99"/>
    <w:rPr>
      <w:rFonts w:asciiTheme="minorHAnsi" w:hAnsiTheme="minorHAnsi" w:eastAsiaTheme="minorEastAsia" w:cstheme="minorBidi"/>
      <w:kern w:val="2"/>
      <w:sz w:val="21"/>
      <w:szCs w:val="22"/>
    </w:rPr>
  </w:style>
  <w:style w:type="paragraph" w:customStyle="1" w:styleId="202">
    <w:name w:val="Table Paragraph"/>
    <w:basedOn w:val="1"/>
    <w:qFormat/>
    <w:uiPriority w:val="1"/>
    <w:pPr>
      <w:autoSpaceDE w:val="0"/>
      <w:autoSpaceDN w:val="0"/>
      <w:jc w:val="left"/>
    </w:pPr>
    <w:rPr>
      <w:rFonts w:ascii="宋体" w:hAnsi="宋体" w:eastAsia="宋体" w:cs="宋体"/>
      <w:kern w:val="0"/>
      <w:sz w:val="22"/>
    </w:rPr>
  </w:style>
  <w:style w:type="paragraph" w:customStyle="1" w:styleId="203">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4">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5">
    <w:name w:val="font31"/>
    <w:basedOn w:val="40"/>
    <w:qFormat/>
    <w:uiPriority w:val="0"/>
    <w:rPr>
      <w:rFonts w:ascii="Calibri" w:hAnsi="Calibri" w:cs="Calibri"/>
      <w:color w:val="000000"/>
      <w:sz w:val="18"/>
      <w:szCs w:val="18"/>
      <w:u w:val="none"/>
    </w:rPr>
  </w:style>
  <w:style w:type="paragraph" w:customStyle="1" w:styleId="2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7">
    <w:name w:val="Table Normal"/>
    <w:unhideWhenUsed/>
    <w:qFormat/>
    <w:uiPriority w:val="0"/>
    <w:tblPr>
      <w:tblCellMar>
        <w:top w:w="0" w:type="dxa"/>
        <w:left w:w="0" w:type="dxa"/>
        <w:bottom w:w="0" w:type="dxa"/>
        <w:right w:w="0" w:type="dxa"/>
      </w:tblCellMar>
    </w:tblPr>
  </w:style>
  <w:style w:type="paragraph" w:customStyle="1" w:styleId="208">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09">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1">
    <w:name w:val="字元 字元"/>
    <w:basedOn w:val="1"/>
    <w:qFormat/>
    <w:uiPriority w:val="0"/>
    <w:rPr>
      <w:rFonts w:ascii="Tahoma" w:hAnsi="Tahoma"/>
      <w:sz w:val="24"/>
      <w:szCs w:val="20"/>
    </w:rPr>
  </w:style>
  <w:style w:type="paragraph" w:customStyle="1" w:styleId="212">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14">
    <w:name w:val="Table Text"/>
    <w:basedOn w:val="1"/>
    <w:semiHidden/>
    <w:qFormat/>
    <w:uiPriority w:val="0"/>
    <w:rPr>
      <w:rFonts w:ascii="宋体" w:hAnsi="宋体" w:eastAsia="宋体" w:cs="宋体"/>
      <w:sz w:val="24"/>
      <w:szCs w:val="24"/>
      <w:lang w:eastAsia="en-US"/>
    </w:rPr>
  </w:style>
  <w:style w:type="paragraph" w:customStyle="1" w:styleId="215">
    <w:name w:val="Normal_2"/>
    <w:qFormat/>
    <w:uiPriority w:val="0"/>
    <w:pPr>
      <w:widowControl w:val="0"/>
      <w:jc w:val="both"/>
    </w:pPr>
    <w:rPr>
      <w:rFonts w:ascii="Times New Roman" w:hAnsi="Times New Roman" w:eastAsia="宋体" w:cs="Times New Roman"/>
      <w:szCs w:val="24"/>
      <w:lang w:val="en-US" w:eastAsia="zh-CN" w:bidi="ar-SA"/>
    </w:rPr>
  </w:style>
  <w:style w:type="paragraph" w:customStyle="1" w:styleId="216">
    <w:name w:val="正文缩进2"/>
    <w:basedOn w:val="1"/>
    <w:autoRedefine/>
    <w:qFormat/>
    <w:uiPriority w:val="0"/>
    <w:pPr>
      <w:wordWrap w:val="0"/>
      <w:ind w:firstLine="480"/>
    </w:pPr>
    <w:rPr>
      <w:iCs/>
      <w:shd w:val="clear" w:color="auto" w:fill="FFFFFF" w:themeFill="background1"/>
      <w:lang w:val="zh-CN"/>
    </w:rPr>
  </w:style>
  <w:style w:type="paragraph" w:customStyle="1" w:styleId="217">
    <w:name w:val="正文1"/>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8">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19">
    <w:name w:val="列表段落1"/>
    <w:basedOn w:val="1"/>
    <w:qFormat/>
    <w:uiPriority w:val="34"/>
    <w:pPr>
      <w:adjustRightInd w:val="0"/>
      <w:spacing w:line="360" w:lineRule="auto"/>
      <w:ind w:firstLine="420" w:firstLineChars="200"/>
    </w:pPr>
    <w:rPr>
      <w:rFonts w:ascii="仿宋" w:hAnsi="仿宋" w:eastAsia="仿宋" w:cs="仿宋"/>
      <w:sz w:val="24"/>
      <w:szCs w:val="24"/>
      <w14:ligatures w14:val="standardContextual"/>
    </w:rPr>
  </w:style>
  <w:style w:type="paragraph" w:customStyle="1" w:styleId="220">
    <w:name w:val="表格正文"/>
    <w:qFormat/>
    <w:uiPriority w:val="0"/>
    <w:pPr>
      <w:widowControl w:val="0"/>
      <w:autoSpaceDE w:val="0"/>
      <w:autoSpaceDN w:val="0"/>
      <w:adjustRightInd w:val="0"/>
      <w:spacing w:line="360" w:lineRule="auto"/>
    </w:pPr>
    <w:rPr>
      <w:rFonts w:ascii="仿宋" w:hAnsi="仿宋" w:eastAsia="仿宋" w:cs="仿宋"/>
      <w:sz w:val="24"/>
      <w:szCs w:val="24"/>
      <w:lang w:val="en-US" w:eastAsia="zh-CN" w:bidi="ar-SA"/>
    </w:rPr>
  </w:style>
  <w:style w:type="character" w:customStyle="1" w:styleId="221">
    <w:name w:val="正文文本 字符1"/>
    <w:basedOn w:val="40"/>
    <w:qFormat/>
    <w:locked/>
    <w:uiPriority w:val="0"/>
    <w:rPr>
      <w:rFonts w:ascii="仿宋" w:hAnsi="仿宋" w:eastAsia="仿宋" w:cs="仿宋"/>
      <w:b/>
      <w:bCs/>
      <w:kern w:val="2"/>
      <w:sz w:val="24"/>
      <w:szCs w:val="24"/>
    </w:rPr>
  </w:style>
  <w:style w:type="paragraph" w:customStyle="1" w:styleId="222">
    <w:name w:val="修订4"/>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0C109-E789-406A-BDBA-9506EB43D9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84</Pages>
  <Words>10833</Words>
  <Characters>11852</Characters>
  <Lines>386</Lines>
  <Paragraphs>108</Paragraphs>
  <TotalTime>5</TotalTime>
  <ScaleCrop>false</ScaleCrop>
  <LinksUpToDate>false</LinksUpToDate>
  <CharactersWithSpaces>11958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2026-04-17T03:20:00Z</dcterms:created>
  <dc:creator>Administrator</dc:creator>
  <cp:lastModifiedBy>.</cp:lastModifiedBy>
  <cp:lastPrinted>2026-04-23T17:05:00Z</cp:lastPrinted>
  <dcterms:modified xsi:type="dcterms:W3CDTF">2026-07-20T10:53:05Z</dcterms:modified>
  <cp:revision>176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CBE6341AA40948CF9269C14B851179B0_13</vt:lpwstr>
  </property>
  <property fmtid="{D5CDD505-2E9C-101B-9397-08002B2CF9AE}" pid="4" name="KSOTemplateDocerSaveRecord">
    <vt:lpwstr>eyJoZGlkIjoiYzE5M2NlMWI0ZmI4MTMyOTFjNDg1ODY2YTdiMDE0NzAiLCJ1c2VySWQiOiIyMDc2NjcyMDcifQ==</vt:lpwstr>
  </property>
</Properties>
</file>