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9790D5A">
      <w:pPr>
        <w:jc w:val="left"/>
        <w:rPr>
          <w:rFonts w:hint="eastAsia" w:ascii="宋体" w:hAnsi="宋体" w:cs="宋体"/>
          <w:b/>
          <w:color w:val="000000" w:themeColor="text1"/>
          <w:sz w:val="48"/>
          <w:szCs w:val="4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drawing>
          <wp:inline distT="0" distB="0" distL="114300" distR="114300">
            <wp:extent cx="1499235" cy="1207135"/>
            <wp:effectExtent l="0" t="0" r="5715" b="12065"/>
            <wp:docPr id="3" name="图片 4" descr="图标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图标001jpg"/>
                    <pic:cNvPicPr>
                      <a:picLocks noChangeAspect="1"/>
                    </pic:cNvPicPr>
                  </pic:nvPicPr>
                  <pic:blipFill>
                    <a:blip r:embed="rId17"/>
                    <a:stretch>
                      <a:fillRect/>
                    </a:stretch>
                  </pic:blipFill>
                  <pic:spPr>
                    <a:xfrm>
                      <a:off x="0" y="0"/>
                      <a:ext cx="1499235" cy="1207135"/>
                    </a:xfrm>
                    <a:prstGeom prst="rect">
                      <a:avLst/>
                    </a:prstGeom>
                    <a:noFill/>
                    <a:ln>
                      <a:noFill/>
                    </a:ln>
                  </pic:spPr>
                </pic:pic>
              </a:graphicData>
            </a:graphic>
          </wp:inline>
        </w:drawing>
      </w:r>
    </w:p>
    <w:p w14:paraId="140217DB">
      <w:pPr>
        <w:jc w:val="center"/>
        <w:rPr>
          <w:rFonts w:hint="eastAsia" w:ascii="宋体" w:hAnsi="宋体" w:cs="宋体"/>
          <w:b/>
          <w:color w:val="000000" w:themeColor="text1"/>
          <w:sz w:val="48"/>
          <w:szCs w:val="48"/>
          <w:highlight w:val="none"/>
          <w14:textFill>
            <w14:solidFill>
              <w14:schemeClr w14:val="tx1"/>
            </w14:solidFill>
          </w14:textFill>
        </w:rPr>
      </w:pPr>
    </w:p>
    <w:p w14:paraId="2F59DE16">
      <w:pPr>
        <w:jc w:val="center"/>
        <w:rPr>
          <w:rFonts w:hint="eastAsia" w:ascii="宋体" w:hAnsi="宋体" w:cs="宋体"/>
          <w:b/>
          <w:color w:val="000000" w:themeColor="text1"/>
          <w:sz w:val="48"/>
          <w:szCs w:val="48"/>
          <w:highlight w:val="none"/>
          <w14:textFill>
            <w14:solidFill>
              <w14:schemeClr w14:val="tx1"/>
            </w14:solidFill>
          </w14:textFill>
        </w:rPr>
      </w:pPr>
      <w:r>
        <w:rPr>
          <w:rFonts w:hint="eastAsia" w:ascii="宋体" w:hAnsi="宋体" w:cs="宋体"/>
          <w:b/>
          <w:color w:val="000000" w:themeColor="text1"/>
          <w:sz w:val="48"/>
          <w:szCs w:val="48"/>
          <w:highlight w:val="none"/>
          <w14:textFill>
            <w14:solidFill>
              <w14:schemeClr w14:val="tx1"/>
            </w14:solidFill>
          </w14:textFill>
        </w:rPr>
        <w:t>新疆农业大学第四届全国大学生葡萄与葡萄酒科学文化节项目</w:t>
      </w:r>
    </w:p>
    <w:p w14:paraId="25A9CE4E">
      <w:pPr>
        <w:rPr>
          <w:rFonts w:hint="eastAsia" w:ascii="宋体" w:hAnsi="宋体" w:cs="宋体"/>
          <w:b/>
          <w:color w:val="000000" w:themeColor="text1"/>
          <w:sz w:val="72"/>
          <w:szCs w:val="72"/>
          <w:highlight w:val="none"/>
          <w14:textFill>
            <w14:solidFill>
              <w14:schemeClr w14:val="tx1"/>
            </w14:solidFill>
          </w14:textFill>
        </w:rPr>
      </w:pPr>
    </w:p>
    <w:p w14:paraId="7E5C57C8">
      <w:pPr>
        <w:rPr>
          <w:rFonts w:hint="eastAsia" w:ascii="宋体" w:hAnsi="宋体" w:cs="宋体"/>
          <w:b/>
          <w:color w:val="000000" w:themeColor="text1"/>
          <w:sz w:val="60"/>
          <w:szCs w:val="60"/>
          <w:highlight w:val="none"/>
          <w14:textFill>
            <w14:solidFill>
              <w14:schemeClr w14:val="tx1"/>
            </w14:solidFill>
          </w14:textFill>
        </w:rPr>
      </w:pPr>
    </w:p>
    <w:p w14:paraId="37A07E81">
      <w:pPr>
        <w:jc w:val="center"/>
        <w:rPr>
          <w:rFonts w:hint="eastAsia" w:ascii="宋体" w:hAnsi="宋体" w:cs="宋体"/>
          <w:b/>
          <w:color w:val="000000" w:themeColor="text1"/>
          <w:spacing w:val="14"/>
          <w:sz w:val="32"/>
          <w:szCs w:val="32"/>
          <w:highlight w:val="none"/>
          <w14:textFill>
            <w14:solidFill>
              <w14:schemeClr w14:val="tx1"/>
            </w14:solidFill>
          </w14:textFill>
        </w:rPr>
      </w:pPr>
      <w:r>
        <w:rPr>
          <w:rFonts w:hint="eastAsia" w:ascii="宋体" w:hAnsi="宋体" w:cs="宋体"/>
          <w:b/>
          <w:color w:val="000000" w:themeColor="text1"/>
          <w:sz w:val="56"/>
          <w:szCs w:val="72"/>
          <w:highlight w:val="none"/>
          <w14:textFill>
            <w14:solidFill>
              <w14:schemeClr w14:val="tx1"/>
            </w14:solidFill>
          </w14:textFill>
        </w:rPr>
        <w:t>公开招标文件</w:t>
      </w:r>
    </w:p>
    <w:p w14:paraId="2321F59B">
      <w:pPr>
        <w:pStyle w:val="46"/>
        <w:spacing w:line="440" w:lineRule="exact"/>
        <w:jc w:val="center"/>
        <w:rPr>
          <w:rFonts w:hint="eastAsia" w:ascii="宋体" w:hAnsi="宋体" w:cs="宋体"/>
          <w:b/>
          <w:color w:val="000000" w:themeColor="text1"/>
          <w:spacing w:val="14"/>
          <w:kern w:val="2"/>
          <w:sz w:val="32"/>
          <w:szCs w:val="32"/>
          <w:highlight w:val="none"/>
          <w14:textFill>
            <w14:solidFill>
              <w14:schemeClr w14:val="tx1"/>
            </w14:solidFill>
          </w14:textFill>
        </w:rPr>
      </w:pPr>
    </w:p>
    <w:p w14:paraId="68D7ED82">
      <w:pPr>
        <w:pStyle w:val="46"/>
        <w:spacing w:line="440" w:lineRule="exact"/>
        <w:jc w:val="center"/>
        <w:rPr>
          <w:rFonts w:hint="eastAsia" w:ascii="宋体" w:hAnsi="宋体" w:cs="宋体"/>
          <w:b/>
          <w:color w:val="000000" w:themeColor="text1"/>
          <w:spacing w:val="14"/>
          <w:kern w:val="2"/>
          <w:sz w:val="32"/>
          <w:szCs w:val="32"/>
          <w:highlight w:val="none"/>
          <w14:textFill>
            <w14:solidFill>
              <w14:schemeClr w14:val="tx1"/>
            </w14:solidFill>
          </w14:textFill>
        </w:rPr>
      </w:pPr>
    </w:p>
    <w:p w14:paraId="3EBF88E4">
      <w:pPr>
        <w:widowControl/>
        <w:shd w:val="clear" w:color="auto" w:fill="FFFFFF"/>
        <w:snapToGrid w:val="0"/>
        <w:spacing w:line="480" w:lineRule="auto"/>
        <w:ind w:firstLine="562" w:firstLineChars="200"/>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采购人（章）：</w:t>
      </w:r>
      <w:r>
        <w:rPr>
          <w:rFonts w:hint="eastAsia" w:ascii="宋体" w:hAnsi="宋体" w:cs="宋体"/>
          <w:b/>
          <w:color w:val="000000" w:themeColor="text1"/>
          <w:kern w:val="0"/>
          <w:sz w:val="28"/>
          <w:szCs w:val="28"/>
          <w:highlight w:val="none"/>
          <w14:textFill>
            <w14:solidFill>
              <w14:schemeClr w14:val="tx1"/>
            </w14:solidFill>
          </w14:textFill>
        </w:rPr>
        <w:t>新疆农业大学</w:t>
      </w:r>
    </w:p>
    <w:p w14:paraId="54F3658C">
      <w:pPr>
        <w:widowControl/>
        <w:shd w:val="clear" w:color="auto" w:fill="FFFFFF"/>
        <w:snapToGrid w:val="0"/>
        <w:spacing w:line="480" w:lineRule="auto"/>
        <w:ind w:firstLine="562" w:firstLineChars="200"/>
        <w:rPr>
          <w:rFonts w:hint="eastAsia"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 xml:space="preserve">法定代表人（章）： </w:t>
      </w:r>
    </w:p>
    <w:p w14:paraId="188B9A15">
      <w:pPr>
        <w:widowControl/>
        <w:shd w:val="clear" w:color="auto" w:fill="FFFFFF"/>
        <w:snapToGrid w:val="0"/>
        <w:spacing w:line="480" w:lineRule="auto"/>
        <w:ind w:firstLine="562" w:firstLineChars="200"/>
        <w:rPr>
          <w:rFonts w:hint="eastAsia"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联系人：高鹏</w:t>
      </w:r>
    </w:p>
    <w:p w14:paraId="3EA2D286">
      <w:pPr>
        <w:widowControl/>
        <w:shd w:val="clear" w:color="auto" w:fill="FFFFFF"/>
        <w:snapToGrid w:val="0"/>
        <w:spacing w:line="480" w:lineRule="auto"/>
        <w:ind w:firstLine="562" w:firstLineChars="200"/>
        <w:rPr>
          <w:rFonts w:hint="eastAsia"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电话：13999544448</w:t>
      </w:r>
    </w:p>
    <w:p w14:paraId="07732FAE">
      <w:pPr>
        <w:spacing w:line="700" w:lineRule="exact"/>
        <w:ind w:firstLine="472"/>
        <w:rPr>
          <w:rFonts w:hint="eastAsia"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采购代理：新疆守正项目管理咨询有限公司</w:t>
      </w:r>
    </w:p>
    <w:p w14:paraId="68F8E73F">
      <w:pPr>
        <w:spacing w:line="700" w:lineRule="exact"/>
        <w:ind w:firstLine="472"/>
        <w:rPr>
          <w:rFonts w:hint="eastAsia"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联 系 人：邱奕霏、郑龙、陈旭文</w:t>
      </w:r>
    </w:p>
    <w:p w14:paraId="2FCC4F34">
      <w:pPr>
        <w:spacing w:line="700" w:lineRule="exact"/>
        <w:ind w:firstLine="472"/>
        <w:rPr>
          <w:rFonts w:hint="eastAsia"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 xml:space="preserve">法定代表人（签字或盖章） ： </w:t>
      </w:r>
    </w:p>
    <w:p w14:paraId="4C074645">
      <w:pPr>
        <w:spacing w:line="700" w:lineRule="exact"/>
        <w:ind w:firstLine="472"/>
        <w:rPr>
          <w:rFonts w:hint="eastAsia"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电    话：18599788578/18599788582</w:t>
      </w:r>
    </w:p>
    <w:p w14:paraId="4E1FB0BD">
      <w:pPr>
        <w:autoSpaceDE w:val="0"/>
        <w:autoSpaceDN w:val="0"/>
        <w:adjustRightInd w:val="0"/>
        <w:spacing w:line="700" w:lineRule="exact"/>
        <w:ind w:firstLine="551" w:firstLineChars="196"/>
        <w:rPr>
          <w:rFonts w:hint="eastAsia"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联系地址：新疆乌鲁木齐高新区长春南路528号天康企业大厦3楼</w:t>
      </w:r>
    </w:p>
    <w:p w14:paraId="30CC1D2D">
      <w:pPr>
        <w:pStyle w:val="20"/>
        <w:jc w:val="both"/>
        <w:rPr>
          <w:rFonts w:hint="eastAsia" w:ascii="宋体" w:hAnsi="宋体" w:eastAsia="宋体" w:cs="宋体"/>
          <w:color w:val="000000" w:themeColor="text1"/>
          <w:highlight w:val="none"/>
          <w14:textFill>
            <w14:solidFill>
              <w14:schemeClr w14:val="tx1"/>
            </w14:solidFill>
          </w14:textFill>
        </w:rPr>
      </w:pPr>
    </w:p>
    <w:p w14:paraId="21880B03">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bookmarkStart w:id="0" w:name="_Toc92290550"/>
      <w:r>
        <w:rPr>
          <w:rFonts w:hint="eastAsia" w:ascii="宋体" w:hAnsi="宋体" w:cs="宋体"/>
          <w:color w:val="000000" w:themeColor="text1"/>
          <w:highlight w:val="none"/>
          <w14:textFill>
            <w14:solidFill>
              <w14:schemeClr w14:val="tx1"/>
            </w14:solidFill>
          </w14:textFill>
        </w:rPr>
        <w:br w:type="page"/>
      </w:r>
    </w:p>
    <w:p w14:paraId="7B1B2663">
      <w:pPr>
        <w:pStyle w:val="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目录</w:t>
      </w:r>
      <w:bookmarkEnd w:id="0"/>
    </w:p>
    <w:p w14:paraId="5B9C9BEC">
      <w:pPr>
        <w:pStyle w:val="22"/>
        <w:tabs>
          <w:tab w:val="right" w:leader="dot" w:pos="8789"/>
        </w:tabs>
        <w:spacing w:line="360" w:lineRule="auto"/>
        <w:ind w:right="420" w:rightChars="200"/>
        <w:rPr>
          <w:rFonts w:hint="eastAsia" w:ascii="宋体" w:hAnsi="宋体" w:cs="宋体"/>
          <w:color w:val="000000" w:themeColor="text1"/>
          <w:sz w:val="28"/>
          <w:szCs w:val="28"/>
          <w:highlight w:val="none"/>
          <w:u w:val="single"/>
          <w14:textFill>
            <w14:solidFill>
              <w14:schemeClr w14:val="tx1"/>
            </w14:solidFill>
          </w14:textFill>
        </w:rPr>
      </w:pPr>
    </w:p>
    <w:p w14:paraId="2216A599">
      <w:pPr>
        <w:pStyle w:val="20"/>
        <w:tabs>
          <w:tab w:val="right" w:leader="dot" w:pos="9746"/>
          <w:tab w:val="clear" w:pos="9628"/>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val="0"/>
          <w:color w:val="000000" w:themeColor="text1"/>
          <w:sz w:val="28"/>
          <w:szCs w:val="28"/>
          <w:highlight w:val="none"/>
          <w:u w:val="single"/>
          <w14:textFill>
            <w14:solidFill>
              <w14:schemeClr w14:val="tx1"/>
            </w14:solidFill>
          </w14:textFill>
        </w:rPr>
        <w:fldChar w:fldCharType="begin"/>
      </w:r>
      <w:r>
        <w:rPr>
          <w:rFonts w:hint="eastAsia" w:ascii="宋体" w:hAnsi="宋体" w:eastAsia="宋体" w:cs="宋体"/>
          <w:b w:val="0"/>
          <w:color w:val="000000" w:themeColor="text1"/>
          <w:sz w:val="28"/>
          <w:szCs w:val="28"/>
          <w:highlight w:val="none"/>
          <w:u w:val="single"/>
          <w14:textFill>
            <w14:solidFill>
              <w14:schemeClr w14:val="tx1"/>
            </w14:solidFill>
          </w14:textFill>
        </w:rPr>
        <w:instrText xml:space="preserve"> TOC \o "1-3" \h \z \u </w:instrText>
      </w:r>
      <w:r>
        <w:rPr>
          <w:rFonts w:hint="eastAsia" w:ascii="宋体" w:hAnsi="宋体" w:eastAsia="宋体" w:cs="宋体"/>
          <w:b w:val="0"/>
          <w:color w:val="000000" w:themeColor="text1"/>
          <w:sz w:val="28"/>
          <w:szCs w:val="28"/>
          <w:highlight w:val="none"/>
          <w:u w:val="single"/>
          <w14:textFill>
            <w14:solidFill>
              <w14:schemeClr w14:val="tx1"/>
            </w14:solidFill>
          </w14:textFill>
        </w:rPr>
        <w:fldChar w:fldCharType="separate"/>
      </w:r>
      <w:r>
        <w:rPr>
          <w:highlight w:val="none"/>
        </w:rPr>
        <w:fldChar w:fldCharType="begin"/>
      </w:r>
      <w:r>
        <w:rPr>
          <w:highlight w:val="none"/>
        </w:rPr>
        <w:instrText xml:space="preserve"> HYPERLINK \l "_Toc12828" </w:instrText>
      </w:r>
      <w:r>
        <w:rPr>
          <w:highlight w:val="none"/>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公开招标公告</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_Toc12828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59DB9188">
      <w:pPr>
        <w:pStyle w:val="20"/>
        <w:tabs>
          <w:tab w:val="right" w:leader="dot" w:pos="9746"/>
          <w:tab w:val="clear" w:pos="9628"/>
        </w:tabs>
        <w:rPr>
          <w:rFonts w:hint="eastAsia" w:ascii="宋体" w:hAnsi="宋体" w:eastAsia="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"_Toc28474" </w:instrText>
      </w:r>
      <w:r>
        <w:rPr>
          <w:highlight w:val="none"/>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第一部分 投标须知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_Toc28474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576AFC06">
      <w:pPr>
        <w:pStyle w:val="20"/>
        <w:tabs>
          <w:tab w:val="right" w:leader="dot" w:pos="9746"/>
          <w:tab w:val="clear" w:pos="9628"/>
        </w:tabs>
        <w:rPr>
          <w:rFonts w:hint="eastAsia" w:ascii="宋体" w:hAnsi="宋体" w:eastAsia="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"_Toc3402" </w:instrText>
      </w:r>
      <w:r>
        <w:rPr>
          <w:highlight w:val="none"/>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第二部分 招标说明</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_Toc3402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3E53686B">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"_Toc27276"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第一章 总则</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_Toc27276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9</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p>
    <w:p w14:paraId="20D99C7A">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"_Toc17762"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第二章 公开招标文件</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_Toc17762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11</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p>
    <w:p w14:paraId="5754B25C">
      <w:pPr>
        <w:pStyle w:val="20"/>
        <w:tabs>
          <w:tab w:val="right" w:leader="dot" w:pos="9746"/>
          <w:tab w:val="clear" w:pos="9628"/>
        </w:tabs>
        <w:rPr>
          <w:rFonts w:hint="eastAsia" w:ascii="宋体" w:hAnsi="宋体" w:eastAsia="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"_Toc21054" </w:instrText>
      </w:r>
      <w:r>
        <w:rPr>
          <w:highlight w:val="none"/>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第三部分 投标说明</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_Toc21054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12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674B5C8B">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"_Toc13313"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第一章 对投标供应商的资质要求</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_Toc13313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12</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p>
    <w:p w14:paraId="512A3AA1">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"_Toc5218"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第二章 投标文件的编写</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_Toc5218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12</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p>
    <w:p w14:paraId="5C180F2C">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"_Toc17974"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第三章 投标文件的递交</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_Toc17974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16</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p>
    <w:p w14:paraId="220AFF46">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"_Toc19458"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第四章 评标委员会</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_Toc19458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17</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p>
    <w:p w14:paraId="1AEFF6AD">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"_Toc27696"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第五章 开　标</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_Toc27696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18</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p>
    <w:p w14:paraId="02D700F3">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"_Toc11426" </w:instrText>
      </w:r>
      <w:r>
        <w:rPr>
          <w:highlight w:val="none"/>
        </w:rPr>
        <w:fldChar w:fldCharType="separate"/>
      </w:r>
      <w:r>
        <w:rPr>
          <w:rFonts w:hint="eastAsia" w:ascii="宋体" w:hAnsi="宋体" w:cs="宋体"/>
          <w:bCs/>
          <w:color w:val="000000" w:themeColor="text1"/>
          <w:sz w:val="28"/>
          <w:szCs w:val="28"/>
          <w:highlight w:val="none"/>
          <w14:textFill>
            <w14:solidFill>
              <w14:schemeClr w14:val="tx1"/>
            </w14:solidFill>
          </w14:textFill>
        </w:rPr>
        <w:t>第六章 评　标</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2</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u w:val="single"/>
          <w14:textFill>
            <w14:solidFill>
              <w14:schemeClr w14:val="tx1"/>
            </w14:solidFill>
          </w14:textFill>
        </w:rPr>
        <w:t>3</w:t>
      </w:r>
    </w:p>
    <w:p w14:paraId="0D4C234D">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"_Toc10059"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第七章 定　标</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_Toc10059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26</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p>
    <w:p w14:paraId="3CF2FD38">
      <w:pPr>
        <w:pStyle w:val="22"/>
        <w:tabs>
          <w:tab w:val="right" w:leader="dot" w:pos="9746"/>
          <w:tab w:val="clear" w:pos="9628"/>
        </w:tabs>
        <w:rPr>
          <w:rFonts w:hint="eastAsia"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"_Toc26243"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第八章 授予合同</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_Toc26243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27</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p>
    <w:p w14:paraId="50E91950">
      <w:pPr>
        <w:pStyle w:val="20"/>
        <w:tabs>
          <w:tab w:val="right" w:leader="dot" w:pos="9746"/>
          <w:tab w:val="clear" w:pos="9628"/>
        </w:tabs>
        <w:jc w:val="left"/>
        <w:rPr>
          <w:rFonts w:hint="eastAsia" w:ascii="宋体" w:hAnsi="宋体" w:eastAsia="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"_Toc12723" </w:instrText>
      </w:r>
      <w:r>
        <w:rPr>
          <w:highlight w:val="none"/>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第四部分 采购需求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_Toc12723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28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197CE3A9">
      <w:pPr>
        <w:pStyle w:val="20"/>
        <w:tabs>
          <w:tab w:val="right" w:leader="dot" w:pos="9746"/>
          <w:tab w:val="clear" w:pos="9628"/>
        </w:tabs>
        <w:jc w:val="left"/>
        <w:rPr>
          <w:rFonts w:hint="eastAsia" w:ascii="宋体" w:hAnsi="宋体" w:eastAsia="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"_Toc26316" </w:instrText>
      </w:r>
      <w:r>
        <w:rPr>
          <w:highlight w:val="none"/>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第五部分 合同部分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_Toc26316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33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67369CD0">
      <w:pPr>
        <w:pStyle w:val="20"/>
        <w:tabs>
          <w:tab w:val="right" w:leader="dot" w:pos="9746"/>
          <w:tab w:val="clear" w:pos="9628"/>
        </w:tabs>
        <w:rPr>
          <w:rFonts w:hint="eastAsia" w:ascii="宋体" w:hAnsi="宋体" w:eastAsia="宋体" w:cs="宋体"/>
          <w:color w:val="000000" w:themeColor="text1"/>
          <w:sz w:val="28"/>
          <w:szCs w:val="28"/>
          <w:highlight w:val="none"/>
          <w:u w:val="single"/>
          <w14:textFill>
            <w14:solidFill>
              <w14:schemeClr w14:val="tx1"/>
            </w14:solidFill>
          </w14:textFill>
        </w:rPr>
      </w:pPr>
      <w:r>
        <w:rPr>
          <w:highlight w:val="none"/>
        </w:rPr>
        <w:fldChar w:fldCharType="begin"/>
      </w:r>
      <w:r>
        <w:rPr>
          <w:highlight w:val="none"/>
        </w:rPr>
        <w:instrText xml:space="preserve"> HYPERLINK \l "_Toc18393" </w:instrText>
      </w:r>
      <w:r>
        <w:rPr>
          <w:highlight w:val="none"/>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第六部分 投标文件格式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_Toc18393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50</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352AD046">
      <w:pPr>
        <w:rPr>
          <w:rFonts w:hint="eastAsia"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br w:type="page"/>
      </w:r>
    </w:p>
    <w:p w14:paraId="4684D8CF">
      <w:pPr>
        <w:rPr>
          <w:rFonts w:hint="eastAsia" w:ascii="宋体" w:hAnsi="宋体" w:cs="宋体"/>
          <w:highlight w:val="none"/>
        </w:rPr>
      </w:pPr>
    </w:p>
    <w:p w14:paraId="717E4CB2">
      <w:pPr>
        <w:pStyle w:val="22"/>
        <w:tabs>
          <w:tab w:val="right" w:leader="dot" w:pos="8789"/>
          <w:tab w:val="clear" w:pos="9628"/>
        </w:tabs>
        <w:spacing w:line="360" w:lineRule="auto"/>
        <w:ind w:left="0" w:leftChars="0" w:right="420" w:right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fldChar w:fldCharType="end"/>
      </w:r>
    </w:p>
    <w:p w14:paraId="15513E28">
      <w:pPr>
        <w:pStyle w:val="22"/>
        <w:tabs>
          <w:tab w:val="right" w:leader="dot" w:pos="8789"/>
          <w:tab w:val="clear" w:pos="9628"/>
        </w:tabs>
        <w:spacing w:line="360" w:lineRule="auto"/>
        <w:ind w:left="0" w:leftChars="0" w:right="420" w:rightChars="200"/>
        <w:jc w:val="center"/>
        <w:rPr>
          <w:rFonts w:hint="eastAsia" w:ascii="宋体" w:hAnsi="宋体" w:cs="宋体"/>
          <w:b/>
          <w:color w:val="000000" w:themeColor="text1"/>
          <w:sz w:val="24"/>
          <w:highlight w:val="none"/>
          <w14:textFill>
            <w14:solidFill>
              <w14:schemeClr w14:val="tx1"/>
            </w14:solidFill>
          </w14:textFill>
        </w:rPr>
      </w:pPr>
    </w:p>
    <w:p w14:paraId="68CA30D0">
      <w:pPr>
        <w:rPr>
          <w:rFonts w:hint="eastAsia" w:ascii="宋体" w:hAnsi="宋体" w:cs="宋体"/>
          <w:color w:val="000000" w:themeColor="text1"/>
          <w:highlight w:val="none"/>
          <w14:textFill>
            <w14:solidFill>
              <w14:schemeClr w14:val="tx1"/>
            </w14:solidFill>
          </w14:textFill>
        </w:rPr>
      </w:pPr>
    </w:p>
    <w:p w14:paraId="2FBF82D1">
      <w:pPr>
        <w:rPr>
          <w:rFonts w:hint="eastAsia" w:ascii="宋体" w:hAnsi="宋体" w:cs="宋体"/>
          <w:color w:val="000000" w:themeColor="text1"/>
          <w:highlight w:val="none"/>
          <w14:textFill>
            <w14:solidFill>
              <w14:schemeClr w14:val="tx1"/>
            </w14:solidFill>
          </w14:textFill>
        </w:rPr>
      </w:pPr>
    </w:p>
    <w:p w14:paraId="610A4AF0">
      <w:pPr>
        <w:tabs>
          <w:tab w:val="left" w:pos="3373"/>
        </w:tabs>
        <w:jc w:val="left"/>
        <w:rPr>
          <w:rFonts w:hint="eastAsia" w:ascii="宋体" w:hAnsi="宋体" w:cs="宋体"/>
          <w:color w:val="000000" w:themeColor="text1"/>
          <w:highlight w:val="none"/>
          <w14:textFill>
            <w14:solidFill>
              <w14:schemeClr w14:val="tx1"/>
            </w14:solidFill>
          </w14:textFill>
        </w:rPr>
        <w:sectPr>
          <w:headerReference r:id="rId3" w:type="default"/>
          <w:footerReference r:id="rId4" w:type="default"/>
          <w:pgSz w:w="11906" w:h="16838"/>
          <w:pgMar w:top="1440" w:right="1080" w:bottom="1440" w:left="1080" w:header="0" w:footer="0" w:gutter="0"/>
          <w:pgNumType w:fmt="numberInDash" w:start="1"/>
          <w:cols w:space="720" w:num="1"/>
        </w:sectPr>
      </w:pPr>
      <w:r>
        <w:rPr>
          <w:rFonts w:hint="eastAsia" w:ascii="宋体" w:hAnsi="宋体" w:cs="宋体"/>
          <w:color w:val="000000" w:themeColor="text1"/>
          <w:highlight w:val="none"/>
          <w14:textFill>
            <w14:solidFill>
              <w14:schemeClr w14:val="tx1"/>
            </w14:solidFill>
          </w14:textFill>
        </w:rPr>
        <w:tab/>
      </w:r>
    </w:p>
    <w:p w14:paraId="62E9D02C">
      <w:pPr>
        <w:pStyle w:val="22"/>
        <w:tabs>
          <w:tab w:val="right" w:leader="dot" w:pos="8789"/>
          <w:tab w:val="clear" w:pos="9628"/>
        </w:tabs>
        <w:spacing w:line="360" w:lineRule="auto"/>
        <w:ind w:left="0" w:leftChars="0" w:right="420" w:rightChars="200"/>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新疆农业大学第四届全国大学生葡萄与葡萄酒科学文化节项目</w:t>
      </w:r>
    </w:p>
    <w:p w14:paraId="3EE412E8">
      <w:pPr>
        <w:jc w:val="center"/>
        <w:outlineLvl w:val="0"/>
        <w:rPr>
          <w:rFonts w:hint="eastAsia" w:ascii="宋体" w:hAnsi="宋体" w:cs="宋体"/>
          <w:b/>
          <w:color w:val="000000" w:themeColor="text1"/>
          <w:highlight w:val="none"/>
          <w14:textFill>
            <w14:solidFill>
              <w14:schemeClr w14:val="tx1"/>
            </w14:solidFill>
          </w14:textFill>
        </w:rPr>
      </w:pPr>
      <w:bookmarkStart w:id="1" w:name="_Toc12828"/>
      <w:r>
        <w:rPr>
          <w:rFonts w:hint="eastAsia" w:ascii="宋体" w:hAnsi="宋体" w:cs="宋体"/>
          <w:b/>
          <w:color w:val="000000" w:themeColor="text1"/>
          <w:sz w:val="24"/>
          <w:highlight w:val="none"/>
          <w14:textFill>
            <w14:solidFill>
              <w14:schemeClr w14:val="tx1"/>
            </w14:solidFill>
          </w14:textFill>
        </w:rPr>
        <w:t>公开招标公告</w:t>
      </w:r>
      <w:bookmarkEnd w:id="1"/>
    </w:p>
    <w:p w14:paraId="4EB62FD6">
      <w:pPr>
        <w:widowControl/>
        <w:spacing w:before="60" w:after="60" w:line="350" w:lineRule="exact"/>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项目概况</w:t>
      </w:r>
    </w:p>
    <w:p w14:paraId="3E56119D">
      <w:pPr>
        <w:widowControl/>
        <w:spacing w:before="60" w:after="60" w:line="350" w:lineRule="exact"/>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新疆农业大学第四届全国大学生葡萄与葡萄酒科学文化节项目的潜在投标供应商应在</w:t>
      </w:r>
      <w:r>
        <w:rPr>
          <w:rStyle w:val="152"/>
          <w:rFonts w:hint="eastAsia" w:ascii="宋体" w:hAnsi="宋体" w:cs="宋体"/>
          <w:color w:val="000000" w:themeColor="text1"/>
          <w:sz w:val="24"/>
          <w:szCs w:val="24"/>
          <w:highlight w:val="none"/>
          <w14:textFill>
            <w14:solidFill>
              <w14:schemeClr w14:val="tx1"/>
            </w14:solidFill>
          </w14:textFill>
        </w:rPr>
        <w:t>政采云平台http://www.zcygov.cn/获取公开招标文件</w:t>
      </w:r>
      <w:r>
        <w:rPr>
          <w:rFonts w:hint="eastAsia" w:ascii="宋体" w:hAnsi="宋体" w:cs="宋体"/>
          <w:color w:val="000000" w:themeColor="text1"/>
          <w:kern w:val="0"/>
          <w:sz w:val="24"/>
          <w:szCs w:val="24"/>
          <w:highlight w:val="none"/>
          <w14:textFill>
            <w14:solidFill>
              <w14:schemeClr w14:val="tx1"/>
            </w14:solidFill>
          </w14:textFill>
        </w:rPr>
        <w:t>，并于</w:t>
      </w:r>
      <w:r>
        <w:rPr>
          <w:rFonts w:hint="eastAsia" w:ascii="宋体" w:hAnsi="宋体" w:cs="宋体"/>
          <w:color w:val="000000" w:themeColor="text1"/>
          <w:kern w:val="0"/>
          <w:sz w:val="24"/>
          <w:szCs w:val="24"/>
          <w:highlight w:val="none"/>
          <w:lang w:eastAsia="zh-CN"/>
          <w14:textFill>
            <w14:solidFill>
              <w14:schemeClr w14:val="tx1"/>
            </w14:solidFill>
          </w14:textFill>
        </w:rPr>
        <w:t>2026年09月22日</w:t>
      </w:r>
      <w:r>
        <w:rPr>
          <w:rFonts w:hint="eastAsia" w:ascii="宋体" w:hAnsi="宋体" w:cs="宋体"/>
          <w:color w:val="000000" w:themeColor="text1"/>
          <w:kern w:val="0"/>
          <w:sz w:val="24"/>
          <w:szCs w:val="24"/>
          <w:highlight w:val="none"/>
          <w14:textFill>
            <w14:solidFill>
              <w14:schemeClr w14:val="tx1"/>
            </w14:solidFill>
          </w14:textFill>
        </w:rPr>
        <w:t xml:space="preserve"> 11:00（北京时间）前递交投标文件。</w:t>
      </w:r>
    </w:p>
    <w:p w14:paraId="06EE8AF5">
      <w:pPr>
        <w:widowControl/>
        <w:spacing w:before="204" w:after="204" w:line="350" w:lineRule="exac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一、项目基本情况</w:t>
      </w:r>
    </w:p>
    <w:p w14:paraId="08558118">
      <w:pPr>
        <w:widowControl/>
        <w:spacing w:before="60" w:after="60"/>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招标方式: 公开招标</w:t>
      </w:r>
    </w:p>
    <w:p w14:paraId="53463003">
      <w:pPr>
        <w:widowControl/>
        <w:spacing w:before="60" w:after="60"/>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项目编号：XJSZG2026-214</w:t>
      </w:r>
    </w:p>
    <w:p w14:paraId="46ACC911">
      <w:pPr>
        <w:widowControl/>
        <w:spacing w:before="60" w:after="60"/>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项目名称：新疆农业大学第四届全国大学生葡萄与葡萄酒科学文化节项目</w:t>
      </w:r>
    </w:p>
    <w:p w14:paraId="6DAA732E">
      <w:pPr>
        <w:widowControl/>
        <w:spacing w:before="60" w:after="60"/>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预算金额（元）：2720410.00元</w:t>
      </w:r>
    </w:p>
    <w:p w14:paraId="3F119C07">
      <w:pPr>
        <w:widowControl/>
        <w:spacing w:before="60" w:after="60"/>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最高限价（元）：2720410.00元</w:t>
      </w:r>
    </w:p>
    <w:p w14:paraId="219B9D2D">
      <w:pPr>
        <w:pStyle w:val="21"/>
        <w:spacing w:line="276" w:lineRule="auto"/>
        <w:ind w:left="60" w:firstLine="42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采购需求：</w:t>
      </w:r>
    </w:p>
    <w:p w14:paraId="69E978A6">
      <w:pPr>
        <w:pStyle w:val="21"/>
        <w:spacing w:line="276" w:lineRule="auto"/>
        <w:ind w:left="60" w:firstLine="420"/>
        <w:rPr>
          <w:rFonts w:hint="eastAsia" w:ascii="宋体" w:hAnsi="宋体" w:cs="宋体"/>
          <w:color w:val="000000" w:themeColor="text1"/>
          <w:kern w:val="0"/>
          <w:sz w:val="24"/>
          <w:szCs w:val="24"/>
          <w:highlight w:val="none"/>
          <w14:textFill>
            <w14:solidFill>
              <w14:schemeClr w14:val="tx1"/>
            </w14:solidFill>
          </w14:textFill>
        </w:rPr>
      </w:pPr>
    </w:p>
    <w:p w14:paraId="3CC66613">
      <w:pPr>
        <w:pStyle w:val="21"/>
        <w:spacing w:line="276" w:lineRule="auto"/>
        <w:ind w:left="60" w:firstLine="42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标项名称:新疆农业大学第四届全国大学生葡萄与葡萄酒科学文化节项目标项一</w:t>
      </w:r>
    </w:p>
    <w:p w14:paraId="2246C4B7">
      <w:pPr>
        <w:pStyle w:val="21"/>
        <w:spacing w:line="276" w:lineRule="auto"/>
        <w:ind w:left="60" w:firstLine="42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数量:一项</w:t>
      </w:r>
    </w:p>
    <w:p w14:paraId="0FF563D8">
      <w:pPr>
        <w:pStyle w:val="21"/>
        <w:spacing w:line="276" w:lineRule="auto"/>
        <w:ind w:left="60" w:firstLine="42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预算金额（元）: 2720410.00元</w:t>
      </w:r>
    </w:p>
    <w:p w14:paraId="54041442">
      <w:pPr>
        <w:pStyle w:val="21"/>
        <w:spacing w:line="276" w:lineRule="auto"/>
        <w:ind w:left="60" w:firstLine="42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简要规格描述或项目基本概况介绍、用途：挑选一家供应商组织本次文化节，邀请全国百余所高校、百余家生产企业及经销商代表齐聚新疆，开设11项主体活动，包括举办开幕式、产业破局发展论坛、“最受大学生欢迎的中国风土葡萄酒”品鉴大赛、高校通识教育研讨会、游园会暨新疆美食嘉年华、系列大学生创新创意大赛及闭幕式等，具体采购要求详见招标文件采购需求</w:t>
      </w:r>
      <w:r>
        <w:rPr>
          <w:rFonts w:hint="eastAsia" w:ascii="宋体" w:hAnsi="宋体" w:cs="宋体"/>
          <w:color w:val="000000" w:themeColor="text1"/>
          <w:kern w:val="0"/>
          <w:sz w:val="24"/>
          <w:szCs w:val="24"/>
          <w:highlight w:val="none"/>
          <w14:textFill>
            <w14:solidFill>
              <w14:schemeClr w14:val="tx1"/>
            </w14:solidFill>
          </w14:textFill>
        </w:rPr>
        <w:tab/>
      </w:r>
    </w:p>
    <w:p w14:paraId="3B8A0A0F">
      <w:pPr>
        <w:pStyle w:val="21"/>
        <w:spacing w:line="276" w:lineRule="auto"/>
        <w:ind w:left="60" w:firstLine="420"/>
        <w:rPr>
          <w:rFonts w:hint="eastAsia" w:ascii="宋体" w:hAnsi="宋体" w:cs="宋体"/>
          <w:color w:val="000000" w:themeColor="text1"/>
          <w:kern w:val="0"/>
          <w:sz w:val="24"/>
          <w:szCs w:val="24"/>
          <w:highlight w:val="none"/>
          <w14:textFill>
            <w14:solidFill>
              <w14:schemeClr w14:val="tx1"/>
            </w14:solidFill>
          </w14:textFill>
        </w:rPr>
      </w:pPr>
    </w:p>
    <w:p w14:paraId="39B0B25F">
      <w:pPr>
        <w:widowControl/>
        <w:spacing w:before="60" w:after="60"/>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合同履约期限：合同签订之日起至项目实施结束（具体起止日期以合同签订为准）</w:t>
      </w:r>
    </w:p>
    <w:p w14:paraId="4AB7C6F2">
      <w:pPr>
        <w:widowControl/>
        <w:spacing w:before="60" w:after="60"/>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本项目不接受联合体投标。</w:t>
      </w:r>
    </w:p>
    <w:p w14:paraId="075802FE">
      <w:pPr>
        <w:widowControl/>
        <w:spacing w:before="60" w:after="60" w:line="350" w:lineRule="exact"/>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二、申请人的资格要求：</w:t>
      </w:r>
    </w:p>
    <w:p w14:paraId="56776BEA">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1.满足《中华人民共和国政府采购法》第二十二条规定；</w:t>
      </w:r>
    </w:p>
    <w:p w14:paraId="3E73DF34">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落实政府采购政策需满足的资格要求：本项目预算金额中预留30%面向中小企业（其中60%面向小微企业）采购项目，该部分预留份额采取分包意向协议形式向中小企业进行分包，且分包意向协议合同金额需达到规定的比例。</w:t>
      </w:r>
    </w:p>
    <w:p w14:paraId="7E4696A4">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3.本项目的特定资格要求：无。</w:t>
      </w:r>
    </w:p>
    <w:p w14:paraId="750E2017">
      <w:pPr>
        <w:widowControl/>
        <w:spacing w:before="204" w:after="204" w:line="350" w:lineRule="exac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三、获取公开招标文件</w:t>
      </w:r>
    </w:p>
    <w:p w14:paraId="39F1FEC7">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时间：</w:t>
      </w:r>
      <w:r>
        <w:rPr>
          <w:rFonts w:hint="eastAsia" w:ascii="宋体" w:hAnsi="宋体" w:cs="宋体"/>
          <w:color w:val="000000" w:themeColor="text1"/>
          <w:kern w:val="0"/>
          <w:sz w:val="24"/>
          <w:szCs w:val="24"/>
          <w:highlight w:val="none"/>
          <w:lang w:eastAsia="zh-CN"/>
          <w14:textFill>
            <w14:solidFill>
              <w14:schemeClr w14:val="tx1"/>
            </w14:solidFill>
          </w14:textFill>
        </w:rPr>
        <w:t>2026年09月01日</w:t>
      </w:r>
      <w:r>
        <w:rPr>
          <w:rFonts w:hint="eastAsia" w:ascii="宋体" w:hAnsi="宋体" w:cs="宋体"/>
          <w:color w:val="000000" w:themeColor="text1"/>
          <w:kern w:val="0"/>
          <w:sz w:val="24"/>
          <w:szCs w:val="24"/>
          <w:highlight w:val="none"/>
          <w14:textFill>
            <w14:solidFill>
              <w14:schemeClr w14:val="tx1"/>
            </w14:solidFill>
          </w14:textFill>
        </w:rPr>
        <w:t>至</w:t>
      </w:r>
      <w:r>
        <w:rPr>
          <w:rFonts w:hint="eastAsia" w:ascii="宋体" w:hAnsi="宋体" w:cs="宋体"/>
          <w:color w:val="000000" w:themeColor="text1"/>
          <w:kern w:val="0"/>
          <w:sz w:val="24"/>
          <w:szCs w:val="24"/>
          <w:highlight w:val="none"/>
          <w:lang w:eastAsia="zh-CN"/>
          <w14:textFill>
            <w14:solidFill>
              <w14:schemeClr w14:val="tx1"/>
            </w14:solidFill>
          </w14:textFill>
        </w:rPr>
        <w:t>2026年09月08日</w:t>
      </w:r>
      <w:r>
        <w:rPr>
          <w:rFonts w:hint="eastAsia" w:ascii="宋体" w:hAnsi="宋体" w:cs="宋体"/>
          <w:color w:val="000000" w:themeColor="text1"/>
          <w:kern w:val="0"/>
          <w:sz w:val="24"/>
          <w:szCs w:val="24"/>
          <w:highlight w:val="none"/>
          <w14:textFill>
            <w14:solidFill>
              <w14:schemeClr w14:val="tx1"/>
            </w14:solidFill>
          </w14:textFill>
        </w:rPr>
        <w:t>（每日00：00-12：00，12：00-23：59（北京时间，法定节假日除外）</w:t>
      </w:r>
    </w:p>
    <w:p w14:paraId="13C7EBD7">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地点：</w:t>
      </w:r>
      <w:r>
        <w:rPr>
          <w:rStyle w:val="152"/>
          <w:rFonts w:hint="eastAsia" w:ascii="宋体" w:hAnsi="宋体" w:cs="宋体"/>
          <w:color w:val="000000" w:themeColor="text1"/>
          <w:sz w:val="24"/>
          <w:szCs w:val="24"/>
          <w:highlight w:val="none"/>
          <w14:textFill>
            <w14:solidFill>
              <w14:schemeClr w14:val="tx1"/>
            </w14:solidFill>
          </w14:textFill>
        </w:rPr>
        <w:t>政采云线上</w:t>
      </w:r>
    </w:p>
    <w:p w14:paraId="77AF5EE2">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w:t>
      </w:r>
    </w:p>
    <w:p w14:paraId="1DD804C1">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售价（元）：0</w:t>
      </w:r>
    </w:p>
    <w:p w14:paraId="033B3550">
      <w:pPr>
        <w:widowControl/>
        <w:spacing w:before="204" w:after="204" w:line="350" w:lineRule="exac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四、提交投标文件截止时间、开标时间和地点</w:t>
      </w:r>
    </w:p>
    <w:p w14:paraId="1178DF55">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提交投标文件截止时间：</w:t>
      </w:r>
      <w:r>
        <w:rPr>
          <w:rFonts w:hint="eastAsia" w:ascii="宋体" w:hAnsi="宋体" w:cs="宋体"/>
          <w:color w:val="000000" w:themeColor="text1"/>
          <w:kern w:val="0"/>
          <w:sz w:val="24"/>
          <w:szCs w:val="24"/>
          <w:highlight w:val="none"/>
          <w:lang w:eastAsia="zh-CN"/>
          <w14:textFill>
            <w14:solidFill>
              <w14:schemeClr w14:val="tx1"/>
            </w14:solidFill>
          </w14:textFill>
        </w:rPr>
        <w:t>2026年09月22日</w:t>
      </w:r>
      <w:r>
        <w:rPr>
          <w:rFonts w:hint="eastAsia" w:ascii="宋体" w:hAnsi="宋体" w:cs="宋体"/>
          <w:color w:val="000000" w:themeColor="text1"/>
          <w:kern w:val="0"/>
          <w:sz w:val="24"/>
          <w:szCs w:val="24"/>
          <w:highlight w:val="none"/>
          <w14:textFill>
            <w14:solidFill>
              <w14:schemeClr w14:val="tx1"/>
            </w14:solidFill>
          </w14:textFill>
        </w:rPr>
        <w:t xml:space="preserve"> 11:00（北京时间）</w:t>
      </w:r>
    </w:p>
    <w:p w14:paraId="651C8C3B">
      <w:pPr>
        <w:widowControl/>
        <w:spacing w:before="60" w:after="60" w:line="350" w:lineRule="exact"/>
        <w:ind w:firstLine="480"/>
        <w:jc w:val="left"/>
        <w:rPr>
          <w:rStyle w:val="152"/>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投标地点：新疆政府采购网政采云平台：https://www.zcygov.cn/ </w:t>
      </w:r>
    </w:p>
    <w:p w14:paraId="133CA7CD">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开标时间：</w:t>
      </w:r>
      <w:r>
        <w:rPr>
          <w:rFonts w:hint="eastAsia" w:ascii="宋体" w:hAnsi="宋体" w:cs="宋体"/>
          <w:color w:val="000000" w:themeColor="text1"/>
          <w:kern w:val="0"/>
          <w:sz w:val="24"/>
          <w:szCs w:val="24"/>
          <w:highlight w:val="none"/>
          <w:lang w:eastAsia="zh-CN"/>
          <w14:textFill>
            <w14:solidFill>
              <w14:schemeClr w14:val="tx1"/>
            </w14:solidFill>
          </w14:textFill>
        </w:rPr>
        <w:t>2026年09月22日</w:t>
      </w:r>
      <w:r>
        <w:rPr>
          <w:rFonts w:hint="eastAsia" w:ascii="宋体" w:hAnsi="宋体" w:cs="宋体"/>
          <w:color w:val="000000" w:themeColor="text1"/>
          <w:kern w:val="0"/>
          <w:sz w:val="24"/>
          <w:szCs w:val="24"/>
          <w:highlight w:val="none"/>
          <w14:textFill>
            <w14:solidFill>
              <w14:schemeClr w14:val="tx1"/>
            </w14:solidFill>
          </w14:textFill>
        </w:rPr>
        <w:t xml:space="preserve"> 11:00（北京时间）</w:t>
      </w:r>
    </w:p>
    <w:p w14:paraId="18FE1A53">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开标地点：新疆政府采购网政采云平台：https://www.zcygov.cn/ </w:t>
      </w:r>
    </w:p>
    <w:p w14:paraId="67449421">
      <w:pPr>
        <w:widowControl/>
        <w:spacing w:before="204" w:after="204" w:line="350" w:lineRule="exac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五、公告期限</w:t>
      </w:r>
    </w:p>
    <w:p w14:paraId="4CF395BF">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自本公告发布之日起5个工作日。</w:t>
      </w:r>
    </w:p>
    <w:p w14:paraId="37C49F79">
      <w:pPr>
        <w:widowControl/>
        <w:spacing w:before="204" w:after="204" w:line="350" w:lineRule="exact"/>
        <w:rPr>
          <w:rFonts w:hint="eastAsia"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六、其他补充事宜</w:t>
      </w:r>
    </w:p>
    <w:p w14:paraId="0D26ABB1">
      <w:pPr>
        <w:widowControl/>
        <w:spacing w:before="204" w:after="204" w:line="350" w:lineRule="exact"/>
        <w:ind w:firstLine="420" w:firstLineChars="175"/>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1、本项目实行网上投标，采用电子投标文件。</w:t>
      </w:r>
    </w:p>
    <w:p w14:paraId="1F956AC3">
      <w:pPr>
        <w:widowControl/>
        <w:spacing w:before="204" w:after="204" w:line="350" w:lineRule="exact"/>
        <w:ind w:firstLine="420" w:firstLineChars="175"/>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各供应商应在开标前确保成为正式注册入库供应商，并完成CA数字证书(符合国密标准)申领。因未注册入库、未办理CA数字证书等原因造成无法投标或投标失败等后果由供应商自行承担。如需咨询，请联系新疆CA服务热线4000921999。</w:t>
      </w:r>
    </w:p>
    <w:p w14:paraId="422D7CED">
      <w:pPr>
        <w:widowControl/>
        <w:spacing w:before="204" w:after="204" w:line="350" w:lineRule="exact"/>
        <w:ind w:firstLine="420" w:firstLineChars="175"/>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3、供应商将政采云电子交易客户端下载、安装完成后，可通过账号密码或CA登录客户端进行投标文件的制作。在使用政采云投标客户端时，建议使用WIN7及以上操作系统。</w:t>
      </w:r>
    </w:p>
    <w:p w14:paraId="661E71E1">
      <w:pPr>
        <w:widowControl/>
        <w:spacing w:before="204" w:after="204" w:line="350" w:lineRule="exac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七、对本次采购提出询问，请按以下方式联系</w:t>
      </w:r>
    </w:p>
    <w:p w14:paraId="3903A027">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1.采购人信息</w:t>
      </w:r>
    </w:p>
    <w:p w14:paraId="5B23C2B8">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名 称：新疆农业大学</w:t>
      </w:r>
    </w:p>
    <w:p w14:paraId="05F202C9">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地 址：新疆乌鲁木齐市沙依巴克区农大东路311号</w:t>
      </w:r>
    </w:p>
    <w:p w14:paraId="306188C0">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联系方式：13999544448</w:t>
      </w:r>
    </w:p>
    <w:p w14:paraId="28C7FC47">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2.采购代理机构信息</w:t>
      </w:r>
    </w:p>
    <w:p w14:paraId="1B25F10F">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名 称：新疆守正项目管理咨询有限公司</w:t>
      </w:r>
    </w:p>
    <w:p w14:paraId="199D87F2">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地 址：新疆乌鲁木齐高新区长春南路528号天康企业大厦3楼</w:t>
      </w:r>
    </w:p>
    <w:p w14:paraId="4B750AEE">
      <w:pPr>
        <w:widowControl/>
        <w:spacing w:before="60" w:after="60" w:line="350" w:lineRule="exact"/>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联系方式：邱奕霏、郑龙、陈旭文18599788578/18599788582</w:t>
      </w:r>
    </w:p>
    <w:p w14:paraId="64313941">
      <w:pPr>
        <w:widowControl/>
        <w:spacing w:before="60" w:after="60" w:line="350" w:lineRule="exact"/>
        <w:ind w:firstLine="482"/>
        <w:jc w:val="center"/>
        <w:outlineLvl w:val="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br w:type="page"/>
      </w:r>
      <w:bookmarkStart w:id="2" w:name="_Toc89792125"/>
      <w:bookmarkStart w:id="3" w:name="_Toc28474"/>
      <w:r>
        <w:rPr>
          <w:rFonts w:hint="eastAsia" w:ascii="宋体" w:hAnsi="宋体" w:cs="宋体"/>
          <w:b/>
          <w:color w:val="000000" w:themeColor="text1"/>
          <w:sz w:val="32"/>
          <w:szCs w:val="32"/>
          <w:highlight w:val="none"/>
          <w14:textFill>
            <w14:solidFill>
              <w14:schemeClr w14:val="tx1"/>
            </w14:solidFill>
          </w14:textFill>
        </w:rPr>
        <w:t>第一部</w:t>
      </w:r>
      <w:r>
        <w:rPr>
          <w:rFonts w:hint="eastAsia" w:ascii="宋体" w:hAnsi="宋体" w:cs="宋体"/>
          <w:b/>
          <w:color w:val="000000" w:themeColor="text1"/>
          <w:sz w:val="32"/>
          <w:highlight w:val="none"/>
          <w14:textFill>
            <w14:solidFill>
              <w14:schemeClr w14:val="tx1"/>
            </w14:solidFill>
          </w14:textFill>
        </w:rPr>
        <w:t>分</w:t>
      </w:r>
      <w:r>
        <w:rPr>
          <w:rFonts w:hint="eastAsia" w:ascii="宋体" w:hAnsi="宋体" w:cs="宋体"/>
          <w:b/>
          <w:color w:val="000000" w:themeColor="text1"/>
          <w:sz w:val="32"/>
          <w:szCs w:val="32"/>
          <w:highlight w:val="none"/>
          <w14:textFill>
            <w14:solidFill>
              <w14:schemeClr w14:val="tx1"/>
            </w14:solidFill>
          </w14:textFill>
        </w:rPr>
        <w:t xml:space="preserve"> 投标须知</w:t>
      </w:r>
      <w:bookmarkEnd w:id="2"/>
      <w:bookmarkEnd w:id="3"/>
    </w:p>
    <w:tbl>
      <w:tblPr>
        <w:tblStyle w:val="25"/>
        <w:tblW w:w="103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79"/>
        <w:gridCol w:w="2509"/>
        <w:gridCol w:w="6837"/>
      </w:tblGrid>
      <w:tr w14:paraId="67F26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979" w:type="dxa"/>
            <w:vAlign w:val="center"/>
          </w:tcPr>
          <w:p w14:paraId="4F6E68ED">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2509" w:type="dxa"/>
            <w:vAlign w:val="center"/>
          </w:tcPr>
          <w:p w14:paraId="59BC1EAB">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名称</w:t>
            </w:r>
          </w:p>
        </w:tc>
        <w:tc>
          <w:tcPr>
            <w:tcW w:w="6837" w:type="dxa"/>
            <w:vAlign w:val="center"/>
          </w:tcPr>
          <w:p w14:paraId="20F16668">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内容</w:t>
            </w:r>
          </w:p>
        </w:tc>
      </w:tr>
      <w:tr w14:paraId="20D8E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963159E">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w:t>
            </w:r>
          </w:p>
        </w:tc>
        <w:tc>
          <w:tcPr>
            <w:tcW w:w="2509" w:type="dxa"/>
            <w:vAlign w:val="center"/>
          </w:tcPr>
          <w:p w14:paraId="49413CD8">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项目编号</w:t>
            </w:r>
          </w:p>
        </w:tc>
        <w:tc>
          <w:tcPr>
            <w:tcW w:w="6837" w:type="dxa"/>
            <w:vAlign w:val="center"/>
          </w:tcPr>
          <w:p w14:paraId="66C7FA44">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XJSZG2026-214</w:t>
            </w:r>
          </w:p>
        </w:tc>
      </w:tr>
      <w:tr w14:paraId="7EDCF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D23D48E">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w:t>
            </w:r>
          </w:p>
        </w:tc>
        <w:tc>
          <w:tcPr>
            <w:tcW w:w="2509" w:type="dxa"/>
            <w:vAlign w:val="center"/>
          </w:tcPr>
          <w:p w14:paraId="229E0DF9">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项目名称</w:t>
            </w:r>
          </w:p>
        </w:tc>
        <w:tc>
          <w:tcPr>
            <w:tcW w:w="6837" w:type="dxa"/>
          </w:tcPr>
          <w:p w14:paraId="248AE0C0">
            <w:pPr>
              <w:spacing w:line="276" w:lineRule="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新疆农业大学第四届全国大学生葡萄与葡萄酒科学文化节项目</w:t>
            </w:r>
          </w:p>
        </w:tc>
      </w:tr>
      <w:tr w14:paraId="26724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D0A0F42">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w:t>
            </w:r>
          </w:p>
        </w:tc>
        <w:tc>
          <w:tcPr>
            <w:tcW w:w="2509" w:type="dxa"/>
            <w:vAlign w:val="center"/>
          </w:tcPr>
          <w:p w14:paraId="05F86545">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联系方式</w:t>
            </w:r>
          </w:p>
        </w:tc>
        <w:tc>
          <w:tcPr>
            <w:tcW w:w="6837" w:type="dxa"/>
            <w:vAlign w:val="center"/>
          </w:tcPr>
          <w:p w14:paraId="2551B925">
            <w:pPr>
              <w:widowControl/>
              <w:spacing w:before="60" w:after="60" w:line="350" w:lineRule="exact"/>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采购单位：</w:t>
            </w:r>
            <w:r>
              <w:rPr>
                <w:rFonts w:hint="eastAsia" w:ascii="宋体" w:hAnsi="宋体" w:cs="宋体"/>
                <w:color w:val="000000" w:themeColor="text1"/>
                <w:kern w:val="0"/>
                <w:sz w:val="24"/>
                <w:szCs w:val="24"/>
                <w:highlight w:val="none"/>
                <w14:textFill>
                  <w14:solidFill>
                    <w14:schemeClr w14:val="tx1"/>
                  </w14:solidFill>
                </w14:textFill>
              </w:rPr>
              <w:t>新疆农业大学</w:t>
            </w:r>
          </w:p>
          <w:p w14:paraId="4B38994E">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采购单位地址：新疆乌鲁木齐市沙依巴克区农大东路311号</w:t>
            </w:r>
          </w:p>
          <w:p w14:paraId="555E2F82">
            <w:pPr>
              <w:overflowPunct w:val="0"/>
              <w:spacing w:line="276" w:lineRule="auto"/>
              <w:rPr>
                <w:rFonts w:hint="eastAsia" w:ascii="宋体" w:hAnsi="宋体" w:cs="宋体"/>
                <w:color w:val="000000" w:themeColor="text1"/>
                <w:sz w:val="24"/>
                <w:highlight w:val="none"/>
                <w14:textFill>
                  <w14:solidFill>
                    <w14:schemeClr w14:val="tx1"/>
                  </w14:solidFill>
                </w14:textFill>
              </w:rPr>
            </w:pPr>
          </w:p>
          <w:p w14:paraId="195176D4">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采购代理机构：</w:t>
            </w:r>
            <w:r>
              <w:rPr>
                <w:rFonts w:hint="eastAsia" w:ascii="宋体" w:hAnsi="宋体" w:cs="宋体"/>
                <w:color w:val="000000" w:themeColor="text1"/>
                <w:kern w:val="0"/>
                <w:sz w:val="24"/>
                <w:szCs w:val="24"/>
                <w:highlight w:val="none"/>
                <w14:textFill>
                  <w14:solidFill>
                    <w14:schemeClr w14:val="tx1"/>
                  </w14:solidFill>
                </w14:textFill>
              </w:rPr>
              <w:t>新疆守正项目管理咨询有限公司</w:t>
            </w:r>
          </w:p>
          <w:p w14:paraId="65486C5E">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招标公司地址：</w:t>
            </w:r>
            <w:r>
              <w:rPr>
                <w:rFonts w:hint="eastAsia" w:ascii="宋体" w:hAnsi="宋体" w:cs="宋体"/>
                <w:color w:val="000000" w:themeColor="text1"/>
                <w:kern w:val="0"/>
                <w:sz w:val="24"/>
                <w:szCs w:val="24"/>
                <w:highlight w:val="none"/>
                <w14:textFill>
                  <w14:solidFill>
                    <w14:schemeClr w14:val="tx1"/>
                  </w14:solidFill>
                </w14:textFill>
              </w:rPr>
              <w:t>新疆乌鲁木齐高新区长春南路528号天康企业大厦3楼</w:t>
            </w:r>
          </w:p>
        </w:tc>
      </w:tr>
      <w:tr w14:paraId="1D20E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09CE43E1">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w:t>
            </w:r>
          </w:p>
        </w:tc>
        <w:tc>
          <w:tcPr>
            <w:tcW w:w="2509" w:type="dxa"/>
            <w:vAlign w:val="center"/>
          </w:tcPr>
          <w:p w14:paraId="490ED745">
            <w:pPr>
              <w:overflowPunct w:val="0"/>
              <w:spacing w:line="276" w:lineRule="auto"/>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采购内容</w:t>
            </w:r>
          </w:p>
        </w:tc>
        <w:tc>
          <w:tcPr>
            <w:tcW w:w="6837" w:type="dxa"/>
            <w:vAlign w:val="center"/>
          </w:tcPr>
          <w:p w14:paraId="5965454F">
            <w:pPr>
              <w:pStyle w:val="21"/>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挑选一家供应商组织本次文化节，邀请全国百余所高校、百余家生产企业及经销商代表齐聚新疆，开设11项主体活动，包括举办开幕式、产业破局发展论坛、“最受大学生欢迎的中国风土葡萄酒”品鉴大赛、高校通识教育研讨会、游园会暨新疆美食嘉年华、系列大学生创新创意大赛及闭幕式等，具体采购要求详见招标文件采购需求</w:t>
            </w:r>
          </w:p>
        </w:tc>
      </w:tr>
      <w:tr w14:paraId="206A9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14B07A8">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w:t>
            </w:r>
          </w:p>
        </w:tc>
        <w:tc>
          <w:tcPr>
            <w:tcW w:w="2509" w:type="dxa"/>
            <w:vAlign w:val="center"/>
          </w:tcPr>
          <w:p w14:paraId="0671654B">
            <w:pPr>
              <w:overflowPunct w:val="0"/>
              <w:spacing w:line="276" w:lineRule="auto"/>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预算金额</w:t>
            </w:r>
          </w:p>
        </w:tc>
        <w:tc>
          <w:tcPr>
            <w:tcW w:w="6837" w:type="dxa"/>
            <w:vAlign w:val="center"/>
          </w:tcPr>
          <w:p w14:paraId="474796A2">
            <w:pPr>
              <w:pStyle w:val="21"/>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2720410.00元</w:t>
            </w:r>
          </w:p>
        </w:tc>
      </w:tr>
      <w:tr w14:paraId="7F0FD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4C9E450">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w:t>
            </w:r>
          </w:p>
        </w:tc>
        <w:tc>
          <w:tcPr>
            <w:tcW w:w="2509" w:type="dxa"/>
            <w:vAlign w:val="center"/>
          </w:tcPr>
          <w:p w14:paraId="40488E34">
            <w:pPr>
              <w:overflowPunct w:val="0"/>
              <w:spacing w:line="276" w:lineRule="auto"/>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最高限价</w:t>
            </w:r>
          </w:p>
        </w:tc>
        <w:tc>
          <w:tcPr>
            <w:tcW w:w="6837" w:type="dxa"/>
            <w:vAlign w:val="center"/>
          </w:tcPr>
          <w:p w14:paraId="3A84431F">
            <w:pPr>
              <w:overflowPunct w:val="0"/>
              <w:spacing w:line="27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¥2720410.00元，</w:t>
            </w:r>
            <w:r>
              <w:rPr>
                <w:rFonts w:hint="eastAsia" w:ascii="宋体" w:hAnsi="宋体" w:cs="宋体"/>
                <w:b/>
                <w:color w:val="000000" w:themeColor="text1"/>
                <w:kern w:val="0"/>
                <w:sz w:val="24"/>
                <w:szCs w:val="24"/>
                <w:highlight w:val="none"/>
                <w14:textFill>
                  <w14:solidFill>
                    <w14:schemeClr w14:val="tx1"/>
                  </w14:solidFill>
                </w14:textFill>
              </w:rPr>
              <w:t>投标供应商投标报价不得高于项目最高限价，否则其投标将被否决。</w:t>
            </w:r>
          </w:p>
        </w:tc>
      </w:tr>
      <w:tr w14:paraId="22E53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1E560C74">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7</w:t>
            </w:r>
          </w:p>
        </w:tc>
        <w:tc>
          <w:tcPr>
            <w:tcW w:w="2509" w:type="dxa"/>
            <w:tcBorders>
              <w:bottom w:val="single" w:color="auto" w:sz="4" w:space="0"/>
              <w:right w:val="single" w:color="auto" w:sz="4" w:space="0"/>
            </w:tcBorders>
            <w:vAlign w:val="center"/>
          </w:tcPr>
          <w:p w14:paraId="66289009">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投标资格</w:t>
            </w:r>
          </w:p>
        </w:tc>
        <w:tc>
          <w:tcPr>
            <w:tcW w:w="6837" w:type="dxa"/>
            <w:tcBorders>
              <w:left w:val="single" w:color="auto" w:sz="4" w:space="0"/>
              <w:bottom w:val="single" w:color="auto" w:sz="4" w:space="0"/>
            </w:tcBorders>
            <w:vAlign w:val="center"/>
          </w:tcPr>
          <w:p w14:paraId="3D2A9791">
            <w:pPr>
              <w:widowControl/>
              <w:spacing w:line="276" w:lineRule="auto"/>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1.满足《中华人民共和国政府采购法》第二十二条规定；</w:t>
            </w:r>
          </w:p>
          <w:p w14:paraId="2605578A">
            <w:pPr>
              <w:widowControl/>
              <w:spacing w:line="276" w:lineRule="auto"/>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落实政府采购政策需满足的资格要求：本项目预算金额中预留30%面向中小企业（其中60%面向小微企业）采购项目，该部分预留份额采取分包意向协议形式向中小企业进行分包，且分包意向协议合同金额需达到规定的比例。</w:t>
            </w:r>
          </w:p>
          <w:p w14:paraId="35FC1603">
            <w:pPr>
              <w:widowControl/>
              <w:spacing w:line="276" w:lineRule="auto"/>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3.本项目的特定资格要求：无。</w:t>
            </w:r>
          </w:p>
        </w:tc>
      </w:tr>
      <w:tr w14:paraId="1299F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4DCF484B">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8</w:t>
            </w:r>
          </w:p>
        </w:tc>
        <w:tc>
          <w:tcPr>
            <w:tcW w:w="2509" w:type="dxa"/>
            <w:tcBorders>
              <w:bottom w:val="single" w:color="auto" w:sz="4" w:space="0"/>
              <w:right w:val="single" w:color="auto" w:sz="4" w:space="0"/>
            </w:tcBorders>
            <w:vAlign w:val="center"/>
          </w:tcPr>
          <w:p w14:paraId="24153F63">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现场踏勘</w:t>
            </w:r>
          </w:p>
        </w:tc>
        <w:tc>
          <w:tcPr>
            <w:tcW w:w="6837" w:type="dxa"/>
            <w:tcBorders>
              <w:left w:val="single" w:color="auto" w:sz="4" w:space="0"/>
              <w:bottom w:val="single" w:color="auto" w:sz="4" w:space="0"/>
            </w:tcBorders>
            <w:vAlign w:val="center"/>
          </w:tcPr>
          <w:p w14:paraId="5E2D8025">
            <w:pPr>
              <w:pStyle w:val="2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组织形式：不踏勘。</w:t>
            </w:r>
          </w:p>
        </w:tc>
      </w:tr>
      <w:tr w14:paraId="1B64D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3833E7D7">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9</w:t>
            </w:r>
          </w:p>
        </w:tc>
        <w:tc>
          <w:tcPr>
            <w:tcW w:w="2509" w:type="dxa"/>
            <w:tcBorders>
              <w:bottom w:val="single" w:color="auto" w:sz="4" w:space="0"/>
              <w:right w:val="single" w:color="auto" w:sz="4" w:space="0"/>
            </w:tcBorders>
            <w:vAlign w:val="center"/>
          </w:tcPr>
          <w:p w14:paraId="3A520723">
            <w:pPr>
              <w:pStyle w:val="39"/>
              <w:spacing w:line="276" w:lineRule="auto"/>
              <w:ind w:left="38"/>
              <w:jc w:val="center"/>
              <w:rPr>
                <w:rFonts w:hint="eastAsia"/>
                <w:b/>
                <w:color w:val="000000" w:themeColor="text1"/>
                <w:kern w:val="2"/>
                <w:highlight w:val="none"/>
                <w14:textFill>
                  <w14:solidFill>
                    <w14:schemeClr w14:val="tx1"/>
                  </w14:solidFill>
                </w14:textFill>
              </w:rPr>
            </w:pPr>
            <w:r>
              <w:rPr>
                <w:rFonts w:hint="eastAsia"/>
                <w:b/>
                <w:color w:val="000000" w:themeColor="text1"/>
                <w:kern w:val="2"/>
                <w:highlight w:val="none"/>
                <w14:textFill>
                  <w14:solidFill>
                    <w14:schemeClr w14:val="tx1"/>
                  </w14:solidFill>
                </w14:textFill>
              </w:rPr>
              <w:t>信用情况</w:t>
            </w:r>
          </w:p>
        </w:tc>
        <w:tc>
          <w:tcPr>
            <w:tcW w:w="6837" w:type="dxa"/>
            <w:tcBorders>
              <w:left w:val="single" w:color="auto" w:sz="4" w:space="0"/>
              <w:bottom w:val="single" w:color="auto" w:sz="4" w:space="0"/>
            </w:tcBorders>
            <w:vAlign w:val="center"/>
          </w:tcPr>
          <w:p w14:paraId="77E88FFF">
            <w:pPr>
              <w:widowControl/>
              <w:spacing w:line="276" w:lineRule="auto"/>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信用记录审查：</w:t>
            </w:r>
          </w:p>
          <w:p w14:paraId="2FE91203">
            <w:pPr>
              <w:widowControl/>
              <w:spacing w:line="276" w:lineRule="auto"/>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根据《财政部关于在政府采购活动中查询及使用信用记录有关问题的通知》（财库〔2016〕125号）规定，投标截止时间后，采购人或采购代理机构将通过“信用中国”网站(www.creditchina.gov.cn)</w:t>
            </w:r>
            <w:r>
              <w:rPr>
                <w:rFonts w:hint="eastAsia" w:ascii="宋体" w:hAnsi="宋体" w:cs="宋体"/>
                <w:color w:val="000000" w:themeColor="text1"/>
                <w:kern w:val="0"/>
                <w:sz w:val="24"/>
                <w:szCs w:val="24"/>
                <w:highlight w:val="none"/>
                <w14:textFill>
                  <w14:solidFill>
                    <w14:schemeClr w14:val="tx1"/>
                  </w14:solidFill>
                </w14:textFill>
              </w:rPr>
              <w:t xml:space="preserve"> 未被列入</w:t>
            </w:r>
            <w:r>
              <w:rPr>
                <w:rFonts w:hint="eastAsia" w:ascii="宋体" w:hAnsi="宋体" w:cs="宋体"/>
                <w:color w:val="000000" w:themeColor="text1"/>
                <w:sz w:val="24"/>
                <w:highlight w:val="none"/>
                <w14:textFill>
                  <w14:solidFill>
                    <w14:schemeClr w14:val="tx1"/>
                  </w14:solidFill>
                </w14:textFill>
              </w:rPr>
              <w:t>重大税收违法失信主体</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、“中国执行信息公开网”（http://zxgk.court.gov.cn/）未被列入失信被执行人、中国政府采购网(www.ccgp.gov.cn)</w:t>
            </w:r>
            <w:r>
              <w:rPr>
                <w:rFonts w:hint="eastAsia" w:ascii="宋体" w:hAnsi="宋体" w:cs="宋体"/>
                <w:color w:val="000000" w:themeColor="text1"/>
                <w:kern w:val="0"/>
                <w:sz w:val="24"/>
                <w:szCs w:val="24"/>
                <w:highlight w:val="none"/>
                <w14:textFill>
                  <w14:solidFill>
                    <w14:schemeClr w14:val="tx1"/>
                  </w14:solidFill>
                </w14:textFill>
              </w:rPr>
              <w:t xml:space="preserve"> 网站上未被列入政府采购严重违法失信行为记录名单</w:t>
            </w:r>
            <w:r>
              <w:rPr>
                <w:rFonts w:hint="eastAsia" w:ascii="宋体" w:hAnsi="宋体" w:cs="宋体"/>
                <w:color w:val="000000" w:themeColor="text1"/>
                <w:sz w:val="24"/>
                <w:highlight w:val="none"/>
                <w14:textFill>
                  <w14:solidFill>
                    <w14:schemeClr w14:val="tx1"/>
                  </w14:solidFill>
                </w14:textFill>
              </w:rPr>
              <w:t>，对投标供应商截止到投标截止时间的信用记录进行审查，对列入失信被执行人、重大税收违法失信主体、政府采购严重违法失信行为记录名单及其他不符合《中华人民共和国政府采购法》第二十二条规定条件的供应商，其投标将被拒绝。</w:t>
            </w:r>
          </w:p>
        </w:tc>
      </w:tr>
      <w:tr w14:paraId="11AD5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1" w:hRule="atLeast"/>
          <w:jc w:val="center"/>
        </w:trPr>
        <w:tc>
          <w:tcPr>
            <w:tcW w:w="979" w:type="dxa"/>
            <w:tcBorders>
              <w:top w:val="single" w:color="auto" w:sz="4" w:space="0"/>
            </w:tcBorders>
            <w:vAlign w:val="center"/>
          </w:tcPr>
          <w:p w14:paraId="06BE7853">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10</w:t>
            </w:r>
          </w:p>
        </w:tc>
        <w:tc>
          <w:tcPr>
            <w:tcW w:w="2509" w:type="dxa"/>
            <w:tcBorders>
              <w:top w:val="single" w:color="auto" w:sz="4" w:space="0"/>
            </w:tcBorders>
            <w:vAlign w:val="center"/>
          </w:tcPr>
          <w:p w14:paraId="541ACE36">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是否接受联合体投标</w:t>
            </w:r>
          </w:p>
        </w:tc>
        <w:tc>
          <w:tcPr>
            <w:tcW w:w="6837" w:type="dxa"/>
            <w:tcBorders>
              <w:top w:val="single" w:color="auto" w:sz="4" w:space="0"/>
            </w:tcBorders>
            <w:vAlign w:val="center"/>
          </w:tcPr>
          <w:p w14:paraId="2365C117">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不接受</w:t>
            </w:r>
          </w:p>
        </w:tc>
      </w:tr>
      <w:tr w14:paraId="50B7C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0E96008">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11</w:t>
            </w:r>
          </w:p>
        </w:tc>
        <w:tc>
          <w:tcPr>
            <w:tcW w:w="2509" w:type="dxa"/>
            <w:vAlign w:val="center"/>
          </w:tcPr>
          <w:p w14:paraId="5415E7A6">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公开招标文件发放日期</w:t>
            </w:r>
          </w:p>
        </w:tc>
        <w:tc>
          <w:tcPr>
            <w:tcW w:w="6837" w:type="dxa"/>
            <w:vAlign w:val="center"/>
          </w:tcPr>
          <w:p w14:paraId="6764B5DA">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时间：</w:t>
            </w:r>
            <w:r>
              <w:rPr>
                <w:rFonts w:hint="eastAsia" w:ascii="宋体" w:hAnsi="宋体" w:cs="宋体"/>
                <w:color w:val="000000" w:themeColor="text1"/>
                <w:kern w:val="0"/>
                <w:sz w:val="24"/>
                <w:szCs w:val="24"/>
                <w:highlight w:val="none"/>
                <w:lang w:eastAsia="zh-CN"/>
                <w14:textFill>
                  <w14:solidFill>
                    <w14:schemeClr w14:val="tx1"/>
                  </w14:solidFill>
                </w14:textFill>
              </w:rPr>
              <w:t>2026年09月01日</w:t>
            </w:r>
            <w:r>
              <w:rPr>
                <w:rFonts w:hint="eastAsia" w:ascii="宋体" w:hAnsi="宋体" w:cs="宋体"/>
                <w:color w:val="000000" w:themeColor="text1"/>
                <w:kern w:val="0"/>
                <w:sz w:val="24"/>
                <w:szCs w:val="24"/>
                <w:highlight w:val="none"/>
                <w14:textFill>
                  <w14:solidFill>
                    <w14:schemeClr w14:val="tx1"/>
                  </w14:solidFill>
                </w14:textFill>
              </w:rPr>
              <w:t>至</w:t>
            </w:r>
            <w:r>
              <w:rPr>
                <w:rFonts w:hint="eastAsia" w:ascii="宋体" w:hAnsi="宋体" w:cs="宋体"/>
                <w:color w:val="000000" w:themeColor="text1"/>
                <w:kern w:val="0"/>
                <w:sz w:val="24"/>
                <w:szCs w:val="24"/>
                <w:highlight w:val="none"/>
                <w:lang w:eastAsia="zh-CN"/>
                <w14:textFill>
                  <w14:solidFill>
                    <w14:schemeClr w14:val="tx1"/>
                  </w14:solidFill>
                </w14:textFill>
              </w:rPr>
              <w:t>2026年09月08日</w:t>
            </w:r>
            <w:r>
              <w:rPr>
                <w:rFonts w:hint="eastAsia" w:ascii="宋体" w:hAnsi="宋体" w:cs="宋体"/>
                <w:color w:val="000000" w:themeColor="text1"/>
                <w:sz w:val="24"/>
                <w:highlight w:val="none"/>
                <w14:textFill>
                  <w14:solidFill>
                    <w14:schemeClr w14:val="tx1"/>
                  </w14:solidFill>
                </w14:textFill>
              </w:rPr>
              <w:t>（每日00：00-12：00，12：00-23：59，北京时间，节假日除外)</w:t>
            </w:r>
          </w:p>
          <w:p w14:paraId="1DA15147">
            <w:pPr>
              <w:widowControl/>
              <w:spacing w:line="27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w:t>
            </w:r>
            <w:r>
              <w:rPr>
                <w:rFonts w:hint="eastAsia" w:ascii="宋体" w:hAnsi="宋体" w:cs="宋体"/>
                <w:color w:val="000000" w:themeColor="text1"/>
                <w:kern w:val="0"/>
                <w:sz w:val="24"/>
                <w:szCs w:val="24"/>
                <w:highlight w:val="none"/>
                <w14:textFill>
                  <w14:solidFill>
                    <w14:schemeClr w14:val="tx1"/>
                  </w14:solidFill>
                </w14:textFill>
              </w:rPr>
              <w:t>线上获取。供应商登录政采云平台https://www.zcygov.cn/在线申请获取公开招标文件（进入“项目采购”应用，在获取公开招标文件菜单中选择项目，申请获取公开招标文件）</w:t>
            </w:r>
          </w:p>
        </w:tc>
      </w:tr>
      <w:tr w14:paraId="0A219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79" w:type="dxa"/>
            <w:vAlign w:val="center"/>
          </w:tcPr>
          <w:p w14:paraId="35223A8A">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12</w:t>
            </w:r>
          </w:p>
        </w:tc>
        <w:tc>
          <w:tcPr>
            <w:tcW w:w="2509" w:type="dxa"/>
            <w:vAlign w:val="center"/>
          </w:tcPr>
          <w:p w14:paraId="7D2CA030">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标书售价</w:t>
            </w:r>
          </w:p>
        </w:tc>
        <w:tc>
          <w:tcPr>
            <w:tcW w:w="6837" w:type="dxa"/>
            <w:vAlign w:val="center"/>
          </w:tcPr>
          <w:p w14:paraId="340A4C65">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人民币0元/份</w:t>
            </w:r>
          </w:p>
        </w:tc>
      </w:tr>
      <w:tr w14:paraId="3552C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3" w:hRule="atLeast"/>
          <w:jc w:val="center"/>
        </w:trPr>
        <w:tc>
          <w:tcPr>
            <w:tcW w:w="979" w:type="dxa"/>
            <w:vAlign w:val="center"/>
          </w:tcPr>
          <w:p w14:paraId="4652A62A">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13</w:t>
            </w:r>
          </w:p>
        </w:tc>
        <w:tc>
          <w:tcPr>
            <w:tcW w:w="2509" w:type="dxa"/>
            <w:vAlign w:val="center"/>
          </w:tcPr>
          <w:p w14:paraId="6BBD6F7F">
            <w:pPr>
              <w:overflowPunct w:val="0"/>
              <w:spacing w:line="276" w:lineRule="auto"/>
              <w:ind w:left="241" w:hanging="241" w:hangingChars="100"/>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投标文件</w:t>
            </w:r>
          </w:p>
          <w:p w14:paraId="5D6B5DF6">
            <w:pPr>
              <w:overflowPunct w:val="0"/>
              <w:spacing w:line="276" w:lineRule="auto"/>
              <w:ind w:left="241" w:hanging="241" w:hangingChars="100"/>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递交截止时间及开标</w:t>
            </w:r>
          </w:p>
          <w:p w14:paraId="7B0085E6">
            <w:pPr>
              <w:overflowPunct w:val="0"/>
              <w:spacing w:line="276" w:lineRule="auto"/>
              <w:ind w:left="241" w:hanging="241" w:hangingChars="100"/>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时间</w:t>
            </w:r>
          </w:p>
        </w:tc>
        <w:tc>
          <w:tcPr>
            <w:tcW w:w="6837" w:type="dxa"/>
            <w:vAlign w:val="center"/>
          </w:tcPr>
          <w:p w14:paraId="5E1DB918">
            <w:pPr>
              <w:widowControl/>
              <w:spacing w:line="276" w:lineRule="auto"/>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2026年09月22日</w:t>
            </w:r>
            <w:r>
              <w:rPr>
                <w:rFonts w:hint="eastAsia" w:ascii="宋体" w:hAnsi="宋体" w:cs="宋体"/>
                <w:color w:val="000000" w:themeColor="text1"/>
                <w:sz w:val="24"/>
                <w:highlight w:val="none"/>
                <w14:textFill>
                  <w14:solidFill>
                    <w14:schemeClr w14:val="tx1"/>
                  </w14:solidFill>
                </w14:textFill>
              </w:rPr>
              <w:t xml:space="preserve"> 11:00（北京时间）</w:t>
            </w:r>
          </w:p>
        </w:tc>
      </w:tr>
      <w:tr w14:paraId="05FE5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979" w:type="dxa"/>
            <w:vAlign w:val="center"/>
          </w:tcPr>
          <w:p w14:paraId="43B5B3C9">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14</w:t>
            </w:r>
          </w:p>
        </w:tc>
        <w:tc>
          <w:tcPr>
            <w:tcW w:w="2509" w:type="dxa"/>
            <w:vAlign w:val="center"/>
          </w:tcPr>
          <w:p w14:paraId="2CBF10CB">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投标文件递交及开标地点</w:t>
            </w:r>
          </w:p>
        </w:tc>
        <w:tc>
          <w:tcPr>
            <w:tcW w:w="6837" w:type="dxa"/>
            <w:vAlign w:val="center"/>
          </w:tcPr>
          <w:p w14:paraId="38F40F5E">
            <w:pPr>
              <w:widowControl/>
              <w:spacing w:line="276" w:lineRule="auto"/>
              <w:jc w:val="left"/>
              <w:rPr>
                <w:rFonts w:hint="eastAsia" w:ascii="宋体" w:hAnsi="宋体" w:cs="宋体"/>
                <w:color w:val="000000" w:themeColor="text1"/>
                <w:kern w:val="0"/>
                <w:sz w:val="24"/>
                <w:szCs w:val="28"/>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新疆政府采购网政采云平台：https://www.zcygov.cn/</w:t>
            </w:r>
          </w:p>
        </w:tc>
      </w:tr>
      <w:tr w14:paraId="1FFA6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979" w:type="dxa"/>
            <w:tcBorders>
              <w:top w:val="single" w:color="auto" w:sz="4" w:space="0"/>
            </w:tcBorders>
            <w:vAlign w:val="center"/>
          </w:tcPr>
          <w:p w14:paraId="097EE8BA">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15</w:t>
            </w:r>
          </w:p>
        </w:tc>
        <w:tc>
          <w:tcPr>
            <w:tcW w:w="2509" w:type="dxa"/>
            <w:tcBorders>
              <w:top w:val="single" w:color="auto" w:sz="4" w:space="0"/>
            </w:tcBorders>
            <w:vAlign w:val="center"/>
          </w:tcPr>
          <w:p w14:paraId="64B2D6B3">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投标有效期</w:t>
            </w:r>
          </w:p>
        </w:tc>
        <w:tc>
          <w:tcPr>
            <w:tcW w:w="6837" w:type="dxa"/>
            <w:tcBorders>
              <w:top w:val="single" w:color="auto" w:sz="4" w:space="0"/>
            </w:tcBorders>
            <w:vAlign w:val="center"/>
          </w:tcPr>
          <w:p w14:paraId="3BE37488">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九十天</w:t>
            </w:r>
          </w:p>
        </w:tc>
      </w:tr>
      <w:tr w14:paraId="4DCCA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466B712">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16</w:t>
            </w:r>
          </w:p>
        </w:tc>
        <w:tc>
          <w:tcPr>
            <w:tcW w:w="2509" w:type="dxa"/>
            <w:tcBorders>
              <w:top w:val="single" w:color="auto" w:sz="4" w:space="0"/>
            </w:tcBorders>
            <w:vAlign w:val="center"/>
          </w:tcPr>
          <w:p w14:paraId="538A2C18">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服务周期</w:t>
            </w:r>
          </w:p>
        </w:tc>
        <w:tc>
          <w:tcPr>
            <w:tcW w:w="6837" w:type="dxa"/>
            <w:vAlign w:val="center"/>
          </w:tcPr>
          <w:p w14:paraId="76CA668A">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合同签订之日起至项目实施结束（具体起止日期以合同签订为准）</w:t>
            </w:r>
          </w:p>
        </w:tc>
      </w:tr>
      <w:tr w14:paraId="34B5A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EA7ABED">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17</w:t>
            </w:r>
          </w:p>
        </w:tc>
        <w:tc>
          <w:tcPr>
            <w:tcW w:w="2509" w:type="dxa"/>
            <w:vAlign w:val="center"/>
          </w:tcPr>
          <w:p w14:paraId="417B7691">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实施地点</w:t>
            </w:r>
          </w:p>
        </w:tc>
        <w:tc>
          <w:tcPr>
            <w:tcW w:w="6837" w:type="dxa"/>
            <w:vAlign w:val="center"/>
          </w:tcPr>
          <w:p w14:paraId="38807FDA">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新疆农业大学及乌鲁木齐市，最终按甲方指定地点验收、交货。</w:t>
            </w:r>
          </w:p>
        </w:tc>
      </w:tr>
      <w:tr w14:paraId="31316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8AB8B0E">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18</w:t>
            </w:r>
          </w:p>
        </w:tc>
        <w:tc>
          <w:tcPr>
            <w:tcW w:w="2509" w:type="dxa"/>
            <w:tcBorders>
              <w:bottom w:val="single" w:color="auto" w:sz="4" w:space="0"/>
            </w:tcBorders>
            <w:vAlign w:val="center"/>
          </w:tcPr>
          <w:p w14:paraId="28025C46">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评标方法</w:t>
            </w:r>
          </w:p>
        </w:tc>
        <w:tc>
          <w:tcPr>
            <w:tcW w:w="6837" w:type="dxa"/>
            <w:tcBorders>
              <w:bottom w:val="single" w:color="auto" w:sz="4" w:space="0"/>
            </w:tcBorders>
            <w:vAlign w:val="center"/>
          </w:tcPr>
          <w:p w14:paraId="7D9AA824">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综合评分法</w:t>
            </w:r>
          </w:p>
        </w:tc>
      </w:tr>
      <w:tr w14:paraId="1DD6E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79" w:type="dxa"/>
            <w:tcBorders>
              <w:bottom w:val="single" w:color="auto" w:sz="4" w:space="0"/>
            </w:tcBorders>
            <w:vAlign w:val="center"/>
          </w:tcPr>
          <w:p w14:paraId="506B12A1">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19</w:t>
            </w:r>
          </w:p>
        </w:tc>
        <w:tc>
          <w:tcPr>
            <w:tcW w:w="2509" w:type="dxa"/>
            <w:vAlign w:val="center"/>
          </w:tcPr>
          <w:p w14:paraId="36B68A8C">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投标保证金</w:t>
            </w:r>
          </w:p>
        </w:tc>
        <w:tc>
          <w:tcPr>
            <w:tcW w:w="6837" w:type="dxa"/>
            <w:vAlign w:val="center"/>
          </w:tcPr>
          <w:p w14:paraId="13EDF175">
            <w:pPr>
              <w:spacing w:line="276"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保证金金额：54000元（伍万肆仟元整）（人民币）</w:t>
            </w:r>
          </w:p>
          <w:p w14:paraId="2A54CBC1">
            <w:pPr>
              <w:rPr>
                <w:rFonts w:hint="eastAsia" w:ascii="宋体" w:hAnsi="宋体" w:cs="宋体"/>
                <w:sz w:val="24"/>
                <w:szCs w:val="24"/>
                <w:highlight w:val="none"/>
              </w:rPr>
            </w:pPr>
            <w:r>
              <w:rPr>
                <w:rFonts w:hint="eastAsia" w:ascii="宋体" w:hAnsi="宋体" w:cs="宋体"/>
                <w:sz w:val="24"/>
                <w:szCs w:val="24"/>
                <w:highlight w:val="none"/>
              </w:rPr>
              <w:t>保证金缴纳方式：本项目保证金供应商自主选择以银行转账（仅支持平台电子保证金）、保函等非现金形式缴纳。以上方式投标人仅需选择其中一种即可。具体缴纳方式如下：</w:t>
            </w:r>
          </w:p>
          <w:p w14:paraId="12197213">
            <w:pPr>
              <w:rPr>
                <w:rFonts w:hint="eastAsia" w:ascii="宋体" w:hAnsi="宋体" w:cs="宋体"/>
                <w:sz w:val="24"/>
                <w:szCs w:val="24"/>
                <w:highlight w:val="none"/>
              </w:rPr>
            </w:pPr>
            <w:r>
              <w:rPr>
                <w:rFonts w:hint="eastAsia" w:ascii="宋体" w:hAnsi="宋体" w:cs="宋体"/>
                <w:sz w:val="24"/>
                <w:szCs w:val="24"/>
                <w:highlight w:val="none"/>
              </w:rPr>
              <w:t>一、电子保证金：</w:t>
            </w:r>
          </w:p>
          <w:p w14:paraId="7539F6E6">
            <w:pPr>
              <w:rPr>
                <w:rFonts w:hint="eastAsia" w:ascii="宋体" w:hAnsi="宋体" w:cs="宋体"/>
                <w:sz w:val="24"/>
                <w:szCs w:val="24"/>
                <w:highlight w:val="none"/>
              </w:rPr>
            </w:pPr>
            <w:r>
              <w:rPr>
                <w:rFonts w:hint="eastAsia" w:ascii="宋体" w:hAnsi="宋体" w:cs="宋体"/>
                <w:sz w:val="24"/>
                <w:szCs w:val="24"/>
                <w:highlight w:val="none"/>
              </w:rPr>
              <w:t>按政采云平台系统自动生成的收款账号信息进行缴纳。具体操作在【保证金管理】页面，选择【电子保证金(在线获取账号)】，点击【新疆保证金平台】，自动从银行获取保证金的收款户名、收款账号、收款银行信息。供应商需将保证金转入获取到的收款账号。</w:t>
            </w:r>
          </w:p>
          <w:p w14:paraId="4BC1D801">
            <w:pPr>
              <w:rPr>
                <w:rFonts w:hint="eastAsia" w:ascii="宋体" w:hAnsi="宋体" w:cs="宋体"/>
                <w:sz w:val="24"/>
                <w:szCs w:val="24"/>
                <w:highlight w:val="none"/>
              </w:rPr>
            </w:pPr>
            <w:r>
              <w:rPr>
                <w:rFonts w:hint="eastAsia" w:ascii="宋体" w:hAnsi="宋体" w:cs="宋体"/>
                <w:sz w:val="24"/>
                <w:szCs w:val="24"/>
                <w:highlight w:val="none"/>
              </w:rPr>
              <w:t>二、保函（电子保函、纸质保函）</w:t>
            </w:r>
          </w:p>
          <w:p w14:paraId="66888157">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sz w:val="24"/>
                <w:szCs w:val="24"/>
                <w:highlight w:val="none"/>
              </w:rPr>
              <w:t>保函推荐使用政采云电子保函，投标人通过政采云平台金融服务页面点击电子保函→立即申请，具体操作详见以下网址：https://jinrong.zcygov.cn/luban/finance/letter/xinjiang?pageModelFlag=650000&amp;utm=luban.luban-PC-42055.959-pc-websitegroup-navBar-front.6.7e243ab01fd611eeaa409fcd72e2594c</w:t>
            </w:r>
          </w:p>
        </w:tc>
      </w:tr>
      <w:tr w14:paraId="6A0D4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813C85D">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20</w:t>
            </w:r>
          </w:p>
        </w:tc>
        <w:tc>
          <w:tcPr>
            <w:tcW w:w="2509" w:type="dxa"/>
            <w:vAlign w:val="center"/>
          </w:tcPr>
          <w:p w14:paraId="09FA6D5B">
            <w:pPr>
              <w:overflowPunct w:val="0"/>
              <w:spacing w:line="276" w:lineRule="auto"/>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投标文件份数</w:t>
            </w:r>
          </w:p>
        </w:tc>
        <w:tc>
          <w:tcPr>
            <w:tcW w:w="6837" w:type="dxa"/>
            <w:vAlign w:val="center"/>
          </w:tcPr>
          <w:p w14:paraId="6742002B">
            <w:pPr>
              <w:overflowPunct w:val="0"/>
              <w:spacing w:line="276" w:lineRule="auto"/>
              <w:rPr>
                <w:rFonts w:hint="eastAsia" w:ascii="宋体" w:hAnsi="宋体" w:cs="宋体"/>
                <w:color w:val="000000" w:themeColor="text1"/>
                <w:sz w:val="24"/>
                <w:szCs w:val="24"/>
                <w:highlight w:val="none"/>
                <w14:textFill>
                  <w14:solidFill>
                    <w14:schemeClr w14:val="tx1"/>
                  </w14:solidFill>
                </w14:textFill>
              </w:rPr>
            </w:pPr>
            <w:r>
              <w:rPr>
                <w:rStyle w:val="154"/>
                <w:rFonts w:hint="eastAsia" w:ascii="宋体" w:hAnsi="宋体" w:cs="宋体"/>
                <w:color w:val="000000" w:themeColor="text1"/>
                <w:sz w:val="24"/>
                <w:highlight w:val="none"/>
                <w14:textFill>
                  <w14:solidFill>
                    <w14:schemeClr w14:val="tx1"/>
                  </w14:solidFill>
                </w14:textFill>
              </w:rPr>
              <w:t>供应商可通过账号密码或CA登录政采云客户端进行投标文件的制作，本项目采用电子版投标文件。</w:t>
            </w:r>
          </w:p>
        </w:tc>
      </w:tr>
      <w:tr w14:paraId="2E0E5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BB8982C">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21</w:t>
            </w:r>
          </w:p>
        </w:tc>
        <w:tc>
          <w:tcPr>
            <w:tcW w:w="2509" w:type="dxa"/>
            <w:tcBorders>
              <w:top w:val="single" w:color="auto" w:sz="4" w:space="0"/>
              <w:bottom w:val="single" w:color="auto" w:sz="4" w:space="0"/>
            </w:tcBorders>
            <w:vAlign w:val="center"/>
          </w:tcPr>
          <w:p w14:paraId="13B27E4B">
            <w:pPr>
              <w:overflowPunct w:val="0"/>
              <w:spacing w:line="276" w:lineRule="auto"/>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签字或盖章要求</w:t>
            </w:r>
          </w:p>
        </w:tc>
        <w:tc>
          <w:tcPr>
            <w:tcW w:w="6837" w:type="dxa"/>
            <w:tcBorders>
              <w:top w:val="single" w:color="auto" w:sz="4" w:space="0"/>
              <w:bottom w:val="single" w:color="auto" w:sz="4" w:space="0"/>
            </w:tcBorders>
          </w:tcPr>
          <w:p w14:paraId="41A3C076">
            <w:pPr>
              <w:pStyle w:val="67"/>
              <w:snapToGrid w:val="0"/>
              <w:spacing w:line="360" w:lineRule="auto"/>
              <w:rPr>
                <w:rStyle w:val="154"/>
                <w:rFonts w:hint="eastAsia" w:ascii="宋体" w:hAnsi="宋体" w:cs="宋体"/>
                <w:color w:val="000000" w:themeColor="text1"/>
                <w:sz w:val="24"/>
                <w:highlight w:val="none"/>
                <w14:textFill>
                  <w14:solidFill>
                    <w14:schemeClr w14:val="tx1"/>
                  </w14:solidFill>
                </w14:textFill>
              </w:rPr>
            </w:pPr>
            <w:r>
              <w:rPr>
                <w:rStyle w:val="154"/>
                <w:rFonts w:hint="eastAsia" w:ascii="宋体" w:hAnsi="宋体" w:cs="宋体"/>
                <w:color w:val="000000" w:themeColor="text1"/>
                <w:sz w:val="24"/>
                <w:highlight w:val="none"/>
                <w14:textFill>
                  <w14:solidFill>
                    <w14:schemeClr w14:val="tx1"/>
                  </w14:solidFill>
                </w14:textFill>
              </w:rPr>
              <w:t>(1)投标文件格式文件要求盖单位章和（或）签字的地方，投标供应商均应使用CA数字证书加盖投标供应商的单位电子签章和（或）法定代表人的个人电子签名。</w:t>
            </w:r>
          </w:p>
          <w:p w14:paraId="421B5811">
            <w:pPr>
              <w:pStyle w:val="68"/>
              <w:snapToGrid w:val="0"/>
              <w:spacing w:line="360" w:lineRule="auto"/>
              <w:rPr>
                <w:rFonts w:hint="eastAsia" w:ascii="宋体" w:hAnsi="宋体" w:cs="宋体"/>
                <w:color w:val="000000" w:themeColor="text1"/>
                <w:szCs w:val="21"/>
                <w:highlight w:val="none"/>
                <w14:textFill>
                  <w14:solidFill>
                    <w14:schemeClr w14:val="tx1"/>
                  </w14:solidFill>
                </w14:textFill>
              </w:rPr>
            </w:pPr>
            <w:r>
              <w:rPr>
                <w:rStyle w:val="154"/>
                <w:rFonts w:hint="eastAsia" w:ascii="宋体" w:hAnsi="宋体" w:cs="宋体"/>
                <w:color w:val="000000" w:themeColor="text1"/>
                <w:sz w:val="24"/>
                <w:highlight w:val="none"/>
                <w14:textFill>
                  <w14:solidFill>
                    <w14:schemeClr w14:val="tx1"/>
                  </w14:solidFill>
                </w14:textFill>
              </w:rPr>
              <w:t>(2)本文件中要求提交网上查询的证明资料的，以及本款中未明确要求盖章或签字的，不需盖章或签字；</w:t>
            </w:r>
          </w:p>
        </w:tc>
      </w:tr>
      <w:tr w14:paraId="163D3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979" w:type="dxa"/>
            <w:tcBorders>
              <w:top w:val="single" w:color="auto" w:sz="4" w:space="0"/>
              <w:bottom w:val="single" w:color="auto" w:sz="4" w:space="0"/>
            </w:tcBorders>
            <w:vAlign w:val="center"/>
          </w:tcPr>
          <w:p w14:paraId="785C0F92">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22</w:t>
            </w:r>
          </w:p>
        </w:tc>
        <w:tc>
          <w:tcPr>
            <w:tcW w:w="2509" w:type="dxa"/>
            <w:tcBorders>
              <w:top w:val="single" w:color="auto" w:sz="4" w:space="0"/>
              <w:bottom w:val="single" w:color="auto" w:sz="4" w:space="0"/>
            </w:tcBorders>
            <w:vAlign w:val="center"/>
          </w:tcPr>
          <w:p w14:paraId="7ECE48B3">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付款方式及币种</w:t>
            </w:r>
          </w:p>
        </w:tc>
        <w:tc>
          <w:tcPr>
            <w:tcW w:w="6837" w:type="dxa"/>
            <w:tcBorders>
              <w:top w:val="single" w:color="auto" w:sz="4" w:space="0"/>
            </w:tcBorders>
            <w:vAlign w:val="center"/>
          </w:tcPr>
          <w:p w14:paraId="4AC7F430">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1、付款币种</w:t>
            </w:r>
          </w:p>
          <w:p w14:paraId="73EFA456">
            <w:pPr>
              <w:overflowPunct w:val="0"/>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本次招标所述的项目资金均以人民币支付。</w:t>
            </w:r>
          </w:p>
          <w:p w14:paraId="4B805B59">
            <w:pPr>
              <w:spacing w:line="276" w:lineRule="auto"/>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2、付款方式：以合同签订时约定为准。</w:t>
            </w:r>
          </w:p>
        </w:tc>
      </w:tr>
      <w:tr w14:paraId="2EB23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979" w:type="dxa"/>
            <w:tcBorders>
              <w:top w:val="single" w:color="auto" w:sz="4" w:space="0"/>
            </w:tcBorders>
            <w:vAlign w:val="center"/>
          </w:tcPr>
          <w:p w14:paraId="44CA6262">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23</w:t>
            </w:r>
          </w:p>
        </w:tc>
        <w:tc>
          <w:tcPr>
            <w:tcW w:w="2509" w:type="dxa"/>
            <w:tcBorders>
              <w:top w:val="single" w:color="auto" w:sz="4" w:space="0"/>
            </w:tcBorders>
            <w:vAlign w:val="center"/>
          </w:tcPr>
          <w:p w14:paraId="232D24CB">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投标费用</w:t>
            </w:r>
          </w:p>
        </w:tc>
        <w:tc>
          <w:tcPr>
            <w:tcW w:w="6837" w:type="dxa"/>
            <w:vAlign w:val="center"/>
          </w:tcPr>
          <w:p w14:paraId="15E93566">
            <w:pPr>
              <w:spacing w:line="276"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不论投标的结果如何，投标供应商均应自行承担所有与参加投标有关的全部费用。</w:t>
            </w:r>
          </w:p>
        </w:tc>
      </w:tr>
      <w:tr w14:paraId="5B296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073FD876">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24</w:t>
            </w:r>
          </w:p>
        </w:tc>
        <w:tc>
          <w:tcPr>
            <w:tcW w:w="2509" w:type="dxa"/>
            <w:vAlign w:val="center"/>
          </w:tcPr>
          <w:p w14:paraId="375FD998">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招标代理服务费</w:t>
            </w:r>
          </w:p>
        </w:tc>
        <w:tc>
          <w:tcPr>
            <w:tcW w:w="6837" w:type="dxa"/>
            <w:vAlign w:val="center"/>
          </w:tcPr>
          <w:p w14:paraId="732B74EE">
            <w:pPr>
              <w:tabs>
                <w:tab w:val="left" w:pos="5760"/>
              </w:tabs>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1、代理报酬的计算方法：</w:t>
            </w:r>
            <w:r>
              <w:rPr>
                <w:rFonts w:hint="eastAsia" w:ascii="宋体" w:hAnsi="宋体" w:cs="宋体"/>
                <w:color w:val="000000" w:themeColor="text1"/>
                <w:sz w:val="24"/>
                <w:highlight w:val="none"/>
                <w:u w:val="single"/>
                <w14:textFill>
                  <w14:solidFill>
                    <w14:schemeClr w14:val="tx1"/>
                  </w14:solidFill>
                </w14:textFill>
              </w:rPr>
              <w:t>参照原国家计委计价格【2002】1980号文和国家发改委发改办价格【2003】857号文的计算方法下浮30%收取。不足三千元按照三千元收取。</w:t>
            </w:r>
          </w:p>
          <w:p w14:paraId="6531D10F">
            <w:pPr>
              <w:tabs>
                <w:tab w:val="left" w:pos="5760"/>
              </w:tabs>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2、代理报酬支付方式：</w:t>
            </w:r>
            <w:r>
              <w:rPr>
                <w:rFonts w:hint="eastAsia" w:ascii="宋体" w:hAnsi="宋体" w:cs="宋体"/>
                <w:color w:val="000000" w:themeColor="text1"/>
                <w:sz w:val="24"/>
                <w:highlight w:val="none"/>
                <w:u w:val="single"/>
                <w14:textFill>
                  <w14:solidFill>
                    <w14:schemeClr w14:val="tx1"/>
                  </w14:solidFill>
                </w14:textFill>
              </w:rPr>
              <w:t>由中标人支付。</w:t>
            </w:r>
          </w:p>
          <w:p w14:paraId="432E1D5E">
            <w:pPr>
              <w:tabs>
                <w:tab w:val="left" w:pos="5760"/>
              </w:tabs>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3、代理报酬的支付时间：</w:t>
            </w:r>
            <w:r>
              <w:rPr>
                <w:rFonts w:hint="eastAsia" w:ascii="宋体" w:hAnsi="宋体" w:cs="宋体"/>
                <w:color w:val="000000" w:themeColor="text1"/>
                <w:sz w:val="24"/>
                <w:highlight w:val="none"/>
                <w:u w:val="single"/>
                <w14:textFill>
                  <w14:solidFill>
                    <w14:schemeClr w14:val="tx1"/>
                  </w14:solidFill>
                </w14:textFill>
              </w:rPr>
              <w:t>由中标人领取中标通知书前支付。</w:t>
            </w:r>
          </w:p>
        </w:tc>
      </w:tr>
      <w:tr w14:paraId="1C3B5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F89854C">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25</w:t>
            </w:r>
          </w:p>
        </w:tc>
        <w:tc>
          <w:tcPr>
            <w:tcW w:w="2509" w:type="dxa"/>
            <w:vAlign w:val="center"/>
          </w:tcPr>
          <w:p w14:paraId="39CBA980">
            <w:pPr>
              <w:overflowPunct w:val="0"/>
              <w:spacing w:line="276" w:lineRule="auto"/>
              <w:jc w:val="center"/>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bCs/>
                <w:sz w:val="24"/>
                <w:szCs w:val="24"/>
                <w:highlight w:val="none"/>
              </w:rPr>
              <w:t>政府采购异常低价</w:t>
            </w:r>
          </w:p>
        </w:tc>
        <w:tc>
          <w:tcPr>
            <w:tcW w:w="6837" w:type="dxa"/>
            <w:vAlign w:val="center"/>
          </w:tcPr>
          <w:p w14:paraId="553254C3">
            <w:pPr>
              <w:pStyle w:val="167"/>
              <w:spacing w:line="460" w:lineRule="exact"/>
              <w:rPr>
                <w:rFonts w:hint="eastAsia" w:cs="宋体"/>
                <w:snapToGrid w:val="0"/>
                <w:szCs w:val="24"/>
                <w:highlight w:val="none"/>
              </w:rPr>
            </w:pPr>
            <w:r>
              <w:rPr>
                <w:rFonts w:hint="eastAsia" w:cs="宋体"/>
                <w:snapToGrid w:val="0"/>
                <w:szCs w:val="24"/>
                <w:highlight w:val="none"/>
              </w:rPr>
              <w:t>关于政府采购异常低价问题：</w:t>
            </w:r>
          </w:p>
          <w:p w14:paraId="06EA9EB3">
            <w:pPr>
              <w:pStyle w:val="167"/>
              <w:spacing w:line="460" w:lineRule="exact"/>
              <w:ind w:firstLine="480" w:firstLineChars="200"/>
              <w:rPr>
                <w:rFonts w:hint="eastAsia" w:cs="宋体"/>
                <w:snapToGrid w:val="0"/>
                <w:szCs w:val="24"/>
                <w:highlight w:val="none"/>
              </w:rPr>
            </w:pPr>
            <w:r>
              <w:rPr>
                <w:rFonts w:hint="eastAsia" w:cs="宋体"/>
                <w:snapToGrid w:val="0"/>
                <w:szCs w:val="24"/>
                <w:highlight w:val="none"/>
              </w:rPr>
              <w:t>1.“恶意低价中标”指报价明显低于成本，且无法通过审查证明合理性的情形，一经认定，取消投标资格。</w:t>
            </w:r>
          </w:p>
          <w:p w14:paraId="71D6F50B">
            <w:pPr>
              <w:pStyle w:val="167"/>
              <w:spacing w:line="460" w:lineRule="exact"/>
              <w:ind w:firstLine="480" w:firstLineChars="200"/>
              <w:rPr>
                <w:rFonts w:hint="eastAsia" w:cs="宋体"/>
                <w:snapToGrid w:val="0"/>
                <w:szCs w:val="24"/>
                <w:highlight w:val="none"/>
              </w:rPr>
            </w:pPr>
            <w:r>
              <w:rPr>
                <w:rFonts w:hint="eastAsia" w:cs="宋体"/>
                <w:snapToGrid w:val="0"/>
                <w:szCs w:val="24"/>
                <w:highlight w:val="none"/>
              </w:rPr>
              <w:t>2.异常低价审查规则（依据《关于推动解决政府采购异常低价问题的通知》财库〔2026〕2号）：</w:t>
            </w:r>
          </w:p>
          <w:p w14:paraId="5E8393CA">
            <w:pPr>
              <w:pStyle w:val="167"/>
              <w:spacing w:line="460" w:lineRule="exact"/>
              <w:ind w:firstLine="480" w:firstLineChars="200"/>
              <w:rPr>
                <w:rFonts w:hint="eastAsia" w:cs="宋体"/>
                <w:snapToGrid w:val="0"/>
                <w:szCs w:val="24"/>
                <w:highlight w:val="none"/>
              </w:rPr>
            </w:pPr>
            <w:r>
              <w:rPr>
                <w:rFonts w:hint="eastAsia" w:cs="宋体"/>
                <w:snapToGrid w:val="0"/>
                <w:szCs w:val="24"/>
                <w:highlight w:val="none"/>
              </w:rPr>
              <w:t>①启动审查情形（满足任一即启动）：</w:t>
            </w:r>
          </w:p>
          <w:p w14:paraId="78C9A2B1">
            <w:pPr>
              <w:pStyle w:val="167"/>
              <w:spacing w:line="460" w:lineRule="exact"/>
              <w:rPr>
                <w:rFonts w:hint="eastAsia" w:cs="宋体"/>
                <w:snapToGrid w:val="0"/>
                <w:szCs w:val="24"/>
                <w:highlight w:val="none"/>
              </w:rPr>
            </w:pPr>
            <w:r>
              <w:rPr>
                <w:rFonts w:hint="eastAsia" w:cs="宋体"/>
                <w:snapToGrid w:val="0"/>
                <w:szCs w:val="24"/>
                <w:highlight w:val="none"/>
              </w:rPr>
              <w:t>报价＜全部通过符合性审查供应商报价平均值×50%；</w:t>
            </w:r>
          </w:p>
          <w:p w14:paraId="6A73593C">
            <w:pPr>
              <w:pStyle w:val="167"/>
              <w:spacing w:line="460" w:lineRule="exact"/>
              <w:rPr>
                <w:rFonts w:hint="eastAsia" w:cs="宋体"/>
                <w:snapToGrid w:val="0"/>
                <w:szCs w:val="24"/>
                <w:highlight w:val="none"/>
              </w:rPr>
            </w:pPr>
            <w:r>
              <w:rPr>
                <w:rFonts w:hint="eastAsia" w:cs="宋体"/>
                <w:snapToGrid w:val="0"/>
                <w:szCs w:val="24"/>
                <w:highlight w:val="none"/>
              </w:rPr>
              <w:t>报价＜通过符合性审查的次低报价 ×50%；</w:t>
            </w:r>
          </w:p>
          <w:p w14:paraId="6633333A">
            <w:pPr>
              <w:pStyle w:val="167"/>
              <w:spacing w:line="460" w:lineRule="exact"/>
              <w:rPr>
                <w:rFonts w:hint="eastAsia" w:cs="宋体"/>
                <w:snapToGrid w:val="0"/>
                <w:szCs w:val="24"/>
                <w:highlight w:val="none"/>
              </w:rPr>
            </w:pPr>
            <w:r>
              <w:rPr>
                <w:rFonts w:hint="eastAsia" w:cs="宋体"/>
                <w:snapToGrid w:val="0"/>
                <w:szCs w:val="24"/>
                <w:highlight w:val="none"/>
              </w:rPr>
              <w:t>报价＜本项目最高限价×45%；</w:t>
            </w:r>
          </w:p>
          <w:p w14:paraId="55412F81">
            <w:pPr>
              <w:pStyle w:val="167"/>
              <w:spacing w:line="460" w:lineRule="exact"/>
              <w:rPr>
                <w:rFonts w:hint="eastAsia" w:cs="宋体"/>
                <w:snapToGrid w:val="0"/>
                <w:szCs w:val="24"/>
                <w:highlight w:val="none"/>
              </w:rPr>
            </w:pPr>
            <w:r>
              <w:rPr>
                <w:rFonts w:hint="eastAsia" w:cs="宋体"/>
                <w:snapToGrid w:val="0"/>
                <w:szCs w:val="24"/>
                <w:highlight w:val="none"/>
              </w:rPr>
              <w:t>评审委员会基于专业判断，认为报价过低可能影响产品质量或诚信履约的；</w:t>
            </w:r>
          </w:p>
          <w:p w14:paraId="40C8563C">
            <w:pPr>
              <w:pStyle w:val="167"/>
              <w:spacing w:line="460" w:lineRule="exact"/>
              <w:ind w:firstLine="480" w:firstLineChars="200"/>
              <w:rPr>
                <w:rFonts w:hint="eastAsia" w:cs="宋体"/>
                <w:snapToGrid w:val="0"/>
                <w:szCs w:val="24"/>
                <w:highlight w:val="none"/>
              </w:rPr>
            </w:pPr>
            <w:r>
              <w:rPr>
                <w:rFonts w:hint="eastAsia" w:cs="宋体"/>
                <w:snapToGrid w:val="0"/>
                <w:szCs w:val="24"/>
                <w:highlight w:val="none"/>
              </w:rPr>
              <w:t>②审查流程：评审委员会启动审查后，通知相关供应商在 30 分钟内提交“成本测算说明（含原材料、人工、制造/运输费用等）+ 证明材料（如同类产品市场报价、成本清单等）”；专家参考“同类项目中标价、主要电商平台价格、行业平均成本”判断报价合理性；</w:t>
            </w:r>
          </w:p>
          <w:p w14:paraId="60A104A0">
            <w:pPr>
              <w:pStyle w:val="167"/>
              <w:spacing w:line="460" w:lineRule="exact"/>
              <w:ind w:firstLine="480" w:firstLineChars="200"/>
              <w:rPr>
                <w:rFonts w:hint="eastAsia" w:cs="宋体"/>
                <w:color w:val="000000" w:themeColor="text1"/>
                <w:kern w:val="0"/>
                <w:szCs w:val="24"/>
                <w:highlight w:val="none"/>
                <w14:textFill>
                  <w14:solidFill>
                    <w14:schemeClr w14:val="tx1"/>
                  </w14:solidFill>
                </w14:textFill>
              </w:rPr>
            </w:pPr>
            <w:r>
              <w:rPr>
                <w:rFonts w:hint="eastAsia" w:cs="宋体"/>
                <w:snapToGrid w:val="0"/>
                <w:szCs w:val="24"/>
                <w:highlight w:val="none"/>
              </w:rPr>
              <w:t>③结果处理：供应商未提供说明/材料，或材料无法证明报价合理性的，按“无效投标”处理；审查过程（启动原因、专家意见、供应商材料）需随评审报告归档，互联网查询记录需留存；</w:t>
            </w:r>
          </w:p>
        </w:tc>
      </w:tr>
      <w:tr w14:paraId="7CAB1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2C74FBAD">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26</w:t>
            </w:r>
          </w:p>
        </w:tc>
        <w:tc>
          <w:tcPr>
            <w:tcW w:w="2509" w:type="dxa"/>
            <w:vAlign w:val="center"/>
          </w:tcPr>
          <w:p w14:paraId="1EE7E1C2">
            <w:pPr>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政府采购政策支持</w:t>
            </w:r>
          </w:p>
        </w:tc>
        <w:tc>
          <w:tcPr>
            <w:tcW w:w="6837" w:type="dxa"/>
          </w:tcPr>
          <w:p w14:paraId="40CC9503">
            <w:pPr>
              <w:spacing w:line="27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小企业，是指在中华人民共和国境内依法设立，依据国务院批准的中小企业划分标准确定的中型企业、小型企业和微型企业，以上企业，不属于大企业的分支机构，不存在控股股东为大企业的情形，也不存在与大企业的负责人为同一人的情形。</w:t>
            </w:r>
          </w:p>
          <w:p w14:paraId="037D5D26">
            <w:pPr>
              <w:spacing w:line="27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在政府采购活动中，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7B6B3219">
            <w:pPr>
              <w:spacing w:line="27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3、在货物采购项目中，供应商提供的货物既有中小企业制造货物，也有大型企业制造货物的，不享受本办法规定的中小企业扶持政策；</w:t>
            </w:r>
          </w:p>
          <w:p w14:paraId="5A6DEB3B">
            <w:pPr>
              <w:spacing w:line="27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4、以联合体形式参加政府采购活动，联合体各方均为中小企业的，联合体视同中小企业。其中，联合体各方均为小微企业的，联合体视同小微企业；</w:t>
            </w:r>
          </w:p>
          <w:p w14:paraId="45E623E7">
            <w:pPr>
              <w:spacing w:line="27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5、供应商经享受扶持政策获得政府采购合同的，小微企业不得将合同分包给大中型企业，中型企业不得将合同分包给大型企业；</w:t>
            </w:r>
          </w:p>
          <w:p w14:paraId="28FC3D38">
            <w:pPr>
              <w:spacing w:line="276"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6、本项目中小企业扶持政策：要求获得采购合同的供应商将采购项目中的一定比例分包给一家或者多家中小企业。本项目预算金额中预留30%面向中小企业（其中60%面向小微企业）采购项目，该部分预留份额采取分包意向协议形式向中小企业进行分包，且分包意向协议合同金额需达到规定的比例。</w:t>
            </w:r>
          </w:p>
          <w:p w14:paraId="6FC56130">
            <w:pPr>
              <w:spacing w:line="27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7、根据“关于印发中小企业划型标准规定的通知（工信部联企业〔2011〕300号）”等有关规定，本项目标的所属行业为</w:t>
            </w:r>
            <w:r>
              <w:rPr>
                <w:rFonts w:hint="eastAsia" w:ascii="宋体" w:hAnsi="宋体" w:cs="宋体"/>
                <w:b/>
                <w:bCs/>
                <w:color w:val="000000" w:themeColor="text1"/>
                <w:sz w:val="24"/>
                <w:szCs w:val="24"/>
                <w:highlight w:val="none"/>
                <w14:textFill>
                  <w14:solidFill>
                    <w14:schemeClr w14:val="tx1"/>
                  </w14:solidFill>
                </w14:textFill>
              </w:rPr>
              <w:t>租赁和商务服务业</w:t>
            </w:r>
            <w:r>
              <w:rPr>
                <w:rFonts w:hint="eastAsia" w:ascii="宋体" w:hAnsi="宋体" w:cs="宋体"/>
                <w:color w:val="000000" w:themeColor="text1"/>
                <w:sz w:val="24"/>
                <w:szCs w:val="24"/>
                <w:highlight w:val="none"/>
                <w14:textFill>
                  <w14:solidFill>
                    <w14:schemeClr w14:val="tx1"/>
                  </w14:solidFill>
                </w14:textFill>
              </w:rPr>
              <w:t>。</w:t>
            </w:r>
          </w:p>
          <w:p w14:paraId="022E5219">
            <w:pPr>
              <w:spacing w:line="27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根据财政部、工业和信息化部关于印发《政府采购促进中小企业发展管理办法》的通知(财库(2020)46号)，投标供应商所投产品的制造商属于《工业和信息化部、国家统计局、国家发展和改革委员会、财政部关于印发中小企业划型标准规定的通知》（工信部联企业[2011]300号）中规定的中型、小型、微型企业标准的，按文件格式提供《中小企业声明函》。</w:t>
            </w:r>
          </w:p>
          <w:p w14:paraId="46102CAC">
            <w:pPr>
              <w:spacing w:line="27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根据财政部、司令部《关于政府采购支持监狱企业发展有关问题》的通知财库[2014]68号，监狱企业参加本项目投标时，应当提供由省级以上监狱管理局、戒毒管理局（新疆生产建设兵团）出具的属于监狱企业的证明文件。监狱企业视同中型、小型、微型企业。</w:t>
            </w:r>
          </w:p>
          <w:p w14:paraId="758EA70A">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根据财政部、民政部、中国残疾人联合会《关于促进残疾人就业政府采购政策的通知》（财库[2017]141号），在政府采购活动中，残疾人福利性单位视同中型、小型、微型企业。投标供应商属于残疾人福利性单位的，按照文件格式提供残疾人福利性单位声明函。</w:t>
            </w:r>
          </w:p>
        </w:tc>
      </w:tr>
      <w:tr w14:paraId="7A8C3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1" w:hRule="atLeast"/>
          <w:jc w:val="center"/>
        </w:trPr>
        <w:tc>
          <w:tcPr>
            <w:tcW w:w="979" w:type="dxa"/>
            <w:vAlign w:val="center"/>
          </w:tcPr>
          <w:p w14:paraId="49EB2FB4">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27</w:t>
            </w:r>
          </w:p>
        </w:tc>
        <w:tc>
          <w:tcPr>
            <w:tcW w:w="2509" w:type="dxa"/>
            <w:vAlign w:val="center"/>
          </w:tcPr>
          <w:p w14:paraId="5E91EAB9">
            <w:pPr>
              <w:pStyle w:val="39"/>
              <w:spacing w:line="276" w:lineRule="auto"/>
              <w:jc w:val="center"/>
              <w:rPr>
                <w:rFonts w:hint="eastAsia"/>
                <w:b/>
                <w:color w:val="000000" w:themeColor="text1"/>
                <w:highlight w:val="none"/>
                <w14:textFill>
                  <w14:solidFill>
                    <w14:schemeClr w14:val="tx1"/>
                  </w14:solidFill>
                </w14:textFill>
              </w:rPr>
            </w:pPr>
            <w:r>
              <w:rPr>
                <w:rFonts w:hint="eastAsia"/>
                <w:b/>
                <w:color w:val="000000" w:themeColor="text1"/>
                <w:kern w:val="2"/>
                <w:highlight w:val="none"/>
                <w14:textFill>
                  <w14:solidFill>
                    <w14:schemeClr w14:val="tx1"/>
                  </w14:solidFill>
                </w14:textFill>
              </w:rPr>
              <w:t>质疑须知</w:t>
            </w:r>
          </w:p>
        </w:tc>
        <w:tc>
          <w:tcPr>
            <w:tcW w:w="6837" w:type="dxa"/>
            <w:vAlign w:val="center"/>
          </w:tcPr>
          <w:p w14:paraId="1EE6AF59">
            <w:pPr>
              <w:pStyle w:val="39"/>
              <w:spacing w:line="276" w:lineRule="auto"/>
              <w:jc w:val="both"/>
              <w:rPr>
                <w:rFonts w:hint="eastAsia"/>
                <w:kern w:val="2"/>
                <w:highlight w:val="none"/>
              </w:rPr>
            </w:pPr>
            <w:r>
              <w:rPr>
                <w:rFonts w:hint="eastAsia"/>
                <w:kern w:val="2"/>
                <w:highlight w:val="none"/>
              </w:rPr>
              <w:t>递交方式：现场递交纸质版质疑函（加盖供应商单位公章）及Word格式电子版质疑文件至采购代理机构，如法定代表人前来递交需携带法定代表人身份证明及法定代表人身份证原件，如‌委托人（被授权人）前来递交需携带法定代表人授权委托书及委托人（被授权人）身份证原件。</w:t>
            </w:r>
          </w:p>
          <w:p w14:paraId="12E1B1A4">
            <w:pPr>
              <w:pStyle w:val="39"/>
              <w:spacing w:line="276" w:lineRule="auto"/>
              <w:jc w:val="both"/>
              <w:rPr>
                <w:rFonts w:hint="eastAsia"/>
                <w:kern w:val="2"/>
                <w:highlight w:val="none"/>
              </w:rPr>
            </w:pPr>
            <w:r>
              <w:rPr>
                <w:rFonts w:hint="eastAsia"/>
                <w:kern w:val="2"/>
                <w:highlight w:val="none"/>
              </w:rPr>
              <w:t>递交地址：新疆乌鲁木齐新市区长春南路528号天康企业大厦3楼</w:t>
            </w:r>
          </w:p>
          <w:p w14:paraId="77689EEA">
            <w:pPr>
              <w:pStyle w:val="39"/>
              <w:spacing w:line="276" w:lineRule="auto"/>
              <w:jc w:val="both"/>
              <w:rPr>
                <w:rFonts w:hint="eastAsia"/>
                <w:kern w:val="2"/>
                <w:highlight w:val="none"/>
              </w:rPr>
            </w:pPr>
            <w:r>
              <w:rPr>
                <w:rFonts w:hint="eastAsia"/>
                <w:kern w:val="2"/>
                <w:highlight w:val="none"/>
              </w:rPr>
              <w:t>联系人：邱奕霏</w:t>
            </w:r>
          </w:p>
          <w:p w14:paraId="03A57C02">
            <w:pPr>
              <w:pStyle w:val="39"/>
              <w:spacing w:line="276" w:lineRule="auto"/>
              <w:jc w:val="both"/>
              <w:rPr>
                <w:rFonts w:hint="eastAsia"/>
                <w:kern w:val="2"/>
                <w:highlight w:val="none"/>
              </w:rPr>
            </w:pPr>
            <w:r>
              <w:rPr>
                <w:rFonts w:hint="eastAsia"/>
                <w:kern w:val="2"/>
                <w:highlight w:val="none"/>
              </w:rPr>
              <w:t>联系电话：18599788578</w:t>
            </w:r>
          </w:p>
          <w:p w14:paraId="7E931C15">
            <w:pPr>
              <w:pStyle w:val="39"/>
              <w:spacing w:line="276" w:lineRule="auto"/>
              <w:jc w:val="both"/>
              <w:rPr>
                <w:rFonts w:hint="eastAsia"/>
                <w:kern w:val="2"/>
                <w:highlight w:val="none"/>
              </w:rPr>
            </w:pPr>
            <w:r>
              <w:rPr>
                <w:rFonts w:hint="eastAsia"/>
                <w:kern w:val="2"/>
                <w:highlight w:val="none"/>
              </w:rPr>
              <w:t>邮箱：346596835@qq.com</w:t>
            </w:r>
          </w:p>
          <w:p w14:paraId="6CA95D25">
            <w:pPr>
              <w:pStyle w:val="39"/>
              <w:spacing w:line="276" w:lineRule="auto"/>
              <w:jc w:val="both"/>
              <w:rPr>
                <w:rFonts w:hint="eastAsia"/>
                <w:kern w:val="2"/>
                <w:highlight w:val="none"/>
              </w:rPr>
            </w:pPr>
          </w:p>
          <w:p w14:paraId="386736AC">
            <w:pPr>
              <w:pStyle w:val="39"/>
              <w:spacing w:line="276" w:lineRule="auto"/>
              <w:jc w:val="both"/>
              <w:rPr>
                <w:rFonts w:hint="eastAsia"/>
                <w:b/>
                <w:bCs/>
                <w:kern w:val="2"/>
                <w:highlight w:val="none"/>
              </w:rPr>
            </w:pPr>
            <w:r>
              <w:rPr>
                <w:rFonts w:hint="eastAsia"/>
                <w:b/>
                <w:bCs/>
                <w:kern w:val="2"/>
                <w:highlight w:val="none"/>
              </w:rPr>
              <w:t>注：1.根据《中华人民共和国政府采购法》的规定，投标人质疑不得超出公开招标文件、公开招标过程及公开招标结果的范围及时效限制。</w:t>
            </w:r>
          </w:p>
          <w:p w14:paraId="6AA9436B">
            <w:pPr>
              <w:pStyle w:val="39"/>
              <w:spacing w:line="276" w:lineRule="auto"/>
              <w:jc w:val="both"/>
              <w:rPr>
                <w:rFonts w:hint="eastAsia"/>
                <w:color w:val="000000" w:themeColor="text1"/>
                <w:highlight w:val="none"/>
                <w14:textFill>
                  <w14:solidFill>
                    <w14:schemeClr w14:val="tx1"/>
                  </w14:solidFill>
                </w14:textFill>
              </w:rPr>
            </w:pPr>
            <w:r>
              <w:rPr>
                <w:rFonts w:hint="eastAsia"/>
                <w:b/>
                <w:bCs/>
                <w:kern w:val="2"/>
                <w:highlight w:val="none"/>
              </w:rPr>
              <w:t>2.质疑函请参照中国政府采购网-下载专区-质疑函范本http://www.ccgp.gov.cn/编制。</w:t>
            </w:r>
          </w:p>
        </w:tc>
      </w:tr>
      <w:tr w14:paraId="7EACA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vAlign w:val="center"/>
          </w:tcPr>
          <w:p w14:paraId="715AE39B">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28</w:t>
            </w:r>
          </w:p>
        </w:tc>
        <w:tc>
          <w:tcPr>
            <w:tcW w:w="2509" w:type="dxa"/>
            <w:vAlign w:val="center"/>
          </w:tcPr>
          <w:p w14:paraId="46DA9916">
            <w:pPr>
              <w:pStyle w:val="39"/>
              <w:spacing w:line="276" w:lineRule="auto"/>
              <w:jc w:val="center"/>
              <w:rPr>
                <w:rFonts w:hint="eastAsia"/>
                <w:b/>
                <w:color w:val="000000" w:themeColor="text1"/>
                <w:kern w:val="2"/>
                <w:highlight w:val="none"/>
                <w14:textFill>
                  <w14:solidFill>
                    <w14:schemeClr w14:val="tx1"/>
                  </w14:solidFill>
                </w14:textFill>
              </w:rPr>
            </w:pPr>
            <w:r>
              <w:rPr>
                <w:rFonts w:hint="eastAsia"/>
                <w:b/>
                <w:color w:val="000000" w:themeColor="text1"/>
                <w:kern w:val="2"/>
                <w:highlight w:val="none"/>
                <w14:textFill>
                  <w14:solidFill>
                    <w14:schemeClr w14:val="tx1"/>
                  </w14:solidFill>
                </w14:textFill>
              </w:rPr>
              <w:t>公告发布媒体</w:t>
            </w:r>
          </w:p>
        </w:tc>
        <w:tc>
          <w:tcPr>
            <w:tcW w:w="6837" w:type="dxa"/>
            <w:vAlign w:val="center"/>
          </w:tcPr>
          <w:p w14:paraId="4B2FAA7F">
            <w:pPr>
              <w:widowControl/>
              <w:spacing w:line="276" w:lineRule="auto"/>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新疆政府采购网</w:t>
            </w:r>
            <w:r>
              <w:rPr>
                <w:rFonts w:hint="eastAsia" w:ascii="宋体" w:hAnsi="宋体" w:cs="宋体"/>
                <w:color w:val="000000" w:themeColor="text1"/>
                <w:kern w:val="0"/>
                <w:sz w:val="24"/>
                <w:szCs w:val="24"/>
                <w:highlight w:val="none"/>
                <w14:textFill>
                  <w14:solidFill>
                    <w14:schemeClr w14:val="tx1"/>
                  </w14:solidFill>
                </w14:textFill>
              </w:rPr>
              <w:drawing>
                <wp:inline distT="0" distB="0" distL="114300" distR="114300">
                  <wp:extent cx="189230" cy="142875"/>
                  <wp:effectExtent l="0" t="0" r="8890" b="9525"/>
                  <wp:docPr id="8" name="Picture 1"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W@GJ$ACOF(TYDYECOKVDYB"/>
                          <pic:cNvPicPr>
                            <a:picLocks noChangeAspect="1"/>
                          </pic:cNvPicPr>
                        </pic:nvPicPr>
                        <pic:blipFill>
                          <a:blip r:embed="rId18"/>
                          <a:stretch>
                            <a:fillRect/>
                          </a:stretch>
                        </pic:blipFill>
                        <pic:spPr>
                          <a:xfrm>
                            <a:off x="0" y="0"/>
                            <a:ext cx="189230" cy="142875"/>
                          </a:xfrm>
                          <a:prstGeom prst="rect">
                            <a:avLst/>
                          </a:prstGeom>
                          <a:noFill/>
                          <a:ln>
                            <a:noFill/>
                          </a:ln>
                        </pic:spPr>
                      </pic:pic>
                    </a:graphicData>
                  </a:graphic>
                </wp:inline>
              </w:drawing>
            </w:r>
            <w:r>
              <w:rPr>
                <w:rFonts w:hint="eastAsia" w:ascii="宋体" w:hAnsi="宋体" w:cs="宋体"/>
                <w:color w:val="000000" w:themeColor="text1"/>
                <w:kern w:val="0"/>
                <w:sz w:val="24"/>
                <w:szCs w:val="24"/>
                <w:highlight w:val="none"/>
                <w14:textFill>
                  <w14:solidFill>
                    <w14:schemeClr w14:val="tx1"/>
                  </w14:solidFill>
                </w14:textFill>
              </w:rPr>
              <w:t>http://www.ccgp-xinjiang.gov.cn/home.html</w:t>
            </w:r>
          </w:p>
        </w:tc>
      </w:tr>
      <w:tr w14:paraId="4EA30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vAlign w:val="center"/>
          </w:tcPr>
          <w:p w14:paraId="413252F3">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29</w:t>
            </w:r>
          </w:p>
        </w:tc>
        <w:tc>
          <w:tcPr>
            <w:tcW w:w="9346" w:type="dxa"/>
            <w:gridSpan w:val="2"/>
            <w:vAlign w:val="center"/>
          </w:tcPr>
          <w:p w14:paraId="42A4FDA2">
            <w:pPr>
              <w:widowControl/>
              <w:spacing w:line="276" w:lineRule="auto"/>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投标报价具有唯一性，未超过采购项目预算，本项目不接受选择性报价，对于出现的政采云平台开标唱标环节经投标供应商确认的投标报价与投标文件中开标一览表的报价不一致的现象，视作选择性报价，将被作为无效投标处理。</w:t>
            </w:r>
          </w:p>
        </w:tc>
      </w:tr>
      <w:tr w14:paraId="450A8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5EB7C87B">
            <w:pPr>
              <w:overflowPunct w:val="0"/>
              <w:spacing w:line="276"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30</w:t>
            </w:r>
          </w:p>
        </w:tc>
        <w:tc>
          <w:tcPr>
            <w:tcW w:w="9346" w:type="dxa"/>
            <w:gridSpan w:val="2"/>
            <w:vAlign w:val="center"/>
          </w:tcPr>
          <w:p w14:paraId="4B930594">
            <w:pPr>
              <w:ind w:firstLine="472" w:firstLineChars="196"/>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1、公开招标文件中部分加“</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加粗、加下划线、废标、无效标、投标被拒绝字样的条款，为招标的实质性要求和条件，着重提醒各投标供应商注意，并认真查看公开招标文件中的每一个条款及要求，因误读公开招标文件而造成的后果，采购人概不负责。</w:t>
            </w:r>
          </w:p>
          <w:p w14:paraId="6249D202">
            <w:pPr>
              <w:ind w:firstLine="472" w:firstLineChars="196"/>
              <w:rPr>
                <w:rFonts w:hint="eastAsia"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投标文件中有弄虚作假的内容，其投标文件作废。（如假证书、假业绩、隐瞒不良行为记录、夸大荣誉、使用非本单位在职员工的相关证件及不符合公开招标文件规定的条款等）；在签订合同之前，如发现投标供应商的投标文件有弄虚作假内容，采购人可拒绝与其签订合同。并将其列入政府采购黑名单库。</w:t>
            </w:r>
          </w:p>
        </w:tc>
      </w:tr>
      <w:tr w14:paraId="365A7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12AA732">
            <w:pPr>
              <w:overflowPunct w:val="0"/>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备注</w:t>
            </w:r>
          </w:p>
        </w:tc>
        <w:tc>
          <w:tcPr>
            <w:tcW w:w="9346" w:type="dxa"/>
            <w:gridSpan w:val="2"/>
            <w:vAlign w:val="center"/>
          </w:tcPr>
          <w:p w14:paraId="1C5CFCC9">
            <w:pPr>
              <w:ind w:firstLine="472" w:firstLineChars="196"/>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投标供应商应保证在本项目使用的任何产品和服务（包括部分使用）时，不会产生因第三方提出侵犯其专利权、商标权或其它知识产权而引起的法律和经济纠纷，如因专利权、商标权或其它知识产权而引起法律和经济纠纷，由投标供应商承担所有相关责任的同时不得耽误本项目服务。</w:t>
            </w:r>
          </w:p>
        </w:tc>
      </w:tr>
    </w:tbl>
    <w:p w14:paraId="47FE50BC">
      <w:pPr>
        <w:pStyle w:val="46"/>
        <w:spacing w:line="440" w:lineRule="exact"/>
        <w:jc w:val="center"/>
        <w:outlineLvl w:val="0"/>
        <w:rPr>
          <w:rFonts w:hint="eastAsia" w:ascii="宋体" w:hAnsi="宋体" w:cs="宋体"/>
          <w:b/>
          <w:color w:val="000000" w:themeColor="text1"/>
          <w:kern w:val="2"/>
          <w:sz w:val="36"/>
          <w:szCs w:val="20"/>
          <w:highlight w:val="none"/>
          <w14:textFill>
            <w14:solidFill>
              <w14:schemeClr w14:val="tx1"/>
            </w14:solidFill>
          </w14:textFill>
        </w:rPr>
      </w:pPr>
      <w:r>
        <w:rPr>
          <w:rFonts w:hint="eastAsia" w:ascii="宋体" w:hAnsi="宋体" w:cs="宋体"/>
          <w:b/>
          <w:color w:val="000000" w:themeColor="text1"/>
          <w:kern w:val="2"/>
          <w:sz w:val="36"/>
          <w:szCs w:val="20"/>
          <w:highlight w:val="none"/>
          <w14:textFill>
            <w14:solidFill>
              <w14:schemeClr w14:val="tx1"/>
            </w14:solidFill>
          </w14:textFill>
        </w:rPr>
        <w:br w:type="page"/>
      </w:r>
      <w:bookmarkStart w:id="4" w:name="_Toc3402"/>
      <w:bookmarkStart w:id="5" w:name="_Toc89792126"/>
      <w:r>
        <w:rPr>
          <w:rFonts w:hint="eastAsia" w:ascii="宋体" w:hAnsi="宋体" w:cs="宋体"/>
          <w:b/>
          <w:color w:val="000000" w:themeColor="text1"/>
          <w:kern w:val="2"/>
          <w:sz w:val="32"/>
          <w:szCs w:val="20"/>
          <w:highlight w:val="none"/>
          <w14:textFill>
            <w14:solidFill>
              <w14:schemeClr w14:val="tx1"/>
            </w14:solidFill>
          </w14:textFill>
        </w:rPr>
        <w:t>第二部分 招标说明</w:t>
      </w:r>
      <w:bookmarkEnd w:id="4"/>
      <w:bookmarkEnd w:id="5"/>
    </w:p>
    <w:p w14:paraId="026C11CB">
      <w:pPr>
        <w:pStyle w:val="46"/>
        <w:spacing w:line="440" w:lineRule="exact"/>
        <w:jc w:val="center"/>
        <w:rPr>
          <w:rFonts w:hint="eastAsia" w:ascii="宋体" w:hAnsi="宋体" w:cs="宋体"/>
          <w:b/>
          <w:color w:val="000000" w:themeColor="text1"/>
          <w:kern w:val="2"/>
          <w:sz w:val="32"/>
          <w:szCs w:val="32"/>
          <w:highlight w:val="none"/>
          <w14:textFill>
            <w14:solidFill>
              <w14:schemeClr w14:val="tx1"/>
            </w14:solidFill>
          </w14:textFill>
        </w:rPr>
      </w:pPr>
    </w:p>
    <w:p w14:paraId="06F355E4">
      <w:pPr>
        <w:pStyle w:val="46"/>
        <w:spacing w:line="440" w:lineRule="exact"/>
        <w:jc w:val="center"/>
        <w:outlineLvl w:val="1"/>
        <w:rPr>
          <w:rFonts w:hint="eastAsia" w:ascii="宋体" w:hAnsi="宋体" w:cs="宋体"/>
          <w:b/>
          <w:color w:val="000000" w:themeColor="text1"/>
          <w:kern w:val="2"/>
          <w:sz w:val="28"/>
          <w:szCs w:val="28"/>
          <w:highlight w:val="none"/>
          <w14:textFill>
            <w14:solidFill>
              <w14:schemeClr w14:val="tx1"/>
            </w14:solidFill>
          </w14:textFill>
        </w:rPr>
      </w:pPr>
      <w:bookmarkStart w:id="6" w:name="_Toc27276"/>
      <w:bookmarkStart w:id="7" w:name="_Toc89792127"/>
      <w:r>
        <w:rPr>
          <w:rFonts w:hint="eastAsia" w:ascii="宋体" w:hAnsi="宋体" w:cs="宋体"/>
          <w:b/>
          <w:color w:val="000000" w:themeColor="text1"/>
          <w:kern w:val="2"/>
          <w:sz w:val="28"/>
          <w:szCs w:val="28"/>
          <w:highlight w:val="none"/>
          <w14:textFill>
            <w14:solidFill>
              <w14:schemeClr w14:val="tx1"/>
            </w14:solidFill>
          </w14:textFill>
        </w:rPr>
        <w:t>第一章 总则</w:t>
      </w:r>
      <w:bookmarkEnd w:id="6"/>
      <w:bookmarkEnd w:id="7"/>
    </w:p>
    <w:p w14:paraId="4032C7B3">
      <w:pPr>
        <w:spacing w:line="440" w:lineRule="exact"/>
        <w:ind w:firstLine="472" w:firstLineChars="196"/>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 适用范围</w:t>
      </w:r>
    </w:p>
    <w:p w14:paraId="7723ED84">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  本公开招标文件仅适用于</w:t>
      </w:r>
      <w:r>
        <w:rPr>
          <w:rFonts w:hint="eastAsia" w:ascii="宋体" w:hAnsi="宋体" w:cs="宋体"/>
          <w:color w:val="000000" w:themeColor="text1"/>
          <w:sz w:val="24"/>
          <w:szCs w:val="24"/>
          <w:highlight w:val="none"/>
          <w14:textFill>
            <w14:solidFill>
              <w14:schemeClr w14:val="tx1"/>
            </w14:solidFill>
          </w14:textFill>
        </w:rPr>
        <w:t>本招标公告中所述项目的货物及相关服务的采购</w:t>
      </w:r>
      <w:r>
        <w:rPr>
          <w:rFonts w:hint="eastAsia" w:ascii="宋体" w:hAnsi="宋体" w:cs="宋体"/>
          <w:color w:val="000000" w:themeColor="text1"/>
          <w:sz w:val="24"/>
          <w:highlight w:val="none"/>
          <w14:textFill>
            <w14:solidFill>
              <w14:schemeClr w14:val="tx1"/>
            </w14:solidFill>
          </w14:textFill>
        </w:rPr>
        <w:t>。</w:t>
      </w:r>
    </w:p>
    <w:p w14:paraId="385BC728">
      <w:pPr>
        <w:tabs>
          <w:tab w:val="left" w:pos="1185"/>
        </w:tabs>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 投标资格</w:t>
      </w:r>
    </w:p>
    <w:p w14:paraId="33F41A15">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2.1.满足《中华人民共和国政府采购法》第二十二条规定；</w:t>
      </w:r>
    </w:p>
    <w:p w14:paraId="36995539">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2.2.落实政府采购政策需满足的资格要求：见投标须知前附表</w:t>
      </w:r>
    </w:p>
    <w:p w14:paraId="33672B06">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2.3.本项目的特定资格要求：见投标须知前附表 </w:t>
      </w:r>
    </w:p>
    <w:p w14:paraId="17EA4B51">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3.投标供应商存在下列情形之一的，拒绝其参加本次投标（已投标的按无效标处理）：</w:t>
      </w:r>
    </w:p>
    <w:p w14:paraId="12581681">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（1）为采购人不具有独立法人资格的附属机构（单位）；</w:t>
      </w:r>
    </w:p>
    <w:p w14:paraId="58640F8E">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（2）为本标段前期准备提供设计或咨询服务的；</w:t>
      </w:r>
    </w:p>
    <w:p w14:paraId="11B59960">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（3）为本标段提供招标代理服务的；</w:t>
      </w:r>
    </w:p>
    <w:p w14:paraId="7EC9A2BB">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（4）法定代表人为同一人的两个及两个以上法人，母公司、全资子公司及其控股公司，在同一货物采购招标中同时投标的；</w:t>
      </w:r>
    </w:p>
    <w:p w14:paraId="1874DC3E">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（5）单位负责人为同一人或者存在直接控股、管理关系的不同供应商（服务商），不得参加同一合同项下的政府采购活动；</w:t>
      </w:r>
    </w:p>
    <w:p w14:paraId="5631F72F">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（6）被责令停业的；</w:t>
      </w:r>
    </w:p>
    <w:p w14:paraId="55E4BCE9">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（7）被暂停或取消投标资格的；</w:t>
      </w:r>
    </w:p>
    <w:p w14:paraId="433013A1">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（8）财产被接管或冻结的；</w:t>
      </w:r>
    </w:p>
    <w:p w14:paraId="266DF14A">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（9）在最近三年内有骗取中标或严重违约或重大质量问题的，受到行政处罚的。</w:t>
      </w:r>
    </w:p>
    <w:p w14:paraId="62CE69A4">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 有下列情形之一的，视为投标供应商串通投标，其投标无效：</w:t>
      </w:r>
    </w:p>
    <w:p w14:paraId="23B7968A">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（1）不同投标供应商的投标文件由同一单位或者个人编制。</w:t>
      </w:r>
    </w:p>
    <w:p w14:paraId="5516FD6E">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（2）不同投标供应商委托同一单位或者个人办理投标事宜。</w:t>
      </w:r>
    </w:p>
    <w:p w14:paraId="6E0541DF">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（3）不同投标供应商的投标文件载明的项目管理成员或者联系人员为同一人。</w:t>
      </w:r>
    </w:p>
    <w:p w14:paraId="5ABCEAD7">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（4）不同投标供应商的投标文件异常一致或者投标报价呈规律性差异。</w:t>
      </w:r>
    </w:p>
    <w:p w14:paraId="1C8A2A6D">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（5）不同投标供应商的投标文件相互混装。</w:t>
      </w:r>
    </w:p>
    <w:p w14:paraId="7B8A55C9">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（6）不同投标供应商的投标保证金从同一单位或者个人的账户转出。</w:t>
      </w:r>
    </w:p>
    <w:p w14:paraId="0509F716">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（7）投标文件技术规格中的响应与事实不符或虚假投标的；</w:t>
      </w:r>
    </w:p>
    <w:p w14:paraId="6A58AC3B">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（8）投标文件符合公开招标文件中规定废标的其它技术条款；</w:t>
      </w:r>
    </w:p>
    <w:p w14:paraId="66D437D6">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（9）投标供应商拒绝修正错误的；</w:t>
      </w:r>
    </w:p>
    <w:p w14:paraId="766EF5DD">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（10）其他违反相关法律法规规定的行为的；</w:t>
      </w:r>
    </w:p>
    <w:p w14:paraId="19DB196C">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（11）评标委员会认为是其他应当否决的投标。</w:t>
      </w:r>
    </w:p>
    <w:p w14:paraId="056AFAB6">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 投标供应商在本次招标活动中，必须遵守《中华人民共和国政府采购法》及相关法律法规的规定。</w:t>
      </w:r>
    </w:p>
    <w:p w14:paraId="7420CD9D">
      <w:pPr>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 定义</w:t>
      </w:r>
    </w:p>
    <w:p w14:paraId="297CF467">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下列术语和缩写的定义为：</w:t>
      </w:r>
    </w:p>
    <w:p w14:paraId="39B8CA57">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  “采购人”是指依法进行政府采购的国家机关、事业单位、团体组织。</w:t>
      </w:r>
    </w:p>
    <w:p w14:paraId="01374AEB">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  “采购代理机构”系指新疆守正项目管理咨询有限公司。</w:t>
      </w:r>
    </w:p>
    <w:p w14:paraId="4141CEA5">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  “招标方”系指采购人和采购代理机构的统称。</w:t>
      </w:r>
    </w:p>
    <w:p w14:paraId="14A16F67">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  “投标供应商”是响应公开招标文件并且符合公开招标文件规定资格条件和参加投标竞争的法人、其他组织或者自然人。</w:t>
      </w:r>
    </w:p>
    <w:p w14:paraId="103B9119">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6.5　“供应商”是指向采购人提供货物、工程或者服务的法人、其他组织或者自然人。</w:t>
      </w:r>
    </w:p>
    <w:p w14:paraId="583A14EB">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6.6  “投标供应商代表”是指投标供应商法定代表人，或法定代表人指定的某一代表自己参与和处理与投标项目有关事宜的自然人。</w:t>
      </w:r>
    </w:p>
    <w:p w14:paraId="474154FC">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6.7 “中标人”系指经评标委员、会评定后由评标委员会推荐并由采购人确定的投标供应商。</w:t>
      </w:r>
    </w:p>
    <w:p w14:paraId="30662AAE">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6.8  “货物”、“产品”指本公开招标文件中第四部分《采购需求》及《政府采购品目分类目录》(</w:t>
      </w:r>
      <w:r>
        <w:rPr>
          <w:rFonts w:hint="eastAsia" w:ascii="宋体" w:hAnsi="宋体" w:cs="宋体"/>
          <w:sz w:val="24"/>
          <w:highlight w:val="none"/>
        </w:rPr>
        <w:t>财库〔2022〕31号</w:t>
      </w:r>
      <w:r>
        <w:rPr>
          <w:rFonts w:hint="eastAsia" w:ascii="宋体" w:hAnsi="宋体" w:cs="宋体"/>
          <w:color w:val="000000" w:themeColor="text1"/>
          <w:sz w:val="24"/>
          <w:highlight w:val="none"/>
          <w14:textFill>
            <w14:solidFill>
              <w14:schemeClr w14:val="tx1"/>
            </w14:solidFill>
          </w14:textFill>
        </w:rPr>
        <w:t>)所述所有货物及相关服务。</w:t>
      </w:r>
    </w:p>
    <w:p w14:paraId="5A801499">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6.9  采购信息安全产品的，应当采购经国家认证的信息安全产品；供应货物中的相关产品，供应商应提供由中国信息安全认证中心按国家标准认证颁发的有效认证证书。</w:t>
      </w:r>
    </w:p>
    <w:p w14:paraId="7EA3250B">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6.10 “节能产品”或者“环保产品”是指财政部发布的《节能产品政府采购品目清单》内并获得认证的产品及《环境标志产品政府采购品目清单》内并获得认证的产品。</w:t>
      </w:r>
    </w:p>
    <w:p w14:paraId="53D113AD">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6.11 “进口产品”是指通过中国海关报关验放进入中国境内且产自关境外的产品，详见《关于政府采购进口产品管理有关问题的通知》(财库[2007]119号)。</w:t>
      </w:r>
    </w:p>
    <w:p w14:paraId="16ECB748">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6.12  “服务”系指公开招标文件中规定投标供应商须承担的质保、技术协助、培训及其他类似的责任。</w:t>
      </w:r>
    </w:p>
    <w:p w14:paraId="123FFA0F">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6.13 “响应”系指投标供应商根据采购代理机构发布的公开招标文件，编制投标文件并按规定投标的行为。</w:t>
      </w:r>
    </w:p>
    <w:p w14:paraId="3B68CE11">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6.14  “标段/标项（包）”系指一个完整独立的投标项目。</w:t>
      </w:r>
    </w:p>
    <w:p w14:paraId="3EB639FE">
      <w:pPr>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7. 投标费用</w:t>
      </w:r>
    </w:p>
    <w:p w14:paraId="6FDB9A9D">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7.1  无论投标结果如何，凡参与招标、投标活动有关的所有费用将由投标供应商自行承担。</w:t>
      </w:r>
    </w:p>
    <w:p w14:paraId="56C774F7">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7.2  投标供应商被视为熟悉本招标项目的各种情况以及与履行合同有关的一切情况。</w:t>
      </w:r>
    </w:p>
    <w:p w14:paraId="3CDF125B">
      <w:pPr>
        <w:pStyle w:val="46"/>
        <w:spacing w:line="440" w:lineRule="exact"/>
        <w:jc w:val="center"/>
        <w:outlineLvl w:val="1"/>
        <w:rPr>
          <w:rFonts w:hint="eastAsia" w:ascii="宋体" w:hAnsi="宋体" w:cs="宋体"/>
          <w:b/>
          <w:color w:val="000000" w:themeColor="text1"/>
          <w:kern w:val="2"/>
          <w:sz w:val="28"/>
          <w:szCs w:val="32"/>
          <w:highlight w:val="none"/>
          <w14:textFill>
            <w14:solidFill>
              <w14:schemeClr w14:val="tx1"/>
            </w14:solidFill>
          </w14:textFill>
        </w:rPr>
      </w:pPr>
      <w:bookmarkStart w:id="8" w:name="_Toc89792128"/>
      <w:r>
        <w:rPr>
          <w:rFonts w:hint="eastAsia" w:ascii="宋体" w:hAnsi="宋体" w:cs="宋体"/>
          <w:b/>
          <w:color w:val="000000" w:themeColor="text1"/>
          <w:kern w:val="2"/>
          <w:sz w:val="28"/>
          <w:szCs w:val="32"/>
          <w:highlight w:val="none"/>
          <w14:textFill>
            <w14:solidFill>
              <w14:schemeClr w14:val="tx1"/>
            </w14:solidFill>
          </w14:textFill>
        </w:rPr>
        <w:br w:type="page"/>
      </w:r>
      <w:bookmarkStart w:id="9" w:name="_Toc17762"/>
      <w:r>
        <w:rPr>
          <w:rFonts w:hint="eastAsia" w:ascii="宋体" w:hAnsi="宋体" w:cs="宋体"/>
          <w:b/>
          <w:color w:val="000000" w:themeColor="text1"/>
          <w:kern w:val="2"/>
          <w:sz w:val="28"/>
          <w:szCs w:val="32"/>
          <w:highlight w:val="none"/>
          <w14:textFill>
            <w14:solidFill>
              <w14:schemeClr w14:val="tx1"/>
            </w14:solidFill>
          </w14:textFill>
        </w:rPr>
        <w:t xml:space="preserve">第二章 </w:t>
      </w:r>
      <w:bookmarkEnd w:id="8"/>
      <w:bookmarkEnd w:id="9"/>
      <w:r>
        <w:rPr>
          <w:rFonts w:hint="eastAsia" w:ascii="宋体" w:hAnsi="宋体" w:cs="宋体"/>
          <w:b/>
          <w:color w:val="000000" w:themeColor="text1"/>
          <w:kern w:val="2"/>
          <w:sz w:val="28"/>
          <w:szCs w:val="32"/>
          <w:highlight w:val="none"/>
          <w14:textFill>
            <w14:solidFill>
              <w14:schemeClr w14:val="tx1"/>
            </w14:solidFill>
          </w14:textFill>
        </w:rPr>
        <w:t>公开招标文件</w:t>
      </w:r>
    </w:p>
    <w:p w14:paraId="54CFF2BE">
      <w:pPr>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8. 公开招标文件说明</w:t>
      </w:r>
    </w:p>
    <w:p w14:paraId="48A03A04">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8.1  公开招标文件组成如下：</w:t>
      </w:r>
    </w:p>
    <w:p w14:paraId="45DE80DF">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投标邀请</w:t>
      </w:r>
    </w:p>
    <w:p w14:paraId="0402C78D">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第一部分投标须知</w:t>
      </w:r>
    </w:p>
    <w:p w14:paraId="79AE2C35">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第二部分招标说明</w:t>
      </w:r>
    </w:p>
    <w:p w14:paraId="29E2F21A">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第三部分投标说明</w:t>
      </w:r>
    </w:p>
    <w:p w14:paraId="026EAB3D">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第四部分采购需求</w:t>
      </w:r>
    </w:p>
    <w:p w14:paraId="6AABE3D4">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第五部分合同部分</w:t>
      </w:r>
    </w:p>
    <w:p w14:paraId="5F501D59">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第六部分投标文件格式（范本格式）</w:t>
      </w:r>
    </w:p>
    <w:p w14:paraId="1F82CE4E">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8.2  投标供应商应详细阅读公开招标文件的全部内容。如果投标供应商未按照公开招标文件要求提交全部资料或者投标文件没有对公开招标文件在各方面的要求做出实质性响应，将导致其投标被拒绝。</w:t>
      </w:r>
    </w:p>
    <w:p w14:paraId="78313A2F">
      <w:pPr>
        <w:spacing w:line="440" w:lineRule="exact"/>
        <w:ind w:left="359" w:leftChars="171" w:firstLine="120" w:firstLineChars="5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9. 公开招标文件的修改或补充</w:t>
      </w:r>
    </w:p>
    <w:p w14:paraId="13921197">
      <w:pPr>
        <w:spacing w:line="440" w:lineRule="exact"/>
        <w:ind w:left="359" w:leftChars="171" w:firstLine="120" w:firstLineChars="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9.1　澄清或者修改的内容可能影响投标文件编制的，在投标截止期十五日前的任何时间，招标方可主动或依据投标供应商要求澄清的问题而修改或补充公开招标文件，并以书面形式或网上公告通知所有投标供应商，投标供应商在收到该通知后应立即以电报或传真的形式予以确认。</w:t>
      </w:r>
    </w:p>
    <w:p w14:paraId="65B992B6">
      <w:pPr>
        <w:spacing w:line="440" w:lineRule="exact"/>
        <w:ind w:left="359" w:leftChars="171" w:firstLine="120" w:firstLineChars="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9.2　为使投标供应商在准备投标时有适当的时间考虑投标文件的修改，招标方有权决定推迟投标截止时间和开标时间，并将此变更通知所有的投标供应商。</w:t>
      </w:r>
    </w:p>
    <w:p w14:paraId="1B3E4D8D">
      <w:pPr>
        <w:spacing w:line="440" w:lineRule="exact"/>
        <w:ind w:left="359" w:leftChars="171" w:firstLine="120" w:firstLineChars="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9.3　公开招标文件的修改和补充文件将构成公开招标文件的一部分，并且对投标供应商具有优先约束力。</w:t>
      </w:r>
    </w:p>
    <w:p w14:paraId="4031D03F">
      <w:pPr>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10.质疑须知</w:t>
      </w:r>
    </w:p>
    <w:p w14:paraId="520ED94D">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投标供应商如需提出质疑的，应在法定质疑期内一次性提出针对同一采购程序环节的质疑。</w:t>
      </w:r>
    </w:p>
    <w:p w14:paraId="1EB345B4">
      <w:pPr>
        <w:pStyle w:val="46"/>
        <w:spacing w:line="276" w:lineRule="auto"/>
        <w:jc w:val="center"/>
        <w:outlineLvl w:val="0"/>
        <w:rPr>
          <w:rFonts w:hint="eastAsia" w:ascii="宋体" w:hAnsi="宋体" w:cs="宋体"/>
          <w:b/>
          <w:color w:val="000000" w:themeColor="text1"/>
          <w:kern w:val="2"/>
          <w:sz w:val="36"/>
          <w:szCs w:val="20"/>
          <w:highlight w:val="none"/>
          <w14:textFill>
            <w14:solidFill>
              <w14:schemeClr w14:val="tx1"/>
            </w14:solidFill>
          </w14:textFill>
        </w:rPr>
      </w:pPr>
      <w:r>
        <w:rPr>
          <w:rFonts w:hint="eastAsia" w:ascii="宋体" w:hAnsi="宋体" w:cs="宋体"/>
          <w:b/>
          <w:color w:val="000000" w:themeColor="text1"/>
          <w:kern w:val="2"/>
          <w:sz w:val="36"/>
          <w:szCs w:val="20"/>
          <w:highlight w:val="none"/>
          <w14:textFill>
            <w14:solidFill>
              <w14:schemeClr w14:val="tx1"/>
            </w14:solidFill>
          </w14:textFill>
        </w:rPr>
        <w:br w:type="page"/>
      </w:r>
      <w:bookmarkStart w:id="10" w:name="_Toc21054"/>
      <w:bookmarkStart w:id="11" w:name="_Toc89792129"/>
      <w:r>
        <w:rPr>
          <w:rFonts w:hint="eastAsia" w:ascii="宋体" w:hAnsi="宋体" w:cs="宋体"/>
          <w:b/>
          <w:color w:val="000000" w:themeColor="text1"/>
          <w:kern w:val="2"/>
          <w:sz w:val="32"/>
          <w:szCs w:val="20"/>
          <w:highlight w:val="none"/>
          <w14:textFill>
            <w14:solidFill>
              <w14:schemeClr w14:val="tx1"/>
            </w14:solidFill>
          </w14:textFill>
        </w:rPr>
        <w:t>第三部分 投标说明</w:t>
      </w:r>
      <w:bookmarkEnd w:id="10"/>
      <w:bookmarkEnd w:id="11"/>
    </w:p>
    <w:p w14:paraId="5E85BEFD">
      <w:pPr>
        <w:spacing w:line="440" w:lineRule="exact"/>
        <w:jc w:val="center"/>
        <w:rPr>
          <w:rFonts w:hint="eastAsia" w:ascii="宋体" w:hAnsi="宋体" w:cs="宋体"/>
          <w:b/>
          <w:color w:val="000000" w:themeColor="text1"/>
          <w:sz w:val="28"/>
          <w:highlight w:val="none"/>
          <w14:textFill>
            <w14:solidFill>
              <w14:schemeClr w14:val="tx1"/>
            </w14:solidFill>
          </w14:textFill>
        </w:rPr>
      </w:pPr>
    </w:p>
    <w:p w14:paraId="4BFCDD61">
      <w:pPr>
        <w:spacing w:line="440" w:lineRule="exact"/>
        <w:jc w:val="center"/>
        <w:outlineLvl w:val="1"/>
        <w:rPr>
          <w:rFonts w:hint="eastAsia" w:ascii="宋体" w:hAnsi="宋体" w:cs="宋体"/>
          <w:b/>
          <w:color w:val="000000" w:themeColor="text1"/>
          <w:sz w:val="28"/>
          <w:highlight w:val="none"/>
          <w14:textFill>
            <w14:solidFill>
              <w14:schemeClr w14:val="tx1"/>
            </w14:solidFill>
          </w14:textFill>
        </w:rPr>
      </w:pPr>
      <w:bookmarkStart w:id="12" w:name="_Toc13313"/>
      <w:bookmarkStart w:id="13" w:name="_Toc89792130"/>
      <w:r>
        <w:rPr>
          <w:rFonts w:hint="eastAsia" w:ascii="宋体" w:hAnsi="宋体" w:cs="宋体"/>
          <w:b/>
          <w:color w:val="000000" w:themeColor="text1"/>
          <w:sz w:val="28"/>
          <w:highlight w:val="none"/>
          <w14:textFill>
            <w14:solidFill>
              <w14:schemeClr w14:val="tx1"/>
            </w14:solidFill>
          </w14:textFill>
        </w:rPr>
        <w:t>第一章 对投标供应商的资质要求</w:t>
      </w:r>
      <w:bookmarkEnd w:id="12"/>
      <w:bookmarkEnd w:id="13"/>
    </w:p>
    <w:p w14:paraId="3EC5BA8A">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1、开标会的资质要求、开标时间及地点</w:t>
      </w:r>
    </w:p>
    <w:p w14:paraId="429213FA">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本项目开标的时间、地点已在投标供应商须知前附表列清。</w:t>
      </w:r>
    </w:p>
    <w:p w14:paraId="79154179">
      <w:pPr>
        <w:spacing w:line="440" w:lineRule="exact"/>
        <w:ind w:firstLine="48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1.2　所有资格证明文件必须满足公开招标文件的要求，否则将导致废标。</w:t>
      </w:r>
    </w:p>
    <w:p w14:paraId="3F7DAF20">
      <w:pPr>
        <w:spacing w:line="440" w:lineRule="exact"/>
        <w:jc w:val="center"/>
        <w:rPr>
          <w:rFonts w:hint="eastAsia" w:ascii="宋体" w:hAnsi="宋体" w:cs="宋体"/>
          <w:b/>
          <w:color w:val="000000" w:themeColor="text1"/>
          <w:sz w:val="28"/>
          <w:szCs w:val="32"/>
          <w:highlight w:val="none"/>
          <w14:textFill>
            <w14:solidFill>
              <w14:schemeClr w14:val="tx1"/>
            </w14:solidFill>
          </w14:textFill>
        </w:rPr>
      </w:pPr>
      <w:bookmarkStart w:id="14" w:name="_Toc89792131"/>
    </w:p>
    <w:p w14:paraId="53B43551">
      <w:pPr>
        <w:spacing w:line="440" w:lineRule="exact"/>
        <w:jc w:val="center"/>
        <w:outlineLvl w:val="1"/>
        <w:rPr>
          <w:rFonts w:hint="eastAsia" w:ascii="宋体" w:hAnsi="宋体" w:cs="宋体"/>
          <w:b/>
          <w:color w:val="000000" w:themeColor="text1"/>
          <w:sz w:val="32"/>
          <w:szCs w:val="32"/>
          <w:highlight w:val="none"/>
          <w14:textFill>
            <w14:solidFill>
              <w14:schemeClr w14:val="tx1"/>
            </w14:solidFill>
          </w14:textFill>
        </w:rPr>
      </w:pPr>
      <w:bookmarkStart w:id="15" w:name="_Toc5218"/>
      <w:r>
        <w:rPr>
          <w:rFonts w:hint="eastAsia" w:ascii="宋体" w:hAnsi="宋体" w:cs="宋体"/>
          <w:b/>
          <w:color w:val="000000" w:themeColor="text1"/>
          <w:sz w:val="28"/>
          <w:szCs w:val="32"/>
          <w:highlight w:val="none"/>
          <w14:textFill>
            <w14:solidFill>
              <w14:schemeClr w14:val="tx1"/>
            </w14:solidFill>
          </w14:textFill>
        </w:rPr>
        <w:t>第二章 投标文件的编写</w:t>
      </w:r>
      <w:bookmarkEnd w:id="14"/>
      <w:bookmarkEnd w:id="15"/>
    </w:p>
    <w:p w14:paraId="436E4456">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要求</w:t>
      </w:r>
    </w:p>
    <w:p w14:paraId="78405DE5">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投标供应商应详细阅读公开招标文件中的条款、规范、表示、条件和格式等所有内容，按公开招标文件的要求份数提供投标文件，并保证所提供全部材料的真实性，使其投标对公开招标文件做出实质性响应。否则，其投标视为无效。</w:t>
      </w:r>
    </w:p>
    <w:p w14:paraId="585F2568">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允许投标供应商对本公开招标文件中的所有包投标，也可根据本企业生产或代理产品的情况对部分包进行投标，但不允许投标供应商对某一包中的一项或部分项进行投标。采购人可选择一家投标单位为所有包的中标人，也可选择若干个投标单位分别中标。</w:t>
      </w:r>
    </w:p>
    <w:p w14:paraId="552AF380">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投标文件语言和度量单位</w:t>
      </w:r>
    </w:p>
    <w:p w14:paraId="6BCC64D7">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投标文件及投标供应商和招标方就招标、投标交换的文件和往来信件，须以中文书写。</w:t>
      </w:r>
    </w:p>
    <w:p w14:paraId="1B45892A">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除在公开招标文件的技术规格中另有规定外，计量单位应使用中华人民共和国法定计量单位。</w:t>
      </w:r>
    </w:p>
    <w:p w14:paraId="55ABC9E0">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投标文件的组成</w:t>
      </w:r>
    </w:p>
    <w:p w14:paraId="3A6C8A5D">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投标文件的组成</w:t>
      </w:r>
    </w:p>
    <w:p w14:paraId="7104F284">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　投标供应商编写的投标文件应包括但不限于下列内容：</w:t>
      </w:r>
    </w:p>
    <w:p w14:paraId="65D89EE6">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一、法人或者其他组织的营业执照副本复印件或自然人的身份证明复印件</w:t>
      </w:r>
    </w:p>
    <w:p w14:paraId="4254BB97">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二、投标供应商代表身份证明</w:t>
      </w:r>
    </w:p>
    <w:p w14:paraId="47AD681F">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1法定代表人身份证明复印件(法定代表人参加投标)</w:t>
      </w:r>
    </w:p>
    <w:p w14:paraId="6280460D">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2法定代表人授权委托书(授权代表参加投标)</w:t>
      </w:r>
    </w:p>
    <w:p w14:paraId="6E0C43ED">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三、提供符合政府采购政策的证明材料</w:t>
      </w:r>
    </w:p>
    <w:p w14:paraId="6796C7D1">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1中小企业声明函</w:t>
      </w:r>
    </w:p>
    <w:p w14:paraId="1E7C8C59">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2监狱企业证明文件</w:t>
      </w:r>
    </w:p>
    <w:p w14:paraId="2B20E9A1">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3残疾人福利性单位声明函</w:t>
      </w:r>
    </w:p>
    <w:p w14:paraId="28AFA147">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4分包意向协议书</w:t>
      </w:r>
    </w:p>
    <w:p w14:paraId="74CAE7D2">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四、投标函</w:t>
      </w:r>
    </w:p>
    <w:p w14:paraId="272C6AFC">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五、反商业贿赂承诺书；</w:t>
      </w:r>
    </w:p>
    <w:p w14:paraId="6E111D96">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六、投标报价</w:t>
      </w:r>
    </w:p>
    <w:p w14:paraId="21A8EDBE">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开标一览表</w:t>
      </w:r>
    </w:p>
    <w:p w14:paraId="68B55B60">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七、采购需求偏离表</w:t>
      </w:r>
    </w:p>
    <w:p w14:paraId="107F6B69">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八、项目实施方案</w:t>
      </w:r>
    </w:p>
    <w:p w14:paraId="03486674">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九、业绩</w:t>
      </w:r>
    </w:p>
    <w:p w14:paraId="0B8F1250">
      <w:pPr>
        <w:spacing w:line="440" w:lineRule="exact"/>
        <w:ind w:firstLine="1058" w:firstLineChars="441"/>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十、资格审查文件</w:t>
      </w:r>
    </w:p>
    <w:p w14:paraId="0ABE33F3">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在投标过程中，投标供应商根据评标委员会书面形式要求提供的澄清文件是投标文件的有效组成部分。</w:t>
      </w:r>
    </w:p>
    <w:p w14:paraId="3DDBB42E">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　供应商无论中标与否，其投标文件不予退还。</w:t>
      </w:r>
    </w:p>
    <w:p w14:paraId="309C1B29">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投标文件格式</w:t>
      </w:r>
    </w:p>
    <w:p w14:paraId="6FCACDA8">
      <w:pPr>
        <w:spacing w:line="440" w:lineRule="exact"/>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w:t>
      </w:r>
      <w:r>
        <w:rPr>
          <w:rFonts w:hint="eastAsia" w:ascii="宋体" w:hAnsi="宋体" w:cs="宋体"/>
          <w:color w:val="000000" w:themeColor="text1"/>
          <w:spacing w:val="-6"/>
          <w:sz w:val="24"/>
          <w:szCs w:val="24"/>
          <w:highlight w:val="none"/>
          <w14:textFill>
            <w14:solidFill>
              <w14:schemeClr w14:val="tx1"/>
            </w14:solidFill>
          </w14:textFill>
        </w:rPr>
        <w:t>投标文件</w:t>
      </w:r>
      <w:r>
        <w:rPr>
          <w:rFonts w:hint="eastAsia" w:ascii="宋体" w:hAnsi="宋体" w:cs="宋体"/>
          <w:color w:val="000000" w:themeColor="text1"/>
          <w:kern w:val="0"/>
          <w:sz w:val="24"/>
          <w:szCs w:val="24"/>
          <w:highlight w:val="none"/>
          <w14:textFill>
            <w14:solidFill>
              <w14:schemeClr w14:val="tx1"/>
            </w14:solidFill>
          </w14:textFill>
        </w:rPr>
        <w:t>制作时，应按照公开招标文件中明确的投标文件目录和投标</w:t>
      </w:r>
      <w:r>
        <w:rPr>
          <w:rFonts w:hint="eastAsia" w:ascii="宋体" w:hAnsi="宋体" w:cs="宋体"/>
          <w:color w:val="000000" w:themeColor="text1"/>
          <w:sz w:val="24"/>
          <w:szCs w:val="24"/>
          <w:highlight w:val="none"/>
          <w14:textFill>
            <w14:solidFill>
              <w14:schemeClr w14:val="tx1"/>
            </w14:solidFill>
          </w14:textFill>
        </w:rPr>
        <w:t>技术规格、参数及相关要求</w:t>
      </w:r>
      <w:r>
        <w:rPr>
          <w:rFonts w:hint="eastAsia" w:ascii="宋体" w:hAnsi="宋体" w:cs="宋体"/>
          <w:color w:val="000000" w:themeColor="text1"/>
          <w:kern w:val="0"/>
          <w:sz w:val="24"/>
          <w:szCs w:val="24"/>
          <w:highlight w:val="none"/>
          <w14:textFill>
            <w14:solidFill>
              <w14:schemeClr w14:val="tx1"/>
            </w14:solidFill>
          </w14:textFill>
        </w:rPr>
        <w:t>格式进行编制，保证目录清晰、内容完整。</w:t>
      </w:r>
    </w:p>
    <w:p w14:paraId="52409719">
      <w:pPr>
        <w:spacing w:line="440" w:lineRule="exact"/>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5.2投标供应商应按照投标须知前附表要求的份数编制投标文件。</w:t>
      </w:r>
    </w:p>
    <w:p w14:paraId="12F177AC">
      <w:pPr>
        <w:spacing w:line="440" w:lineRule="exact"/>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5.3当副本和正本不一致时，以正本为准。</w:t>
      </w:r>
    </w:p>
    <w:p w14:paraId="5488AFF0">
      <w:pPr>
        <w:spacing w:line="440" w:lineRule="exact"/>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5.4投标文件具有法律效力,与其他形式的投标文件在内容和格式上等同，若投标文件与公开招标文件要求不一致，其内容影响成交结果时，责任由供应商自行承担。</w:t>
      </w:r>
    </w:p>
    <w:p w14:paraId="1AD27BB5">
      <w:pPr>
        <w:pStyle w:val="70"/>
        <w:snapToGrid w:val="0"/>
        <w:spacing w:line="360" w:lineRule="auto"/>
        <w:ind w:firstLine="484" w:firstLineChars="202"/>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5.5投标文件应在规定区域加盖单位和法定代表人签章。投标文件若无签章，则视为无效文件。</w:t>
      </w:r>
    </w:p>
    <w:p w14:paraId="17E0895A">
      <w:pPr>
        <w:pStyle w:val="70"/>
        <w:snapToGrid w:val="0"/>
        <w:spacing w:line="360" w:lineRule="auto"/>
        <w:ind w:firstLine="484" w:firstLineChars="202"/>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5.6投标供应商必须保证投标文件所提供的全部资料真实可靠，并接受采购单位对其中任何资料进一步核实的要求</w:t>
      </w:r>
    </w:p>
    <w:p w14:paraId="1C01F6D2">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6. 投标报价</w:t>
      </w:r>
    </w:p>
    <w:p w14:paraId="1266A7D0">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 投标人的报价均应以人民币进行报价。</w:t>
      </w:r>
    </w:p>
    <w:p w14:paraId="0740A205">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 投标人应按照本招标文件规定的报价方式进行报价，投标报价中不得包含招标文件要求以外的内容，否则，在评标时不予核减。投标报价中也不得遗漏招标文件所要求的内容，否则其投标无效。</w:t>
      </w:r>
    </w:p>
    <w:p w14:paraId="559449EB">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6.3投标人的报价应包括为完成本项目所发生的一切费用和税费，采购人将不再支付报价以外的任何费用。只要投报了一个确定数额的总价，无论分项价格是否全部填报了相应的金额或免费字样，报价应被视为已经包含了但并不限于本次招标全部采购需求所应提供的服务，以及伴随的货物和工程等的费用和所需缴纳的所有价格、税、费。在其他情况下，由于分项报价填报不完整、不清楚或存在其他任何失误，所导致的任何不利后果均应当由投标人自行承担。</w:t>
      </w:r>
    </w:p>
    <w:p w14:paraId="34E4ADBD">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6.4投标人的报价应包括但不限于按照招标文件要求完成本项目的全部相关费用。</w:t>
      </w:r>
    </w:p>
    <w:p w14:paraId="43E9FEAE">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6.5 投标人须严格按照开标一览表规定的内容填写服务单价以及其他事项。投标人应根据本招标文件的规定和要求、市场价格水平及其走势、投标人的管理水平、投标人的方案和由这些因素决定的投标人之于本项目的成本水平等提出自己的报价。报价应合理，并包含完成本招标文件采购需求全部内容的所有费用，所有根据本招标文件或其它原因应由投标人支付的税款和其他应交纳的费用都应包括在投标人提交的投标报价中。</w:t>
      </w:r>
    </w:p>
    <w:p w14:paraId="02DC3CF2">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6.6 投标人在投标文件中注明免费的项目将视为包含在投标报价中。</w:t>
      </w:r>
    </w:p>
    <w:p w14:paraId="561ABA53">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6.7 每一种采购内容只允许有一个报价，否则其投标无效。除非招标文件另有规定，不接受可选择或可调整的投标方案和报价，任何有选择的或可调整的投标方案和报价将被视为非实质性响应招标文件,其投标无效。</w:t>
      </w:r>
    </w:p>
    <w:p w14:paraId="5A6AD4A6">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6.8 投标报价不得超过“第一章 招标公告”中规定的最高投标限价或者预算金额，否则评标委员会将对其作无效投标处理。</w:t>
      </w:r>
    </w:p>
    <w:p w14:paraId="4F6CD49F">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6.9 投标人对投标报价若有说明应在投标文件中显著处注明。</w:t>
      </w:r>
    </w:p>
    <w:p w14:paraId="1D25BC51">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除政策性文件规定以外，投标人所报价格在合同实施期间不因市场变化因素而变动。</w:t>
      </w:r>
    </w:p>
    <w:p w14:paraId="4BB64020">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6.10 最低报价不能作为中标的保证。</w:t>
      </w:r>
    </w:p>
    <w:p w14:paraId="29C6D728">
      <w:pPr>
        <w:spacing w:line="44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6.11采购人不得向投标人索要或者接受其给予的赠品、回扣或者与采购无关的其他商品、服务。</w:t>
      </w:r>
    </w:p>
    <w:p w14:paraId="4C38D09A">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证明货物的合格性和符合公开招标文件规定的文件（如适用）</w:t>
      </w:r>
    </w:p>
    <w:p w14:paraId="3AA79131">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投标供应商应提交证明文件证明其拟投标的货物的合格性符合公开招标文件规定。该证明文件作为投标文件的一部分。</w:t>
      </w:r>
    </w:p>
    <w:p w14:paraId="4979D832">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投标供应商的服务承诺应按不低于公开招标文件中要求的服务标准做出响应。</w:t>
      </w:r>
    </w:p>
    <w:p w14:paraId="6267D65F">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上述文件可以是文字资料、图纸和数据等，并提供：</w:t>
      </w:r>
    </w:p>
    <w:p w14:paraId="4497DD0B">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（1）货物主要技术及性能特点的详细描述； </w:t>
      </w:r>
    </w:p>
    <w:p w14:paraId="1107C35E">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（2）货物主要部件的详细资料，包括检验报告等；</w:t>
      </w:r>
    </w:p>
    <w:p w14:paraId="71DEB4DA">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（3）一份在技术规格中规定的保证服务正常和连续运转期间所需要的所有备件和专业工具的详细清单包括供货来源信息。</w:t>
      </w:r>
    </w:p>
    <w:p w14:paraId="07CD08E2">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7.4没有按要求提供资料或提供资料不完全的或仅仅复制公开招标文件提供的技术参数并与实际提供设备参数不符，将被视为对公开招标文件没有做出实质性响应，其风险由投标供应商自行承担。</w:t>
      </w:r>
    </w:p>
    <w:p w14:paraId="5FDA78FA">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投标供应商提供的设备必须是正规厂家生产的高质量产品，不能提供劣质三无产品（无厂址,无商标,无合格证）。</w:t>
      </w:r>
    </w:p>
    <w:p w14:paraId="5B5FF579">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产品资料和检测报告所反映的技术参数和性能指标将作为验收产品实物的依据。</w:t>
      </w:r>
    </w:p>
    <w:p w14:paraId="0B58F6F5">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 对照公开招标文件技术规格、参数与要求，逐条说明所提供货物和服务已对公开招标文件的技术规格、参数与要求做出了实质性的响应，或申明与技术规格、参数与要求条文的偏差和例外。特别对于有具体参数要求的指标，投标供应商必须提供所投设备的具体参数值。</w:t>
      </w:r>
    </w:p>
    <w:p w14:paraId="6F06B9DE">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7.8 投标供应商在阐述上述时应注意公开招标文件“货物技术规格、参数与要求”中指出的工艺、材料和设备的标准以及参照的牌号或分类号仅起说明作用，并没有任何限制性。投标供应商在响应中可以选用替代标准、牌号或分类号，但这些替代要实质上相当于技术规格的要求，并且使采购方满意。</w:t>
      </w:r>
    </w:p>
    <w:p w14:paraId="70156192">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投标有效期</w:t>
      </w:r>
    </w:p>
    <w:p w14:paraId="7F4D1BD7">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8.1　投标有效期见投标供应商须知前附表，在此期间投标文件对投标供应商具有法律约束力，以保证采购人有足够的时间完成评标、定标以及签订合同。投标有效期从投标供应商须知前附表规定的投标截止之日起计算。投标有效期不足的，在评标时将其视为无效投标。</w:t>
      </w:r>
    </w:p>
    <w:p w14:paraId="4C320669">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8.2　特殊情况需延长投标有效期的，采购人或采购代理机构可于投标有效期届满之前，要求投标供应商同意延长有效期，采购人或采购代理机构的要求与投标供应商的答复均应为书面形式。投标供应商拒绝延长的，其投标在原投标有效期届满后将不再有效，但有权收回其投标保证金；投标供应商同意延长的，应相应延长其投标保证金的有效期，但不允许修改或撤回投标文件。</w:t>
      </w:r>
    </w:p>
    <w:p w14:paraId="362CB500">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投标文件的签署和规定见前投标须知前附表。</w:t>
      </w:r>
    </w:p>
    <w:p w14:paraId="6C288615">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10.投标文件的密封和标记见前投标须知前附表。</w:t>
      </w:r>
    </w:p>
    <w:p w14:paraId="69ACBF99">
      <w:pPr>
        <w:spacing w:line="440" w:lineRule="exact"/>
        <w:ind w:firstLine="482" w:firstLineChars="200"/>
        <w:rPr>
          <w:rFonts w:hint="eastAsia" w:ascii="宋体" w:hAnsi="宋体" w:cs="宋体"/>
          <w:b/>
          <w:sz w:val="24"/>
          <w:szCs w:val="24"/>
          <w:highlight w:val="none"/>
        </w:rPr>
      </w:pPr>
      <w:r>
        <w:rPr>
          <w:rFonts w:hint="eastAsia" w:ascii="宋体" w:hAnsi="宋体" w:cs="宋体"/>
          <w:b/>
          <w:sz w:val="24"/>
          <w:szCs w:val="24"/>
          <w:highlight w:val="none"/>
        </w:rPr>
        <w:t>11. 投标保证金</w:t>
      </w:r>
    </w:p>
    <w:p w14:paraId="233F470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11.1  招标方因投标人的违规行为而受到损害时将不予退还投标人的投标保证金，将其作为所受损害的补偿。</w:t>
      </w:r>
    </w:p>
    <w:p w14:paraId="4D955181">
      <w:pPr>
        <w:pStyle w:val="14"/>
        <w:spacing w:line="440" w:lineRule="exact"/>
        <w:ind w:firstLine="480" w:firstLineChars="200"/>
        <w:rPr>
          <w:rFonts w:hint="eastAsia" w:hAnsi="宋体" w:cs="宋体"/>
          <w:sz w:val="24"/>
          <w:highlight w:val="none"/>
        </w:rPr>
      </w:pPr>
      <w:r>
        <w:rPr>
          <w:rFonts w:hint="eastAsia" w:hAnsi="宋体" w:cs="宋体"/>
          <w:sz w:val="24"/>
          <w:highlight w:val="none"/>
        </w:rPr>
        <w:t>11.2　投标保证金应当以支票、汇票、本票、保函等非现金形式提交，必须从投标人基本账户转出，其有效期应不低于投标有效期。投标人未按照招标文件要求提交投标保证金的，投标无效。</w:t>
      </w:r>
    </w:p>
    <w:p w14:paraId="746499E7">
      <w:pPr>
        <w:pStyle w:val="14"/>
        <w:spacing w:line="440" w:lineRule="exact"/>
        <w:ind w:firstLine="480" w:firstLineChars="200"/>
        <w:rPr>
          <w:rFonts w:hint="eastAsia" w:hAnsi="宋体" w:cs="宋体"/>
          <w:sz w:val="24"/>
          <w:highlight w:val="none"/>
        </w:rPr>
      </w:pPr>
      <w:r>
        <w:rPr>
          <w:rFonts w:hint="eastAsia" w:hAnsi="宋体" w:cs="宋体"/>
          <w:sz w:val="24"/>
          <w:highlight w:val="none"/>
        </w:rPr>
        <w:t>11.3  投标人应提交投标保证金，并于投标保证金缴纳截止时间前到达新疆守正项目管理咨询有限公司指定账户（人民币）。如是本地转账支票需于投标保证金缴纳截止时间三个工作日前向新疆守正项目管理咨询有限公司送达，如投标保证金为汇款形式的，（汇款时汇款单填写内容须备注项目编号及包号）。</w:t>
      </w:r>
    </w:p>
    <w:p w14:paraId="52711D2A">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11.4　未中标的投标人的投标保证金，将在中标通知书发出后5个工作日内无息退还。</w:t>
      </w:r>
    </w:p>
    <w:p w14:paraId="5878C3FA">
      <w:pPr>
        <w:spacing w:line="460" w:lineRule="atLeast"/>
        <w:ind w:firstLine="480" w:firstLineChars="200"/>
        <w:rPr>
          <w:rFonts w:hint="eastAsia" w:ascii="宋体" w:hAnsi="宋体" w:cs="宋体"/>
          <w:sz w:val="24"/>
          <w:highlight w:val="none"/>
        </w:rPr>
      </w:pPr>
      <w:r>
        <w:rPr>
          <w:rFonts w:hint="eastAsia" w:ascii="宋体" w:hAnsi="宋体" w:cs="宋体"/>
          <w:sz w:val="24"/>
          <w:szCs w:val="24"/>
          <w:highlight w:val="none"/>
        </w:rPr>
        <w:t>11.5  中标人的投标保证金，将在领取中标通知书，缴纳履约保证金并签订合同后5个工作日内无息退还。</w:t>
      </w:r>
    </w:p>
    <w:p w14:paraId="2C0320FE">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11.6在评标过程中，如发现下列情况之一的，其投标将被拒绝；</w:t>
      </w:r>
    </w:p>
    <w:p w14:paraId="0F157B94">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（1）未按规定提交投标保证金的投标；</w:t>
      </w:r>
    </w:p>
    <w:p w14:paraId="4632A54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（2）投标文件技术规格中的响应与事实不符或虚假投标的；</w:t>
      </w:r>
    </w:p>
    <w:p w14:paraId="1FFC27D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（3）投标人复制招标文件的技术规格相关部分内容作为其投标文件的一部分；</w:t>
      </w:r>
    </w:p>
    <w:p w14:paraId="2791CED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（4）投标文件符合招标文件中规定废标的其它技术条款；</w:t>
      </w:r>
    </w:p>
    <w:p w14:paraId="1FB885CA">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（5）投标人拒绝修正错误的；</w:t>
      </w:r>
    </w:p>
    <w:p w14:paraId="04F16A0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（6）投标文件的关键内容字迹模糊，无法辨认的；</w:t>
      </w:r>
    </w:p>
    <w:p w14:paraId="3C7C771D">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（7）投标有效期不足的；</w:t>
      </w:r>
    </w:p>
    <w:p w14:paraId="0DF269B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（8）其他违反相关法律法规规定的行为的；</w:t>
      </w:r>
    </w:p>
    <w:p w14:paraId="27CDF3E3">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（9）评标委员会认为是其他应当否决的投标。</w:t>
      </w:r>
    </w:p>
    <w:p w14:paraId="2312089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11.7下列任何情况发生时，投标保证金将不予退还，转为违约金：</w:t>
      </w:r>
    </w:p>
    <w:p w14:paraId="05E1048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  投标人在投标截止期后，投标有效期内撤回投标；</w:t>
      </w:r>
    </w:p>
    <w:p w14:paraId="247800FE">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  投标人在规定期限内未按规定向采购人缴纳履约保证金；</w:t>
      </w:r>
    </w:p>
    <w:p w14:paraId="2ACAE877">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  中标人未按投标人须知规定缴纳招标代理费；</w:t>
      </w:r>
    </w:p>
    <w:p w14:paraId="4544EF0D">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  以他人名义投标或者以其他方式弄虚作假，骗取中标；</w:t>
      </w:r>
    </w:p>
    <w:p w14:paraId="0093AD0E">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  打架斗殴，扰乱会场秩序；</w:t>
      </w:r>
    </w:p>
    <w:p w14:paraId="3C6291B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  本招标文件中或《政府采购货物和服务招标投标管理办法》第七十五条规定的其他不予退还投标保证金的情形。</w:t>
      </w:r>
    </w:p>
    <w:p w14:paraId="2C7C9942">
      <w:pPr>
        <w:spacing w:line="440" w:lineRule="exact"/>
        <w:ind w:firstLine="840" w:firstLineChars="350"/>
        <w:rPr>
          <w:rFonts w:hint="eastAsia" w:ascii="宋体" w:hAnsi="宋体" w:cs="宋体"/>
          <w:sz w:val="24"/>
          <w:szCs w:val="24"/>
          <w:highlight w:val="none"/>
        </w:rPr>
      </w:pPr>
      <w:r>
        <w:rPr>
          <w:rFonts w:hint="eastAsia" w:ascii="宋体" w:hAnsi="宋体" w:cs="宋体"/>
          <w:sz w:val="24"/>
          <w:szCs w:val="24"/>
          <w:highlight w:val="none"/>
        </w:rPr>
        <w:t>上述不予退还投标保证金的情况并给招标代理机构造成损失的，还要承担赔偿责任。</w:t>
      </w:r>
    </w:p>
    <w:p w14:paraId="43104960">
      <w:pPr>
        <w:spacing w:line="440" w:lineRule="exact"/>
        <w:rPr>
          <w:rFonts w:hint="eastAsia" w:ascii="宋体" w:hAnsi="宋体" w:cs="宋体"/>
          <w:color w:val="000000" w:themeColor="text1"/>
          <w:sz w:val="24"/>
          <w:szCs w:val="24"/>
          <w:highlight w:val="none"/>
          <w14:textFill>
            <w14:solidFill>
              <w14:schemeClr w14:val="tx1"/>
            </w14:solidFill>
          </w14:textFill>
        </w:rPr>
      </w:pPr>
    </w:p>
    <w:p w14:paraId="62DBBDE4">
      <w:pPr>
        <w:spacing w:line="440" w:lineRule="exact"/>
        <w:ind w:firstLine="482"/>
        <w:jc w:val="center"/>
        <w:outlineLvl w:val="1"/>
        <w:rPr>
          <w:rFonts w:hint="eastAsia" w:ascii="宋体" w:hAnsi="宋体" w:cs="宋体"/>
          <w:b/>
          <w:color w:val="000000" w:themeColor="text1"/>
          <w:sz w:val="28"/>
          <w:szCs w:val="32"/>
          <w:highlight w:val="none"/>
          <w14:textFill>
            <w14:solidFill>
              <w14:schemeClr w14:val="tx1"/>
            </w14:solidFill>
          </w14:textFill>
        </w:rPr>
      </w:pPr>
      <w:bookmarkStart w:id="16" w:name="_Toc89792132"/>
      <w:bookmarkStart w:id="17" w:name="_Toc17974"/>
      <w:r>
        <w:rPr>
          <w:rFonts w:hint="eastAsia" w:ascii="宋体" w:hAnsi="宋体" w:cs="宋体"/>
          <w:b/>
          <w:color w:val="000000" w:themeColor="text1"/>
          <w:sz w:val="28"/>
          <w:szCs w:val="32"/>
          <w:highlight w:val="none"/>
          <w14:textFill>
            <w14:solidFill>
              <w14:schemeClr w14:val="tx1"/>
            </w14:solidFill>
          </w14:textFill>
        </w:rPr>
        <w:t>第三章 投标文件的递交</w:t>
      </w:r>
      <w:bookmarkEnd w:id="16"/>
      <w:bookmarkEnd w:id="17"/>
    </w:p>
    <w:p w14:paraId="2310C1C0">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投标文件的标记</w:t>
      </w:r>
    </w:p>
    <w:p w14:paraId="54E5A822">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w:t>
      </w:r>
      <w:r>
        <w:rPr>
          <w:rStyle w:val="154"/>
          <w:rFonts w:hint="eastAsia" w:ascii="宋体" w:hAnsi="宋体" w:cs="宋体"/>
          <w:color w:val="000000" w:themeColor="text1"/>
          <w:sz w:val="24"/>
          <w:highlight w:val="none"/>
          <w14:textFill>
            <w14:solidFill>
              <w14:schemeClr w14:val="tx1"/>
            </w14:solidFill>
          </w14:textFill>
        </w:rPr>
        <w:t>本项目采用不见面电子标。</w:t>
      </w:r>
      <w:r>
        <w:rPr>
          <w:rFonts w:hint="eastAsia" w:ascii="宋体" w:hAnsi="宋体" w:cs="宋体"/>
          <w:color w:val="000000" w:themeColor="text1"/>
          <w:sz w:val="24"/>
          <w:szCs w:val="24"/>
          <w:highlight w:val="none"/>
          <w14:textFill>
            <w14:solidFill>
              <w14:schemeClr w14:val="tx1"/>
            </w14:solidFill>
          </w14:textFill>
        </w:rPr>
        <w:t>　</w:t>
      </w:r>
    </w:p>
    <w:p w14:paraId="097001D6">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12.2任何不完整或不满足公开招标文件要求的投标文件将被拒绝。　</w:t>
      </w:r>
    </w:p>
    <w:p w14:paraId="29032E48">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13. 投标截止时间</w:t>
      </w:r>
    </w:p>
    <w:p w14:paraId="7A135B31">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投标供应商应在本章规定的投标截止时间前和地点递交投标文件。</w:t>
      </w:r>
    </w:p>
    <w:p w14:paraId="539E5B3D">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　</w:t>
      </w:r>
      <w:r>
        <w:rPr>
          <w:rStyle w:val="154"/>
          <w:rFonts w:hint="eastAsia" w:ascii="宋体" w:hAnsi="宋体" w:cs="宋体"/>
          <w:color w:val="000000" w:themeColor="text1"/>
          <w:sz w:val="24"/>
          <w:highlight w:val="none"/>
          <w14:textFill>
            <w14:solidFill>
              <w14:schemeClr w14:val="tx1"/>
            </w14:solidFill>
          </w14:textFill>
        </w:rPr>
        <w:t>除投标供应商须知前附表另有规定外，投标供应商所递交的投标文件不予退还</w:t>
      </w:r>
      <w:r>
        <w:rPr>
          <w:rFonts w:hint="eastAsia" w:ascii="宋体" w:hAnsi="宋体" w:cs="宋体"/>
          <w:color w:val="000000" w:themeColor="text1"/>
          <w:sz w:val="24"/>
          <w:szCs w:val="24"/>
          <w:highlight w:val="none"/>
          <w14:textFill>
            <w14:solidFill>
              <w14:schemeClr w14:val="tx1"/>
            </w14:solidFill>
          </w14:textFill>
        </w:rPr>
        <w:t>。</w:t>
      </w:r>
    </w:p>
    <w:p w14:paraId="7D1F177C">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13.3  </w:t>
      </w:r>
      <w:r>
        <w:rPr>
          <w:rStyle w:val="154"/>
          <w:rFonts w:hint="eastAsia" w:ascii="宋体" w:hAnsi="宋体" w:cs="宋体"/>
          <w:color w:val="000000" w:themeColor="text1"/>
          <w:sz w:val="24"/>
          <w:highlight w:val="none"/>
          <w14:textFill>
            <w14:solidFill>
              <w14:schemeClr w14:val="tx1"/>
            </w14:solidFill>
          </w14:textFill>
        </w:rPr>
        <w:t>逾期送达的或者未送达指定地点的投标文件，采购人不予受理</w:t>
      </w:r>
    </w:p>
    <w:p w14:paraId="2CD4F891">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  出现因公开招标文件的修改而推迟投标截止时间的情况时，投标供应商则需按招标方的书面修改通知重新规定的投标时间递交。</w:t>
      </w:r>
    </w:p>
    <w:p w14:paraId="0150AAB8">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14. 投标文件</w:t>
      </w:r>
      <w:r>
        <w:rPr>
          <w:rStyle w:val="154"/>
          <w:rFonts w:hint="eastAsia" w:ascii="宋体" w:hAnsi="宋体" w:cs="宋体"/>
          <w:b/>
          <w:bCs/>
          <w:color w:val="000000" w:themeColor="text1"/>
          <w:sz w:val="24"/>
          <w:highlight w:val="none"/>
          <w14:textFill>
            <w14:solidFill>
              <w14:schemeClr w14:val="tx1"/>
            </w14:solidFill>
          </w14:textFill>
        </w:rPr>
        <w:t>的</w:t>
      </w:r>
      <w:r>
        <w:rPr>
          <w:rStyle w:val="154"/>
          <w:rFonts w:hint="eastAsia" w:ascii="宋体" w:hAnsi="宋体" w:cs="宋体"/>
          <w:b/>
          <w:color w:val="000000" w:themeColor="text1"/>
          <w:kern w:val="0"/>
          <w:sz w:val="24"/>
          <w:highlight w:val="none"/>
          <w:lang w:val="zh-CN"/>
          <w14:textFill>
            <w14:solidFill>
              <w14:schemeClr w14:val="tx1"/>
            </w14:solidFill>
          </w14:textFill>
        </w:rPr>
        <w:t>补充、修改或者撤回</w:t>
      </w:r>
    </w:p>
    <w:p w14:paraId="0EB218BB">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14.1 投标供应商在公开招标文件规定的提交投标文件截止时间前，可以撤回已递交的投标文件。如要修改，必须在撤回并修改后在规定的投标文件递交截止时间之前将修改后的投标文件再重新递交。在投标文件递交截止时间之后，供应商不得对已经递交的投标文件撤销或修改。</w:t>
      </w:r>
    </w:p>
    <w:p w14:paraId="616B8723">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投标供应商不得在开标后至投标有效期期满前撤销投标文件，否则招标方将不予退还其投标保证金。</w:t>
      </w:r>
    </w:p>
    <w:p w14:paraId="752C40CF">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p>
    <w:p w14:paraId="3DBF4DB8">
      <w:pPr>
        <w:spacing w:line="440" w:lineRule="exact"/>
        <w:ind w:firstLine="422" w:firstLineChars="150"/>
        <w:jc w:val="center"/>
        <w:outlineLvl w:val="1"/>
        <w:rPr>
          <w:rFonts w:hint="eastAsia" w:ascii="宋体" w:hAnsi="宋体" w:cs="宋体"/>
          <w:color w:val="000000" w:themeColor="text1"/>
          <w:sz w:val="22"/>
          <w:highlight w:val="none"/>
          <w14:textFill>
            <w14:solidFill>
              <w14:schemeClr w14:val="tx1"/>
            </w14:solidFill>
          </w14:textFill>
        </w:rPr>
      </w:pPr>
      <w:bookmarkStart w:id="18" w:name="_Toc19458"/>
      <w:bookmarkStart w:id="19" w:name="_Toc89792133"/>
      <w:r>
        <w:rPr>
          <w:rFonts w:hint="eastAsia" w:ascii="宋体" w:hAnsi="宋体" w:cs="宋体"/>
          <w:b/>
          <w:color w:val="000000" w:themeColor="text1"/>
          <w:sz w:val="28"/>
          <w:szCs w:val="32"/>
          <w:highlight w:val="none"/>
          <w14:textFill>
            <w14:solidFill>
              <w14:schemeClr w14:val="tx1"/>
            </w14:solidFill>
          </w14:textFill>
        </w:rPr>
        <w:t xml:space="preserve">第四章 </w:t>
      </w:r>
      <w:bookmarkEnd w:id="18"/>
      <w:bookmarkEnd w:id="19"/>
      <w:r>
        <w:rPr>
          <w:rFonts w:hint="eastAsia" w:ascii="宋体" w:hAnsi="宋体" w:cs="宋体"/>
          <w:b/>
          <w:color w:val="000000" w:themeColor="text1"/>
          <w:sz w:val="28"/>
          <w:szCs w:val="32"/>
          <w:highlight w:val="none"/>
          <w14:textFill>
            <w14:solidFill>
              <w14:schemeClr w14:val="tx1"/>
            </w14:solidFill>
          </w14:textFill>
        </w:rPr>
        <w:t>评标委员会</w:t>
      </w:r>
    </w:p>
    <w:p w14:paraId="6F1563E2">
      <w:pPr>
        <w:spacing w:line="440" w:lineRule="exact"/>
        <w:ind w:left="481" w:leftChars="229"/>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15. 评标委员会</w:t>
      </w:r>
    </w:p>
    <w:p w14:paraId="22A5BF5A">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15.1  招标方将根据《中华人民共和国政府采购法》和相关法律法规，依法组建本次招标的评标委员会，负责本次招标的评标活动。评标委员会负责按公开招标文件规定的评标标准向招标方推荐中标候选人，并标明排列顺序。</w:t>
      </w:r>
    </w:p>
    <w:p w14:paraId="4BAAA90D">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15.2　评标委员会人选于开标前确定。评标委员会成员名单在中标结果确定前保密。</w:t>
      </w:r>
    </w:p>
    <w:p w14:paraId="6D242AE4">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15.3  评标委员会由有关技术、经济等方面的五名及五名以上专家组成。</w:t>
      </w:r>
    </w:p>
    <w:p w14:paraId="1F8E5E7F">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15.4  按前款规定，评标委员会的成员，由招标方从专家库采取随机抽取的方式确定。对于技术复杂、专业性要求较高或者国家有特殊要求的招标项目，采取随机抽取的方式抽取的专家不能满足评标工作需要时，可采取直接确定的方式选定评标委员会的人选。</w:t>
      </w:r>
    </w:p>
    <w:p w14:paraId="33CBF6BE">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15.5评标委员会成员应当熟悉并认真研究公开招标文件，至少应了解和熟悉以下内容：</w:t>
      </w:r>
    </w:p>
    <w:p w14:paraId="32C5B13D">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（1）招标目的；</w:t>
      </w:r>
    </w:p>
    <w:p w14:paraId="652D3F4F">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（2）招标项目的范围、性质；</w:t>
      </w:r>
    </w:p>
    <w:p w14:paraId="13E2A4DA">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（3）公开招标文件中规定的主要技术要求、标准和商务条款；</w:t>
      </w:r>
    </w:p>
    <w:p w14:paraId="78DAE8ED">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（4）公开招标文件规定的评标标准、评标方法和在评标过程中应考虑的相关因素。</w:t>
      </w:r>
    </w:p>
    <w:p w14:paraId="0126D2F9">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15.6  评标委员会应当根据公开招标文件规定的评标标准和方法，对投标文件进行系统地评审。公开招标文件中没有规定的标准和方法不得作为评标的依据。</w:t>
      </w:r>
    </w:p>
    <w:p w14:paraId="49784C22">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15.7  评标委员会成员应当客观、公正地履行职责，遵守职业道德，并对所提出的评审意见承担个人责任。评标委员会成员不得与任何投标供应商或者与招标结果有利害关系的人员进行私下接触，不得收受投标供应商、中介人或其他有利害关系人的财物或好处。</w:t>
      </w:r>
    </w:p>
    <w:p w14:paraId="270D9E9A">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15.8  评标委员会成员和与本次评标活动有关的工作人员，不得透露对投标文件的评审和中标候选人的推荐情况以及与评标有关的其他情况。</w:t>
      </w:r>
    </w:p>
    <w:p w14:paraId="508A4E9D">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15.9　与评标活动有关的工作人员，是指评标委员会成员以外的、因参与评标监督工作或者事务性工作而知悉有关评标情况的所有人员。</w:t>
      </w:r>
    </w:p>
    <w:p w14:paraId="64F6C09D">
      <w:pPr>
        <w:spacing w:line="440" w:lineRule="exact"/>
        <w:jc w:val="center"/>
        <w:rPr>
          <w:rFonts w:hint="eastAsia" w:ascii="宋体" w:hAnsi="宋体" w:cs="宋体"/>
          <w:b/>
          <w:color w:val="000000" w:themeColor="text1"/>
          <w:sz w:val="32"/>
          <w:szCs w:val="32"/>
          <w:highlight w:val="none"/>
          <w14:textFill>
            <w14:solidFill>
              <w14:schemeClr w14:val="tx1"/>
            </w14:solidFill>
          </w14:textFill>
        </w:rPr>
      </w:pPr>
    </w:p>
    <w:p w14:paraId="6948303B">
      <w:pPr>
        <w:spacing w:line="440" w:lineRule="exact"/>
        <w:jc w:val="center"/>
        <w:outlineLvl w:val="1"/>
        <w:rPr>
          <w:rFonts w:hint="eastAsia" w:ascii="宋体" w:hAnsi="宋体" w:cs="宋体"/>
          <w:b/>
          <w:color w:val="000000" w:themeColor="text1"/>
          <w:sz w:val="28"/>
          <w:szCs w:val="32"/>
          <w:highlight w:val="none"/>
          <w14:textFill>
            <w14:solidFill>
              <w14:schemeClr w14:val="tx1"/>
            </w14:solidFill>
          </w14:textFill>
        </w:rPr>
      </w:pPr>
      <w:bookmarkStart w:id="20" w:name="_Toc89792134"/>
      <w:bookmarkStart w:id="21" w:name="_Toc27696"/>
      <w:r>
        <w:rPr>
          <w:rFonts w:hint="eastAsia" w:ascii="宋体" w:hAnsi="宋体" w:cs="宋体"/>
          <w:b/>
          <w:color w:val="000000" w:themeColor="text1"/>
          <w:sz w:val="28"/>
          <w:szCs w:val="32"/>
          <w:highlight w:val="none"/>
          <w14:textFill>
            <w14:solidFill>
              <w14:schemeClr w14:val="tx1"/>
            </w14:solidFill>
          </w14:textFill>
        </w:rPr>
        <w:t>第五章 开　标</w:t>
      </w:r>
      <w:bookmarkEnd w:id="20"/>
      <w:bookmarkEnd w:id="21"/>
    </w:p>
    <w:p w14:paraId="116F488A">
      <w:pPr>
        <w:spacing w:line="440" w:lineRule="exact"/>
        <w:ind w:firstLine="474" w:firstLineChars="200"/>
        <w:rPr>
          <w:rFonts w:hint="eastAsia" w:ascii="宋体" w:hAnsi="宋体" w:cs="宋体"/>
          <w:b/>
          <w:color w:val="000000" w:themeColor="text1"/>
          <w:spacing w:val="-2"/>
          <w:sz w:val="24"/>
          <w:szCs w:val="24"/>
          <w:highlight w:val="none"/>
          <w14:textFill>
            <w14:solidFill>
              <w14:schemeClr w14:val="tx1"/>
            </w14:solidFill>
          </w14:textFill>
        </w:rPr>
      </w:pPr>
      <w:r>
        <w:rPr>
          <w:rFonts w:hint="eastAsia" w:ascii="宋体" w:hAnsi="宋体" w:cs="宋体"/>
          <w:b/>
          <w:color w:val="000000" w:themeColor="text1"/>
          <w:spacing w:val="-2"/>
          <w:sz w:val="24"/>
          <w:szCs w:val="24"/>
          <w:highlight w:val="none"/>
          <w14:textFill>
            <w14:solidFill>
              <w14:schemeClr w14:val="tx1"/>
            </w14:solidFill>
          </w14:textFill>
        </w:rPr>
        <w:t>16. 开标</w:t>
      </w:r>
    </w:p>
    <w:p w14:paraId="753E8855">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16.1开标会按“第一章 招标公告”规定的开标时间和地点准时举行，采购人、采购代理机构邀请所有投标人准时参加开标会。投标人应按照招标文件的要求参与不见面开标。</w:t>
      </w:r>
    </w:p>
    <w:p w14:paraId="7B01198A">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16.2 采购代理机构按照招标文件规定的时间、地点主持开标。采购人在规定的投标文件递交截止时间（开标时间）和地点进行不见面远程开标。投标人的法定代表人或其委托代理人无需到达开标现场，仅需在任意地点通过新疆政府采购电子交易云平台（网址：http://www.ccgp-xinjiang.gov.cn/）的“政采云登录入口”登录后，进入“政采云远程开标大厅”参加开标会议，并使用CA密钥完成远程解密、提疑澄清、开标唱标、结果公布等交互环节。</w:t>
      </w:r>
    </w:p>
    <w:p w14:paraId="743DBC4A">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 xml:space="preserve">16.3开标过程将宣布投标人名称、投标价格和招标文件规定的需要宣布的其他内容并进行记录，并由参加开标的各投标人确认。投标人未在规定时间内提出疑义或确认一览表的，视同认可开标结果。 </w:t>
      </w:r>
    </w:p>
    <w:p w14:paraId="7F6D5824">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16.4.开标程序</w:t>
      </w:r>
    </w:p>
    <w:p w14:paraId="20DB679F">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16.4.1 投标人不足3家的，不得开标。</w:t>
      </w:r>
    </w:p>
    <w:p w14:paraId="1C23130F">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16.4.2 评标委员会成员不得参加开标活动。</w:t>
      </w:r>
    </w:p>
    <w:p w14:paraId="089EE731">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16.4.3主持人按下列程序进行开标：</w:t>
      </w:r>
    </w:p>
    <w:p w14:paraId="5317F3E1">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（1）宣布开标会纪律；</w:t>
      </w:r>
    </w:p>
    <w:p w14:paraId="58F3D79A">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（2）介绍参加开标会的单位和人员；</w:t>
      </w:r>
    </w:p>
    <w:p w14:paraId="1DA3191F">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（3）发起投标文件解密。投标人应在“投标人须知前附表”规定的时间内使用加密投标文件的CA证书在系统中完成投标文件的解密；</w:t>
      </w:r>
    </w:p>
    <w:p w14:paraId="15077C80">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（4）解密完成后，系统自动显示投标人名称、投标价格和招标文件规定的需要宣布的其他内容；</w:t>
      </w:r>
    </w:p>
    <w:p w14:paraId="5B4003DA">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（5）系统自动生成开标记录表，供应商应在线对开标记录进行签署确认；</w:t>
      </w:r>
    </w:p>
    <w:p w14:paraId="41E0BBBB">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（6）开标会结束。</w:t>
      </w:r>
    </w:p>
    <w:p w14:paraId="658EC03C">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16.5.开标疑义及回避情形</w:t>
      </w:r>
    </w:p>
    <w:p w14:paraId="3071ACB1">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16.5.1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13FAD58D">
      <w:pPr>
        <w:spacing w:line="440" w:lineRule="exact"/>
        <w:ind w:firstLine="472" w:firstLineChars="200"/>
        <w:rPr>
          <w:rFonts w:hint="eastAsia" w:ascii="宋体" w:hAnsi="宋体" w:cs="宋体"/>
          <w:bCs/>
          <w:color w:val="000000" w:themeColor="text1"/>
          <w:spacing w:val="-2"/>
          <w:sz w:val="24"/>
          <w:szCs w:val="24"/>
          <w:highlight w:val="none"/>
          <w14:textFill>
            <w14:solidFill>
              <w14:schemeClr w14:val="tx1"/>
            </w14:solidFill>
          </w14:textFill>
        </w:rPr>
      </w:pPr>
      <w:r>
        <w:rPr>
          <w:rFonts w:hint="eastAsia" w:ascii="宋体" w:hAnsi="宋体" w:cs="宋体"/>
          <w:bCs/>
          <w:color w:val="000000" w:themeColor="text1"/>
          <w:spacing w:val="-2"/>
          <w:sz w:val="24"/>
          <w:szCs w:val="24"/>
          <w:highlight w:val="none"/>
          <w14:textFill>
            <w14:solidFill>
              <w14:schemeClr w14:val="tx1"/>
            </w14:solidFill>
          </w14:textFill>
        </w:rPr>
        <w:t>16.5.2投标人未参加开标的，视同认可开标结果。</w:t>
      </w:r>
    </w:p>
    <w:p w14:paraId="18DF2E22">
      <w:pPr>
        <w:spacing w:line="440" w:lineRule="exact"/>
        <w:ind w:firstLine="474" w:firstLineChars="200"/>
        <w:rPr>
          <w:rFonts w:hint="eastAsia" w:ascii="宋体" w:hAnsi="宋体" w:cs="宋体"/>
          <w:b/>
          <w:color w:val="000000" w:themeColor="text1"/>
          <w:spacing w:val="-2"/>
          <w:sz w:val="24"/>
          <w:szCs w:val="24"/>
          <w:highlight w:val="none"/>
          <w14:textFill>
            <w14:solidFill>
              <w14:schemeClr w14:val="tx1"/>
            </w14:solidFill>
          </w14:textFill>
        </w:rPr>
      </w:pPr>
      <w:r>
        <w:rPr>
          <w:rFonts w:hint="eastAsia" w:ascii="宋体" w:hAnsi="宋体" w:cs="宋体"/>
          <w:b/>
          <w:color w:val="000000" w:themeColor="text1"/>
          <w:spacing w:val="-2"/>
          <w:sz w:val="24"/>
          <w:szCs w:val="24"/>
          <w:highlight w:val="none"/>
          <w14:textFill>
            <w14:solidFill>
              <w14:schemeClr w14:val="tx1"/>
            </w14:solidFill>
          </w14:textFill>
        </w:rPr>
        <w:t>★17. 资格审查</w:t>
      </w:r>
    </w:p>
    <w:p w14:paraId="44F992C3">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17.1　公开招标采购项目开标结束后，采购人或者采购代理机构应当依法对投标供应商的资格进行审查。合格投标供应商不足3家的，不得评标。</w:t>
      </w:r>
    </w:p>
    <w:p w14:paraId="35801676">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资格审查内容如下：</w:t>
      </w:r>
    </w:p>
    <w:p w14:paraId="0DEA7B9F">
      <w:pPr>
        <w:pStyle w:val="21"/>
        <w:rPr>
          <w:rFonts w:hint="eastAsia" w:ascii="宋体" w:hAnsi="宋体" w:cs="宋体"/>
          <w:color w:val="000000" w:themeColor="text1"/>
          <w:highlight w:val="none"/>
          <w14:textFill>
            <w14:solidFill>
              <w14:schemeClr w14:val="tx1"/>
            </w14:solidFill>
          </w14:textFill>
        </w:rPr>
      </w:pPr>
    </w:p>
    <w:p w14:paraId="77953290">
      <w:pPr>
        <w:pStyle w:val="21"/>
        <w:rPr>
          <w:rFonts w:hint="eastAsia" w:ascii="宋体" w:hAnsi="宋体" w:cs="宋体"/>
          <w:color w:val="000000" w:themeColor="text1"/>
          <w:highlight w:val="none"/>
          <w14:textFill>
            <w14:solidFill>
              <w14:schemeClr w14:val="tx1"/>
            </w14:solidFill>
          </w14:textFill>
        </w:rPr>
      </w:pPr>
    </w:p>
    <w:p w14:paraId="31C1BA2C">
      <w:pPr>
        <w:spacing w:line="440" w:lineRule="exact"/>
        <w:ind w:firstLine="554" w:firstLineChars="200"/>
        <w:jc w:val="center"/>
        <w:rPr>
          <w:rFonts w:hint="eastAsia" w:ascii="宋体" w:hAnsi="宋体" w:cs="宋体"/>
          <w:b/>
          <w:color w:val="000000" w:themeColor="text1"/>
          <w:spacing w:val="-2"/>
          <w:sz w:val="28"/>
          <w:szCs w:val="24"/>
          <w:highlight w:val="none"/>
          <w14:textFill>
            <w14:solidFill>
              <w14:schemeClr w14:val="tx1"/>
            </w14:solidFill>
          </w14:textFill>
        </w:rPr>
      </w:pPr>
      <w:r>
        <w:rPr>
          <w:rFonts w:hint="eastAsia" w:ascii="宋体" w:hAnsi="宋体" w:cs="宋体"/>
          <w:b/>
          <w:color w:val="000000" w:themeColor="text1"/>
          <w:spacing w:val="-2"/>
          <w:sz w:val="28"/>
          <w:szCs w:val="24"/>
          <w:highlight w:val="none"/>
          <w14:textFill>
            <w14:solidFill>
              <w14:schemeClr w14:val="tx1"/>
            </w14:solidFill>
          </w14:textFill>
        </w:rPr>
        <w:t>资格审查</w:t>
      </w:r>
    </w:p>
    <w:tbl>
      <w:tblPr>
        <w:tblStyle w:val="25"/>
        <w:tblW w:w="8665" w:type="dxa"/>
        <w:jc w:val="center"/>
        <w:tblLayout w:type="fixed"/>
        <w:tblCellMar>
          <w:top w:w="0" w:type="dxa"/>
          <w:left w:w="108" w:type="dxa"/>
          <w:bottom w:w="0" w:type="dxa"/>
          <w:right w:w="108" w:type="dxa"/>
        </w:tblCellMar>
      </w:tblPr>
      <w:tblGrid>
        <w:gridCol w:w="464"/>
        <w:gridCol w:w="1708"/>
        <w:gridCol w:w="6493"/>
      </w:tblGrid>
      <w:tr w14:paraId="28837944">
        <w:tblPrEx>
          <w:tblCellMar>
            <w:top w:w="0" w:type="dxa"/>
            <w:left w:w="108" w:type="dxa"/>
            <w:bottom w:w="0" w:type="dxa"/>
            <w:right w:w="108" w:type="dxa"/>
          </w:tblCellMar>
        </w:tblPrEx>
        <w:trPr>
          <w:trHeight w:val="916"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00FE733">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序号</w:t>
            </w:r>
          </w:p>
        </w:tc>
        <w:tc>
          <w:tcPr>
            <w:tcW w:w="1708" w:type="dxa"/>
            <w:tcBorders>
              <w:top w:val="single" w:color="auto" w:sz="4" w:space="0"/>
              <w:left w:val="nil"/>
              <w:bottom w:val="single" w:color="auto" w:sz="4" w:space="0"/>
              <w:right w:val="single" w:color="auto" w:sz="4" w:space="0"/>
            </w:tcBorders>
            <w:vAlign w:val="center"/>
          </w:tcPr>
          <w:p w14:paraId="2D2578BA">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评审因素</w:t>
            </w:r>
          </w:p>
        </w:tc>
        <w:tc>
          <w:tcPr>
            <w:tcW w:w="6493" w:type="dxa"/>
            <w:tcBorders>
              <w:top w:val="single" w:color="auto" w:sz="4" w:space="0"/>
              <w:left w:val="nil"/>
              <w:bottom w:val="single" w:color="auto" w:sz="4" w:space="0"/>
              <w:right w:val="single" w:color="auto" w:sz="4" w:space="0"/>
            </w:tcBorders>
            <w:vAlign w:val="center"/>
          </w:tcPr>
          <w:p w14:paraId="11955250">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评审标准</w:t>
            </w:r>
          </w:p>
        </w:tc>
      </w:tr>
      <w:tr w14:paraId="2F8A9218">
        <w:tblPrEx>
          <w:tblCellMar>
            <w:top w:w="0" w:type="dxa"/>
            <w:left w:w="108" w:type="dxa"/>
            <w:bottom w:w="0" w:type="dxa"/>
            <w:right w:w="108" w:type="dxa"/>
          </w:tblCellMar>
        </w:tblPrEx>
        <w:trPr>
          <w:trHeight w:val="35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56CFF401">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708" w:type="dxa"/>
            <w:tcBorders>
              <w:top w:val="single" w:color="auto" w:sz="4" w:space="0"/>
              <w:left w:val="nil"/>
              <w:bottom w:val="single" w:color="auto" w:sz="4" w:space="0"/>
              <w:right w:val="single" w:color="auto" w:sz="4" w:space="0"/>
            </w:tcBorders>
            <w:vAlign w:val="center"/>
          </w:tcPr>
          <w:p w14:paraId="02D09D17">
            <w:pP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具有独立承担民事责任的能力；</w:t>
            </w:r>
          </w:p>
        </w:tc>
        <w:tc>
          <w:tcPr>
            <w:tcW w:w="6493" w:type="dxa"/>
            <w:tcBorders>
              <w:top w:val="single" w:color="auto" w:sz="4" w:space="0"/>
              <w:left w:val="nil"/>
              <w:bottom w:val="single" w:color="auto" w:sz="4" w:space="0"/>
              <w:right w:val="single" w:color="auto" w:sz="4" w:space="0"/>
            </w:tcBorders>
            <w:vAlign w:val="center"/>
          </w:tcPr>
          <w:p w14:paraId="18271CDA">
            <w:pP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三证合一营业执照（副本）或事业单位法人证书（副本）复印件</w:t>
            </w:r>
          </w:p>
        </w:tc>
      </w:tr>
      <w:tr w14:paraId="7E7510D7">
        <w:tblPrEx>
          <w:tblCellMar>
            <w:top w:w="0" w:type="dxa"/>
            <w:left w:w="108" w:type="dxa"/>
            <w:bottom w:w="0" w:type="dxa"/>
            <w:right w:w="108" w:type="dxa"/>
          </w:tblCellMar>
        </w:tblPrEx>
        <w:trPr>
          <w:trHeight w:val="1433"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213645A">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708" w:type="dxa"/>
            <w:tcBorders>
              <w:top w:val="single" w:color="auto" w:sz="4" w:space="0"/>
              <w:left w:val="nil"/>
              <w:bottom w:val="single" w:color="auto" w:sz="4" w:space="0"/>
              <w:right w:val="single" w:color="auto" w:sz="4" w:space="0"/>
            </w:tcBorders>
            <w:vAlign w:val="center"/>
          </w:tcPr>
          <w:p w14:paraId="6CFDD564">
            <w:pP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具有良好的商业信誉和健全的财务会计制度；</w:t>
            </w:r>
          </w:p>
        </w:tc>
        <w:tc>
          <w:tcPr>
            <w:tcW w:w="6493" w:type="dxa"/>
            <w:tcBorders>
              <w:top w:val="single" w:color="auto" w:sz="4" w:space="0"/>
              <w:left w:val="nil"/>
              <w:bottom w:val="single" w:color="auto" w:sz="4" w:space="0"/>
              <w:right w:val="single" w:color="auto" w:sz="4" w:space="0"/>
            </w:tcBorders>
            <w:vAlign w:val="center"/>
          </w:tcPr>
          <w:p w14:paraId="60F0518A">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提供（2025年度）经审计财务会计报告（至少提供资产负债表、利润表、现金流量表，新成立的公司提供情况说明）或基本开户银行出具的资信证明或近半年内任意一个月财务报表（财务报表应至少包括资产负债表、利润表、现金流量表或财务状况变动表，当月新成立公司不需提供）；</w:t>
            </w:r>
          </w:p>
        </w:tc>
      </w:tr>
      <w:tr w14:paraId="5E4925E6">
        <w:tblPrEx>
          <w:tblCellMar>
            <w:top w:w="0" w:type="dxa"/>
            <w:left w:w="108" w:type="dxa"/>
            <w:bottom w:w="0" w:type="dxa"/>
            <w:right w:w="108" w:type="dxa"/>
          </w:tblCellMar>
        </w:tblPrEx>
        <w:trPr>
          <w:trHeight w:val="809"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C141604">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708" w:type="dxa"/>
            <w:tcBorders>
              <w:top w:val="single" w:color="auto" w:sz="4" w:space="0"/>
              <w:left w:val="nil"/>
              <w:bottom w:val="single" w:color="auto" w:sz="4" w:space="0"/>
              <w:right w:val="single" w:color="auto" w:sz="4" w:space="0"/>
            </w:tcBorders>
            <w:vAlign w:val="center"/>
          </w:tcPr>
          <w:p w14:paraId="599D98DA">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具有履行合同所必需的设备和专业技术能力；</w:t>
            </w:r>
          </w:p>
        </w:tc>
        <w:tc>
          <w:tcPr>
            <w:tcW w:w="6493" w:type="dxa"/>
            <w:tcBorders>
              <w:top w:val="single" w:color="auto" w:sz="4" w:space="0"/>
              <w:left w:val="nil"/>
              <w:bottom w:val="single" w:color="auto" w:sz="4" w:space="0"/>
              <w:right w:val="single" w:color="auto" w:sz="4" w:space="0"/>
            </w:tcBorders>
            <w:vAlign w:val="center"/>
          </w:tcPr>
          <w:p w14:paraId="0DFDD7B6">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提供具有履行合同所必需的设备和专业技术能力等相关证明材料或声明</w:t>
            </w:r>
          </w:p>
        </w:tc>
      </w:tr>
      <w:tr w14:paraId="3DBA051D">
        <w:tblPrEx>
          <w:tblCellMar>
            <w:top w:w="0" w:type="dxa"/>
            <w:left w:w="108" w:type="dxa"/>
            <w:bottom w:w="0" w:type="dxa"/>
            <w:right w:w="108" w:type="dxa"/>
          </w:tblCellMar>
        </w:tblPrEx>
        <w:trPr>
          <w:trHeight w:val="542"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373FDF04">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708" w:type="dxa"/>
            <w:tcBorders>
              <w:top w:val="single" w:color="auto" w:sz="4" w:space="0"/>
              <w:left w:val="nil"/>
              <w:bottom w:val="single" w:color="auto" w:sz="4" w:space="0"/>
              <w:right w:val="single" w:color="auto" w:sz="4" w:space="0"/>
            </w:tcBorders>
            <w:vAlign w:val="center"/>
          </w:tcPr>
          <w:p w14:paraId="285B7CF6">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有依法缴纳税收和社会保障资金的良好记录；</w:t>
            </w:r>
          </w:p>
        </w:tc>
        <w:tc>
          <w:tcPr>
            <w:tcW w:w="6493" w:type="dxa"/>
            <w:tcBorders>
              <w:top w:val="single" w:color="auto" w:sz="4" w:space="0"/>
              <w:left w:val="nil"/>
              <w:bottom w:val="single" w:color="auto" w:sz="4" w:space="0"/>
              <w:right w:val="single" w:color="auto" w:sz="4" w:space="0"/>
            </w:tcBorders>
            <w:vAlign w:val="center"/>
          </w:tcPr>
          <w:p w14:paraId="58D5C168">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提供近半年任意一个月依法缴纳税收和社会保障资金的良好记录的证明材料（附复印件）； </w:t>
            </w:r>
          </w:p>
          <w:p w14:paraId="1B699D08">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个体工商户参与政府采购活动需要提供缴纳税收的凭据和社会保险的凭据；依法免税或不需要缴纳社保的，应提供相应文件以证明其依法免税或不需要缴纳社保的优惠； </w:t>
            </w:r>
          </w:p>
        </w:tc>
      </w:tr>
      <w:tr w14:paraId="23E524B8">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462EEC5">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1708" w:type="dxa"/>
            <w:tcBorders>
              <w:top w:val="single" w:color="auto" w:sz="4" w:space="0"/>
              <w:left w:val="nil"/>
              <w:bottom w:val="single" w:color="auto" w:sz="4" w:space="0"/>
              <w:right w:val="single" w:color="auto" w:sz="4" w:space="0"/>
            </w:tcBorders>
            <w:vAlign w:val="center"/>
          </w:tcPr>
          <w:p w14:paraId="026ECF1E">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参加政府采购活动前三年内，在经营活动中没有重大违法记录；</w:t>
            </w:r>
          </w:p>
        </w:tc>
        <w:tc>
          <w:tcPr>
            <w:tcW w:w="6493" w:type="dxa"/>
            <w:tcBorders>
              <w:top w:val="single" w:color="auto" w:sz="4" w:space="0"/>
              <w:left w:val="nil"/>
              <w:bottom w:val="single" w:color="auto" w:sz="4" w:space="0"/>
              <w:right w:val="single" w:color="auto" w:sz="4" w:space="0"/>
            </w:tcBorders>
            <w:vAlign w:val="center"/>
          </w:tcPr>
          <w:p w14:paraId="700C5350">
            <w:pPr>
              <w:rPr>
                <w:rFonts w:hint="eastAsia"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参加政府采购活动近3年内，在经营活动中没有重大违法记录，提供声明书。</w:t>
            </w:r>
          </w:p>
        </w:tc>
      </w:tr>
      <w:tr w14:paraId="46C780AD">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8BE6C9B">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1708" w:type="dxa"/>
            <w:tcBorders>
              <w:top w:val="single" w:color="auto" w:sz="4" w:space="0"/>
              <w:left w:val="nil"/>
              <w:bottom w:val="single" w:color="auto" w:sz="4" w:space="0"/>
              <w:right w:val="single" w:color="auto" w:sz="4" w:space="0"/>
            </w:tcBorders>
            <w:vAlign w:val="center"/>
          </w:tcPr>
          <w:p w14:paraId="2C592DE8">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信用查询</w:t>
            </w:r>
          </w:p>
        </w:tc>
        <w:tc>
          <w:tcPr>
            <w:tcW w:w="6493" w:type="dxa"/>
            <w:tcBorders>
              <w:top w:val="single" w:color="auto" w:sz="4" w:space="0"/>
              <w:left w:val="nil"/>
              <w:bottom w:val="single" w:color="auto" w:sz="4" w:space="0"/>
              <w:right w:val="single" w:color="auto" w:sz="4" w:space="0"/>
            </w:tcBorders>
            <w:vAlign w:val="center"/>
          </w:tcPr>
          <w:p w14:paraId="7442EE93">
            <w:pPr>
              <w:rPr>
                <w:rFonts w:hint="eastAsia"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根据《财政部关于在政府采购活动中查询及使用信用记录有关问题的通知》（财库〔2016〕125 号）规定，投标截止时间后，采购人或采购代理机构将通过“信用中国”网站(www.creditchina.gov.cn)、中国政府采购网(www.ccgp.gov.cn)，对投标供应商截止到投标截止时间的信用记录进行审查，对列入失信被执行人、重大税收违法案件当事人名单、政府采购严重违法失信行为记录名单其投标将被拒绝。</w:t>
            </w:r>
          </w:p>
        </w:tc>
      </w:tr>
      <w:tr w14:paraId="4563751C">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EA04FAD">
            <w:pPr>
              <w:jc w:val="center"/>
              <w:rPr>
                <w:rFonts w:hint="eastAsia"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7</w:t>
            </w:r>
          </w:p>
        </w:tc>
        <w:tc>
          <w:tcPr>
            <w:tcW w:w="1708" w:type="dxa"/>
            <w:tcBorders>
              <w:top w:val="single" w:color="auto" w:sz="4" w:space="0"/>
              <w:left w:val="nil"/>
              <w:bottom w:val="single" w:color="auto" w:sz="4" w:space="0"/>
              <w:right w:val="single" w:color="auto" w:sz="4" w:space="0"/>
            </w:tcBorders>
            <w:vAlign w:val="center"/>
          </w:tcPr>
          <w:p w14:paraId="171D9018">
            <w:pPr>
              <w:rPr>
                <w:rFonts w:hint="eastAsia"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是否缴纳投标保证金</w:t>
            </w:r>
          </w:p>
        </w:tc>
        <w:tc>
          <w:tcPr>
            <w:tcW w:w="6493" w:type="dxa"/>
            <w:tcBorders>
              <w:top w:val="single" w:color="auto" w:sz="4" w:space="0"/>
              <w:left w:val="nil"/>
              <w:bottom w:val="single" w:color="auto" w:sz="4" w:space="0"/>
              <w:right w:val="single" w:color="auto" w:sz="4" w:space="0"/>
            </w:tcBorders>
            <w:vAlign w:val="center"/>
          </w:tcPr>
          <w:p w14:paraId="642DA017">
            <w:pPr>
              <w:rPr>
                <w:rFonts w:hint="eastAsia"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提供缴纳保证金凭证。</w:t>
            </w:r>
          </w:p>
        </w:tc>
      </w:tr>
      <w:tr w14:paraId="1551B124">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13909C73">
            <w:pPr>
              <w:jc w:val="center"/>
              <w:rPr>
                <w:rFonts w:hint="eastAsia"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8</w:t>
            </w:r>
          </w:p>
        </w:tc>
        <w:tc>
          <w:tcPr>
            <w:tcW w:w="1708" w:type="dxa"/>
            <w:tcBorders>
              <w:top w:val="single" w:color="auto" w:sz="4" w:space="0"/>
              <w:left w:val="nil"/>
              <w:bottom w:val="single" w:color="auto" w:sz="4" w:space="0"/>
              <w:right w:val="single" w:color="auto" w:sz="4" w:space="0"/>
            </w:tcBorders>
            <w:vAlign w:val="center"/>
          </w:tcPr>
          <w:p w14:paraId="2DCEA31F">
            <w:pPr>
              <w:rPr>
                <w:rFonts w:hint="eastAsia" w:ascii="宋体" w:hAnsi="宋体" w:cs="宋体"/>
                <w:b/>
                <w:bCs/>
                <w:color w:val="000000" w:themeColor="text1"/>
                <w:kern w:val="0"/>
                <w:sz w:val="22"/>
                <w:szCs w:val="22"/>
                <w:highlight w:val="none"/>
                <w14:textFill>
                  <w14:solidFill>
                    <w14:schemeClr w14:val="tx1"/>
                  </w14:solidFill>
                </w14:textFill>
              </w:rPr>
            </w:pPr>
            <w:r>
              <w:rPr>
                <w:rFonts w:hint="eastAsia" w:ascii="宋体" w:hAnsi="宋体" w:cs="宋体"/>
                <w:b/>
                <w:bCs/>
                <w:kern w:val="0"/>
                <w:sz w:val="22"/>
                <w:szCs w:val="22"/>
                <w:highlight w:val="none"/>
                <w:lang w:bidi="ar"/>
              </w:rPr>
              <w:t>本项目预算金额中预留30%面向中小企业（其中60%面向小微企业）采购项目，该部分预留份额采取分包意向协议形式向中小企业进行分包，且分包意向协议合同金额需达到规定的比例。</w:t>
            </w:r>
          </w:p>
        </w:tc>
        <w:tc>
          <w:tcPr>
            <w:tcW w:w="6493" w:type="dxa"/>
            <w:tcBorders>
              <w:top w:val="single" w:color="auto" w:sz="4" w:space="0"/>
              <w:left w:val="nil"/>
              <w:bottom w:val="single" w:color="auto" w:sz="4" w:space="0"/>
              <w:right w:val="single" w:color="auto" w:sz="4" w:space="0"/>
            </w:tcBorders>
            <w:vAlign w:val="center"/>
          </w:tcPr>
          <w:p w14:paraId="6B54B0B4">
            <w:pPr>
              <w:rPr>
                <w:rFonts w:hint="eastAsia" w:ascii="宋体" w:hAnsi="宋体" w:cs="宋体"/>
                <w:b/>
                <w:bCs/>
                <w:kern w:val="0"/>
                <w:sz w:val="22"/>
                <w:szCs w:val="22"/>
                <w:highlight w:val="none"/>
                <w:lang w:bidi="ar"/>
              </w:rPr>
            </w:pPr>
            <w:r>
              <w:rPr>
                <w:rFonts w:hint="eastAsia" w:ascii="宋体" w:hAnsi="宋体" w:cs="宋体"/>
                <w:b/>
                <w:bCs/>
                <w:kern w:val="0"/>
                <w:sz w:val="22"/>
                <w:szCs w:val="22"/>
                <w:highlight w:val="none"/>
                <w:lang w:bidi="ar"/>
              </w:rPr>
              <w:t>本项目预算金额中预留30%面向中小企业（其中60%面向小微企业）采购项目，该部分预留份额采取分包意向协议形式向中小企业进行分包，且分包意向协议合同金额需达到规定的比例，具体合同分包相关规则如下：</w:t>
            </w:r>
          </w:p>
          <w:p w14:paraId="2B0BDE6E">
            <w:pPr>
              <w:rPr>
                <w:rFonts w:hint="eastAsia" w:ascii="宋体" w:hAnsi="宋体" w:cs="宋体"/>
                <w:b/>
                <w:bCs/>
                <w:kern w:val="0"/>
                <w:sz w:val="22"/>
                <w:szCs w:val="22"/>
                <w:highlight w:val="none"/>
              </w:rPr>
            </w:pPr>
            <w:r>
              <w:rPr>
                <w:rFonts w:hint="eastAsia" w:ascii="宋体" w:hAnsi="宋体" w:cs="宋体"/>
                <w:b/>
                <w:bCs/>
                <w:kern w:val="0"/>
                <w:sz w:val="22"/>
                <w:szCs w:val="22"/>
                <w:highlight w:val="none"/>
                <w:lang w:bidi="ar"/>
              </w:rPr>
              <w:t>（1）如投标人不属于中小微企业的，必须将本项目适宜分包内容（分包部分不低于合同金额的30%）分包给一家或者多家具备实施能力的中小企业（其中，分包给小微企业的部分不低于60%），须按招标文件要求提供《分包意向协议》以及《中小企业声明函》。</w:t>
            </w:r>
          </w:p>
          <w:p w14:paraId="0160F150">
            <w:pPr>
              <w:rPr>
                <w:rFonts w:hint="eastAsia" w:ascii="宋体" w:hAnsi="宋体" w:cs="宋体"/>
                <w:b/>
                <w:bCs/>
                <w:kern w:val="0"/>
                <w:sz w:val="22"/>
                <w:szCs w:val="22"/>
                <w:highlight w:val="none"/>
              </w:rPr>
            </w:pPr>
            <w:r>
              <w:rPr>
                <w:rFonts w:hint="eastAsia" w:ascii="宋体" w:hAnsi="宋体" w:cs="宋体"/>
                <w:b/>
                <w:bCs/>
                <w:kern w:val="0"/>
                <w:sz w:val="22"/>
                <w:szCs w:val="22"/>
                <w:highlight w:val="none"/>
                <w:lang w:bidi="ar"/>
              </w:rPr>
              <w:t>（2）如投标人属于中型企业的，必须将本项目适宜分包的内容分包给小微企业，分包给小微企业的部分不低于合同金额的18%。须按招标文件要求提供《分包意向协议》以及《中小企业声明函》。</w:t>
            </w:r>
          </w:p>
          <w:p w14:paraId="7F164B3F">
            <w:pPr>
              <w:rPr>
                <w:rFonts w:hint="eastAsia" w:ascii="宋体" w:hAnsi="宋体" w:cs="宋体"/>
                <w:b/>
                <w:bCs/>
                <w:color w:val="000000" w:themeColor="text1"/>
                <w:kern w:val="0"/>
                <w:sz w:val="22"/>
                <w:szCs w:val="22"/>
                <w:highlight w:val="none"/>
                <w14:textFill>
                  <w14:solidFill>
                    <w14:schemeClr w14:val="tx1"/>
                  </w14:solidFill>
                </w14:textFill>
              </w:rPr>
            </w:pPr>
            <w:r>
              <w:rPr>
                <w:rFonts w:hint="eastAsia" w:ascii="宋体" w:hAnsi="宋体" w:cs="宋体"/>
                <w:b/>
                <w:bCs/>
                <w:kern w:val="0"/>
                <w:sz w:val="22"/>
                <w:szCs w:val="22"/>
                <w:highlight w:val="none"/>
                <w:lang w:bidi="ar"/>
              </w:rPr>
              <w:t>（3）如投标人均属于小微企业的，是否采取分包不作强制要求。须按招标文件要求提供《中小企业声明函》。</w:t>
            </w:r>
          </w:p>
        </w:tc>
      </w:tr>
      <w:tr w14:paraId="3C1B2417">
        <w:tblPrEx>
          <w:tblCellMar>
            <w:top w:w="0" w:type="dxa"/>
            <w:left w:w="108" w:type="dxa"/>
            <w:bottom w:w="0" w:type="dxa"/>
            <w:right w:w="108" w:type="dxa"/>
          </w:tblCellMar>
        </w:tblPrEx>
        <w:trPr>
          <w:trHeight w:val="5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A057DD4">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备注</w:t>
            </w:r>
          </w:p>
        </w:tc>
        <w:tc>
          <w:tcPr>
            <w:tcW w:w="8201" w:type="dxa"/>
            <w:gridSpan w:val="2"/>
            <w:tcBorders>
              <w:top w:val="single" w:color="auto" w:sz="4" w:space="0"/>
              <w:left w:val="nil"/>
              <w:bottom w:val="single" w:color="auto" w:sz="4" w:space="0"/>
              <w:right w:val="single" w:color="auto" w:sz="4" w:space="0"/>
            </w:tcBorders>
            <w:vAlign w:val="center"/>
          </w:tcPr>
          <w:p w14:paraId="3FB9205B">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再次重申：供应商请认真阅读和理解上述内容，避免资格审查中有违背上述审查标准之一的情况发生而造成废标。</w:t>
            </w:r>
          </w:p>
        </w:tc>
      </w:tr>
    </w:tbl>
    <w:p w14:paraId="784468CF">
      <w:pPr>
        <w:pStyle w:val="21"/>
        <w:rPr>
          <w:rFonts w:hint="eastAsia" w:ascii="宋体" w:hAnsi="宋体" w:cs="宋体"/>
          <w:color w:val="000000" w:themeColor="text1"/>
          <w:highlight w:val="none"/>
          <w14:textFill>
            <w14:solidFill>
              <w14:schemeClr w14:val="tx1"/>
            </w14:solidFill>
          </w14:textFill>
        </w:rPr>
      </w:pPr>
    </w:p>
    <w:p w14:paraId="7375C0F6">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1.资格审查合格的打“√”，不合格的打“×”。</w:t>
      </w:r>
    </w:p>
    <w:p w14:paraId="07788FA3">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2.资格审查结果，通过打“√”，不通过的打“×”。</w:t>
      </w:r>
    </w:p>
    <w:p w14:paraId="372B13D7">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3.请填写不通过资格审查的投标供应商的原因。</w:t>
      </w:r>
    </w:p>
    <w:p w14:paraId="0AA4FEB8">
      <w:pPr>
        <w:jc w:val="center"/>
        <w:outlineLvl w:val="1"/>
        <w:rPr>
          <w:rFonts w:hint="eastAsia" w:ascii="宋体" w:hAnsi="宋体" w:cs="宋体"/>
          <w:color w:val="000000" w:themeColor="text1"/>
          <w:highlight w:val="none"/>
          <w14:textFill>
            <w14:solidFill>
              <w14:schemeClr w14:val="tx1"/>
            </w14:solidFill>
          </w14:textFill>
        </w:rPr>
      </w:pPr>
      <w:bookmarkStart w:id="22" w:name="_Toc8072"/>
      <w:r>
        <w:rPr>
          <w:rFonts w:hint="eastAsia" w:ascii="宋体" w:hAnsi="宋体" w:cs="宋体"/>
          <w:b/>
          <w:bCs/>
          <w:color w:val="000000" w:themeColor="text1"/>
          <w:highlight w:val="none"/>
          <w14:textFill>
            <w14:solidFill>
              <w14:schemeClr w14:val="tx1"/>
            </w14:solidFill>
          </w14:textFill>
        </w:rPr>
        <w:br w:type="page"/>
      </w:r>
      <w:bookmarkStart w:id="23" w:name="_Toc131497492"/>
      <w:r>
        <w:rPr>
          <w:rFonts w:hint="eastAsia" w:ascii="宋体" w:hAnsi="宋体" w:cs="宋体"/>
          <w:b/>
          <w:color w:val="000000" w:themeColor="text1"/>
          <w:sz w:val="28"/>
          <w:szCs w:val="32"/>
          <w:highlight w:val="none"/>
          <w14:textFill>
            <w14:solidFill>
              <w14:schemeClr w14:val="tx1"/>
            </w14:solidFill>
          </w14:textFill>
        </w:rPr>
        <w:t>第六章 评　标</w:t>
      </w:r>
      <w:bookmarkEnd w:id="22"/>
      <w:bookmarkEnd w:id="23"/>
    </w:p>
    <w:p w14:paraId="76CC83A0">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18. 评标依据</w:t>
      </w:r>
    </w:p>
    <w:p w14:paraId="1EE28677">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评标的依据为公开招标文件。</w:t>
      </w:r>
    </w:p>
    <w:p w14:paraId="734D4816">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19. 投标文件的澄清</w:t>
      </w:r>
    </w:p>
    <w:p w14:paraId="76D3716B">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19.1　为有助于对投标文件进行审查、评估，评标委员会将对认为需要（不是每一个）的投标供应商进行询标，请投标供应商澄清其投标内容。投标供应商有责任按照招标方通知的时间、地点指派专人进行答疑和澄清。询标时投标供应商代表根据评标委员会要求作书面记录，并对答疑和澄清的内容做出书面答复。</w:t>
      </w:r>
    </w:p>
    <w:p w14:paraId="28B318C6">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19.2　应当在公开招标文件要求提交投标文件截止时间至少十五日前,答疑和澄清的内容应是书面的，但不得对投标的价格、技术指标和参数等内容进行实质性修改。澄清文件须由投标供应商法定代表人或其授权代表签字或加盖投标供应商公章，并作为投标文件的组成部分。</w:t>
      </w:r>
    </w:p>
    <w:p w14:paraId="79CA23FD">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20. 评标过程的保密</w:t>
      </w:r>
    </w:p>
    <w:p w14:paraId="5AD3ACBA">
      <w:pPr>
        <w:spacing w:line="440" w:lineRule="exact"/>
        <w:ind w:firstLine="480"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20.1  </w:t>
      </w:r>
      <w:r>
        <w:rPr>
          <w:rFonts w:hint="eastAsia" w:ascii="宋体" w:hAnsi="宋体" w:cs="宋体"/>
          <w:color w:val="000000" w:themeColor="text1"/>
          <w:spacing w:val="-2"/>
          <w:sz w:val="24"/>
          <w:szCs w:val="24"/>
          <w:highlight w:val="none"/>
          <w14:textFill>
            <w14:solidFill>
              <w14:schemeClr w14:val="tx1"/>
            </w14:solidFill>
          </w14:textFill>
        </w:rPr>
        <w:t>开标后，凡是属于审查、澄清、评价的有关资料以及授标建议等，评标委员会成员或参与评标的有关工作人员均不得向投标供应商或其他无关的人员透露，违者给予警告、取消担任评标委员会成员的资格，不得再参加任何投标项目的评标。</w:t>
      </w:r>
    </w:p>
    <w:p w14:paraId="05963351">
      <w:pPr>
        <w:spacing w:line="440" w:lineRule="exact"/>
        <w:ind w:firstLine="480"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20.2 </w:t>
      </w:r>
      <w:r>
        <w:rPr>
          <w:rFonts w:hint="eastAsia" w:ascii="宋体" w:hAnsi="宋体" w:cs="宋体"/>
          <w:color w:val="000000" w:themeColor="text1"/>
          <w:spacing w:val="-2"/>
          <w:sz w:val="24"/>
          <w:szCs w:val="24"/>
          <w:highlight w:val="none"/>
          <w14:textFill>
            <w14:solidFill>
              <w14:schemeClr w14:val="tx1"/>
            </w14:solidFill>
          </w14:textFill>
        </w:rPr>
        <w:t>投标供应商在评标过程中，所进行的试图影响评标结果的不符合《中华人民共和国政府采购法》</w:t>
      </w:r>
      <w:r>
        <w:rPr>
          <w:rFonts w:hint="eastAsia" w:ascii="宋体" w:hAnsi="宋体" w:cs="宋体"/>
          <w:color w:val="000000" w:themeColor="text1"/>
          <w:sz w:val="24"/>
          <w:szCs w:val="24"/>
          <w:highlight w:val="none"/>
          <w14:textFill>
            <w14:solidFill>
              <w14:schemeClr w14:val="tx1"/>
            </w14:solidFill>
          </w14:textFill>
        </w:rPr>
        <w:t>和相关法律法规</w:t>
      </w:r>
      <w:r>
        <w:rPr>
          <w:rFonts w:hint="eastAsia" w:ascii="宋体" w:hAnsi="宋体" w:cs="宋体"/>
          <w:color w:val="000000" w:themeColor="text1"/>
          <w:spacing w:val="-2"/>
          <w:sz w:val="24"/>
          <w:szCs w:val="24"/>
          <w:highlight w:val="none"/>
          <w14:textFill>
            <w14:solidFill>
              <w14:schemeClr w14:val="tx1"/>
            </w14:solidFill>
          </w14:textFill>
        </w:rPr>
        <w:t>及本次招标有关规定的活动，将被取消中标资格。</w:t>
      </w:r>
    </w:p>
    <w:p w14:paraId="6E3B526F">
      <w:pPr>
        <w:spacing w:line="44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21. 符合性评审</w:t>
      </w:r>
    </w:p>
    <w:p w14:paraId="74D66C60">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21.1  评标委员会可以以书面方式要求投标供应商对投标文件中含义不明确、对同类问题表述不一致或者有明显文字和计算错误的内容作必要的澄清、说明或补正。澄清、说明或补正应以书面方式进行,且不得超出投标文件的范围或者改变投标文件的实质性内容。</w:t>
      </w:r>
    </w:p>
    <w:p w14:paraId="6108890C">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21.2　招标方不接受不符合国家有关部门相关规定的投标报价或优惠方案。</w:t>
      </w:r>
    </w:p>
    <w:p w14:paraId="1F7E7A09">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21.3　在评标过程中，评标委员会发现投标供应商以他人名义投标、串通投标、以行贿手段谋取中标或者以其他弄虚作假方式投标的，该投标供应商的投标应作无效标处理。</w:t>
      </w:r>
    </w:p>
    <w:p w14:paraId="521C7B98">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21.4  投标供应商拒不按照要求对投标文件进行澄清、说明或补正的，评标委员会可以否决其投标。</w:t>
      </w:r>
    </w:p>
    <w:p w14:paraId="29BE4545">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21.5  评标委员会应当审查每一投标文件是否对公开招标文件提出的所有实质性要求和条件做出满足。未能在实质上满足的投标，应作无效标处理。</w:t>
      </w:r>
    </w:p>
    <w:p w14:paraId="037433BF">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21.6　投标供应商不得误导、干扰招标方的评标活动，否则将废除其投标。</w:t>
      </w:r>
    </w:p>
    <w:p w14:paraId="1BF1EB66">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21.7  对投标文件满足公开招标文件条款的审查：</w:t>
      </w:r>
    </w:p>
    <w:p w14:paraId="2AE066B2">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（1）开标后，评标委员会将组织对投标文件进行审查，检查投标文件是否完整，是否出现计算性错误，投标文件正本是否满足公开招标文件的格式要求；</w:t>
      </w:r>
    </w:p>
    <w:p w14:paraId="7DD08ECE">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2）评标委员会将确定每一投标供应商是否对公开招标文件的要求做出了实质性满足。实质性满足的投标是指符合公开招标文件的所有条款、条件和规定且没有重大偏离的投标。重大偏离是指影响到公开招标文件规定的服务范围和质量，或限制了采购人的权力和投标供应商义务的规定，而纠正这些偏离将影响到其他提交实质性满足的投标供应商的公平竞争地位；</w:t>
      </w:r>
    </w:p>
    <w:p w14:paraId="4503745D">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（3）评标委员会判断投标文件的满足性仅基于投标文件本身而不靠外部证据；</w:t>
      </w:r>
    </w:p>
    <w:p w14:paraId="3093F39F">
      <w:pPr>
        <w:spacing w:line="440" w:lineRule="exact"/>
        <w:ind w:firstLine="472"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（4）评标委员会将拒绝被确定为非实质性满足的投标。投标供应商不能通过修正或撤消不符合之处而使其投标成为实质性满足的投标。</w:t>
      </w:r>
    </w:p>
    <w:p w14:paraId="36F5DA74">
      <w:pPr>
        <w:spacing w:line="440" w:lineRule="exact"/>
        <w:jc w:val="center"/>
        <w:rPr>
          <w:rFonts w:hint="eastAsia" w:ascii="宋体" w:hAnsi="宋体" w:cs="宋体"/>
          <w:b/>
          <w:bCs/>
          <w:color w:val="000000" w:themeColor="text1"/>
          <w:spacing w:val="-2"/>
          <w:sz w:val="24"/>
          <w:szCs w:val="24"/>
          <w:highlight w:val="none"/>
          <w14:textFill>
            <w14:solidFill>
              <w14:schemeClr w14:val="tx1"/>
            </w14:solidFill>
          </w14:textFill>
        </w:rPr>
      </w:pPr>
      <w:r>
        <w:rPr>
          <w:rFonts w:hint="eastAsia" w:ascii="宋体" w:hAnsi="宋体" w:cs="宋体"/>
          <w:b/>
          <w:bCs/>
          <w:color w:val="000000" w:themeColor="text1"/>
          <w:spacing w:val="-2"/>
          <w:sz w:val="24"/>
          <w:szCs w:val="24"/>
          <w:highlight w:val="none"/>
          <w14:textFill>
            <w14:solidFill>
              <w14:schemeClr w14:val="tx1"/>
            </w14:solidFill>
          </w14:textFill>
        </w:rPr>
        <w:t>符合性审查</w:t>
      </w:r>
    </w:p>
    <w:tbl>
      <w:tblPr>
        <w:tblStyle w:val="25"/>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5"/>
        <w:gridCol w:w="6674"/>
        <w:gridCol w:w="646"/>
        <w:gridCol w:w="646"/>
        <w:gridCol w:w="646"/>
        <w:gridCol w:w="597"/>
      </w:tblGrid>
      <w:tr w14:paraId="63F7F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restart"/>
            <w:tcBorders>
              <w:top w:val="single" w:color="auto" w:sz="12" w:space="0"/>
              <w:right w:val="single" w:color="auto" w:sz="4" w:space="0"/>
            </w:tcBorders>
            <w:vAlign w:val="center"/>
          </w:tcPr>
          <w:p w14:paraId="10CA56C1">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评审内容</w:t>
            </w:r>
          </w:p>
        </w:tc>
        <w:tc>
          <w:tcPr>
            <w:tcW w:w="2535" w:type="dxa"/>
            <w:gridSpan w:val="4"/>
            <w:tcBorders>
              <w:top w:val="single" w:color="auto" w:sz="12" w:space="0"/>
              <w:left w:val="single" w:color="auto" w:sz="4" w:space="0"/>
              <w:bottom w:val="single" w:color="auto" w:sz="4" w:space="0"/>
            </w:tcBorders>
            <w:vAlign w:val="center"/>
          </w:tcPr>
          <w:p w14:paraId="3D6EEFF2">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投标企业名称</w:t>
            </w:r>
          </w:p>
        </w:tc>
      </w:tr>
      <w:tr w14:paraId="6AEA71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continue"/>
            <w:tcBorders>
              <w:right w:val="single" w:color="auto" w:sz="4" w:space="0"/>
            </w:tcBorders>
            <w:vAlign w:val="center"/>
          </w:tcPr>
          <w:p w14:paraId="3B855AA5">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top w:val="single" w:color="auto" w:sz="4" w:space="0"/>
              <w:left w:val="single" w:color="auto" w:sz="4" w:space="0"/>
              <w:right w:val="single" w:color="auto" w:sz="4" w:space="0"/>
            </w:tcBorders>
            <w:vAlign w:val="center"/>
          </w:tcPr>
          <w:p w14:paraId="05F3493B">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w:t>
            </w:r>
          </w:p>
        </w:tc>
        <w:tc>
          <w:tcPr>
            <w:tcW w:w="646" w:type="dxa"/>
            <w:tcBorders>
              <w:top w:val="single" w:color="auto" w:sz="4" w:space="0"/>
              <w:left w:val="single" w:color="auto" w:sz="4" w:space="0"/>
            </w:tcBorders>
            <w:vAlign w:val="center"/>
          </w:tcPr>
          <w:p w14:paraId="614D1561">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w:t>
            </w:r>
          </w:p>
        </w:tc>
        <w:tc>
          <w:tcPr>
            <w:tcW w:w="646" w:type="dxa"/>
            <w:vAlign w:val="center"/>
          </w:tcPr>
          <w:p w14:paraId="653A05E0">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w:t>
            </w:r>
          </w:p>
        </w:tc>
        <w:tc>
          <w:tcPr>
            <w:tcW w:w="597" w:type="dxa"/>
            <w:vAlign w:val="center"/>
          </w:tcPr>
          <w:p w14:paraId="7E0041D5">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p>
        </w:tc>
      </w:tr>
      <w:tr w14:paraId="5DD060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3F2274EF">
            <w:pPr>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w:t>
            </w:r>
          </w:p>
        </w:tc>
        <w:tc>
          <w:tcPr>
            <w:tcW w:w="6674" w:type="dxa"/>
            <w:tcBorders>
              <w:right w:val="single" w:color="auto" w:sz="4" w:space="0"/>
            </w:tcBorders>
            <w:vAlign w:val="center"/>
          </w:tcPr>
          <w:p w14:paraId="27ECBFD4">
            <w:pP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投标函有单位电子签章及法定代表人或法定代表人授权的代理人电子签名；</w:t>
            </w:r>
          </w:p>
        </w:tc>
        <w:tc>
          <w:tcPr>
            <w:tcW w:w="646" w:type="dxa"/>
            <w:tcBorders>
              <w:left w:val="single" w:color="auto" w:sz="4" w:space="0"/>
              <w:right w:val="single" w:color="auto" w:sz="4" w:space="0"/>
            </w:tcBorders>
            <w:vAlign w:val="center"/>
          </w:tcPr>
          <w:p w14:paraId="4087FB09">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left w:val="single" w:color="auto" w:sz="4" w:space="0"/>
            </w:tcBorders>
            <w:vAlign w:val="center"/>
          </w:tcPr>
          <w:p w14:paraId="3BB66C00">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right w:val="single" w:color="auto" w:sz="4" w:space="0"/>
            </w:tcBorders>
            <w:vAlign w:val="center"/>
          </w:tcPr>
          <w:p w14:paraId="605A0CC5">
            <w:pPr>
              <w:jc w:val="center"/>
              <w:rPr>
                <w:rFonts w:hint="eastAsia" w:ascii="宋体" w:hAnsi="宋体" w:cs="宋体"/>
                <w:b/>
                <w:bCs/>
                <w:color w:val="000000" w:themeColor="text1"/>
                <w:sz w:val="24"/>
                <w:szCs w:val="24"/>
                <w:highlight w:val="none"/>
                <w14:textFill>
                  <w14:solidFill>
                    <w14:schemeClr w14:val="tx1"/>
                  </w14:solidFill>
                </w14:textFill>
              </w:rPr>
            </w:pPr>
          </w:p>
        </w:tc>
        <w:tc>
          <w:tcPr>
            <w:tcW w:w="597" w:type="dxa"/>
            <w:tcBorders>
              <w:left w:val="single" w:color="auto" w:sz="4" w:space="0"/>
            </w:tcBorders>
            <w:vAlign w:val="center"/>
          </w:tcPr>
          <w:p w14:paraId="79A8DA6C">
            <w:pPr>
              <w:jc w:val="center"/>
              <w:rPr>
                <w:rFonts w:hint="eastAsia" w:ascii="宋体" w:hAnsi="宋体" w:cs="宋体"/>
                <w:b/>
                <w:bCs/>
                <w:color w:val="000000" w:themeColor="text1"/>
                <w:sz w:val="24"/>
                <w:szCs w:val="24"/>
                <w:highlight w:val="none"/>
                <w14:textFill>
                  <w14:solidFill>
                    <w14:schemeClr w14:val="tx1"/>
                  </w14:solidFill>
                </w14:textFill>
              </w:rPr>
            </w:pPr>
          </w:p>
        </w:tc>
      </w:tr>
      <w:tr w14:paraId="74AC01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E22B844">
            <w:pPr>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w:t>
            </w:r>
          </w:p>
        </w:tc>
        <w:tc>
          <w:tcPr>
            <w:tcW w:w="6674" w:type="dxa"/>
            <w:tcBorders>
              <w:right w:val="single" w:color="auto" w:sz="4" w:space="0"/>
            </w:tcBorders>
            <w:vAlign w:val="center"/>
          </w:tcPr>
          <w:p w14:paraId="3503D894">
            <w:pP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投标有效期是否满足招标文件要求的；</w:t>
            </w:r>
          </w:p>
        </w:tc>
        <w:tc>
          <w:tcPr>
            <w:tcW w:w="646" w:type="dxa"/>
            <w:tcBorders>
              <w:left w:val="single" w:color="auto" w:sz="4" w:space="0"/>
              <w:right w:val="single" w:color="auto" w:sz="4" w:space="0"/>
            </w:tcBorders>
            <w:vAlign w:val="center"/>
          </w:tcPr>
          <w:p w14:paraId="6F98715E">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left w:val="single" w:color="auto" w:sz="4" w:space="0"/>
            </w:tcBorders>
            <w:vAlign w:val="center"/>
          </w:tcPr>
          <w:p w14:paraId="4642078D">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right w:val="single" w:color="auto" w:sz="4" w:space="0"/>
            </w:tcBorders>
            <w:vAlign w:val="center"/>
          </w:tcPr>
          <w:p w14:paraId="6E289558">
            <w:pPr>
              <w:jc w:val="center"/>
              <w:rPr>
                <w:rFonts w:hint="eastAsia" w:ascii="宋体" w:hAnsi="宋体" w:cs="宋体"/>
                <w:b/>
                <w:bCs/>
                <w:color w:val="000000" w:themeColor="text1"/>
                <w:sz w:val="24"/>
                <w:szCs w:val="24"/>
                <w:highlight w:val="none"/>
                <w14:textFill>
                  <w14:solidFill>
                    <w14:schemeClr w14:val="tx1"/>
                  </w14:solidFill>
                </w14:textFill>
              </w:rPr>
            </w:pPr>
          </w:p>
        </w:tc>
        <w:tc>
          <w:tcPr>
            <w:tcW w:w="597" w:type="dxa"/>
            <w:tcBorders>
              <w:left w:val="single" w:color="auto" w:sz="4" w:space="0"/>
            </w:tcBorders>
            <w:vAlign w:val="center"/>
          </w:tcPr>
          <w:p w14:paraId="25F64B1B">
            <w:pPr>
              <w:jc w:val="center"/>
              <w:rPr>
                <w:rFonts w:hint="eastAsia" w:ascii="宋体" w:hAnsi="宋体" w:cs="宋体"/>
                <w:b/>
                <w:bCs/>
                <w:color w:val="000000" w:themeColor="text1"/>
                <w:sz w:val="24"/>
                <w:szCs w:val="24"/>
                <w:highlight w:val="none"/>
                <w14:textFill>
                  <w14:solidFill>
                    <w14:schemeClr w14:val="tx1"/>
                  </w14:solidFill>
                </w14:textFill>
              </w:rPr>
            </w:pPr>
          </w:p>
        </w:tc>
      </w:tr>
      <w:tr w14:paraId="23B69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05BA0306">
            <w:pPr>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w:t>
            </w:r>
          </w:p>
        </w:tc>
        <w:tc>
          <w:tcPr>
            <w:tcW w:w="6674" w:type="dxa"/>
            <w:tcBorders>
              <w:right w:val="single" w:color="auto" w:sz="4" w:space="0"/>
            </w:tcBorders>
            <w:vAlign w:val="center"/>
          </w:tcPr>
          <w:p w14:paraId="4C12A4F7">
            <w:pP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投标文件组成是否完整，主要内容是否按公开招标文件规定的内容、格式填写；</w:t>
            </w:r>
          </w:p>
        </w:tc>
        <w:tc>
          <w:tcPr>
            <w:tcW w:w="646" w:type="dxa"/>
            <w:tcBorders>
              <w:left w:val="single" w:color="auto" w:sz="4" w:space="0"/>
              <w:right w:val="single" w:color="auto" w:sz="4" w:space="0"/>
            </w:tcBorders>
            <w:vAlign w:val="center"/>
          </w:tcPr>
          <w:p w14:paraId="024F82E2">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left w:val="single" w:color="auto" w:sz="4" w:space="0"/>
            </w:tcBorders>
            <w:vAlign w:val="center"/>
          </w:tcPr>
          <w:p w14:paraId="3F5CC1D6">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right w:val="single" w:color="auto" w:sz="4" w:space="0"/>
            </w:tcBorders>
            <w:vAlign w:val="center"/>
          </w:tcPr>
          <w:p w14:paraId="64850F40">
            <w:pPr>
              <w:jc w:val="center"/>
              <w:rPr>
                <w:rFonts w:hint="eastAsia" w:ascii="宋体" w:hAnsi="宋体" w:cs="宋体"/>
                <w:b/>
                <w:bCs/>
                <w:color w:val="000000" w:themeColor="text1"/>
                <w:sz w:val="24"/>
                <w:szCs w:val="24"/>
                <w:highlight w:val="none"/>
                <w14:textFill>
                  <w14:solidFill>
                    <w14:schemeClr w14:val="tx1"/>
                  </w14:solidFill>
                </w14:textFill>
              </w:rPr>
            </w:pPr>
          </w:p>
        </w:tc>
        <w:tc>
          <w:tcPr>
            <w:tcW w:w="597" w:type="dxa"/>
            <w:tcBorders>
              <w:left w:val="single" w:color="auto" w:sz="4" w:space="0"/>
            </w:tcBorders>
            <w:vAlign w:val="center"/>
          </w:tcPr>
          <w:p w14:paraId="5FA6F94B">
            <w:pPr>
              <w:jc w:val="center"/>
              <w:rPr>
                <w:rFonts w:hint="eastAsia" w:ascii="宋体" w:hAnsi="宋体" w:cs="宋体"/>
                <w:b/>
                <w:bCs/>
                <w:color w:val="000000" w:themeColor="text1"/>
                <w:sz w:val="24"/>
                <w:szCs w:val="24"/>
                <w:highlight w:val="none"/>
                <w14:textFill>
                  <w14:solidFill>
                    <w14:schemeClr w14:val="tx1"/>
                  </w14:solidFill>
                </w14:textFill>
              </w:rPr>
            </w:pPr>
          </w:p>
        </w:tc>
      </w:tr>
      <w:tr w14:paraId="6A24A7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2E42ACFE">
            <w:pPr>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w:t>
            </w:r>
          </w:p>
        </w:tc>
        <w:tc>
          <w:tcPr>
            <w:tcW w:w="6674" w:type="dxa"/>
            <w:tcBorders>
              <w:right w:val="single" w:color="auto" w:sz="4" w:space="0"/>
            </w:tcBorders>
            <w:vAlign w:val="center"/>
          </w:tcPr>
          <w:p w14:paraId="4EF3516F">
            <w:pP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投标文件是否按照要求签署、盖章；</w:t>
            </w:r>
          </w:p>
        </w:tc>
        <w:tc>
          <w:tcPr>
            <w:tcW w:w="646" w:type="dxa"/>
            <w:tcBorders>
              <w:left w:val="single" w:color="auto" w:sz="4" w:space="0"/>
              <w:right w:val="single" w:color="auto" w:sz="4" w:space="0"/>
            </w:tcBorders>
            <w:vAlign w:val="center"/>
          </w:tcPr>
          <w:p w14:paraId="6787DBE6">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left w:val="single" w:color="auto" w:sz="4" w:space="0"/>
            </w:tcBorders>
            <w:vAlign w:val="center"/>
          </w:tcPr>
          <w:p w14:paraId="620BF8D2">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right w:val="single" w:color="auto" w:sz="4" w:space="0"/>
            </w:tcBorders>
            <w:vAlign w:val="center"/>
          </w:tcPr>
          <w:p w14:paraId="00556A35">
            <w:pPr>
              <w:jc w:val="center"/>
              <w:rPr>
                <w:rFonts w:hint="eastAsia" w:ascii="宋体" w:hAnsi="宋体" w:cs="宋体"/>
                <w:b/>
                <w:bCs/>
                <w:color w:val="000000" w:themeColor="text1"/>
                <w:sz w:val="24"/>
                <w:szCs w:val="24"/>
                <w:highlight w:val="none"/>
                <w14:textFill>
                  <w14:solidFill>
                    <w14:schemeClr w14:val="tx1"/>
                  </w14:solidFill>
                </w14:textFill>
              </w:rPr>
            </w:pPr>
          </w:p>
        </w:tc>
        <w:tc>
          <w:tcPr>
            <w:tcW w:w="597" w:type="dxa"/>
            <w:tcBorders>
              <w:left w:val="single" w:color="auto" w:sz="4" w:space="0"/>
            </w:tcBorders>
            <w:vAlign w:val="center"/>
          </w:tcPr>
          <w:p w14:paraId="67D82587">
            <w:pPr>
              <w:jc w:val="center"/>
              <w:rPr>
                <w:rFonts w:hint="eastAsia" w:ascii="宋体" w:hAnsi="宋体" w:cs="宋体"/>
                <w:b/>
                <w:bCs/>
                <w:color w:val="000000" w:themeColor="text1"/>
                <w:sz w:val="24"/>
                <w:szCs w:val="24"/>
                <w:highlight w:val="none"/>
                <w14:textFill>
                  <w14:solidFill>
                    <w14:schemeClr w14:val="tx1"/>
                  </w14:solidFill>
                </w14:textFill>
              </w:rPr>
            </w:pPr>
          </w:p>
        </w:tc>
      </w:tr>
      <w:tr w14:paraId="03708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B4174D6">
            <w:pPr>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5</w:t>
            </w:r>
          </w:p>
        </w:tc>
        <w:tc>
          <w:tcPr>
            <w:tcW w:w="6674" w:type="dxa"/>
            <w:tcBorders>
              <w:right w:val="single" w:color="auto" w:sz="4" w:space="0"/>
            </w:tcBorders>
            <w:vAlign w:val="center"/>
          </w:tcPr>
          <w:p w14:paraId="392BF92E">
            <w:pP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投标报价是否在采购预算或最高限价以内；</w:t>
            </w:r>
          </w:p>
        </w:tc>
        <w:tc>
          <w:tcPr>
            <w:tcW w:w="646" w:type="dxa"/>
            <w:tcBorders>
              <w:left w:val="single" w:color="auto" w:sz="4" w:space="0"/>
              <w:right w:val="single" w:color="auto" w:sz="4" w:space="0"/>
            </w:tcBorders>
            <w:vAlign w:val="center"/>
          </w:tcPr>
          <w:p w14:paraId="67031F78">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left w:val="single" w:color="auto" w:sz="4" w:space="0"/>
            </w:tcBorders>
            <w:vAlign w:val="center"/>
          </w:tcPr>
          <w:p w14:paraId="7DDB1C8D">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right w:val="single" w:color="auto" w:sz="4" w:space="0"/>
            </w:tcBorders>
            <w:vAlign w:val="center"/>
          </w:tcPr>
          <w:p w14:paraId="59E344E2">
            <w:pPr>
              <w:jc w:val="center"/>
              <w:rPr>
                <w:rFonts w:hint="eastAsia" w:ascii="宋体" w:hAnsi="宋体" w:cs="宋体"/>
                <w:b/>
                <w:bCs/>
                <w:color w:val="000000" w:themeColor="text1"/>
                <w:sz w:val="24"/>
                <w:szCs w:val="24"/>
                <w:highlight w:val="none"/>
                <w14:textFill>
                  <w14:solidFill>
                    <w14:schemeClr w14:val="tx1"/>
                  </w14:solidFill>
                </w14:textFill>
              </w:rPr>
            </w:pPr>
          </w:p>
        </w:tc>
        <w:tc>
          <w:tcPr>
            <w:tcW w:w="597" w:type="dxa"/>
            <w:tcBorders>
              <w:left w:val="single" w:color="auto" w:sz="4" w:space="0"/>
            </w:tcBorders>
            <w:vAlign w:val="center"/>
          </w:tcPr>
          <w:p w14:paraId="7ED66F16">
            <w:pPr>
              <w:jc w:val="center"/>
              <w:rPr>
                <w:rFonts w:hint="eastAsia" w:ascii="宋体" w:hAnsi="宋体" w:cs="宋体"/>
                <w:b/>
                <w:bCs/>
                <w:color w:val="000000" w:themeColor="text1"/>
                <w:sz w:val="24"/>
                <w:szCs w:val="24"/>
                <w:highlight w:val="none"/>
                <w14:textFill>
                  <w14:solidFill>
                    <w14:schemeClr w14:val="tx1"/>
                  </w14:solidFill>
                </w14:textFill>
              </w:rPr>
            </w:pPr>
          </w:p>
        </w:tc>
      </w:tr>
      <w:tr w14:paraId="52FEB2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645" w:type="dxa"/>
            <w:vAlign w:val="center"/>
          </w:tcPr>
          <w:p w14:paraId="0F3C9982">
            <w:pPr>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6</w:t>
            </w:r>
          </w:p>
        </w:tc>
        <w:tc>
          <w:tcPr>
            <w:tcW w:w="6674" w:type="dxa"/>
            <w:tcBorders>
              <w:right w:val="single" w:color="auto" w:sz="4" w:space="0"/>
            </w:tcBorders>
            <w:vAlign w:val="center"/>
          </w:tcPr>
          <w:p w14:paraId="22D9C7D3">
            <w:pP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投标文件针对同一种服务未出现了两个或两个以上的报价</w:t>
            </w:r>
          </w:p>
        </w:tc>
        <w:tc>
          <w:tcPr>
            <w:tcW w:w="646" w:type="dxa"/>
            <w:tcBorders>
              <w:left w:val="single" w:color="auto" w:sz="4" w:space="0"/>
              <w:right w:val="single" w:color="auto" w:sz="4" w:space="0"/>
            </w:tcBorders>
            <w:vAlign w:val="center"/>
          </w:tcPr>
          <w:p w14:paraId="17D3BAF4">
            <w:pPr>
              <w:shd w:val="clear" w:color="auto" w:fill="FAFAFA"/>
              <w:spacing w:line="360" w:lineRule="auto"/>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left w:val="single" w:color="auto" w:sz="4" w:space="0"/>
            </w:tcBorders>
            <w:vAlign w:val="center"/>
          </w:tcPr>
          <w:p w14:paraId="30B7D931">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right w:val="single" w:color="auto" w:sz="4" w:space="0"/>
            </w:tcBorders>
            <w:vAlign w:val="center"/>
          </w:tcPr>
          <w:p w14:paraId="1813E945">
            <w:pPr>
              <w:jc w:val="center"/>
              <w:rPr>
                <w:rFonts w:hint="eastAsia" w:ascii="宋体" w:hAnsi="宋体" w:cs="宋体"/>
                <w:b/>
                <w:bCs/>
                <w:color w:val="000000" w:themeColor="text1"/>
                <w:sz w:val="24"/>
                <w:szCs w:val="24"/>
                <w:highlight w:val="none"/>
                <w14:textFill>
                  <w14:solidFill>
                    <w14:schemeClr w14:val="tx1"/>
                  </w14:solidFill>
                </w14:textFill>
              </w:rPr>
            </w:pPr>
          </w:p>
        </w:tc>
        <w:tc>
          <w:tcPr>
            <w:tcW w:w="597" w:type="dxa"/>
            <w:tcBorders>
              <w:left w:val="single" w:color="auto" w:sz="4" w:space="0"/>
            </w:tcBorders>
            <w:vAlign w:val="center"/>
          </w:tcPr>
          <w:p w14:paraId="4EE8C5F2">
            <w:pPr>
              <w:jc w:val="center"/>
              <w:rPr>
                <w:rFonts w:hint="eastAsia" w:ascii="宋体" w:hAnsi="宋体" w:cs="宋体"/>
                <w:b/>
                <w:bCs/>
                <w:color w:val="000000" w:themeColor="text1"/>
                <w:sz w:val="24"/>
                <w:szCs w:val="24"/>
                <w:highlight w:val="none"/>
                <w14:textFill>
                  <w14:solidFill>
                    <w14:schemeClr w14:val="tx1"/>
                  </w14:solidFill>
                </w14:textFill>
              </w:rPr>
            </w:pPr>
          </w:p>
        </w:tc>
      </w:tr>
      <w:tr w14:paraId="3351D8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012AD52">
            <w:pPr>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7</w:t>
            </w:r>
          </w:p>
        </w:tc>
        <w:tc>
          <w:tcPr>
            <w:tcW w:w="6674" w:type="dxa"/>
            <w:tcBorders>
              <w:right w:val="single" w:color="auto" w:sz="4" w:space="0"/>
            </w:tcBorders>
            <w:vAlign w:val="center"/>
          </w:tcPr>
          <w:p w14:paraId="378FEDF1">
            <w:pP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是否符合法律、法规和招标文件中规定的其他实质性要求</w:t>
            </w:r>
          </w:p>
        </w:tc>
        <w:tc>
          <w:tcPr>
            <w:tcW w:w="646" w:type="dxa"/>
            <w:tcBorders>
              <w:left w:val="single" w:color="auto" w:sz="4" w:space="0"/>
              <w:right w:val="single" w:color="auto" w:sz="4" w:space="0"/>
            </w:tcBorders>
            <w:vAlign w:val="center"/>
          </w:tcPr>
          <w:p w14:paraId="27A81783">
            <w:pPr>
              <w:shd w:val="clear" w:color="auto" w:fill="FAFAFA"/>
              <w:spacing w:line="360" w:lineRule="auto"/>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left w:val="single" w:color="auto" w:sz="4" w:space="0"/>
            </w:tcBorders>
            <w:vAlign w:val="center"/>
          </w:tcPr>
          <w:p w14:paraId="769AB1B6">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right w:val="single" w:color="auto" w:sz="4" w:space="0"/>
            </w:tcBorders>
            <w:vAlign w:val="center"/>
          </w:tcPr>
          <w:p w14:paraId="27A08B01">
            <w:pPr>
              <w:jc w:val="center"/>
              <w:rPr>
                <w:rFonts w:hint="eastAsia" w:ascii="宋体" w:hAnsi="宋体" w:cs="宋体"/>
                <w:b/>
                <w:bCs/>
                <w:color w:val="000000" w:themeColor="text1"/>
                <w:sz w:val="24"/>
                <w:szCs w:val="24"/>
                <w:highlight w:val="none"/>
                <w14:textFill>
                  <w14:solidFill>
                    <w14:schemeClr w14:val="tx1"/>
                  </w14:solidFill>
                </w14:textFill>
              </w:rPr>
            </w:pPr>
          </w:p>
        </w:tc>
        <w:tc>
          <w:tcPr>
            <w:tcW w:w="597" w:type="dxa"/>
            <w:tcBorders>
              <w:left w:val="single" w:color="auto" w:sz="4" w:space="0"/>
            </w:tcBorders>
            <w:vAlign w:val="center"/>
          </w:tcPr>
          <w:p w14:paraId="550170D1">
            <w:pPr>
              <w:jc w:val="center"/>
              <w:rPr>
                <w:rFonts w:hint="eastAsia" w:ascii="宋体" w:hAnsi="宋体" w:cs="宋体"/>
                <w:b/>
                <w:bCs/>
                <w:color w:val="000000" w:themeColor="text1"/>
                <w:sz w:val="24"/>
                <w:szCs w:val="24"/>
                <w:highlight w:val="none"/>
                <w14:textFill>
                  <w14:solidFill>
                    <w14:schemeClr w14:val="tx1"/>
                  </w14:solidFill>
                </w14:textFill>
              </w:rPr>
            </w:pPr>
          </w:p>
        </w:tc>
      </w:tr>
      <w:tr w14:paraId="59D561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right w:val="single" w:color="auto" w:sz="4" w:space="0"/>
            </w:tcBorders>
            <w:vAlign w:val="center"/>
          </w:tcPr>
          <w:p w14:paraId="65E765B1">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审查结果</w:t>
            </w:r>
          </w:p>
        </w:tc>
        <w:tc>
          <w:tcPr>
            <w:tcW w:w="646" w:type="dxa"/>
            <w:tcBorders>
              <w:left w:val="single" w:color="auto" w:sz="4" w:space="0"/>
              <w:right w:val="single" w:color="auto" w:sz="4" w:space="0"/>
            </w:tcBorders>
            <w:vAlign w:val="center"/>
          </w:tcPr>
          <w:p w14:paraId="793530AE">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left w:val="single" w:color="auto" w:sz="4" w:space="0"/>
            </w:tcBorders>
            <w:vAlign w:val="center"/>
          </w:tcPr>
          <w:p w14:paraId="08998D4F">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vAlign w:val="center"/>
          </w:tcPr>
          <w:p w14:paraId="05CEBA30">
            <w:pPr>
              <w:jc w:val="center"/>
              <w:rPr>
                <w:rFonts w:hint="eastAsia" w:ascii="宋体" w:hAnsi="宋体" w:cs="宋体"/>
                <w:b/>
                <w:bCs/>
                <w:color w:val="000000" w:themeColor="text1"/>
                <w:sz w:val="24"/>
                <w:szCs w:val="24"/>
                <w:highlight w:val="none"/>
                <w14:textFill>
                  <w14:solidFill>
                    <w14:schemeClr w14:val="tx1"/>
                  </w14:solidFill>
                </w14:textFill>
              </w:rPr>
            </w:pPr>
          </w:p>
        </w:tc>
        <w:tc>
          <w:tcPr>
            <w:tcW w:w="597" w:type="dxa"/>
            <w:vAlign w:val="center"/>
          </w:tcPr>
          <w:p w14:paraId="66C97689">
            <w:pPr>
              <w:jc w:val="center"/>
              <w:rPr>
                <w:rFonts w:hint="eastAsia" w:ascii="宋体" w:hAnsi="宋体" w:cs="宋体"/>
                <w:b/>
                <w:bCs/>
                <w:color w:val="000000" w:themeColor="text1"/>
                <w:sz w:val="24"/>
                <w:szCs w:val="24"/>
                <w:highlight w:val="none"/>
                <w14:textFill>
                  <w14:solidFill>
                    <w14:schemeClr w14:val="tx1"/>
                  </w14:solidFill>
                </w14:textFill>
              </w:rPr>
            </w:pPr>
          </w:p>
        </w:tc>
      </w:tr>
      <w:tr w14:paraId="6BDAC3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bottom w:val="single" w:color="auto" w:sz="12" w:space="0"/>
              <w:right w:val="single" w:color="auto" w:sz="4" w:space="0"/>
            </w:tcBorders>
            <w:vAlign w:val="center"/>
          </w:tcPr>
          <w:p w14:paraId="6A039B25">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不通过理由说明</w:t>
            </w:r>
          </w:p>
        </w:tc>
        <w:tc>
          <w:tcPr>
            <w:tcW w:w="646" w:type="dxa"/>
            <w:tcBorders>
              <w:left w:val="single" w:color="auto" w:sz="4" w:space="0"/>
              <w:bottom w:val="single" w:color="auto" w:sz="12" w:space="0"/>
              <w:right w:val="single" w:color="auto" w:sz="4" w:space="0"/>
            </w:tcBorders>
            <w:vAlign w:val="center"/>
          </w:tcPr>
          <w:p w14:paraId="2763CD29">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left w:val="single" w:color="auto" w:sz="4" w:space="0"/>
              <w:bottom w:val="single" w:color="auto" w:sz="12" w:space="0"/>
            </w:tcBorders>
            <w:vAlign w:val="center"/>
          </w:tcPr>
          <w:p w14:paraId="3AC254E4">
            <w:pPr>
              <w:jc w:val="center"/>
              <w:rPr>
                <w:rFonts w:hint="eastAsia" w:ascii="宋体" w:hAnsi="宋体" w:cs="宋体"/>
                <w:b/>
                <w:bCs/>
                <w:color w:val="000000" w:themeColor="text1"/>
                <w:sz w:val="24"/>
                <w:szCs w:val="24"/>
                <w:highlight w:val="none"/>
                <w14:textFill>
                  <w14:solidFill>
                    <w14:schemeClr w14:val="tx1"/>
                  </w14:solidFill>
                </w14:textFill>
              </w:rPr>
            </w:pPr>
          </w:p>
        </w:tc>
        <w:tc>
          <w:tcPr>
            <w:tcW w:w="646" w:type="dxa"/>
            <w:tcBorders>
              <w:bottom w:val="single" w:color="auto" w:sz="12" w:space="0"/>
            </w:tcBorders>
            <w:vAlign w:val="center"/>
          </w:tcPr>
          <w:p w14:paraId="4C3F951B">
            <w:pPr>
              <w:jc w:val="center"/>
              <w:rPr>
                <w:rFonts w:hint="eastAsia" w:ascii="宋体" w:hAnsi="宋体" w:cs="宋体"/>
                <w:b/>
                <w:bCs/>
                <w:color w:val="000000" w:themeColor="text1"/>
                <w:sz w:val="24"/>
                <w:szCs w:val="24"/>
                <w:highlight w:val="none"/>
                <w14:textFill>
                  <w14:solidFill>
                    <w14:schemeClr w14:val="tx1"/>
                  </w14:solidFill>
                </w14:textFill>
              </w:rPr>
            </w:pPr>
          </w:p>
        </w:tc>
        <w:tc>
          <w:tcPr>
            <w:tcW w:w="597" w:type="dxa"/>
            <w:tcBorders>
              <w:bottom w:val="single" w:color="auto" w:sz="12" w:space="0"/>
            </w:tcBorders>
            <w:vAlign w:val="center"/>
          </w:tcPr>
          <w:p w14:paraId="3E480453">
            <w:pPr>
              <w:jc w:val="center"/>
              <w:rPr>
                <w:rFonts w:hint="eastAsia" w:ascii="宋体" w:hAnsi="宋体" w:cs="宋体"/>
                <w:b/>
                <w:bCs/>
                <w:color w:val="000000" w:themeColor="text1"/>
                <w:sz w:val="24"/>
                <w:szCs w:val="24"/>
                <w:highlight w:val="none"/>
                <w14:textFill>
                  <w14:solidFill>
                    <w14:schemeClr w14:val="tx1"/>
                  </w14:solidFill>
                </w14:textFill>
              </w:rPr>
            </w:pPr>
          </w:p>
        </w:tc>
      </w:tr>
    </w:tbl>
    <w:p w14:paraId="429D8099">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符合性审查审查合格的打“√”，不合格的打“×”。</w:t>
      </w:r>
    </w:p>
    <w:p w14:paraId="2F5B56B5">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符合性审查审查结果，通过打“√”，不通过的打“×”。</w:t>
      </w:r>
    </w:p>
    <w:p w14:paraId="5E1A3186">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3.请填写不通过符合性审查审查的</w:t>
      </w:r>
      <w:r>
        <w:rPr>
          <w:rFonts w:hint="eastAsia" w:ascii="宋体" w:hAnsi="宋体" w:cs="宋体"/>
          <w:color w:val="000000" w:themeColor="text1"/>
          <w:kern w:val="0"/>
          <w:sz w:val="24"/>
          <w:szCs w:val="24"/>
          <w:highlight w:val="none"/>
          <w14:textFill>
            <w14:solidFill>
              <w14:schemeClr w14:val="tx1"/>
            </w14:solidFill>
          </w14:textFill>
        </w:rPr>
        <w:t>投标供应商</w:t>
      </w:r>
      <w:r>
        <w:rPr>
          <w:rFonts w:hint="eastAsia" w:ascii="宋体" w:hAnsi="宋体" w:cs="宋体"/>
          <w:color w:val="000000" w:themeColor="text1"/>
          <w:sz w:val="24"/>
          <w:szCs w:val="24"/>
          <w:highlight w:val="none"/>
          <w14:textFill>
            <w14:solidFill>
              <w14:schemeClr w14:val="tx1"/>
            </w14:solidFill>
          </w14:textFill>
        </w:rPr>
        <w:t>的原因。</w:t>
      </w:r>
    </w:p>
    <w:p w14:paraId="2DEABE5E">
      <w:pPr>
        <w:spacing w:line="440" w:lineRule="exact"/>
        <w:ind w:firstLine="480" w:firstLineChars="20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投标文件响应程度符合性审查通过的投标企业，进入下一步详细评审阶段，未通过投标文件响应程度符合性审查的企业，其投标作为无效标，不进入后期评审阶段。</w:t>
      </w:r>
    </w:p>
    <w:p w14:paraId="2195EA13">
      <w:pPr>
        <w:spacing w:line="440" w:lineRule="exact"/>
        <w:jc w:val="center"/>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r>
        <w:rPr>
          <w:rFonts w:hint="eastAsia" w:ascii="宋体" w:hAnsi="宋体" w:cs="宋体"/>
          <w:b/>
          <w:color w:val="000000" w:themeColor="text1"/>
          <w:sz w:val="30"/>
          <w:szCs w:val="30"/>
          <w:highlight w:val="none"/>
          <w14:textFill>
            <w14:solidFill>
              <w14:schemeClr w14:val="tx1"/>
            </w14:solidFill>
          </w14:textFill>
        </w:rPr>
        <w:t>评分标准100%（以下得分保留小数点后2位）</w:t>
      </w:r>
    </w:p>
    <w:tbl>
      <w:tblPr>
        <w:tblStyle w:val="25"/>
        <w:tblpPr w:leftFromText="181" w:rightFromText="181" w:vertAnchor="text" w:horzAnchor="page" w:tblpXSpec="center" w:tblpY="1"/>
        <w:tblOverlap w:val="never"/>
        <w:tblW w:w="50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3"/>
        <w:gridCol w:w="1433"/>
        <w:gridCol w:w="829"/>
        <w:gridCol w:w="6708"/>
      </w:tblGrid>
      <w:tr w14:paraId="4AC76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4" w:hRule="atLeast"/>
          <w:jc w:val="center"/>
        </w:trPr>
        <w:tc>
          <w:tcPr>
            <w:tcW w:w="392" w:type="pct"/>
            <w:vAlign w:val="center"/>
          </w:tcPr>
          <w:p w14:paraId="3E3AEE0A">
            <w:pPr>
              <w:jc w:val="center"/>
              <w:rPr>
                <w:rFonts w:ascii="宋体" w:hAnsi="宋体" w:cs="宋体"/>
                <w:sz w:val="24"/>
                <w:szCs w:val="24"/>
                <w:highlight w:val="none"/>
              </w:rPr>
            </w:pPr>
            <w:r>
              <w:rPr>
                <w:rFonts w:ascii="宋体" w:hAnsi="宋体" w:cs="宋体"/>
                <w:sz w:val="24"/>
                <w:szCs w:val="24"/>
                <w:highlight w:val="none"/>
              </w:rPr>
              <w:t>序号</w:t>
            </w:r>
          </w:p>
        </w:tc>
        <w:tc>
          <w:tcPr>
            <w:tcW w:w="735" w:type="pct"/>
            <w:vAlign w:val="center"/>
          </w:tcPr>
          <w:p w14:paraId="75CABB50">
            <w:pPr>
              <w:jc w:val="center"/>
              <w:rPr>
                <w:rFonts w:ascii="宋体" w:hAnsi="宋体" w:cs="宋体"/>
                <w:sz w:val="24"/>
                <w:szCs w:val="24"/>
                <w:highlight w:val="none"/>
              </w:rPr>
            </w:pPr>
            <w:r>
              <w:rPr>
                <w:rFonts w:ascii="宋体" w:hAnsi="宋体" w:cs="宋体"/>
                <w:sz w:val="24"/>
                <w:szCs w:val="24"/>
                <w:highlight w:val="none"/>
              </w:rPr>
              <w:t>评分因素</w:t>
            </w:r>
          </w:p>
        </w:tc>
        <w:tc>
          <w:tcPr>
            <w:tcW w:w="426" w:type="pct"/>
            <w:vAlign w:val="center"/>
          </w:tcPr>
          <w:p w14:paraId="7D80E96A">
            <w:pPr>
              <w:jc w:val="center"/>
              <w:rPr>
                <w:rFonts w:ascii="宋体" w:hAnsi="宋体" w:cs="宋体"/>
                <w:sz w:val="24"/>
                <w:szCs w:val="24"/>
                <w:highlight w:val="none"/>
              </w:rPr>
            </w:pPr>
            <w:r>
              <w:rPr>
                <w:rFonts w:ascii="宋体" w:hAnsi="宋体" w:cs="宋体"/>
                <w:sz w:val="24"/>
                <w:szCs w:val="24"/>
                <w:highlight w:val="none"/>
              </w:rPr>
              <w:t>分值</w:t>
            </w:r>
          </w:p>
        </w:tc>
        <w:tc>
          <w:tcPr>
            <w:tcW w:w="3444" w:type="pct"/>
            <w:vAlign w:val="center"/>
          </w:tcPr>
          <w:p w14:paraId="5587835D">
            <w:pPr>
              <w:jc w:val="center"/>
              <w:rPr>
                <w:rFonts w:ascii="宋体" w:hAnsi="宋体" w:cs="宋体"/>
                <w:sz w:val="24"/>
                <w:szCs w:val="24"/>
                <w:highlight w:val="none"/>
              </w:rPr>
            </w:pPr>
            <w:r>
              <w:rPr>
                <w:rFonts w:ascii="宋体" w:hAnsi="宋体" w:cs="宋体"/>
                <w:sz w:val="24"/>
                <w:szCs w:val="24"/>
                <w:highlight w:val="none"/>
              </w:rPr>
              <w:t>要求</w:t>
            </w:r>
          </w:p>
        </w:tc>
      </w:tr>
      <w:tr w14:paraId="0803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5F485AFC">
            <w:pPr>
              <w:jc w:val="center"/>
              <w:rPr>
                <w:rFonts w:ascii="宋体" w:hAnsi="宋体" w:cs="宋体"/>
                <w:sz w:val="24"/>
                <w:szCs w:val="24"/>
                <w:highlight w:val="none"/>
              </w:rPr>
            </w:pPr>
            <w:r>
              <w:rPr>
                <w:rFonts w:ascii="宋体" w:hAnsi="宋体" w:cs="宋体"/>
                <w:sz w:val="24"/>
                <w:szCs w:val="24"/>
                <w:highlight w:val="none"/>
              </w:rPr>
              <w:t>1</w:t>
            </w:r>
          </w:p>
        </w:tc>
        <w:tc>
          <w:tcPr>
            <w:tcW w:w="735" w:type="pct"/>
            <w:vAlign w:val="center"/>
          </w:tcPr>
          <w:p w14:paraId="75D75048">
            <w:pPr>
              <w:jc w:val="center"/>
              <w:rPr>
                <w:rFonts w:ascii="宋体" w:hAnsi="宋体" w:cs="宋体"/>
                <w:sz w:val="24"/>
                <w:szCs w:val="24"/>
                <w:highlight w:val="none"/>
              </w:rPr>
            </w:pPr>
            <w:r>
              <w:rPr>
                <w:rFonts w:ascii="宋体" w:hAnsi="宋体" w:cs="宋体"/>
                <w:sz w:val="24"/>
                <w:szCs w:val="24"/>
                <w:highlight w:val="none"/>
              </w:rPr>
              <w:t>价格评审</w:t>
            </w:r>
          </w:p>
        </w:tc>
        <w:tc>
          <w:tcPr>
            <w:tcW w:w="426" w:type="pct"/>
            <w:vAlign w:val="center"/>
          </w:tcPr>
          <w:p w14:paraId="602FD915">
            <w:pPr>
              <w:jc w:val="center"/>
              <w:rPr>
                <w:rFonts w:ascii="宋体" w:hAnsi="宋体" w:cs="宋体"/>
                <w:sz w:val="24"/>
                <w:szCs w:val="24"/>
                <w:highlight w:val="none"/>
              </w:rPr>
            </w:pPr>
            <w:r>
              <w:rPr>
                <w:rFonts w:ascii="宋体" w:hAnsi="宋体" w:cs="宋体"/>
                <w:sz w:val="24"/>
                <w:szCs w:val="24"/>
                <w:highlight w:val="none"/>
              </w:rPr>
              <w:t>10分</w:t>
            </w:r>
          </w:p>
        </w:tc>
        <w:tc>
          <w:tcPr>
            <w:tcW w:w="3444" w:type="pct"/>
            <w:vAlign w:val="center"/>
          </w:tcPr>
          <w:p w14:paraId="26A7EF72">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价格分采用低价优先法计算，即满足本招标文件要求的最低投标报价为评标基准价，其价格分为满分，其它投标人的价格分统一按照下列公式计算：</w:t>
            </w:r>
          </w:p>
          <w:p w14:paraId="1399A2B6">
            <w:pPr>
              <w:ind w:firstLine="480" w:firstLineChars="200"/>
              <w:rPr>
                <w:rFonts w:ascii="宋体" w:hAnsi="宋体" w:cs="宋体"/>
                <w:sz w:val="24"/>
                <w:szCs w:val="24"/>
                <w:highlight w:val="none"/>
              </w:rPr>
            </w:pPr>
            <w:r>
              <w:rPr>
                <w:rFonts w:ascii="宋体" w:hAnsi="宋体" w:cs="宋体"/>
                <w:color w:val="000000"/>
                <w:sz w:val="24"/>
                <w:szCs w:val="24"/>
                <w:highlight w:val="none"/>
              </w:rPr>
              <w:t>投标报价得分=（评标基准价／投标报价）×价格分分值（精确到小数点后两位）。</w:t>
            </w:r>
          </w:p>
        </w:tc>
      </w:tr>
      <w:tr w14:paraId="0137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17AAEAF1">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2</w:t>
            </w:r>
          </w:p>
        </w:tc>
        <w:tc>
          <w:tcPr>
            <w:tcW w:w="735" w:type="pct"/>
            <w:vAlign w:val="center"/>
          </w:tcPr>
          <w:p w14:paraId="1303E982">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企业类似业绩</w:t>
            </w:r>
          </w:p>
        </w:tc>
        <w:tc>
          <w:tcPr>
            <w:tcW w:w="426" w:type="pct"/>
            <w:vAlign w:val="center"/>
          </w:tcPr>
          <w:p w14:paraId="1821DE6B">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4</w:t>
            </w:r>
          </w:p>
        </w:tc>
        <w:tc>
          <w:tcPr>
            <w:tcW w:w="3444" w:type="pct"/>
            <w:vAlign w:val="center"/>
          </w:tcPr>
          <w:p w14:paraId="665E7F91">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 xml:space="preserve">投标人提供近三年内类似项目经验证明材料，每提供一个得2分，最高得4分。未提供的不得分。 </w:t>
            </w:r>
          </w:p>
          <w:p w14:paraId="5250CF91">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注：近三年是指2023年1月至今，以合同签订的时间为准；提供中标成交通知书及合同复印件。如为依法无需招标或直接委托的项目，提供合同复印件及验收证明（或结算凭证）即可。</w:t>
            </w:r>
          </w:p>
        </w:tc>
      </w:tr>
      <w:tr w14:paraId="38752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5477DE6B">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3</w:t>
            </w:r>
          </w:p>
        </w:tc>
        <w:tc>
          <w:tcPr>
            <w:tcW w:w="735" w:type="pct"/>
            <w:vAlign w:val="center"/>
          </w:tcPr>
          <w:p w14:paraId="159C8245">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项目团队</w:t>
            </w:r>
          </w:p>
        </w:tc>
        <w:tc>
          <w:tcPr>
            <w:tcW w:w="426" w:type="pct"/>
            <w:vAlign w:val="center"/>
          </w:tcPr>
          <w:p w14:paraId="303E5660">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16</w:t>
            </w:r>
          </w:p>
        </w:tc>
        <w:tc>
          <w:tcPr>
            <w:tcW w:w="3444" w:type="pct"/>
            <w:vAlign w:val="center"/>
          </w:tcPr>
          <w:p w14:paraId="62847B63">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 xml:space="preserve">（1）项目总导演配置（最高4分） </w:t>
            </w:r>
          </w:p>
          <w:p w14:paraId="0F7E6EFE">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 xml:space="preserve">①配备专职总导演2名，具备5年及以上同类项目经验，得4分； </w:t>
            </w:r>
          </w:p>
          <w:p w14:paraId="0074BA94">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 xml:space="preserve">②配备专职总导演2名，具备3年及以上同类项目经验，得2分。 </w:t>
            </w:r>
          </w:p>
          <w:p w14:paraId="5CD5B2CA">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（2）项目核心专业人员配置（最高8分）</w:t>
            </w:r>
          </w:p>
          <w:p w14:paraId="72E65A26">
            <w:pPr>
              <w:ind w:firstLine="480" w:firstLineChars="200"/>
              <w:rPr>
                <w:rFonts w:hint="eastAsia" w:ascii="宋体" w:hAnsi="宋体" w:cs="宋体"/>
                <w:color w:val="000000"/>
                <w:sz w:val="24"/>
                <w:szCs w:val="24"/>
                <w:highlight w:val="none"/>
                <w:lang w:eastAsia="zh-CN"/>
              </w:rPr>
            </w:pPr>
            <w:r>
              <w:rPr>
                <w:rFonts w:ascii="宋体" w:hAnsi="宋体" w:cs="宋体"/>
                <w:color w:val="000000"/>
                <w:sz w:val="24"/>
                <w:szCs w:val="24"/>
                <w:highlight w:val="none"/>
              </w:rPr>
              <w:t>①</w:t>
            </w:r>
            <w:r>
              <w:rPr>
                <w:rFonts w:hint="eastAsia" w:ascii="宋体" w:hAnsi="宋体" w:cs="宋体"/>
                <w:color w:val="000000"/>
                <w:sz w:val="24"/>
                <w:szCs w:val="24"/>
                <w:highlight w:val="none"/>
              </w:rPr>
              <w:t>配备专业主持人2名、舞蹈编导1名，每配备1名符合岗位要求人员得2分</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本条最多得6分</w:t>
            </w:r>
            <w:r>
              <w:rPr>
                <w:rFonts w:hint="eastAsia" w:ascii="宋体" w:hAnsi="宋体" w:cs="宋体"/>
                <w:color w:val="000000"/>
                <w:sz w:val="24"/>
                <w:szCs w:val="24"/>
                <w:highlight w:val="none"/>
                <w:lang w:eastAsia="zh-CN"/>
              </w:rPr>
              <w:t>；</w:t>
            </w:r>
          </w:p>
          <w:p w14:paraId="19266B00">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②</w:t>
            </w:r>
            <w:r>
              <w:rPr>
                <w:rFonts w:hint="eastAsia" w:ascii="宋体" w:hAnsi="宋体" w:cs="宋体"/>
                <w:color w:val="000000"/>
                <w:sz w:val="24"/>
                <w:szCs w:val="24"/>
                <w:highlight w:val="none"/>
                <w:lang w:val="en-US" w:eastAsia="zh-CN"/>
              </w:rPr>
              <w:t>拟</w:t>
            </w:r>
            <w:r>
              <w:rPr>
                <w:rFonts w:hint="eastAsia" w:ascii="宋体" w:hAnsi="宋体" w:cs="宋体"/>
                <w:color w:val="000000"/>
                <w:sz w:val="24"/>
                <w:szCs w:val="24"/>
                <w:highlight w:val="none"/>
              </w:rPr>
              <w:t>配主持人具备大型晚会主持经验的，每名符合条件主持人额外加1分，单人仅可加分1次。本</w:t>
            </w:r>
            <w:r>
              <w:rPr>
                <w:rFonts w:hint="eastAsia" w:ascii="宋体" w:hAnsi="宋体" w:cs="宋体"/>
                <w:color w:val="000000"/>
                <w:sz w:val="24"/>
                <w:szCs w:val="24"/>
                <w:highlight w:val="none"/>
                <w:lang w:val="en-US" w:eastAsia="zh-CN"/>
              </w:rPr>
              <w:t>条最多得2</w:t>
            </w:r>
            <w:bookmarkStart w:id="216" w:name="_GoBack"/>
            <w:bookmarkEnd w:id="216"/>
            <w:r>
              <w:rPr>
                <w:rFonts w:hint="eastAsia" w:ascii="宋体" w:hAnsi="宋体" w:cs="宋体"/>
                <w:color w:val="000000"/>
                <w:sz w:val="24"/>
                <w:szCs w:val="24"/>
                <w:highlight w:val="none"/>
              </w:rPr>
              <w:t>分。</w:t>
            </w:r>
          </w:p>
          <w:p w14:paraId="471A5A15">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 xml:space="preserve">（3）项目现场技术执行人员（最高4分） </w:t>
            </w:r>
          </w:p>
          <w:p w14:paraId="58FEB1C4">
            <w:pPr>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配备摄影师1名、舞美灯光师2名、音响师1名，每配备1名符合岗位要求人员得1分，累计最高4分。</w:t>
            </w:r>
            <w:r>
              <w:rPr>
                <w:rFonts w:ascii="宋体" w:hAnsi="宋体" w:cs="宋体"/>
                <w:color w:val="000000"/>
                <w:sz w:val="24"/>
                <w:szCs w:val="24"/>
                <w:highlight w:val="none"/>
              </w:rPr>
              <w:t xml:space="preserve"> </w:t>
            </w:r>
          </w:p>
          <w:p w14:paraId="3DF699C0">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佐证要求：所有人员须提供有效身份证、聘用协议、对应专业证书，资料完整方可计分；具备大型晚会主持经验的主持人，需额外提供可佐证其大型晚会主持经验的材料（包含但不限于直播视频截图、活动宣传海报、现场工作影像、活动证明文件等），资料不全、无法核验对应项不得分。同一人员仅限对应一个岗位计分，禁止跨岗位重复得分。</w:t>
            </w:r>
          </w:p>
        </w:tc>
      </w:tr>
      <w:tr w14:paraId="17B38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00E5B3C2">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4</w:t>
            </w:r>
          </w:p>
        </w:tc>
        <w:tc>
          <w:tcPr>
            <w:tcW w:w="735" w:type="pct"/>
            <w:vAlign w:val="center"/>
          </w:tcPr>
          <w:p w14:paraId="072DD725">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color w:val="000000"/>
                <w:sz w:val="24"/>
                <w:szCs w:val="24"/>
                <w:highlight w:val="none"/>
              </w:rPr>
              <w:t>新教材发布仪式</w:t>
            </w:r>
            <w:r>
              <w:rPr>
                <w:rFonts w:ascii="宋体" w:hAnsi="宋体" w:cs="宋体"/>
                <w:bCs/>
                <w:color w:val="000000"/>
                <w:sz w:val="24"/>
                <w:szCs w:val="24"/>
                <w:highlight w:val="none"/>
                <w:shd w:val="clear" w:color="auto" w:fill="FFFFFF"/>
              </w:rPr>
              <w:t>活动服务方案</w:t>
            </w:r>
          </w:p>
        </w:tc>
        <w:tc>
          <w:tcPr>
            <w:tcW w:w="426" w:type="pct"/>
            <w:vAlign w:val="center"/>
          </w:tcPr>
          <w:p w14:paraId="04A36CBB">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0C8EE916">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6190B417">
            <w:pPr>
              <w:rPr>
                <w:rFonts w:ascii="宋体" w:hAnsi="宋体" w:cs="宋体"/>
                <w:color w:val="000000"/>
                <w:sz w:val="24"/>
                <w:szCs w:val="24"/>
                <w:highlight w:val="none"/>
              </w:rPr>
            </w:pPr>
            <w:r>
              <w:rPr>
                <w:rFonts w:ascii="宋体" w:hAnsi="宋体" w:cs="宋体"/>
                <w:color w:val="000000"/>
                <w:sz w:val="24"/>
                <w:szCs w:val="24"/>
                <w:highlight w:val="none"/>
              </w:rPr>
              <w:t>5部分要素进行评审。</w:t>
            </w:r>
          </w:p>
          <w:p w14:paraId="0759B64E">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3099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5D0EF428">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735" w:type="pct"/>
            <w:vAlign w:val="center"/>
          </w:tcPr>
          <w:p w14:paraId="21B97A0D">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color w:val="000000"/>
                <w:sz w:val="24"/>
                <w:szCs w:val="24"/>
                <w:highlight w:val="none"/>
              </w:rPr>
              <w:t>“从丝绸之路到一带一路”—中国葡萄酒产业破局之路发展论坛活动</w:t>
            </w:r>
            <w:r>
              <w:rPr>
                <w:rFonts w:ascii="宋体" w:hAnsi="宋体" w:cs="宋体"/>
                <w:bCs/>
                <w:color w:val="000000"/>
                <w:sz w:val="24"/>
                <w:szCs w:val="24"/>
                <w:highlight w:val="none"/>
                <w:shd w:val="clear" w:color="auto" w:fill="FFFFFF"/>
              </w:rPr>
              <w:t>服务方案</w:t>
            </w:r>
          </w:p>
        </w:tc>
        <w:tc>
          <w:tcPr>
            <w:tcW w:w="426" w:type="pct"/>
            <w:vAlign w:val="center"/>
          </w:tcPr>
          <w:p w14:paraId="638BFE31">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0CA383DB">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78062B2B">
            <w:pPr>
              <w:rPr>
                <w:rFonts w:ascii="宋体" w:hAnsi="宋体" w:cs="宋体"/>
                <w:color w:val="000000"/>
                <w:sz w:val="24"/>
                <w:szCs w:val="24"/>
                <w:highlight w:val="none"/>
              </w:rPr>
            </w:pPr>
            <w:r>
              <w:rPr>
                <w:rFonts w:ascii="宋体" w:hAnsi="宋体" w:cs="宋体"/>
                <w:color w:val="000000"/>
                <w:sz w:val="24"/>
                <w:szCs w:val="24"/>
                <w:highlight w:val="none"/>
              </w:rPr>
              <w:t>5部分要素进行评审。</w:t>
            </w:r>
          </w:p>
          <w:p w14:paraId="1FB2FCD2">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5F981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15D518BD">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6</w:t>
            </w:r>
          </w:p>
        </w:tc>
        <w:tc>
          <w:tcPr>
            <w:tcW w:w="735" w:type="pct"/>
            <w:vAlign w:val="center"/>
          </w:tcPr>
          <w:p w14:paraId="2B22C196">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color w:val="000000"/>
                <w:sz w:val="24"/>
                <w:szCs w:val="24"/>
                <w:highlight w:val="none"/>
              </w:rPr>
              <w:t>“最受大学生欢迎的中国风土葡萄酒”品鉴大赛</w:t>
            </w:r>
            <w:r>
              <w:rPr>
                <w:rFonts w:ascii="宋体" w:hAnsi="宋体" w:cs="宋体"/>
                <w:bCs/>
                <w:color w:val="000000"/>
                <w:sz w:val="24"/>
                <w:szCs w:val="24"/>
                <w:highlight w:val="none"/>
                <w:shd w:val="clear" w:color="auto" w:fill="FFFFFF"/>
              </w:rPr>
              <w:t>活动服务方案</w:t>
            </w:r>
          </w:p>
        </w:tc>
        <w:tc>
          <w:tcPr>
            <w:tcW w:w="426" w:type="pct"/>
            <w:vAlign w:val="center"/>
          </w:tcPr>
          <w:p w14:paraId="6F69506F">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363FB453">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44F5B3B0">
            <w:pPr>
              <w:rPr>
                <w:rFonts w:ascii="宋体" w:hAnsi="宋体" w:cs="宋体"/>
                <w:b/>
                <w:bCs/>
                <w:color w:val="000000"/>
                <w:sz w:val="24"/>
                <w:szCs w:val="24"/>
                <w:highlight w:val="none"/>
              </w:rPr>
            </w:pPr>
            <w:r>
              <w:rPr>
                <w:rFonts w:ascii="宋体" w:hAnsi="宋体" w:cs="宋体"/>
                <w:color w:val="000000"/>
                <w:sz w:val="24"/>
                <w:szCs w:val="24"/>
                <w:highlight w:val="none"/>
              </w:rPr>
              <w:t>5部分要素进行评审。</w:t>
            </w:r>
          </w:p>
          <w:p w14:paraId="20FB311E">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650D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69E9E0F8">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7</w:t>
            </w:r>
          </w:p>
        </w:tc>
        <w:tc>
          <w:tcPr>
            <w:tcW w:w="735" w:type="pct"/>
            <w:vAlign w:val="center"/>
          </w:tcPr>
          <w:p w14:paraId="4C687D1C">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color w:val="000000"/>
                <w:sz w:val="24"/>
                <w:szCs w:val="24"/>
                <w:highlight w:val="none"/>
              </w:rPr>
              <w:t>“葡萄酒背后的文化与科学”通识课教学研讨会</w:t>
            </w:r>
            <w:r>
              <w:rPr>
                <w:rFonts w:ascii="宋体" w:hAnsi="宋体" w:cs="宋体"/>
                <w:bCs/>
                <w:color w:val="000000"/>
                <w:sz w:val="24"/>
                <w:szCs w:val="24"/>
                <w:highlight w:val="none"/>
                <w:shd w:val="clear" w:color="auto" w:fill="FFFFFF"/>
              </w:rPr>
              <w:t>活动服务方案</w:t>
            </w:r>
          </w:p>
        </w:tc>
        <w:tc>
          <w:tcPr>
            <w:tcW w:w="426" w:type="pct"/>
            <w:vAlign w:val="center"/>
          </w:tcPr>
          <w:p w14:paraId="5F946E0A">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5C4E71CA">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48702B66">
            <w:pPr>
              <w:rPr>
                <w:rFonts w:ascii="宋体" w:hAnsi="宋体" w:cs="宋体"/>
                <w:b/>
                <w:bCs/>
                <w:color w:val="000000"/>
                <w:sz w:val="24"/>
                <w:szCs w:val="24"/>
                <w:highlight w:val="none"/>
              </w:rPr>
            </w:pPr>
            <w:r>
              <w:rPr>
                <w:rFonts w:ascii="宋体" w:hAnsi="宋体" w:cs="宋体"/>
                <w:color w:val="000000"/>
                <w:sz w:val="24"/>
                <w:szCs w:val="24"/>
                <w:highlight w:val="none"/>
              </w:rPr>
              <w:t>5部分要素进行评审。</w:t>
            </w:r>
          </w:p>
          <w:p w14:paraId="123DB9CE">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5EE9D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5D9E2E7B">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8</w:t>
            </w:r>
          </w:p>
        </w:tc>
        <w:tc>
          <w:tcPr>
            <w:tcW w:w="735" w:type="pct"/>
            <w:vAlign w:val="center"/>
          </w:tcPr>
          <w:p w14:paraId="186A172D">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游园会暨新疆美食艺术体验嘉年华活动服务方案</w:t>
            </w:r>
          </w:p>
        </w:tc>
        <w:tc>
          <w:tcPr>
            <w:tcW w:w="426" w:type="pct"/>
            <w:vAlign w:val="center"/>
          </w:tcPr>
          <w:p w14:paraId="3907E1CE">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7E6E681C">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6C9CF6ED">
            <w:pPr>
              <w:rPr>
                <w:rFonts w:ascii="宋体" w:hAnsi="宋体" w:cs="宋体"/>
                <w:b/>
                <w:bCs/>
                <w:color w:val="000000"/>
                <w:sz w:val="24"/>
                <w:szCs w:val="24"/>
                <w:highlight w:val="none"/>
              </w:rPr>
            </w:pPr>
            <w:r>
              <w:rPr>
                <w:rFonts w:ascii="宋体" w:hAnsi="宋体" w:cs="宋体"/>
                <w:color w:val="000000"/>
                <w:sz w:val="24"/>
                <w:szCs w:val="24"/>
                <w:highlight w:val="none"/>
              </w:rPr>
              <w:t>5部分要素进行评审。</w:t>
            </w:r>
          </w:p>
          <w:p w14:paraId="5CB9CC92">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477B6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4C8BFFE9">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9</w:t>
            </w:r>
          </w:p>
        </w:tc>
        <w:tc>
          <w:tcPr>
            <w:tcW w:w="735" w:type="pct"/>
            <w:vAlign w:val="center"/>
          </w:tcPr>
          <w:p w14:paraId="31E55E32">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全国大学生葡萄与葡萄酒科技创新大赛活动服务方案</w:t>
            </w:r>
          </w:p>
        </w:tc>
        <w:tc>
          <w:tcPr>
            <w:tcW w:w="426" w:type="pct"/>
            <w:vAlign w:val="center"/>
          </w:tcPr>
          <w:p w14:paraId="475B61C1">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17C20ECB">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0ABE47E2">
            <w:pPr>
              <w:rPr>
                <w:rFonts w:ascii="宋体" w:hAnsi="宋体" w:cs="宋体"/>
                <w:b/>
                <w:bCs/>
                <w:color w:val="000000"/>
                <w:sz w:val="24"/>
                <w:szCs w:val="24"/>
                <w:highlight w:val="none"/>
              </w:rPr>
            </w:pPr>
            <w:r>
              <w:rPr>
                <w:rFonts w:ascii="宋体" w:hAnsi="宋体" w:cs="宋体"/>
                <w:color w:val="000000"/>
                <w:sz w:val="24"/>
                <w:szCs w:val="24"/>
                <w:highlight w:val="none"/>
              </w:rPr>
              <w:t>5部分要素进行评审。</w:t>
            </w:r>
          </w:p>
          <w:p w14:paraId="40D85D2D">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25E1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64ADD033">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10</w:t>
            </w:r>
          </w:p>
        </w:tc>
        <w:tc>
          <w:tcPr>
            <w:tcW w:w="735" w:type="pct"/>
            <w:vAlign w:val="center"/>
          </w:tcPr>
          <w:p w14:paraId="7B192C1C">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全国大学生新葡萄酒创新创意大赛活动服务方案</w:t>
            </w:r>
          </w:p>
        </w:tc>
        <w:tc>
          <w:tcPr>
            <w:tcW w:w="426" w:type="pct"/>
            <w:vAlign w:val="center"/>
          </w:tcPr>
          <w:p w14:paraId="0FBE2A7B">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0D70715A">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2DB933CE">
            <w:pPr>
              <w:rPr>
                <w:rFonts w:ascii="宋体" w:hAnsi="宋体" w:cs="宋体"/>
                <w:b/>
                <w:bCs/>
                <w:color w:val="000000"/>
                <w:sz w:val="24"/>
                <w:szCs w:val="24"/>
                <w:highlight w:val="none"/>
              </w:rPr>
            </w:pPr>
            <w:r>
              <w:rPr>
                <w:rFonts w:ascii="宋体" w:hAnsi="宋体" w:cs="宋体"/>
                <w:color w:val="000000"/>
                <w:sz w:val="24"/>
                <w:szCs w:val="24"/>
                <w:highlight w:val="none"/>
              </w:rPr>
              <w:t>5部分要素进行评审。</w:t>
            </w:r>
          </w:p>
          <w:p w14:paraId="350542D3">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49747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5196A41D">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11</w:t>
            </w:r>
          </w:p>
        </w:tc>
        <w:tc>
          <w:tcPr>
            <w:tcW w:w="735" w:type="pct"/>
            <w:vAlign w:val="center"/>
          </w:tcPr>
          <w:p w14:paraId="1B22CA7F">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color w:val="000000"/>
                <w:sz w:val="24"/>
                <w:szCs w:val="24"/>
                <w:highlight w:val="none"/>
              </w:rPr>
              <w:t>“梦回大唐，葡韵天山”酒晕妆大赛</w:t>
            </w:r>
            <w:r>
              <w:rPr>
                <w:rFonts w:ascii="宋体" w:hAnsi="宋体" w:cs="宋体"/>
                <w:bCs/>
                <w:color w:val="000000"/>
                <w:sz w:val="24"/>
                <w:szCs w:val="24"/>
                <w:highlight w:val="none"/>
                <w:shd w:val="clear" w:color="auto" w:fill="FFFFFF"/>
              </w:rPr>
              <w:t>活动服务方案</w:t>
            </w:r>
          </w:p>
        </w:tc>
        <w:tc>
          <w:tcPr>
            <w:tcW w:w="426" w:type="pct"/>
            <w:vAlign w:val="center"/>
          </w:tcPr>
          <w:p w14:paraId="20BF3B70">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6357EE3C">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3F5B56A1">
            <w:pPr>
              <w:rPr>
                <w:rFonts w:ascii="宋体" w:hAnsi="宋体" w:cs="宋体"/>
                <w:b/>
                <w:bCs/>
                <w:color w:val="000000"/>
                <w:sz w:val="24"/>
                <w:szCs w:val="24"/>
                <w:highlight w:val="none"/>
              </w:rPr>
            </w:pPr>
            <w:r>
              <w:rPr>
                <w:rFonts w:ascii="宋体" w:hAnsi="宋体" w:cs="宋体"/>
                <w:color w:val="000000"/>
                <w:sz w:val="24"/>
                <w:szCs w:val="24"/>
                <w:highlight w:val="none"/>
              </w:rPr>
              <w:t>5部分要素进行评审。</w:t>
            </w:r>
          </w:p>
          <w:p w14:paraId="2E17285E">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04B33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14BBB01E">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12</w:t>
            </w:r>
          </w:p>
        </w:tc>
        <w:tc>
          <w:tcPr>
            <w:tcW w:w="735" w:type="pct"/>
            <w:vAlign w:val="center"/>
          </w:tcPr>
          <w:p w14:paraId="7F603A0C">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color w:val="000000"/>
                <w:sz w:val="24"/>
                <w:szCs w:val="24"/>
                <w:highlight w:val="none"/>
              </w:rPr>
              <w:t>“天塞杯”全国大学生葡萄酒艺术创意大赛</w:t>
            </w:r>
            <w:r>
              <w:rPr>
                <w:rFonts w:ascii="宋体" w:hAnsi="宋体" w:cs="宋体"/>
                <w:bCs/>
                <w:color w:val="000000"/>
                <w:sz w:val="24"/>
                <w:szCs w:val="24"/>
                <w:highlight w:val="none"/>
                <w:shd w:val="clear" w:color="auto" w:fill="FFFFFF"/>
              </w:rPr>
              <w:t>活动服务方案</w:t>
            </w:r>
          </w:p>
        </w:tc>
        <w:tc>
          <w:tcPr>
            <w:tcW w:w="426" w:type="pct"/>
            <w:vAlign w:val="center"/>
          </w:tcPr>
          <w:p w14:paraId="299FE5AE">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763B1FD8">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5541A74A">
            <w:pPr>
              <w:rPr>
                <w:rFonts w:ascii="宋体" w:hAnsi="宋体" w:cs="宋体"/>
                <w:b/>
                <w:bCs/>
                <w:color w:val="000000"/>
                <w:sz w:val="24"/>
                <w:szCs w:val="24"/>
                <w:highlight w:val="none"/>
              </w:rPr>
            </w:pPr>
            <w:r>
              <w:rPr>
                <w:rFonts w:ascii="宋体" w:hAnsi="宋体" w:cs="宋体"/>
                <w:color w:val="000000"/>
                <w:sz w:val="24"/>
                <w:szCs w:val="24"/>
                <w:highlight w:val="none"/>
              </w:rPr>
              <w:t>5部分要素进行评审。</w:t>
            </w:r>
          </w:p>
          <w:p w14:paraId="52BBAB9B">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78AB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6B7016F2">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13</w:t>
            </w:r>
          </w:p>
        </w:tc>
        <w:tc>
          <w:tcPr>
            <w:tcW w:w="735" w:type="pct"/>
            <w:vAlign w:val="center"/>
          </w:tcPr>
          <w:p w14:paraId="462D3933">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color w:val="000000"/>
                <w:sz w:val="24"/>
                <w:szCs w:val="24"/>
                <w:highlight w:val="none"/>
              </w:rPr>
              <w:t>“楼兰青摘杯”全国大学生葡萄酒营销大赛</w:t>
            </w:r>
            <w:r>
              <w:rPr>
                <w:rFonts w:ascii="宋体" w:hAnsi="宋体" w:cs="宋体"/>
                <w:bCs/>
                <w:color w:val="000000"/>
                <w:sz w:val="24"/>
                <w:szCs w:val="24"/>
                <w:highlight w:val="none"/>
                <w:shd w:val="clear" w:color="auto" w:fill="FFFFFF"/>
              </w:rPr>
              <w:t>活动服务方案</w:t>
            </w:r>
          </w:p>
        </w:tc>
        <w:tc>
          <w:tcPr>
            <w:tcW w:w="426" w:type="pct"/>
            <w:vAlign w:val="center"/>
          </w:tcPr>
          <w:p w14:paraId="4FF839F6">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5</w:t>
            </w:r>
          </w:p>
        </w:tc>
        <w:tc>
          <w:tcPr>
            <w:tcW w:w="3444" w:type="pct"/>
            <w:vAlign w:val="center"/>
          </w:tcPr>
          <w:p w14:paraId="00D46372">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供应商可现场勘察做出合理的服务方案及效果图，包括但不限于：①舞台设计效果图（含舞美设计），②活动策划方案，③舞台搭建及拆除计划方案（含舞台、舞美、灯光音响等），④项目重点与难点分析及应对措施，⑤活动资料整理及交接方案；</w:t>
            </w:r>
          </w:p>
          <w:p w14:paraId="6EF7AE0E">
            <w:pPr>
              <w:rPr>
                <w:rFonts w:ascii="宋体" w:hAnsi="宋体" w:cs="宋体"/>
                <w:b/>
                <w:bCs/>
                <w:color w:val="000000"/>
                <w:sz w:val="24"/>
                <w:szCs w:val="24"/>
                <w:highlight w:val="none"/>
              </w:rPr>
            </w:pPr>
            <w:r>
              <w:rPr>
                <w:rFonts w:ascii="宋体" w:hAnsi="宋体" w:cs="宋体"/>
                <w:color w:val="000000"/>
                <w:sz w:val="24"/>
                <w:szCs w:val="24"/>
                <w:highlight w:val="none"/>
              </w:rPr>
              <w:t>5部分要素进行评审。</w:t>
            </w:r>
          </w:p>
          <w:p w14:paraId="2EDD3E48">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所有要素齐全且完全满足项目要求得5分，</w:t>
            </w:r>
            <w:r>
              <w:rPr>
                <w:rFonts w:ascii="宋体" w:hAnsi="宋体" w:cs="宋体"/>
                <w:bCs/>
                <w:color w:val="000000"/>
                <w:sz w:val="24"/>
                <w:szCs w:val="24"/>
                <w:highlight w:val="none"/>
              </w:rPr>
              <w:t>每个要素里每有一处内容缺陷扣1分（扣完为止）</w:t>
            </w:r>
            <w:r>
              <w:rPr>
                <w:rFonts w:ascii="宋体" w:hAnsi="宋体" w:cs="宋体"/>
                <w:color w:val="000000"/>
                <w:sz w:val="24"/>
                <w:szCs w:val="24"/>
                <w:highlight w:val="none"/>
              </w:rPr>
              <w:t>。</w:t>
            </w:r>
          </w:p>
        </w:tc>
      </w:tr>
      <w:tr w14:paraId="7824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58A236E1">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14</w:t>
            </w:r>
          </w:p>
        </w:tc>
        <w:tc>
          <w:tcPr>
            <w:tcW w:w="735" w:type="pct"/>
            <w:vAlign w:val="center"/>
          </w:tcPr>
          <w:p w14:paraId="62202D2E">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保障方案</w:t>
            </w:r>
          </w:p>
        </w:tc>
        <w:tc>
          <w:tcPr>
            <w:tcW w:w="426" w:type="pct"/>
            <w:vAlign w:val="center"/>
          </w:tcPr>
          <w:p w14:paraId="07721694">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8</w:t>
            </w:r>
          </w:p>
        </w:tc>
        <w:tc>
          <w:tcPr>
            <w:tcW w:w="3444" w:type="pct"/>
            <w:vAlign w:val="center"/>
          </w:tcPr>
          <w:p w14:paraId="3ED8EF93">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保障方案包括但不限于：①活动现场环境保护措施（含活动现场、活动范围涉及的周边现场环境保护），②活动组织重点难点分析及解决办法（含环境、临场设施设备等），③项目质量保障措施，④活动物料质量保障方案；4部分要素进行评审。</w:t>
            </w:r>
          </w:p>
          <w:p w14:paraId="236BC301">
            <w:pPr>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所有要素齐全且完全满足项目要求得8分，每缺一个要素扣2分，每个要素里每有一处内容缺陷扣1分（扣完为止）。</w:t>
            </w:r>
          </w:p>
        </w:tc>
      </w:tr>
      <w:tr w14:paraId="5BB9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35E85404">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15</w:t>
            </w:r>
          </w:p>
        </w:tc>
        <w:tc>
          <w:tcPr>
            <w:tcW w:w="735" w:type="pct"/>
            <w:vAlign w:val="center"/>
          </w:tcPr>
          <w:p w14:paraId="2CEBE8E8">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应急方案</w:t>
            </w:r>
          </w:p>
        </w:tc>
        <w:tc>
          <w:tcPr>
            <w:tcW w:w="426" w:type="pct"/>
            <w:vAlign w:val="center"/>
          </w:tcPr>
          <w:p w14:paraId="7152E2BF">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8</w:t>
            </w:r>
          </w:p>
        </w:tc>
        <w:tc>
          <w:tcPr>
            <w:tcW w:w="3444" w:type="pct"/>
            <w:vAlign w:val="center"/>
          </w:tcPr>
          <w:p w14:paraId="13D1AAC2">
            <w:pPr>
              <w:ind w:firstLine="480" w:firstLineChars="200"/>
              <w:rPr>
                <w:rFonts w:ascii="宋体" w:hAnsi="宋体" w:cs="宋体"/>
                <w:bCs/>
                <w:color w:val="000000"/>
                <w:sz w:val="24"/>
                <w:szCs w:val="24"/>
                <w:highlight w:val="none"/>
              </w:rPr>
            </w:pPr>
            <w:r>
              <w:rPr>
                <w:rFonts w:ascii="宋体" w:hAnsi="宋体" w:cs="宋体"/>
                <w:bCs/>
                <w:color w:val="000000"/>
                <w:sz w:val="24"/>
                <w:szCs w:val="24"/>
                <w:highlight w:val="none"/>
              </w:rPr>
              <w:t>应急方案包括但不限于：①应急事故发生处理流程，②应急设备配置（道具、音响、灯光等），③突发应急情况分析及应急措施（对所涉及的活动舞台搭建、会场布置、舞美造型、舞美设备和活动录制中所有环节可能出现的突发应急情况进行分析及应急措施），④针对极端天气、舆情风险、突发伤病、网络系统故障等风险的应急处置机制。4部分要素进行评审。</w:t>
            </w:r>
          </w:p>
          <w:p w14:paraId="6D908135">
            <w:pPr>
              <w:ind w:firstLine="480" w:firstLineChars="200"/>
              <w:rPr>
                <w:rFonts w:ascii="宋体" w:hAnsi="宋体" w:cs="宋体"/>
                <w:bCs/>
                <w:color w:val="000000"/>
                <w:sz w:val="24"/>
                <w:szCs w:val="24"/>
                <w:highlight w:val="none"/>
              </w:rPr>
            </w:pPr>
            <w:r>
              <w:rPr>
                <w:rFonts w:ascii="宋体" w:hAnsi="宋体" w:cs="宋体"/>
                <w:bCs/>
                <w:color w:val="000000"/>
                <w:sz w:val="24"/>
                <w:szCs w:val="24"/>
                <w:highlight w:val="none"/>
              </w:rPr>
              <w:t>所有要素齐全且完全满足项目要求得8分，每缺一个要素扣2分，每个要素里每有一处内容缺陷扣1分（扣完为止）。</w:t>
            </w:r>
          </w:p>
        </w:tc>
      </w:tr>
      <w:tr w14:paraId="21D5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jc w:val="center"/>
        </w:trPr>
        <w:tc>
          <w:tcPr>
            <w:tcW w:w="392" w:type="pct"/>
            <w:vAlign w:val="center"/>
          </w:tcPr>
          <w:p w14:paraId="7EF9354A">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16</w:t>
            </w:r>
          </w:p>
        </w:tc>
        <w:tc>
          <w:tcPr>
            <w:tcW w:w="735" w:type="pct"/>
            <w:vAlign w:val="center"/>
          </w:tcPr>
          <w:p w14:paraId="397E511E">
            <w:pPr>
              <w:shd w:val="clear" w:color="auto" w:fill="FFFFFF"/>
              <w:snapToGrid w:val="0"/>
              <w:jc w:val="center"/>
              <w:rPr>
                <w:rFonts w:ascii="宋体" w:hAnsi="宋体" w:cs="宋体"/>
                <w:bCs/>
                <w:color w:val="000000"/>
                <w:sz w:val="24"/>
                <w:szCs w:val="24"/>
                <w:highlight w:val="none"/>
                <w:shd w:val="clear" w:color="auto" w:fill="FFFFFF"/>
              </w:rPr>
            </w:pPr>
            <w:r>
              <w:rPr>
                <w:rFonts w:ascii="宋体" w:hAnsi="宋体" w:cs="宋体"/>
                <w:bCs/>
                <w:color w:val="000000"/>
                <w:sz w:val="24"/>
                <w:szCs w:val="24"/>
                <w:highlight w:val="none"/>
                <w:shd w:val="clear" w:color="auto" w:fill="FFFFFF"/>
              </w:rPr>
              <w:t>后续服务方案</w:t>
            </w:r>
          </w:p>
        </w:tc>
        <w:tc>
          <w:tcPr>
            <w:tcW w:w="426" w:type="pct"/>
            <w:vAlign w:val="center"/>
          </w:tcPr>
          <w:p w14:paraId="3DFAC1D7">
            <w:pPr>
              <w:jc w:val="center"/>
              <w:rPr>
                <w:rFonts w:ascii="宋体" w:hAnsi="宋体" w:cs="宋体"/>
                <w:bCs/>
                <w:color w:val="000000"/>
                <w:sz w:val="24"/>
                <w:szCs w:val="24"/>
                <w:highlight w:val="none"/>
              </w:rPr>
            </w:pPr>
            <w:r>
              <w:rPr>
                <w:rFonts w:ascii="宋体" w:hAnsi="宋体" w:cs="宋体"/>
                <w:bCs/>
                <w:color w:val="000000"/>
                <w:sz w:val="24"/>
                <w:szCs w:val="24"/>
                <w:highlight w:val="none"/>
              </w:rPr>
              <w:t>4</w:t>
            </w:r>
          </w:p>
        </w:tc>
        <w:tc>
          <w:tcPr>
            <w:tcW w:w="3444" w:type="pct"/>
            <w:vAlign w:val="center"/>
          </w:tcPr>
          <w:p w14:paraId="57EB3C0E">
            <w:pPr>
              <w:ind w:firstLine="480" w:firstLineChars="200"/>
              <w:rPr>
                <w:rFonts w:ascii="宋体" w:hAnsi="宋体" w:cs="宋体"/>
                <w:bCs/>
                <w:color w:val="000000"/>
                <w:sz w:val="24"/>
                <w:szCs w:val="24"/>
                <w:highlight w:val="none"/>
              </w:rPr>
            </w:pPr>
            <w:r>
              <w:rPr>
                <w:rFonts w:ascii="宋体" w:hAnsi="宋体" w:cs="宋体"/>
                <w:bCs/>
                <w:color w:val="000000"/>
                <w:sz w:val="24"/>
                <w:szCs w:val="24"/>
                <w:highlight w:val="none"/>
              </w:rPr>
              <w:t>后续服务方案包括但不限于：①投标文件内容完整、结构清晰、排版规范，针对性强</w:t>
            </w:r>
            <w:r>
              <w:rPr>
                <w:rFonts w:ascii="宋体" w:hAnsi="宋体" w:cs="宋体"/>
                <w:color w:val="000000"/>
                <w:highlight w:val="none"/>
              </w:rPr>
              <w:t>，</w:t>
            </w:r>
            <w:r>
              <w:rPr>
                <w:rFonts w:ascii="宋体" w:hAnsi="宋体" w:cs="宋体"/>
                <w:bCs/>
                <w:color w:val="000000"/>
                <w:sz w:val="24"/>
                <w:szCs w:val="24"/>
                <w:highlight w:val="none"/>
              </w:rPr>
              <w:t>②后续服务风险控制措施，③后续服务响应时间，④后续服务人员安排及职责；4部分要素进行评审。</w:t>
            </w:r>
          </w:p>
          <w:p w14:paraId="766BD4F3">
            <w:pPr>
              <w:shd w:val="clear" w:color="auto" w:fill="FFFFFF"/>
              <w:snapToGrid w:val="0"/>
              <w:ind w:firstLine="480" w:firstLineChars="200"/>
              <w:rPr>
                <w:rFonts w:ascii="宋体" w:hAnsi="宋体" w:cs="宋体"/>
                <w:bCs/>
                <w:color w:val="000000"/>
                <w:sz w:val="24"/>
                <w:szCs w:val="24"/>
                <w:highlight w:val="none"/>
              </w:rPr>
            </w:pPr>
            <w:r>
              <w:rPr>
                <w:rFonts w:ascii="宋体" w:hAnsi="宋体" w:cs="宋体"/>
                <w:bCs/>
                <w:color w:val="000000"/>
                <w:sz w:val="24"/>
                <w:szCs w:val="24"/>
                <w:highlight w:val="none"/>
              </w:rPr>
              <w:t>所有要素齐全且完全满足项目要求得4分，每缺一个要素扣1分，每个要素里每有一处内容缺陷扣0.5分（扣完为止）。</w:t>
            </w:r>
          </w:p>
        </w:tc>
      </w:tr>
      <w:tr w14:paraId="36D8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1128" w:type="pct"/>
            <w:gridSpan w:val="2"/>
            <w:tcMar>
              <w:top w:w="0" w:type="dxa"/>
              <w:left w:w="108" w:type="dxa"/>
              <w:bottom w:w="0" w:type="dxa"/>
              <w:right w:w="108" w:type="dxa"/>
            </w:tcMar>
            <w:vAlign w:val="center"/>
          </w:tcPr>
          <w:p w14:paraId="151309D0">
            <w:pPr>
              <w:jc w:val="center"/>
              <w:rPr>
                <w:rFonts w:ascii="宋体" w:hAnsi="宋体" w:cs="宋体"/>
                <w:color w:val="000000"/>
                <w:sz w:val="24"/>
                <w:szCs w:val="24"/>
                <w:highlight w:val="none"/>
              </w:rPr>
            </w:pPr>
            <w:r>
              <w:rPr>
                <w:rFonts w:ascii="宋体" w:hAnsi="宋体" w:cs="宋体"/>
                <w:color w:val="000000"/>
                <w:sz w:val="24"/>
                <w:szCs w:val="24"/>
                <w:highlight w:val="none"/>
              </w:rPr>
              <w:t>合计</w:t>
            </w:r>
          </w:p>
        </w:tc>
        <w:tc>
          <w:tcPr>
            <w:tcW w:w="426" w:type="pct"/>
            <w:tcMar>
              <w:top w:w="0" w:type="dxa"/>
              <w:left w:w="108" w:type="dxa"/>
              <w:bottom w:w="0" w:type="dxa"/>
              <w:right w:w="108" w:type="dxa"/>
            </w:tcMar>
            <w:vAlign w:val="center"/>
          </w:tcPr>
          <w:p w14:paraId="166C39D8">
            <w:pPr>
              <w:jc w:val="center"/>
              <w:rPr>
                <w:rFonts w:ascii="宋体" w:hAnsi="宋体" w:cs="宋体"/>
                <w:color w:val="000000"/>
                <w:sz w:val="24"/>
                <w:szCs w:val="24"/>
                <w:highlight w:val="none"/>
              </w:rPr>
            </w:pPr>
            <w:r>
              <w:rPr>
                <w:rFonts w:ascii="宋体" w:hAnsi="宋体" w:cs="宋体"/>
                <w:color w:val="000000"/>
                <w:sz w:val="24"/>
                <w:szCs w:val="24"/>
                <w:highlight w:val="none"/>
              </w:rPr>
              <w:t>100</w:t>
            </w:r>
          </w:p>
        </w:tc>
        <w:tc>
          <w:tcPr>
            <w:tcW w:w="3444" w:type="pct"/>
            <w:tcMar>
              <w:top w:w="0" w:type="dxa"/>
              <w:left w:w="108" w:type="dxa"/>
              <w:bottom w:w="0" w:type="dxa"/>
              <w:right w:w="108" w:type="dxa"/>
            </w:tcMar>
            <w:vAlign w:val="center"/>
          </w:tcPr>
          <w:p w14:paraId="50F3DFAC">
            <w:pPr>
              <w:jc w:val="center"/>
              <w:rPr>
                <w:rFonts w:ascii="宋体" w:hAnsi="宋体" w:cs="宋体"/>
                <w:color w:val="000000"/>
                <w:sz w:val="24"/>
                <w:szCs w:val="24"/>
                <w:highlight w:val="none"/>
              </w:rPr>
            </w:pPr>
          </w:p>
        </w:tc>
      </w:tr>
      <w:tr w14:paraId="7032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5000" w:type="pct"/>
            <w:gridSpan w:val="4"/>
            <w:tcMar>
              <w:top w:w="0" w:type="dxa"/>
              <w:left w:w="108" w:type="dxa"/>
              <w:bottom w:w="0" w:type="dxa"/>
              <w:right w:w="108" w:type="dxa"/>
            </w:tcMar>
            <w:vAlign w:val="center"/>
          </w:tcPr>
          <w:p w14:paraId="2E6EEACD">
            <w:pPr>
              <w:rPr>
                <w:rFonts w:ascii="宋体" w:hAnsi="宋体" w:cs="宋体"/>
                <w:color w:val="000000"/>
                <w:sz w:val="24"/>
                <w:szCs w:val="24"/>
                <w:highlight w:val="none"/>
              </w:rPr>
            </w:pPr>
            <w:r>
              <w:rPr>
                <w:rFonts w:ascii="宋体" w:hAnsi="宋体" w:cs="宋体"/>
                <w:color w:val="000000"/>
                <w:sz w:val="24"/>
                <w:szCs w:val="24"/>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w:t>
            </w:r>
            <w:r>
              <w:rPr>
                <w:rFonts w:ascii="Cambria Math" w:hAnsi="Cambria Math" w:cs="Cambria Math"/>
                <w:color w:val="000000"/>
                <w:sz w:val="24"/>
                <w:szCs w:val="24"/>
                <w:highlight w:val="none"/>
              </w:rPr>
              <w:t>⑪</w:t>
            </w:r>
            <w:r>
              <w:rPr>
                <w:rFonts w:ascii="宋体" w:hAnsi="宋体" w:cs="宋体"/>
                <w:color w:val="000000"/>
                <w:sz w:val="24"/>
                <w:szCs w:val="24"/>
                <w:highlight w:val="none"/>
              </w:rPr>
              <w:t>涉及的规范及标准错误不可能实现的情形等任意一种情形。</w:t>
            </w:r>
          </w:p>
        </w:tc>
      </w:tr>
    </w:tbl>
    <w:p w14:paraId="3C245823">
      <w:pPr>
        <w:rPr>
          <w:rFonts w:ascii="宋体" w:hAnsi="宋体" w:cs="宋体"/>
          <w:b/>
          <w:color w:val="000000" w:themeColor="text1"/>
          <w:sz w:val="24"/>
          <w:highlight w:val="none"/>
          <w14:textFill>
            <w14:solidFill>
              <w14:schemeClr w14:val="tx1"/>
            </w14:solidFill>
          </w14:textFill>
        </w:rPr>
      </w:pPr>
    </w:p>
    <w:p w14:paraId="03C8DA0B">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14:paraId="4B618A0C">
      <w:pPr>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22. 详细评审</w:t>
      </w:r>
    </w:p>
    <w:p w14:paraId="77F9D515">
      <w:pPr>
        <w:spacing w:line="440" w:lineRule="exact"/>
        <w:ind w:firstLine="47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22.1经初步评审合格的投标文件，评标委员会应当根据公开招标文件确定的评标标准和方法，对</w:t>
      </w:r>
      <w:r>
        <w:rPr>
          <w:rFonts w:hint="eastAsia" w:ascii="宋体" w:hAnsi="宋体" w:cs="宋体"/>
          <w:color w:val="000000" w:themeColor="text1"/>
          <w:sz w:val="24"/>
          <w:highlight w:val="none"/>
          <w14:textFill>
            <w14:solidFill>
              <w14:schemeClr w14:val="tx1"/>
            </w14:solidFill>
          </w14:textFill>
        </w:rPr>
        <w:t>投标供应商所有投标产品的</w:t>
      </w:r>
      <w:r>
        <w:rPr>
          <w:rFonts w:hint="eastAsia" w:ascii="宋体" w:hAnsi="宋体" w:cs="宋体"/>
          <w:color w:val="000000" w:themeColor="text1"/>
          <w:spacing w:val="-2"/>
          <w:sz w:val="24"/>
          <w:highlight w:val="none"/>
          <w14:textFill>
            <w14:solidFill>
              <w14:schemeClr w14:val="tx1"/>
            </w14:solidFill>
          </w14:textFill>
        </w:rPr>
        <w:t>技术和商务部分进行详细评审</w:t>
      </w:r>
      <w:r>
        <w:rPr>
          <w:rFonts w:hint="eastAsia" w:ascii="宋体" w:hAnsi="宋体" w:cs="宋体"/>
          <w:color w:val="000000" w:themeColor="text1"/>
          <w:sz w:val="24"/>
          <w:highlight w:val="none"/>
          <w14:textFill>
            <w14:solidFill>
              <w14:schemeClr w14:val="tx1"/>
            </w14:solidFill>
          </w14:textFill>
        </w:rPr>
        <w:t>。</w:t>
      </w:r>
    </w:p>
    <w:p w14:paraId="467087F5">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22.2 在评审过程中，为了有助于对投标文件进行审查、评估，投标供应商有责任按照招标方通知的时间、地点指派专人进行答疑和澄清。评标委员会可能要求投标供应商就投标文件中的内容进行答辩，投标供应商应按要求进行答辩。</w:t>
      </w:r>
    </w:p>
    <w:p w14:paraId="661C8942">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22.3采用综合评分法衡量投标文件在是否最大限度地满足公开招标文件实质性要求前提下，按照公开招标文件中规定的各项因素进行综合评审后，依据得分高低，依次确定为中标候选人。</w:t>
      </w:r>
    </w:p>
    <w:p w14:paraId="6FCA9F36">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提供相同品牌产品且通过资格审查、符合性审查的不同投标供应商参加同一合同项下投标的，按一家投标供应商计算，评审后得分最高的同品牌投标供应商获得中标人推荐资格；评审得分相同的，由采购人或者采购人委托评标委员会按照公开招标文件规定的方式确定一个投标供应商获得中标人推荐资格，公开招标文件未规定的采取随机抽取方式确定，其他同品牌投标供应商不作为中标候选人。</w:t>
      </w:r>
    </w:p>
    <w:p w14:paraId="4B4ACC95">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非单一产品采购项目，采购人应当根据采购项目技术构成、产品价格比重等合理确定核心产品，并在公开招标文件中载明。多家投标供应商提供的核心产品品牌相同的，按前款规定处理。</w:t>
      </w:r>
    </w:p>
    <w:p w14:paraId="0F97549C">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22.3.1当投标供应商总得分相同时，以投标价格低者排位在前。</w:t>
      </w:r>
    </w:p>
    <w:p w14:paraId="3B95AE67">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22.4根据综合评分法完成评标后，评标委员会应当拟定一份书面评标报告提交招标方。</w:t>
      </w:r>
    </w:p>
    <w:p w14:paraId="78507510">
      <w:pPr>
        <w:spacing w:line="440" w:lineRule="exact"/>
        <w:jc w:val="center"/>
        <w:rPr>
          <w:rFonts w:hint="eastAsia" w:ascii="宋体" w:hAnsi="宋体" w:cs="宋体"/>
          <w:color w:val="000000" w:themeColor="text1"/>
          <w:spacing w:val="-2"/>
          <w:sz w:val="24"/>
          <w:highlight w:val="none"/>
          <w14:textFill>
            <w14:solidFill>
              <w14:schemeClr w14:val="tx1"/>
            </w14:solidFill>
          </w14:textFill>
        </w:rPr>
      </w:pPr>
    </w:p>
    <w:p w14:paraId="41A7EA3D">
      <w:pPr>
        <w:spacing w:line="440" w:lineRule="exact"/>
        <w:rPr>
          <w:rFonts w:hint="eastAsia" w:ascii="宋体" w:hAnsi="宋体" w:cs="宋体"/>
          <w:b/>
          <w:color w:val="000000" w:themeColor="text1"/>
          <w:highlight w:val="none"/>
          <w14:textFill>
            <w14:solidFill>
              <w14:schemeClr w14:val="tx1"/>
            </w14:solidFill>
          </w14:textFill>
        </w:rPr>
      </w:pPr>
    </w:p>
    <w:p w14:paraId="61D1F0B6">
      <w:pPr>
        <w:spacing w:line="440" w:lineRule="exact"/>
        <w:jc w:val="center"/>
        <w:outlineLvl w:val="1"/>
        <w:rPr>
          <w:rFonts w:hint="eastAsia" w:ascii="宋体" w:hAnsi="宋体" w:cs="宋体"/>
          <w:b/>
          <w:color w:val="000000" w:themeColor="text1"/>
          <w:sz w:val="32"/>
          <w:szCs w:val="32"/>
          <w:highlight w:val="none"/>
          <w14:textFill>
            <w14:solidFill>
              <w14:schemeClr w14:val="tx1"/>
            </w14:solidFill>
          </w14:textFill>
        </w:rPr>
      </w:pPr>
      <w:bookmarkStart w:id="24" w:name="_Toc5430"/>
      <w:bookmarkStart w:id="25" w:name="_Toc10059"/>
      <w:r>
        <w:rPr>
          <w:rFonts w:hint="eastAsia" w:ascii="宋体" w:hAnsi="宋体" w:cs="宋体"/>
          <w:b/>
          <w:color w:val="000000" w:themeColor="text1"/>
          <w:sz w:val="32"/>
          <w:szCs w:val="32"/>
          <w:highlight w:val="none"/>
          <w14:textFill>
            <w14:solidFill>
              <w14:schemeClr w14:val="tx1"/>
            </w14:solidFill>
          </w14:textFill>
        </w:rPr>
        <w:t>第七章 定　标</w:t>
      </w:r>
      <w:bookmarkEnd w:id="24"/>
      <w:bookmarkEnd w:id="25"/>
    </w:p>
    <w:p w14:paraId="4E0C6C0E">
      <w:pPr>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23. 定标标准</w:t>
      </w:r>
    </w:p>
    <w:p w14:paraId="4D9A2B2E">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23.1　合同将授予被确定为实质性响应公开招标文件要求，经评定认为具备履行合同能力、报价合理、技术和商务条件都符合公开招标文件要求的，得分最高的投标供应商。</w:t>
      </w:r>
    </w:p>
    <w:p w14:paraId="2E77523D">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23.2　如果确定中标人没有条件圆满履行合同，招标方有权按照投标供应商的得分高低把合同授予下一个中标候选人。</w:t>
      </w:r>
    </w:p>
    <w:p w14:paraId="329AAF6D">
      <w:pPr>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24. 接受和拒绝任何或所有投标的权力</w:t>
      </w:r>
    </w:p>
    <w:p w14:paraId="7348A417">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24.1　为维护国家利益，招标方在授予合同之前仍有选择或拒绝任何全部投标的权力。</w:t>
      </w:r>
    </w:p>
    <w:p w14:paraId="44CBE8BD">
      <w:pPr>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25. 中标通知书</w:t>
      </w:r>
    </w:p>
    <w:p w14:paraId="5DAC612B">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25.1 中标结果确定后，招标方将以书面形式发出《中标通知书》，但发出时间不超过投标有效期，《中标通知书》一经发出即发生法律效力。</w:t>
      </w:r>
    </w:p>
    <w:p w14:paraId="3918858A">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25.2  《中标通知书》将作为签订合同的依据。</w:t>
      </w:r>
    </w:p>
    <w:p w14:paraId="7CC7CD94">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25.3  中标人在领取《中标通知书》时，必须按公开招标文件规定向采购代理机构缴纳招标代理服务费。</w:t>
      </w:r>
    </w:p>
    <w:p w14:paraId="1826ADCA">
      <w:pPr>
        <w:spacing w:line="440" w:lineRule="exact"/>
        <w:ind w:firstLine="370" w:firstLineChars="180"/>
        <w:rPr>
          <w:rFonts w:hint="eastAsia" w:ascii="宋体" w:hAnsi="宋体" w:cs="宋体"/>
          <w:color w:val="000000" w:themeColor="text1"/>
          <w:spacing w:val="-2"/>
          <w:highlight w:val="none"/>
          <w14:textFill>
            <w14:solidFill>
              <w14:schemeClr w14:val="tx1"/>
            </w14:solidFill>
          </w14:textFill>
        </w:rPr>
      </w:pPr>
    </w:p>
    <w:p w14:paraId="1EE5DE26">
      <w:pPr>
        <w:spacing w:line="440" w:lineRule="exact"/>
        <w:ind w:firstLine="643" w:firstLineChars="200"/>
        <w:jc w:val="center"/>
        <w:outlineLvl w:val="1"/>
        <w:rPr>
          <w:rFonts w:hint="eastAsia" w:ascii="宋体" w:hAnsi="宋体" w:cs="宋体"/>
          <w:b/>
          <w:color w:val="000000" w:themeColor="text1"/>
          <w:sz w:val="32"/>
          <w:szCs w:val="32"/>
          <w:highlight w:val="none"/>
          <w14:textFill>
            <w14:solidFill>
              <w14:schemeClr w14:val="tx1"/>
            </w14:solidFill>
          </w14:textFill>
        </w:rPr>
      </w:pPr>
      <w:bookmarkStart w:id="26" w:name="_Toc8597"/>
      <w:bookmarkStart w:id="27" w:name="_Toc507513106"/>
      <w:bookmarkStart w:id="28" w:name="_Toc26243"/>
      <w:r>
        <w:rPr>
          <w:rFonts w:hint="eastAsia" w:ascii="宋体" w:hAnsi="宋体" w:cs="宋体"/>
          <w:b/>
          <w:color w:val="000000" w:themeColor="text1"/>
          <w:sz w:val="32"/>
          <w:szCs w:val="32"/>
          <w:highlight w:val="none"/>
          <w14:textFill>
            <w14:solidFill>
              <w14:schemeClr w14:val="tx1"/>
            </w14:solidFill>
          </w14:textFill>
        </w:rPr>
        <w:t>第八章 授予合同</w:t>
      </w:r>
      <w:bookmarkEnd w:id="26"/>
      <w:bookmarkEnd w:id="27"/>
      <w:bookmarkEnd w:id="28"/>
    </w:p>
    <w:p w14:paraId="73882162">
      <w:pPr>
        <w:spacing w:line="44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26. 签订合同</w:t>
      </w:r>
    </w:p>
    <w:p w14:paraId="487594AD">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26.1  中标人收到招标方的《中标通知书》后三十日内，按照公开招标文件和中标人投标文件中的约定与采购人签订书面合同，所签订的合同不得对公开招标文件和中标人的投标文件作实质性修改。</w:t>
      </w:r>
    </w:p>
    <w:p w14:paraId="61D59639">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26.2  招标方在授予合同时，有权对公开招标文件中规定的货物和服务的数量在10%的幅度内予以增加或调整。</w:t>
      </w:r>
    </w:p>
    <w:p w14:paraId="59F0FFB1">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26.3  如中标人拒签合同，则按违约处理。</w:t>
      </w:r>
    </w:p>
    <w:p w14:paraId="0D8E143A">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26.4  公开招标文件、中标人的投标文件及其澄清文件等，均为签订合同的依据。</w:t>
      </w:r>
    </w:p>
    <w:p w14:paraId="1EAAB044">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26.5  不允许中标人将中标项目分包或转交他人承担。</w:t>
      </w:r>
    </w:p>
    <w:p w14:paraId="1538E737">
      <w:pPr>
        <w:spacing w:line="440" w:lineRule="exact"/>
        <w:ind w:firstLine="472"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27 投标供应商低价恶意中标不能按要求提供服务的，五年内禁止参加新疆农业大学的任何招标活动。</w:t>
      </w:r>
    </w:p>
    <w:p w14:paraId="430AD989">
      <w:pPr>
        <w:spacing w:line="440" w:lineRule="exact"/>
        <w:ind w:firstLine="472" w:firstLineChars="200"/>
        <w:rPr>
          <w:rFonts w:hint="eastAsia" w:ascii="宋体" w:hAnsi="宋体" w:cs="宋体"/>
          <w:bCs/>
          <w:color w:val="000000" w:themeColor="text1"/>
          <w:spacing w:val="-2"/>
          <w:sz w:val="24"/>
          <w:highlight w:val="none"/>
          <w14:textFill>
            <w14:solidFill>
              <w14:schemeClr w14:val="tx1"/>
            </w14:solidFill>
          </w14:textFill>
        </w:rPr>
      </w:pPr>
      <w:r>
        <w:rPr>
          <w:rFonts w:hint="eastAsia" w:ascii="宋体" w:hAnsi="宋体" w:cs="宋体"/>
          <w:bCs/>
          <w:color w:val="000000" w:themeColor="text1"/>
          <w:spacing w:val="-2"/>
          <w:sz w:val="24"/>
          <w:highlight w:val="none"/>
          <w14:textFill>
            <w14:solidFill>
              <w14:schemeClr w14:val="tx1"/>
            </w14:solidFill>
          </w14:textFill>
        </w:rPr>
        <w:t>28  合同签订、货物（服务）交付采购人使用后，采购人将依据采购文件中采购需求及中标（成交）人投标（响应）文件中的响应内容组织项目履约验收。</w:t>
      </w:r>
    </w:p>
    <w:p w14:paraId="12482B39">
      <w:pPr>
        <w:spacing w:line="440" w:lineRule="exact"/>
        <w:ind w:firstLine="474" w:firstLineChars="200"/>
        <w:rPr>
          <w:rFonts w:hint="eastAsia" w:ascii="宋体" w:hAnsi="宋体" w:cs="宋体"/>
          <w:b/>
          <w:color w:val="000000" w:themeColor="text1"/>
          <w:spacing w:val="-2"/>
          <w:sz w:val="24"/>
          <w:highlight w:val="none"/>
          <w14:textFill>
            <w14:solidFill>
              <w14:schemeClr w14:val="tx1"/>
            </w14:solidFill>
          </w14:textFill>
        </w:rPr>
        <w:sectPr>
          <w:headerReference r:id="rId7" w:type="first"/>
          <w:headerReference r:id="rId5" w:type="default"/>
          <w:footerReference r:id="rId8" w:type="default"/>
          <w:headerReference r:id="rId6" w:type="even"/>
          <w:footerReference r:id="rId9" w:type="even"/>
          <w:pgSz w:w="11906" w:h="16838"/>
          <w:pgMar w:top="1134" w:right="1134" w:bottom="1134" w:left="1134" w:header="851" w:footer="992" w:gutter="0"/>
          <w:pgNumType w:start="1"/>
          <w:cols w:space="720" w:num="1"/>
          <w:docGrid w:type="lines" w:linePitch="333" w:charSpace="0"/>
        </w:sectPr>
      </w:pPr>
      <w:r>
        <w:rPr>
          <w:rFonts w:hint="eastAsia" w:ascii="宋体" w:hAnsi="宋体" w:cs="宋体"/>
          <w:b/>
          <w:color w:val="000000" w:themeColor="text1"/>
          <w:spacing w:val="-2"/>
          <w:sz w:val="24"/>
          <w:highlight w:val="none"/>
          <w14:textFill>
            <w14:solidFill>
              <w14:schemeClr w14:val="tx1"/>
            </w14:solidFill>
          </w14:textFill>
        </w:rPr>
        <w:t>29  中标人与采购人签订合同时，必须提供产品合法来源证明材料。</w:t>
      </w:r>
    </w:p>
    <w:p w14:paraId="75AEE400">
      <w:pPr>
        <w:spacing w:line="440" w:lineRule="exact"/>
        <w:jc w:val="center"/>
        <w:outlineLvl w:val="0"/>
        <w:rPr>
          <w:rFonts w:hint="eastAsia" w:ascii="宋体" w:hAnsi="宋体" w:cs="宋体"/>
          <w:b/>
          <w:color w:val="000000" w:themeColor="text1"/>
          <w:sz w:val="32"/>
          <w:highlight w:val="none"/>
          <w14:textFill>
            <w14:solidFill>
              <w14:schemeClr w14:val="tx1"/>
            </w14:solidFill>
          </w14:textFill>
        </w:rPr>
      </w:pPr>
      <w:bookmarkStart w:id="29" w:name="_Toc89792138"/>
      <w:bookmarkStart w:id="30" w:name="_Toc12723"/>
      <w:r>
        <w:rPr>
          <w:rFonts w:hint="eastAsia" w:ascii="宋体" w:hAnsi="宋体" w:cs="宋体"/>
          <w:b/>
          <w:color w:val="000000" w:themeColor="text1"/>
          <w:sz w:val="32"/>
          <w:szCs w:val="32"/>
          <w:highlight w:val="none"/>
          <w14:textFill>
            <w14:solidFill>
              <w14:schemeClr w14:val="tx1"/>
            </w14:solidFill>
          </w14:textFill>
        </w:rPr>
        <w:t xml:space="preserve">第四部分 </w:t>
      </w:r>
      <w:r>
        <w:rPr>
          <w:rFonts w:hint="eastAsia" w:ascii="宋体" w:hAnsi="宋体" w:cs="宋体"/>
          <w:b/>
          <w:color w:val="000000" w:themeColor="text1"/>
          <w:sz w:val="32"/>
          <w:highlight w:val="none"/>
          <w14:textFill>
            <w14:solidFill>
              <w14:schemeClr w14:val="tx1"/>
            </w14:solidFill>
          </w14:textFill>
        </w:rPr>
        <w:t>采购需求</w:t>
      </w:r>
      <w:bookmarkEnd w:id="29"/>
      <w:bookmarkEnd w:id="30"/>
    </w:p>
    <w:p w14:paraId="516DB9FA">
      <w:pPr>
        <w:spacing w:line="500" w:lineRule="exact"/>
        <w:textAlignment w:val="center"/>
        <w:rPr>
          <w:rFonts w:hint="eastAsia" w:ascii="宋体" w:hAnsi="宋体" w:cs="宋体"/>
          <w:b/>
          <w:bCs/>
          <w:sz w:val="28"/>
          <w:szCs w:val="28"/>
          <w:highlight w:val="none"/>
        </w:rPr>
      </w:pPr>
      <w:r>
        <w:rPr>
          <w:rFonts w:hint="eastAsia" w:ascii="宋体" w:hAnsi="宋体" w:cs="宋体"/>
          <w:b/>
          <w:bCs/>
          <w:sz w:val="24"/>
          <w:szCs w:val="24"/>
          <w:highlight w:val="none"/>
        </w:rPr>
        <w:t>一、项目基本情况</w:t>
      </w:r>
    </w:p>
    <w:p w14:paraId="79848DE6">
      <w:pPr>
        <w:spacing w:line="500" w:lineRule="exact"/>
        <w:ind w:firstLine="480" w:firstLineChars="200"/>
        <w:textAlignment w:val="center"/>
        <w:rPr>
          <w:rFonts w:hint="eastAsia" w:ascii="宋体" w:hAnsi="宋体" w:cs="宋体"/>
          <w:sz w:val="24"/>
          <w:szCs w:val="24"/>
          <w:highlight w:val="none"/>
        </w:rPr>
      </w:pPr>
      <w:r>
        <w:rPr>
          <w:rFonts w:hint="eastAsia" w:ascii="宋体" w:hAnsi="宋体" w:cs="宋体"/>
          <w:sz w:val="24"/>
          <w:szCs w:val="24"/>
          <w:highlight w:val="none"/>
        </w:rPr>
        <w:t>服务内容:邀请全国百余所高校、百余家生产企业及经销商代表齐聚新疆，开设11项主体活动，包括举办开幕式、产业破局发展论坛、“最受大学生欢迎的中国风土葡萄酒”品鉴大赛、高校通识教育研讨会、游园会暨新疆美食嘉年华、系列大学生创新创意大赛及闭幕式等，重点突出产区品牌培育功能。</w:t>
      </w:r>
    </w:p>
    <w:p w14:paraId="6D44A7D7">
      <w:pPr>
        <w:spacing w:line="500" w:lineRule="exact"/>
        <w:ind w:firstLine="480" w:firstLineChars="200"/>
        <w:textAlignment w:val="center"/>
        <w:rPr>
          <w:rFonts w:hint="eastAsia" w:ascii="宋体" w:hAnsi="宋体" w:cs="宋体"/>
          <w:sz w:val="24"/>
          <w:szCs w:val="24"/>
          <w:highlight w:val="none"/>
        </w:rPr>
      </w:pPr>
      <w:r>
        <w:rPr>
          <w:rFonts w:hint="eastAsia" w:ascii="宋体" w:hAnsi="宋体" w:cs="宋体"/>
          <w:sz w:val="24"/>
          <w:szCs w:val="24"/>
          <w:highlight w:val="none"/>
          <w:lang w:eastAsia="zh-Hans"/>
        </w:rPr>
        <w:t>实施地点:</w:t>
      </w:r>
      <w:r>
        <w:rPr>
          <w:rFonts w:hint="eastAsia" w:ascii="宋体" w:hAnsi="宋体" w:cs="宋体"/>
          <w:sz w:val="24"/>
          <w:szCs w:val="24"/>
          <w:highlight w:val="none"/>
        </w:rPr>
        <w:t>乌鲁木齐市</w:t>
      </w:r>
    </w:p>
    <w:p w14:paraId="7DE7C389">
      <w:pPr>
        <w:spacing w:line="500" w:lineRule="exact"/>
        <w:ind w:firstLine="480" w:firstLineChars="200"/>
        <w:textAlignment w:val="center"/>
        <w:rPr>
          <w:rFonts w:hint="eastAsia" w:ascii="宋体" w:hAnsi="宋体" w:cs="宋体"/>
          <w:b/>
          <w:bCs/>
          <w:sz w:val="24"/>
          <w:szCs w:val="24"/>
          <w:highlight w:val="none"/>
        </w:rPr>
      </w:pPr>
      <w:r>
        <w:rPr>
          <w:rFonts w:hint="eastAsia" w:ascii="宋体" w:hAnsi="宋体" w:cs="宋体"/>
          <w:sz w:val="24"/>
          <w:szCs w:val="24"/>
          <w:highlight w:val="none"/>
        </w:rPr>
        <w:t>合同履行期限</w:t>
      </w:r>
      <w:r>
        <w:rPr>
          <w:rFonts w:hint="eastAsia" w:ascii="宋体" w:hAnsi="宋体" w:cs="宋体"/>
          <w:sz w:val="24"/>
          <w:szCs w:val="24"/>
          <w:highlight w:val="none"/>
          <w:lang w:eastAsia="zh-Hans"/>
        </w:rPr>
        <w:t>:</w:t>
      </w:r>
      <w:r>
        <w:rPr>
          <w:rFonts w:hint="eastAsia" w:ascii="宋体" w:hAnsi="宋体" w:cs="宋体"/>
          <w:sz w:val="24"/>
          <w:szCs w:val="24"/>
          <w:highlight w:val="none"/>
        </w:rPr>
        <w:t>合同签订之日起至项目实施结束（具体起止日期以合同签订为准）</w:t>
      </w:r>
    </w:p>
    <w:p w14:paraId="3F455648">
      <w:pPr>
        <w:spacing w:line="440" w:lineRule="exact"/>
        <w:textAlignment w:val="center"/>
        <w:rPr>
          <w:rFonts w:hint="eastAsia" w:ascii="宋体" w:hAnsi="宋体" w:cs="宋体"/>
          <w:b/>
          <w:bCs/>
          <w:sz w:val="24"/>
          <w:szCs w:val="24"/>
          <w:highlight w:val="none"/>
        </w:rPr>
      </w:pPr>
      <w:r>
        <w:rPr>
          <w:rFonts w:hint="eastAsia" w:ascii="宋体" w:hAnsi="宋体" w:cs="宋体"/>
          <w:b/>
          <w:bCs/>
          <w:sz w:val="24"/>
          <w:szCs w:val="24"/>
          <w:highlight w:val="none"/>
        </w:rPr>
        <w:t>二、项目总体目标</w:t>
      </w:r>
    </w:p>
    <w:p w14:paraId="620BD734">
      <w:pPr>
        <w:spacing w:line="440" w:lineRule="exact"/>
        <w:ind w:firstLine="480" w:firstLineChars="200"/>
        <w:outlineLvl w:val="2"/>
        <w:rPr>
          <w:rFonts w:hint="eastAsia" w:ascii="宋体" w:hAnsi="宋体" w:cs="宋体"/>
          <w:sz w:val="24"/>
          <w:szCs w:val="24"/>
          <w:highlight w:val="none"/>
        </w:rPr>
      </w:pPr>
      <w:r>
        <w:rPr>
          <w:rFonts w:hint="eastAsia" w:ascii="宋体" w:hAnsi="宋体" w:cs="宋体"/>
          <w:sz w:val="24"/>
          <w:szCs w:val="24"/>
          <w:highlight w:val="none"/>
        </w:rPr>
        <w:t>1.举办葡萄酒科学文化节开幕式暨启动仪式，完成新葡萄酒系列团体标准发布，打响新疆葡萄酒产区品牌推广声势，搭建产业标准宣传展示平台；</w:t>
      </w:r>
    </w:p>
    <w:p w14:paraId="7B4BD7EE">
      <w:pPr>
        <w:spacing w:line="440" w:lineRule="exact"/>
        <w:ind w:firstLine="480" w:firstLineChars="200"/>
        <w:outlineLvl w:val="2"/>
        <w:rPr>
          <w:rFonts w:hint="eastAsia" w:ascii="宋体" w:hAnsi="宋体" w:cs="宋体"/>
          <w:sz w:val="24"/>
          <w:szCs w:val="24"/>
          <w:highlight w:val="none"/>
        </w:rPr>
      </w:pPr>
      <w:r>
        <w:rPr>
          <w:rFonts w:hint="eastAsia" w:ascii="宋体" w:hAnsi="宋体" w:cs="宋体"/>
          <w:sz w:val="24"/>
          <w:szCs w:val="24"/>
          <w:highlight w:val="none"/>
        </w:rPr>
        <w:t>2.落地酒庄新书发布、产业发展论坛、葡萄酒品鉴大赛、高校课程研讨、葡萄酒文化游园嘉年华等主题活动，丰富葡萄酒科学文化传播载体，扩大新疆葡萄酒风土展示覆盖面；</w:t>
      </w:r>
    </w:p>
    <w:p w14:paraId="27A7B0D6">
      <w:pPr>
        <w:spacing w:line="440" w:lineRule="exact"/>
        <w:ind w:firstLine="480" w:firstLineChars="200"/>
        <w:outlineLvl w:val="2"/>
        <w:rPr>
          <w:rFonts w:hint="eastAsia" w:ascii="宋体" w:hAnsi="宋体" w:cs="宋体"/>
          <w:sz w:val="24"/>
          <w:szCs w:val="24"/>
          <w:highlight w:val="none"/>
        </w:rPr>
      </w:pPr>
      <w:r>
        <w:rPr>
          <w:rFonts w:hint="eastAsia" w:ascii="宋体" w:hAnsi="宋体" w:cs="宋体"/>
          <w:sz w:val="24"/>
          <w:szCs w:val="24"/>
          <w:highlight w:val="none"/>
        </w:rPr>
        <w:t>3.开展葡萄酒科创、创意、美妆、艺术、营销赛事及主题歌曲征集多类竞赛活动，汇聚全国大学生创新创意力量，培育葡萄酒产业青年创新人才；</w:t>
      </w:r>
    </w:p>
    <w:p w14:paraId="6737C075">
      <w:pPr>
        <w:spacing w:line="440" w:lineRule="exact"/>
        <w:ind w:firstLine="480" w:firstLineChars="200"/>
        <w:outlineLvl w:val="2"/>
        <w:rPr>
          <w:rFonts w:hint="eastAsia" w:ascii="宋体" w:hAnsi="宋体" w:cs="宋体"/>
          <w:sz w:val="24"/>
          <w:szCs w:val="24"/>
          <w:highlight w:val="none"/>
        </w:rPr>
      </w:pPr>
      <w:r>
        <w:rPr>
          <w:rFonts w:hint="eastAsia" w:ascii="宋体" w:hAnsi="宋体" w:cs="宋体"/>
          <w:sz w:val="24"/>
          <w:szCs w:val="24"/>
          <w:highlight w:val="none"/>
        </w:rPr>
        <w:t>4.组织大学生赴新疆五大葡萄酒产区开展研学推介，完成5部产区宣传微视频制作与展播，全方位推介新疆特色葡萄酒产地资源，提升产区对外知名度；</w:t>
      </w:r>
    </w:p>
    <w:p w14:paraId="60DF239D">
      <w:pPr>
        <w:spacing w:line="440" w:lineRule="exact"/>
        <w:ind w:firstLine="480" w:firstLineChars="200"/>
        <w:outlineLvl w:val="2"/>
        <w:rPr>
          <w:rFonts w:hint="eastAsia" w:ascii="宋体" w:hAnsi="宋体" w:cs="宋体"/>
          <w:sz w:val="24"/>
          <w:szCs w:val="24"/>
          <w:highlight w:val="none"/>
        </w:rPr>
      </w:pPr>
      <w:r>
        <w:rPr>
          <w:rFonts w:hint="eastAsia" w:ascii="宋体" w:hAnsi="宋体" w:cs="宋体"/>
          <w:sz w:val="24"/>
          <w:szCs w:val="24"/>
          <w:highlight w:val="none"/>
        </w:rPr>
        <w:t>5.举办文化节闭幕式暨颁奖典礼，统筹全流程活动落地宣传，全场景融入“新疆葡萄酒”视觉体系，整合全媒体、高校官方渠道开展多维度宣传，全面提升新疆葡萄酒产业文化传播影响力。</w:t>
      </w:r>
    </w:p>
    <w:p w14:paraId="6B663971">
      <w:pPr>
        <w:spacing w:line="440" w:lineRule="exact"/>
        <w:textAlignment w:val="center"/>
        <w:rPr>
          <w:rFonts w:hint="eastAsia" w:ascii="宋体" w:hAnsi="宋体" w:cs="宋体"/>
          <w:b/>
          <w:bCs/>
          <w:sz w:val="24"/>
          <w:szCs w:val="24"/>
          <w:highlight w:val="none"/>
        </w:rPr>
      </w:pPr>
      <w:r>
        <w:rPr>
          <w:rFonts w:hint="eastAsia" w:ascii="宋体" w:hAnsi="宋体" w:cs="宋体"/>
          <w:b/>
          <w:bCs/>
          <w:sz w:val="24"/>
          <w:szCs w:val="24"/>
          <w:highlight w:val="none"/>
        </w:rPr>
        <w:t>三、采购服务内容及详细技术要求</w:t>
      </w:r>
    </w:p>
    <w:p w14:paraId="4BB6841C">
      <w:pPr>
        <w:pStyle w:val="2"/>
        <w:keepNext w:val="0"/>
        <w:widowControl/>
        <w:numPr>
          <w:ilvl w:val="0"/>
          <w:numId w:val="0"/>
        </w:numPr>
        <w:tabs>
          <w:tab w:val="clear" w:pos="360"/>
        </w:tabs>
        <w:spacing w:line="440" w:lineRule="exact"/>
        <w:ind w:left="360" w:hanging="360"/>
        <w:rPr>
          <w:rFonts w:hint="eastAsia" w:ascii="宋体" w:hAnsi="宋体" w:cs="宋体"/>
          <w:bCs/>
          <w:kern w:val="2"/>
          <w:sz w:val="24"/>
          <w:szCs w:val="24"/>
          <w:highlight w:val="none"/>
        </w:rPr>
      </w:pPr>
      <w:r>
        <w:rPr>
          <w:rFonts w:hint="eastAsia" w:ascii="宋体" w:hAnsi="宋体" w:cs="宋体"/>
          <w:bCs/>
          <w:kern w:val="2"/>
          <w:sz w:val="24"/>
          <w:szCs w:val="24"/>
          <w:highlight w:val="none"/>
        </w:rPr>
        <w:t>（一）葡萄酒科学文化节开幕式暨启动仪式</w:t>
      </w:r>
    </w:p>
    <w:p w14:paraId="33F6FAEB">
      <w:pPr>
        <w:spacing w:line="440" w:lineRule="exact"/>
        <w:ind w:firstLine="480" w:firstLineChars="200"/>
        <w:outlineLvl w:val="2"/>
        <w:rPr>
          <w:rFonts w:hint="eastAsia" w:ascii="宋体" w:hAnsi="宋体" w:cs="宋体"/>
          <w:sz w:val="24"/>
          <w:szCs w:val="24"/>
          <w:highlight w:val="none"/>
        </w:rPr>
      </w:pPr>
      <w:r>
        <w:rPr>
          <w:rFonts w:hint="eastAsia" w:ascii="宋体" w:hAnsi="宋体" w:cs="宋体"/>
          <w:sz w:val="24"/>
          <w:szCs w:val="24"/>
          <w:highlight w:val="none"/>
        </w:rPr>
        <w:t>本次启动仪式设置领导致辞、集体启动、新葡萄酒系列团体标准发布三大核心环节，旨在为文化节整体活动定调，打响新疆葡萄酒产区品牌推广的“发令枪”，搭建葡萄酒产业标准宣传展示平台；活动所有文案、视觉设计、影像素材均落实前置审核机制，严格把控意识形态导向，并从后勤、场地、设备、现场、宣传五大维度统筹落地保障。具体要求如下：</w:t>
      </w:r>
    </w:p>
    <w:p w14:paraId="2504CD8F">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参会人员出行后勤保障：统筹到场领导、行业专家、高校师生、新疆葡萄酒企业代表的往返交通，统一为全员办理短期意外伤害保险；配套印制邀请函、参会证件、会议手册、新疆产区宣传折页、会务手提袋，配齐饮用水、急救防暑物资、活动餐券，定制参会人员、志愿者专属服装，覆盖仪式全程的食宿、出行、参会保障，规范留存交通、物料、保险、餐饮的报销凭证，实行闭环管理。</w:t>
      </w:r>
    </w:p>
    <w:p w14:paraId="444EA5AA">
      <w:pPr>
        <w:spacing w:line="440" w:lineRule="exact"/>
        <w:ind w:firstLine="480" w:firstLineChars="200"/>
        <w:outlineLvl w:val="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2.仪式视觉场地与展陈搭建：完成全套活动主题视觉设计、3D场景建模、主KV、活动拱门（可充分展现前三届及本届的活动主题）、校园氛围美陈方案，所有设计稿、效果图经前置审核通过后再行施工。</w:t>
      </w:r>
      <w:r>
        <w:rPr>
          <w:rFonts w:hint="eastAsia" w:ascii="宋体" w:hAnsi="宋体" w:cs="宋体"/>
          <w:b/>
          <w:bCs/>
          <w:color w:val="000000" w:themeColor="text1"/>
          <w:sz w:val="24"/>
          <w:szCs w:val="24"/>
          <w:highlight w:val="none"/>
          <w14:textFill>
            <w14:solidFill>
              <w14:schemeClr w14:val="tx1"/>
            </w14:solidFill>
          </w14:textFill>
        </w:rPr>
        <w:t>主</w:t>
      </w:r>
      <w:r>
        <w:rPr>
          <w:rFonts w:hint="eastAsia" w:ascii="宋体" w:hAnsi="宋体" w:cs="宋体"/>
          <w:color w:val="000000" w:themeColor="text1"/>
          <w:sz w:val="24"/>
          <w:szCs w:val="24"/>
          <w:highlight w:val="none"/>
          <w14:textFill>
            <w14:solidFill>
              <w14:schemeClr w14:val="tx1"/>
            </w14:solidFill>
          </w14:textFill>
        </w:rPr>
        <w:t>题拱门展陈系统须基于历届活动视觉资产与品牌积淀，复刻还原前三届活动主题拱门各1座，同步原创设计搭建本届活动主题拱门1座，共计4座主题拱门，构建“历届回顾—本届聚焦”的时空叙事轴线，形成校园主干道沉浸式文化长廊。采用环保阻燃材料打造校园主形象特装美陈、道路道旗横幅、广场氛围展板、大礼堂入口造型（包括大礼堂内大厅）、场内签到布景，配套设置活动导视与打卡点位；仪式期间安排专人值守设施，活动结束后完成撤展、场地复原、垃圾清运，并交付全套定稿设计源文件与现场实拍效果图。</w:t>
      </w:r>
    </w:p>
    <w:p w14:paraId="183645E0">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现场设备物料配套保障：配齐仪式舞台灯光、专业音响、LED大屏、全套布线设备并提前调试；批量制作标准发布主题展板、活动指引牌，领导致辞文稿、团体标准宣传图文、背景板文案全部前置审核，突出新疆葡萄酒产业标准化建设与产区特色；调配大型货运车辆完成舞台、美陈、宣传物料进场、补料、撤场运输防护，保障全部设备物料完好合规到位。</w:t>
      </w:r>
    </w:p>
    <w:p w14:paraId="7523510D">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仪式现场执行与人员服务：安排专职主持人串联全场流程，配套设置开场文艺表演环节；组织工作人员、志愿者分工负责布展、嘉宾签到、场内秩序维护、音视频巡检、撤场清运工作，建立现场调度与应急处置机制，有序推进嘉宾入场、领导致辞、集体启动、新葡萄酒系列团体标准发布全部流程，为文化节整体活动定调，打响新疆葡萄酒产区品牌推广“发令枪”，搭建产业标准宣传展示平台。</w:t>
      </w:r>
    </w:p>
    <w:p w14:paraId="66E96624">
      <w:pPr>
        <w:spacing w:line="440" w:lineRule="exact"/>
        <w:ind w:firstLine="480" w:firstLineChars="200"/>
        <w:outlineLvl w:val="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全周期宣传策划与成果交付：分预热、现场、复盘三个阶段开展全媒体宣传，制作仪式专属启动视频用于现场播放；安排多机位拍摄团队全程记录领导致辞、标准发布、启动仪式等核心环节画面，产出新闻图集、短视频、专家专访等宣传素材；联动各级媒体、高校官方平台统一发稿，所有宣传图文、视频脚本均经前置审核后发布。完整归档启动仪式策划方案、流程台账、对接记录，活动结束后交付全套影像素材、媒体报道合集与专项复盘报告。</w:t>
      </w:r>
    </w:p>
    <w:p w14:paraId="23006E30">
      <w:pPr>
        <w:spacing w:line="440" w:lineRule="exact"/>
        <w:outlineLvl w:val="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（二）葡萄酒科学文化节主题活动</w:t>
      </w:r>
    </w:p>
    <w:p w14:paraId="628FEB9F">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次主题活动包含酒庄规划新书发布会、“从丝绸之路到一带一路”产业发展论坛、百人大学生盲品品鉴大赛、高校通识教育课程研讨会、双会场游园美食嘉年华五大板块，全程所有文稿、视觉设计、宣传素材实行前置审核，严守意识形态要求，从后勤、场地、设备、现场、宣传五大维度统筹保障落地：</w:t>
      </w:r>
    </w:p>
    <w:p w14:paraId="464F17D7">
      <w:pPr>
        <w:numPr>
          <w:ilvl w:val="0"/>
          <w:numId w:val="3"/>
        </w:num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参会人员出行后勤保障：统一保障论坛专家、新书发布嘉宾、百名大学生品鉴评委、高校参会师生等165余人往返机票，为全部参会学生统一购置短期意外伤害保险；印制活动邀请函、参会证、评委证、会议手册、新疆产区宣传折页与会务手提袋，配备参会人员、志愿者专属服装，备齐活动餐券、饮用水、急救防暑物资，覆盖新书发布、论坛研讨、品鉴评审、游园体验全流程食宿出行需求，规范留存交通、保险、物料、餐饮票据，实行全流程闭环管理。</w:t>
      </w:r>
    </w:p>
    <w:p w14:paraId="63526E37">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活动视觉场地与展陈搭建：完成全套主题活动3D建模、主视觉KV、双会场整体规划设计，全部效果图、布展方案审核通过后施工。搭建360㎡百人品鉴大赛专属场地，配套背景围挡、演讲台、酒样备展区、场外品鉴知识打卡展板；同步落地校内、大巴扎双游园会场，搭建百余组标准展位、大型舞台、17米宽入口造型美陈、游戏互动区，配套校园道旗、横幅、主形象特装美陈、活动拱门整体氛围布置，采用环保阻燃材料施工，活动期间专人看护设施，结束后完成撤展、场地复原、垃圾清运，交付全套定稿设计源文件与现场实拍图。</w:t>
      </w:r>
    </w:p>
    <w:p w14:paraId="6C5B2F63">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3.现场设备物料配套保障：配齐论坛、品鉴、游园舞台LED P3大屏、灯光、音响、麦克风、综合布线设备并提前调试；为盲品大赛配齐水晶品鉴杯、盲品袋、醒酒器、分杯机、各类品鉴葡萄酒、清口面包饼干等全套专业酒具物资；游园会配套二维码打卡手环、互动游戏道具、美陈耗材、演出服装；批量制作活动指引立牌、新书宣传展板、论坛议程展板，所有宣传文案、版面图文全部前置审核，突出新疆葡萄酒企业与产区风土特色；调配大型货运车辆完成搭建物料、酒样、宣传物资进场、补料、撤场运输防护，确保各类物资完好到位。</w:t>
      </w:r>
    </w:p>
    <w:p w14:paraId="0135C907">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现场执行与人员服务：聘请55名行业专家担任论坛主讲、品鉴赛事评审并发放专家评审费，配备专职主持人串联新书发布、论坛、品鉴、游园全流程；工作人员、志愿者分工负责场地布展、嘉宾签到、场内秩序、音视频设备巡检、赛后撤场清运，建立现场调度与应急处置机制。有序开展酒庄新书发布、丝路葡萄酒产业论坛、百人盲品评选、高校通识课程研讨、双会场美食游园嘉年华，吸纳大量新疆葡萄酒企业酒款参与品鉴展示，同步融合新疆美食与艺术体验。</w:t>
      </w:r>
    </w:p>
    <w:p w14:paraId="076DBFED">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全周期宣传策划成果交付：分预热、现场、复盘三阶段开展全媒体宣传，多机位摄像团队全程记录新书发布、论坛对话、盲品大赛、游园活动精彩画面，产出新闻图集、活动回顾短视频；对接主流媒体、行业平台发布专题报道，开展产业专家深度专访，所有图文、视频宣传素材审核通过后方可上线。完整归档五大主题活动策划方案、流程台账、对接记录，活动结束后交付全套影像素材、媒体报道合集、论坛研讨材料、品鉴赛事成果、活动专项复盘报告。</w:t>
      </w:r>
    </w:p>
    <w:p w14:paraId="1868AB49">
      <w:pPr>
        <w:spacing w:line="440" w:lineRule="exact"/>
        <w:outlineLvl w:val="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（三）葡萄酒科学文化节竞赛版块活动</w:t>
      </w:r>
    </w:p>
    <w:p w14:paraId="027FD9BD">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本版块涵盖</w:t>
      </w:r>
      <w:r>
        <w:rPr>
          <w:rFonts w:ascii="宋体" w:hAnsi="宋体" w:cs="宋体"/>
          <w:color w:val="000000" w:themeColor="text1"/>
          <w:sz w:val="24"/>
          <w:szCs w:val="24"/>
          <w:highlight w:val="none"/>
          <w14:textFill>
            <w14:solidFill>
              <w14:schemeClr w14:val="tx1"/>
            </w14:solidFill>
          </w14:textFill>
        </w:rPr>
        <w:t>全国大学生葡萄与葡萄酒科技创新大赛、全国大学生新葡萄酒创新创意大赛、 “梦回大唐，葡韵天山”——酒晕妆大赛、“天塞杯”全国大学生葡萄酒艺术创意大赛、“楼兰青摘杯”全国大学生葡萄酒营销大赛</w:t>
      </w:r>
      <w:r>
        <w:rPr>
          <w:rFonts w:hint="eastAsia" w:ascii="宋体" w:hAnsi="宋体" w:cs="宋体"/>
          <w:color w:val="000000" w:themeColor="text1"/>
          <w:sz w:val="24"/>
          <w:szCs w:val="24"/>
          <w:highlight w:val="none"/>
          <w14:textFill>
            <w14:solidFill>
              <w14:schemeClr w14:val="tx1"/>
            </w14:solidFill>
          </w14:textFill>
        </w:rPr>
        <w:t>和</w:t>
      </w:r>
      <w:r>
        <w:rPr>
          <w:rFonts w:ascii="宋体" w:hAnsi="宋体" w:cs="宋体"/>
          <w:color w:val="000000" w:themeColor="text1"/>
          <w:sz w:val="24"/>
          <w:szCs w:val="24"/>
          <w:highlight w:val="none"/>
          <w14:textFill>
            <w14:solidFill>
              <w14:schemeClr w14:val="tx1"/>
            </w14:solidFill>
          </w14:textFill>
        </w:rPr>
        <w:t>第四届全国大学生葡萄与葡萄酒科学文化节主题歌曲征集</w:t>
      </w:r>
      <w:r>
        <w:rPr>
          <w:rFonts w:hint="eastAsia" w:ascii="宋体" w:hAnsi="宋体" w:cs="宋体"/>
          <w:color w:val="000000" w:themeColor="text1"/>
          <w:sz w:val="24"/>
          <w:szCs w:val="24"/>
          <w:highlight w:val="none"/>
          <w14:textFill>
            <w14:solidFill>
              <w14:schemeClr w14:val="tx1"/>
            </w14:solidFill>
          </w14:textFill>
        </w:rPr>
        <w:t>六大竞赛活动，全部赛事方案、评审规则、宣传物料严格落实意识形态前置审核，保障赛事公平规范开展，具体要求如下：</w:t>
      </w:r>
    </w:p>
    <w:p w14:paraId="7DD0EB0E">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参赛人员后勤保障：统筹全国各高校参赛学生、评审专家往返交通，统一购置参赛全员短期意外伤害保险；配套制作参赛证件、评审证件、志愿者工作手册，配齐赛事期间饮用水、急救防暑物资；统一配置工作人员及志愿者服装，为酒晕妆大赛决赛选手、演出人员配套专属服装租借，完整覆盖六大竞赛全周期参赛出行、现场评审、颁奖环节保障需求，规范留存交通、保险、物料采购各类报销凭证，全程闭环管理。</w:t>
      </w:r>
    </w:p>
    <w:p w14:paraId="52D673E8">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赛事场地视觉与展陈搭建：定制全套赛事主题视觉设计方案，含各赛事主视觉、背景板、展示区规划设计，所有设计稿、效果图前置审核通过后方可施工。完成品鉴大赛360平方米专属区域搭建，含55米区域围挡背景、演讲台装饰、酒样准备区布置，配套会场外主题背景墙、品鉴知识展板、合影打卡装饰；同步完成各竞赛赛区展位搭建、展示区布置、颁奖舞台搭建，采用环保阻燃合规材料施工，赛事期间安排专人值守维护，活动结束后完成撤场清运与场地复原，最终交付全套审核通过的设计源文件与落地效果图。</w:t>
      </w:r>
    </w:p>
    <w:p w14:paraId="08296F2A">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3.竞赛设备物料配套保障：配齐各赛事场地专业灯光、音响、麦克风、LED P3显示屏幕及综合布线设备并完成调试；为百人团品鉴大赛配齐全套专业酒具，含标准水晶品鉴杯1800支、盲品袋400个、不锈钢吐酒桶、醒酒器、海马刀、分杯机5台及苏打饼干清口物资，配置干红、干白、甜白、起泡等各类型品鉴葡萄酒400-500瓶；批量制作赛事指引牌、参赛手册、宣传展板等物料，所有赛事规则、宣传文案、版面设计全部落实前置审核制度。安排专项货运完成所有赛事设备、物料、酒样进场、补料、撤场全流程运输防护，保障竞赛物资规范合规、完好到位。</w:t>
      </w:r>
    </w:p>
    <w:p w14:paraId="389A569B">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赛事执行与评审服务：配置55名行业专家、学者担任各赛事专业评审，按标准发放专家评审费；配置专职主持人负责赛事启动及颁奖典礼主持；安排专职工作人员与志愿者队伍负责赛前布展、签到检录、秩序维护、设备巡检、赛后撤展清运，全程落实赛事现场调度、应急处置与公平公正监督机制。有序推进六大竞赛报名征集、作品评审、现场展演、颁奖全流程，依托产区或企业冠名形式扩大赛事影响力，发掘葡萄酒领域青年创新创意人才。</w:t>
      </w:r>
    </w:p>
    <w:p w14:paraId="13F94291">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赛事宣传与成果交付：统筹六大竞赛全周期宣传推广，配置专业摄影摄像团队全程记录赛事评审、现场展演、颁奖精彩瞬间，输出赛事新闻图集、优秀作品展播短视频等宣传素材；联动高校官方平台、行业媒体发布赛事动态与获奖成果，所有宣传文案、视频脚本、图文素材均需甲方前置审核通过后方可发布。完成各赛事整体策划方案、评审规则制定、多方对接协调、现场统筹工作，最终完整交付经审核确认的全套赛事策划方案、获奖名单、奖杯奖牌证书、优秀作品汇编及各类宣传资料。</w:t>
      </w:r>
    </w:p>
    <w:p w14:paraId="5C7B6860">
      <w:pPr>
        <w:spacing w:line="440" w:lineRule="exact"/>
        <w:outlineLvl w:val="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（四）葡萄酒科学文化节文化体验、产区对接系列活动</w:t>
      </w:r>
    </w:p>
    <w:p w14:paraId="05601175">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（四）葡萄酒科学文化节产区视频拍摄</w:t>
      </w:r>
    </w:p>
    <w:p w14:paraId="518A5C2B">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版块组织赴天山北麓、吐哈盆地、伊犁河谷、焉耆盆地与阿克苏慕萨莱思特色产地五大葡萄酒产区开展视频、照片拍摄等产区风采素材收集，同步制作5部产区推介微视频用于开幕式展播，所有视频脚本、宣传素材严格落实意识形态前置审核，具体保障要求如下：</w:t>
      </w:r>
    </w:p>
    <w:p w14:paraId="43FEACF8">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视觉与成果展陈设计：定制全套产区推介视频整体视觉包装、开幕式展播版面设计，所有视觉设计稿、视频脚本、分镜效果图严守意识形态工作要求，全部提交甲方前置审核通过后方可拍摄制作。完成5部产区微视频的片头片尾统一包装、字幕版式设计、新疆葡萄酒产区视觉体系融入，确保全系列视频风格统一、主题鲜明，最终交付全套审核通过的设计源文件与视频成片。</w:t>
      </w:r>
    </w:p>
    <w:p w14:paraId="1C3E8DA6">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设备物料配套保障：配齐专业摄像设备、航拍器材、录音设备、灯光补光器材及配套存储、剪辑设备，宣传文案、图文资料均落实甲方前置审核制度，确保内容导向正确、贴合新疆葡萄酒产区推介主题。配套产区拍摄防护装备，保障五大产区跨地域转场拍摄过程中设备完好，满足视频拍摄需求。</w:t>
      </w:r>
    </w:p>
    <w:p w14:paraId="26CCCDD5">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3.执行服务：安排专业拍摄团队跟队完成五大产区全程取景拍摄，有序推进五大产区素材采集、访谈录制全流程，保障全面采集新疆葡萄酒产区特色资源与产业发展成果素材。</w:t>
      </w:r>
    </w:p>
    <w:p w14:paraId="1A012485">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成果与宣传交付：统筹完成5部产区推介微视频的拍摄、剪辑、包装全流程制作，视频内容涵盖各产区风土风貌、产业特色、企业发展等核心内容，成品达到开幕式展播标准；同步产出相关新闻图集、专题推文等宣传素材，所有视频成片、宣传文案、图文素材均需甲方前置审核通过后方可使用与发布。最终完整交付经甲方审核确认的5部产区推介微视频成片、纪实资料及全套宣传成果。</w:t>
      </w:r>
    </w:p>
    <w:p w14:paraId="38E2C860">
      <w:pPr>
        <w:spacing w:line="440" w:lineRule="exact"/>
        <w:outlineLvl w:val="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（五）葡萄酒科学文化节闭幕式暨颁奖典礼</w:t>
      </w:r>
    </w:p>
    <w:p w14:paraId="6F2DDE58">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本次闭幕式暨颁奖典礼集中颁发六大类大学生竞赛奖项，总结文化节整体成果，为整场活动圆满收官，所有颁奖方案、视觉设计、宣传素材严格落实意识形态前置审核，具体保障要求如下：</w:t>
      </w:r>
    </w:p>
    <w:p w14:paraId="4DB7BD25">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参会人员后勤保障：统筹获奖学生代表、评审专家、嘉宾及参会师生往返交通，统一购置参会全员短期意外伤害保险；配套制作参会证件、获奖证书封套，配齐活动期间饮用水、急救防暑物资及标准化餐券；统一配置工作人员及志愿者服装，完整覆盖闭幕式签到、观礼、颁奖、合影全周期参会保障需求，规范留存交通、保险、物料采购各类报销凭证，全程闭环管理。</w:t>
      </w:r>
    </w:p>
    <w:p w14:paraId="1CE012EE">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仪式视觉与场地搭建：定制闭幕式暨颁奖典礼全套主题视觉设计方案，含舞台主背景、颁奖区造型、荣誉展示区规划，所有设计稿、效果图前置审核通过后方可施工。完成闭幕式舞台基础结构搭建、造型布景制作，配套灯光架结构、颁奖区氛围装饰，采用环保阻燃合规材料施工，仪式期间安排专人值守维护设备设施，活动结束后完成全场撤展清运与场地复原，最终交付全套审核通过的设计源文件与落地效果图。</w:t>
      </w:r>
    </w:p>
    <w:p w14:paraId="5B42E9CF">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3.颁奖设备物料配套保障：配齐闭幕式舞台专业灯光组、音响、麦克风、LED P3显示屏及综合布线全套设备并完成调试；定制六大类竞赛奖项物资，含水晶玻璃奖杯50座、镀金镀银现金奖牌50枚、烫金颁奖证书50套，按奖项等级足额配套各赛事一、二、三等奖奖金；批量制作颁奖流程指引、获奖名单展板、荣誉展示物料，所有颁奖辞、获奖名单、宣传图文全部落实前置审核制度。安排专项货运完成舞台设备、奖杯奖牌、颁奖物料进场、撤场全流程运输防护，保障颁奖物资规范完好、准确到位。</w:t>
      </w:r>
    </w:p>
    <w:p w14:paraId="311090A1">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现场执行与颁奖服务：配置专职主持人负责闭幕式全程主持与颁奖流程串联，安排特邀演出人员承担闭幕文艺表演；配置专职工作人员与志愿者队伍负责前期布展、嘉宾引导、获奖选手组织、奖杯证书递送、秩序维护、后期撤展清运，全程落实现场调度、应急处置机制。有序推进文化节成果总结、六大类竞赛奖项颁发、获奖代表发言、闭幕致辞全流程，保障颁奖典礼庄重规范、衔接顺畅，为第四届全国大学生葡萄与葡萄酒科学文化节圆满收官。</w:t>
      </w:r>
    </w:p>
    <w:p w14:paraId="63892F93">
      <w:pPr>
        <w:spacing w:line="44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闭幕宣传与成果交付：统筹闭幕式暨颁奖典礼全流程宣传记录，配置专业摄影摄像团队多机位全程拍摄颁奖盛况、获奖合影、闭幕演出精彩瞬间，产出颁奖盛典新闻图集、获奖回顾短视频等宣传素材；联动主流媒体、高校官方平台发布闭幕新闻与获奖公示，所有宣传文案、视频脚本、图文素材均需甲方前置审核通过后方可发布。全程完成闭幕式整体策划方案、颁奖流程规划、多方对接协调、现场统筹工作，最终完整交付经审核确认的全套闭幕策划方案、获奖名单汇总、颁奖影像资料及文化节整体成果汇编</w:t>
      </w:r>
    </w:p>
    <w:p w14:paraId="20F3185C">
      <w:pPr>
        <w:spacing w:line="50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四、商务及履约要求</w:t>
      </w:r>
    </w:p>
    <w:p w14:paraId="28FA41DD">
      <w:pPr>
        <w:spacing w:line="50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4.1售后服务及响应要求</w:t>
      </w:r>
    </w:p>
    <w:p w14:paraId="23BD76DB">
      <w:pPr>
        <w:spacing w:line="50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1.提供7×24小时全天候服务响应，采购人提出工作调整、内容整改需求后，紧急问题2小时内响应，一般问题8小时内出具整改方案并落地整改；</w:t>
      </w:r>
    </w:p>
    <w:p w14:paraId="3685728C">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2.项目交付资料永久留存电子备份，采购人后续调取、拷贝影像资料时，供应商无偿配合提供；</w:t>
      </w:r>
    </w:p>
    <w:p w14:paraId="3888272C">
      <w:pPr>
        <w:spacing w:line="50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3.无条件配合采购人完成财政绩效评价、资金审计、上级部门督查检查，全程提供全套佐证资料。</w:t>
      </w:r>
    </w:p>
    <w:p w14:paraId="5A53934E">
      <w:pPr>
        <w:spacing w:line="50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4.2履约承诺要求</w:t>
      </w:r>
    </w:p>
    <w:p w14:paraId="53470CBF">
      <w:pPr>
        <w:spacing w:line="500" w:lineRule="exact"/>
        <w:ind w:firstLine="480" w:firstLineChars="20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供应商须承诺完全响应本采购需求全部内容，不得转包、分包本项目；若出现转包分包、服务内容缩水、擅自减少场次、服务质量不达标等情况，采购人有权单方面解除合同，扣除履约保证金，并上报政府采购监管部门记入不良信用记录。</w:t>
      </w:r>
      <w:r>
        <w:rPr>
          <w:rFonts w:hint="eastAsia" w:ascii="宋体" w:hAnsi="宋体" w:cs="宋体"/>
          <w:b/>
          <w:bCs/>
          <w:color w:val="000000" w:themeColor="text1"/>
          <w:sz w:val="24"/>
          <w:szCs w:val="24"/>
          <w:highlight w:val="none"/>
          <w14:textFill>
            <w14:solidFill>
              <w14:schemeClr w14:val="tx1"/>
            </w14:solidFill>
          </w14:textFill>
        </w:rPr>
        <w:t>（投标人须提供加盖公章的承诺书，不满足本项要求按无效投标处理）。</w:t>
      </w:r>
    </w:p>
    <w:p w14:paraId="67C0ED6D">
      <w:pPr>
        <w:spacing w:line="50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4.3投标人业绩要求</w:t>
      </w:r>
    </w:p>
    <w:p w14:paraId="6F6159F8">
      <w:pPr>
        <w:spacing w:line="50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投标人须具备与本项目服务内容相近的大型文化活动策划执行经验，须提供近3年（2023年1月1日至今）同类项目业绩证明材料，包括但不限于中标通知书、合同关键页（含项目名称、服务内容、合同金额、签字盖章页）及验收合格证明。上述材料须加盖投标人公章，复印件无效。</w:t>
      </w:r>
    </w:p>
    <w:p w14:paraId="04C5641A">
      <w:pPr>
        <w:spacing w:line="500" w:lineRule="exact"/>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五、项目验收标准及验收流程</w:t>
      </w:r>
    </w:p>
    <w:p w14:paraId="239DE73B">
      <w:pPr>
        <w:spacing w:line="500" w:lineRule="exact"/>
        <w:ind w:firstLine="482" w:firstLineChars="200"/>
        <w:textAlignment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（一）验收标准</w:t>
      </w:r>
    </w:p>
    <w:p w14:paraId="7BBC753B">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履约整体标准：服务商完整落地采购文件全部活动内容，无转包分包、删减活动、缩减服务、降低物料设备标准等违约行为；全程落实意识形态前置审核，所有图文、视频、展板、文稿导向合规，存在内容问题直接不予验收。</w:t>
      </w:r>
    </w:p>
    <w:p w14:paraId="07EA5E7C">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活动执行标准：开幕式、主题活动、六大竞赛、产区研学、闭幕式全流程完整举办，人员后勤、场地搭建、设备物资、现场服务全部按要求落实，活动无安全事故、流程缺漏；各类物料、酒具、奖杯证书足量配齐，场地完工后复原清场，完整交付全套设计源文件、影像素材。</w:t>
      </w:r>
    </w:p>
    <w:p w14:paraId="45376CE0">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3.成果交付标准：按期交付5部产区宣传微视频、各活动图集、短视频、媒体宣传合集、赛事获奖材料、全套策划台账及整体复盘汇编，所有宣传素材留存甲方审核记录。</w:t>
      </w:r>
    </w:p>
    <w:p w14:paraId="7A589F32">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4.后勤与资料标准：全员保险、交通食宿保障到位，各类票据凭证完整闭环归档；7×24小时售后响应落实，完整配合财政审计、绩效评价、上级检查，项目全套电子资料永久备份供采购人无偿调取。</w:t>
      </w:r>
    </w:p>
    <w:p w14:paraId="34E0287E">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5.意识形态验收标准：所有文字、图片、视频、展板、宣传推文、脚本等内容全部完成甲方前置审核，无导向偏差、违规表述，存在意识形态问题直接判定整体验收不合格，限期全部整改后方可重新验收。</w:t>
      </w:r>
    </w:p>
    <w:p w14:paraId="167E2FD6">
      <w:pPr>
        <w:spacing w:line="500" w:lineRule="exact"/>
        <w:ind w:firstLine="482" w:firstLineChars="200"/>
        <w:textAlignment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（二）验收流程</w:t>
      </w:r>
    </w:p>
    <w:p w14:paraId="01FDD1DA">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1.服务商完成全部工作后自行自检，提交书面验收申请并报送全套纸质、电子交付资料。</w:t>
      </w:r>
    </w:p>
    <w:p w14:paraId="01685903">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2.采购人组建验收小组统一核查资料台账、票据、宣传成果、实物物料、视频成片，资料或成果存在缺漏、不达标的限期整改复核。</w:t>
      </w:r>
    </w:p>
    <w:p w14:paraId="1B2B8024">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3.全部内容核查合格后出具验收合格报告，办理结算手续；存在严重履约问题或多次整改仍不合格的，判定验收不合格，按合同追究违约责任。</w:t>
      </w:r>
    </w:p>
    <w:p w14:paraId="6EDFAA74">
      <w:pPr>
        <w:spacing w:line="5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4.验收全套资料由采购人统一归档留存，用于后续审计、绩效核查。</w:t>
      </w:r>
    </w:p>
    <w:p w14:paraId="159B18D8">
      <w:pPr>
        <w:spacing w:line="500" w:lineRule="exact"/>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投标单位须提前了解活动举办期间的天气情况，若预判有影响活动开展的天气，需提前制定室内活动开展预案，同时分别做好室内、室外活动的现场布置计划；投标单位可前往新疆农业大学（主会场）及新疆国际大巴扎（游园会分会场）进行现场实地勘察，结合现场空间条件、人流动线及环境特征，合理规划室内整体设计方案与室外整体设计方案，分别制作对应场地布置效果图，最终提供符合需求的效果图与计划书。</w:t>
      </w:r>
    </w:p>
    <w:p w14:paraId="7A14D987">
      <w:pPr>
        <w:spacing w:line="500" w:lineRule="exact"/>
        <w:ind w:firstLine="440" w:firstLineChars="200"/>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项目清单：</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4"/>
        <w:gridCol w:w="1628"/>
        <w:gridCol w:w="5496"/>
        <w:gridCol w:w="870"/>
        <w:gridCol w:w="799"/>
      </w:tblGrid>
      <w:tr w14:paraId="4CCA0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4" w:type="dxa"/>
          </w:tcPr>
          <w:p w14:paraId="0CE9FFB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序号</w:t>
            </w:r>
          </w:p>
        </w:tc>
        <w:tc>
          <w:tcPr>
            <w:tcW w:w="1628" w:type="dxa"/>
          </w:tcPr>
          <w:p w14:paraId="0802CF4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名称</w:t>
            </w:r>
          </w:p>
        </w:tc>
        <w:tc>
          <w:tcPr>
            <w:tcW w:w="5496" w:type="dxa"/>
          </w:tcPr>
          <w:p w14:paraId="6ED7273E">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备注</w:t>
            </w:r>
          </w:p>
        </w:tc>
        <w:tc>
          <w:tcPr>
            <w:tcW w:w="870" w:type="dxa"/>
          </w:tcPr>
          <w:p w14:paraId="4F095BC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数量</w:t>
            </w:r>
          </w:p>
        </w:tc>
        <w:tc>
          <w:tcPr>
            <w:tcW w:w="799" w:type="dxa"/>
          </w:tcPr>
          <w:p w14:paraId="35139F1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单位</w:t>
            </w:r>
          </w:p>
        </w:tc>
      </w:tr>
      <w:tr w14:paraId="0794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677" w:type="dxa"/>
            <w:gridSpan w:val="5"/>
          </w:tcPr>
          <w:p w14:paraId="7EC5DBF7">
            <w:pPr>
              <w:widowControl/>
              <w:spacing w:line="500" w:lineRule="exact"/>
              <w:jc w:val="center"/>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一、视觉场地与氛围展陈搭建、配套物料清单</w:t>
            </w:r>
          </w:p>
        </w:tc>
      </w:tr>
      <w:tr w14:paraId="57F6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6668F417">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6368F49D">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全案创意策划+1:1 3D建模设计</w:t>
            </w:r>
          </w:p>
        </w:tc>
        <w:tc>
          <w:tcPr>
            <w:tcW w:w="5496" w:type="dxa"/>
            <w:vAlign w:val="center"/>
          </w:tcPr>
          <w:p w14:paraId="4C7D1835">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现场勘探， 3D设计1:1场景还原，包含主KV（3稿）、活动全套VI、拱门、美陈、场地场景建模，全部设计稿前置审核通过后施工</w:t>
            </w:r>
          </w:p>
        </w:tc>
        <w:tc>
          <w:tcPr>
            <w:tcW w:w="870" w:type="dxa"/>
          </w:tcPr>
          <w:p w14:paraId="761675A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tcPr>
          <w:p w14:paraId="56AD788A">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1E478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197756A6">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1243D023">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签到酒店布置</w:t>
            </w:r>
          </w:p>
        </w:tc>
        <w:tc>
          <w:tcPr>
            <w:tcW w:w="5496" w:type="dxa"/>
            <w:vAlign w:val="center"/>
          </w:tcPr>
          <w:p w14:paraId="4E947A2C">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包含背景桁架6m*3m搭建1项、签到台摆放布置1项、签到展架80*180cm易拉宝1项、签到处人员至少4名</w:t>
            </w:r>
          </w:p>
        </w:tc>
        <w:tc>
          <w:tcPr>
            <w:tcW w:w="870" w:type="dxa"/>
          </w:tcPr>
          <w:p w14:paraId="311FD15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4</w:t>
            </w:r>
          </w:p>
        </w:tc>
        <w:tc>
          <w:tcPr>
            <w:tcW w:w="799" w:type="dxa"/>
          </w:tcPr>
          <w:p w14:paraId="2CADB00C">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62EB8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395A4B38">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58048161">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校园道路道旗</w:t>
            </w:r>
          </w:p>
        </w:tc>
        <w:tc>
          <w:tcPr>
            <w:tcW w:w="5496" w:type="dxa"/>
            <w:vAlign w:val="center"/>
          </w:tcPr>
          <w:p w14:paraId="3FE43E81">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5m旗杆+双面定制旗350*120cm，覆盖校门至大礼堂主干道</w:t>
            </w:r>
          </w:p>
        </w:tc>
        <w:tc>
          <w:tcPr>
            <w:tcW w:w="870" w:type="dxa"/>
            <w:vAlign w:val="center"/>
          </w:tcPr>
          <w:p w14:paraId="323EB3A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150</w:t>
            </w:r>
          </w:p>
        </w:tc>
        <w:tc>
          <w:tcPr>
            <w:tcW w:w="799" w:type="dxa"/>
            <w:vAlign w:val="center"/>
          </w:tcPr>
          <w:p w14:paraId="2A7EF0E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套</w:t>
            </w:r>
          </w:p>
        </w:tc>
      </w:tr>
      <w:tr w14:paraId="21870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00C30048">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628" w:type="dxa"/>
            <w:vAlign w:val="center"/>
          </w:tcPr>
          <w:p w14:paraId="53EE7A7C">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活动主题横幅</w:t>
            </w:r>
          </w:p>
        </w:tc>
        <w:tc>
          <w:tcPr>
            <w:tcW w:w="5496" w:type="dxa"/>
            <w:vAlign w:val="center"/>
          </w:tcPr>
          <w:p w14:paraId="7EDDC6F4">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全彩旗帜布100m，校园主干道、礼堂外围布置</w:t>
            </w:r>
          </w:p>
        </w:tc>
        <w:tc>
          <w:tcPr>
            <w:tcW w:w="870" w:type="dxa"/>
            <w:vAlign w:val="center"/>
          </w:tcPr>
          <w:p w14:paraId="1D267721">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30</w:t>
            </w:r>
          </w:p>
        </w:tc>
        <w:tc>
          <w:tcPr>
            <w:tcW w:w="799" w:type="dxa"/>
            <w:vAlign w:val="center"/>
          </w:tcPr>
          <w:p w14:paraId="67B4E376">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条</w:t>
            </w:r>
          </w:p>
        </w:tc>
      </w:tr>
      <w:tr w14:paraId="31FE5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535A30E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1628" w:type="dxa"/>
            <w:vAlign w:val="center"/>
          </w:tcPr>
          <w:p w14:paraId="46141E0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主形象特装欢迎美陈</w:t>
            </w:r>
          </w:p>
        </w:tc>
        <w:tc>
          <w:tcPr>
            <w:tcW w:w="5496" w:type="dxa"/>
            <w:vAlign w:val="center"/>
          </w:tcPr>
          <w:p w14:paraId="0CD1179D">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钢木结构，宽12m×高4m背景搭建、亚克力立体大字7m宽，环保阻燃材料，校门拐点布置</w:t>
            </w:r>
          </w:p>
        </w:tc>
        <w:tc>
          <w:tcPr>
            <w:tcW w:w="870" w:type="dxa"/>
            <w:vAlign w:val="center"/>
          </w:tcPr>
          <w:p w14:paraId="4C839B6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6FEEAA0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套</w:t>
            </w:r>
          </w:p>
        </w:tc>
      </w:tr>
      <w:tr w14:paraId="6F28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05133F2E">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1628" w:type="dxa"/>
            <w:vAlign w:val="center"/>
          </w:tcPr>
          <w:p w14:paraId="4E6B89CC">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会场整体地图</w:t>
            </w:r>
          </w:p>
        </w:tc>
        <w:tc>
          <w:tcPr>
            <w:tcW w:w="5496" w:type="dxa"/>
            <w:vAlign w:val="center"/>
          </w:tcPr>
          <w:p w14:paraId="0E9238E5">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桁架+KT喷绘10m*3.2m，展示整体活动的点位图</w:t>
            </w:r>
          </w:p>
        </w:tc>
        <w:tc>
          <w:tcPr>
            <w:tcW w:w="870" w:type="dxa"/>
            <w:vAlign w:val="center"/>
          </w:tcPr>
          <w:p w14:paraId="1A9D5E3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22353B14">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套</w:t>
            </w:r>
          </w:p>
        </w:tc>
      </w:tr>
      <w:tr w14:paraId="67315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75D9373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p>
        </w:tc>
        <w:tc>
          <w:tcPr>
            <w:tcW w:w="1628" w:type="dxa"/>
            <w:vAlign w:val="center"/>
          </w:tcPr>
          <w:p w14:paraId="29276E21">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文化节主题拱门</w:t>
            </w:r>
          </w:p>
        </w:tc>
        <w:tc>
          <w:tcPr>
            <w:tcW w:w="5496" w:type="dxa"/>
            <w:vAlign w:val="center"/>
          </w:tcPr>
          <w:p w14:paraId="68B8B04B">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桁架+KT喷绘，搭建前三届活动主题元素与本届活动主题元素各1座拱门</w:t>
            </w:r>
          </w:p>
        </w:tc>
        <w:tc>
          <w:tcPr>
            <w:tcW w:w="870" w:type="dxa"/>
            <w:vAlign w:val="center"/>
          </w:tcPr>
          <w:p w14:paraId="105011F4">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4</w:t>
            </w:r>
          </w:p>
        </w:tc>
        <w:tc>
          <w:tcPr>
            <w:tcW w:w="799" w:type="dxa"/>
            <w:vAlign w:val="center"/>
          </w:tcPr>
          <w:p w14:paraId="6ACD75E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座</w:t>
            </w:r>
          </w:p>
        </w:tc>
      </w:tr>
      <w:tr w14:paraId="346A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6AA1FC9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p>
        </w:tc>
        <w:tc>
          <w:tcPr>
            <w:tcW w:w="1628" w:type="dxa"/>
            <w:vAlign w:val="center"/>
          </w:tcPr>
          <w:p w14:paraId="6363ADE7">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明德广场氛围布置</w:t>
            </w:r>
          </w:p>
        </w:tc>
        <w:tc>
          <w:tcPr>
            <w:tcW w:w="5496" w:type="dxa"/>
            <w:vAlign w:val="center"/>
          </w:tcPr>
          <w:p w14:paraId="02136597">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户外广场整体氛围布置（包括展板若干块、打卡点5组5m*2.4m、花束30m等）</w:t>
            </w:r>
          </w:p>
        </w:tc>
        <w:tc>
          <w:tcPr>
            <w:tcW w:w="870" w:type="dxa"/>
            <w:vAlign w:val="center"/>
          </w:tcPr>
          <w:p w14:paraId="3D2D103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04D32CC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批</w:t>
            </w:r>
          </w:p>
        </w:tc>
      </w:tr>
      <w:tr w14:paraId="617B2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76F3A3F5">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p>
        </w:tc>
        <w:tc>
          <w:tcPr>
            <w:tcW w:w="1628" w:type="dxa"/>
            <w:vAlign w:val="center"/>
          </w:tcPr>
          <w:p w14:paraId="7BE5D507">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活动导视立屏展架</w:t>
            </w:r>
          </w:p>
        </w:tc>
        <w:tc>
          <w:tcPr>
            <w:tcW w:w="5496" w:type="dxa"/>
            <w:vAlign w:val="center"/>
          </w:tcPr>
          <w:p w14:paraId="3B2A6474">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80*180CM高精KT板，会场、打卡点指引</w:t>
            </w:r>
          </w:p>
        </w:tc>
        <w:tc>
          <w:tcPr>
            <w:tcW w:w="870" w:type="dxa"/>
            <w:vAlign w:val="center"/>
          </w:tcPr>
          <w:p w14:paraId="645C9A2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50</w:t>
            </w:r>
          </w:p>
        </w:tc>
        <w:tc>
          <w:tcPr>
            <w:tcW w:w="799" w:type="dxa"/>
            <w:vAlign w:val="center"/>
          </w:tcPr>
          <w:p w14:paraId="4F935044">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个</w:t>
            </w:r>
          </w:p>
        </w:tc>
      </w:tr>
      <w:tr w14:paraId="0A5A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4CE3BF1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p>
        </w:tc>
        <w:tc>
          <w:tcPr>
            <w:tcW w:w="1628" w:type="dxa"/>
            <w:vAlign w:val="center"/>
          </w:tcPr>
          <w:p w14:paraId="582641CC">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主题打卡美陈装置</w:t>
            </w:r>
          </w:p>
        </w:tc>
        <w:tc>
          <w:tcPr>
            <w:tcW w:w="5496" w:type="dxa"/>
            <w:vAlign w:val="center"/>
          </w:tcPr>
          <w:p w14:paraId="4EB71FA7">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仪式专属合影打卡点位，配套造型装饰（6m*2.4m）</w:t>
            </w:r>
          </w:p>
        </w:tc>
        <w:tc>
          <w:tcPr>
            <w:tcW w:w="870" w:type="dxa"/>
            <w:vAlign w:val="center"/>
          </w:tcPr>
          <w:p w14:paraId="62461CC3">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w:t>
            </w:r>
          </w:p>
        </w:tc>
        <w:tc>
          <w:tcPr>
            <w:tcW w:w="799" w:type="dxa"/>
            <w:vAlign w:val="center"/>
          </w:tcPr>
          <w:p w14:paraId="36CA4F8A">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组</w:t>
            </w:r>
          </w:p>
        </w:tc>
      </w:tr>
      <w:tr w14:paraId="6FA5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409B4AE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w:t>
            </w:r>
          </w:p>
        </w:tc>
        <w:tc>
          <w:tcPr>
            <w:tcW w:w="1628" w:type="dxa"/>
            <w:vAlign w:val="center"/>
          </w:tcPr>
          <w:p w14:paraId="2094E2A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场地全程值守、撤展清运</w:t>
            </w:r>
          </w:p>
        </w:tc>
        <w:tc>
          <w:tcPr>
            <w:tcW w:w="5496" w:type="dxa"/>
            <w:vAlign w:val="center"/>
          </w:tcPr>
          <w:p w14:paraId="0AC6C6C8">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搭建、活动期间专人看护；结束拆除、场地复原、垃圾清运</w:t>
            </w:r>
          </w:p>
        </w:tc>
        <w:tc>
          <w:tcPr>
            <w:tcW w:w="870" w:type="dxa"/>
            <w:vAlign w:val="center"/>
          </w:tcPr>
          <w:p w14:paraId="06C4920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3E2369F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5AEA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trPr>
        <w:tc>
          <w:tcPr>
            <w:tcW w:w="884" w:type="dxa"/>
          </w:tcPr>
          <w:p w14:paraId="4E42F85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w:t>
            </w:r>
          </w:p>
        </w:tc>
        <w:tc>
          <w:tcPr>
            <w:tcW w:w="1628" w:type="dxa"/>
            <w:vAlign w:val="center"/>
          </w:tcPr>
          <w:p w14:paraId="7A3EF69A">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活动邀请函</w:t>
            </w:r>
          </w:p>
        </w:tc>
        <w:tc>
          <w:tcPr>
            <w:tcW w:w="5496" w:type="dxa"/>
            <w:vAlign w:val="center"/>
          </w:tcPr>
          <w:p w14:paraId="5C876496">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活动邀请函采用300克以上特种纸烫金印制，内含五大主题活动完整议程。纸质版邀请函采用带活动主题的立体3D雕花工艺，质感厚重、视觉层次鲜明；同步设计同款电子邀请函，便于多渠道发送与传播</w:t>
            </w:r>
          </w:p>
        </w:tc>
        <w:tc>
          <w:tcPr>
            <w:tcW w:w="870" w:type="dxa"/>
            <w:vAlign w:val="center"/>
          </w:tcPr>
          <w:p w14:paraId="512AA50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150</w:t>
            </w:r>
          </w:p>
        </w:tc>
        <w:tc>
          <w:tcPr>
            <w:tcW w:w="799" w:type="dxa"/>
            <w:vAlign w:val="center"/>
          </w:tcPr>
          <w:p w14:paraId="6C0A1C3D">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份</w:t>
            </w:r>
          </w:p>
        </w:tc>
      </w:tr>
      <w:tr w14:paraId="60E2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68762469">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w:t>
            </w:r>
          </w:p>
        </w:tc>
        <w:tc>
          <w:tcPr>
            <w:tcW w:w="1628" w:type="dxa"/>
            <w:vAlign w:val="center"/>
          </w:tcPr>
          <w:p w14:paraId="175FCAB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参会证（嘉宾/专家/评委/师生）</w:t>
            </w:r>
          </w:p>
        </w:tc>
        <w:tc>
          <w:tcPr>
            <w:tcW w:w="5496" w:type="dxa"/>
            <w:vAlign w:val="center"/>
          </w:tcPr>
          <w:p w14:paraId="50F121B4">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PVC人像卡配挂绳，印制文化节LOGO与活动信息；专属定制评委证，配挂绳，用于盲品大赛评委身份核验</w:t>
            </w:r>
          </w:p>
        </w:tc>
        <w:tc>
          <w:tcPr>
            <w:tcW w:w="870" w:type="dxa"/>
            <w:vAlign w:val="center"/>
          </w:tcPr>
          <w:p w14:paraId="4DA6D1F4">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1055</w:t>
            </w:r>
          </w:p>
        </w:tc>
        <w:tc>
          <w:tcPr>
            <w:tcW w:w="799" w:type="dxa"/>
            <w:vAlign w:val="center"/>
          </w:tcPr>
          <w:p w14:paraId="13D1562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个</w:t>
            </w:r>
          </w:p>
        </w:tc>
      </w:tr>
      <w:tr w14:paraId="3D812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2" w:hRule="atLeast"/>
        </w:trPr>
        <w:tc>
          <w:tcPr>
            <w:tcW w:w="884" w:type="dxa"/>
          </w:tcPr>
          <w:p w14:paraId="5D99996A">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14</w:t>
            </w:r>
          </w:p>
        </w:tc>
        <w:tc>
          <w:tcPr>
            <w:tcW w:w="1628" w:type="dxa"/>
            <w:vAlign w:val="center"/>
          </w:tcPr>
          <w:p w14:paraId="689F655A">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会议手册/新疆产区宣传折页/通讯录</w:t>
            </w:r>
          </w:p>
        </w:tc>
        <w:tc>
          <w:tcPr>
            <w:tcW w:w="5496" w:type="dxa"/>
            <w:vAlign w:val="center"/>
          </w:tcPr>
          <w:p w14:paraId="46001279">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会议手册800本（250g以上铜版纸封皮、157g以上内页，包含活动全流程、论坛议程、品鉴规则、产区介绍）；新疆产区宣传折页10000本（200g以上铜版覆亮膜，收录全疆葡萄酒产区人文风土、产业资料）；通讯录800本（250g以上铜版纸封皮、157g以上内页，包含参会人员以及后勤保障各负责人员信息）</w:t>
            </w:r>
          </w:p>
        </w:tc>
        <w:tc>
          <w:tcPr>
            <w:tcW w:w="870" w:type="dxa"/>
            <w:vAlign w:val="center"/>
          </w:tcPr>
          <w:p w14:paraId="0BD1919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11600</w:t>
            </w:r>
          </w:p>
        </w:tc>
        <w:tc>
          <w:tcPr>
            <w:tcW w:w="799" w:type="dxa"/>
            <w:vAlign w:val="center"/>
          </w:tcPr>
          <w:p w14:paraId="01CA007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本</w:t>
            </w:r>
          </w:p>
        </w:tc>
      </w:tr>
      <w:tr w14:paraId="417B3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1EBD686C">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15</w:t>
            </w:r>
          </w:p>
        </w:tc>
        <w:tc>
          <w:tcPr>
            <w:tcW w:w="1628" w:type="dxa"/>
            <w:vAlign w:val="center"/>
          </w:tcPr>
          <w:p w14:paraId="635BCA2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会务资料手提袋</w:t>
            </w:r>
          </w:p>
        </w:tc>
        <w:tc>
          <w:tcPr>
            <w:tcW w:w="5496" w:type="dxa"/>
            <w:vAlign w:val="center"/>
          </w:tcPr>
          <w:p w14:paraId="53682379">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无纺布材质，颜色和活动标识根据本届活动主题设计，印刷主办单位(30cm*38cm*10cm)</w:t>
            </w:r>
          </w:p>
        </w:tc>
        <w:tc>
          <w:tcPr>
            <w:tcW w:w="870" w:type="dxa"/>
            <w:vAlign w:val="center"/>
          </w:tcPr>
          <w:p w14:paraId="5D25ADD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1000</w:t>
            </w:r>
          </w:p>
        </w:tc>
        <w:tc>
          <w:tcPr>
            <w:tcW w:w="799" w:type="dxa"/>
            <w:vAlign w:val="center"/>
          </w:tcPr>
          <w:p w14:paraId="098B565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个</w:t>
            </w:r>
          </w:p>
        </w:tc>
      </w:tr>
      <w:tr w14:paraId="6852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30106C3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16</w:t>
            </w:r>
          </w:p>
        </w:tc>
        <w:tc>
          <w:tcPr>
            <w:tcW w:w="1628" w:type="dxa"/>
            <w:vAlign w:val="center"/>
          </w:tcPr>
          <w:p w14:paraId="0113D4E5">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活动餐券</w:t>
            </w:r>
          </w:p>
        </w:tc>
        <w:tc>
          <w:tcPr>
            <w:tcW w:w="5496" w:type="dxa"/>
            <w:vAlign w:val="center"/>
          </w:tcPr>
          <w:p w14:paraId="70DB0C09">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157g以上铜版纸、带防伪底纹，覆盖活动全流程就餐使用</w:t>
            </w:r>
          </w:p>
        </w:tc>
        <w:tc>
          <w:tcPr>
            <w:tcW w:w="870" w:type="dxa"/>
            <w:vAlign w:val="center"/>
          </w:tcPr>
          <w:p w14:paraId="1E69B3FA">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5000</w:t>
            </w:r>
          </w:p>
        </w:tc>
        <w:tc>
          <w:tcPr>
            <w:tcW w:w="799" w:type="dxa"/>
            <w:vAlign w:val="center"/>
          </w:tcPr>
          <w:p w14:paraId="582A42D4">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张</w:t>
            </w:r>
          </w:p>
        </w:tc>
      </w:tr>
      <w:tr w14:paraId="08F0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456B27F6">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17</w:t>
            </w:r>
          </w:p>
        </w:tc>
        <w:tc>
          <w:tcPr>
            <w:tcW w:w="1628" w:type="dxa"/>
            <w:vAlign w:val="center"/>
          </w:tcPr>
          <w:p w14:paraId="3AE8E18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参会人员专属服装</w:t>
            </w:r>
          </w:p>
        </w:tc>
        <w:tc>
          <w:tcPr>
            <w:tcW w:w="5496" w:type="dxa"/>
            <w:vAlign w:val="center"/>
          </w:tcPr>
          <w:p w14:paraId="1320FE18">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参会人员专属服装1600件（速干POLO衫+外套各800件，印制文化节视觉标识）；志愿者文化衫400件（速干T恤+外套各200件，统一活动LOGO）</w:t>
            </w:r>
          </w:p>
        </w:tc>
        <w:tc>
          <w:tcPr>
            <w:tcW w:w="870" w:type="dxa"/>
            <w:vAlign w:val="center"/>
          </w:tcPr>
          <w:p w14:paraId="73C0907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2000</w:t>
            </w:r>
          </w:p>
        </w:tc>
        <w:tc>
          <w:tcPr>
            <w:tcW w:w="799" w:type="dxa"/>
            <w:vAlign w:val="center"/>
          </w:tcPr>
          <w:p w14:paraId="3D733CD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件</w:t>
            </w:r>
          </w:p>
        </w:tc>
      </w:tr>
      <w:tr w14:paraId="63580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1684D1C9">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18</w:t>
            </w:r>
          </w:p>
        </w:tc>
        <w:tc>
          <w:tcPr>
            <w:tcW w:w="1628" w:type="dxa"/>
            <w:vAlign w:val="center"/>
          </w:tcPr>
          <w:p w14:paraId="0070D7ED">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瓶装饮用水</w:t>
            </w:r>
          </w:p>
        </w:tc>
        <w:tc>
          <w:tcPr>
            <w:tcW w:w="5496" w:type="dxa"/>
            <w:vAlign w:val="center"/>
          </w:tcPr>
          <w:p w14:paraId="041852A7">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活动全流程会场、户外点位全天供应，每瓶500 mL，每箱24瓶</w:t>
            </w:r>
          </w:p>
        </w:tc>
        <w:tc>
          <w:tcPr>
            <w:tcW w:w="870" w:type="dxa"/>
            <w:vAlign w:val="center"/>
          </w:tcPr>
          <w:p w14:paraId="342782F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500</w:t>
            </w:r>
          </w:p>
        </w:tc>
        <w:tc>
          <w:tcPr>
            <w:tcW w:w="799" w:type="dxa"/>
            <w:vAlign w:val="center"/>
          </w:tcPr>
          <w:p w14:paraId="6AD75EAD">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箱</w:t>
            </w:r>
          </w:p>
        </w:tc>
      </w:tr>
      <w:tr w14:paraId="6173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443D42D0">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19</w:t>
            </w:r>
          </w:p>
        </w:tc>
        <w:tc>
          <w:tcPr>
            <w:tcW w:w="1628" w:type="dxa"/>
            <w:vAlign w:val="center"/>
          </w:tcPr>
          <w:p w14:paraId="7D390C1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急救防暑物资药箱</w:t>
            </w:r>
          </w:p>
        </w:tc>
        <w:tc>
          <w:tcPr>
            <w:tcW w:w="5496" w:type="dxa"/>
            <w:vAlign w:val="center"/>
          </w:tcPr>
          <w:p w14:paraId="1090AE3D">
            <w:pPr>
              <w:widowControl/>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校内游园会和大巴扎游园急救药品、降温防暑用品，现场定点存放值守；校内游园会和大巴扎游园会各至少2名现场医务人员值守</w:t>
            </w:r>
          </w:p>
        </w:tc>
        <w:tc>
          <w:tcPr>
            <w:tcW w:w="870" w:type="dxa"/>
            <w:vAlign w:val="center"/>
          </w:tcPr>
          <w:p w14:paraId="1979075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8</w:t>
            </w:r>
          </w:p>
        </w:tc>
        <w:tc>
          <w:tcPr>
            <w:tcW w:w="799" w:type="dxa"/>
            <w:vAlign w:val="center"/>
          </w:tcPr>
          <w:p w14:paraId="531B82C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套</w:t>
            </w:r>
          </w:p>
        </w:tc>
      </w:tr>
      <w:tr w14:paraId="41BE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677" w:type="dxa"/>
            <w:gridSpan w:val="5"/>
          </w:tcPr>
          <w:p w14:paraId="348086C1">
            <w:pPr>
              <w:widowControl/>
              <w:spacing w:line="500" w:lineRule="exact"/>
              <w:jc w:val="center"/>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二、葡萄酒科学文化节开幕式暨启动仪式</w:t>
            </w:r>
          </w:p>
        </w:tc>
      </w:tr>
      <w:tr w14:paraId="782A6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3EAD54C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1A99C031">
            <w:pPr>
              <w:widowControl/>
              <w:spacing w:line="500" w:lineRule="exact"/>
              <w:jc w:val="center"/>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氛围营造</w:t>
            </w:r>
          </w:p>
        </w:tc>
        <w:tc>
          <w:tcPr>
            <w:tcW w:w="5496" w:type="dxa"/>
            <w:vAlign w:val="center"/>
          </w:tcPr>
          <w:p w14:paraId="176EDB3D">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大礼堂入口两侧异形展板：桁架+喷绘+PVC异形装饰10m*4m/大礼堂内部签到区搭建：桁架背景6m*3m、异形造型、签到桌椅5套全套布置</w:t>
            </w:r>
          </w:p>
        </w:tc>
        <w:tc>
          <w:tcPr>
            <w:tcW w:w="870" w:type="dxa"/>
            <w:vAlign w:val="center"/>
          </w:tcPr>
          <w:p w14:paraId="12DD78EC">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vAlign w:val="center"/>
          </w:tcPr>
          <w:p w14:paraId="5574AD55">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3E17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2" w:hRule="atLeast"/>
        </w:trPr>
        <w:tc>
          <w:tcPr>
            <w:tcW w:w="884" w:type="dxa"/>
          </w:tcPr>
          <w:p w14:paraId="0DC5064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5A8DF4C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参会人员出行后勤保障</w:t>
            </w:r>
          </w:p>
        </w:tc>
        <w:tc>
          <w:tcPr>
            <w:tcW w:w="5496" w:type="dxa"/>
            <w:vAlign w:val="center"/>
          </w:tcPr>
          <w:p w14:paraId="12F57315">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参会人员往返交通统筹（领导、行业专家、高校师生、葡萄酒企业代表100余人往返乌鲁木齐机票负责购买接送、活动通勤，规范留存交通报销凭证，闭环管理）；全员统一办理短期意外伤害保险覆盖所有到场参会人员，留存保单凭证；食宿统筹（统一安排外地领导、专家、师生、企业代表住宿与集体用餐，留存餐饮住宿票据）；</w:t>
            </w:r>
          </w:p>
        </w:tc>
        <w:tc>
          <w:tcPr>
            <w:tcW w:w="870" w:type="dxa"/>
            <w:vAlign w:val="center"/>
          </w:tcPr>
          <w:p w14:paraId="6D4CA3D9">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3036B704">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02DA1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trPr>
        <w:tc>
          <w:tcPr>
            <w:tcW w:w="884" w:type="dxa"/>
          </w:tcPr>
          <w:p w14:paraId="34EA1E4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1497F23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现场设备物料配套保障</w:t>
            </w:r>
          </w:p>
        </w:tc>
        <w:tc>
          <w:tcPr>
            <w:tcW w:w="5496" w:type="dxa"/>
            <w:vAlign w:val="center"/>
          </w:tcPr>
          <w:p w14:paraId="24331353">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舞台配套物料：台唇17.6m*1.02m、安全围挡、候场道具/领导配套会务物料：桌签、主持手卡、致辞文件夹，文稿全部前置审核/新葡萄酒团体标准主题展板（若干块）：UV喷绘，展示标准体系、新疆产区适配内容，文案前置审核/礼堂主屏幕，播放启动视频、团体标准图文，在活动期间使用期/专业灯光整套设备、音响、无线麦克风整套：光束、染色、面光、控台、线材全套，提前安装调试，主扩、返听、手持，领夹麦，配专业音响师操控，舞台、大屏、灯光全套供电布线耗材</w:t>
            </w:r>
          </w:p>
        </w:tc>
        <w:tc>
          <w:tcPr>
            <w:tcW w:w="870" w:type="dxa"/>
          </w:tcPr>
          <w:p w14:paraId="5679229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tcPr>
          <w:p w14:paraId="00316AC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4113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04EF79A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628" w:type="dxa"/>
            <w:vAlign w:val="center"/>
          </w:tcPr>
          <w:p w14:paraId="721A0797">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现场印刷物料配套保障</w:t>
            </w:r>
          </w:p>
        </w:tc>
        <w:tc>
          <w:tcPr>
            <w:tcW w:w="5496" w:type="dxa"/>
            <w:vAlign w:val="center"/>
          </w:tcPr>
          <w:p w14:paraId="6BA21E4E">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现场配套签字笔200支、笔记本200本、签到表等</w:t>
            </w:r>
          </w:p>
        </w:tc>
        <w:tc>
          <w:tcPr>
            <w:tcW w:w="870" w:type="dxa"/>
          </w:tcPr>
          <w:p w14:paraId="457194E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3169C0BA">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1ED3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trPr>
        <w:tc>
          <w:tcPr>
            <w:tcW w:w="884" w:type="dxa"/>
          </w:tcPr>
          <w:p w14:paraId="207681BA">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1628" w:type="dxa"/>
            <w:vAlign w:val="center"/>
          </w:tcPr>
          <w:p w14:paraId="7D5B8971">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现场执行与人员服务</w:t>
            </w:r>
          </w:p>
        </w:tc>
        <w:tc>
          <w:tcPr>
            <w:tcW w:w="5496" w:type="dxa"/>
            <w:vAlign w:val="center"/>
          </w:tcPr>
          <w:p w14:paraId="3BB4C231">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至少2名知名的专业主持人，串联致辞、集体启动、标准发布全流程/特邀专业演员暖场节目，配合仪式开场/现场执行工作人员（至少5名）：负责布展、签到、场内秩序、设备巡检、撤场/志愿者服务团队(至少100名）：嘉宾引导、物料分发、点位值守、人流疏导/现场调度及应急预案，全流程现场落地执行统筹嘉宾入场、领导致辞、集体启动、标准发布全环节</w:t>
            </w:r>
          </w:p>
        </w:tc>
        <w:tc>
          <w:tcPr>
            <w:tcW w:w="870" w:type="dxa"/>
          </w:tcPr>
          <w:p w14:paraId="208A9B4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0074E07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5F929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7" w:hRule="atLeast"/>
        </w:trPr>
        <w:tc>
          <w:tcPr>
            <w:tcW w:w="884" w:type="dxa"/>
          </w:tcPr>
          <w:p w14:paraId="282A699A">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1628" w:type="dxa"/>
            <w:vAlign w:val="center"/>
          </w:tcPr>
          <w:p w14:paraId="7E2210A5">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全周期宣传策划与成果交付</w:t>
            </w:r>
          </w:p>
        </w:tc>
        <w:tc>
          <w:tcPr>
            <w:tcW w:w="5496" w:type="dxa"/>
            <w:vAlign w:val="center"/>
          </w:tcPr>
          <w:p w14:paraId="7BE58E60">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开幕式专属启动视频（含产区风貌、产业标准、倒计时画面，大屏播放），至少6-10高清机位摄影录像（全程录制全部核心环节，现场新闻图集拍摄，仪式环节、嘉宾合影、场地实景原图），宣传短视频制作若干条（预热、现场、复盘多版本短视频），行业专家深度专访录制专访素材，全媒体发稿（央媒、省级媒体、全国高校平台统一推送通稿，所有宣传内容前置合规校对审核），仪式全套归档资料，策划方案、流程台账、各方对接记录，宣传成果合集交付，媒体报道链接、视频原片、专项复盘报告</w:t>
            </w:r>
          </w:p>
        </w:tc>
        <w:tc>
          <w:tcPr>
            <w:tcW w:w="870" w:type="dxa"/>
          </w:tcPr>
          <w:p w14:paraId="3093E7D8">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353223C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2F16E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84" w:type="dxa"/>
          </w:tcPr>
          <w:p w14:paraId="16DB143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p>
        </w:tc>
        <w:tc>
          <w:tcPr>
            <w:tcW w:w="1628" w:type="dxa"/>
            <w:vAlign w:val="center"/>
          </w:tcPr>
          <w:p w14:paraId="6DA4855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配套专项服务费</w:t>
            </w:r>
          </w:p>
        </w:tc>
        <w:tc>
          <w:tcPr>
            <w:tcW w:w="5496" w:type="dxa"/>
            <w:vAlign w:val="center"/>
          </w:tcPr>
          <w:p w14:paraId="5B9CF768">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全案创意、3D建模、全套视觉设计服务费、开幕式专职主持劳务、特邀表演人员劳务报酬、物料搭建、拆除、搬运工人薪酬、物料核对、决算审计服务</w:t>
            </w:r>
          </w:p>
        </w:tc>
        <w:tc>
          <w:tcPr>
            <w:tcW w:w="870" w:type="dxa"/>
          </w:tcPr>
          <w:p w14:paraId="2FCC3AA8">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48F30BC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60FD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677" w:type="dxa"/>
            <w:gridSpan w:val="5"/>
          </w:tcPr>
          <w:p w14:paraId="1D4E541A">
            <w:pPr>
              <w:widowControl/>
              <w:spacing w:line="500" w:lineRule="exact"/>
              <w:jc w:val="center"/>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三、葡萄酒科学文化节主题活动-新教材发布仪式</w:t>
            </w:r>
          </w:p>
        </w:tc>
      </w:tr>
      <w:tr w14:paraId="5CB6E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84" w:type="dxa"/>
          </w:tcPr>
          <w:p w14:paraId="693A1C2E">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755802D3">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现场设备物料配套保障</w:t>
            </w:r>
          </w:p>
        </w:tc>
        <w:tc>
          <w:tcPr>
            <w:tcW w:w="5496" w:type="dxa"/>
            <w:vAlign w:val="center"/>
          </w:tcPr>
          <w:p w14:paraId="4C714AFE">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领导配套会务物料：桌签、主持手卡、致辞文件夹，文稿全部前置审核/会场屏幕播放活动介绍视频/会场整套设备、音响、无线麦克风整套，提前安装调试</w:t>
            </w:r>
          </w:p>
        </w:tc>
        <w:tc>
          <w:tcPr>
            <w:tcW w:w="870" w:type="dxa"/>
          </w:tcPr>
          <w:p w14:paraId="3156D34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6AF539CA">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1630C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70DAF3B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1AC440AC">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现场印刷物料配套保障</w:t>
            </w:r>
          </w:p>
        </w:tc>
        <w:tc>
          <w:tcPr>
            <w:tcW w:w="5496" w:type="dxa"/>
            <w:vAlign w:val="center"/>
          </w:tcPr>
          <w:p w14:paraId="75F1B8C2">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现场配套横幅、嘉宾介绍展架、领导桌签、新书若干本</w:t>
            </w:r>
          </w:p>
        </w:tc>
        <w:tc>
          <w:tcPr>
            <w:tcW w:w="870" w:type="dxa"/>
          </w:tcPr>
          <w:p w14:paraId="5549E61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0F0D8EE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4E4B2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trPr>
        <w:tc>
          <w:tcPr>
            <w:tcW w:w="884" w:type="dxa"/>
          </w:tcPr>
          <w:p w14:paraId="68BE7869">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6E1E37A6">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活动现场执行与人员服务</w:t>
            </w:r>
          </w:p>
        </w:tc>
        <w:tc>
          <w:tcPr>
            <w:tcW w:w="5496" w:type="dxa"/>
            <w:vAlign w:val="center"/>
          </w:tcPr>
          <w:p w14:paraId="1849BD8A">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至少1名专业主持人，串联致辞、标准发布全流程/现场执行工作人员（至少2名）：场内秩序、撤场/志愿者服务团队(至少10名）：嘉宾引导、点位值守、人流疏导/现场调度及应急预案，全流程现场落地执行统筹嘉宾入场、领导致辞、标准发布全环节</w:t>
            </w:r>
          </w:p>
        </w:tc>
        <w:tc>
          <w:tcPr>
            <w:tcW w:w="870" w:type="dxa"/>
          </w:tcPr>
          <w:p w14:paraId="5FF90FB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70DC4B8C">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3226D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9677" w:type="dxa"/>
            <w:gridSpan w:val="5"/>
          </w:tcPr>
          <w:p w14:paraId="352D9E83">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四、葡萄酒科学文化节主题活动-“从丝绸之路到一带一路”—中国葡萄酒产业破局之路发展论坛</w:t>
            </w:r>
          </w:p>
        </w:tc>
      </w:tr>
      <w:tr w14:paraId="12747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84" w:type="dxa"/>
          </w:tcPr>
          <w:p w14:paraId="162D86F5">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6B9F2C2F">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现场设备物料配套保障</w:t>
            </w:r>
          </w:p>
        </w:tc>
        <w:tc>
          <w:tcPr>
            <w:tcW w:w="5496" w:type="dxa"/>
            <w:vAlign w:val="center"/>
          </w:tcPr>
          <w:p w14:paraId="546EF658">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领导配套会务物料：桌签、主持手卡、致辞文件夹，文稿全部前置审核/会场屏幕播放活动介绍视频/会场整套设备、音响、无线麦克风整套，提前安装调试</w:t>
            </w:r>
          </w:p>
        </w:tc>
        <w:tc>
          <w:tcPr>
            <w:tcW w:w="870" w:type="dxa"/>
          </w:tcPr>
          <w:p w14:paraId="3FED5DC5">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1033133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59466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1894FF7A">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27199C4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现场印刷物料配套保障</w:t>
            </w:r>
          </w:p>
        </w:tc>
        <w:tc>
          <w:tcPr>
            <w:tcW w:w="5496" w:type="dxa"/>
            <w:vAlign w:val="center"/>
          </w:tcPr>
          <w:p w14:paraId="1C8C0E2E">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现场配套横幅、嘉宾介绍展架、领导桌签</w:t>
            </w:r>
          </w:p>
        </w:tc>
        <w:tc>
          <w:tcPr>
            <w:tcW w:w="870" w:type="dxa"/>
          </w:tcPr>
          <w:p w14:paraId="4408C6C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1FBE0EB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237B8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trPr>
        <w:tc>
          <w:tcPr>
            <w:tcW w:w="884" w:type="dxa"/>
          </w:tcPr>
          <w:p w14:paraId="7DC4E50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0593C4E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活动现场执行与人员服务</w:t>
            </w:r>
          </w:p>
        </w:tc>
        <w:tc>
          <w:tcPr>
            <w:tcW w:w="5496" w:type="dxa"/>
            <w:vAlign w:val="center"/>
          </w:tcPr>
          <w:p w14:paraId="10F630D5">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至少1名专业主持人，串联致辞/现场执行工作人员（至少2名）：场内秩序、撤场/志愿者服务团队(至少10名）：嘉宾引导、点位值守、人流疏导/现场调度及应急预案，全流程现场落地执行统筹嘉宾入场、领导致辞</w:t>
            </w:r>
          </w:p>
        </w:tc>
        <w:tc>
          <w:tcPr>
            <w:tcW w:w="870" w:type="dxa"/>
          </w:tcPr>
          <w:p w14:paraId="4FBC1D77">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7EC3400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403A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677" w:type="dxa"/>
            <w:gridSpan w:val="5"/>
          </w:tcPr>
          <w:p w14:paraId="5616B56A">
            <w:pPr>
              <w:widowControl/>
              <w:spacing w:line="500" w:lineRule="exact"/>
              <w:jc w:val="center"/>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五、葡萄酒科学文化节主题活动-“最受大学生欢迎的中国风土葡萄酒”品鉴大赛</w:t>
            </w:r>
          </w:p>
        </w:tc>
      </w:tr>
      <w:tr w14:paraId="4E040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4" w:hRule="atLeast"/>
        </w:trPr>
        <w:tc>
          <w:tcPr>
            <w:tcW w:w="884" w:type="dxa"/>
          </w:tcPr>
          <w:p w14:paraId="231D808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3DD7C9C0">
            <w:pPr>
              <w:widowControl/>
              <w:spacing w:line="500" w:lineRule="exact"/>
              <w:jc w:val="center"/>
              <w:outlineLvl w:val="2"/>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氛围营造</w:t>
            </w:r>
          </w:p>
        </w:tc>
        <w:tc>
          <w:tcPr>
            <w:tcW w:w="5496" w:type="dxa"/>
            <w:vAlign w:val="center"/>
          </w:tcPr>
          <w:p w14:paraId="1A63B261">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全套主KV、3D场景设计所有效果图前置审核/图书馆入口两侧异形展板：桁架+喷绘+PVC异形装饰12m*6m/图书馆一楼大厅360㎡品鉴区整体搭建（含55米围挡、演讲台、酒样备展区）；大赛主背景桁架喷绘1套8*4m（培训+盲评主视觉，设计前置审核）；葡萄酒科普展板4块（场外品鉴知识宣传展示）；打卡美陈装置6m*1.2m（赛事合影点位2处）80*180cm导视立牌6个；分区标识KT板若干个（区分培训/初评/复评区域）；品鉴区防滑地毯场地全覆盖；舞台台阶、安全护栏、演讲台配套设施1套；场地现场搭建及活动全程看护设备1项；赛后撤展、场地复原</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拆除、垃圾清运1项；</w:t>
            </w:r>
          </w:p>
        </w:tc>
        <w:tc>
          <w:tcPr>
            <w:tcW w:w="870" w:type="dxa"/>
            <w:vAlign w:val="center"/>
          </w:tcPr>
          <w:p w14:paraId="7DBEEEBA">
            <w:pPr>
              <w:widowControl/>
              <w:spacing w:line="500" w:lineRule="exact"/>
              <w:jc w:val="center"/>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vAlign w:val="center"/>
          </w:tcPr>
          <w:p w14:paraId="20D95E5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1E4C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2" w:hRule="atLeast"/>
        </w:trPr>
        <w:tc>
          <w:tcPr>
            <w:tcW w:w="884" w:type="dxa"/>
          </w:tcPr>
          <w:p w14:paraId="0CE41AB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25E2B97A">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参会人员出行后勤保障</w:t>
            </w:r>
          </w:p>
        </w:tc>
        <w:tc>
          <w:tcPr>
            <w:tcW w:w="5496" w:type="dxa"/>
            <w:vAlign w:val="center"/>
          </w:tcPr>
          <w:p w14:paraId="05F2379E">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参会人员往返交通统筹（百名大学生品鉴评委等至少100人往返乌鲁木齐机票负责购买、接送、活动通勤，规范留存交通报销凭证，闭环管理）；全员统一办理短期意外伤害保险并覆盖所有到场学生，留存保单凭证；食宿统筹（统一安排百名大学生品鉴评委住宿与集体用餐，留存餐饮住宿票据）</w:t>
            </w:r>
          </w:p>
        </w:tc>
        <w:tc>
          <w:tcPr>
            <w:tcW w:w="870" w:type="dxa"/>
            <w:vAlign w:val="center"/>
          </w:tcPr>
          <w:p w14:paraId="384C6803">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663F1D18">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3F3E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84" w:type="dxa"/>
          </w:tcPr>
          <w:p w14:paraId="675CC7D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6D6ABA5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现场设备配套保障</w:t>
            </w:r>
          </w:p>
        </w:tc>
        <w:tc>
          <w:tcPr>
            <w:tcW w:w="5496" w:type="dxa"/>
            <w:vAlign w:val="center"/>
          </w:tcPr>
          <w:p w14:paraId="327BDA39">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舞台配套物料：P3-LED大屏搭建8m*4.5m（及满足视频转播相关配套设备），播放培训课件、赛事流程、获奖公示；专业音响+无线麦克风（培训主持、结果播报使用）</w:t>
            </w:r>
          </w:p>
        </w:tc>
        <w:tc>
          <w:tcPr>
            <w:tcW w:w="870" w:type="dxa"/>
          </w:tcPr>
          <w:p w14:paraId="546F9A2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5879445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0EA7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trPr>
        <w:tc>
          <w:tcPr>
            <w:tcW w:w="884" w:type="dxa"/>
          </w:tcPr>
          <w:p w14:paraId="6DAB961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628" w:type="dxa"/>
            <w:vAlign w:val="center"/>
          </w:tcPr>
          <w:p w14:paraId="6AA8ECB4">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品鉴专用设备物料</w:t>
            </w:r>
          </w:p>
        </w:tc>
        <w:tc>
          <w:tcPr>
            <w:tcW w:w="5496" w:type="dxa"/>
            <w:vAlign w:val="center"/>
          </w:tcPr>
          <w:p w14:paraId="6D8DB032">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无铅水晶标准品鉴杯（盲评专用1800支）、黑色盲品束口袋遮挡酒标400个、不锈钢吐酒桶-各组评委配备30个、1.5-2L醒酒器50个、侍酒刀、酒帽切割套装50套、苏打饼干、白面包1批、冰桶+配套冰块40套、参赛品鉴葡萄酒（干红、干白、甜白、起泡）400-500瓶</w:t>
            </w:r>
          </w:p>
        </w:tc>
        <w:tc>
          <w:tcPr>
            <w:tcW w:w="870" w:type="dxa"/>
          </w:tcPr>
          <w:p w14:paraId="6FAD633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69C3913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230FB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trPr>
        <w:tc>
          <w:tcPr>
            <w:tcW w:w="884" w:type="dxa"/>
          </w:tcPr>
          <w:p w14:paraId="5368D8E0">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1628" w:type="dxa"/>
            <w:vAlign w:val="center"/>
          </w:tcPr>
          <w:p w14:paraId="7854EBC1">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现场印刷物料配套保障</w:t>
            </w:r>
          </w:p>
        </w:tc>
        <w:tc>
          <w:tcPr>
            <w:tcW w:w="5496" w:type="dxa"/>
            <w:vAlign w:val="center"/>
          </w:tcPr>
          <w:p w14:paraId="6CE537E8">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现场配套评委证PVC带挂绳100个；评委培训资料袋（内含评分规则、培训讲义）100套；签到表、中性笔</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各环节签到使用1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批；纸质评分答题卡初评、复评专用600</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份；获奖榜单展示展板（公示大金奖、金奖酒款）2块</w:t>
            </w:r>
          </w:p>
        </w:tc>
        <w:tc>
          <w:tcPr>
            <w:tcW w:w="870" w:type="dxa"/>
          </w:tcPr>
          <w:p w14:paraId="309EB598">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53A95AD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44B70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trPr>
        <w:tc>
          <w:tcPr>
            <w:tcW w:w="884" w:type="dxa"/>
          </w:tcPr>
          <w:p w14:paraId="2D00E826">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1628" w:type="dxa"/>
            <w:vAlign w:val="center"/>
          </w:tcPr>
          <w:p w14:paraId="16D6CA6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赛事执行服务</w:t>
            </w:r>
          </w:p>
        </w:tc>
        <w:tc>
          <w:tcPr>
            <w:tcW w:w="5496" w:type="dxa"/>
            <w:vAlign w:val="center"/>
          </w:tcPr>
          <w:p w14:paraId="4920A285">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至少专职赛事主持人（串联培训、盲评、结果公示）2名；评委专项培训服务1场；工作人员至少20人；赛事志愿者（评委引导、酒样传递、场地保洁）至少50人；盲评流程管控人员至少10人；现场应急处置方案</w:t>
            </w:r>
          </w:p>
        </w:tc>
        <w:tc>
          <w:tcPr>
            <w:tcW w:w="870" w:type="dxa"/>
          </w:tcPr>
          <w:p w14:paraId="0407A9E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350CBCE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6CF1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trPr>
        <w:tc>
          <w:tcPr>
            <w:tcW w:w="884" w:type="dxa"/>
          </w:tcPr>
          <w:p w14:paraId="3BAEEB4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p>
        </w:tc>
        <w:tc>
          <w:tcPr>
            <w:tcW w:w="1628" w:type="dxa"/>
            <w:vAlign w:val="center"/>
          </w:tcPr>
          <w:p w14:paraId="4084705C">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全周期宣传策划与成果交付</w:t>
            </w:r>
          </w:p>
        </w:tc>
        <w:tc>
          <w:tcPr>
            <w:tcW w:w="5496" w:type="dxa"/>
            <w:vAlign w:val="center"/>
          </w:tcPr>
          <w:p w14:paraId="33D75F66">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多机位摄影摄像（完整记录培训、初评、复评、公示）；赛事高清实拍图集（场地、评委、获奖酒款照片）；活动回顾短视频（花絮、评选过程剪辑）若干条；媒体&amp;高校平台发稿1项；全套赛事策划（含盲评赛制、奖项配比规则）1项；盲评投票原始数据档案1套</w:t>
            </w:r>
          </w:p>
        </w:tc>
        <w:tc>
          <w:tcPr>
            <w:tcW w:w="870" w:type="dxa"/>
          </w:tcPr>
          <w:p w14:paraId="6873AE0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38E965C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008B0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1947872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p>
        </w:tc>
        <w:tc>
          <w:tcPr>
            <w:tcW w:w="1628" w:type="dxa"/>
            <w:vAlign w:val="center"/>
          </w:tcPr>
          <w:p w14:paraId="681994F3">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配套专项服务费</w:t>
            </w:r>
          </w:p>
        </w:tc>
        <w:tc>
          <w:tcPr>
            <w:tcW w:w="5496" w:type="dxa"/>
            <w:vAlign w:val="center"/>
          </w:tcPr>
          <w:p w14:paraId="387412AF">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场地搭建人工服务费、音视频设备技术服务费含安装调试、现场技术人员费用、物料分装整理服务费（酒具、培训物料分拣打包）</w:t>
            </w:r>
          </w:p>
        </w:tc>
        <w:tc>
          <w:tcPr>
            <w:tcW w:w="870" w:type="dxa"/>
          </w:tcPr>
          <w:p w14:paraId="57FD8656">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3417650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597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9677" w:type="dxa"/>
            <w:gridSpan w:val="5"/>
          </w:tcPr>
          <w:p w14:paraId="6FA9A037">
            <w:pPr>
              <w:widowControl/>
              <w:jc w:val="center"/>
              <w:textAlignment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六、葡萄酒科学文化节主题活动-“葡萄酒背后的文化与科学”通识课教学研讨会</w:t>
            </w:r>
          </w:p>
        </w:tc>
      </w:tr>
      <w:tr w14:paraId="1B4FC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5FC4149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0055E3FC">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现场设备物料配套保障</w:t>
            </w:r>
          </w:p>
        </w:tc>
        <w:tc>
          <w:tcPr>
            <w:tcW w:w="5496" w:type="dxa"/>
            <w:vAlign w:val="center"/>
          </w:tcPr>
          <w:p w14:paraId="7A17DDD6">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领导配套会务物料：桌签、主持手卡、致辞文件夹，文稿全部前置审核/会场整套设备、音响、无线麦克风整套，提前安装调试</w:t>
            </w:r>
          </w:p>
        </w:tc>
        <w:tc>
          <w:tcPr>
            <w:tcW w:w="870" w:type="dxa"/>
          </w:tcPr>
          <w:p w14:paraId="00A649C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06699397">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6216B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5F7BCA65">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2B1079D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现场印刷物料配套保障</w:t>
            </w:r>
          </w:p>
        </w:tc>
        <w:tc>
          <w:tcPr>
            <w:tcW w:w="5496" w:type="dxa"/>
            <w:vAlign w:val="center"/>
          </w:tcPr>
          <w:p w14:paraId="321F19E7">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现场配套横幅、嘉宾介绍展架、领导桌签</w:t>
            </w:r>
          </w:p>
        </w:tc>
        <w:tc>
          <w:tcPr>
            <w:tcW w:w="870" w:type="dxa"/>
          </w:tcPr>
          <w:p w14:paraId="6E3182D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7C765137">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26134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trPr>
        <w:tc>
          <w:tcPr>
            <w:tcW w:w="884" w:type="dxa"/>
          </w:tcPr>
          <w:p w14:paraId="1BAEF07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214AEE07">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活动现场执行与人员服务</w:t>
            </w:r>
          </w:p>
        </w:tc>
        <w:tc>
          <w:tcPr>
            <w:tcW w:w="5496" w:type="dxa"/>
            <w:vAlign w:val="center"/>
          </w:tcPr>
          <w:p w14:paraId="529A4740">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至少1名专业主持人（串联致辞、自由发言、成立以及发布仪式）/现场执行工作人员（至少2名）：场内秩序、撤场/志愿者服务团队(至少10名）：嘉宾引导、点位值守、人流疏导/现场调度及应急预案，全流程现场落地执行统筹嘉宾入场、领导致辞</w:t>
            </w:r>
          </w:p>
        </w:tc>
        <w:tc>
          <w:tcPr>
            <w:tcW w:w="870" w:type="dxa"/>
          </w:tcPr>
          <w:p w14:paraId="03AC51B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04C8CAA8">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1E11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9677" w:type="dxa"/>
            <w:gridSpan w:val="5"/>
          </w:tcPr>
          <w:p w14:paraId="4B97EAA6">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七、葡萄酒科学文化节主题活动-游园会暨新疆美食艺术体验嘉年华</w:t>
            </w:r>
          </w:p>
        </w:tc>
      </w:tr>
      <w:tr w14:paraId="2937A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trPr>
        <w:tc>
          <w:tcPr>
            <w:tcW w:w="884" w:type="dxa"/>
          </w:tcPr>
          <w:p w14:paraId="2A04024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76D7832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现场设备配套保障</w:t>
            </w:r>
          </w:p>
        </w:tc>
        <w:tc>
          <w:tcPr>
            <w:tcW w:w="5496" w:type="dxa"/>
            <w:vAlign w:val="center"/>
          </w:tcPr>
          <w:p w14:paraId="44CE6B12">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学校和大巴扎双会场搭建LEDP3高清室外大屏（2组））（主屏幕5m*20m、副屏1m*5m两块，1m*4m两块，1m*3m两块）、搭建舞台主区域20*8m包含地毯、安全围挡、台唇覆盖（2组）、大屏背架、音响架、雷亚架等；线阵系列音响16+8（2组）（含话筒调音台等周边设备）（含至少8个手持式麦克风、4个电容式立麦、10个头戴式麦克风）；专业灯光整套设备2套（包含但不仅限于光束灯、频闪灯各40台，切割灯8台，条形灯20台），二氧化碳气柱机8台，电子喷花机8台，冷焰火机8台，提前安装调试，主扩、返听、手持，领夹麦，配专业音响师操控，舞台、大屏、灯光全套供电布线耗材；提前调试舞台配套物料</w:t>
            </w:r>
          </w:p>
        </w:tc>
        <w:tc>
          <w:tcPr>
            <w:tcW w:w="870" w:type="dxa"/>
          </w:tcPr>
          <w:p w14:paraId="3DEE628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tcPr>
          <w:p w14:paraId="7D47092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2CE37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577F24A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43AD9A3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游园会场展位</w:t>
            </w:r>
          </w:p>
        </w:tc>
        <w:tc>
          <w:tcPr>
            <w:tcW w:w="5496" w:type="dxa"/>
            <w:vAlign w:val="center"/>
          </w:tcPr>
          <w:p w14:paraId="76022CBC">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学校和大巴扎双会场搭建3*3m标准展位，含桌布、椅子、电源；</w:t>
            </w:r>
          </w:p>
        </w:tc>
        <w:tc>
          <w:tcPr>
            <w:tcW w:w="870" w:type="dxa"/>
            <w:vAlign w:val="center"/>
          </w:tcPr>
          <w:p w14:paraId="4C7B12B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200</w:t>
            </w:r>
          </w:p>
        </w:tc>
        <w:tc>
          <w:tcPr>
            <w:tcW w:w="799" w:type="dxa"/>
            <w:vAlign w:val="center"/>
          </w:tcPr>
          <w:p w14:paraId="28890DC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组</w:t>
            </w:r>
          </w:p>
        </w:tc>
      </w:tr>
      <w:tr w14:paraId="5492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2DF9DB19">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65570ED1">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游园会场产区展示</w:t>
            </w:r>
          </w:p>
        </w:tc>
        <w:tc>
          <w:tcPr>
            <w:tcW w:w="5496" w:type="dxa"/>
            <w:vAlign w:val="center"/>
          </w:tcPr>
          <w:p w14:paraId="57E065BB">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学校和大巴扎双会场搭建产区展示展位5*5m，含地台、展台展示区、背景、桌布、椅子、电源；</w:t>
            </w:r>
          </w:p>
        </w:tc>
        <w:tc>
          <w:tcPr>
            <w:tcW w:w="870" w:type="dxa"/>
            <w:vAlign w:val="center"/>
          </w:tcPr>
          <w:p w14:paraId="56AB8FCC">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p>
        </w:tc>
        <w:tc>
          <w:tcPr>
            <w:tcW w:w="799" w:type="dxa"/>
            <w:vAlign w:val="center"/>
          </w:tcPr>
          <w:p w14:paraId="0EB86F49">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组</w:t>
            </w:r>
          </w:p>
        </w:tc>
      </w:tr>
      <w:tr w14:paraId="636EB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84" w:type="dxa"/>
          </w:tcPr>
          <w:p w14:paraId="00F3ACD6">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628" w:type="dxa"/>
            <w:vAlign w:val="center"/>
          </w:tcPr>
          <w:p w14:paraId="1F3A3A8D">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游园会造型美陈</w:t>
            </w:r>
          </w:p>
        </w:tc>
        <w:tc>
          <w:tcPr>
            <w:tcW w:w="5496" w:type="dxa"/>
            <w:vAlign w:val="center"/>
          </w:tcPr>
          <w:p w14:paraId="17E4FE88">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学校和大巴扎双会场各一套，搭建环保阻燃材料，异形造型，双会场入口拱门布置整体宽12米*高度3.6m、地图展示、展位门头牌搭建、仿真绿植布置、手持拍照活动氛围牌、遮阳伞</w:t>
            </w:r>
          </w:p>
        </w:tc>
        <w:tc>
          <w:tcPr>
            <w:tcW w:w="870" w:type="dxa"/>
            <w:vAlign w:val="center"/>
          </w:tcPr>
          <w:p w14:paraId="4705551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799" w:type="dxa"/>
            <w:vAlign w:val="center"/>
          </w:tcPr>
          <w:p w14:paraId="329D9BCC">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5F5AD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28F5BA3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1628" w:type="dxa"/>
            <w:vAlign w:val="center"/>
          </w:tcPr>
          <w:p w14:paraId="75F6710D">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游园会游戏互动区搭建</w:t>
            </w:r>
          </w:p>
        </w:tc>
        <w:tc>
          <w:tcPr>
            <w:tcW w:w="5496" w:type="dxa"/>
            <w:vAlign w:val="center"/>
          </w:tcPr>
          <w:p w14:paraId="0A5BF716">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学校和大巴扎双会场搭建互动游戏道具、美陈装置、打卡点位2.4m*5m</w:t>
            </w:r>
          </w:p>
        </w:tc>
        <w:tc>
          <w:tcPr>
            <w:tcW w:w="870" w:type="dxa"/>
            <w:vAlign w:val="center"/>
          </w:tcPr>
          <w:p w14:paraId="0522C81C">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p>
        </w:tc>
        <w:tc>
          <w:tcPr>
            <w:tcW w:w="799" w:type="dxa"/>
            <w:vAlign w:val="center"/>
          </w:tcPr>
          <w:p w14:paraId="226387B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处</w:t>
            </w:r>
          </w:p>
        </w:tc>
      </w:tr>
      <w:tr w14:paraId="23FA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3AB1A4D9">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1628" w:type="dxa"/>
            <w:vAlign w:val="center"/>
          </w:tcPr>
          <w:p w14:paraId="4C0DEFD3">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活动导视立屏展架</w:t>
            </w:r>
          </w:p>
        </w:tc>
        <w:tc>
          <w:tcPr>
            <w:tcW w:w="5496" w:type="dxa"/>
            <w:vAlign w:val="center"/>
          </w:tcPr>
          <w:p w14:paraId="4DB64712">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学校和大巴扎双会场搭建80*180CM高精KT板，会场、活动点位指引</w:t>
            </w:r>
          </w:p>
        </w:tc>
        <w:tc>
          <w:tcPr>
            <w:tcW w:w="870" w:type="dxa"/>
            <w:vAlign w:val="center"/>
          </w:tcPr>
          <w:p w14:paraId="64D15A1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60</w:t>
            </w:r>
          </w:p>
        </w:tc>
        <w:tc>
          <w:tcPr>
            <w:tcW w:w="799" w:type="dxa"/>
            <w:vAlign w:val="center"/>
          </w:tcPr>
          <w:p w14:paraId="4E79714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个</w:t>
            </w:r>
          </w:p>
        </w:tc>
      </w:tr>
      <w:tr w14:paraId="0435E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6235FFC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p>
        </w:tc>
        <w:tc>
          <w:tcPr>
            <w:tcW w:w="1628" w:type="dxa"/>
            <w:vAlign w:val="center"/>
          </w:tcPr>
          <w:p w14:paraId="4CA2F52C">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场地全程值守、撤展清运服务</w:t>
            </w:r>
          </w:p>
        </w:tc>
        <w:tc>
          <w:tcPr>
            <w:tcW w:w="5496" w:type="dxa"/>
            <w:vAlign w:val="center"/>
          </w:tcPr>
          <w:p w14:paraId="22A47E70">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搭建、活动期间专人看护；结束拆除、场地复原、垃圾清运</w:t>
            </w:r>
          </w:p>
        </w:tc>
        <w:tc>
          <w:tcPr>
            <w:tcW w:w="870" w:type="dxa"/>
            <w:vAlign w:val="center"/>
          </w:tcPr>
          <w:p w14:paraId="1B936648">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vAlign w:val="center"/>
          </w:tcPr>
          <w:p w14:paraId="00C79899">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0B6A9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220B5828">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p>
        </w:tc>
        <w:tc>
          <w:tcPr>
            <w:tcW w:w="1628" w:type="dxa"/>
            <w:vAlign w:val="center"/>
          </w:tcPr>
          <w:p w14:paraId="2841C457">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游园会二维码打卡手环</w:t>
            </w:r>
          </w:p>
        </w:tc>
        <w:tc>
          <w:tcPr>
            <w:tcW w:w="5496" w:type="dxa"/>
            <w:vAlign w:val="center"/>
          </w:tcPr>
          <w:p w14:paraId="7E1614EE">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RFID打卡手环，用于互动游戏、集章打卡</w:t>
            </w:r>
          </w:p>
        </w:tc>
        <w:tc>
          <w:tcPr>
            <w:tcW w:w="870" w:type="dxa"/>
            <w:vAlign w:val="center"/>
          </w:tcPr>
          <w:p w14:paraId="302DF66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20000</w:t>
            </w:r>
          </w:p>
        </w:tc>
        <w:tc>
          <w:tcPr>
            <w:tcW w:w="799" w:type="dxa"/>
            <w:vAlign w:val="center"/>
          </w:tcPr>
          <w:p w14:paraId="6E534428">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个</w:t>
            </w:r>
          </w:p>
        </w:tc>
      </w:tr>
      <w:tr w14:paraId="03D42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1269C0B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p>
        </w:tc>
        <w:tc>
          <w:tcPr>
            <w:tcW w:w="1628" w:type="dxa"/>
            <w:vAlign w:val="center"/>
          </w:tcPr>
          <w:p w14:paraId="7E14187B">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游园会互动游戏道具</w:t>
            </w:r>
          </w:p>
        </w:tc>
        <w:tc>
          <w:tcPr>
            <w:tcW w:w="5496" w:type="dxa"/>
            <w:vAlign w:val="center"/>
          </w:tcPr>
          <w:p w14:paraId="63FC1041">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各类互动游戏道具、美陈耗材、演出服装</w:t>
            </w:r>
          </w:p>
        </w:tc>
        <w:tc>
          <w:tcPr>
            <w:tcW w:w="870" w:type="dxa"/>
            <w:vAlign w:val="center"/>
          </w:tcPr>
          <w:p w14:paraId="58088B4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20</w:t>
            </w:r>
          </w:p>
        </w:tc>
        <w:tc>
          <w:tcPr>
            <w:tcW w:w="799" w:type="dxa"/>
            <w:vAlign w:val="center"/>
          </w:tcPr>
          <w:p w14:paraId="5AD3A0FE">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批</w:t>
            </w:r>
          </w:p>
        </w:tc>
      </w:tr>
      <w:tr w14:paraId="49A29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677" w:type="dxa"/>
            <w:gridSpan w:val="5"/>
          </w:tcPr>
          <w:p w14:paraId="7C43A1C9">
            <w:pPr>
              <w:widowControl/>
              <w:spacing w:line="500" w:lineRule="exact"/>
              <w:jc w:val="center"/>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八、葡萄酒科学文化节竞赛版块活动</w:t>
            </w:r>
          </w:p>
        </w:tc>
      </w:tr>
      <w:tr w14:paraId="456F4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7CE5D8B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18B90C47">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赛事场地视觉与展陈搭建</w:t>
            </w:r>
          </w:p>
        </w:tc>
        <w:tc>
          <w:tcPr>
            <w:tcW w:w="5496" w:type="dxa"/>
            <w:vAlign w:val="center"/>
          </w:tcPr>
          <w:p w14:paraId="0E18C10F">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各竞赛赛区展位搭建（五大竞赛独立赛区展位、展示区布置）；</w:t>
            </w:r>
            <w:r>
              <w:rPr>
                <w:rFonts w:hint="eastAsia" w:ascii="宋体" w:hAnsi="宋体" w:cs="宋体"/>
                <w:color w:val="000000" w:themeColor="text1"/>
                <w:sz w:val="22"/>
                <w:szCs w:val="22"/>
                <w:highlight w:val="none"/>
                <w14:textFill>
                  <w14:solidFill>
                    <w14:schemeClr w14:val="tx1"/>
                  </w14:solidFill>
                </w14:textFill>
              </w:rPr>
              <w:t>桌签、主持手卡；会场整套设备、音响、无线麦克风整套，提前安装调试</w:t>
            </w:r>
          </w:p>
        </w:tc>
        <w:tc>
          <w:tcPr>
            <w:tcW w:w="870" w:type="dxa"/>
            <w:vAlign w:val="center"/>
          </w:tcPr>
          <w:p w14:paraId="66B317F1">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w:t>
            </w:r>
          </w:p>
        </w:tc>
        <w:tc>
          <w:tcPr>
            <w:tcW w:w="799" w:type="dxa"/>
            <w:vAlign w:val="center"/>
          </w:tcPr>
          <w:p w14:paraId="7FAA5AE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组</w:t>
            </w:r>
          </w:p>
        </w:tc>
      </w:tr>
      <w:tr w14:paraId="7397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trPr>
        <w:tc>
          <w:tcPr>
            <w:tcW w:w="884" w:type="dxa"/>
          </w:tcPr>
          <w:p w14:paraId="595A38E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7546AEAA">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现场印刷物料配套保障</w:t>
            </w:r>
          </w:p>
        </w:tc>
        <w:tc>
          <w:tcPr>
            <w:tcW w:w="5496" w:type="dxa"/>
            <w:vAlign w:val="center"/>
          </w:tcPr>
          <w:p w14:paraId="33A7B668">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现场配套评委证PVC带挂绳100个；评委培训资料袋（含评分规则、培训讲义）100套；签到表、中性笔，各环节签到使用1批；纸质评分答题卡初评、复评专用600份；获奖榜单展示展板若干块</w:t>
            </w:r>
          </w:p>
        </w:tc>
        <w:tc>
          <w:tcPr>
            <w:tcW w:w="870" w:type="dxa"/>
          </w:tcPr>
          <w:p w14:paraId="440D76FE">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539AC57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7700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0B1B9A79">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3D01D53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酒晕妆大赛决赛选手专属服装租借</w:t>
            </w:r>
          </w:p>
        </w:tc>
        <w:tc>
          <w:tcPr>
            <w:tcW w:w="5496" w:type="dxa"/>
            <w:vAlign w:val="center"/>
          </w:tcPr>
          <w:p w14:paraId="0A5DA734">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含选手决赛造型服装、配饰10余套</w:t>
            </w:r>
          </w:p>
        </w:tc>
        <w:tc>
          <w:tcPr>
            <w:tcW w:w="870" w:type="dxa"/>
            <w:vAlign w:val="center"/>
          </w:tcPr>
          <w:p w14:paraId="45E431E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5E5B7E13">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130A6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6C69318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628" w:type="dxa"/>
            <w:vAlign w:val="center"/>
          </w:tcPr>
          <w:p w14:paraId="1A9ECEA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演出人员专属服装租借</w:t>
            </w:r>
          </w:p>
        </w:tc>
        <w:tc>
          <w:tcPr>
            <w:tcW w:w="5496" w:type="dxa"/>
            <w:vAlign w:val="center"/>
          </w:tcPr>
          <w:p w14:paraId="596AD42D">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含赛事颁奖、展演环节演出服装200余套</w:t>
            </w:r>
          </w:p>
        </w:tc>
        <w:tc>
          <w:tcPr>
            <w:tcW w:w="870" w:type="dxa"/>
            <w:vAlign w:val="center"/>
          </w:tcPr>
          <w:p w14:paraId="725AB7AF">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1D459FA6">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2E51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11F1A2D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1628" w:type="dxa"/>
            <w:vAlign w:val="center"/>
          </w:tcPr>
          <w:p w14:paraId="7E004C3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化妆台、化妆镜、椅子</w:t>
            </w:r>
          </w:p>
        </w:tc>
        <w:tc>
          <w:tcPr>
            <w:tcW w:w="5496" w:type="dxa"/>
            <w:vAlign w:val="center"/>
          </w:tcPr>
          <w:p w14:paraId="6C78084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p>
        </w:tc>
        <w:tc>
          <w:tcPr>
            <w:tcW w:w="870" w:type="dxa"/>
            <w:vAlign w:val="center"/>
          </w:tcPr>
          <w:p w14:paraId="53E39923">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20</w:t>
            </w:r>
          </w:p>
        </w:tc>
        <w:tc>
          <w:tcPr>
            <w:tcW w:w="799" w:type="dxa"/>
            <w:vAlign w:val="center"/>
          </w:tcPr>
          <w:p w14:paraId="5D76B6D8">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组</w:t>
            </w:r>
          </w:p>
        </w:tc>
      </w:tr>
      <w:tr w14:paraId="4343F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0331F1D0">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1628" w:type="dxa"/>
            <w:vAlign w:val="center"/>
          </w:tcPr>
          <w:p w14:paraId="2E166885">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化妆相关消耗品</w:t>
            </w:r>
          </w:p>
        </w:tc>
        <w:tc>
          <w:tcPr>
            <w:tcW w:w="5496" w:type="dxa"/>
            <w:vAlign w:val="center"/>
          </w:tcPr>
          <w:p w14:paraId="2CB47363">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卸妆棉、化妆棉、棉签、一次性唇刷、洗脸巾、一次性毛巾、卸妆油/水、化妆刷套装20套余套</w:t>
            </w:r>
          </w:p>
        </w:tc>
        <w:tc>
          <w:tcPr>
            <w:tcW w:w="870" w:type="dxa"/>
            <w:vAlign w:val="center"/>
          </w:tcPr>
          <w:p w14:paraId="21BB68DF">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2DB2E69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5D4D5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21FF37E9">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p>
        </w:tc>
        <w:tc>
          <w:tcPr>
            <w:tcW w:w="1628" w:type="dxa"/>
            <w:vAlign w:val="center"/>
          </w:tcPr>
          <w:p w14:paraId="5710B43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化妆相关彩妆用品</w:t>
            </w:r>
          </w:p>
        </w:tc>
        <w:tc>
          <w:tcPr>
            <w:tcW w:w="5496" w:type="dxa"/>
            <w:vAlign w:val="center"/>
          </w:tcPr>
          <w:p w14:paraId="36DF9D1E">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隔离、粉底、遮瑕、散粉、定妆喷雾、腮红、眼影、高光、修容、睫毛夹、假睫毛、睫毛胶、睫毛膏、唇泥、唇釉、口红</w:t>
            </w:r>
          </w:p>
        </w:tc>
        <w:tc>
          <w:tcPr>
            <w:tcW w:w="870" w:type="dxa"/>
            <w:vAlign w:val="center"/>
          </w:tcPr>
          <w:p w14:paraId="3B9B65A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5396DA9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510B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trPr>
        <w:tc>
          <w:tcPr>
            <w:tcW w:w="884" w:type="dxa"/>
          </w:tcPr>
          <w:p w14:paraId="7376F64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p>
        </w:tc>
        <w:tc>
          <w:tcPr>
            <w:tcW w:w="1628" w:type="dxa"/>
            <w:vAlign w:val="center"/>
          </w:tcPr>
          <w:p w14:paraId="35D20DF4">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赛事执行与评审服务</w:t>
            </w:r>
          </w:p>
        </w:tc>
        <w:tc>
          <w:tcPr>
            <w:tcW w:w="5496" w:type="dxa"/>
            <w:vAlign w:val="center"/>
          </w:tcPr>
          <w:p w14:paraId="566E2AAC">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至少55名行业专家、学者担任各赛事专业评审；赛事专职主持人至少2名；赛事执行工作人员至少20名：负责赛前布展、签到检录、秩序维护、设备巡检、赛后撤展清运；统筹六大竞赛报名征集、作品评审、现场展演、颁奖全流程</w:t>
            </w:r>
          </w:p>
        </w:tc>
        <w:tc>
          <w:tcPr>
            <w:tcW w:w="870" w:type="dxa"/>
          </w:tcPr>
          <w:p w14:paraId="5B67EAF0">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3CACECF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3EEC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trPr>
        <w:tc>
          <w:tcPr>
            <w:tcW w:w="884" w:type="dxa"/>
          </w:tcPr>
          <w:p w14:paraId="31B6868A">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p>
        </w:tc>
        <w:tc>
          <w:tcPr>
            <w:tcW w:w="1628" w:type="dxa"/>
            <w:vAlign w:val="center"/>
          </w:tcPr>
          <w:p w14:paraId="425438E5">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全周期宣传策划与成果交付</w:t>
            </w:r>
          </w:p>
        </w:tc>
        <w:tc>
          <w:tcPr>
            <w:tcW w:w="5496" w:type="dxa"/>
            <w:vAlign w:val="center"/>
          </w:tcPr>
          <w:p w14:paraId="34177E16">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多机位摄影摄像（完整记录培训、初评、复评、公示）；赛事高清实拍图集（场地、评委、获奖酒款照片）；活动回顾短视频（花絮、评选过程剪辑）若干条；媒体&amp;高校平台发稿1项；全套赛事策划（含奖项配比规则）1项；盲评投票原始数据档案1套</w:t>
            </w:r>
          </w:p>
        </w:tc>
        <w:tc>
          <w:tcPr>
            <w:tcW w:w="870" w:type="dxa"/>
          </w:tcPr>
          <w:p w14:paraId="044CE41E">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14D80960">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04135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0CC6F9E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p>
        </w:tc>
        <w:tc>
          <w:tcPr>
            <w:tcW w:w="1628" w:type="dxa"/>
            <w:vAlign w:val="center"/>
          </w:tcPr>
          <w:p w14:paraId="486CE396">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配套专项服务费</w:t>
            </w:r>
          </w:p>
        </w:tc>
        <w:tc>
          <w:tcPr>
            <w:tcW w:w="5496" w:type="dxa"/>
            <w:vAlign w:val="center"/>
          </w:tcPr>
          <w:p w14:paraId="1463C9D6">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场地搭建人工服务费、音视频设备技术服务费含安装调试、现场技术人员费用、至少55名行业专家评审劳务费用、赛事专职主持劳务费</w:t>
            </w:r>
          </w:p>
        </w:tc>
        <w:tc>
          <w:tcPr>
            <w:tcW w:w="870" w:type="dxa"/>
          </w:tcPr>
          <w:p w14:paraId="5342D023">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4537ADCD">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27DA6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677" w:type="dxa"/>
            <w:gridSpan w:val="5"/>
          </w:tcPr>
          <w:p w14:paraId="752BAEB6">
            <w:pPr>
              <w:widowControl/>
              <w:spacing w:line="500" w:lineRule="exact"/>
              <w:jc w:val="center"/>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九、葡萄酒科学文化节闭幕式暨颁奖典礼</w:t>
            </w:r>
          </w:p>
        </w:tc>
      </w:tr>
      <w:tr w14:paraId="60AFC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0050F09C">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3C2B53A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仪式视觉与场地搭建</w:t>
            </w:r>
          </w:p>
        </w:tc>
        <w:tc>
          <w:tcPr>
            <w:tcW w:w="5496" w:type="dxa"/>
            <w:vAlign w:val="center"/>
          </w:tcPr>
          <w:p w14:paraId="65353CB5">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颁奖区氛围造型装饰（鲜花、铁艺、灯光氛围装饰，配套获奖合影区布置）、荣誉展示区搭建（含获奖名单展板展示架、竞赛成果展示区布置）</w:t>
            </w:r>
          </w:p>
        </w:tc>
        <w:tc>
          <w:tcPr>
            <w:tcW w:w="870" w:type="dxa"/>
          </w:tcPr>
          <w:p w14:paraId="4666CA77">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7072017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45A0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84" w:type="dxa"/>
          </w:tcPr>
          <w:p w14:paraId="533634E6">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61983684">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现场印刷物料配套保障</w:t>
            </w:r>
          </w:p>
        </w:tc>
        <w:tc>
          <w:tcPr>
            <w:tcW w:w="5496" w:type="dxa"/>
            <w:vAlign w:val="center"/>
          </w:tcPr>
          <w:p w14:paraId="2770536D">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现场配套横幅、获奖企业和个人荣誉展示展架、领导桌签、颁奖流程指引立牌、获奖名单展板；颁奖辞、获奖名单物料制作；奖杯证书递送托盘、礼仪用品、获奖代表引导物料等配套物料</w:t>
            </w:r>
          </w:p>
        </w:tc>
        <w:tc>
          <w:tcPr>
            <w:tcW w:w="870" w:type="dxa"/>
          </w:tcPr>
          <w:p w14:paraId="1B3D3E8A">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1794E19E">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11BA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2C1F7B1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4EC2916D">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水晶玻璃奖杯</w:t>
            </w:r>
          </w:p>
        </w:tc>
        <w:tc>
          <w:tcPr>
            <w:tcW w:w="5496" w:type="dxa"/>
            <w:vAlign w:val="center"/>
          </w:tcPr>
          <w:p w14:paraId="1951DB8A">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六大竞赛奖项，按等级定制</w:t>
            </w:r>
          </w:p>
        </w:tc>
        <w:tc>
          <w:tcPr>
            <w:tcW w:w="870" w:type="dxa"/>
            <w:vAlign w:val="center"/>
          </w:tcPr>
          <w:p w14:paraId="746007E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51</w:t>
            </w:r>
          </w:p>
        </w:tc>
        <w:tc>
          <w:tcPr>
            <w:tcW w:w="799" w:type="dxa"/>
            <w:vAlign w:val="center"/>
          </w:tcPr>
          <w:p w14:paraId="231C5A20">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座</w:t>
            </w:r>
          </w:p>
        </w:tc>
      </w:tr>
      <w:tr w14:paraId="2F90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32531D94">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628" w:type="dxa"/>
            <w:vAlign w:val="center"/>
          </w:tcPr>
          <w:p w14:paraId="39A28FB5">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镀金镀银铜质奖牌</w:t>
            </w:r>
          </w:p>
        </w:tc>
        <w:tc>
          <w:tcPr>
            <w:tcW w:w="5496" w:type="dxa"/>
            <w:vAlign w:val="center"/>
          </w:tcPr>
          <w:p w14:paraId="2C6FDD8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对应奖项等级</w:t>
            </w:r>
          </w:p>
        </w:tc>
        <w:tc>
          <w:tcPr>
            <w:tcW w:w="870" w:type="dxa"/>
            <w:vAlign w:val="center"/>
          </w:tcPr>
          <w:p w14:paraId="5A928EE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51</w:t>
            </w:r>
          </w:p>
        </w:tc>
        <w:tc>
          <w:tcPr>
            <w:tcW w:w="799" w:type="dxa"/>
            <w:vAlign w:val="center"/>
          </w:tcPr>
          <w:p w14:paraId="4380643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枚</w:t>
            </w:r>
          </w:p>
        </w:tc>
      </w:tr>
      <w:tr w14:paraId="22338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5A9C859F">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1628" w:type="dxa"/>
            <w:vAlign w:val="center"/>
          </w:tcPr>
          <w:p w14:paraId="41BF1587">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烫金颁奖证书</w:t>
            </w:r>
          </w:p>
        </w:tc>
        <w:tc>
          <w:tcPr>
            <w:tcW w:w="5496" w:type="dxa"/>
            <w:vAlign w:val="center"/>
          </w:tcPr>
          <w:p w14:paraId="5AA9C40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含证书内页、打印获奖信息</w:t>
            </w:r>
          </w:p>
        </w:tc>
        <w:tc>
          <w:tcPr>
            <w:tcW w:w="870" w:type="dxa"/>
            <w:vAlign w:val="center"/>
          </w:tcPr>
          <w:p w14:paraId="3DD2B855">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51</w:t>
            </w:r>
          </w:p>
        </w:tc>
        <w:tc>
          <w:tcPr>
            <w:tcW w:w="799" w:type="dxa"/>
            <w:vAlign w:val="center"/>
          </w:tcPr>
          <w:p w14:paraId="57F662A7">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套</w:t>
            </w:r>
          </w:p>
        </w:tc>
      </w:tr>
      <w:tr w14:paraId="3C764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2F0EBAF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1628" w:type="dxa"/>
            <w:vAlign w:val="center"/>
          </w:tcPr>
          <w:p w14:paraId="6326B48C">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竞赛奖项奖金</w:t>
            </w:r>
          </w:p>
        </w:tc>
        <w:tc>
          <w:tcPr>
            <w:tcW w:w="5496" w:type="dxa"/>
            <w:vAlign w:val="center"/>
          </w:tcPr>
          <w:p w14:paraId="5EE94882">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按奖项等级足额配套各赛事一、二、三等奖奖金</w:t>
            </w:r>
          </w:p>
        </w:tc>
        <w:tc>
          <w:tcPr>
            <w:tcW w:w="870" w:type="dxa"/>
            <w:vAlign w:val="center"/>
          </w:tcPr>
          <w:p w14:paraId="368F816A">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p>
        </w:tc>
        <w:tc>
          <w:tcPr>
            <w:tcW w:w="799" w:type="dxa"/>
            <w:vAlign w:val="center"/>
          </w:tcPr>
          <w:p w14:paraId="3A647F59">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项</w:t>
            </w:r>
          </w:p>
        </w:tc>
      </w:tr>
      <w:tr w14:paraId="5EC6B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84" w:type="dxa"/>
          </w:tcPr>
          <w:p w14:paraId="20FD20B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p>
        </w:tc>
        <w:tc>
          <w:tcPr>
            <w:tcW w:w="1628" w:type="dxa"/>
            <w:vAlign w:val="center"/>
          </w:tcPr>
          <w:p w14:paraId="29DC0BFB">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现场执行与颁奖服务</w:t>
            </w:r>
          </w:p>
        </w:tc>
        <w:tc>
          <w:tcPr>
            <w:tcW w:w="5496" w:type="dxa"/>
            <w:vAlign w:val="center"/>
          </w:tcPr>
          <w:p w14:paraId="79C46250">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至少2名专业主持人，串联闭幕式全程流程与颁奖环节；特邀专业演员闭幕演出节目，配合仪式流程；现场工作人员至少20名负责布展、嘉宾引导、获奖选手组织、奖杯证书递送、秩序维护；志愿者至少100名负责嘉宾签到、点位值守、人流疏导、赛后撤场清运；礼仪服务人员至少10名负责颁奖环节礼仪引导、奖杯证书递送；全流程现场落地执行统筹嘉宾入场、成果总结、颁奖环节、闭幕致辞全流程</w:t>
            </w:r>
          </w:p>
        </w:tc>
        <w:tc>
          <w:tcPr>
            <w:tcW w:w="870" w:type="dxa"/>
          </w:tcPr>
          <w:p w14:paraId="7DFC97DC">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5E5ADC6A">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2536E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2" w:hRule="atLeast"/>
        </w:trPr>
        <w:tc>
          <w:tcPr>
            <w:tcW w:w="884" w:type="dxa"/>
          </w:tcPr>
          <w:p w14:paraId="08011B51">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p>
        </w:tc>
        <w:tc>
          <w:tcPr>
            <w:tcW w:w="1628" w:type="dxa"/>
            <w:vAlign w:val="center"/>
          </w:tcPr>
          <w:p w14:paraId="2D819E43">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全周期宣传策划与成果交付</w:t>
            </w:r>
          </w:p>
        </w:tc>
        <w:tc>
          <w:tcPr>
            <w:tcW w:w="5496" w:type="dxa"/>
            <w:vAlign w:val="center"/>
          </w:tcPr>
          <w:p w14:paraId="60A12DC8">
            <w:pPr>
              <w:widowControl/>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多机位摄影摄像（全程录制颁奖盛典、闭幕演出、核心环节）；赛事高清实拍图集（颁奖盛况、获奖合影、演出特写、嘉宾现场图）；活动回顾短视频（闭幕式精彩瞬间、获奖选手采访多版本剪辑）若干条；文化节整体成果汇编素材采集（六大竞赛成果、活动全程素材汇总整理）；媒体&amp;高校平台发稿1项</w:t>
            </w:r>
          </w:p>
        </w:tc>
        <w:tc>
          <w:tcPr>
            <w:tcW w:w="870" w:type="dxa"/>
          </w:tcPr>
          <w:p w14:paraId="22662966">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444EFC6E">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1AFD2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457B8767">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p>
        </w:tc>
        <w:tc>
          <w:tcPr>
            <w:tcW w:w="1628" w:type="dxa"/>
            <w:vAlign w:val="center"/>
          </w:tcPr>
          <w:p w14:paraId="2F065C0D">
            <w:pPr>
              <w:widowControl/>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配套专项服务费</w:t>
            </w:r>
          </w:p>
        </w:tc>
        <w:tc>
          <w:tcPr>
            <w:tcW w:w="5496" w:type="dxa"/>
            <w:vAlign w:val="center"/>
          </w:tcPr>
          <w:p w14:paraId="22062C33">
            <w:pPr>
              <w:widowControl/>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闭幕式专职主持劳务费、特邀表演人员劳务报酬、场地搭建人工服务费、音视频设备技术服务费含安装调试、现场技术人员费用</w:t>
            </w:r>
          </w:p>
        </w:tc>
        <w:tc>
          <w:tcPr>
            <w:tcW w:w="870" w:type="dxa"/>
          </w:tcPr>
          <w:p w14:paraId="61DA7352">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148705FB">
            <w:pPr>
              <w:widowControl/>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469EF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677" w:type="dxa"/>
            <w:gridSpan w:val="5"/>
          </w:tcPr>
          <w:p w14:paraId="7C7F9C5F">
            <w:pPr>
              <w:spacing w:line="500" w:lineRule="exact"/>
              <w:jc w:val="center"/>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十、葡萄酒科学文化节产区推介视频拍摄</w:t>
            </w:r>
          </w:p>
        </w:tc>
      </w:tr>
      <w:tr w14:paraId="1EC2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84" w:type="dxa"/>
          </w:tcPr>
          <w:p w14:paraId="5AD3B4E5">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628" w:type="dxa"/>
            <w:vAlign w:val="center"/>
          </w:tcPr>
          <w:p w14:paraId="06CFACC8">
            <w:pPr>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视频视觉包装与展陈设计</w:t>
            </w:r>
          </w:p>
        </w:tc>
        <w:tc>
          <w:tcPr>
            <w:tcW w:w="5496" w:type="dxa"/>
            <w:vAlign w:val="center"/>
          </w:tcPr>
          <w:p w14:paraId="6824243C">
            <w:pPr>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5部产区推介微视频整体视觉包装（含片头片尾、字幕版式、新疆葡萄酒产区视觉体系融入）；视频脚本及分镜效果图设计；开幕式展播版面设计；全部经甲方前置审核通过后制作</w:t>
            </w:r>
          </w:p>
        </w:tc>
        <w:tc>
          <w:tcPr>
            <w:tcW w:w="870" w:type="dxa"/>
          </w:tcPr>
          <w:p w14:paraId="4D8EF8BF">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00E9A742">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155BB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84" w:type="dxa"/>
          </w:tcPr>
          <w:p w14:paraId="1E930145">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628" w:type="dxa"/>
            <w:vAlign w:val="center"/>
          </w:tcPr>
          <w:p w14:paraId="08A488DA">
            <w:pPr>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拍摄设备与物料保障</w:t>
            </w:r>
          </w:p>
        </w:tc>
        <w:tc>
          <w:tcPr>
            <w:tcW w:w="5496" w:type="dxa"/>
            <w:vAlign w:val="center"/>
          </w:tcPr>
          <w:p w14:paraId="2B22C7AF">
            <w:pPr>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专业摄像、航拍、录音、灯光补光及存储剪辑设备；产区跨地域转场拍摄防护装备</w:t>
            </w:r>
          </w:p>
        </w:tc>
        <w:tc>
          <w:tcPr>
            <w:tcW w:w="870" w:type="dxa"/>
          </w:tcPr>
          <w:p w14:paraId="70535468">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47DA1B72">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1DE8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84" w:type="dxa"/>
          </w:tcPr>
          <w:p w14:paraId="7AA76067">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628" w:type="dxa"/>
            <w:vAlign w:val="center"/>
          </w:tcPr>
          <w:p w14:paraId="022A5851">
            <w:pPr>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拍摄执行服务</w:t>
            </w:r>
          </w:p>
        </w:tc>
        <w:tc>
          <w:tcPr>
            <w:tcW w:w="5496" w:type="dxa"/>
            <w:vAlign w:val="center"/>
          </w:tcPr>
          <w:p w14:paraId="2D8AC982">
            <w:pPr>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专业拍摄团队跟队完成天山北麓、吐哈盆地、伊犁河谷、焉耆盆地、阿克苏慕萨莱思五大产区全程取景拍摄、素材采集及访谈录制</w:t>
            </w:r>
          </w:p>
        </w:tc>
        <w:tc>
          <w:tcPr>
            <w:tcW w:w="870" w:type="dxa"/>
          </w:tcPr>
          <w:p w14:paraId="40614EE7">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701CDA1E">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r w14:paraId="7461E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4" w:hRule="atLeast"/>
        </w:trPr>
        <w:tc>
          <w:tcPr>
            <w:tcW w:w="884" w:type="dxa"/>
          </w:tcPr>
          <w:p w14:paraId="017A943C">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628" w:type="dxa"/>
            <w:vAlign w:val="center"/>
          </w:tcPr>
          <w:p w14:paraId="569561B7">
            <w:pPr>
              <w:jc w:val="center"/>
              <w:textAlignment w:val="center"/>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视频成果与宣传交付</w:t>
            </w:r>
          </w:p>
        </w:tc>
        <w:tc>
          <w:tcPr>
            <w:tcW w:w="5496" w:type="dxa"/>
            <w:vAlign w:val="center"/>
          </w:tcPr>
          <w:p w14:paraId="3BD291DB">
            <w:pPr>
              <w:jc w:val="center"/>
              <w:textAlignment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5部产区推介微视频成片（含拍摄、剪辑、包装，内容涵盖风土风貌、产业特色、企业发展，达开幕式展播标准）；新闻图集、专题推文等宣传素材；全套设计源文件及宣传成果；全部经甲方前置审核通过后交付</w:t>
            </w:r>
          </w:p>
        </w:tc>
        <w:tc>
          <w:tcPr>
            <w:tcW w:w="870" w:type="dxa"/>
          </w:tcPr>
          <w:p w14:paraId="183264D7">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799" w:type="dxa"/>
          </w:tcPr>
          <w:p w14:paraId="60533D42">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r>
    </w:tbl>
    <w:p w14:paraId="6BC6A740">
      <w:pPr>
        <w:spacing w:line="500" w:lineRule="exact"/>
        <w:outlineLvl w:val="2"/>
        <w:rPr>
          <w:rFonts w:hint="eastAsia" w:ascii="宋体" w:hAnsi="宋体" w:cs="宋体"/>
          <w:color w:val="000000" w:themeColor="text1"/>
          <w:sz w:val="22"/>
          <w:szCs w:val="22"/>
          <w:highlight w:val="none"/>
          <w14:textFill>
            <w14:solidFill>
              <w14:schemeClr w14:val="tx1"/>
            </w14:solidFill>
          </w14:textFill>
        </w:rPr>
      </w:pPr>
    </w:p>
    <w:p w14:paraId="3F0B2B60">
      <w:pPr>
        <w:spacing w:line="560" w:lineRule="exact"/>
        <w:ind w:firstLine="640" w:firstLineChars="200"/>
        <w:textAlignment w:val="baseline"/>
        <w:rPr>
          <w:rFonts w:hint="eastAsia" w:ascii="宋体" w:hAnsi="宋体" w:cs="宋体"/>
          <w:color w:val="000000"/>
          <w:sz w:val="32"/>
          <w:szCs w:val="32"/>
          <w:highlight w:val="none"/>
        </w:rPr>
      </w:pPr>
    </w:p>
    <w:p w14:paraId="2A8BD5B9">
      <w:pPr>
        <w:widowControl/>
        <w:kinsoku w:val="0"/>
        <w:autoSpaceDE w:val="0"/>
        <w:autoSpaceDN w:val="0"/>
        <w:adjustRightInd w:val="0"/>
        <w:snapToGrid w:val="0"/>
        <w:spacing w:line="600" w:lineRule="exact"/>
        <w:ind w:firstLine="652" w:firstLineChars="200"/>
        <w:textAlignment w:val="baseline"/>
        <w:rPr>
          <w:rFonts w:hint="eastAsia" w:ascii="宋体" w:hAnsi="宋体" w:cs="宋体"/>
          <w:color w:val="000000" w:themeColor="text1"/>
          <w:spacing w:val="3"/>
          <w:sz w:val="32"/>
          <w:szCs w:val="32"/>
          <w:highlight w:val="none"/>
          <w14:textFill>
            <w14:solidFill>
              <w14:schemeClr w14:val="tx1"/>
            </w14:solidFill>
          </w14:textFill>
        </w:rPr>
      </w:pPr>
    </w:p>
    <w:p w14:paraId="5192D77F">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0962134F">
      <w:pPr>
        <w:spacing w:line="276" w:lineRule="auto"/>
        <w:jc w:val="center"/>
        <w:outlineLvl w:val="0"/>
        <w:rPr>
          <w:rFonts w:hint="eastAsia" w:ascii="宋体" w:hAnsi="宋体" w:cs="宋体"/>
          <w:b/>
          <w:color w:val="000000" w:themeColor="text1"/>
          <w:sz w:val="36"/>
          <w:highlight w:val="none"/>
          <w14:textFill>
            <w14:solidFill>
              <w14:schemeClr w14:val="tx1"/>
            </w14:solidFill>
          </w14:textFill>
        </w:rPr>
      </w:pPr>
      <w:bookmarkStart w:id="31" w:name="_Toc26316"/>
      <w:r>
        <w:rPr>
          <w:rFonts w:hint="eastAsia" w:ascii="宋体" w:hAnsi="宋体" w:cs="宋体"/>
          <w:b/>
          <w:color w:val="000000" w:themeColor="text1"/>
          <w:sz w:val="32"/>
          <w:highlight w:val="none"/>
          <w14:textFill>
            <w14:solidFill>
              <w14:schemeClr w14:val="tx1"/>
            </w14:solidFill>
          </w14:textFill>
        </w:rPr>
        <w:t>第五部分 合同部分</w:t>
      </w:r>
      <w:bookmarkEnd w:id="31"/>
    </w:p>
    <w:p w14:paraId="128B6DF5">
      <w:pPr>
        <w:jc w:val="center"/>
        <w:rPr>
          <w:rFonts w:hint="eastAsia" w:ascii="宋体" w:hAnsi="宋体" w:cs="宋体"/>
          <w:b/>
          <w:sz w:val="20"/>
          <w:highlight w:val="none"/>
        </w:rPr>
      </w:pPr>
      <w:bookmarkStart w:id="32" w:name="_Toc89792139"/>
      <w:r>
        <w:rPr>
          <w:rFonts w:hint="eastAsia" w:ascii="宋体" w:hAnsi="宋体" w:cs="宋体"/>
          <w:b/>
          <w:sz w:val="20"/>
          <w:highlight w:val="none"/>
        </w:rPr>
        <w:t>【此合同为参考模板，以双方签订合同为准】</w:t>
      </w:r>
    </w:p>
    <w:p w14:paraId="0A060296">
      <w:pPr>
        <w:jc w:val="center"/>
        <w:rPr>
          <w:rFonts w:hint="eastAsia" w:ascii="宋体" w:hAnsi="宋体" w:cs="宋体"/>
          <w:b/>
          <w:sz w:val="72"/>
          <w:szCs w:val="72"/>
          <w:highlight w:val="none"/>
        </w:rPr>
      </w:pPr>
    </w:p>
    <w:p w14:paraId="239DD8E9">
      <w:pPr>
        <w:jc w:val="center"/>
        <w:rPr>
          <w:rFonts w:hint="eastAsia" w:ascii="宋体" w:hAnsi="宋体" w:cs="宋体"/>
          <w:b/>
          <w:sz w:val="72"/>
          <w:szCs w:val="72"/>
          <w:highlight w:val="none"/>
        </w:rPr>
      </w:pPr>
      <w:r>
        <w:rPr>
          <w:rFonts w:hint="eastAsia" w:ascii="宋体" w:hAnsi="宋体" w:cs="宋体"/>
          <w:b/>
          <w:sz w:val="72"/>
          <w:szCs w:val="72"/>
          <w:highlight w:val="none"/>
        </w:rPr>
        <w:t>政府采购合同</w:t>
      </w:r>
    </w:p>
    <w:p w14:paraId="799720C2">
      <w:pPr>
        <w:jc w:val="center"/>
        <w:rPr>
          <w:rFonts w:hint="eastAsia" w:ascii="宋体" w:hAnsi="宋体" w:cs="宋体"/>
          <w:b/>
          <w:sz w:val="96"/>
          <w:szCs w:val="96"/>
          <w:highlight w:val="none"/>
        </w:rPr>
      </w:pPr>
    </w:p>
    <w:p w14:paraId="35D0A292">
      <w:pPr>
        <w:jc w:val="center"/>
        <w:rPr>
          <w:rFonts w:hint="eastAsia" w:ascii="宋体" w:hAnsi="宋体" w:cs="宋体"/>
          <w:b/>
          <w:sz w:val="96"/>
          <w:szCs w:val="96"/>
          <w:highlight w:val="none"/>
        </w:rPr>
      </w:pPr>
    </w:p>
    <w:p w14:paraId="1FF98AB1">
      <w:pPr>
        <w:ind w:firstLine="420" w:firstLineChars="200"/>
        <w:rPr>
          <w:rFonts w:hint="eastAsia" w:ascii="宋体" w:hAnsi="宋体" w:cs="宋体"/>
          <w:szCs w:val="21"/>
          <w:highlight w:val="none"/>
        </w:rPr>
      </w:pPr>
      <w:r>
        <w:rPr>
          <w:rFonts w:hint="eastAsia" w:ascii="宋体" w:hAnsi="宋体" w:cs="宋体"/>
          <w:szCs w:val="21"/>
          <w:highlight w:val="none"/>
        </w:rPr>
        <w:t>项目名称：</w:t>
      </w:r>
    </w:p>
    <w:p w14:paraId="434A5F00">
      <w:pPr>
        <w:ind w:firstLine="420" w:firstLineChars="200"/>
        <w:rPr>
          <w:rFonts w:hint="eastAsia" w:ascii="宋体" w:hAnsi="宋体" w:cs="宋体"/>
          <w:szCs w:val="21"/>
          <w:highlight w:val="none"/>
          <w:u w:val="single"/>
        </w:rPr>
      </w:pPr>
    </w:p>
    <w:p w14:paraId="172B4D68">
      <w:pPr>
        <w:ind w:firstLine="420" w:firstLineChars="200"/>
        <w:rPr>
          <w:rFonts w:hint="eastAsia" w:ascii="宋体" w:hAnsi="宋体" w:cs="宋体"/>
          <w:szCs w:val="21"/>
          <w:highlight w:val="none"/>
        </w:rPr>
      </w:pPr>
      <w:r>
        <w:rPr>
          <w:rFonts w:hint="eastAsia" w:ascii="宋体" w:hAnsi="宋体" w:cs="宋体"/>
          <w:szCs w:val="21"/>
          <w:highlight w:val="none"/>
        </w:rPr>
        <w:t>甲方合同编号：</w:t>
      </w:r>
      <w:r>
        <w:rPr>
          <w:rFonts w:hint="eastAsia" w:ascii="宋体" w:hAnsi="宋体" w:cs="宋体"/>
          <w:szCs w:val="21"/>
          <w:highlight w:val="none"/>
          <w:u w:val="single"/>
        </w:rPr>
        <w:t xml:space="preserve">                               </w:t>
      </w:r>
    </w:p>
    <w:p w14:paraId="7345506A">
      <w:pPr>
        <w:ind w:firstLine="420" w:firstLineChars="200"/>
        <w:rPr>
          <w:rFonts w:hint="eastAsia" w:ascii="宋体" w:hAnsi="宋体" w:cs="宋体"/>
          <w:szCs w:val="21"/>
          <w:highlight w:val="none"/>
          <w:u w:val="single"/>
        </w:rPr>
      </w:pPr>
      <w:r>
        <w:rPr>
          <w:rFonts w:hint="eastAsia" w:ascii="宋体" w:hAnsi="宋体" w:cs="宋体"/>
          <w:szCs w:val="21"/>
          <w:highlight w:val="none"/>
        </w:rPr>
        <w:t>甲 方：</w:t>
      </w:r>
      <w:r>
        <w:rPr>
          <w:rFonts w:hint="eastAsia" w:ascii="宋体" w:hAnsi="宋体" w:cs="宋体"/>
          <w:szCs w:val="21"/>
          <w:highlight w:val="none"/>
          <w:u w:val="single"/>
        </w:rPr>
        <w:t xml:space="preserve">                                      </w:t>
      </w:r>
    </w:p>
    <w:p w14:paraId="452AF735">
      <w:pPr>
        <w:ind w:firstLine="420" w:firstLineChars="200"/>
        <w:rPr>
          <w:rFonts w:hint="eastAsia" w:ascii="宋体" w:hAnsi="宋体" w:cs="宋体"/>
          <w:sz w:val="32"/>
          <w:szCs w:val="32"/>
          <w:highlight w:val="none"/>
        </w:rPr>
      </w:pPr>
      <w:r>
        <w:rPr>
          <w:rFonts w:hint="eastAsia" w:ascii="宋体" w:hAnsi="宋体" w:cs="宋体"/>
          <w:szCs w:val="21"/>
          <w:highlight w:val="none"/>
        </w:rPr>
        <w:t>乙 方：</w:t>
      </w:r>
      <w:r>
        <w:rPr>
          <w:rFonts w:hint="eastAsia" w:ascii="宋体" w:hAnsi="宋体" w:cs="宋体"/>
          <w:szCs w:val="21"/>
          <w:highlight w:val="none"/>
          <w:u w:val="single"/>
        </w:rPr>
        <w:t xml:space="preserve">                                       </w:t>
      </w:r>
    </w:p>
    <w:p w14:paraId="1C5A7A1B">
      <w:pPr>
        <w:rPr>
          <w:rFonts w:hint="eastAsia" w:ascii="宋体" w:hAnsi="宋体" w:cs="宋体"/>
          <w:sz w:val="32"/>
          <w:szCs w:val="32"/>
          <w:highlight w:val="none"/>
        </w:rPr>
      </w:pPr>
    </w:p>
    <w:p w14:paraId="560B2D15">
      <w:pPr>
        <w:rPr>
          <w:rFonts w:hint="eastAsia" w:ascii="宋体" w:hAnsi="宋体" w:cs="宋体"/>
          <w:sz w:val="32"/>
          <w:szCs w:val="32"/>
          <w:highlight w:val="none"/>
        </w:rPr>
      </w:pPr>
    </w:p>
    <w:p w14:paraId="05CD5F37">
      <w:pPr>
        <w:rPr>
          <w:rFonts w:hint="eastAsia" w:ascii="宋体" w:hAnsi="宋体" w:cs="宋体"/>
          <w:sz w:val="32"/>
          <w:szCs w:val="32"/>
          <w:highlight w:val="none"/>
        </w:rPr>
      </w:pPr>
    </w:p>
    <w:p w14:paraId="32CA79A1">
      <w:pPr>
        <w:rPr>
          <w:rFonts w:hint="eastAsia" w:ascii="宋体" w:hAnsi="宋体" w:cs="宋体"/>
          <w:sz w:val="32"/>
          <w:szCs w:val="32"/>
          <w:highlight w:val="none"/>
        </w:rPr>
      </w:pPr>
    </w:p>
    <w:p w14:paraId="1CA8D541">
      <w:pPr>
        <w:jc w:val="center"/>
        <w:rPr>
          <w:rFonts w:hint="eastAsia" w:ascii="宋体" w:hAnsi="宋体" w:cs="宋体"/>
          <w:szCs w:val="21"/>
          <w:highlight w:val="none"/>
        </w:rPr>
      </w:pPr>
      <w:r>
        <w:rPr>
          <w:rFonts w:hint="eastAsia" w:ascii="宋体" w:hAnsi="宋体" w:cs="宋体"/>
          <w:szCs w:val="21"/>
          <w:highlight w:val="none"/>
        </w:rPr>
        <w:t>签订时间：      年    月    日</w:t>
      </w:r>
    </w:p>
    <w:p w14:paraId="1409E832">
      <w:pPr>
        <w:jc w:val="center"/>
        <w:rPr>
          <w:rFonts w:hint="eastAsia" w:ascii="宋体" w:hAnsi="宋体" w:cs="宋体"/>
          <w:szCs w:val="21"/>
          <w:highlight w:val="none"/>
        </w:rPr>
      </w:pPr>
    </w:p>
    <w:p w14:paraId="5B1D87E0">
      <w:pPr>
        <w:jc w:val="center"/>
        <w:rPr>
          <w:rFonts w:hint="eastAsia" w:ascii="宋体" w:hAnsi="宋体" w:cs="宋体"/>
          <w:szCs w:val="21"/>
          <w:highlight w:val="none"/>
        </w:rPr>
      </w:pPr>
    </w:p>
    <w:p w14:paraId="16F281AE">
      <w:pPr>
        <w:jc w:val="center"/>
        <w:rPr>
          <w:rFonts w:hint="eastAsia" w:ascii="宋体" w:hAnsi="宋体" w:cs="宋体"/>
          <w:szCs w:val="21"/>
          <w:highlight w:val="none"/>
        </w:rPr>
      </w:pPr>
    </w:p>
    <w:p w14:paraId="7065B9DD">
      <w:pPr>
        <w:snapToGrid w:val="0"/>
        <w:spacing w:line="360" w:lineRule="auto"/>
        <w:jc w:val="center"/>
        <w:rPr>
          <w:rFonts w:hint="eastAsia" w:ascii="宋体" w:hAnsi="宋体" w:cs="宋体"/>
          <w:b/>
          <w:sz w:val="24"/>
          <w:highlight w:val="none"/>
        </w:rPr>
      </w:pPr>
    </w:p>
    <w:p w14:paraId="09984255">
      <w:pPr>
        <w:snapToGrid w:val="0"/>
        <w:spacing w:line="360" w:lineRule="auto"/>
        <w:jc w:val="center"/>
        <w:rPr>
          <w:rFonts w:hint="eastAsia" w:ascii="宋体" w:hAnsi="宋体" w:cs="宋体"/>
          <w:b/>
          <w:sz w:val="24"/>
          <w:highlight w:val="none"/>
        </w:rPr>
      </w:pPr>
      <w:r>
        <w:rPr>
          <w:rFonts w:hint="eastAsia" w:ascii="宋体" w:hAnsi="宋体" w:cs="宋体"/>
          <w:b/>
          <w:sz w:val="24"/>
          <w:highlight w:val="none"/>
        </w:rPr>
        <w:br w:type="page"/>
      </w:r>
      <w:r>
        <w:rPr>
          <w:rFonts w:hint="eastAsia" w:ascii="宋体" w:hAnsi="宋体" w:cs="宋体"/>
          <w:b/>
          <w:sz w:val="24"/>
          <w:highlight w:val="none"/>
        </w:rPr>
        <w:t>合同目录</w:t>
      </w:r>
    </w:p>
    <w:p w14:paraId="313571D9">
      <w:pPr>
        <w:snapToGrid w:val="0"/>
        <w:spacing w:line="360" w:lineRule="auto"/>
        <w:jc w:val="center"/>
        <w:rPr>
          <w:rFonts w:hint="eastAsia" w:ascii="宋体" w:hAnsi="宋体" w:cs="宋体"/>
          <w:b/>
          <w:bCs/>
          <w:sz w:val="44"/>
          <w:highlight w:val="none"/>
        </w:rPr>
      </w:pPr>
    </w:p>
    <w:p w14:paraId="6A5D69CC">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一、</w:t>
      </w:r>
      <w:r>
        <w:rPr>
          <w:rFonts w:hint="eastAsia" w:ascii="宋体" w:hAnsi="宋体" w:cs="宋体"/>
          <w:sz w:val="24"/>
          <w:highlight w:val="none"/>
        </w:rPr>
        <w:t>第一部分 合同书</w:t>
      </w:r>
      <w:r>
        <w:rPr>
          <w:rFonts w:hint="eastAsia" w:ascii="宋体" w:hAnsi="宋体" w:cs="宋体"/>
          <w:kern w:val="0"/>
          <w:sz w:val="24"/>
          <w:highlight w:val="none"/>
        </w:rPr>
        <w:t>……………………………………………………………（页码）</w:t>
      </w:r>
    </w:p>
    <w:p w14:paraId="1CB09A64">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二、第二部分 合同一般条款……………………………………………………（页码）</w:t>
      </w:r>
    </w:p>
    <w:p w14:paraId="3E1FBBA8">
      <w:pPr>
        <w:pStyle w:val="11"/>
        <w:ind w:firstLine="1126"/>
        <w:rPr>
          <w:rFonts w:hint="eastAsia" w:ascii="宋体" w:hAnsi="宋体" w:cs="宋体"/>
          <w:b/>
          <w:sz w:val="28"/>
          <w:szCs w:val="28"/>
          <w:highlight w:val="none"/>
        </w:rPr>
      </w:pPr>
      <w:r>
        <w:rPr>
          <w:rFonts w:hint="eastAsia" w:ascii="宋体" w:hAnsi="宋体" w:cs="宋体"/>
          <w:highlight w:val="none"/>
        </w:rPr>
        <w:br w:type="page"/>
      </w:r>
      <w:bookmarkStart w:id="33" w:name="_Toc80886948"/>
      <w:bookmarkStart w:id="34" w:name="_Toc24629"/>
      <w:bookmarkStart w:id="35" w:name="_Toc80205944"/>
      <w:r>
        <w:rPr>
          <w:rFonts w:hint="eastAsia" w:ascii="宋体" w:hAnsi="宋体" w:cs="宋体"/>
          <w:b/>
          <w:sz w:val="28"/>
          <w:szCs w:val="28"/>
          <w:highlight w:val="none"/>
        </w:rPr>
        <w:t>第一部分 合同书</w:t>
      </w:r>
      <w:bookmarkEnd w:id="33"/>
      <w:bookmarkEnd w:id="34"/>
      <w:bookmarkEnd w:id="35"/>
    </w:p>
    <w:p w14:paraId="626EE0E3">
      <w:pPr>
        <w:spacing w:line="360" w:lineRule="auto"/>
        <w:ind w:firstLine="480" w:firstLineChars="200"/>
        <w:rPr>
          <w:rFonts w:hint="eastAsia" w:ascii="宋体" w:hAnsi="宋体" w:cs="宋体"/>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r>
        <w:rPr>
          <w:rFonts w:hint="eastAsia" w:ascii="宋体" w:hAnsi="宋体" w:cs="宋体"/>
          <w:sz w:val="24"/>
          <w:highlight w:val="none"/>
        </w:rPr>
        <w:t>，</w:t>
      </w:r>
      <w:r>
        <w:rPr>
          <w:rFonts w:hint="eastAsia" w:ascii="宋体" w:hAnsi="宋体" w:cs="宋体"/>
          <w:sz w:val="24"/>
          <w:highlight w:val="none"/>
          <w:u w:val="single"/>
        </w:rPr>
        <w:t xml:space="preserve">  </w:t>
      </w:r>
      <w:bookmarkStart w:id="36" w:name="PO_3000001869_PM026_3"/>
      <w:r>
        <w:rPr>
          <w:rFonts w:hint="eastAsia" w:ascii="宋体" w:hAnsi="宋体" w:cs="宋体"/>
          <w:sz w:val="24"/>
          <w:highlight w:val="none"/>
          <w:u w:val="single"/>
        </w:rPr>
        <w:t>[项目采购-采购人]</w:t>
      </w:r>
      <w:bookmarkEnd w:id="36"/>
      <w:r>
        <w:rPr>
          <w:rFonts w:hint="eastAsia" w:ascii="宋体" w:hAnsi="宋体" w:cs="宋体"/>
          <w:sz w:val="24"/>
          <w:highlight w:val="none"/>
          <w:u w:val="single"/>
        </w:rPr>
        <w:t xml:space="preserve">   </w:t>
      </w:r>
      <w:r>
        <w:rPr>
          <w:rFonts w:hint="eastAsia" w:ascii="宋体" w:hAnsi="宋体" w:cs="宋体"/>
          <w:sz w:val="24"/>
          <w:highlight w:val="none"/>
        </w:rPr>
        <w:t>以</w:t>
      </w:r>
      <w:r>
        <w:rPr>
          <w:rFonts w:hint="eastAsia" w:ascii="宋体" w:hAnsi="宋体" w:cs="宋体"/>
          <w:sz w:val="24"/>
          <w:highlight w:val="none"/>
          <w:u w:val="single"/>
        </w:rPr>
        <w:t xml:space="preserve">  公开招标方式  </w:t>
      </w:r>
      <w:r>
        <w:rPr>
          <w:rFonts w:hint="eastAsia" w:ascii="宋体" w:hAnsi="宋体" w:cs="宋体"/>
          <w:sz w:val="24"/>
          <w:highlight w:val="none"/>
        </w:rPr>
        <w:t>对</w:t>
      </w:r>
      <w:r>
        <w:rPr>
          <w:rFonts w:hint="eastAsia" w:ascii="宋体" w:hAnsi="宋体" w:cs="宋体"/>
          <w:sz w:val="24"/>
          <w:highlight w:val="none"/>
          <w:u w:val="single"/>
        </w:rPr>
        <w:t xml:space="preserve">        </w:t>
      </w:r>
      <w:r>
        <w:rPr>
          <w:rFonts w:hint="eastAsia" w:ascii="宋体" w:hAnsi="宋体" w:cs="宋体"/>
          <w:sz w:val="24"/>
          <w:highlight w:val="none"/>
        </w:rPr>
        <w:t>项目进行了采购。经</w:t>
      </w:r>
      <w:r>
        <w:rPr>
          <w:rFonts w:hint="eastAsia" w:ascii="宋体" w:hAnsi="宋体" w:cs="宋体"/>
          <w:sz w:val="24"/>
          <w:highlight w:val="none"/>
          <w:u w:val="single"/>
        </w:rPr>
        <w:t xml:space="preserve">   （相关评定主体名称）   </w:t>
      </w:r>
      <w:r>
        <w:rPr>
          <w:rFonts w:hint="eastAsia" w:ascii="宋体" w:hAnsi="宋体" w:cs="宋体"/>
          <w:sz w:val="24"/>
          <w:highlight w:val="none"/>
        </w:rPr>
        <w:t>评定，</w:t>
      </w:r>
      <w:r>
        <w:rPr>
          <w:rFonts w:hint="eastAsia" w:ascii="宋体" w:hAnsi="宋体" w:cs="宋体"/>
          <w:sz w:val="24"/>
          <w:highlight w:val="none"/>
          <w:u w:val="single"/>
        </w:rPr>
        <w:t xml:space="preserve">   （供应商名称）</w:t>
      </w:r>
      <w:r>
        <w:rPr>
          <w:rFonts w:hint="eastAsia" w:ascii="宋体" w:hAnsi="宋体" w:cs="宋体"/>
          <w:sz w:val="24"/>
          <w:highlight w:val="none"/>
        </w:rPr>
        <w:t>为该项目成交供应商。现于成交通知书发出之日起</w:t>
      </w:r>
      <w:r>
        <w:rPr>
          <w:rFonts w:hint="eastAsia" w:ascii="宋体" w:hAnsi="宋体" w:cs="宋体"/>
          <w:sz w:val="24"/>
          <w:highlight w:val="none"/>
          <w:u w:val="single"/>
        </w:rPr>
        <w:t xml:space="preserve">    </w:t>
      </w:r>
      <w:r>
        <w:rPr>
          <w:rFonts w:hint="eastAsia" w:ascii="宋体" w:hAnsi="宋体" w:cs="宋体"/>
          <w:sz w:val="24"/>
          <w:highlight w:val="none"/>
        </w:rPr>
        <w:t>日内，按照采购文件确定的事项签订本合同。</w:t>
      </w:r>
    </w:p>
    <w:p w14:paraId="52B661E5">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w:t>
      </w:r>
      <w:bookmarkStart w:id="37" w:name="PO_3000001869_PM026_4"/>
      <w:r>
        <w:rPr>
          <w:rFonts w:hint="eastAsia" w:ascii="宋体" w:hAnsi="宋体" w:cs="宋体"/>
          <w:sz w:val="24"/>
          <w:highlight w:val="none"/>
          <w:u w:val="single"/>
        </w:rPr>
        <w:t>[项目采购-采购人]</w:t>
      </w:r>
      <w:bookmarkEnd w:id="37"/>
      <w:r>
        <w:rPr>
          <w:rFonts w:hint="eastAsia" w:ascii="宋体" w:hAnsi="宋体" w:cs="宋体"/>
          <w:sz w:val="24"/>
          <w:highlight w:val="none"/>
          <w:u w:val="single"/>
        </w:rPr>
        <w:t xml:space="preserve">  </w:t>
      </w:r>
      <w:r>
        <w:rPr>
          <w:rFonts w:hint="eastAsia" w:ascii="宋体" w:hAnsi="宋体" w:cs="宋体"/>
          <w:sz w:val="24"/>
          <w:highlight w:val="none"/>
          <w:lang w:val="zh-CN"/>
        </w:rPr>
        <w:t>(以下简称：甲方)和</w:t>
      </w:r>
      <w:r>
        <w:rPr>
          <w:rFonts w:hint="eastAsia" w:ascii="宋体" w:hAnsi="宋体" w:cs="宋体"/>
          <w:sz w:val="24"/>
          <w:highlight w:val="none"/>
          <w:u w:val="single"/>
        </w:rPr>
        <w:t xml:space="preserve">   （中标人名称）   </w:t>
      </w:r>
      <w:r>
        <w:rPr>
          <w:rFonts w:hint="eastAsia" w:ascii="宋体" w:hAnsi="宋体" w:cs="宋体"/>
          <w:sz w:val="24"/>
          <w:highlight w:val="none"/>
          <w:lang w:val="zh-CN"/>
        </w:rPr>
        <w:t>(以下简称：乙方)协商一致，约定以下合同</w:t>
      </w:r>
      <w:r>
        <w:rPr>
          <w:rFonts w:hint="eastAsia" w:ascii="宋体" w:hAnsi="宋体" w:cs="宋体"/>
          <w:sz w:val="24"/>
          <w:highlight w:val="none"/>
        </w:rPr>
        <w:t>条款，以兹共同遵守、全面履行。</w:t>
      </w:r>
    </w:p>
    <w:p w14:paraId="39D66A94">
      <w:pPr>
        <w:spacing w:line="360" w:lineRule="auto"/>
        <w:ind w:firstLine="482" w:firstLineChars="200"/>
        <w:rPr>
          <w:rFonts w:hint="eastAsia" w:ascii="宋体" w:hAnsi="宋体" w:cs="宋体"/>
          <w:b/>
          <w:sz w:val="24"/>
          <w:highlight w:val="none"/>
        </w:rPr>
      </w:pPr>
      <w:bookmarkStart w:id="38" w:name="_Toc24059"/>
      <w:bookmarkStart w:id="39" w:name="_Toc3029"/>
      <w:bookmarkStart w:id="40" w:name="_Toc2232"/>
      <w:r>
        <w:rPr>
          <w:rFonts w:hint="eastAsia" w:ascii="宋体" w:hAnsi="宋体" w:cs="宋体"/>
          <w:b/>
          <w:sz w:val="24"/>
          <w:highlight w:val="none"/>
        </w:rPr>
        <w:t>1.1 合同组成部分</w:t>
      </w:r>
      <w:bookmarkEnd w:id="38"/>
      <w:bookmarkEnd w:id="39"/>
      <w:bookmarkEnd w:id="40"/>
    </w:p>
    <w:p w14:paraId="71C3882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下列文件为本合同的组成部分，并构成一个整体，需综合解释、相互补充。如果下列文件内容出现不一致的情形，在保证按照采购文件确定的事项的前提下，组成本合同的多个文件的优先适用顺序如下：</w:t>
      </w:r>
    </w:p>
    <w:p w14:paraId="754C336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1.1.1 本合同及其补充合同、变更协议；</w:t>
      </w:r>
    </w:p>
    <w:p w14:paraId="075E2AB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1.1.2 成交通知书；</w:t>
      </w:r>
    </w:p>
    <w:p w14:paraId="4299EFB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1.1.3 采购文件及“响应报价”（含澄清或者说明文件）；</w:t>
      </w:r>
    </w:p>
    <w:p w14:paraId="268E50F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1.1.4 采购文件（含澄清或者修改文件）；</w:t>
      </w:r>
    </w:p>
    <w:p w14:paraId="3CC5F05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1.1.5 其他相关采购文件。</w:t>
      </w:r>
    </w:p>
    <w:p w14:paraId="10A34D06">
      <w:pPr>
        <w:spacing w:line="360" w:lineRule="auto"/>
        <w:ind w:firstLine="482" w:firstLineChars="200"/>
        <w:rPr>
          <w:rFonts w:hint="eastAsia" w:ascii="宋体" w:hAnsi="宋体" w:cs="宋体"/>
          <w:b/>
          <w:sz w:val="24"/>
          <w:highlight w:val="none"/>
        </w:rPr>
      </w:pPr>
      <w:bookmarkStart w:id="41" w:name="_Toc21295"/>
      <w:bookmarkStart w:id="42" w:name="_Toc24300"/>
      <w:bookmarkStart w:id="43" w:name="_Toc27126"/>
      <w:r>
        <w:rPr>
          <w:rFonts w:hint="eastAsia" w:ascii="宋体" w:hAnsi="宋体" w:cs="宋体"/>
          <w:b/>
          <w:sz w:val="24"/>
          <w:highlight w:val="none"/>
        </w:rPr>
        <w:t>1.2 标的物</w:t>
      </w:r>
      <w:bookmarkEnd w:id="41"/>
      <w:bookmarkEnd w:id="42"/>
      <w:bookmarkEnd w:id="43"/>
    </w:p>
    <w:p w14:paraId="63CE90D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1.2.1 标的物1信息</w:t>
      </w:r>
    </w:p>
    <w:p w14:paraId="06980BD0">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1.2.1.1名称：</w:t>
      </w:r>
      <w:r>
        <w:rPr>
          <w:rFonts w:hint="eastAsia" w:ascii="宋体" w:hAnsi="宋体" w:cs="宋体"/>
          <w:sz w:val="24"/>
          <w:highlight w:val="none"/>
          <w:u w:val="single"/>
        </w:rPr>
        <w:t xml:space="preserve">                                        </w:t>
      </w:r>
      <w:r>
        <w:rPr>
          <w:rFonts w:hint="eastAsia" w:ascii="宋体" w:hAnsi="宋体" w:cs="宋体"/>
          <w:sz w:val="24"/>
          <w:highlight w:val="none"/>
        </w:rPr>
        <w:t>；</w:t>
      </w:r>
    </w:p>
    <w:p w14:paraId="1209CD68">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1.2.1.2数量：</w:t>
      </w:r>
      <w:r>
        <w:rPr>
          <w:rFonts w:hint="eastAsia" w:ascii="宋体" w:hAnsi="宋体" w:cs="宋体"/>
          <w:sz w:val="24"/>
          <w:highlight w:val="none"/>
          <w:u w:val="single"/>
        </w:rPr>
        <w:t xml:space="preserve">                                        </w:t>
      </w:r>
      <w:r>
        <w:rPr>
          <w:rFonts w:hint="eastAsia" w:ascii="宋体" w:hAnsi="宋体" w:cs="宋体"/>
          <w:sz w:val="24"/>
          <w:highlight w:val="none"/>
        </w:rPr>
        <w:t>；</w:t>
      </w:r>
    </w:p>
    <w:p w14:paraId="1D19D40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1.2.1.3质量：</w:t>
      </w:r>
      <w:r>
        <w:rPr>
          <w:rFonts w:hint="eastAsia" w:ascii="宋体" w:hAnsi="宋体" w:cs="宋体"/>
          <w:sz w:val="24"/>
          <w:highlight w:val="none"/>
          <w:u w:val="single"/>
        </w:rPr>
        <w:t xml:space="preserve">　                                      </w:t>
      </w:r>
      <w:r>
        <w:rPr>
          <w:rFonts w:hint="eastAsia" w:ascii="宋体" w:hAnsi="宋体" w:cs="宋体"/>
          <w:sz w:val="24"/>
          <w:highlight w:val="none"/>
        </w:rPr>
        <w:t>。</w:t>
      </w:r>
    </w:p>
    <w:p w14:paraId="02E7710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w:t>
      </w:r>
    </w:p>
    <w:p w14:paraId="03E6D4C9">
      <w:pPr>
        <w:spacing w:line="360" w:lineRule="auto"/>
        <w:ind w:firstLine="482" w:firstLineChars="200"/>
        <w:rPr>
          <w:rFonts w:hint="eastAsia" w:ascii="宋体" w:hAnsi="宋体" w:cs="宋体"/>
          <w:b/>
          <w:sz w:val="24"/>
          <w:highlight w:val="none"/>
        </w:rPr>
      </w:pPr>
      <w:bookmarkStart w:id="44" w:name="_Toc21631"/>
      <w:bookmarkStart w:id="45" w:name="_Toc23292"/>
      <w:bookmarkStart w:id="46" w:name="_Toc21551"/>
      <w:r>
        <w:rPr>
          <w:rFonts w:hint="eastAsia" w:ascii="宋体" w:hAnsi="宋体" w:cs="宋体"/>
          <w:b/>
          <w:sz w:val="24"/>
          <w:highlight w:val="none"/>
        </w:rPr>
        <w:t>1.3 价款</w:t>
      </w:r>
      <w:bookmarkEnd w:id="44"/>
      <w:bookmarkEnd w:id="45"/>
      <w:bookmarkEnd w:id="46"/>
    </w:p>
    <w:p w14:paraId="497DD6F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本合同总价为：人民币</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元人民币，含税）。</w:t>
      </w:r>
    </w:p>
    <w:p w14:paraId="7BABEE06">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分项价格：</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0976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0DD7513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序号</w:t>
            </w:r>
          </w:p>
        </w:tc>
        <w:tc>
          <w:tcPr>
            <w:tcW w:w="3402" w:type="dxa"/>
            <w:vAlign w:val="center"/>
          </w:tcPr>
          <w:p w14:paraId="1853A0B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分项名称</w:t>
            </w:r>
          </w:p>
        </w:tc>
        <w:tc>
          <w:tcPr>
            <w:tcW w:w="2552" w:type="dxa"/>
            <w:vAlign w:val="center"/>
          </w:tcPr>
          <w:p w14:paraId="5B488DD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分项价格</w:t>
            </w:r>
          </w:p>
        </w:tc>
      </w:tr>
      <w:tr w14:paraId="1B26D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2B8D6F22">
            <w:pPr>
              <w:spacing w:line="360" w:lineRule="auto"/>
              <w:ind w:firstLine="480" w:firstLineChars="200"/>
              <w:rPr>
                <w:rFonts w:hint="eastAsia" w:ascii="宋体" w:hAnsi="宋体" w:cs="宋体"/>
                <w:sz w:val="24"/>
                <w:highlight w:val="none"/>
              </w:rPr>
            </w:pPr>
          </w:p>
        </w:tc>
        <w:tc>
          <w:tcPr>
            <w:tcW w:w="3402" w:type="dxa"/>
            <w:vAlign w:val="center"/>
          </w:tcPr>
          <w:p w14:paraId="6BED3168">
            <w:pPr>
              <w:spacing w:line="360" w:lineRule="auto"/>
              <w:ind w:firstLine="480" w:firstLineChars="200"/>
              <w:rPr>
                <w:rFonts w:hint="eastAsia" w:ascii="宋体" w:hAnsi="宋体" w:cs="宋体"/>
                <w:sz w:val="24"/>
                <w:highlight w:val="none"/>
              </w:rPr>
            </w:pPr>
          </w:p>
        </w:tc>
        <w:tc>
          <w:tcPr>
            <w:tcW w:w="2552" w:type="dxa"/>
            <w:vAlign w:val="center"/>
          </w:tcPr>
          <w:p w14:paraId="058D5C9E">
            <w:pPr>
              <w:spacing w:line="360" w:lineRule="auto"/>
              <w:ind w:firstLine="480" w:firstLineChars="200"/>
              <w:rPr>
                <w:rFonts w:hint="eastAsia" w:ascii="宋体" w:hAnsi="宋体" w:cs="宋体"/>
                <w:sz w:val="24"/>
                <w:highlight w:val="none"/>
              </w:rPr>
            </w:pPr>
          </w:p>
        </w:tc>
      </w:tr>
      <w:tr w14:paraId="1C87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3C93E7C5">
            <w:pPr>
              <w:spacing w:line="360" w:lineRule="auto"/>
              <w:ind w:firstLine="480" w:firstLineChars="200"/>
              <w:rPr>
                <w:rFonts w:hint="eastAsia" w:ascii="宋体" w:hAnsi="宋体" w:cs="宋体"/>
                <w:sz w:val="24"/>
                <w:highlight w:val="none"/>
              </w:rPr>
            </w:pPr>
          </w:p>
        </w:tc>
        <w:tc>
          <w:tcPr>
            <w:tcW w:w="3402" w:type="dxa"/>
            <w:vAlign w:val="center"/>
          </w:tcPr>
          <w:p w14:paraId="112F3D12">
            <w:pPr>
              <w:spacing w:line="360" w:lineRule="auto"/>
              <w:ind w:firstLine="480" w:firstLineChars="200"/>
              <w:rPr>
                <w:rFonts w:hint="eastAsia" w:ascii="宋体" w:hAnsi="宋体" w:cs="宋体"/>
                <w:sz w:val="24"/>
                <w:highlight w:val="none"/>
              </w:rPr>
            </w:pPr>
          </w:p>
        </w:tc>
        <w:tc>
          <w:tcPr>
            <w:tcW w:w="2552" w:type="dxa"/>
            <w:vAlign w:val="center"/>
          </w:tcPr>
          <w:p w14:paraId="5C46A079">
            <w:pPr>
              <w:spacing w:line="360" w:lineRule="auto"/>
              <w:ind w:firstLine="480" w:firstLineChars="200"/>
              <w:rPr>
                <w:rFonts w:hint="eastAsia" w:ascii="宋体" w:hAnsi="宋体" w:cs="宋体"/>
                <w:sz w:val="24"/>
                <w:highlight w:val="none"/>
              </w:rPr>
            </w:pPr>
          </w:p>
        </w:tc>
      </w:tr>
      <w:tr w14:paraId="3980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06E32B8B">
            <w:pPr>
              <w:spacing w:line="360" w:lineRule="auto"/>
              <w:ind w:firstLine="480" w:firstLineChars="200"/>
              <w:rPr>
                <w:rFonts w:hint="eastAsia" w:ascii="宋体" w:hAnsi="宋体" w:cs="宋体"/>
                <w:sz w:val="24"/>
                <w:highlight w:val="none"/>
              </w:rPr>
            </w:pPr>
          </w:p>
        </w:tc>
        <w:tc>
          <w:tcPr>
            <w:tcW w:w="3402" w:type="dxa"/>
            <w:vAlign w:val="center"/>
          </w:tcPr>
          <w:p w14:paraId="540A25EC">
            <w:pPr>
              <w:spacing w:line="360" w:lineRule="auto"/>
              <w:ind w:firstLine="480" w:firstLineChars="200"/>
              <w:rPr>
                <w:rFonts w:hint="eastAsia" w:ascii="宋体" w:hAnsi="宋体" w:cs="宋体"/>
                <w:sz w:val="24"/>
                <w:highlight w:val="none"/>
              </w:rPr>
            </w:pPr>
          </w:p>
        </w:tc>
        <w:tc>
          <w:tcPr>
            <w:tcW w:w="2552" w:type="dxa"/>
            <w:vAlign w:val="center"/>
          </w:tcPr>
          <w:p w14:paraId="245DB1F1">
            <w:pPr>
              <w:spacing w:line="360" w:lineRule="auto"/>
              <w:ind w:firstLine="480" w:firstLineChars="200"/>
              <w:rPr>
                <w:rFonts w:hint="eastAsia" w:ascii="宋体" w:hAnsi="宋体" w:cs="宋体"/>
                <w:sz w:val="24"/>
                <w:highlight w:val="none"/>
              </w:rPr>
            </w:pPr>
          </w:p>
        </w:tc>
      </w:tr>
      <w:tr w14:paraId="60073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05E123A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总价</w:t>
            </w:r>
          </w:p>
        </w:tc>
        <w:tc>
          <w:tcPr>
            <w:tcW w:w="2552" w:type="dxa"/>
            <w:vAlign w:val="center"/>
          </w:tcPr>
          <w:p w14:paraId="292087D2">
            <w:pPr>
              <w:spacing w:line="360" w:lineRule="auto"/>
              <w:ind w:firstLine="480" w:firstLineChars="200"/>
              <w:rPr>
                <w:rFonts w:hint="eastAsia" w:ascii="宋体" w:hAnsi="宋体" w:cs="宋体"/>
                <w:sz w:val="24"/>
                <w:highlight w:val="none"/>
              </w:rPr>
            </w:pPr>
          </w:p>
        </w:tc>
      </w:tr>
    </w:tbl>
    <w:p w14:paraId="10B5A467">
      <w:pPr>
        <w:spacing w:line="360" w:lineRule="auto"/>
        <w:ind w:firstLine="482" w:firstLineChars="200"/>
        <w:rPr>
          <w:rFonts w:hint="eastAsia" w:ascii="宋体" w:hAnsi="宋体" w:cs="宋体"/>
          <w:b/>
          <w:sz w:val="24"/>
          <w:highlight w:val="none"/>
        </w:rPr>
      </w:pPr>
      <w:bookmarkStart w:id="47" w:name="_Toc10340"/>
      <w:bookmarkStart w:id="48" w:name="_Toc22618"/>
      <w:bookmarkStart w:id="49" w:name="_Toc1814"/>
      <w:r>
        <w:rPr>
          <w:rFonts w:hint="eastAsia" w:ascii="宋体" w:hAnsi="宋体" w:cs="宋体"/>
          <w:b/>
          <w:sz w:val="24"/>
          <w:highlight w:val="none"/>
        </w:rPr>
        <w:t>1.4 付款方式和发票开具方式</w:t>
      </w:r>
      <w:bookmarkEnd w:id="47"/>
      <w:bookmarkEnd w:id="48"/>
      <w:bookmarkEnd w:id="49"/>
    </w:p>
    <w:p w14:paraId="2370C1E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1.4.1 付款方式：</w:t>
      </w:r>
      <w:r>
        <w:rPr>
          <w:rFonts w:hint="eastAsia" w:ascii="宋体" w:hAnsi="宋体" w:cs="宋体"/>
          <w:sz w:val="24"/>
          <w:highlight w:val="none"/>
          <w:u w:val="single"/>
        </w:rPr>
        <w:t xml:space="preserve">                                          </w:t>
      </w:r>
      <w:r>
        <w:rPr>
          <w:rFonts w:hint="eastAsia" w:ascii="宋体" w:hAnsi="宋体" w:cs="宋体"/>
          <w:sz w:val="24"/>
          <w:highlight w:val="none"/>
        </w:rPr>
        <w:t>；</w:t>
      </w:r>
    </w:p>
    <w:p w14:paraId="37CBCDD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1.4.2 发票开具方式：</w:t>
      </w:r>
      <w:r>
        <w:rPr>
          <w:rFonts w:hint="eastAsia" w:ascii="宋体" w:hAnsi="宋体" w:cs="宋体"/>
          <w:sz w:val="24"/>
          <w:highlight w:val="none"/>
          <w:u w:val="single"/>
        </w:rPr>
        <w:t xml:space="preserve">                                            </w:t>
      </w:r>
      <w:r>
        <w:rPr>
          <w:rFonts w:hint="eastAsia" w:ascii="宋体" w:hAnsi="宋体" w:cs="宋体"/>
          <w:sz w:val="24"/>
          <w:highlight w:val="none"/>
        </w:rPr>
        <w:t>。</w:t>
      </w:r>
    </w:p>
    <w:p w14:paraId="20A5059B">
      <w:pPr>
        <w:spacing w:line="360" w:lineRule="auto"/>
        <w:ind w:firstLine="482" w:firstLineChars="200"/>
        <w:rPr>
          <w:rFonts w:hint="eastAsia" w:ascii="宋体" w:hAnsi="宋体" w:cs="宋体"/>
          <w:b/>
          <w:sz w:val="24"/>
          <w:highlight w:val="none"/>
        </w:rPr>
      </w:pPr>
      <w:bookmarkStart w:id="50" w:name="_Toc32071"/>
      <w:bookmarkStart w:id="51" w:name="_Toc19304"/>
      <w:bookmarkStart w:id="52" w:name="_Toc2846"/>
      <w:r>
        <w:rPr>
          <w:rFonts w:hint="eastAsia" w:ascii="宋体" w:hAnsi="宋体" w:cs="宋体"/>
          <w:b/>
          <w:sz w:val="24"/>
          <w:highlight w:val="none"/>
        </w:rPr>
        <w:t>1.5 标的物交付期限、地点、方式</w:t>
      </w:r>
      <w:bookmarkEnd w:id="50"/>
      <w:bookmarkEnd w:id="51"/>
      <w:bookmarkEnd w:id="52"/>
      <w:r>
        <w:rPr>
          <w:rFonts w:hint="eastAsia" w:ascii="宋体" w:hAnsi="宋体" w:cs="宋体"/>
          <w:b/>
          <w:sz w:val="24"/>
          <w:highlight w:val="none"/>
        </w:rPr>
        <w:t>和服务期限</w:t>
      </w:r>
    </w:p>
    <w:p w14:paraId="75D4C3E0">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1.5.1 交付期限：</w:t>
      </w:r>
      <w:r>
        <w:rPr>
          <w:rFonts w:hint="eastAsia" w:ascii="宋体" w:hAnsi="宋体" w:cs="宋体"/>
          <w:sz w:val="24"/>
          <w:highlight w:val="none"/>
          <w:u w:val="single"/>
        </w:rPr>
        <w:t xml:space="preserve">                                                 ；</w:t>
      </w:r>
    </w:p>
    <w:p w14:paraId="7E6B6DE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1.5.2 交付地点：</w:t>
      </w:r>
      <w:r>
        <w:rPr>
          <w:rFonts w:hint="eastAsia" w:ascii="宋体" w:hAnsi="宋体" w:cs="宋体"/>
          <w:sz w:val="24"/>
          <w:highlight w:val="none"/>
          <w:u w:val="single"/>
        </w:rPr>
        <w:t xml:space="preserve">                                                </w:t>
      </w:r>
      <w:r>
        <w:rPr>
          <w:rFonts w:hint="eastAsia" w:ascii="宋体" w:hAnsi="宋体" w:cs="宋体"/>
          <w:sz w:val="24"/>
          <w:highlight w:val="none"/>
        </w:rPr>
        <w:t>；</w:t>
      </w:r>
    </w:p>
    <w:p w14:paraId="7A63DE6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1.5.3 交付方式：</w:t>
      </w:r>
      <w:r>
        <w:rPr>
          <w:rFonts w:hint="eastAsia" w:ascii="宋体" w:hAnsi="宋体" w:cs="宋体"/>
          <w:sz w:val="24"/>
          <w:highlight w:val="none"/>
          <w:u w:val="single"/>
        </w:rPr>
        <w:t xml:space="preserve">                                        　      </w:t>
      </w:r>
      <w:r>
        <w:rPr>
          <w:rFonts w:hint="eastAsia" w:ascii="宋体" w:hAnsi="宋体" w:cs="宋体"/>
          <w:sz w:val="24"/>
          <w:highlight w:val="none"/>
        </w:rPr>
        <w:t>；</w:t>
      </w:r>
    </w:p>
    <w:p w14:paraId="64580B2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1.5.4 服务及质保期限：</w:t>
      </w:r>
      <w:r>
        <w:rPr>
          <w:rFonts w:hint="eastAsia" w:ascii="宋体" w:hAnsi="宋体" w:cs="宋体"/>
          <w:sz w:val="24"/>
          <w:highlight w:val="none"/>
          <w:u w:val="single"/>
        </w:rPr>
        <w:t xml:space="preserve">                                           </w:t>
      </w:r>
      <w:r>
        <w:rPr>
          <w:rFonts w:hint="eastAsia" w:ascii="宋体" w:hAnsi="宋体" w:cs="宋体"/>
          <w:sz w:val="24"/>
          <w:highlight w:val="none"/>
        </w:rPr>
        <w:t>。</w:t>
      </w:r>
    </w:p>
    <w:p w14:paraId="20AFD89E">
      <w:pPr>
        <w:spacing w:line="360" w:lineRule="auto"/>
        <w:ind w:firstLine="482" w:firstLineChars="200"/>
        <w:rPr>
          <w:rFonts w:hint="eastAsia" w:ascii="宋体" w:hAnsi="宋体" w:cs="宋体"/>
          <w:b/>
          <w:sz w:val="24"/>
          <w:highlight w:val="none"/>
        </w:rPr>
      </w:pPr>
      <w:bookmarkStart w:id="53" w:name="_Toc19554"/>
      <w:bookmarkStart w:id="54" w:name="_Toc27250"/>
      <w:bookmarkStart w:id="55" w:name="_Toc21423"/>
      <w:r>
        <w:rPr>
          <w:rFonts w:hint="eastAsia" w:ascii="宋体" w:hAnsi="宋体" w:cs="宋体"/>
          <w:b/>
          <w:sz w:val="24"/>
          <w:highlight w:val="none"/>
        </w:rPr>
        <w:t>1.6 违约责任</w:t>
      </w:r>
      <w:bookmarkEnd w:id="53"/>
      <w:bookmarkEnd w:id="54"/>
      <w:bookmarkEnd w:id="55"/>
    </w:p>
    <w:p w14:paraId="1515E0E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1.6.1 除不可抗力外，如果乙方没有按照本合同约定的期限、地点和方式交付标的物，甲方可要求乙方支付违约金，违约金按每迟延交付标的物一日的应交付而未交付标的物价格的</w:t>
      </w:r>
      <w:r>
        <w:rPr>
          <w:rFonts w:hint="eastAsia" w:ascii="宋体" w:hAnsi="宋体" w:cs="宋体"/>
          <w:sz w:val="24"/>
          <w:highlight w:val="none"/>
          <w:u w:val="single"/>
        </w:rPr>
        <w:t xml:space="preserve">    </w:t>
      </w:r>
      <w:r>
        <w:rPr>
          <w:rFonts w:hint="eastAsia" w:ascii="宋体" w:hAnsi="宋体" w:cs="宋体"/>
          <w:sz w:val="24"/>
          <w:highlight w:val="none"/>
        </w:rPr>
        <w:t>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%；迟延超过【  】日的，甲方有权在要求乙方支付违约金的同时，书面通知乙方解除本合同，乙方应退回全部已收取的合同价款并按合同总金额的</w:t>
      </w:r>
      <w:r>
        <w:rPr>
          <w:rFonts w:hint="eastAsia" w:ascii="宋体" w:hAnsi="宋体" w:cs="宋体"/>
          <w:sz w:val="24"/>
          <w:highlight w:val="none"/>
          <w:u w:val="single"/>
        </w:rPr>
        <w:t xml:space="preserve">     </w:t>
      </w:r>
      <w:r>
        <w:rPr>
          <w:rFonts w:hint="eastAsia" w:ascii="宋体" w:hAnsi="宋体" w:cs="宋体"/>
          <w:sz w:val="24"/>
          <w:highlight w:val="none"/>
        </w:rPr>
        <w:t>%向甲方支付违约金；</w:t>
      </w:r>
    </w:p>
    <w:p w14:paraId="03616D3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1.6.2 除不可抗力外，如果甲方没有按照本合同约定的付款方式付款，乙方可要求甲方支付违约金，违约金按每迟延付款一日的应付而未付款的</w:t>
      </w:r>
      <w:r>
        <w:rPr>
          <w:rFonts w:hint="eastAsia" w:ascii="宋体" w:hAnsi="宋体" w:cs="宋体"/>
          <w:sz w:val="24"/>
          <w:highlight w:val="none"/>
          <w:u w:val="single"/>
        </w:rPr>
        <w:t>万分之五</w:t>
      </w:r>
      <w:r>
        <w:rPr>
          <w:rFonts w:hint="eastAsia" w:ascii="宋体" w:hAnsi="宋体" w:cs="宋体"/>
          <w:sz w:val="24"/>
          <w:highlight w:val="none"/>
        </w:rPr>
        <w:t>计算，最高限额为欠付金额的</w:t>
      </w:r>
      <w:r>
        <w:rPr>
          <w:rFonts w:hint="eastAsia" w:ascii="宋体" w:hAnsi="宋体" w:cs="宋体"/>
          <w:sz w:val="24"/>
          <w:highlight w:val="none"/>
          <w:u w:val="single"/>
        </w:rPr>
        <w:t xml:space="preserve">      </w:t>
      </w:r>
      <w:r>
        <w:rPr>
          <w:rFonts w:hint="eastAsia" w:ascii="宋体" w:hAnsi="宋体" w:cs="宋体"/>
          <w:sz w:val="24"/>
          <w:highlight w:val="none"/>
        </w:rPr>
        <w:t>%；迟延付款的违约金计算数额达到前述最高限额之日起，乙方有权在要求甲方支付违约金的同时，书面通知甲方解除本合同；</w:t>
      </w:r>
    </w:p>
    <w:p w14:paraId="4BA7770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28EFDAB">
      <w:pPr>
        <w:spacing w:line="360" w:lineRule="auto"/>
        <w:ind w:left="239" w:leftChars="114" w:firstLine="240" w:firstLineChars="100"/>
        <w:rPr>
          <w:rFonts w:hint="eastAsia" w:ascii="宋体" w:hAnsi="宋体" w:cs="宋体"/>
          <w:sz w:val="24"/>
          <w:highlight w:val="none"/>
        </w:rPr>
      </w:pPr>
      <w:r>
        <w:rPr>
          <w:rFonts w:hint="eastAsia" w:ascii="宋体" w:hAnsi="宋体" w:cs="宋体"/>
          <w:sz w:val="24"/>
          <w:highlight w:val="none"/>
        </w:rPr>
        <w:t>1.6.4乙方在质保期内未按承诺提供售后等服务的，每发生一次向甲方支付</w:t>
      </w:r>
      <w:r>
        <w:rPr>
          <w:rFonts w:hint="eastAsia" w:ascii="宋体" w:hAnsi="宋体" w:cs="宋体"/>
          <w:sz w:val="24"/>
          <w:highlight w:val="none"/>
          <w:u w:val="single"/>
        </w:rPr>
        <w:t xml:space="preserve">  </w:t>
      </w:r>
      <w:r>
        <w:rPr>
          <w:rFonts w:hint="eastAsia" w:ascii="宋体" w:hAnsi="宋体" w:cs="宋体"/>
          <w:sz w:val="24"/>
          <w:highlight w:val="none"/>
        </w:rPr>
        <w:t>元的违约金。</w:t>
      </w:r>
    </w:p>
    <w:p w14:paraId="72A6820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1.6.5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8D8338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93D467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5EC51247">
      <w:pPr>
        <w:spacing w:line="360" w:lineRule="auto"/>
        <w:ind w:firstLine="482" w:firstLineChars="200"/>
        <w:rPr>
          <w:rFonts w:hint="eastAsia" w:ascii="宋体" w:hAnsi="宋体" w:cs="宋体"/>
          <w:b/>
          <w:sz w:val="24"/>
          <w:highlight w:val="none"/>
        </w:rPr>
      </w:pPr>
      <w:bookmarkStart w:id="56" w:name="_Toc15583"/>
      <w:bookmarkStart w:id="57" w:name="_Toc28375"/>
      <w:bookmarkStart w:id="58" w:name="_Toc16021"/>
      <w:r>
        <w:rPr>
          <w:rFonts w:hint="eastAsia" w:ascii="宋体" w:hAnsi="宋体" w:cs="宋体"/>
          <w:b/>
          <w:sz w:val="24"/>
          <w:highlight w:val="none"/>
        </w:rPr>
        <w:t>1.7 合同争议的解决</w:t>
      </w:r>
      <w:bookmarkEnd w:id="56"/>
      <w:bookmarkEnd w:id="57"/>
      <w:bookmarkEnd w:id="58"/>
    </w:p>
    <w:p w14:paraId="495B1FD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本合同履行过程中发生的任何争议，双方当事人均可通过和解或者调解解决；不愿和解、调解或者和解、调解不成的，可以选择下列第</w:t>
      </w:r>
      <w:r>
        <w:rPr>
          <w:rFonts w:hint="eastAsia" w:ascii="宋体" w:hAnsi="宋体" w:cs="宋体"/>
          <w:sz w:val="24"/>
          <w:highlight w:val="none"/>
          <w:u w:val="single"/>
        </w:rPr>
        <w:t xml:space="preserve">     </w:t>
      </w:r>
      <w:r>
        <w:rPr>
          <w:rFonts w:hint="eastAsia" w:ascii="宋体" w:hAnsi="宋体" w:cs="宋体"/>
          <w:sz w:val="24"/>
          <w:highlight w:val="none"/>
        </w:rPr>
        <w:t>种方式解决：</w:t>
      </w:r>
    </w:p>
    <w:p w14:paraId="47E119C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1.7.1 将争议提交</w:t>
      </w:r>
      <w:r>
        <w:rPr>
          <w:rFonts w:hint="eastAsia" w:ascii="宋体" w:hAnsi="宋体" w:cs="宋体"/>
          <w:sz w:val="24"/>
          <w:highlight w:val="none"/>
          <w:u w:val="single"/>
        </w:rPr>
        <w:t>当地</w:t>
      </w:r>
      <w:r>
        <w:rPr>
          <w:rFonts w:hint="eastAsia" w:ascii="宋体" w:hAnsi="宋体" w:cs="宋体"/>
          <w:sz w:val="24"/>
          <w:highlight w:val="none"/>
        </w:rPr>
        <w:t>仲裁委员会依申请仲裁时其现行有效的仲裁规则裁决；</w:t>
      </w:r>
    </w:p>
    <w:p w14:paraId="21A5BFC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1.7.2 向</w:t>
      </w:r>
      <w:r>
        <w:rPr>
          <w:rFonts w:hint="eastAsia" w:ascii="宋体" w:hAnsi="宋体" w:cs="宋体"/>
          <w:sz w:val="24"/>
          <w:highlight w:val="none"/>
          <w:u w:val="single"/>
        </w:rPr>
        <w:t xml:space="preserve">   甲方所在地    </w:t>
      </w:r>
      <w:r>
        <w:rPr>
          <w:rFonts w:hint="eastAsia" w:ascii="宋体" w:hAnsi="宋体" w:cs="宋体"/>
          <w:sz w:val="24"/>
          <w:highlight w:val="none"/>
        </w:rPr>
        <w:t>人民法院起诉。</w:t>
      </w:r>
    </w:p>
    <w:p w14:paraId="6EBA2341">
      <w:pPr>
        <w:spacing w:line="360" w:lineRule="auto"/>
        <w:ind w:firstLine="482" w:firstLineChars="200"/>
        <w:rPr>
          <w:rFonts w:hint="eastAsia" w:ascii="宋体" w:hAnsi="宋体" w:cs="宋体"/>
          <w:b/>
          <w:sz w:val="24"/>
          <w:highlight w:val="none"/>
        </w:rPr>
      </w:pPr>
      <w:bookmarkStart w:id="59" w:name="_Toc11173"/>
      <w:bookmarkStart w:id="60" w:name="_Toc7245"/>
      <w:bookmarkStart w:id="61" w:name="_Toc15322"/>
      <w:r>
        <w:rPr>
          <w:rFonts w:hint="eastAsia" w:ascii="宋体" w:hAnsi="宋体" w:cs="宋体"/>
          <w:b/>
          <w:sz w:val="24"/>
          <w:highlight w:val="none"/>
        </w:rPr>
        <w:t>1.8 合同生效</w:t>
      </w:r>
      <w:bookmarkEnd w:id="59"/>
      <w:bookmarkEnd w:id="60"/>
      <w:bookmarkEnd w:id="61"/>
    </w:p>
    <w:p w14:paraId="75E77423">
      <w:pPr>
        <w:spacing w:line="360" w:lineRule="auto"/>
        <w:ind w:firstLine="480" w:firstLineChars="200"/>
        <w:rPr>
          <w:rFonts w:hint="eastAsia" w:ascii="宋体" w:hAnsi="宋体" w:cs="宋体"/>
          <w:b/>
          <w:sz w:val="24"/>
          <w:highlight w:val="none"/>
        </w:rPr>
      </w:pPr>
      <w:r>
        <w:rPr>
          <w:rFonts w:hint="eastAsia" w:ascii="宋体" w:hAnsi="宋体" w:cs="宋体"/>
          <w:sz w:val="24"/>
          <w:highlight w:val="none"/>
        </w:rPr>
        <w:t>本合同自双方当事人加盖有效电子公章时生效。</w:t>
      </w:r>
    </w:p>
    <w:p w14:paraId="4B5F68E9">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甲方：                                   乙方：</w:t>
      </w:r>
    </w:p>
    <w:p w14:paraId="264898C6">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统一社会信用代码：                        统一社会信用代码或身份证号码：</w:t>
      </w:r>
    </w:p>
    <w:p w14:paraId="4A19AD82">
      <w:pPr>
        <w:spacing w:line="360" w:lineRule="auto"/>
        <w:ind w:firstLine="200"/>
        <w:rPr>
          <w:rFonts w:hint="eastAsia" w:ascii="宋体" w:hAnsi="宋体" w:cs="宋体"/>
          <w:sz w:val="24"/>
          <w:highlight w:val="none"/>
          <w:lang w:val="zh-CN"/>
        </w:rPr>
      </w:pPr>
    </w:p>
    <w:p w14:paraId="56223C4D">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住所：                                   住所：</w:t>
      </w:r>
    </w:p>
    <w:p w14:paraId="7A703B46">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法定代表人或                             法定代表人</w:t>
      </w:r>
    </w:p>
    <w:p w14:paraId="3E9EDC73">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 xml:space="preserve">授权代表（签字或盖章）：                 或授权代表（签字或盖章）: </w:t>
      </w:r>
    </w:p>
    <w:p w14:paraId="6F7BF088">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联系人：                                 联系人：</w:t>
      </w:r>
    </w:p>
    <w:p w14:paraId="00C77990">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约定送达地址：                           约定送达地址：</w:t>
      </w:r>
    </w:p>
    <w:p w14:paraId="7F8F2901">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邮政编码：                               邮政编码：</w:t>
      </w:r>
    </w:p>
    <w:p w14:paraId="32250533">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 xml:space="preserve">电话:                                    电话: </w:t>
      </w:r>
    </w:p>
    <w:p w14:paraId="514541E1">
      <w:pPr>
        <w:spacing w:line="360" w:lineRule="auto"/>
        <w:ind w:firstLine="200"/>
        <w:rPr>
          <w:rFonts w:hint="eastAsia" w:ascii="宋体" w:hAnsi="宋体" w:cs="宋体"/>
          <w:sz w:val="24"/>
          <w:highlight w:val="none"/>
          <w:lang w:val="zh-CN"/>
        </w:rPr>
      </w:pPr>
      <w:r>
        <w:rPr>
          <w:rFonts w:hint="eastAsia" w:ascii="宋体" w:hAnsi="宋体" w:cs="宋体"/>
          <w:sz w:val="24"/>
          <w:highlight w:val="none"/>
          <w:lang w:val="zh-CN"/>
        </w:rPr>
        <w:t>传真:                                    传真:</w:t>
      </w:r>
    </w:p>
    <w:p w14:paraId="68FD3219">
      <w:pPr>
        <w:spacing w:line="360" w:lineRule="auto"/>
        <w:ind w:firstLine="200"/>
        <w:rPr>
          <w:rFonts w:hint="eastAsia" w:ascii="宋体" w:hAnsi="宋体" w:cs="宋体"/>
          <w:sz w:val="24"/>
          <w:highlight w:val="none"/>
        </w:rPr>
      </w:pPr>
      <w:r>
        <w:rPr>
          <w:rFonts w:hint="eastAsia" w:ascii="宋体" w:hAnsi="宋体" w:cs="宋体"/>
          <w:sz w:val="24"/>
          <w:highlight w:val="none"/>
          <w:lang w:val="zh-CN"/>
        </w:rPr>
        <w:t>电子邮箱：                               电子邮箱：</w:t>
      </w:r>
    </w:p>
    <w:p w14:paraId="5477CF5C">
      <w:pPr>
        <w:spacing w:line="360" w:lineRule="auto"/>
        <w:ind w:firstLine="200"/>
        <w:rPr>
          <w:rFonts w:hint="eastAsia" w:ascii="宋体" w:hAnsi="宋体" w:cs="宋体"/>
          <w:sz w:val="24"/>
          <w:highlight w:val="none"/>
        </w:rPr>
      </w:pPr>
      <w:r>
        <w:rPr>
          <w:rFonts w:hint="eastAsia" w:ascii="宋体" w:hAnsi="宋体" w:cs="宋体"/>
          <w:sz w:val="24"/>
          <w:highlight w:val="none"/>
        </w:rPr>
        <w:t xml:space="preserve">开户银行：                               开户银行： </w:t>
      </w:r>
    </w:p>
    <w:p w14:paraId="135AD3F1">
      <w:pPr>
        <w:spacing w:line="360" w:lineRule="auto"/>
        <w:ind w:firstLine="200"/>
        <w:rPr>
          <w:rFonts w:hint="eastAsia" w:ascii="宋体" w:hAnsi="宋体" w:cs="宋体"/>
          <w:sz w:val="24"/>
          <w:highlight w:val="none"/>
        </w:rPr>
      </w:pPr>
      <w:r>
        <w:rPr>
          <w:rFonts w:hint="eastAsia" w:ascii="宋体" w:hAnsi="宋体" w:cs="宋体"/>
          <w:sz w:val="24"/>
          <w:highlight w:val="none"/>
        </w:rPr>
        <w:t xml:space="preserve">开户名称：                               开户名称： </w:t>
      </w:r>
    </w:p>
    <w:p w14:paraId="1E817E06">
      <w:pPr>
        <w:spacing w:line="360" w:lineRule="auto"/>
        <w:ind w:firstLine="200"/>
        <w:rPr>
          <w:rFonts w:hint="eastAsia" w:ascii="宋体" w:hAnsi="宋体" w:cs="宋体"/>
          <w:sz w:val="24"/>
          <w:highlight w:val="none"/>
        </w:rPr>
      </w:pPr>
      <w:r>
        <w:rPr>
          <w:rFonts w:hint="eastAsia" w:ascii="宋体" w:hAnsi="宋体" w:cs="宋体"/>
          <w:sz w:val="24"/>
          <w:highlight w:val="none"/>
        </w:rPr>
        <w:t>开户账号：</w:t>
      </w:r>
      <w:r>
        <w:rPr>
          <w:rFonts w:hint="eastAsia" w:ascii="宋体" w:hAnsi="宋体" w:cs="宋体"/>
          <w:sz w:val="24"/>
          <w:highlight w:val="none"/>
          <w:lang w:val="zh-CN"/>
        </w:rPr>
        <w:t xml:space="preserve">                               </w:t>
      </w:r>
      <w:r>
        <w:rPr>
          <w:rFonts w:hint="eastAsia" w:ascii="宋体" w:hAnsi="宋体" w:cs="宋体"/>
          <w:sz w:val="24"/>
          <w:highlight w:val="none"/>
        </w:rPr>
        <w:t>开户账号：</w:t>
      </w:r>
    </w:p>
    <w:p w14:paraId="68CC6BDE">
      <w:pPr>
        <w:pStyle w:val="104"/>
        <w:spacing w:after="0"/>
        <w:ind w:firstLine="482"/>
        <w:jc w:val="center"/>
        <w:outlineLvl w:val="1"/>
        <w:rPr>
          <w:rFonts w:hint="eastAsia" w:ascii="宋体" w:hAnsi="宋体" w:cs="宋体"/>
          <w:b/>
          <w:sz w:val="28"/>
          <w:szCs w:val="28"/>
          <w:highlight w:val="none"/>
        </w:rPr>
      </w:pPr>
      <w:bookmarkStart w:id="62" w:name="_Toc331685783"/>
      <w:r>
        <w:rPr>
          <w:rFonts w:hint="eastAsia" w:ascii="宋体" w:hAnsi="宋体" w:cs="宋体"/>
          <w:b/>
          <w:highlight w:val="none"/>
        </w:rPr>
        <w:br w:type="page"/>
      </w:r>
      <w:bookmarkStart w:id="63" w:name="_Toc20973"/>
      <w:bookmarkStart w:id="64" w:name="_Toc80205945"/>
      <w:bookmarkStart w:id="65" w:name="_Toc80886949"/>
      <w:r>
        <w:rPr>
          <w:rFonts w:hint="eastAsia" w:ascii="宋体" w:hAnsi="宋体" w:cs="宋体"/>
          <w:b/>
          <w:sz w:val="28"/>
          <w:szCs w:val="28"/>
          <w:highlight w:val="none"/>
        </w:rPr>
        <w:t>第二部分 合同一般条款</w:t>
      </w:r>
      <w:bookmarkEnd w:id="62"/>
      <w:bookmarkEnd w:id="63"/>
      <w:bookmarkEnd w:id="64"/>
      <w:bookmarkEnd w:id="65"/>
    </w:p>
    <w:p w14:paraId="05530CA0">
      <w:pPr>
        <w:spacing w:line="360" w:lineRule="auto"/>
        <w:ind w:firstLine="482" w:firstLineChars="200"/>
        <w:rPr>
          <w:rFonts w:hint="eastAsia" w:ascii="宋体" w:hAnsi="宋体" w:cs="宋体"/>
          <w:b/>
          <w:sz w:val="24"/>
          <w:highlight w:val="none"/>
        </w:rPr>
      </w:pPr>
      <w:bookmarkStart w:id="66" w:name="_Ref467379225"/>
      <w:bookmarkStart w:id="67" w:name="_Ref467378463"/>
      <w:bookmarkStart w:id="68" w:name="_Toc279701240"/>
      <w:bookmarkStart w:id="69" w:name="_Ref467378404"/>
      <w:bookmarkStart w:id="70" w:name="_Toc28763"/>
      <w:bookmarkStart w:id="71" w:name="_Toc487900349"/>
      <w:bookmarkStart w:id="72" w:name="_Ref467378499"/>
      <w:bookmarkStart w:id="73" w:name="_Ref467379214"/>
      <w:bookmarkStart w:id="74" w:name="_Toc259093669"/>
      <w:bookmarkStart w:id="75" w:name="_Toc19614"/>
      <w:bookmarkStart w:id="76" w:name="_Ref467379109"/>
      <w:bookmarkStart w:id="77" w:name="_Ref467379101"/>
      <w:bookmarkStart w:id="78" w:name="_Ref467379195"/>
      <w:bookmarkStart w:id="79" w:name="_Toc16917"/>
      <w:bookmarkStart w:id="80" w:name="_Ref467379205"/>
      <w:bookmarkStart w:id="81" w:name="_Ref467379094"/>
      <w:r>
        <w:rPr>
          <w:rFonts w:hint="eastAsia" w:ascii="宋体" w:hAnsi="宋体" w:cs="宋体"/>
          <w:b/>
          <w:sz w:val="24"/>
          <w:highlight w:val="none"/>
        </w:rPr>
        <w:t>2.1 定义</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5E181BF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本合同中的下列词语应按以下内容进行解释：</w:t>
      </w:r>
    </w:p>
    <w:p w14:paraId="5DF56AE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2.1.1 “合同”系指采购人和中标人签订的载明双方当事人所达成的协议，并包括所有的附件、附录和构成合同的其他文件。</w:t>
      </w:r>
    </w:p>
    <w:p w14:paraId="2B14200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2.1.2 “合同价”系指根据合同约定，中标人在完全履行合同义务后，采购人应支付给中标人的价格。</w:t>
      </w:r>
    </w:p>
    <w:p w14:paraId="3E1C7D4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2.1.3 “标的物”系指中标人根据合同约定应向采购人交付的一切各种形态和种类的货物、服务和工程，包括但不限于原材料、燃料、设备、机械、仪表、备件、计算机软件、信息化系统、信息化维保、物业服务、产品等，并包括工具、手册等其他相关资料。</w:t>
      </w:r>
    </w:p>
    <w:p w14:paraId="65FF38D4">
      <w:pPr>
        <w:spacing w:line="360" w:lineRule="auto"/>
        <w:ind w:firstLine="480" w:firstLineChars="200"/>
        <w:rPr>
          <w:rFonts w:hint="eastAsia" w:ascii="宋体" w:hAnsi="宋体" w:cs="宋体"/>
          <w:sz w:val="24"/>
          <w:highlight w:val="none"/>
        </w:rPr>
      </w:pPr>
      <w:bookmarkStart w:id="82" w:name="_Ref467378840"/>
      <w:r>
        <w:rPr>
          <w:rFonts w:hint="eastAsia" w:ascii="宋体" w:hAnsi="宋体" w:cs="宋体"/>
          <w:sz w:val="24"/>
          <w:highlight w:val="none"/>
        </w:rPr>
        <w:t>2.1.4 “甲方”系指与中标人签署合同的采购人</w:t>
      </w:r>
      <w:bookmarkEnd w:id="82"/>
      <w:r>
        <w:rPr>
          <w:rFonts w:hint="eastAsia" w:ascii="宋体" w:hAnsi="宋体" w:cs="宋体"/>
          <w:sz w:val="24"/>
          <w:highlight w:val="none"/>
        </w:rPr>
        <w:t>；采购人委托采购机构代表其与乙方签订合同的，采购人的授权委托书作为合同附件。</w:t>
      </w:r>
    </w:p>
    <w:p w14:paraId="0B33F8A8">
      <w:pPr>
        <w:spacing w:line="360" w:lineRule="auto"/>
        <w:ind w:firstLine="480" w:firstLineChars="200"/>
        <w:rPr>
          <w:rFonts w:hint="eastAsia" w:ascii="宋体" w:hAnsi="宋体" w:cs="宋体"/>
          <w:sz w:val="24"/>
          <w:highlight w:val="none"/>
        </w:rPr>
      </w:pPr>
      <w:bookmarkStart w:id="83" w:name="_Ref467379400"/>
      <w:r>
        <w:rPr>
          <w:rFonts w:hint="eastAsia" w:ascii="宋体" w:hAnsi="宋体" w:cs="宋体"/>
          <w:sz w:val="24"/>
          <w:highlight w:val="none"/>
        </w:rPr>
        <w:t>2.1.5 “乙方”系指根据合同约定交付标的物的</w:t>
      </w:r>
      <w:bookmarkEnd w:id="83"/>
      <w:r>
        <w:rPr>
          <w:rFonts w:hint="eastAsia" w:ascii="宋体" w:hAnsi="宋体" w:cs="宋体"/>
          <w:sz w:val="24"/>
          <w:highlight w:val="none"/>
        </w:rPr>
        <w:t>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63D6FE20">
      <w:pPr>
        <w:spacing w:line="360" w:lineRule="auto"/>
        <w:ind w:firstLine="480" w:firstLineChars="200"/>
        <w:rPr>
          <w:rFonts w:hint="eastAsia" w:ascii="宋体" w:hAnsi="宋体" w:cs="宋体"/>
          <w:sz w:val="24"/>
          <w:highlight w:val="none"/>
        </w:rPr>
      </w:pPr>
      <w:bookmarkStart w:id="84" w:name="_Ref467379436"/>
      <w:r>
        <w:rPr>
          <w:rFonts w:hint="eastAsia" w:ascii="宋体" w:hAnsi="宋体" w:cs="宋体"/>
          <w:sz w:val="24"/>
          <w:highlight w:val="none"/>
        </w:rPr>
        <w:t>2.1.6 “现场”系指合同约定标的物将要运至或者实施或者安装的地点。</w:t>
      </w:r>
      <w:bookmarkEnd w:id="84"/>
    </w:p>
    <w:p w14:paraId="49DFFB33">
      <w:pPr>
        <w:spacing w:line="360" w:lineRule="auto"/>
        <w:ind w:firstLine="482" w:firstLineChars="200"/>
        <w:rPr>
          <w:rFonts w:hint="eastAsia" w:ascii="宋体" w:hAnsi="宋体" w:cs="宋体"/>
          <w:b/>
          <w:sz w:val="24"/>
          <w:highlight w:val="none"/>
        </w:rPr>
      </w:pPr>
      <w:bookmarkStart w:id="85" w:name="_Toc279701241"/>
      <w:bookmarkStart w:id="86" w:name="_Toc487900350"/>
      <w:bookmarkStart w:id="87" w:name="_Toc13336"/>
      <w:bookmarkStart w:id="88" w:name="_Toc259093670"/>
      <w:bookmarkStart w:id="89" w:name="_Toc27635"/>
      <w:bookmarkStart w:id="90" w:name="_Toc32504"/>
      <w:r>
        <w:rPr>
          <w:rFonts w:hint="eastAsia" w:ascii="宋体" w:hAnsi="宋体" w:cs="宋体"/>
          <w:b/>
          <w:sz w:val="24"/>
          <w:highlight w:val="none"/>
        </w:rPr>
        <w:t>2.2 技术规范</w:t>
      </w:r>
      <w:bookmarkEnd w:id="85"/>
      <w:bookmarkEnd w:id="86"/>
      <w:bookmarkEnd w:id="87"/>
      <w:bookmarkEnd w:id="88"/>
      <w:bookmarkEnd w:id="89"/>
      <w:bookmarkEnd w:id="90"/>
    </w:p>
    <w:p w14:paraId="30B4AAB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标的物所应遵守的技术规范应与采购文件规定的技术规范和技术规范附件(如果有的话)及其技术规范偏差表(如果被甲方接受的话)相一致；如果采购文件中没有技术规范的相应说明，应以国家有关部门最新颁布的相应标准和规范为准。</w:t>
      </w:r>
    </w:p>
    <w:p w14:paraId="1E072559">
      <w:pPr>
        <w:spacing w:line="360" w:lineRule="auto"/>
        <w:ind w:firstLine="482" w:firstLineChars="200"/>
        <w:rPr>
          <w:rFonts w:hint="eastAsia" w:ascii="宋体" w:hAnsi="宋体" w:cs="宋体"/>
          <w:b/>
          <w:sz w:val="24"/>
          <w:highlight w:val="none"/>
        </w:rPr>
      </w:pPr>
      <w:bookmarkStart w:id="91" w:name="_Toc279701242"/>
      <w:bookmarkStart w:id="92" w:name="_Toc31634"/>
      <w:bookmarkStart w:id="93" w:name="_Toc9829"/>
      <w:bookmarkStart w:id="94" w:name="_Toc27853"/>
      <w:bookmarkStart w:id="95" w:name="_Toc259093671"/>
      <w:bookmarkStart w:id="96" w:name="_Toc487900351"/>
      <w:r>
        <w:rPr>
          <w:rFonts w:hint="eastAsia" w:ascii="宋体" w:hAnsi="宋体" w:cs="宋体"/>
          <w:b/>
          <w:sz w:val="24"/>
          <w:highlight w:val="none"/>
        </w:rPr>
        <w:t>2.3 知识产权</w:t>
      </w:r>
      <w:bookmarkEnd w:id="91"/>
      <w:bookmarkEnd w:id="92"/>
      <w:bookmarkEnd w:id="93"/>
      <w:bookmarkEnd w:id="94"/>
      <w:bookmarkEnd w:id="95"/>
      <w:bookmarkEnd w:id="96"/>
    </w:p>
    <w:p w14:paraId="1330978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2.3.1 乙方应保证甲方在使用该标的物或其任何一部分时不受任何第三方提出的侵犯其著作权、商标权、专利权等知识产权方面的起诉；如果任何第三方提出侵权指控，乙方须与该第三方交涉并承担由此发生的一切责任、费用和赔偿；</w:t>
      </w:r>
    </w:p>
    <w:p w14:paraId="4A31175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2.3.2 具有知识产权的计算机软件等标的物的知识产权归属，详见</w:t>
      </w:r>
      <w:r>
        <w:rPr>
          <w:rFonts w:hint="eastAsia" w:ascii="宋体" w:hAnsi="宋体" w:cs="宋体"/>
          <w:b/>
          <w:i/>
          <w:sz w:val="24"/>
          <w:highlight w:val="none"/>
          <w:u w:val="single"/>
        </w:rPr>
        <w:t>合同专用条款</w:t>
      </w:r>
      <w:r>
        <w:rPr>
          <w:rFonts w:hint="eastAsia" w:ascii="宋体" w:hAnsi="宋体" w:cs="宋体"/>
          <w:sz w:val="24"/>
          <w:highlight w:val="none"/>
        </w:rPr>
        <w:t>。</w:t>
      </w:r>
    </w:p>
    <w:p w14:paraId="58593886">
      <w:pPr>
        <w:spacing w:line="360" w:lineRule="auto"/>
        <w:ind w:firstLine="482" w:firstLineChars="200"/>
        <w:rPr>
          <w:rFonts w:hint="eastAsia" w:ascii="宋体" w:hAnsi="宋体" w:cs="宋体"/>
          <w:b/>
          <w:sz w:val="24"/>
          <w:highlight w:val="none"/>
        </w:rPr>
      </w:pPr>
      <w:bookmarkStart w:id="97" w:name="_Toc4194"/>
      <w:bookmarkStart w:id="98" w:name="_Toc11932"/>
      <w:bookmarkStart w:id="99" w:name="_Toc29149"/>
      <w:r>
        <w:rPr>
          <w:rFonts w:hint="eastAsia" w:ascii="宋体" w:hAnsi="宋体" w:cs="宋体"/>
          <w:b/>
          <w:sz w:val="24"/>
          <w:highlight w:val="none"/>
        </w:rPr>
        <w:t>2.4 包装和装运</w:t>
      </w:r>
      <w:bookmarkEnd w:id="97"/>
      <w:bookmarkEnd w:id="98"/>
      <w:bookmarkEnd w:id="99"/>
    </w:p>
    <w:p w14:paraId="71DA574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2.4.1 除</w:t>
      </w:r>
      <w:r>
        <w:rPr>
          <w:rFonts w:hint="eastAsia" w:ascii="宋体" w:hAnsi="宋体" w:cs="宋体"/>
          <w:b/>
          <w:i/>
          <w:sz w:val="24"/>
          <w:highlight w:val="none"/>
          <w:u w:val="single"/>
        </w:rPr>
        <w:t>合同专用条款</w:t>
      </w:r>
      <w:r>
        <w:rPr>
          <w:rFonts w:hint="eastAsia" w:ascii="宋体" w:hAnsi="宋体" w:cs="宋体"/>
          <w:sz w:val="24"/>
          <w:highlight w:val="none"/>
        </w:rPr>
        <w:t>另有约定外,乙方交付的全部标的物,均应采用本行业通用的方式进行包装，没有通用方式的，应当采取足以保护标的物的包装方式，且该包装应符合国家有关包装的法律、法规的规定。如有必要，包装应适用于远距离运输、防潮、防震、防锈和防粗暴装卸，确保标的物安全无损地运抵现场。由于包装不善所引起的标的物锈蚀、损坏和损失等一切风险均由乙方承担。</w:t>
      </w:r>
    </w:p>
    <w:p w14:paraId="6054110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2.4.2 装运标的物的要求和通知，详见</w:t>
      </w:r>
      <w:r>
        <w:rPr>
          <w:rFonts w:hint="eastAsia" w:ascii="宋体" w:hAnsi="宋体" w:cs="宋体"/>
          <w:b/>
          <w:i/>
          <w:sz w:val="24"/>
          <w:highlight w:val="none"/>
          <w:u w:val="single"/>
        </w:rPr>
        <w:t>合同专用条款</w:t>
      </w:r>
      <w:r>
        <w:rPr>
          <w:rFonts w:hint="eastAsia" w:ascii="宋体" w:hAnsi="宋体" w:cs="宋体"/>
          <w:sz w:val="24"/>
          <w:highlight w:val="none"/>
        </w:rPr>
        <w:t>。</w:t>
      </w:r>
    </w:p>
    <w:p w14:paraId="141DC3F6">
      <w:pPr>
        <w:spacing w:line="360" w:lineRule="auto"/>
        <w:ind w:firstLine="482" w:firstLineChars="200"/>
        <w:rPr>
          <w:rFonts w:hint="eastAsia" w:ascii="宋体" w:hAnsi="宋体" w:cs="宋体"/>
          <w:b/>
          <w:sz w:val="24"/>
          <w:highlight w:val="none"/>
        </w:rPr>
      </w:pPr>
      <w:bookmarkStart w:id="100" w:name="_Ref467379536"/>
      <w:bookmarkStart w:id="101" w:name="_Ref467379542"/>
      <w:bookmarkStart w:id="102" w:name="_Ref467378591"/>
      <w:bookmarkStart w:id="103" w:name="_Ref467378541"/>
      <w:bookmarkStart w:id="104" w:name="_Ref467379527"/>
      <w:bookmarkStart w:id="105" w:name="_Toc487900354"/>
      <w:bookmarkStart w:id="106" w:name="_Toc279701245"/>
      <w:bookmarkStart w:id="107" w:name="_Toc259093674"/>
      <w:bookmarkStart w:id="108" w:name="_Toc19074"/>
      <w:bookmarkStart w:id="109" w:name="_Toc26182"/>
      <w:bookmarkStart w:id="110" w:name="_Toc30272"/>
      <w:r>
        <w:rPr>
          <w:rFonts w:hint="eastAsia" w:ascii="宋体" w:hAnsi="宋体" w:cs="宋体"/>
          <w:b/>
          <w:sz w:val="24"/>
          <w:highlight w:val="none"/>
        </w:rPr>
        <w:t>2.</w:t>
      </w:r>
      <w:bookmarkEnd w:id="100"/>
      <w:bookmarkEnd w:id="101"/>
      <w:bookmarkEnd w:id="102"/>
      <w:bookmarkEnd w:id="103"/>
      <w:bookmarkEnd w:id="104"/>
      <w:bookmarkEnd w:id="105"/>
      <w:bookmarkEnd w:id="106"/>
      <w:bookmarkEnd w:id="107"/>
      <w:r>
        <w:rPr>
          <w:rFonts w:hint="eastAsia" w:ascii="宋体" w:hAnsi="宋体" w:cs="宋体"/>
          <w:b/>
          <w:sz w:val="24"/>
          <w:highlight w:val="none"/>
        </w:rPr>
        <w:t>5 履约检查和问题反馈</w:t>
      </w:r>
      <w:bookmarkEnd w:id="108"/>
      <w:bookmarkEnd w:id="109"/>
      <w:bookmarkEnd w:id="110"/>
    </w:p>
    <w:p w14:paraId="54F3715C">
      <w:pPr>
        <w:spacing w:line="360" w:lineRule="auto"/>
        <w:ind w:firstLine="480" w:firstLineChars="200"/>
        <w:rPr>
          <w:rFonts w:hint="eastAsia" w:ascii="宋体" w:hAnsi="宋体" w:cs="宋体"/>
          <w:sz w:val="24"/>
          <w:highlight w:val="none"/>
        </w:rPr>
      </w:pPr>
      <w:bookmarkStart w:id="111" w:name="_Ref467379657"/>
      <w:r>
        <w:rPr>
          <w:rFonts w:hint="eastAsia" w:ascii="宋体" w:hAnsi="宋体" w:cs="宋体"/>
          <w:sz w:val="24"/>
          <w:highlight w:val="none"/>
        </w:rPr>
        <w:t>2.5.1</w:t>
      </w:r>
      <w:bookmarkEnd w:id="111"/>
      <w:bookmarkStart w:id="112" w:name="_Toc186431854"/>
      <w:bookmarkStart w:id="113" w:name="_Ref467379807"/>
      <w:bookmarkStart w:id="114" w:name="_Ref467379793"/>
      <w:bookmarkStart w:id="115" w:name="_Toc487900357"/>
      <w:bookmarkStart w:id="116" w:name="_Toc279701247"/>
      <w:bookmarkStart w:id="117" w:name="_Toc259093676"/>
      <w:r>
        <w:rPr>
          <w:rFonts w:hint="eastAsia" w:ascii="宋体" w:hAnsi="宋体" w:cs="宋体"/>
          <w:sz w:val="24"/>
          <w:highlight w:val="none"/>
        </w:rPr>
        <w:t xml:space="preserve"> 甲方有权在其认为必要时，对乙方是否能够按照合同约定交付标的物进行履约检查，以确保乙方所交付的标的物能够依约满足甲方之项目需求，但不得因履约检查妨碍乙方的正常工作，乙方应予积极配合；</w:t>
      </w:r>
    </w:p>
    <w:p w14:paraId="1A50AAB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2.5.2 合同履行期间，甲方有权将履行过程中出现的问题反馈给乙方，双方当事人应以书面形式约定需要完善和改进的内容</w:t>
      </w:r>
      <w:bookmarkEnd w:id="112"/>
      <w:bookmarkStart w:id="118" w:name="_Toc186431855"/>
      <w:r>
        <w:rPr>
          <w:rFonts w:hint="eastAsia" w:ascii="宋体" w:hAnsi="宋体" w:cs="宋体"/>
          <w:sz w:val="24"/>
          <w:highlight w:val="none"/>
        </w:rPr>
        <w:t>。</w:t>
      </w:r>
    </w:p>
    <w:bookmarkEnd w:id="118"/>
    <w:p w14:paraId="23B21595">
      <w:pPr>
        <w:spacing w:line="360" w:lineRule="auto"/>
        <w:ind w:firstLine="482" w:firstLineChars="200"/>
        <w:rPr>
          <w:rFonts w:hint="eastAsia" w:ascii="宋体" w:hAnsi="宋体" w:cs="宋体"/>
          <w:b/>
          <w:sz w:val="24"/>
          <w:highlight w:val="none"/>
        </w:rPr>
      </w:pPr>
      <w:bookmarkStart w:id="119" w:name="_Toc19219"/>
      <w:bookmarkStart w:id="120" w:name="_Toc7836"/>
      <w:bookmarkStart w:id="121" w:name="_Toc28451"/>
      <w:r>
        <w:rPr>
          <w:rFonts w:hint="eastAsia" w:ascii="宋体" w:hAnsi="宋体" w:cs="宋体"/>
          <w:b/>
          <w:sz w:val="24"/>
          <w:highlight w:val="none"/>
        </w:rPr>
        <w:t>2.6 结算方式和付款条件</w:t>
      </w:r>
      <w:bookmarkEnd w:id="113"/>
      <w:bookmarkEnd w:id="114"/>
      <w:bookmarkEnd w:id="115"/>
      <w:bookmarkEnd w:id="116"/>
      <w:bookmarkEnd w:id="117"/>
      <w:bookmarkEnd w:id="119"/>
      <w:bookmarkEnd w:id="120"/>
      <w:bookmarkEnd w:id="121"/>
    </w:p>
    <w:p w14:paraId="01F2CC9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详见</w:t>
      </w:r>
      <w:r>
        <w:rPr>
          <w:rFonts w:hint="eastAsia" w:ascii="宋体" w:hAnsi="宋体" w:cs="宋体"/>
          <w:b/>
          <w:i/>
          <w:sz w:val="24"/>
          <w:highlight w:val="none"/>
          <w:u w:val="single"/>
        </w:rPr>
        <w:t>合同专用条款</w:t>
      </w:r>
      <w:r>
        <w:rPr>
          <w:rFonts w:hint="eastAsia" w:ascii="宋体" w:hAnsi="宋体" w:cs="宋体"/>
          <w:sz w:val="24"/>
          <w:highlight w:val="none"/>
        </w:rPr>
        <w:t>。</w:t>
      </w:r>
    </w:p>
    <w:p w14:paraId="5A9ED5E7">
      <w:pPr>
        <w:spacing w:line="360" w:lineRule="auto"/>
        <w:ind w:firstLine="482" w:firstLineChars="200"/>
        <w:rPr>
          <w:rFonts w:hint="eastAsia" w:ascii="宋体" w:hAnsi="宋体" w:cs="宋体"/>
          <w:b/>
          <w:sz w:val="24"/>
          <w:highlight w:val="none"/>
        </w:rPr>
      </w:pPr>
      <w:bookmarkStart w:id="122" w:name="_Toc487900358"/>
      <w:bookmarkStart w:id="123" w:name="_Toc259093677"/>
      <w:bookmarkStart w:id="124" w:name="_Toc279701248"/>
      <w:bookmarkStart w:id="125" w:name="_Ref467379852"/>
      <w:bookmarkStart w:id="126" w:name="_Ref467379923"/>
      <w:bookmarkStart w:id="127" w:name="_Ref467379863"/>
      <w:bookmarkStart w:id="128" w:name="_Toc3225"/>
      <w:bookmarkStart w:id="129" w:name="_Toc16110"/>
      <w:bookmarkStart w:id="130" w:name="_Toc774"/>
      <w:r>
        <w:rPr>
          <w:rFonts w:hint="eastAsia" w:ascii="宋体" w:hAnsi="宋体" w:cs="宋体"/>
          <w:b/>
          <w:sz w:val="24"/>
          <w:highlight w:val="none"/>
        </w:rPr>
        <w:t>2.7 技术资料</w:t>
      </w:r>
      <w:bookmarkEnd w:id="122"/>
      <w:bookmarkEnd w:id="123"/>
      <w:bookmarkEnd w:id="124"/>
      <w:bookmarkEnd w:id="125"/>
      <w:bookmarkEnd w:id="126"/>
      <w:bookmarkEnd w:id="127"/>
      <w:r>
        <w:rPr>
          <w:rFonts w:hint="eastAsia" w:ascii="宋体" w:hAnsi="宋体" w:cs="宋体"/>
          <w:b/>
          <w:sz w:val="24"/>
          <w:highlight w:val="none"/>
        </w:rPr>
        <w:t>和保密义务</w:t>
      </w:r>
      <w:bookmarkEnd w:id="128"/>
      <w:bookmarkEnd w:id="129"/>
      <w:bookmarkEnd w:id="130"/>
    </w:p>
    <w:p w14:paraId="1A80E91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2.7.1 乙方有权依据合同约定和项目需要，向甲方了解有关情况，调阅有关资料等，甲方应予积极配合；</w:t>
      </w:r>
    </w:p>
    <w:p w14:paraId="5E7B16F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2.7.2 乙方有义务妥善保管和保护由甲方提供的前款信息和资料等；</w:t>
      </w:r>
    </w:p>
    <w:p w14:paraId="332C9BA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及方式防止任何第三方接触到对方当事人的上述保密信息和资料。</w:t>
      </w:r>
    </w:p>
    <w:p w14:paraId="515C5006">
      <w:pPr>
        <w:spacing w:line="360" w:lineRule="auto"/>
        <w:ind w:firstLine="482" w:firstLineChars="200"/>
        <w:rPr>
          <w:rFonts w:hint="eastAsia" w:ascii="宋体" w:hAnsi="宋体" w:cs="宋体"/>
          <w:b/>
          <w:sz w:val="24"/>
          <w:highlight w:val="none"/>
        </w:rPr>
      </w:pPr>
      <w:bookmarkStart w:id="131" w:name="_Toc7860"/>
      <w:r>
        <w:rPr>
          <w:rFonts w:hint="eastAsia" w:ascii="宋体" w:hAnsi="宋体" w:cs="宋体"/>
          <w:b/>
          <w:sz w:val="24"/>
          <w:highlight w:val="none"/>
        </w:rPr>
        <w:t>2.8 质量保证</w:t>
      </w:r>
      <w:bookmarkEnd w:id="131"/>
    </w:p>
    <w:p w14:paraId="5D76E7C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2.8.1 乙方应建立和完善履行合同的内部质量保证体系，并提供相关内部规章制度给甲方，以便甲方进行监督检查；</w:t>
      </w:r>
    </w:p>
    <w:p w14:paraId="35A6587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2.8.2 乙方应保证履行合同的人员数量和素质、软件和硬件设备的配置、场地、环境和设施等满足全面履行合同的要求，并应接受甲方的监督检查。</w:t>
      </w:r>
    </w:p>
    <w:p w14:paraId="499DB124">
      <w:pPr>
        <w:spacing w:line="360" w:lineRule="auto"/>
        <w:ind w:firstLine="480" w:firstLineChars="200"/>
        <w:rPr>
          <w:rFonts w:hint="eastAsia" w:ascii="宋体" w:hAnsi="宋体" w:cs="宋体"/>
          <w:kern w:val="0"/>
          <w:sz w:val="24"/>
          <w:highlight w:val="none"/>
        </w:rPr>
      </w:pPr>
      <w:r>
        <w:rPr>
          <w:rFonts w:hint="eastAsia" w:ascii="宋体" w:hAnsi="宋体" w:cs="宋体"/>
          <w:sz w:val="24"/>
          <w:highlight w:val="none"/>
        </w:rPr>
        <w:t>2.8.3 乙方应确保项目技术人员的数量和水平与投标文件一致。未经甲方书面同意，乙方不得擅自更换投标文件中注明的项目经理和技术负责人。否则</w:t>
      </w:r>
      <w:r>
        <w:rPr>
          <w:rFonts w:hint="eastAsia" w:ascii="宋体" w:hAnsi="宋体" w:cs="宋体"/>
          <w:kern w:val="0"/>
          <w:sz w:val="24"/>
          <w:highlight w:val="none"/>
        </w:rPr>
        <w:t>甲方有权放弃或终止合同。</w:t>
      </w:r>
    </w:p>
    <w:p w14:paraId="41A183F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2.8.4 因乙方原因造成甲方其他系统不能正常运行，酿成重大事故（工作日系统中断一天以上）的，乙方应承担全部法律责任，并赔偿经济损失，赔偿金额为项目总价的</w:t>
      </w:r>
      <w:r>
        <w:rPr>
          <w:rFonts w:hint="eastAsia" w:ascii="宋体" w:hAnsi="宋体" w:cs="宋体"/>
          <w:sz w:val="24"/>
          <w:highlight w:val="none"/>
          <w:u w:val="single"/>
        </w:rPr>
        <w:t>30%</w:t>
      </w:r>
      <w:r>
        <w:rPr>
          <w:rFonts w:hint="eastAsia" w:ascii="宋体" w:hAnsi="宋体" w:cs="宋体"/>
          <w:sz w:val="24"/>
          <w:highlight w:val="none"/>
        </w:rPr>
        <w:t>。</w:t>
      </w:r>
    </w:p>
    <w:p w14:paraId="6C50D5C0">
      <w:pPr>
        <w:spacing w:line="360" w:lineRule="auto"/>
        <w:ind w:firstLine="482" w:firstLineChars="200"/>
        <w:rPr>
          <w:rFonts w:hint="eastAsia" w:ascii="宋体" w:hAnsi="宋体" w:cs="宋体"/>
          <w:b/>
          <w:sz w:val="24"/>
          <w:highlight w:val="none"/>
        </w:rPr>
      </w:pPr>
      <w:bookmarkStart w:id="132" w:name="_Toc17244"/>
      <w:bookmarkStart w:id="133" w:name="_Toc487900362"/>
      <w:bookmarkStart w:id="134" w:name="_Toc279701252"/>
      <w:bookmarkStart w:id="135" w:name="_Toc259093681"/>
      <w:r>
        <w:rPr>
          <w:rFonts w:hint="eastAsia" w:ascii="宋体" w:hAnsi="宋体" w:cs="宋体"/>
          <w:b/>
          <w:sz w:val="24"/>
          <w:highlight w:val="none"/>
        </w:rPr>
        <w:t>2.9 标的物的风险负担</w:t>
      </w:r>
      <w:bookmarkEnd w:id="132"/>
    </w:p>
    <w:p w14:paraId="74250EF9">
      <w:pPr>
        <w:spacing w:line="360" w:lineRule="auto"/>
        <w:ind w:firstLine="480" w:firstLineChars="200"/>
        <w:rPr>
          <w:rFonts w:hint="eastAsia" w:ascii="宋体" w:hAnsi="宋体" w:cs="宋体"/>
          <w:b/>
          <w:sz w:val="24"/>
          <w:highlight w:val="none"/>
        </w:rPr>
      </w:pPr>
      <w:r>
        <w:rPr>
          <w:rFonts w:hint="eastAsia" w:ascii="宋体" w:hAnsi="宋体" w:cs="宋体"/>
          <w:sz w:val="24"/>
          <w:highlight w:val="none"/>
        </w:rPr>
        <w:t>标的物或者在途标的物或者交付给第一承运人后的标的物毁损、灭失的风险负担详见</w:t>
      </w:r>
      <w:r>
        <w:rPr>
          <w:rFonts w:hint="eastAsia" w:ascii="宋体" w:hAnsi="宋体" w:cs="宋体"/>
          <w:b/>
          <w:i/>
          <w:sz w:val="24"/>
          <w:highlight w:val="none"/>
          <w:u w:val="single"/>
        </w:rPr>
        <w:t>合同专用条款</w:t>
      </w:r>
      <w:r>
        <w:rPr>
          <w:rFonts w:hint="eastAsia" w:ascii="宋体" w:hAnsi="宋体" w:cs="宋体"/>
          <w:sz w:val="24"/>
          <w:highlight w:val="none"/>
        </w:rPr>
        <w:t>。</w:t>
      </w:r>
    </w:p>
    <w:p w14:paraId="4CBC59C5">
      <w:pPr>
        <w:spacing w:line="360" w:lineRule="auto"/>
        <w:ind w:firstLine="482" w:firstLineChars="200"/>
        <w:rPr>
          <w:rFonts w:hint="eastAsia" w:ascii="宋体" w:hAnsi="宋体" w:cs="宋体"/>
          <w:b/>
          <w:sz w:val="24"/>
          <w:highlight w:val="none"/>
        </w:rPr>
      </w:pPr>
      <w:bookmarkStart w:id="136" w:name="_Toc14055"/>
      <w:r>
        <w:rPr>
          <w:rFonts w:hint="eastAsia" w:ascii="宋体" w:hAnsi="宋体" w:cs="宋体"/>
          <w:b/>
          <w:sz w:val="24"/>
          <w:highlight w:val="none"/>
        </w:rPr>
        <w:t>2.10 延迟交货</w:t>
      </w:r>
      <w:bookmarkEnd w:id="133"/>
      <w:bookmarkEnd w:id="134"/>
      <w:bookmarkEnd w:id="135"/>
      <w:bookmarkEnd w:id="136"/>
      <w:r>
        <w:rPr>
          <w:rFonts w:hint="eastAsia" w:ascii="宋体" w:hAnsi="宋体" w:cs="宋体"/>
          <w:b/>
          <w:sz w:val="24"/>
          <w:highlight w:val="none"/>
        </w:rPr>
        <w:t>/交付</w:t>
      </w:r>
    </w:p>
    <w:p w14:paraId="70CCC96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在合同履行过程中，如果乙方遇到不能按时交付标的物的情况，应及时以书面形式将不能按时交付标的物的理由、预期延误时间通知甲方；甲方收到乙方通知后，认为其理由正当的，可以书面形式酌情同意乙方可以延长交货的具体时间。</w:t>
      </w:r>
    </w:p>
    <w:p w14:paraId="7B56A73D">
      <w:pPr>
        <w:spacing w:line="360" w:lineRule="auto"/>
        <w:ind w:firstLine="482" w:firstLineChars="200"/>
        <w:rPr>
          <w:rFonts w:hint="eastAsia" w:ascii="宋体" w:hAnsi="宋体" w:cs="宋体"/>
          <w:b/>
          <w:sz w:val="24"/>
          <w:highlight w:val="none"/>
        </w:rPr>
      </w:pPr>
      <w:bookmarkStart w:id="137" w:name="_Toc7502"/>
      <w:bookmarkStart w:id="138" w:name="_Toc279701254"/>
      <w:bookmarkStart w:id="139" w:name="_Toc259093683"/>
      <w:bookmarkStart w:id="140" w:name="_Toc487900364"/>
      <w:bookmarkStart w:id="141" w:name="_Ref467378121"/>
      <w:r>
        <w:rPr>
          <w:rFonts w:hint="eastAsia" w:ascii="宋体" w:hAnsi="宋体" w:cs="宋体"/>
          <w:b/>
          <w:sz w:val="24"/>
          <w:highlight w:val="none"/>
        </w:rPr>
        <w:t>2.11 合同变更</w:t>
      </w:r>
      <w:bookmarkEnd w:id="137"/>
    </w:p>
    <w:p w14:paraId="465ACC1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2.11.1 双方当事人协商一致，可以签订书面补充合同的形式变更合同，但不得违背采购文件确定的事项。如果系追加与合同标的相同的标的物的，那么需经采购监督管理部门同意，且所有补充合同的采购金额不得超过原合同价的10%；</w:t>
      </w:r>
    </w:p>
    <w:p w14:paraId="24537A3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2.11.2 合同继续履行将损害国家利益和社会公共利益的，双方当事人应当以书面形式变更合同。有过错的一方应当承担赔偿责任，双方当事人都有过错的，各自承担相应的责任。</w:t>
      </w:r>
      <w:bookmarkStart w:id="142" w:name="_Toc279701259"/>
      <w:bookmarkStart w:id="143" w:name="_Toc487900369"/>
      <w:bookmarkStart w:id="144" w:name="_Toc259093688"/>
    </w:p>
    <w:p w14:paraId="3184B293">
      <w:pPr>
        <w:spacing w:line="360" w:lineRule="auto"/>
        <w:ind w:firstLine="482" w:firstLineChars="200"/>
        <w:rPr>
          <w:rFonts w:hint="eastAsia" w:ascii="宋体" w:hAnsi="宋体" w:cs="宋体"/>
          <w:b/>
          <w:sz w:val="24"/>
          <w:highlight w:val="none"/>
        </w:rPr>
      </w:pPr>
      <w:bookmarkStart w:id="145" w:name="_Toc22955"/>
      <w:bookmarkStart w:id="146" w:name="_Toc10366"/>
      <w:bookmarkStart w:id="147" w:name="_Toc15237"/>
      <w:r>
        <w:rPr>
          <w:rFonts w:hint="eastAsia" w:ascii="宋体" w:hAnsi="宋体" w:cs="宋体"/>
          <w:b/>
          <w:sz w:val="24"/>
          <w:highlight w:val="none"/>
        </w:rPr>
        <w:t>2.12 合同转让</w:t>
      </w:r>
      <w:bookmarkEnd w:id="142"/>
      <w:bookmarkEnd w:id="143"/>
      <w:bookmarkEnd w:id="144"/>
      <w:r>
        <w:rPr>
          <w:rFonts w:hint="eastAsia" w:ascii="宋体" w:hAnsi="宋体" w:cs="宋体"/>
          <w:b/>
          <w:sz w:val="24"/>
          <w:highlight w:val="none"/>
        </w:rPr>
        <w:t>和分包</w:t>
      </w:r>
      <w:bookmarkEnd w:id="145"/>
      <w:bookmarkEnd w:id="146"/>
      <w:bookmarkEnd w:id="147"/>
    </w:p>
    <w:p w14:paraId="4AC3916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合同的权利义务依法不得转让，但经甲方书面同意，乙方可以依法采取分包方式履行合同，即：依法可以将合同项下的部分非主体、非关键性工作分包给他人完成，接受分包的供应商应当具备相应的资格条件，并不得再次分包，且乙方应就分包项目向甲方负责，并与分包供应商就分包项目向甲方承担连带责任。</w:t>
      </w:r>
    </w:p>
    <w:p w14:paraId="4BAD5097">
      <w:pPr>
        <w:spacing w:line="360" w:lineRule="auto"/>
        <w:ind w:firstLine="482" w:firstLineChars="200"/>
        <w:rPr>
          <w:rFonts w:hint="eastAsia" w:ascii="宋体" w:hAnsi="宋体" w:cs="宋体"/>
          <w:b/>
          <w:sz w:val="24"/>
          <w:highlight w:val="none"/>
        </w:rPr>
      </w:pPr>
      <w:bookmarkStart w:id="148" w:name="_Toc16508"/>
      <w:bookmarkStart w:id="149" w:name="_Toc13566"/>
      <w:bookmarkStart w:id="150" w:name="_Toc14066"/>
      <w:r>
        <w:rPr>
          <w:rFonts w:hint="eastAsia" w:ascii="宋体" w:hAnsi="宋体" w:cs="宋体"/>
          <w:b/>
          <w:sz w:val="24"/>
          <w:highlight w:val="none"/>
        </w:rPr>
        <w:t>2.13 不可抗力</w:t>
      </w:r>
      <w:bookmarkEnd w:id="148"/>
      <w:bookmarkEnd w:id="149"/>
      <w:bookmarkEnd w:id="150"/>
    </w:p>
    <w:p w14:paraId="52F9919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2.13.1 如果任何一方遭遇法律规定的不可抗力，致使合同履行受阻时，履行合同的期限应予延长，延长的期限应相当于不可抗力所影响的时间；</w:t>
      </w:r>
    </w:p>
    <w:p w14:paraId="4B53147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2.13.2 受不可抗力影响的一方在不可抗力发生后，应在</w:t>
      </w:r>
      <w:r>
        <w:rPr>
          <w:rFonts w:hint="eastAsia" w:ascii="宋体" w:hAnsi="宋体" w:cs="宋体"/>
          <w:b/>
          <w:i/>
          <w:sz w:val="24"/>
          <w:highlight w:val="none"/>
          <w:u w:val="single"/>
        </w:rPr>
        <w:t>合同专用条款</w:t>
      </w:r>
      <w:r>
        <w:rPr>
          <w:rFonts w:hint="eastAsia" w:ascii="宋体" w:hAnsi="宋体" w:cs="宋体"/>
          <w:sz w:val="24"/>
          <w:highlight w:val="none"/>
        </w:rPr>
        <w:t>约定时间内以书面形式通知对方当事人，并在</w:t>
      </w:r>
      <w:r>
        <w:rPr>
          <w:rFonts w:hint="eastAsia" w:ascii="宋体" w:hAnsi="宋体" w:cs="宋体"/>
          <w:b/>
          <w:i/>
          <w:sz w:val="24"/>
          <w:highlight w:val="none"/>
          <w:u w:val="single"/>
        </w:rPr>
        <w:t>合同专用条款</w:t>
      </w:r>
      <w:r>
        <w:rPr>
          <w:rFonts w:hint="eastAsia" w:ascii="宋体" w:hAnsi="宋体" w:cs="宋体"/>
          <w:sz w:val="24"/>
          <w:highlight w:val="none"/>
        </w:rPr>
        <w:t>约定时间内，将有关部门出具的证明文件送达对方当事人。</w:t>
      </w:r>
    </w:p>
    <w:p w14:paraId="4D43EA9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2.13.3 因不可抗力致使不能实现合同目的的，当事人可以解除合同；</w:t>
      </w:r>
    </w:p>
    <w:p w14:paraId="418AD3B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2.13.4 因不可抗力致使合同有变更必要的，双方当事人应在</w:t>
      </w:r>
      <w:r>
        <w:rPr>
          <w:rFonts w:hint="eastAsia" w:ascii="宋体" w:hAnsi="宋体" w:cs="宋体"/>
          <w:b/>
          <w:i/>
          <w:sz w:val="24"/>
          <w:highlight w:val="none"/>
          <w:u w:val="single"/>
        </w:rPr>
        <w:t>合同专用条款</w:t>
      </w:r>
      <w:r>
        <w:rPr>
          <w:rFonts w:hint="eastAsia" w:ascii="宋体" w:hAnsi="宋体" w:cs="宋体"/>
          <w:sz w:val="24"/>
          <w:highlight w:val="none"/>
        </w:rPr>
        <w:t>约定时间内以书面形式变更合同；</w:t>
      </w:r>
    </w:p>
    <w:p w14:paraId="05E98DF8">
      <w:pPr>
        <w:spacing w:line="360" w:lineRule="auto"/>
        <w:ind w:firstLine="482" w:firstLineChars="200"/>
        <w:rPr>
          <w:rFonts w:hint="eastAsia" w:ascii="宋体" w:hAnsi="宋体" w:cs="宋体"/>
          <w:b/>
          <w:sz w:val="24"/>
          <w:highlight w:val="none"/>
        </w:rPr>
      </w:pPr>
      <w:bookmarkStart w:id="151" w:name="_Toc6969"/>
      <w:bookmarkStart w:id="152" w:name="_Toc487900365"/>
      <w:bookmarkStart w:id="153" w:name="_Toc30676"/>
      <w:bookmarkStart w:id="154" w:name="_Toc279701255"/>
      <w:bookmarkStart w:id="155" w:name="_Toc689"/>
      <w:bookmarkStart w:id="156" w:name="_Toc259093684"/>
      <w:r>
        <w:rPr>
          <w:rFonts w:hint="eastAsia" w:ascii="宋体" w:hAnsi="宋体" w:cs="宋体"/>
          <w:b/>
          <w:sz w:val="24"/>
          <w:highlight w:val="none"/>
        </w:rPr>
        <w:t>2.14 税费</w:t>
      </w:r>
      <w:bookmarkEnd w:id="151"/>
      <w:bookmarkEnd w:id="152"/>
      <w:bookmarkEnd w:id="153"/>
      <w:bookmarkEnd w:id="154"/>
      <w:bookmarkEnd w:id="155"/>
      <w:bookmarkEnd w:id="156"/>
    </w:p>
    <w:p w14:paraId="6BF81F2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与合同有关的一切税费，均按照中华人民共和国法律的相关规定执行。</w:t>
      </w:r>
    </w:p>
    <w:p w14:paraId="28D141D7">
      <w:pPr>
        <w:spacing w:line="360" w:lineRule="auto"/>
        <w:ind w:firstLine="482" w:firstLineChars="200"/>
        <w:rPr>
          <w:rFonts w:hint="eastAsia" w:ascii="宋体" w:hAnsi="宋体" w:cs="宋体"/>
          <w:b/>
          <w:sz w:val="24"/>
          <w:highlight w:val="none"/>
        </w:rPr>
      </w:pPr>
      <w:bookmarkStart w:id="157" w:name="_Toc8298"/>
      <w:bookmarkStart w:id="158" w:name="_Toc16959"/>
      <w:bookmarkStart w:id="159" w:name="_Toc7102"/>
      <w:bookmarkStart w:id="160" w:name="_Toc259093687"/>
      <w:bookmarkStart w:id="161" w:name="_Toc279701258"/>
      <w:bookmarkStart w:id="162" w:name="_Toc487900368"/>
      <w:r>
        <w:rPr>
          <w:rFonts w:hint="eastAsia" w:ascii="宋体" w:hAnsi="宋体" w:cs="宋体"/>
          <w:b/>
          <w:sz w:val="24"/>
          <w:highlight w:val="none"/>
        </w:rPr>
        <w:t>2.15 乙方破产</w:t>
      </w:r>
      <w:bookmarkEnd w:id="157"/>
      <w:bookmarkEnd w:id="158"/>
      <w:bookmarkEnd w:id="159"/>
      <w:bookmarkEnd w:id="160"/>
      <w:bookmarkEnd w:id="161"/>
      <w:bookmarkEnd w:id="162"/>
    </w:p>
    <w:p w14:paraId="7ED7A10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3148A3A4">
      <w:pPr>
        <w:spacing w:line="360" w:lineRule="auto"/>
        <w:ind w:firstLine="482" w:firstLineChars="200"/>
        <w:rPr>
          <w:rFonts w:hint="eastAsia" w:ascii="宋体" w:hAnsi="宋体" w:cs="宋体"/>
          <w:b/>
          <w:sz w:val="24"/>
          <w:highlight w:val="none"/>
        </w:rPr>
      </w:pPr>
      <w:bookmarkStart w:id="163" w:name="_Toc15387"/>
      <w:bookmarkStart w:id="164" w:name="_Toc29333"/>
      <w:bookmarkStart w:id="165" w:name="_Toc6134"/>
      <w:r>
        <w:rPr>
          <w:rFonts w:hint="eastAsia" w:ascii="宋体" w:hAnsi="宋体" w:cs="宋体"/>
          <w:b/>
          <w:sz w:val="24"/>
          <w:highlight w:val="none"/>
        </w:rPr>
        <w:t>2.16 合同中止、终止</w:t>
      </w:r>
      <w:bookmarkEnd w:id="163"/>
      <w:bookmarkEnd w:id="164"/>
      <w:bookmarkEnd w:id="165"/>
    </w:p>
    <w:p w14:paraId="4ABAA33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2.16.1 双方当事人不得擅自中止或者终止合同；</w:t>
      </w:r>
    </w:p>
    <w:p w14:paraId="7514709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2.16.2 合同继续履行将损害国家利益和社会公共利益的，双方当事人应当中止或者终止合同。有过错的一方应当承担赔偿责任，双方当事人都有过错的，各自承担相应的责任。</w:t>
      </w:r>
    </w:p>
    <w:p w14:paraId="2C3105A3">
      <w:pPr>
        <w:spacing w:line="360" w:lineRule="auto"/>
        <w:ind w:firstLine="482" w:firstLineChars="200"/>
        <w:rPr>
          <w:rFonts w:hint="eastAsia" w:ascii="宋体" w:hAnsi="宋体" w:cs="宋体"/>
          <w:b/>
          <w:sz w:val="24"/>
          <w:highlight w:val="none"/>
        </w:rPr>
      </w:pPr>
      <w:bookmarkStart w:id="166" w:name="_Toc6596"/>
      <w:bookmarkStart w:id="167" w:name="_Toc1125"/>
      <w:bookmarkStart w:id="168" w:name="_Toc14563"/>
      <w:r>
        <w:rPr>
          <w:rFonts w:hint="eastAsia" w:ascii="宋体" w:hAnsi="宋体" w:cs="宋体"/>
          <w:b/>
          <w:sz w:val="24"/>
          <w:highlight w:val="none"/>
        </w:rPr>
        <w:t>2.17 检验和验收</w:t>
      </w:r>
      <w:bookmarkEnd w:id="166"/>
      <w:bookmarkEnd w:id="167"/>
      <w:bookmarkEnd w:id="168"/>
    </w:p>
    <w:p w14:paraId="6FB2068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2.17.1 标的物交付前，乙方应对标的物的质量、数量等方面进行详细、全面的检验，并向甲方出具证明标的物符合合同约定的文件；标的物交付时，乙方在</w:t>
      </w:r>
      <w:r>
        <w:rPr>
          <w:rFonts w:hint="eastAsia" w:ascii="宋体" w:hAnsi="宋体" w:cs="宋体"/>
          <w:b/>
          <w:i/>
          <w:sz w:val="24"/>
          <w:highlight w:val="none"/>
          <w:u w:val="single"/>
        </w:rPr>
        <w:t>合同专用条款</w:t>
      </w:r>
      <w:r>
        <w:rPr>
          <w:rFonts w:hint="eastAsia" w:ascii="宋体" w:hAnsi="宋体" w:cs="宋体"/>
          <w:sz w:val="24"/>
          <w:highlight w:val="none"/>
        </w:rPr>
        <w:t>约定时间内组织验收，并可依法邀请相关方参加，验收应出具验收书。</w:t>
      </w:r>
    </w:p>
    <w:p w14:paraId="1BB1010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2.17.2 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7080FB7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2.17.3 检验和验收标准、程序等具体内容以及前述验收书的效力详见</w:t>
      </w:r>
      <w:r>
        <w:rPr>
          <w:rFonts w:hint="eastAsia" w:ascii="宋体" w:hAnsi="宋体" w:cs="宋体"/>
          <w:b/>
          <w:i/>
          <w:sz w:val="24"/>
          <w:highlight w:val="none"/>
          <w:u w:val="single"/>
        </w:rPr>
        <w:t>合同专用条款</w:t>
      </w:r>
      <w:r>
        <w:rPr>
          <w:rFonts w:hint="eastAsia" w:ascii="宋体" w:hAnsi="宋体" w:cs="宋体"/>
          <w:i/>
          <w:sz w:val="24"/>
          <w:highlight w:val="none"/>
        </w:rPr>
        <w:t>。</w:t>
      </w:r>
    </w:p>
    <w:bookmarkEnd w:id="138"/>
    <w:bookmarkEnd w:id="139"/>
    <w:bookmarkEnd w:id="140"/>
    <w:bookmarkEnd w:id="141"/>
    <w:p w14:paraId="1F3B546E">
      <w:pPr>
        <w:spacing w:line="360" w:lineRule="auto"/>
        <w:ind w:firstLine="482" w:firstLineChars="200"/>
        <w:rPr>
          <w:rFonts w:hint="eastAsia" w:ascii="宋体" w:hAnsi="宋体" w:cs="宋体"/>
          <w:b/>
          <w:sz w:val="24"/>
          <w:highlight w:val="none"/>
        </w:rPr>
      </w:pPr>
      <w:bookmarkStart w:id="169" w:name="_Toc259093690"/>
      <w:bookmarkStart w:id="170" w:name="_Toc279701261"/>
      <w:bookmarkStart w:id="171" w:name="_Toc487900371"/>
      <w:bookmarkStart w:id="172" w:name="_Toc25182"/>
      <w:bookmarkStart w:id="173" w:name="_Toc11284"/>
      <w:bookmarkStart w:id="174" w:name="_Toc19604"/>
      <w:r>
        <w:rPr>
          <w:rFonts w:hint="eastAsia" w:ascii="宋体" w:hAnsi="宋体" w:cs="宋体"/>
          <w:b/>
          <w:sz w:val="24"/>
          <w:highlight w:val="none"/>
        </w:rPr>
        <w:t>2.18 通知</w:t>
      </w:r>
      <w:bookmarkEnd w:id="169"/>
      <w:bookmarkEnd w:id="170"/>
      <w:bookmarkEnd w:id="171"/>
      <w:r>
        <w:rPr>
          <w:rFonts w:hint="eastAsia" w:ascii="宋体" w:hAnsi="宋体" w:cs="宋体"/>
          <w:b/>
          <w:sz w:val="24"/>
          <w:highlight w:val="none"/>
        </w:rPr>
        <w:t>和送达</w:t>
      </w:r>
      <w:bookmarkEnd w:id="172"/>
      <w:bookmarkEnd w:id="173"/>
      <w:bookmarkEnd w:id="174"/>
    </w:p>
    <w:p w14:paraId="4222B7EF">
      <w:pPr>
        <w:spacing w:line="360" w:lineRule="auto"/>
        <w:ind w:firstLine="480" w:firstLineChars="200"/>
        <w:rPr>
          <w:rFonts w:hint="eastAsia" w:ascii="宋体" w:hAnsi="宋体" w:cs="宋体"/>
          <w:sz w:val="24"/>
          <w:highlight w:val="none"/>
        </w:rPr>
      </w:pPr>
      <w:bookmarkStart w:id="175" w:name="_Toc3135"/>
      <w:bookmarkStart w:id="176" w:name="_Toc6698"/>
      <w:bookmarkStart w:id="177" w:name="_Toc259093691"/>
      <w:bookmarkStart w:id="178" w:name="_Toc487900372"/>
      <w:bookmarkStart w:id="179" w:name="_Toc279701262"/>
      <w:r>
        <w:rPr>
          <w:rFonts w:hint="eastAsia" w:ascii="宋体" w:hAnsi="宋体" w:cs="宋体"/>
          <w:sz w:val="24"/>
          <w:highlight w:val="none"/>
        </w:rPr>
        <w:t>2.18.1 任何一方因履行合同而以合同第一部分尾部所列明的</w:t>
      </w:r>
      <w:r>
        <w:rPr>
          <w:rFonts w:hint="eastAsia" w:ascii="宋体" w:hAnsi="宋体" w:cs="宋体"/>
          <w:sz w:val="24"/>
          <w:highlight w:val="none"/>
          <w:u w:val="single"/>
        </w:rPr>
        <w:t>“约定送达地址”</w:t>
      </w:r>
      <w:r>
        <w:rPr>
          <w:rFonts w:hint="eastAsia" w:ascii="宋体" w:hAnsi="宋体" w:cs="宋体"/>
          <w:sz w:val="24"/>
          <w:highlight w:val="none"/>
        </w:rPr>
        <w:t>为收件地址的所有通知、文件、材料，均视为已向对方当事人送达；任何一方变更上述送达方式或者地址的，应于</w:t>
      </w:r>
      <w:r>
        <w:rPr>
          <w:rFonts w:hint="eastAsia" w:ascii="宋体" w:hAnsi="宋体" w:cs="宋体"/>
          <w:sz w:val="24"/>
          <w:highlight w:val="none"/>
          <w:u w:val="single"/>
        </w:rPr>
        <w:t xml:space="preserve">    </w:t>
      </w:r>
      <w:r>
        <w:rPr>
          <w:rFonts w:hint="eastAsia" w:ascii="宋体" w:hAnsi="宋体" w:cs="宋体"/>
          <w:sz w:val="24"/>
          <w:highlight w:val="none"/>
        </w:rPr>
        <w:t>个工作日内书面通知对方当事人，在对方当事人收到有关变更通知之前，变更前的约定送达方式或者地址仍视为有效。</w:t>
      </w:r>
      <w:bookmarkEnd w:id="175"/>
      <w:bookmarkEnd w:id="176"/>
    </w:p>
    <w:p w14:paraId="48F71999">
      <w:pPr>
        <w:spacing w:line="360" w:lineRule="auto"/>
        <w:ind w:firstLine="480" w:firstLineChars="200"/>
        <w:rPr>
          <w:rFonts w:hint="eastAsia" w:ascii="宋体" w:hAnsi="宋体" w:cs="宋体"/>
          <w:sz w:val="24"/>
          <w:highlight w:val="none"/>
        </w:rPr>
      </w:pPr>
      <w:bookmarkStart w:id="180" w:name="_Toc23294"/>
      <w:bookmarkStart w:id="181" w:name="_Toc23128"/>
      <w:r>
        <w:rPr>
          <w:rFonts w:hint="eastAsia" w:ascii="宋体" w:hAnsi="宋体" w:cs="宋体"/>
          <w:sz w:val="24"/>
          <w:highlight w:val="none"/>
        </w:rPr>
        <w:t>2.18.2 以当面交付方式送达的，交付之时视为送达；以电子邮件方式送达的，发出电子邮件之时视为送达；以传真方式送达的，发出传真之时视为送达；以邮寄方式送达的，邮件挂号寄出或者交邮之日之次日视为送达。</w:t>
      </w:r>
      <w:bookmarkEnd w:id="180"/>
      <w:bookmarkEnd w:id="181"/>
    </w:p>
    <w:p w14:paraId="4A9DF140">
      <w:pPr>
        <w:spacing w:line="360" w:lineRule="auto"/>
        <w:ind w:firstLine="482" w:firstLineChars="200"/>
        <w:rPr>
          <w:rFonts w:hint="eastAsia" w:ascii="宋体" w:hAnsi="宋体" w:cs="宋体"/>
          <w:b/>
          <w:sz w:val="24"/>
          <w:highlight w:val="none"/>
        </w:rPr>
      </w:pPr>
      <w:bookmarkStart w:id="182" w:name="_Toc18540"/>
      <w:bookmarkStart w:id="183" w:name="_Toc4355"/>
      <w:bookmarkStart w:id="184" w:name="_Toc30599"/>
      <w:r>
        <w:rPr>
          <w:rFonts w:hint="eastAsia" w:ascii="宋体" w:hAnsi="宋体" w:cs="宋体"/>
          <w:b/>
          <w:sz w:val="24"/>
          <w:highlight w:val="none"/>
        </w:rPr>
        <w:t>2.19 计量单位</w:t>
      </w:r>
      <w:bookmarkEnd w:id="177"/>
      <w:bookmarkEnd w:id="178"/>
      <w:bookmarkEnd w:id="179"/>
      <w:bookmarkEnd w:id="182"/>
      <w:bookmarkEnd w:id="183"/>
      <w:bookmarkEnd w:id="184"/>
    </w:p>
    <w:p w14:paraId="283D08F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除技术规范中另有规定外,合同的计量单位均使用国家法定计量单位。</w:t>
      </w:r>
    </w:p>
    <w:p w14:paraId="488D5746">
      <w:pPr>
        <w:spacing w:line="360" w:lineRule="auto"/>
        <w:ind w:firstLine="482" w:firstLineChars="200"/>
        <w:rPr>
          <w:rFonts w:hint="eastAsia" w:ascii="宋体" w:hAnsi="宋体" w:cs="宋体"/>
          <w:b/>
          <w:sz w:val="24"/>
          <w:highlight w:val="none"/>
        </w:rPr>
      </w:pPr>
      <w:bookmarkStart w:id="185" w:name="_Toc18567"/>
      <w:bookmarkStart w:id="186" w:name="_Toc10330"/>
      <w:bookmarkStart w:id="187" w:name="_Toc259093692"/>
      <w:bookmarkStart w:id="188" w:name="_Toc279701263"/>
      <w:bookmarkStart w:id="189" w:name="_Toc12773"/>
      <w:bookmarkStart w:id="190" w:name="_Toc487900373"/>
      <w:r>
        <w:rPr>
          <w:rFonts w:hint="eastAsia" w:ascii="宋体" w:hAnsi="宋体" w:cs="宋体"/>
          <w:b/>
          <w:sz w:val="24"/>
          <w:highlight w:val="none"/>
        </w:rPr>
        <w:t>2.20 合同使用的文字和适用的法律</w:t>
      </w:r>
      <w:bookmarkEnd w:id="185"/>
      <w:bookmarkEnd w:id="186"/>
      <w:bookmarkEnd w:id="187"/>
      <w:bookmarkEnd w:id="188"/>
      <w:bookmarkEnd w:id="189"/>
      <w:bookmarkEnd w:id="190"/>
    </w:p>
    <w:p w14:paraId="715A021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2.20.1 合同使用汉语书就、变更和解释；</w:t>
      </w:r>
    </w:p>
    <w:p w14:paraId="250E977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2.20.2 合同适用中华人民共和国法律。</w:t>
      </w:r>
    </w:p>
    <w:p w14:paraId="3BD4FD0E">
      <w:pPr>
        <w:spacing w:line="360" w:lineRule="auto"/>
        <w:ind w:firstLine="480" w:firstLineChars="200"/>
        <w:rPr>
          <w:rFonts w:hint="eastAsia" w:ascii="宋体" w:hAnsi="宋体" w:cs="宋体"/>
          <w:sz w:val="24"/>
          <w:highlight w:val="none"/>
        </w:rPr>
      </w:pPr>
      <w:bookmarkStart w:id="191" w:name="_Toc3148"/>
      <w:bookmarkStart w:id="192" w:name="_Toc12004"/>
      <w:bookmarkStart w:id="193" w:name="_Toc259093693"/>
      <w:bookmarkStart w:id="194" w:name="_Toc16673"/>
      <w:bookmarkStart w:id="195" w:name="_Toc279701264"/>
      <w:bookmarkStart w:id="196" w:name="_Toc487900374"/>
      <w:r>
        <w:rPr>
          <w:rFonts w:hint="eastAsia" w:ascii="宋体" w:hAnsi="宋体" w:cs="宋体"/>
          <w:sz w:val="24"/>
          <w:highlight w:val="none"/>
        </w:rPr>
        <w:t>2.21 履约保证金</w:t>
      </w:r>
      <w:bookmarkEnd w:id="191"/>
      <w:bookmarkEnd w:id="192"/>
      <w:bookmarkEnd w:id="193"/>
      <w:bookmarkEnd w:id="194"/>
      <w:bookmarkEnd w:id="195"/>
    </w:p>
    <w:p w14:paraId="74FCD99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本项目不收取履约保证金</w:t>
      </w:r>
    </w:p>
    <w:p w14:paraId="2334C8C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2.22 中小企业政策</w:t>
      </w:r>
    </w:p>
    <w:p w14:paraId="3B07606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2.22.1本合同（□是  □否）为中小企业“政采贷”可融资合同，关于中小企业信用融资事项见采购文件“供应商须知正文”。</w:t>
      </w:r>
    </w:p>
    <w:p w14:paraId="250AD8D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2.22.2本合同（□是  □否）为中小企业预留合同。</w:t>
      </w:r>
    </w:p>
    <w:bookmarkEnd w:id="196"/>
    <w:p w14:paraId="2C2C8BA4">
      <w:pPr>
        <w:spacing w:line="360" w:lineRule="auto"/>
        <w:ind w:firstLine="482" w:firstLineChars="200"/>
        <w:rPr>
          <w:rFonts w:hint="eastAsia" w:ascii="宋体" w:hAnsi="宋体" w:cs="宋体"/>
          <w:b/>
          <w:sz w:val="24"/>
          <w:highlight w:val="none"/>
        </w:rPr>
      </w:pPr>
      <w:bookmarkStart w:id="197" w:name="_Toc19890"/>
      <w:bookmarkStart w:id="198" w:name="_Toc14001"/>
      <w:bookmarkStart w:id="199" w:name="_Toc6885"/>
      <w:r>
        <w:rPr>
          <w:rFonts w:hint="eastAsia" w:ascii="宋体" w:hAnsi="宋体" w:cs="宋体"/>
          <w:b/>
          <w:sz w:val="24"/>
          <w:highlight w:val="none"/>
        </w:rPr>
        <w:t>2.23 合同份数</w:t>
      </w:r>
      <w:bookmarkEnd w:id="197"/>
      <w:bookmarkEnd w:id="198"/>
      <w:bookmarkEnd w:id="199"/>
    </w:p>
    <w:p w14:paraId="43F5D185">
      <w:pPr>
        <w:spacing w:line="440" w:lineRule="exact"/>
        <w:jc w:val="center"/>
        <w:outlineLvl w:val="0"/>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sz w:val="24"/>
          <w:highlight w:val="none"/>
        </w:rPr>
        <w:t>本合同壹式</w:t>
      </w:r>
      <w:r>
        <w:rPr>
          <w:rFonts w:hint="eastAsia" w:ascii="宋体" w:hAnsi="宋体" w:cs="宋体"/>
          <w:sz w:val="24"/>
          <w:highlight w:val="none"/>
          <w:u w:val="single"/>
        </w:rPr>
        <w:t xml:space="preserve">   </w:t>
      </w:r>
      <w:r>
        <w:rPr>
          <w:rFonts w:hint="eastAsia" w:ascii="宋体" w:hAnsi="宋体" w:cs="宋体"/>
          <w:sz w:val="24"/>
          <w:highlight w:val="none"/>
        </w:rPr>
        <w:t>份，甲方执</w:t>
      </w:r>
      <w:r>
        <w:rPr>
          <w:rFonts w:hint="eastAsia" w:ascii="宋体" w:hAnsi="宋体" w:cs="宋体"/>
          <w:sz w:val="24"/>
          <w:highlight w:val="none"/>
          <w:u w:val="single"/>
        </w:rPr>
        <w:t xml:space="preserve">   </w:t>
      </w:r>
      <w:r>
        <w:rPr>
          <w:rFonts w:hint="eastAsia" w:ascii="宋体" w:hAnsi="宋体" w:cs="宋体"/>
          <w:sz w:val="24"/>
          <w:highlight w:val="none"/>
        </w:rPr>
        <w:t>份，乙方执</w:t>
      </w:r>
      <w:r>
        <w:rPr>
          <w:rFonts w:hint="eastAsia" w:ascii="宋体" w:hAnsi="宋体" w:cs="宋体"/>
          <w:sz w:val="24"/>
          <w:highlight w:val="none"/>
          <w:u w:val="single"/>
        </w:rPr>
        <w:t xml:space="preserve">   </w:t>
      </w:r>
      <w:r>
        <w:rPr>
          <w:rFonts w:hint="eastAsia" w:ascii="宋体" w:hAnsi="宋体" w:cs="宋体"/>
          <w:sz w:val="24"/>
          <w:highlight w:val="none"/>
        </w:rPr>
        <w:t>份。每份均具有同等法律效力。</w:t>
      </w:r>
      <w:r>
        <w:rPr>
          <w:rFonts w:hint="eastAsia" w:ascii="宋体" w:hAnsi="宋体" w:cs="宋体"/>
          <w:color w:val="000000" w:themeColor="text1"/>
          <w:highlight w:val="none"/>
          <w14:textFill>
            <w14:solidFill>
              <w14:schemeClr w14:val="tx1"/>
            </w14:solidFill>
          </w14:textFill>
        </w:rPr>
        <w:br w:type="page"/>
      </w:r>
      <w:bookmarkStart w:id="200" w:name="_Toc18393"/>
      <w:r>
        <w:rPr>
          <w:rFonts w:hint="eastAsia" w:ascii="宋体" w:hAnsi="宋体" w:cs="宋体"/>
          <w:b/>
          <w:color w:val="000000" w:themeColor="text1"/>
          <w:sz w:val="32"/>
          <w:highlight w:val="none"/>
          <w14:textFill>
            <w14:solidFill>
              <w14:schemeClr w14:val="tx1"/>
            </w14:solidFill>
          </w14:textFill>
        </w:rPr>
        <w:t>第六部分 投标文件格式</w:t>
      </w:r>
      <w:bookmarkEnd w:id="32"/>
      <w:bookmarkEnd w:id="200"/>
    </w:p>
    <w:p w14:paraId="4873A4F9">
      <w:pPr>
        <w:pStyle w:val="104"/>
        <w:spacing w:after="0"/>
        <w:ind w:left="0" w:leftChars="0" w:firstLine="0" w:firstLineChars="0"/>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目录</w:t>
      </w:r>
    </w:p>
    <w:p w14:paraId="178CAD24">
      <w:pPr>
        <w:spacing w:line="276" w:lineRule="auto"/>
        <w:rPr>
          <w:rFonts w:hint="eastAsia" w:ascii="宋体" w:hAnsi="宋体" w:cs="宋体"/>
          <w:color w:val="000000" w:themeColor="text1"/>
          <w:sz w:val="24"/>
          <w:highlight w:val="none"/>
          <w14:textFill>
            <w14:solidFill>
              <w14:schemeClr w14:val="tx1"/>
            </w14:solidFill>
          </w14:textFill>
        </w:rPr>
      </w:pPr>
      <w:bookmarkStart w:id="201" w:name="_Toc18205"/>
      <w:bookmarkStart w:id="202" w:name="_Toc14936"/>
      <w:bookmarkStart w:id="203" w:name="_Toc19503"/>
      <w:bookmarkStart w:id="204" w:name="_Toc15731"/>
      <w:r>
        <w:rPr>
          <w:rFonts w:hint="eastAsia" w:ascii="宋体" w:hAnsi="宋体" w:cs="宋体"/>
          <w:color w:val="000000" w:themeColor="text1"/>
          <w:sz w:val="24"/>
          <w:highlight w:val="none"/>
          <w14:textFill>
            <w14:solidFill>
              <w14:schemeClr w14:val="tx1"/>
            </w14:solidFill>
          </w14:textFill>
        </w:rPr>
        <w:t>一、法定代表人身份证明复印件(法定代表人参加投标)</w:t>
      </w:r>
    </w:p>
    <w:p w14:paraId="0ADAF8E7">
      <w:pPr>
        <w:spacing w:line="276" w:lineRule="auto"/>
        <w:rPr>
          <w:rFonts w:hint="eastAsia" w:ascii="宋体" w:hAnsi="宋体" w:cs="宋体"/>
          <w:color w:val="000000" w:themeColor="text1"/>
          <w:sz w:val="24"/>
          <w:highlight w:val="none"/>
          <w14:textFill>
            <w14:solidFill>
              <w14:schemeClr w14:val="tx1"/>
            </w14:solidFill>
          </w14:textFill>
        </w:rPr>
      </w:pPr>
      <w:bookmarkStart w:id="205" w:name="_Toc10741"/>
      <w:r>
        <w:rPr>
          <w:rFonts w:hint="eastAsia" w:ascii="宋体" w:hAnsi="宋体" w:cs="宋体"/>
          <w:color w:val="000000" w:themeColor="text1"/>
          <w:sz w:val="24"/>
          <w:highlight w:val="none"/>
          <w14:textFill>
            <w14:solidFill>
              <w14:schemeClr w14:val="tx1"/>
            </w14:solidFill>
          </w14:textFill>
        </w:rPr>
        <w:t>二、投标供应商代表身份证明</w:t>
      </w:r>
      <w:bookmarkEnd w:id="201"/>
      <w:bookmarkEnd w:id="202"/>
      <w:bookmarkEnd w:id="205"/>
    </w:p>
    <w:p w14:paraId="0D8B5996">
      <w:pPr>
        <w:spacing w:line="276" w:lineRule="auto"/>
        <w:ind w:firstLine="420" w:firstLineChars="17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1法定代表人授权委托书(授权代表参加投标)</w:t>
      </w:r>
    </w:p>
    <w:bookmarkEnd w:id="203"/>
    <w:bookmarkEnd w:id="204"/>
    <w:p w14:paraId="35F894A7">
      <w:pPr>
        <w:spacing w:line="276" w:lineRule="auto"/>
        <w:rPr>
          <w:rFonts w:hint="eastAsia" w:ascii="宋体" w:hAnsi="宋体" w:cs="宋体"/>
          <w:color w:val="000000" w:themeColor="text1"/>
          <w:sz w:val="24"/>
          <w:highlight w:val="none"/>
          <w14:textFill>
            <w14:solidFill>
              <w14:schemeClr w14:val="tx1"/>
            </w14:solidFill>
          </w14:textFill>
        </w:rPr>
      </w:pPr>
      <w:bookmarkStart w:id="206" w:name="_Hlk132118260"/>
      <w:r>
        <w:rPr>
          <w:rFonts w:hint="eastAsia" w:ascii="宋体" w:hAnsi="宋体" w:cs="宋体"/>
          <w:color w:val="000000" w:themeColor="text1"/>
          <w:sz w:val="24"/>
          <w:highlight w:val="none"/>
          <w14:textFill>
            <w14:solidFill>
              <w14:schemeClr w14:val="tx1"/>
            </w14:solidFill>
          </w14:textFill>
        </w:rPr>
        <w:t>三、提供符合政府采购政策的证明材料</w:t>
      </w:r>
      <w:bookmarkEnd w:id="206"/>
    </w:p>
    <w:p w14:paraId="1C6B973F">
      <w:pPr>
        <w:spacing w:line="276"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1中小企业声明函</w:t>
      </w:r>
    </w:p>
    <w:p w14:paraId="669617C9">
      <w:pPr>
        <w:spacing w:line="276"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2监狱企业证明文件</w:t>
      </w:r>
    </w:p>
    <w:p w14:paraId="271B7A4C">
      <w:pPr>
        <w:spacing w:line="276"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3残疾人福利性单位声明函</w:t>
      </w:r>
    </w:p>
    <w:p w14:paraId="642F8E3F">
      <w:pPr>
        <w:spacing w:line="276"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4分包意向协议书</w:t>
      </w:r>
    </w:p>
    <w:p w14:paraId="0F710286">
      <w:pPr>
        <w:pStyle w:val="21"/>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四、投标函</w:t>
      </w:r>
    </w:p>
    <w:p w14:paraId="7D7A76EA">
      <w:pPr>
        <w:pStyle w:val="21"/>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五、反商业贿赂承诺书</w:t>
      </w:r>
    </w:p>
    <w:p w14:paraId="5E30DD9A">
      <w:pPr>
        <w:pStyle w:val="21"/>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六、开标一览表</w:t>
      </w:r>
    </w:p>
    <w:p w14:paraId="13B23AAF">
      <w:pPr>
        <w:pStyle w:val="21"/>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七、采购需求偏离表</w:t>
      </w:r>
    </w:p>
    <w:p w14:paraId="378207F8">
      <w:pPr>
        <w:pStyle w:val="21"/>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八、项目实施方案</w:t>
      </w:r>
    </w:p>
    <w:p w14:paraId="12787802">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九、业绩</w:t>
      </w:r>
    </w:p>
    <w:p w14:paraId="32A0A012">
      <w:pPr>
        <w:spacing w:line="276" w:lineRule="auto"/>
        <w:rPr>
          <w:rFonts w:hint="eastAsia" w:ascii="宋体" w:hAnsi="宋体" w:cs="宋体"/>
          <w:color w:val="000000" w:themeColor="text1"/>
          <w:sz w:val="24"/>
          <w:highlight w:val="none"/>
          <w14:textFill>
            <w14:solidFill>
              <w14:schemeClr w14:val="tx1"/>
            </w14:solidFill>
          </w14:textFill>
        </w:rPr>
      </w:pPr>
      <w:bookmarkStart w:id="207" w:name="_Toc25967"/>
      <w:bookmarkStart w:id="208" w:name="_Toc28913"/>
      <w:bookmarkStart w:id="209" w:name="_Toc7039"/>
      <w:r>
        <w:rPr>
          <w:rFonts w:hint="eastAsia" w:ascii="宋体" w:hAnsi="宋体" w:cs="宋体"/>
          <w:color w:val="000000" w:themeColor="text1"/>
          <w:sz w:val="24"/>
          <w:highlight w:val="none"/>
          <w14:textFill>
            <w14:solidFill>
              <w14:schemeClr w14:val="tx1"/>
            </w14:solidFill>
          </w14:textFill>
        </w:rPr>
        <w:t>十、</w:t>
      </w:r>
      <w:bookmarkEnd w:id="207"/>
      <w:bookmarkEnd w:id="208"/>
      <w:bookmarkEnd w:id="209"/>
      <w:r>
        <w:rPr>
          <w:rFonts w:hint="eastAsia" w:ascii="宋体" w:hAnsi="宋体" w:cs="宋体"/>
          <w:color w:val="000000" w:themeColor="text1"/>
          <w:sz w:val="24"/>
          <w:highlight w:val="none"/>
          <w14:textFill>
            <w14:solidFill>
              <w14:schemeClr w14:val="tx1"/>
            </w14:solidFill>
          </w14:textFill>
        </w:rPr>
        <w:t>资格审查文件</w:t>
      </w:r>
    </w:p>
    <w:p w14:paraId="5729A6FB">
      <w:pPr>
        <w:spacing w:line="276" w:lineRule="auto"/>
        <w:ind w:firstLine="420" w:firstLineChars="17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b/>
      </w:r>
    </w:p>
    <w:p w14:paraId="73F7E038">
      <w:pPr>
        <w:spacing w:line="276" w:lineRule="auto"/>
        <w:ind w:firstLine="241" w:firstLineChars="1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注：1.投标供应商制作投标文件，应按照投标文件组成顺序制作，编好始末页码且在投标文件目录中一一列明并对应。</w:t>
      </w:r>
    </w:p>
    <w:p w14:paraId="0761B9E9">
      <w:pPr>
        <w:spacing w:line="276" w:lineRule="auto"/>
        <w:ind w:firstLine="42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2.公开招标文件没有提供格式的，投标供应商可自行设置。</w:t>
      </w:r>
      <w:r>
        <w:rPr>
          <w:rFonts w:hint="eastAsia" w:ascii="宋体" w:hAnsi="宋体" w:cs="宋体"/>
          <w:color w:val="000000" w:themeColor="text1"/>
          <w:sz w:val="30"/>
          <w:szCs w:val="30"/>
          <w:highlight w:val="none"/>
          <w14:textFill>
            <w14:solidFill>
              <w14:schemeClr w14:val="tx1"/>
            </w14:solidFill>
          </w14:textFill>
        </w:rPr>
        <w:t xml:space="preserve"> </w:t>
      </w:r>
    </w:p>
    <w:p w14:paraId="4B25D2F8">
      <w:pPr>
        <w:spacing w:line="276" w:lineRule="auto"/>
        <w:ind w:firstLine="420"/>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 </w:t>
      </w:r>
    </w:p>
    <w:p w14:paraId="051B5E32">
      <w:pPr>
        <w:pStyle w:val="104"/>
        <w:spacing w:after="0"/>
        <w:ind w:left="0" w:leftChars="0" w:firstLine="3" w:firstLineChars="1"/>
        <w:jc w:val="center"/>
        <w:outlineLvl w:val="1"/>
        <w:rPr>
          <w:rFonts w:hint="eastAsia" w:ascii="宋体" w:hAnsi="宋体" w:cs="宋体"/>
          <w:b/>
          <w:color w:val="000000" w:themeColor="text1"/>
          <w:sz w:val="28"/>
          <w:szCs w:val="28"/>
          <w:highlight w:val="none"/>
          <w14:textFill>
            <w14:solidFill>
              <w14:schemeClr w14:val="tx1"/>
            </w14:solidFill>
          </w14:textFill>
        </w:rPr>
      </w:pPr>
      <w:bookmarkStart w:id="210" w:name="_Toc25801"/>
      <w:bookmarkStart w:id="211" w:name="_Toc17137"/>
      <w:bookmarkStart w:id="212" w:name="_Toc3192"/>
      <w:r>
        <w:rPr>
          <w:rFonts w:hint="eastAsia" w:ascii="宋体" w:hAnsi="宋体" w:cs="宋体"/>
          <w:b/>
          <w:color w:val="000000" w:themeColor="text1"/>
          <w:sz w:val="30"/>
          <w:szCs w:val="30"/>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一、法定代表人资格证明书</w:t>
      </w:r>
      <w:bookmarkEnd w:id="210"/>
      <w:bookmarkEnd w:id="211"/>
      <w:bookmarkEnd w:id="212"/>
    </w:p>
    <w:p w14:paraId="05F95F70">
      <w:pPr>
        <w:spacing w:before="172" w:beforeLines="50" w:after="172" w:afterLines="50" w:line="360" w:lineRule="auto"/>
        <w:ind w:left="546" w:leftChars="26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单位名称：</w:t>
      </w:r>
    </w:p>
    <w:p w14:paraId="4ACEF2CD">
      <w:pPr>
        <w:spacing w:before="172" w:beforeLines="50" w:after="172" w:afterLines="50" w:line="360" w:lineRule="auto"/>
        <w:ind w:left="546" w:leftChars="26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单位性质：</w:t>
      </w:r>
    </w:p>
    <w:p w14:paraId="00457546">
      <w:pPr>
        <w:spacing w:before="172" w:beforeLines="50" w:after="172" w:afterLines="50" w:line="360" w:lineRule="auto"/>
        <w:ind w:left="546" w:leftChars="2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p>
    <w:p w14:paraId="03B0A6E5">
      <w:pPr>
        <w:spacing w:before="172" w:beforeLines="50" w:after="172" w:afterLines="50" w:line="360" w:lineRule="auto"/>
        <w:ind w:left="546" w:leftChars="26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成立时间：</w:t>
      </w:r>
    </w:p>
    <w:p w14:paraId="2AFF55F8">
      <w:pPr>
        <w:spacing w:before="172" w:beforeLines="50" w:after="172" w:afterLines="50" w:line="360" w:lineRule="auto"/>
        <w:ind w:left="546" w:leftChars="2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经营期限：</w:t>
      </w:r>
    </w:p>
    <w:p w14:paraId="2091C47A">
      <w:pPr>
        <w:spacing w:before="172" w:beforeLines="50" w:after="172" w:afterLines="50" w:line="360" w:lineRule="auto"/>
        <w:ind w:left="546" w:leftChars="2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姓名：性别：年龄：职务：</w:t>
      </w:r>
    </w:p>
    <w:p w14:paraId="132B4484">
      <w:pPr>
        <w:spacing w:before="172" w:beforeLines="50" w:after="172" w:afterLines="50"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w:t>
      </w:r>
      <w:r>
        <w:rPr>
          <w:rFonts w:hint="eastAsia" w:ascii="宋体" w:hAnsi="宋体" w:cs="宋体"/>
          <w:color w:val="000000" w:themeColor="text1"/>
          <w:sz w:val="24"/>
          <w:highlight w:val="none"/>
          <w:u w:val="single"/>
          <w14:textFill>
            <w14:solidFill>
              <w14:schemeClr w14:val="tx1"/>
            </w14:solidFill>
          </w14:textFill>
        </w:rPr>
        <w:t>（投标供应商）</w:t>
      </w:r>
      <w:r>
        <w:rPr>
          <w:rFonts w:hint="eastAsia" w:ascii="宋体" w:hAnsi="宋体" w:cs="宋体"/>
          <w:color w:val="000000" w:themeColor="text1"/>
          <w:sz w:val="24"/>
          <w:highlight w:val="none"/>
          <w14:textFill>
            <w14:solidFill>
              <w14:schemeClr w14:val="tx1"/>
            </w14:solidFill>
          </w14:textFill>
        </w:rPr>
        <w:t>的法定代表人。</w:t>
      </w:r>
      <w:r>
        <w:rPr>
          <w:rFonts w:hint="eastAsia" w:ascii="宋体" w:hAnsi="宋体" w:cs="宋体"/>
          <w:color w:val="000000" w:themeColor="text1"/>
          <w:sz w:val="24"/>
          <w:highlight w:val="none"/>
          <w14:textFill>
            <w14:solidFill>
              <w14:schemeClr w14:val="tx1"/>
            </w14:solidFill>
          </w14:textFill>
        </w:rPr>
        <w:cr/>
      </w:r>
    </w:p>
    <w:p w14:paraId="7DF04305">
      <w:pPr>
        <w:spacing w:before="172" w:beforeLines="50" w:after="172" w:afterLines="50"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特此证明。</w:t>
      </w:r>
    </w:p>
    <w:p w14:paraId="05480ED1">
      <w:pPr>
        <w:spacing w:before="172" w:beforeLines="50" w:after="172" w:afterLines="50"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（附法定代表人身份证复印件）</w:t>
      </w:r>
    </w:p>
    <w:p w14:paraId="386D2AB0">
      <w:pPr>
        <w:spacing w:before="172" w:beforeLines="50" w:after="172" w:afterLines="50" w:line="360" w:lineRule="auto"/>
        <w:ind w:firstLine="480" w:firstLineChars="200"/>
        <w:rPr>
          <w:rFonts w:hint="eastAsia" w:ascii="宋体" w:hAnsi="宋体" w:cs="宋体"/>
          <w:color w:val="000000" w:themeColor="text1"/>
          <w:sz w:val="24"/>
          <w:highlight w:val="none"/>
          <w14:textFill>
            <w14:solidFill>
              <w14:schemeClr w14:val="tx1"/>
            </w14:solidFill>
          </w14:textFill>
        </w:rPr>
      </w:pPr>
    </w:p>
    <w:p w14:paraId="4F0B75B5">
      <w:pPr>
        <w:spacing w:before="172" w:beforeLines="50" w:after="172" w:afterLines="50"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投标供应商签章：[投标供应商签章]</w:t>
      </w:r>
    </w:p>
    <w:p w14:paraId="05AF7D72">
      <w:pPr>
        <w:spacing w:before="172" w:beforeLines="50" w:after="172" w:afterLines="50" w:line="360" w:lineRule="auto"/>
        <w:ind w:firstLine="496"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4"/>
          <w:sz w:val="24"/>
          <w:highlight w:val="none"/>
          <w14:textFill>
            <w14:solidFill>
              <w14:schemeClr w14:val="tx1"/>
            </w14:solidFill>
          </w14:textFill>
        </w:rPr>
        <w:t>日期：</w:t>
      </w:r>
      <w:r>
        <w:rPr>
          <w:rFonts w:hint="eastAsia" w:ascii="宋体" w:hAnsi="宋体" w:cs="宋体"/>
          <w:color w:val="000000" w:themeColor="text1"/>
          <w:sz w:val="24"/>
          <w:highlight w:val="none"/>
          <w14:textFill>
            <w14:solidFill>
              <w14:schemeClr w14:val="tx1"/>
            </w14:solidFill>
          </w14:textFill>
        </w:rPr>
        <w:t>年月日</w:t>
      </w:r>
    </w:p>
    <w:p w14:paraId="386C25FA">
      <w:pPr>
        <w:pStyle w:val="104"/>
        <w:spacing w:after="0"/>
        <w:ind w:left="0" w:leftChars="0" w:firstLine="3" w:firstLineChars="1"/>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bookmarkStart w:id="213" w:name="_Toc27720"/>
      <w:bookmarkStart w:id="214" w:name="_Toc26741"/>
      <w:bookmarkStart w:id="215" w:name="_Toc12725"/>
      <w:r>
        <w:rPr>
          <w:rFonts w:hint="eastAsia" w:ascii="宋体" w:hAnsi="宋体" w:cs="宋体"/>
          <w:b/>
          <w:color w:val="000000" w:themeColor="text1"/>
          <w:sz w:val="28"/>
          <w:szCs w:val="28"/>
          <w:highlight w:val="none"/>
          <w14:textFill>
            <w14:solidFill>
              <w14:schemeClr w14:val="tx1"/>
            </w14:solidFill>
          </w14:textFill>
        </w:rPr>
        <w:t>二、投标供应商代表身份证明</w:t>
      </w:r>
    </w:p>
    <w:p w14:paraId="27F9BE11">
      <w:pPr>
        <w:spacing w:line="440" w:lineRule="exact"/>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法定代表人授权委托书</w:t>
      </w:r>
      <w:bookmarkEnd w:id="213"/>
      <w:bookmarkEnd w:id="214"/>
      <w:bookmarkEnd w:id="215"/>
    </w:p>
    <w:p w14:paraId="32FD4846">
      <w:pPr>
        <w:spacing w:line="440" w:lineRule="exact"/>
        <w:jc w:val="center"/>
        <w:rPr>
          <w:rFonts w:hint="eastAsia" w:ascii="宋体" w:hAnsi="宋体" w:cs="宋体"/>
          <w:b/>
          <w:color w:val="000000" w:themeColor="text1"/>
          <w:sz w:val="32"/>
          <w:szCs w:val="32"/>
          <w:highlight w:val="none"/>
          <w14:textFill>
            <w14:solidFill>
              <w14:schemeClr w14:val="tx1"/>
            </w14:solidFill>
          </w14:textFill>
        </w:rPr>
      </w:pPr>
    </w:p>
    <w:p w14:paraId="39CA84D0">
      <w:pPr>
        <w:autoSpaceDE w:val="0"/>
        <w:autoSpaceDN w:val="0"/>
        <w:adjustRightInd w:val="0"/>
        <w:spacing w:line="440" w:lineRule="exact"/>
        <w:ind w:firstLine="42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本授权声明：注册于中华人民共和国的</w:t>
      </w:r>
      <w:r>
        <w:rPr>
          <w:rFonts w:hint="eastAsia" w:ascii="宋体" w:hAnsi="宋体" w:cs="宋体"/>
          <w:color w:val="000000" w:themeColor="text1"/>
          <w:sz w:val="24"/>
          <w:highlight w:val="none"/>
          <w:u w:val="single"/>
          <w14:textFill>
            <w14:solidFill>
              <w14:schemeClr w14:val="tx1"/>
            </w14:solidFill>
          </w14:textFill>
        </w:rPr>
        <w:t>（投标供应商名称、住址）</w:t>
      </w:r>
      <w:r>
        <w:rPr>
          <w:rFonts w:hint="eastAsia" w:ascii="宋体" w:hAnsi="宋体" w:cs="宋体"/>
          <w:color w:val="000000" w:themeColor="text1"/>
          <w:sz w:val="24"/>
          <w:highlight w:val="none"/>
          <w14:textFill>
            <w14:solidFill>
              <w14:schemeClr w14:val="tx1"/>
            </w14:solidFill>
          </w14:textFill>
        </w:rPr>
        <w:t>的法人代表</w:t>
      </w:r>
      <w:r>
        <w:rPr>
          <w:rFonts w:hint="eastAsia" w:ascii="宋体" w:hAnsi="宋体" w:cs="宋体"/>
          <w:color w:val="000000" w:themeColor="text1"/>
          <w:sz w:val="24"/>
          <w:highlight w:val="none"/>
          <w:u w:val="single"/>
          <w14:textFill>
            <w14:solidFill>
              <w14:schemeClr w14:val="tx1"/>
            </w14:solidFill>
          </w14:textFill>
        </w:rPr>
        <w:t>（法定代表人姓名）</w:t>
      </w:r>
      <w:r>
        <w:rPr>
          <w:rFonts w:hint="eastAsia" w:ascii="宋体" w:hAnsi="宋体" w:cs="宋体"/>
          <w:color w:val="000000" w:themeColor="text1"/>
          <w:sz w:val="24"/>
          <w:highlight w:val="none"/>
          <w14:textFill>
            <w14:solidFill>
              <w14:schemeClr w14:val="tx1"/>
            </w14:solidFill>
          </w14:textFill>
        </w:rPr>
        <w:t>代表本公司授权在下面签字的</w:t>
      </w:r>
      <w:r>
        <w:rPr>
          <w:rFonts w:hint="eastAsia" w:ascii="宋体" w:hAnsi="宋体" w:cs="宋体"/>
          <w:color w:val="000000" w:themeColor="text1"/>
          <w:sz w:val="24"/>
          <w:highlight w:val="none"/>
          <w:u w:val="single"/>
          <w14:textFill>
            <w14:solidFill>
              <w14:schemeClr w14:val="tx1"/>
            </w14:solidFill>
          </w14:textFill>
        </w:rPr>
        <w:t>（授权代表姓名）</w:t>
      </w:r>
      <w:r>
        <w:rPr>
          <w:rFonts w:hint="eastAsia" w:ascii="宋体" w:hAnsi="宋体" w:cs="宋体"/>
          <w:color w:val="000000" w:themeColor="text1"/>
          <w:sz w:val="24"/>
          <w:highlight w:val="none"/>
          <w14:textFill>
            <w14:solidFill>
              <w14:schemeClr w14:val="tx1"/>
            </w14:solidFill>
          </w14:textFill>
        </w:rPr>
        <w:t>为本公司的合法代理人，就此次</w:t>
      </w:r>
      <w:r>
        <w:rPr>
          <w:rFonts w:hint="eastAsia" w:ascii="宋体" w:hAnsi="宋体" w:cs="宋体"/>
          <w:color w:val="000000" w:themeColor="text1"/>
          <w:sz w:val="24"/>
          <w:highlight w:val="none"/>
          <w:u w:val="single"/>
          <w14:textFill>
            <w14:solidFill>
              <w14:schemeClr w14:val="tx1"/>
            </w14:solidFill>
          </w14:textFill>
        </w:rPr>
        <w:t xml:space="preserve">   项目名称  </w:t>
      </w:r>
      <w:r>
        <w:rPr>
          <w:rFonts w:hint="eastAsia" w:ascii="宋体" w:hAnsi="宋体" w:cs="宋体"/>
          <w:color w:val="000000" w:themeColor="text1"/>
          <w:sz w:val="24"/>
          <w:highlight w:val="none"/>
          <w14:textFill>
            <w14:solidFill>
              <w14:schemeClr w14:val="tx1"/>
            </w14:solidFill>
          </w14:textFill>
        </w:rPr>
        <w:t>项目，项目编号为（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）的投标及相关事务代表本公司处理与之有关的一切事务。</w:t>
      </w:r>
    </w:p>
    <w:p w14:paraId="2956022B">
      <w:pPr>
        <w:autoSpaceDE w:val="0"/>
        <w:autoSpaceDN w:val="0"/>
        <w:adjustRightInd w:val="0"/>
        <w:spacing w:line="440" w:lineRule="exact"/>
        <w:ind w:firstLine="420" w:firstLineChars="17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本授权书于</w:t>
      </w:r>
      <w:r>
        <w:rPr>
          <w:rFonts w:hint="eastAsia" w:ascii="宋体" w:hAnsi="宋体" w:cs="宋体"/>
          <w:color w:val="000000" w:themeColor="text1"/>
          <w:sz w:val="24"/>
          <w:highlight w:val="none"/>
          <w:u w:val="single"/>
          <w14:textFill>
            <w14:solidFill>
              <w14:schemeClr w14:val="tx1"/>
            </w14:solidFill>
          </w14:textFill>
        </w:rPr>
        <w:t>年月日</w:t>
      </w:r>
      <w:r>
        <w:rPr>
          <w:rFonts w:hint="eastAsia" w:ascii="宋体" w:hAnsi="宋体" w:cs="宋体"/>
          <w:color w:val="000000" w:themeColor="text1"/>
          <w:sz w:val="24"/>
          <w:highlight w:val="none"/>
          <w14:textFill>
            <w14:solidFill>
              <w14:schemeClr w14:val="tx1"/>
            </w14:solidFill>
          </w14:textFill>
        </w:rPr>
        <w:t>签字生效，特此声明。</w:t>
      </w:r>
    </w:p>
    <w:p w14:paraId="639E06F5">
      <w:pPr>
        <w:autoSpaceDE w:val="0"/>
        <w:autoSpaceDN w:val="0"/>
        <w:adjustRightInd w:val="0"/>
        <w:spacing w:line="440" w:lineRule="exact"/>
        <w:ind w:firstLine="480" w:firstLineChars="20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法定代表人签字或盖章：</w:t>
      </w:r>
    </w:p>
    <w:p w14:paraId="407DCEF4">
      <w:pPr>
        <w:autoSpaceDE w:val="0"/>
        <w:autoSpaceDN w:val="0"/>
        <w:adjustRightInd w:val="0"/>
        <w:spacing w:line="440" w:lineRule="exact"/>
        <w:ind w:firstLine="480" w:firstLineChars="20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授权代表签字或盖章：</w:t>
      </w:r>
    </w:p>
    <w:p w14:paraId="35793A56">
      <w:pPr>
        <w:autoSpaceDE w:val="0"/>
        <w:autoSpaceDN w:val="0"/>
        <w:adjustRightInd w:val="0"/>
        <w:spacing w:line="440" w:lineRule="exact"/>
        <w:ind w:firstLine="480" w:firstLineChars="20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单位名称：</w:t>
      </w:r>
    </w:p>
    <w:p w14:paraId="06BFCAF7">
      <w:pPr>
        <w:spacing w:line="4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授权日期：20</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日</w:t>
      </w:r>
    </w:p>
    <w:p w14:paraId="06DA116B">
      <w:pPr>
        <w:spacing w:line="440" w:lineRule="exact"/>
        <w:ind w:firstLine="480"/>
        <w:rPr>
          <w:rFonts w:hint="eastAsia" w:ascii="宋体" w:hAnsi="宋体" w:cs="宋体"/>
          <w:color w:val="000000" w:themeColor="text1"/>
          <w:sz w:val="24"/>
          <w:highlight w:val="none"/>
          <w14:textFill>
            <w14:solidFill>
              <w14:schemeClr w14:val="tx1"/>
            </w14:solidFill>
          </w14:textFill>
        </w:rPr>
      </w:pPr>
    </w:p>
    <w:p w14:paraId="76DAE55F">
      <w:pPr>
        <w:spacing w:line="440" w:lineRule="exact"/>
        <w:ind w:firstLine="6240" w:firstLineChars="26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（单位签章）</w:t>
      </w:r>
    </w:p>
    <w:p w14:paraId="469E73DC">
      <w:pPr>
        <w:spacing w:line="440" w:lineRule="exact"/>
        <w:ind w:firstLine="6360" w:firstLineChars="26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    年    月   日</w:t>
      </w:r>
    </w:p>
    <w:p w14:paraId="47CF8C9F">
      <w:pPr>
        <w:spacing w:line="440" w:lineRule="exact"/>
        <w:ind w:firstLine="422" w:firstLineChars="200"/>
        <w:rPr>
          <w:rFonts w:hint="eastAsia" w:ascii="宋体" w:hAnsi="宋体" w:cs="宋体"/>
          <w:b/>
          <w:color w:val="000000" w:themeColor="text1"/>
          <w:highlight w:val="none"/>
          <w:em w:val="dot"/>
          <w14:textFill>
            <w14:solidFill>
              <w14:schemeClr w14:val="tx1"/>
            </w14:solidFill>
          </w14:textFill>
        </w:rPr>
      </w:pPr>
    </w:p>
    <w:p w14:paraId="00529777">
      <w:pPr>
        <w:spacing w:line="440" w:lineRule="exact"/>
        <w:rPr>
          <w:rFonts w:hint="eastAsia" w:ascii="宋体" w:hAnsi="宋体" w:cs="宋体"/>
          <w:b/>
          <w:color w:val="000000" w:themeColor="text1"/>
          <w:highlight w:val="none"/>
          <w:em w:val="dot"/>
          <w14:textFill>
            <w14:solidFill>
              <w14:schemeClr w14:val="tx1"/>
            </w14:solidFill>
          </w14:textFill>
        </w:rPr>
      </w:pPr>
    </w:p>
    <w:p w14:paraId="7B8972B0">
      <w:pPr>
        <w:spacing w:line="440" w:lineRule="exact"/>
        <w:rPr>
          <w:rFonts w:hint="eastAsia" w:ascii="宋体" w:hAnsi="宋体" w:cs="宋体"/>
          <w:b/>
          <w:color w:val="000000" w:themeColor="text1"/>
          <w:highlight w:val="none"/>
          <w:em w:val="dot"/>
          <w14:textFill>
            <w14:solidFill>
              <w14:schemeClr w14:val="tx1"/>
            </w14:solidFill>
          </w14:textFill>
        </w:rPr>
      </w:pPr>
      <w:permStart w:id="0" w:edGrp="everyone"/>
      <w:permEnd w:id="0"/>
      <w:r>
        <w:rPr>
          <w:rFonts w:hint="eastAsia" w:ascii="宋体" w:hAnsi="宋体" w:cs="宋体"/>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31750</wp:posOffset>
                </wp:positionH>
                <wp:positionV relativeFrom="paragraph">
                  <wp:posOffset>106045</wp:posOffset>
                </wp:positionV>
                <wp:extent cx="5534660" cy="1584960"/>
                <wp:effectExtent l="4445" t="4445" r="23495" b="10795"/>
                <wp:wrapNone/>
                <wp:docPr id="1" name="Text Box 7"/>
                <wp:cNvGraphicFramePr/>
                <a:graphic xmlns:a="http://schemas.openxmlformats.org/drawingml/2006/main">
                  <a:graphicData uri="http://schemas.microsoft.com/office/word/2010/wordprocessingShape">
                    <wps:wsp>
                      <wps:cNvSpPr txBox="1"/>
                      <wps:spPr>
                        <a:xfrm>
                          <a:off x="0" y="0"/>
                          <a:ext cx="55346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162133E7">
                            <w:pPr>
                              <w:jc w:val="center"/>
                            </w:pPr>
                            <w:permStart w:id="1" w:edGrp="everyone"/>
                            <w:permEnd w:id="1"/>
                          </w:p>
                          <w:p w14:paraId="12D0E835">
                            <w:pPr>
                              <w:jc w:val="center"/>
                              <w:rPr>
                                <w:b/>
                              </w:rPr>
                            </w:pPr>
                          </w:p>
                          <w:p w14:paraId="7368F113">
                            <w:pPr>
                              <w:jc w:val="center"/>
                              <w:rPr>
                                <w:b/>
                              </w:rPr>
                            </w:pPr>
                          </w:p>
                          <w:p w14:paraId="1BF54C1B">
                            <w:pPr>
                              <w:jc w:val="center"/>
                              <w:rPr>
                                <w:b/>
                              </w:rPr>
                            </w:pPr>
                            <w:r>
                              <w:rPr>
                                <w:rFonts w:hint="eastAsia"/>
                                <w:b/>
                              </w:rPr>
                              <w:t>此处附</w:t>
                            </w:r>
                            <w:r>
                              <w:rPr>
                                <w:rFonts w:hint="eastAsia"/>
                                <w:b/>
                                <w:em w:val="dot"/>
                              </w:rPr>
                              <w:t>法定代表人</w:t>
                            </w:r>
                            <w:r>
                              <w:rPr>
                                <w:rFonts w:hint="eastAsia"/>
                                <w:b/>
                              </w:rPr>
                              <w:t>身份证复印件正反面</w:t>
                            </w:r>
                          </w:p>
                          <w:p w14:paraId="2C75785C">
                            <w:pPr>
                              <w:pStyle w:val="4"/>
                            </w:pPr>
                          </w:p>
                        </w:txbxContent>
                      </wps:txbx>
                      <wps:bodyPr wrap="square" upright="1"/>
                    </wps:wsp>
                  </a:graphicData>
                </a:graphic>
              </wp:anchor>
            </w:drawing>
          </mc:Choice>
          <mc:Fallback>
            <w:pict>
              <v:shape id="Text Box 7" o:spid="_x0000_s1026" o:spt="202" type="#_x0000_t202" style="position:absolute;left:0pt;margin-left:2.5pt;margin-top:8.35pt;height:124.8pt;width:435.8pt;z-index:251660288;mso-width-relative:page;mso-height-relative:page;" fillcolor="#FFFFFF" filled="t" stroked="t" coordsize="21600,21600" o:gfxdata="UEsDBAoAAAAAAIdO4kAAAAAAAAAAAAAAAAAEAAAAZHJzL1BLAwQUAAAACACHTuJABtXeY9cAAAAI&#10;AQAADwAAAGRycy9kb3ducmV2LnhtbE2PS0/DMBCE70j8B2uRuFTUaRFOFeL0AOKGhEirnrfJ5qHE&#10;6yh2H/DrWU5wnJ3VzDf59upGdaY59J4trJYJKOLK1z23Fva7t4cNqBCRaxw9k4UvCrAtbm9yzGp/&#10;4U86l7FVEsIhQwtdjFOmdag6chiWfiIWr/GzwyhybnU940XC3ajXSWK0w56locOJXjqqhvLkLJBb&#10;UPP9Ph2GjwbT4XVRpoddb+393Sp5BhXpGv+e4Rdf0KEQpqM/cR3UaOFJlkQ5mxSU2JvUGFBHC2tj&#10;HkEXuf4/oPgBUEsDBBQAAAAIAIdO4kBFl3T9BwIAAEUEAAAOAAAAZHJzL2Uyb0RvYy54bWytU82S&#10;0zAMvjPDO3h8p2nLtuxmmu4MlHJhgJldHkB1nMQz/sNym+TtkZ3S/YFDD+TgyJL8Sfokbe4Ho9lJ&#10;BlTOVnwxm3MmrXC1sm3Ffz7u391yhhFsDdpZWfFRIr/fvn2z6X0pl65zupaBEYjFsvcV72L0ZVGg&#10;6KQBnDkvLRkbFwxEuoa2qAP0hG50sZzP10XvQu2DExKRtLvJyM+I4RpA1zRKyJ0TRyNtnFCD1BCp&#10;JOyUR77N2TaNFPF706CMTFecKo35pCAkH9JZbDdQtgF8p8Q5BbgmhVc1GVCWgl6gdhCBHYP6C8oo&#10;ERy6Js6EM8VUSGaEqljMX3Hz0IGXuRaiGv2FdPx/sOLb6UdgqqZJ4MyCoYY/yiGyj25gHxI7vceS&#10;nB48ucWB1MnzrEdSpqKHJpj0p3IY2Ynb8cJtAhOkXK3e36zXZBJkW6xub+7oQjjF03MfMH6RzrAk&#10;VDxQ8zKncPqKcXL945KiodOq3iut8yW0h086sBNQo/f5O6O/cNOW9RW/Wy1XlAjQ9DY0NSQaTwyg&#10;bXO8Fy/wOfA8f/8CTontALspARxx52Lyg9KoKEOWOgn1Z1uzOHqi2dJ28ZSNkTVnWtIyJil7RlD6&#10;Gk8iT1viMDVpakaS4nAYCCaJB1eP1LieBpzq+3WEQDGPPqi2I4ZzI/Njmq7civMmpPF9fs8hnrZ/&#10;+x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G1d5j1wAAAAgBAAAPAAAAAAAAAAEAIAAAACIAAABk&#10;cnMvZG93bnJldi54bWxQSwECFAAUAAAACACHTuJARZd0/QcCAABFBAAADgAAAAAAAAABACAAAAAm&#10;AQAAZHJzL2Uyb0RvYy54bWxQSwUGAAAAAAYABgBZAQAAnwUAAAAA&#10;">
                <v:fill on="t" focussize="0,0"/>
                <v:stroke color="#000000" joinstyle="miter" dashstyle="1 1"/>
                <v:imagedata o:title=""/>
                <o:lock v:ext="edit" aspectratio="f"/>
                <v:textbox>
                  <w:txbxContent>
                    <w:p w14:paraId="162133E7">
                      <w:pPr>
                        <w:jc w:val="center"/>
                      </w:pPr>
                      <w:permStart w:id="1" w:edGrp="everyone"/>
                      <w:permEnd w:id="1"/>
                    </w:p>
                    <w:p w14:paraId="12D0E835">
                      <w:pPr>
                        <w:jc w:val="center"/>
                        <w:rPr>
                          <w:b/>
                        </w:rPr>
                      </w:pPr>
                    </w:p>
                    <w:p w14:paraId="7368F113">
                      <w:pPr>
                        <w:jc w:val="center"/>
                        <w:rPr>
                          <w:b/>
                        </w:rPr>
                      </w:pPr>
                    </w:p>
                    <w:p w14:paraId="1BF54C1B">
                      <w:pPr>
                        <w:jc w:val="center"/>
                        <w:rPr>
                          <w:b/>
                        </w:rPr>
                      </w:pPr>
                      <w:r>
                        <w:rPr>
                          <w:rFonts w:hint="eastAsia"/>
                          <w:b/>
                        </w:rPr>
                        <w:t>此处附</w:t>
                      </w:r>
                      <w:r>
                        <w:rPr>
                          <w:rFonts w:hint="eastAsia"/>
                          <w:b/>
                          <w:em w:val="dot"/>
                        </w:rPr>
                        <w:t>法定代表人</w:t>
                      </w:r>
                      <w:r>
                        <w:rPr>
                          <w:rFonts w:hint="eastAsia"/>
                          <w:b/>
                        </w:rPr>
                        <w:t>身份证复印件正反面</w:t>
                      </w:r>
                    </w:p>
                    <w:p w14:paraId="2C75785C">
                      <w:pPr>
                        <w:pStyle w:val="4"/>
                      </w:pPr>
                    </w:p>
                  </w:txbxContent>
                </v:textbox>
              </v:shape>
            </w:pict>
          </mc:Fallback>
        </mc:AlternateContent>
      </w:r>
    </w:p>
    <w:p w14:paraId="6301CE8F">
      <w:pPr>
        <w:spacing w:line="440" w:lineRule="exact"/>
        <w:rPr>
          <w:rFonts w:hint="eastAsia" w:ascii="宋体" w:hAnsi="宋体" w:cs="宋体"/>
          <w:b/>
          <w:color w:val="000000" w:themeColor="text1"/>
          <w:highlight w:val="none"/>
          <w:em w:val="dot"/>
          <w14:textFill>
            <w14:solidFill>
              <w14:schemeClr w14:val="tx1"/>
            </w14:solidFill>
          </w14:textFill>
        </w:rPr>
      </w:pPr>
    </w:p>
    <w:p w14:paraId="575E3F81">
      <w:pPr>
        <w:spacing w:line="440" w:lineRule="exact"/>
        <w:rPr>
          <w:rFonts w:hint="eastAsia" w:ascii="宋体" w:hAnsi="宋体" w:cs="宋体"/>
          <w:b/>
          <w:color w:val="000000" w:themeColor="text1"/>
          <w:highlight w:val="none"/>
          <w14:textFill>
            <w14:solidFill>
              <w14:schemeClr w14:val="tx1"/>
            </w14:solidFill>
          </w14:textFill>
        </w:rPr>
      </w:pPr>
    </w:p>
    <w:p w14:paraId="55B725DB">
      <w:pPr>
        <w:spacing w:line="440" w:lineRule="exact"/>
        <w:rPr>
          <w:rFonts w:hint="eastAsia" w:ascii="宋体" w:hAnsi="宋体" w:cs="宋体"/>
          <w:b/>
          <w:color w:val="000000" w:themeColor="text1"/>
          <w:highlight w:val="none"/>
          <w14:textFill>
            <w14:solidFill>
              <w14:schemeClr w14:val="tx1"/>
            </w14:solidFill>
          </w14:textFill>
        </w:rPr>
      </w:pPr>
    </w:p>
    <w:p w14:paraId="6E343545">
      <w:pPr>
        <w:spacing w:line="440" w:lineRule="exact"/>
        <w:rPr>
          <w:rFonts w:hint="eastAsia" w:ascii="宋体" w:hAnsi="宋体" w:cs="宋体"/>
          <w:b/>
          <w:color w:val="000000" w:themeColor="text1"/>
          <w:sz w:val="30"/>
          <w:szCs w:val="30"/>
          <w:highlight w:val="none"/>
          <w14:textFill>
            <w14:solidFill>
              <w14:schemeClr w14:val="tx1"/>
            </w14:solidFill>
          </w14:textFill>
        </w:rPr>
      </w:pPr>
    </w:p>
    <w:p w14:paraId="63EC9BCA">
      <w:pPr>
        <w:spacing w:line="440" w:lineRule="exact"/>
        <w:jc w:val="center"/>
        <w:rPr>
          <w:rFonts w:hint="eastAsia" w:ascii="宋体" w:hAnsi="宋体" w:cs="宋体"/>
          <w:b/>
          <w:color w:val="000000" w:themeColor="text1"/>
          <w:sz w:val="30"/>
          <w:szCs w:val="30"/>
          <w:highlight w:val="none"/>
          <w14:textFill>
            <w14:solidFill>
              <w14:schemeClr w14:val="tx1"/>
            </w14:solidFill>
          </w14:textFill>
        </w:rPr>
      </w:pPr>
    </w:p>
    <w:p w14:paraId="07217AD0">
      <w:pPr>
        <w:spacing w:line="27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-6350</wp:posOffset>
                </wp:positionH>
                <wp:positionV relativeFrom="paragraph">
                  <wp:posOffset>181610</wp:posOffset>
                </wp:positionV>
                <wp:extent cx="5572760" cy="1584960"/>
                <wp:effectExtent l="4445" t="4445" r="23495" b="10795"/>
                <wp:wrapNone/>
                <wp:docPr id="2" name="Text Box 6"/>
                <wp:cNvGraphicFramePr/>
                <a:graphic xmlns:a="http://schemas.openxmlformats.org/drawingml/2006/main">
                  <a:graphicData uri="http://schemas.microsoft.com/office/word/2010/wordprocessingShape">
                    <wps:wsp>
                      <wps:cNvSpPr txBox="1"/>
                      <wps:spPr>
                        <a:xfrm>
                          <a:off x="0" y="0"/>
                          <a:ext cx="55727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0D8D9BC5">
                            <w:permStart w:id="2" w:edGrp="everyone"/>
                            <w:permEnd w:id="2"/>
                          </w:p>
                          <w:p w14:paraId="0C9D9AB4"/>
                          <w:p w14:paraId="15449F78">
                            <w:pPr>
                              <w:jc w:val="center"/>
                              <w:rPr>
                                <w:b/>
                              </w:rPr>
                            </w:pPr>
                            <w:r>
                              <w:rPr>
                                <w:rFonts w:hint="eastAsia"/>
                                <w:b/>
                              </w:rPr>
                              <w:t>此处附被授权人身份证复印件正反面</w:t>
                            </w:r>
                          </w:p>
                          <w:p w14:paraId="04A67B4A"/>
                        </w:txbxContent>
                      </wps:txbx>
                      <wps:bodyPr wrap="square" upright="1"/>
                    </wps:wsp>
                  </a:graphicData>
                </a:graphic>
              </wp:anchor>
            </w:drawing>
          </mc:Choice>
          <mc:Fallback>
            <w:pict>
              <v:shape id="Text Box 6" o:spid="_x0000_s1026" o:spt="202" type="#_x0000_t202" style="position:absolute;left:0pt;margin-left:-0.5pt;margin-top:14.3pt;height:124.8pt;width:438.8pt;z-index:251661312;mso-width-relative:page;mso-height-relative:page;" fillcolor="#FFFFFF" filled="t" stroked="t" coordsize="21600,21600" o:gfxdata="UEsDBAoAAAAAAIdO4kAAAAAAAAAAAAAAAAAEAAAAZHJzL1BLAwQUAAAACACHTuJAZPIe79cAAAAJ&#10;AQAADwAAAGRycy9kb3ducmV2LnhtbE2PO0/EQAyEeyT+w8pINKe7TVIkUcjmChAdEiKHrvYlzkPJ&#10;eqPs3gN+PaaCzvaMxt+U+5ud1YVWPzo2EO8iUMSNa0fuDXweXrc5KB+QW5wdk4Ev8rCv7u9KLFp3&#10;5Q+61KFXEsK+QANDCEuhtW8Gsuh3biEWrXOrxSDr2ut2xauE21knUZRqiyPLhwEXeh6omeqzNUB2&#10;Q93323Kc3jvMppdNnR0PozGPD3H0BCrQLfyZ4Rdf0KESppM7c+vVbGAbS5VgIMlTUKLnWSrDSQ5Z&#10;noCuSv2/QfUDUEsDBBQAAAAIAIdO4kBPntICCAIAAEUEAAAOAAAAZHJzL2Uyb0RvYy54bWytU81u&#10;2zAMvg/YOwi6L3aCJW2NOAW2LLsM24B2D8DIsi1AfxOV2Hn7UXKa/myHHOaDTJHUR/Ijub4fjWZH&#10;GVA5W/P5rORMWuEaZbua/3rcfbjlDCPYBrSzsuYnifx+8/7devCVXLje6UYGRiAWq8HXvI/RV0WB&#10;opcGcOa8tGRsXTAQ6Rq6ogkwELrRxaIsV8XgQuODExKRtNvJyM+I4RpA17ZKyK0TByNtnFCD1BCp&#10;JOyVR77J2batFPFH26KMTNecKo35pCAk79NZbNZQdQF8r8Q5BbgmhTc1GVCWgl6gthCBHYL6C8oo&#10;ERy6Ns6EM8VUSGaEqpiXb7h56MHLXAtRjf5COv4/WPH9+DMw1dR8wZkFQw1/lGNkn9zIVomdwWNF&#10;Tg+e3OJIapqZJz2SMhU9tsGkP5XDyE7cni7cJjBByuXyZnGzIpMg23x5+/GOLoRfPD/3AeNX6QxL&#10;Qs0DNS9zCsdvGCfXJ5cUDZ1WzU5pnS+h23/WgR2BGr3L3xn9lZu2bKj53XKxpESAprelqSHReGIA&#10;bZfjvXqBL4HL/P0LOCW2BeynBPCEWxeTH1RGRRmy1EtovtiGxZMnmi1tF0/ZGNlwpiUtY5KyZwSl&#10;r/Ek8rQlDlOTpmYkKY77kWCSuHfNiRo30IBTfb8PECjmwQfV9cRwbmR+TNOVW3HehDS+L+85xPP2&#10;b/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PIe79cAAAAJAQAADwAAAAAAAAABACAAAAAiAAAA&#10;ZHJzL2Rvd25yZXYueG1sUEsBAhQAFAAAAAgAh07iQE+e0gIIAgAARQQAAA4AAAAAAAAAAQAgAAAA&#10;JgEAAGRycy9lMm9Eb2MueG1sUEsFBgAAAAAGAAYAWQEAAKAFAAAAAA==&#10;">
                <v:fill on="t" focussize="0,0"/>
                <v:stroke color="#000000" joinstyle="miter" dashstyle="1 1"/>
                <v:imagedata o:title=""/>
                <o:lock v:ext="edit" aspectratio="f"/>
                <v:textbox>
                  <w:txbxContent>
                    <w:p w14:paraId="0D8D9BC5">
                      <w:permStart w:id="2" w:edGrp="everyone"/>
                      <w:permEnd w:id="2"/>
                    </w:p>
                    <w:p w14:paraId="0C9D9AB4"/>
                    <w:p w14:paraId="15449F78">
                      <w:pPr>
                        <w:jc w:val="center"/>
                        <w:rPr>
                          <w:b/>
                        </w:rPr>
                      </w:pPr>
                      <w:r>
                        <w:rPr>
                          <w:rFonts w:hint="eastAsia"/>
                          <w:b/>
                        </w:rPr>
                        <w:t>此处附被授权人身份证复印件正反面</w:t>
                      </w:r>
                    </w:p>
                    <w:p w14:paraId="04A67B4A"/>
                  </w:txbxContent>
                </v:textbox>
              </v:shape>
            </w:pict>
          </mc:Fallback>
        </mc:AlternateContent>
      </w:r>
    </w:p>
    <w:p w14:paraId="2A713CA7">
      <w:pPr>
        <w:pStyle w:val="3"/>
        <w:keepNext w:val="0"/>
        <w:keepLines w:val="0"/>
        <w:widowControl/>
        <w:shd w:val="clear" w:color="auto" w:fill="FFFFFF"/>
        <w:tabs>
          <w:tab w:val="left" w:pos="576"/>
          <w:tab w:val="left" w:pos="1296"/>
        </w:tabs>
        <w:spacing w:before="0" w:after="150"/>
        <w:jc w:val="center"/>
        <w:rPr>
          <w:rFonts w:hint="eastAsia" w:ascii="宋体" w:hAnsi="宋体" w:cs="宋体"/>
          <w:b w:val="0"/>
          <w:color w:val="000000" w:themeColor="text1"/>
          <w:sz w:val="30"/>
          <w:szCs w:val="30"/>
          <w:highlight w:val="none"/>
          <w14:textFill>
            <w14:solidFill>
              <w14:schemeClr w14:val="tx1"/>
            </w14:solidFill>
          </w14:textFill>
        </w:rPr>
        <w:sectPr>
          <w:footerReference r:id="rId10" w:type="default"/>
          <w:pgSz w:w="11906" w:h="16838"/>
          <w:pgMar w:top="1134" w:right="1134" w:bottom="1134" w:left="1134" w:header="851" w:footer="992" w:gutter="0"/>
          <w:cols w:space="720" w:num="1"/>
          <w:docGrid w:type="lines" w:linePitch="344" w:charSpace="0"/>
        </w:sectPr>
      </w:pPr>
    </w:p>
    <w:p w14:paraId="5530AA42">
      <w:pPr>
        <w:pStyle w:val="104"/>
        <w:spacing w:after="0"/>
        <w:ind w:left="0" w:leftChars="0" w:firstLine="0" w:firstLineChars="0"/>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三、提供符合政府采购政策的证明材料</w:t>
      </w:r>
    </w:p>
    <w:p w14:paraId="47008CC7">
      <w:pPr>
        <w:spacing w:line="440" w:lineRule="exact"/>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8"/>
          <w:szCs w:val="32"/>
          <w:highlight w:val="none"/>
          <w14:textFill>
            <w14:solidFill>
              <w14:schemeClr w14:val="tx1"/>
            </w14:solidFill>
          </w14:textFill>
        </w:rPr>
        <w:t>1中小微企业声明函</w:t>
      </w:r>
    </w:p>
    <w:p w14:paraId="7B259039">
      <w:pPr>
        <w:widowControl/>
        <w:ind w:firstLine="560" w:firstLineChars="200"/>
        <w:jc w:val="center"/>
        <w:rPr>
          <w:rFonts w:hint="eastAsia"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中小企业声明函（服务）</w:t>
      </w:r>
    </w:p>
    <w:p w14:paraId="6B1AC40E">
      <w:pPr>
        <w:widowControl/>
        <w:spacing w:line="500" w:lineRule="exact"/>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本公司（联合体）郑重声明，根据《政府采购促进中小企业发展管理办法》（财库﹝2020﹞46号）、</w:t>
      </w:r>
      <w:r>
        <w:rPr>
          <w:rFonts w:hint="eastAsia" w:ascii="宋体" w:hAnsi="宋体" w:cs="宋体"/>
          <w:bCs/>
          <w:color w:val="000000" w:themeColor="text1"/>
          <w:sz w:val="24"/>
          <w:szCs w:val="32"/>
          <w:highlight w:val="none"/>
          <w14:textFill>
            <w14:solidFill>
              <w14:schemeClr w14:val="tx1"/>
            </w14:solidFill>
          </w14:textFill>
        </w:rPr>
        <w:t>关于进一步加大政府采购支持中小企业力度的通知财库〔2022〕19号的规定，</w:t>
      </w:r>
      <w:r>
        <w:rPr>
          <w:rFonts w:hint="eastAsia" w:ascii="宋体" w:hAnsi="宋体" w:cs="宋体"/>
          <w:color w:val="000000" w:themeColor="text1"/>
          <w:sz w:val="24"/>
          <w:szCs w:val="24"/>
          <w:highlight w:val="none"/>
          <w14:textFill>
            <w14:solidFill>
              <w14:schemeClr w14:val="tx1"/>
            </w14:solidFill>
          </w14:textFill>
        </w:rPr>
        <w:t>的规定，本公司（联合体）参加</w:t>
      </w:r>
      <w:r>
        <w:rPr>
          <w:rFonts w:hint="eastAsia" w:ascii="宋体" w:hAnsi="宋体" w:cs="宋体"/>
          <w:b/>
          <w:bCs/>
          <w:color w:val="000000" w:themeColor="text1"/>
          <w:sz w:val="24"/>
          <w:szCs w:val="24"/>
          <w:highlight w:val="none"/>
          <w:u w:val="single"/>
          <w14:textFill>
            <w14:solidFill>
              <w14:schemeClr w14:val="tx1"/>
            </w14:solidFill>
          </w14:textFill>
        </w:rPr>
        <w:t>（单位名称）</w:t>
      </w:r>
      <w:r>
        <w:rPr>
          <w:rFonts w:hint="eastAsia" w:ascii="宋体" w:hAnsi="宋体" w:cs="宋体"/>
          <w:color w:val="000000" w:themeColor="text1"/>
          <w:sz w:val="24"/>
          <w:szCs w:val="24"/>
          <w:highlight w:val="none"/>
          <w14:textFill>
            <w14:solidFill>
              <w14:schemeClr w14:val="tx1"/>
            </w14:solidFill>
          </w14:textFill>
        </w:rPr>
        <w:t>的</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b/>
          <w:color w:val="000000" w:themeColor="text1"/>
          <w:sz w:val="24"/>
          <w:szCs w:val="24"/>
          <w:highlight w:val="none"/>
          <w:u w:val="single"/>
          <w14:textFill>
            <w14:solidFill>
              <w14:schemeClr w14:val="tx1"/>
            </w14:solidFill>
          </w14:textFill>
        </w:rPr>
        <w:t>请填写项目名称）</w:t>
      </w:r>
      <w:r>
        <w:rPr>
          <w:rFonts w:hint="eastAsia" w:ascii="宋体" w:hAnsi="宋体" w:cs="宋体"/>
          <w:color w:val="000000" w:themeColor="text1"/>
          <w:sz w:val="24"/>
          <w:szCs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7CE035E8">
      <w:pPr>
        <w:autoSpaceDE w:val="0"/>
        <w:autoSpaceDN w:val="0"/>
        <w:spacing w:line="500" w:lineRule="exact"/>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b/>
          <w:color w:val="000000" w:themeColor="text1"/>
          <w:sz w:val="24"/>
          <w:szCs w:val="24"/>
          <w:highlight w:val="none"/>
          <w:u w:val="single"/>
          <w14:textFill>
            <w14:solidFill>
              <w14:schemeClr w14:val="tx1"/>
            </w14:solidFill>
          </w14:textFill>
        </w:rPr>
        <w:t>请填写标的名称</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cs="宋体"/>
          <w:b/>
          <w:color w:val="000000" w:themeColor="text1"/>
          <w:sz w:val="24"/>
          <w:szCs w:val="24"/>
          <w:highlight w:val="none"/>
          <w:u w:val="single"/>
          <w14:textFill>
            <w14:solidFill>
              <w14:schemeClr w14:val="tx1"/>
            </w14:solidFill>
          </w14:textFill>
        </w:rPr>
        <w:t>（请填写本项目采购文件中明确的所属行业）</w:t>
      </w:r>
      <w:r>
        <w:rPr>
          <w:rFonts w:hint="eastAsia" w:ascii="宋体" w:hAnsi="宋体" w:cs="宋体"/>
          <w:color w:val="000000" w:themeColor="text1"/>
          <w:sz w:val="24"/>
          <w:szCs w:val="24"/>
          <w:highlight w:val="none"/>
          <w14:textFill>
            <w14:solidFill>
              <w14:schemeClr w14:val="tx1"/>
            </w14:solidFill>
          </w14:textFill>
        </w:rPr>
        <w:t>行业；承接企业为</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b/>
          <w:color w:val="000000" w:themeColor="text1"/>
          <w:sz w:val="24"/>
          <w:szCs w:val="24"/>
          <w:highlight w:val="none"/>
          <w:u w:val="single"/>
          <w14:textFill>
            <w14:solidFill>
              <w14:schemeClr w14:val="tx1"/>
            </w14:solidFill>
          </w14:textFill>
        </w:rPr>
        <w:t>请填写该标的承接供应商的企业名称</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万元，属于</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b/>
          <w:color w:val="000000" w:themeColor="text1"/>
          <w:sz w:val="24"/>
          <w:szCs w:val="24"/>
          <w:highlight w:val="none"/>
          <w:u w:val="single"/>
          <w14:textFill>
            <w14:solidFill>
              <w14:schemeClr w14:val="tx1"/>
            </w14:solidFill>
          </w14:textFill>
        </w:rPr>
        <w:t>请根据中小企业划分标准填写中型企业/小型企业/微型企业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08109FB">
      <w:pPr>
        <w:autoSpaceDE w:val="0"/>
        <w:autoSpaceDN w:val="0"/>
        <w:spacing w:line="500" w:lineRule="exact"/>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b/>
          <w:color w:val="000000" w:themeColor="text1"/>
          <w:sz w:val="24"/>
          <w:szCs w:val="24"/>
          <w:highlight w:val="none"/>
          <w:u w:val="single"/>
          <w14:textFill>
            <w14:solidFill>
              <w14:schemeClr w14:val="tx1"/>
            </w14:solidFill>
          </w14:textFill>
        </w:rPr>
        <w:t>请填写标的名称</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cs="宋体"/>
          <w:b/>
          <w:color w:val="000000" w:themeColor="text1"/>
          <w:sz w:val="24"/>
          <w:szCs w:val="24"/>
          <w:highlight w:val="none"/>
          <w:u w:val="single"/>
          <w14:textFill>
            <w14:solidFill>
              <w14:schemeClr w14:val="tx1"/>
            </w14:solidFill>
          </w14:textFill>
        </w:rPr>
        <w:t>（请填写本项目采购文件中明确的所属行业）</w:t>
      </w:r>
      <w:r>
        <w:rPr>
          <w:rFonts w:hint="eastAsia" w:ascii="宋体" w:hAnsi="宋体" w:cs="宋体"/>
          <w:color w:val="000000" w:themeColor="text1"/>
          <w:sz w:val="24"/>
          <w:szCs w:val="24"/>
          <w:highlight w:val="none"/>
          <w14:textFill>
            <w14:solidFill>
              <w14:schemeClr w14:val="tx1"/>
            </w14:solidFill>
          </w14:textFill>
        </w:rPr>
        <w:t>行业；承接企业为</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b/>
          <w:color w:val="000000" w:themeColor="text1"/>
          <w:sz w:val="24"/>
          <w:szCs w:val="24"/>
          <w:highlight w:val="none"/>
          <w:u w:val="single"/>
          <w14:textFill>
            <w14:solidFill>
              <w14:schemeClr w14:val="tx1"/>
            </w14:solidFill>
          </w14:textFill>
        </w:rPr>
        <w:t>请填写该标的承接供应商的企业名称</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万元，属于</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b/>
          <w:color w:val="000000" w:themeColor="text1"/>
          <w:sz w:val="24"/>
          <w:szCs w:val="24"/>
          <w:highlight w:val="none"/>
          <w:u w:val="single"/>
          <w14:textFill>
            <w14:solidFill>
              <w14:schemeClr w14:val="tx1"/>
            </w14:solidFill>
          </w14:textFill>
        </w:rPr>
        <w:t>请根据中小企业划分标准填写中型企业/小型企业/微型企业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168B009">
      <w:pPr>
        <w:autoSpaceDE w:val="0"/>
        <w:autoSpaceDN w:val="0"/>
        <w:spacing w:line="500" w:lineRule="exact"/>
        <w:ind w:left="641"/>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p w14:paraId="1836188C">
      <w:pPr>
        <w:autoSpaceDE w:val="0"/>
        <w:autoSpaceDN w:val="0"/>
        <w:spacing w:line="500" w:lineRule="exact"/>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以上企业，不属于大型企业的分支机构，不存在控股股东为大型企业的情形，也不存在与大型企业的负责人为同一人的情形。</w:t>
      </w:r>
    </w:p>
    <w:p w14:paraId="6E586D13">
      <w:pPr>
        <w:widowControl/>
        <w:shd w:val="clear" w:color="auto" w:fill="FFFFFF"/>
        <w:spacing w:beforeAutospacing="1" w:afterAutospacing="1" w:line="348" w:lineRule="atLeast"/>
        <w:ind w:firstLine="384"/>
        <w:jc w:val="left"/>
        <w:rPr>
          <w:rFonts w:hint="eastAsia" w:ascii="宋体" w:hAnsi="宋体" w:cs="宋体"/>
          <w:color w:val="000000" w:themeColor="text1"/>
          <w:kern w:val="0"/>
          <w:sz w:val="24"/>
          <w:szCs w:val="24"/>
          <w:highlight w:val="none"/>
          <w:shd w:val="clear" w:color="auto" w:fill="FFFFFF"/>
          <w:lang w:bidi="ar"/>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本企业对上述声明内容的真实性负责。如有虚假，将依法承担相应责任。</w:t>
      </w:r>
      <w:r>
        <w:rPr>
          <w:rFonts w:hint="eastAsia" w:ascii="宋体" w:hAnsi="宋体" w:cs="宋体"/>
          <w:color w:val="000000" w:themeColor="text1"/>
          <w:kern w:val="0"/>
          <w:sz w:val="24"/>
          <w:szCs w:val="24"/>
          <w:highlight w:val="none"/>
          <w:shd w:val="clear" w:color="auto" w:fill="FFFFFF"/>
          <w:lang w:bidi="ar"/>
          <w14:textFill>
            <w14:solidFill>
              <w14:schemeClr w14:val="tx1"/>
            </w14:solidFill>
          </w14:textFill>
        </w:rPr>
        <w:t xml:space="preserve">  </w:t>
      </w:r>
    </w:p>
    <w:p w14:paraId="515D7746">
      <w:pPr>
        <w:widowControl/>
        <w:shd w:val="clear" w:color="auto" w:fill="FFFFFF"/>
        <w:spacing w:beforeAutospacing="1" w:afterAutospacing="1" w:line="348" w:lineRule="atLeast"/>
        <w:ind w:firstLine="5229" w:firstLineChars="2179"/>
        <w:jc w:val="left"/>
        <w:rPr>
          <w:rFonts w:hint="eastAsia" w:ascii="宋体" w:hAnsi="宋体" w:cs="宋体"/>
          <w:color w:val="000000" w:themeColor="text1"/>
          <w:kern w:val="0"/>
          <w:sz w:val="24"/>
          <w:szCs w:val="24"/>
          <w:highlight w:val="none"/>
          <w:shd w:val="clear" w:color="auto" w:fill="FFFFFF"/>
          <w:lang w:bidi="ar"/>
          <w14:textFill>
            <w14:solidFill>
              <w14:schemeClr w14:val="tx1"/>
            </w14:solidFill>
          </w14:textFill>
        </w:rPr>
      </w:pPr>
      <w:r>
        <w:rPr>
          <w:rFonts w:hint="eastAsia" w:ascii="宋体" w:hAnsi="宋体" w:cs="宋体"/>
          <w:color w:val="000000" w:themeColor="text1"/>
          <w:kern w:val="0"/>
          <w:sz w:val="24"/>
          <w:szCs w:val="24"/>
          <w:highlight w:val="none"/>
          <w:shd w:val="clear" w:color="auto" w:fill="FFFFFF"/>
          <w:lang w:bidi="ar"/>
          <w14:textFill>
            <w14:solidFill>
              <w14:schemeClr w14:val="tx1"/>
            </w14:solidFill>
          </w14:textFill>
        </w:rPr>
        <w:t xml:space="preserve"> 企业名称（盖章）：</w:t>
      </w:r>
    </w:p>
    <w:p w14:paraId="09B59E90">
      <w:pPr>
        <w:widowControl/>
        <w:shd w:val="clear" w:color="auto" w:fill="FFFFFF"/>
        <w:spacing w:beforeAutospacing="1" w:afterAutospacing="1" w:line="348" w:lineRule="atLeast"/>
        <w:ind w:firstLine="5520" w:firstLineChars="23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shd w:val="clear" w:color="auto" w:fill="FFFFFF"/>
          <w:lang w:bidi="ar"/>
          <w14:textFill>
            <w14:solidFill>
              <w14:schemeClr w14:val="tx1"/>
            </w14:solidFill>
          </w14:textFill>
        </w:rPr>
        <w:t>日 期：</w:t>
      </w:r>
    </w:p>
    <w:p w14:paraId="17909D88">
      <w:pPr>
        <w:tabs>
          <w:tab w:val="left" w:pos="3777"/>
          <w:tab w:val="center" w:pos="4819"/>
        </w:tabs>
        <w:spacing w:line="360" w:lineRule="auto"/>
        <w:jc w:val="center"/>
        <w:rPr>
          <w:rFonts w:hint="eastAsia" w:ascii="宋体" w:hAnsi="宋体" w:cs="宋体"/>
          <w:b/>
          <w:color w:val="000000" w:themeColor="text1"/>
          <w:kern w:val="0"/>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r>
      <w:r>
        <w:rPr>
          <w:rFonts w:hint="eastAsia" w:ascii="宋体" w:hAnsi="宋体" w:cs="宋体"/>
          <w:b/>
          <w:color w:val="000000" w:themeColor="text1"/>
          <w:sz w:val="32"/>
          <w:szCs w:val="32"/>
          <w:highlight w:val="none"/>
          <w14:textFill>
            <w14:solidFill>
              <w14:schemeClr w14:val="tx1"/>
            </w14:solidFill>
          </w14:textFill>
        </w:rPr>
        <w:t>2</w:t>
      </w:r>
      <w:r>
        <w:rPr>
          <w:rFonts w:hint="eastAsia" w:ascii="宋体" w:hAnsi="宋体" w:cs="宋体"/>
          <w:b/>
          <w:color w:val="000000" w:themeColor="text1"/>
          <w:kern w:val="0"/>
          <w:sz w:val="28"/>
          <w:szCs w:val="32"/>
          <w:highlight w:val="none"/>
          <w14:textFill>
            <w14:solidFill>
              <w14:schemeClr w14:val="tx1"/>
            </w14:solidFill>
          </w14:textFill>
        </w:rPr>
        <w:t>监狱企业声明函</w:t>
      </w:r>
    </w:p>
    <w:p w14:paraId="21F82C1F">
      <w:pPr>
        <w:spacing w:line="360" w:lineRule="auto"/>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（监狱企业适用）</w:t>
      </w:r>
    </w:p>
    <w:p w14:paraId="48C16034">
      <w:pPr>
        <w:spacing w:line="360" w:lineRule="auto"/>
        <w:ind w:firstLine="540" w:firstLineChars="225"/>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本公司郑重声明，根据《关于政府采购支持监狱企业发展有关问题的通知》（财库[2014]68号）的规定，本公司为监狱企业。</w:t>
      </w:r>
    </w:p>
    <w:p w14:paraId="3D94748C">
      <w:pPr>
        <w:spacing w:line="360" w:lineRule="auto"/>
        <w:ind w:firstLine="540" w:firstLineChars="225"/>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本公司参加______单位的______项目采购活动，采购活动提供本企业（填写制造的货物，由本企业承担工程、提供服务）。</w:t>
      </w:r>
    </w:p>
    <w:p w14:paraId="0347E78B">
      <w:pPr>
        <w:spacing w:line="360" w:lineRule="auto"/>
        <w:ind w:firstLine="540" w:firstLineChars="225"/>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本条所称货物不包括使用大型企业注册商标的货物和服务。</w:t>
      </w:r>
    </w:p>
    <w:p w14:paraId="788A7A50">
      <w:pPr>
        <w:spacing w:line="360" w:lineRule="auto"/>
        <w:ind w:firstLine="540" w:firstLineChars="225"/>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本公司对上述声明的真实性负责。如有虚假，将依法承担相应责任。</w:t>
      </w:r>
    </w:p>
    <w:p w14:paraId="73833F74">
      <w:pPr>
        <w:spacing w:line="360" w:lineRule="auto"/>
        <w:ind w:firstLine="4860" w:firstLineChars="2025"/>
        <w:rPr>
          <w:rFonts w:hint="eastAsia" w:ascii="宋体" w:hAnsi="宋体" w:cs="宋体"/>
          <w:color w:val="000000" w:themeColor="text1"/>
          <w:kern w:val="0"/>
          <w:sz w:val="24"/>
          <w:highlight w:val="none"/>
          <w14:textFill>
            <w14:solidFill>
              <w14:schemeClr w14:val="tx1"/>
            </w14:solidFill>
          </w14:textFill>
        </w:rPr>
      </w:pPr>
    </w:p>
    <w:p w14:paraId="0D2647BE">
      <w:pPr>
        <w:spacing w:line="360" w:lineRule="auto"/>
        <w:ind w:firstLine="4860" w:firstLineChars="2025"/>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企业名称（电子签章）：</w:t>
      </w:r>
    </w:p>
    <w:p w14:paraId="109B0E95">
      <w:pPr>
        <w:spacing w:line="360" w:lineRule="auto"/>
        <w:jc w:val="righ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法定代表人（负责人）或其授权代表(电子签名)：</w:t>
      </w:r>
    </w:p>
    <w:p w14:paraId="278B1357">
      <w:pPr>
        <w:tabs>
          <w:tab w:val="left" w:pos="2880"/>
        </w:tabs>
        <w:spacing w:line="460" w:lineRule="atLeast"/>
        <w:ind w:firstLine="4800" w:firstLineChars="20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日期：</w:t>
      </w:r>
    </w:p>
    <w:p w14:paraId="1D71C6B3">
      <w:pPr>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注：后附监狱企业资格证明文件</w:t>
      </w:r>
    </w:p>
    <w:p w14:paraId="30E08F8E">
      <w:pPr>
        <w:spacing w:line="440" w:lineRule="exact"/>
        <w:ind w:firstLine="567"/>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省级以上监狱管理局、戒毒管理局（含新疆生产建设兵团）出具的属于监狱企业的证明文件；</w:t>
      </w:r>
    </w:p>
    <w:p w14:paraId="31EFFBDA">
      <w:pPr>
        <w:tabs>
          <w:tab w:val="left" w:pos="2880"/>
        </w:tabs>
        <w:spacing w:line="460" w:lineRule="atLeast"/>
        <w:ind w:firstLine="566" w:firstLineChars="236"/>
        <w:jc w:val="left"/>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2.证明材料加盖</w:t>
      </w:r>
      <w:r>
        <w:rPr>
          <w:rFonts w:hint="eastAsia" w:ascii="宋体" w:hAnsi="宋体" w:cs="宋体"/>
          <w:color w:val="000000" w:themeColor="text1"/>
          <w:kern w:val="0"/>
          <w:sz w:val="24"/>
          <w:szCs w:val="24"/>
          <w:highlight w:val="none"/>
          <w14:textFill>
            <w14:solidFill>
              <w14:schemeClr w14:val="tx1"/>
            </w14:solidFill>
          </w14:textFill>
        </w:rPr>
        <w:t>投标供应商</w:t>
      </w:r>
      <w:r>
        <w:rPr>
          <w:rFonts w:hint="eastAsia" w:ascii="宋体" w:hAnsi="宋体" w:cs="宋体"/>
          <w:color w:val="000000" w:themeColor="text1"/>
          <w:sz w:val="24"/>
          <w:highlight w:val="none"/>
          <w14:textFill>
            <w14:solidFill>
              <w14:schemeClr w14:val="tx1"/>
            </w14:solidFill>
          </w14:textFill>
        </w:rPr>
        <w:t>公章。</w:t>
      </w:r>
    </w:p>
    <w:p w14:paraId="5E9D95B0">
      <w:pPr>
        <w:spacing w:line="360" w:lineRule="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（若响应性文件中无上述证明文件，则在评审时不考虑对该监狱企业的相关优惠。） </w:t>
      </w:r>
    </w:p>
    <w:p w14:paraId="5E846351">
      <w:pPr>
        <w:tabs>
          <w:tab w:val="left" w:pos="3600"/>
        </w:tabs>
        <w:adjustRightInd w:val="0"/>
        <w:snapToGrid w:val="0"/>
        <w:spacing w:line="440" w:lineRule="exact"/>
        <w:jc w:val="center"/>
        <w:rPr>
          <w:rFonts w:hint="eastAsia" w:ascii="宋体" w:hAnsi="宋体" w:cs="宋体"/>
          <w:color w:val="000000" w:themeColor="text1"/>
          <w:sz w:val="24"/>
          <w:szCs w:val="24"/>
          <w:highlight w:val="none"/>
          <w14:textFill>
            <w14:solidFill>
              <w14:schemeClr w14:val="tx1"/>
            </w14:solidFill>
          </w14:textFill>
        </w:rPr>
      </w:pPr>
    </w:p>
    <w:p w14:paraId="17E30739">
      <w:pPr>
        <w:tabs>
          <w:tab w:val="left" w:pos="3600"/>
        </w:tabs>
        <w:adjustRightInd w:val="0"/>
        <w:snapToGrid w:val="0"/>
        <w:spacing w:line="440" w:lineRule="exact"/>
        <w:jc w:val="center"/>
        <w:rPr>
          <w:rFonts w:hint="eastAsia" w:ascii="宋体" w:hAnsi="宋体" w:cs="宋体"/>
          <w:b/>
          <w:bCs/>
          <w:color w:val="000000" w:themeColor="text1"/>
          <w:spacing w:val="6"/>
          <w:kern w:val="0"/>
          <w:sz w:val="32"/>
          <w:szCs w:val="32"/>
          <w:highlight w:val="none"/>
          <w14:textFill>
            <w14:solidFill>
              <w14:schemeClr w14:val="tx1"/>
            </w14:solidFill>
          </w14:textFill>
        </w:rPr>
      </w:pPr>
      <w:r>
        <w:rPr>
          <w:rFonts w:hint="eastAsia" w:ascii="宋体" w:hAnsi="宋体" w:cs="宋体"/>
          <w:b/>
          <w:color w:val="000000" w:themeColor="text1"/>
          <w:sz w:val="28"/>
          <w:szCs w:val="30"/>
          <w:highlight w:val="none"/>
          <w14:textFill>
            <w14:solidFill>
              <w14:schemeClr w14:val="tx1"/>
            </w14:solidFill>
          </w14:textFill>
        </w:rPr>
        <w:br w:type="page"/>
      </w:r>
      <w:r>
        <w:rPr>
          <w:rFonts w:hint="eastAsia" w:ascii="宋体" w:hAnsi="宋体" w:cs="宋体"/>
          <w:b/>
          <w:color w:val="000000" w:themeColor="text1"/>
          <w:sz w:val="28"/>
          <w:szCs w:val="30"/>
          <w:highlight w:val="none"/>
          <w14:textFill>
            <w14:solidFill>
              <w14:schemeClr w14:val="tx1"/>
            </w14:solidFill>
          </w14:textFill>
        </w:rPr>
        <w:t>3</w:t>
      </w:r>
      <w:r>
        <w:rPr>
          <w:rFonts w:hint="eastAsia" w:ascii="宋体" w:hAnsi="宋体" w:cs="宋体"/>
          <w:b/>
          <w:bCs/>
          <w:color w:val="000000" w:themeColor="text1"/>
          <w:spacing w:val="6"/>
          <w:kern w:val="0"/>
          <w:sz w:val="28"/>
          <w:szCs w:val="32"/>
          <w:highlight w:val="none"/>
          <w14:textFill>
            <w14:solidFill>
              <w14:schemeClr w14:val="tx1"/>
            </w14:solidFill>
          </w14:textFill>
        </w:rPr>
        <w:t>残疾人福利性单位声明函</w:t>
      </w:r>
    </w:p>
    <w:p w14:paraId="7B98E5A7">
      <w:pPr>
        <w:autoSpaceDE w:val="0"/>
        <w:autoSpaceDN w:val="0"/>
        <w:adjustRightInd w:val="0"/>
        <w:spacing w:line="440" w:lineRule="exact"/>
        <w:rPr>
          <w:rFonts w:hint="eastAsia" w:ascii="宋体" w:hAnsi="宋体" w:cs="宋体"/>
          <w:b/>
          <w:bCs/>
          <w:color w:val="000000" w:themeColor="text1"/>
          <w:spacing w:val="6"/>
          <w:kern w:val="0"/>
          <w:sz w:val="24"/>
          <w:szCs w:val="24"/>
          <w:highlight w:val="none"/>
          <w14:textFill>
            <w14:solidFill>
              <w14:schemeClr w14:val="tx1"/>
            </w14:solidFill>
          </w14:textFill>
        </w:rPr>
      </w:pPr>
    </w:p>
    <w:p w14:paraId="33AF309A">
      <w:pPr>
        <w:widowControl/>
        <w:adjustRightInd w:val="0"/>
        <w:snapToGrid w:val="0"/>
        <w:spacing w:line="440" w:lineRule="exact"/>
        <w:ind w:firstLine="504" w:firstLineChars="200"/>
        <w:jc w:val="left"/>
        <w:rPr>
          <w:rFonts w:hint="eastAsia" w:ascii="宋体" w:hAnsi="宋体" w:cs="宋体"/>
          <w:color w:val="000000" w:themeColor="text1"/>
          <w:spacing w:val="6"/>
          <w:kern w:val="0"/>
          <w:sz w:val="24"/>
          <w:szCs w:val="24"/>
          <w:highlight w:val="none"/>
          <w14:textFill>
            <w14:solidFill>
              <w14:schemeClr w14:val="tx1"/>
            </w14:solidFill>
          </w14:textFill>
        </w:rPr>
      </w:pPr>
      <w:r>
        <w:rPr>
          <w:rFonts w:hint="eastAsia" w:ascii="宋体" w:hAnsi="宋体" w:cs="宋体"/>
          <w:color w:val="000000" w:themeColor="text1"/>
          <w:spacing w:val="6"/>
          <w:kern w:val="0"/>
          <w:sz w:val="24"/>
          <w:szCs w:val="24"/>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2E86460">
      <w:pPr>
        <w:widowControl/>
        <w:adjustRightInd w:val="0"/>
        <w:snapToGrid w:val="0"/>
        <w:spacing w:line="440" w:lineRule="exact"/>
        <w:ind w:firstLine="504" w:firstLineChars="200"/>
        <w:jc w:val="left"/>
        <w:rPr>
          <w:rFonts w:hint="eastAsia" w:ascii="宋体" w:hAnsi="宋体" w:cs="宋体"/>
          <w:color w:val="000000" w:themeColor="text1"/>
          <w:spacing w:val="6"/>
          <w:kern w:val="0"/>
          <w:sz w:val="24"/>
          <w:szCs w:val="24"/>
          <w:highlight w:val="none"/>
          <w14:textFill>
            <w14:solidFill>
              <w14:schemeClr w14:val="tx1"/>
            </w14:solidFill>
          </w14:textFill>
        </w:rPr>
      </w:pPr>
      <w:r>
        <w:rPr>
          <w:rFonts w:hint="eastAsia" w:ascii="宋体" w:hAnsi="宋体" w:cs="宋体"/>
          <w:color w:val="000000" w:themeColor="text1"/>
          <w:spacing w:val="6"/>
          <w:kern w:val="0"/>
          <w:sz w:val="24"/>
          <w:szCs w:val="24"/>
          <w:highlight w:val="none"/>
          <w14:textFill>
            <w14:solidFill>
              <w14:schemeClr w14:val="tx1"/>
            </w14:solidFill>
          </w14:textFill>
        </w:rPr>
        <w:t xml:space="preserve">本单位对上述声明的真实性负责。如有虚假，将依法承担相应责任。 </w:t>
      </w:r>
    </w:p>
    <w:p w14:paraId="085FAE50">
      <w:pPr>
        <w:widowControl/>
        <w:adjustRightInd w:val="0"/>
        <w:snapToGrid w:val="0"/>
        <w:spacing w:line="440" w:lineRule="exact"/>
        <w:ind w:firstLine="504" w:firstLineChars="200"/>
        <w:jc w:val="left"/>
        <w:rPr>
          <w:rFonts w:hint="eastAsia" w:ascii="宋体" w:hAnsi="宋体" w:cs="宋体"/>
          <w:color w:val="000000" w:themeColor="text1"/>
          <w:spacing w:val="6"/>
          <w:kern w:val="0"/>
          <w:sz w:val="24"/>
          <w:szCs w:val="24"/>
          <w:highlight w:val="none"/>
          <w14:textFill>
            <w14:solidFill>
              <w14:schemeClr w14:val="tx1"/>
            </w14:solidFill>
          </w14:textFill>
        </w:rPr>
      </w:pPr>
    </w:p>
    <w:p w14:paraId="59AEFB11">
      <w:pPr>
        <w:widowControl/>
        <w:adjustRightInd w:val="0"/>
        <w:snapToGrid w:val="0"/>
        <w:spacing w:line="440" w:lineRule="exact"/>
        <w:ind w:firstLine="5544" w:firstLineChars="2200"/>
        <w:jc w:val="left"/>
        <w:rPr>
          <w:rFonts w:hint="eastAsia" w:ascii="宋体" w:hAnsi="宋体" w:cs="宋体"/>
          <w:color w:val="000000" w:themeColor="text1"/>
          <w:spacing w:val="6"/>
          <w:kern w:val="0"/>
          <w:sz w:val="24"/>
          <w:szCs w:val="24"/>
          <w:highlight w:val="none"/>
          <w14:textFill>
            <w14:solidFill>
              <w14:schemeClr w14:val="tx1"/>
            </w14:solidFill>
          </w14:textFill>
        </w:rPr>
      </w:pPr>
      <w:r>
        <w:rPr>
          <w:rFonts w:hint="eastAsia" w:ascii="宋体" w:hAnsi="宋体" w:cs="宋体"/>
          <w:color w:val="000000" w:themeColor="text1"/>
          <w:spacing w:val="6"/>
          <w:kern w:val="0"/>
          <w:sz w:val="24"/>
          <w:szCs w:val="24"/>
          <w:highlight w:val="none"/>
          <w14:textFill>
            <w14:solidFill>
              <w14:schemeClr w14:val="tx1"/>
            </w14:solidFill>
          </w14:textFill>
        </w:rPr>
        <w:t>单位名称（</w:t>
      </w:r>
      <w:r>
        <w:rPr>
          <w:rFonts w:hint="eastAsia" w:ascii="宋体" w:hAnsi="宋体" w:cs="宋体"/>
          <w:color w:val="000000" w:themeColor="text1"/>
          <w:kern w:val="0"/>
          <w:sz w:val="24"/>
          <w:highlight w:val="none"/>
          <w14:textFill>
            <w14:solidFill>
              <w14:schemeClr w14:val="tx1"/>
            </w14:solidFill>
          </w14:textFill>
        </w:rPr>
        <w:t>电子签章</w:t>
      </w:r>
      <w:r>
        <w:rPr>
          <w:rFonts w:hint="eastAsia" w:ascii="宋体" w:hAnsi="宋体" w:cs="宋体"/>
          <w:color w:val="000000" w:themeColor="text1"/>
          <w:spacing w:val="6"/>
          <w:kern w:val="0"/>
          <w:sz w:val="24"/>
          <w:szCs w:val="24"/>
          <w:highlight w:val="none"/>
          <w14:textFill>
            <w14:solidFill>
              <w14:schemeClr w14:val="tx1"/>
            </w14:solidFill>
          </w14:textFill>
        </w:rPr>
        <w:t>）：</w:t>
      </w:r>
    </w:p>
    <w:p w14:paraId="28E2AA5F">
      <w:pPr>
        <w:widowControl/>
        <w:adjustRightInd w:val="0"/>
        <w:snapToGrid w:val="0"/>
        <w:spacing w:line="440" w:lineRule="exact"/>
        <w:ind w:firstLine="504" w:firstLineChars="200"/>
        <w:jc w:val="left"/>
        <w:rPr>
          <w:rFonts w:hint="eastAsia" w:ascii="宋体" w:hAnsi="宋体" w:cs="宋体"/>
          <w:color w:val="000000" w:themeColor="text1"/>
          <w:spacing w:val="6"/>
          <w:kern w:val="0"/>
          <w:sz w:val="24"/>
          <w:szCs w:val="24"/>
          <w:highlight w:val="none"/>
          <w14:textFill>
            <w14:solidFill>
              <w14:schemeClr w14:val="tx1"/>
            </w14:solidFill>
          </w14:textFill>
        </w:rPr>
      </w:pPr>
      <w:r>
        <w:rPr>
          <w:rFonts w:hint="eastAsia" w:ascii="宋体" w:hAnsi="宋体" w:cs="宋体"/>
          <w:color w:val="000000" w:themeColor="text1"/>
          <w:spacing w:val="6"/>
          <w:kern w:val="0"/>
          <w:sz w:val="24"/>
          <w:szCs w:val="24"/>
          <w:highlight w:val="none"/>
          <w14:textFill>
            <w14:solidFill>
              <w14:schemeClr w14:val="tx1"/>
            </w14:solidFill>
          </w14:textFill>
        </w:rPr>
        <w:t xml:space="preserve">                                      日期:</w:t>
      </w:r>
    </w:p>
    <w:p w14:paraId="1AAEC745">
      <w:pPr>
        <w:snapToGrid w:val="0"/>
        <w:spacing w:line="360" w:lineRule="auto"/>
        <w:jc w:val="center"/>
        <w:outlineLvl w:val="0"/>
        <w:rPr>
          <w:rFonts w:hint="eastAsia" w:ascii="宋体" w:hAnsi="宋体" w:cs="宋体"/>
          <w:b/>
          <w:kern w:val="0"/>
          <w:sz w:val="32"/>
          <w:szCs w:val="32"/>
          <w:highlight w:val="none"/>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color w:val="000000" w:themeColor="text1"/>
          <w:sz w:val="28"/>
          <w:szCs w:val="28"/>
          <w:highlight w:val="none"/>
          <w14:textFill>
            <w14:solidFill>
              <w14:schemeClr w14:val="tx1"/>
            </w14:solidFill>
          </w14:textFill>
        </w:rPr>
        <w:t>4</w:t>
      </w:r>
      <w:r>
        <w:rPr>
          <w:rFonts w:hint="eastAsia" w:ascii="宋体" w:hAnsi="宋体" w:cs="宋体"/>
          <w:b/>
          <w:kern w:val="0"/>
          <w:sz w:val="32"/>
          <w:szCs w:val="32"/>
          <w:highlight w:val="none"/>
          <w:lang w:bidi="ar"/>
        </w:rPr>
        <w:t>分包意向协议书</w:t>
      </w:r>
    </w:p>
    <w:p w14:paraId="3E1F63DB">
      <w:pPr>
        <w:pStyle w:val="107"/>
        <w:spacing w:after="0" w:line="440" w:lineRule="exact"/>
        <w:ind w:firstLine="600"/>
        <w:rPr>
          <w:rFonts w:hint="eastAsia" w:cs="宋体"/>
          <w:sz w:val="24"/>
          <w:szCs w:val="24"/>
          <w:highlight w:val="none"/>
        </w:rPr>
      </w:pPr>
      <w:r>
        <w:rPr>
          <w:rFonts w:hint="eastAsia" w:cs="宋体"/>
          <w:color w:val="000000"/>
          <w:sz w:val="24"/>
          <w:szCs w:val="24"/>
          <w:highlight w:val="none"/>
          <w:u w:val="single"/>
        </w:rPr>
        <w:t>（投标人名称）</w:t>
      </w:r>
      <w:r>
        <w:rPr>
          <w:rFonts w:hint="eastAsia" w:cs="宋体"/>
          <w:color w:val="000000"/>
          <w:sz w:val="24"/>
          <w:szCs w:val="24"/>
          <w:highlight w:val="none"/>
        </w:rPr>
        <w:t>若成为</w:t>
      </w:r>
      <w:r>
        <w:rPr>
          <w:rFonts w:hint="eastAsia" w:cs="宋体"/>
          <w:color w:val="000000"/>
          <w:sz w:val="24"/>
          <w:szCs w:val="24"/>
          <w:highlight w:val="none"/>
          <w:u w:val="single"/>
          <w:lang w:val="en-US"/>
        </w:rPr>
        <w:t xml:space="preserve">       </w:t>
      </w:r>
      <w:r>
        <w:rPr>
          <w:rFonts w:hint="eastAsia" w:cs="宋体"/>
          <w:color w:val="000000"/>
          <w:sz w:val="24"/>
          <w:szCs w:val="24"/>
          <w:highlight w:val="none"/>
          <w:u w:val="single"/>
        </w:rPr>
        <w:t>（项目名称）</w:t>
      </w:r>
      <w:r>
        <w:rPr>
          <w:rFonts w:hint="eastAsia" w:cs="宋体"/>
          <w:color w:val="000000"/>
          <w:sz w:val="24"/>
          <w:szCs w:val="24"/>
          <w:highlight w:val="none"/>
        </w:rPr>
        <w:t>的中标</w:t>
      </w:r>
      <w:r>
        <w:rPr>
          <w:rFonts w:hint="eastAsia" w:cs="宋体"/>
          <w:color w:val="000000"/>
          <w:sz w:val="24"/>
          <w:szCs w:val="24"/>
          <w:highlight w:val="none"/>
          <w:lang w:val="en-US"/>
        </w:rPr>
        <w:t>单位，</w:t>
      </w:r>
      <w:r>
        <w:rPr>
          <w:rFonts w:hint="eastAsia" w:cs="宋体"/>
          <w:color w:val="000000"/>
          <w:sz w:val="24"/>
          <w:szCs w:val="24"/>
          <w:highlight w:val="none"/>
        </w:rPr>
        <w:t>将依法采取分包方式履行合同。</w:t>
      </w:r>
      <w:r>
        <w:rPr>
          <w:rFonts w:hint="eastAsia" w:cs="宋体"/>
          <w:color w:val="000000"/>
          <w:sz w:val="24"/>
          <w:szCs w:val="24"/>
          <w:highlight w:val="none"/>
          <w:u w:val="single"/>
        </w:rPr>
        <w:t>（投标人名称）</w:t>
      </w:r>
      <w:r>
        <w:rPr>
          <w:rFonts w:hint="eastAsia" w:cs="宋体"/>
          <w:color w:val="000000"/>
          <w:sz w:val="24"/>
          <w:szCs w:val="24"/>
          <w:highlight w:val="none"/>
        </w:rPr>
        <w:t>与</w:t>
      </w:r>
      <w:r>
        <w:rPr>
          <w:rFonts w:hint="eastAsia" w:cs="宋体"/>
          <w:color w:val="000000"/>
          <w:sz w:val="24"/>
          <w:szCs w:val="24"/>
          <w:highlight w:val="none"/>
          <w:u w:val="single"/>
        </w:rPr>
        <w:t>（所有分包供应商名称）</w:t>
      </w:r>
      <w:r>
        <w:rPr>
          <w:rFonts w:hint="eastAsia" w:cs="宋体"/>
          <w:color w:val="000000"/>
          <w:sz w:val="24"/>
          <w:szCs w:val="24"/>
          <w:highlight w:val="none"/>
        </w:rPr>
        <w:t>达成分包意向协议。</w:t>
      </w:r>
    </w:p>
    <w:p w14:paraId="55468E77">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一、分包意向各方关系</w:t>
      </w:r>
    </w:p>
    <w:p w14:paraId="0ED45721">
      <w:pPr>
        <w:spacing w:line="440" w:lineRule="exact"/>
        <w:ind w:firstLine="480" w:firstLineChars="200"/>
        <w:rPr>
          <w:rFonts w:hint="eastAsia" w:ascii="宋体" w:hAnsi="宋体" w:cs="宋体"/>
          <w:sz w:val="24"/>
          <w:szCs w:val="24"/>
          <w:highlight w:val="none"/>
        </w:rPr>
      </w:pP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为</w:t>
      </w:r>
      <w:r>
        <w:rPr>
          <w:rFonts w:hint="eastAsia" w:ascii="宋体" w:hAnsi="宋体" w:cs="宋体"/>
          <w:sz w:val="24"/>
          <w:szCs w:val="24"/>
          <w:highlight w:val="none"/>
        </w:rPr>
        <w:t>投标供应商</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（乙公司全称）</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（……公司全称）</w:t>
      </w:r>
      <w:r>
        <w:rPr>
          <w:rFonts w:hint="eastAsia" w:ascii="宋体" w:hAnsi="宋体" w:cs="宋体"/>
          <w:sz w:val="24"/>
          <w:szCs w:val="24"/>
          <w:highlight w:val="none"/>
        </w:rPr>
        <w:t>为分包意向供应商，</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以投标供应商的身份参加本项目的</w:t>
      </w:r>
      <w:r>
        <w:rPr>
          <w:rFonts w:hint="eastAsia" w:ascii="宋体" w:hAnsi="宋体" w:cs="宋体"/>
          <w:kern w:val="0"/>
          <w:sz w:val="24"/>
          <w:szCs w:val="24"/>
          <w:highlight w:val="none"/>
        </w:rPr>
        <w:t>投标</w:t>
      </w:r>
      <w:r>
        <w:rPr>
          <w:rFonts w:hint="eastAsia" w:ascii="宋体" w:hAnsi="宋体" w:cs="宋体"/>
          <w:sz w:val="24"/>
          <w:szCs w:val="24"/>
          <w:highlight w:val="none"/>
        </w:rPr>
        <w:t>。若中标，</w:t>
      </w: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与</w:t>
      </w:r>
      <w:r>
        <w:rPr>
          <w:rFonts w:hint="eastAsia" w:ascii="宋体" w:hAnsi="宋体" w:cs="宋体"/>
          <w:sz w:val="24"/>
          <w:szCs w:val="24"/>
          <w:highlight w:val="none"/>
        </w:rPr>
        <w:t>采购人签订政府采购合同。承接分包意向的各供应商与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签订分包合同。</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就采购项目和分包项目向采购人负责，分包供应商就分包项目承担责任。</w:t>
      </w:r>
    </w:p>
    <w:p w14:paraId="031F560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二、有关事项约定如下：</w:t>
      </w:r>
    </w:p>
    <w:p w14:paraId="6434C1A8">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1.如中标，分包供应商分别与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签订合同书，并就中标项目分包部分向采购人负责有连带的和各自的法律责任；</w:t>
      </w:r>
    </w:p>
    <w:p w14:paraId="56F625D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2.分包意向供应商1</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 xml:space="preserve"> （具体分包内容），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3C15C753">
      <w:pPr>
        <w:rPr>
          <w:rFonts w:hint="eastAsia" w:ascii="宋体" w:hAnsi="宋体" w:cs="宋体"/>
          <w:sz w:val="24"/>
          <w:szCs w:val="24"/>
          <w:highlight w:val="none"/>
        </w:rPr>
      </w:pPr>
      <w:r>
        <w:rPr>
          <w:rFonts w:hint="eastAsia" w:ascii="宋体" w:hAnsi="宋体" w:cs="宋体"/>
          <w:sz w:val="24"/>
          <w:szCs w:val="24"/>
          <w:highlight w:val="none"/>
        </w:rPr>
        <w:t>3.分包意向供应商2</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2A8C936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4.分包意向供应商3</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6E0048A9">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w:t>
      </w:r>
    </w:p>
    <w:p w14:paraId="1BF05E9A">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三、接受分包合同的中小企业与分包企业之间（请填写：是否存在）直接控股、管理关系的情形。</w:t>
      </w:r>
    </w:p>
    <w:p w14:paraId="6F6A004D">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四、如因违约过失责任而导致采购人经济损失或被索赔时，（甲公司全称）同意无条件优先清偿采购人的一切债务和经济赔偿。</w:t>
      </w:r>
    </w:p>
    <w:p w14:paraId="509A7951">
      <w:pPr>
        <w:spacing w:line="440" w:lineRule="exact"/>
        <w:ind w:firstLine="480" w:firstLineChars="200"/>
        <w:rPr>
          <w:rFonts w:hint="eastAsia" w:ascii="宋体" w:hAnsi="宋体" w:cs="宋体"/>
          <w:kern w:val="0"/>
          <w:sz w:val="24"/>
          <w:szCs w:val="24"/>
          <w:highlight w:val="none"/>
        </w:rPr>
      </w:pPr>
      <w:r>
        <w:rPr>
          <w:rFonts w:hint="eastAsia" w:ascii="宋体" w:hAnsi="宋体" w:cs="宋体"/>
          <w:sz w:val="24"/>
          <w:szCs w:val="24"/>
          <w:highlight w:val="none"/>
        </w:rPr>
        <w:t>五、中小企业合同金</w:t>
      </w:r>
      <w:r>
        <w:rPr>
          <w:rFonts w:hint="eastAsia" w:ascii="宋体" w:hAnsi="宋体" w:cs="宋体"/>
          <w:kern w:val="0"/>
          <w:sz w:val="24"/>
          <w:szCs w:val="24"/>
          <w:highlight w:val="none"/>
        </w:rPr>
        <w:t>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，其中小微企业合同金额为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w:t>
      </w:r>
    </w:p>
    <w:p w14:paraId="512CEF44">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p>
    <w:p w14:paraId="43E3F18C">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r>
        <w:rPr>
          <w:rFonts w:hint="eastAsia" w:ascii="宋体" w:hAnsi="宋体" w:cs="宋体"/>
          <w:kern w:val="0"/>
          <w:sz w:val="24"/>
          <w:szCs w:val="24"/>
          <w:highlight w:val="none"/>
        </w:rPr>
        <w:t xml:space="preserve">投标人：（盖章） </w:t>
      </w:r>
      <w:r>
        <w:rPr>
          <w:rFonts w:hint="eastAsia" w:ascii="宋体" w:hAnsi="宋体" w:cs="宋体"/>
          <w:kern w:val="0"/>
          <w:sz w:val="24"/>
          <w:szCs w:val="24"/>
          <w:highlight w:val="none"/>
        </w:rPr>
        <w:tab/>
      </w:r>
    </w:p>
    <w:p w14:paraId="1AB66CA4">
      <w:pPr>
        <w:widowControl/>
        <w:tabs>
          <w:tab w:val="left" w:pos="2977"/>
          <w:tab w:val="left" w:pos="5954"/>
        </w:tabs>
        <w:spacing w:line="440" w:lineRule="exact"/>
        <w:ind w:firstLine="4320" w:firstLineChars="1800"/>
        <w:jc w:val="left"/>
        <w:rPr>
          <w:rFonts w:hint="eastAsia" w:ascii="宋体" w:hAnsi="宋体" w:cs="宋体"/>
          <w:kern w:val="0"/>
          <w:sz w:val="24"/>
          <w:szCs w:val="24"/>
          <w:highlight w:val="none"/>
        </w:rPr>
      </w:pPr>
      <w:r>
        <w:rPr>
          <w:rFonts w:hint="eastAsia" w:ascii="宋体" w:hAnsi="宋体" w:cs="宋体"/>
          <w:kern w:val="0"/>
          <w:sz w:val="24"/>
          <w:szCs w:val="24"/>
          <w:highlight w:val="none"/>
        </w:rPr>
        <w:t>法定代表人（签字或</w:t>
      </w:r>
      <w:r>
        <w:rPr>
          <w:rFonts w:hint="eastAsia" w:ascii="宋体" w:hAnsi="宋体" w:cs="宋体"/>
          <w:sz w:val="24"/>
          <w:szCs w:val="24"/>
          <w:highlight w:val="none"/>
        </w:rPr>
        <w:t>盖章</w:t>
      </w:r>
      <w:r>
        <w:rPr>
          <w:rFonts w:hint="eastAsia" w:ascii="宋体" w:hAnsi="宋体" w:cs="宋体"/>
          <w:kern w:val="0"/>
          <w:sz w:val="24"/>
          <w:szCs w:val="24"/>
          <w:highlight w:val="none"/>
        </w:rPr>
        <w:t>）</w:t>
      </w:r>
    </w:p>
    <w:p w14:paraId="63728ED1">
      <w:pPr>
        <w:widowControl/>
        <w:tabs>
          <w:tab w:val="left" w:pos="2977"/>
          <w:tab w:val="left" w:pos="5954"/>
        </w:tabs>
        <w:spacing w:line="440" w:lineRule="exact"/>
        <w:jc w:val="left"/>
        <w:rPr>
          <w:rFonts w:hint="eastAsia" w:ascii="宋体" w:hAnsi="宋体" w:cs="宋体"/>
          <w:kern w:val="0"/>
          <w:sz w:val="24"/>
          <w:szCs w:val="24"/>
          <w:highlight w:val="none"/>
        </w:rPr>
      </w:pPr>
      <w:r>
        <w:rPr>
          <w:rFonts w:hint="eastAsia" w:ascii="宋体" w:hAnsi="宋体" w:cs="宋体"/>
          <w:kern w:val="0"/>
          <w:sz w:val="24"/>
          <w:szCs w:val="24"/>
          <w:highlight w:val="none"/>
        </w:rPr>
        <w:t>　　                                   年　　月　　日</w:t>
      </w:r>
      <w:r>
        <w:rPr>
          <w:rFonts w:hint="eastAsia" w:ascii="宋体" w:hAnsi="宋体" w:cs="宋体"/>
          <w:kern w:val="0"/>
          <w:sz w:val="24"/>
          <w:szCs w:val="24"/>
          <w:highlight w:val="none"/>
        </w:rPr>
        <w:tab/>
      </w:r>
    </w:p>
    <w:p w14:paraId="3CDDCD74">
      <w:pPr>
        <w:spacing w:line="440" w:lineRule="exact"/>
        <w:ind w:left="708" w:hanging="708" w:hangingChars="294"/>
        <w:rPr>
          <w:rFonts w:hint="eastAsia" w:ascii="宋体" w:hAnsi="宋体" w:cs="宋体"/>
          <w:b/>
          <w:bCs/>
          <w:sz w:val="24"/>
          <w:szCs w:val="24"/>
          <w:highlight w:val="none"/>
        </w:rPr>
      </w:pPr>
      <w:r>
        <w:rPr>
          <w:rFonts w:hint="eastAsia" w:ascii="宋体" w:hAnsi="宋体" w:cs="宋体"/>
          <w:b/>
          <w:sz w:val="24"/>
          <w:szCs w:val="24"/>
          <w:highlight w:val="none"/>
        </w:rPr>
        <w:t>注：</w:t>
      </w:r>
      <w:r>
        <w:rPr>
          <w:rFonts w:hint="eastAsia" w:ascii="宋体" w:hAnsi="宋体" w:cs="宋体"/>
          <w:b/>
          <w:bCs/>
          <w:sz w:val="24"/>
          <w:szCs w:val="24"/>
          <w:highlight w:val="none"/>
        </w:rPr>
        <w:t>本分包意向协议内容将作为签订合同的附件之一。</w:t>
      </w:r>
    </w:p>
    <w:p w14:paraId="241FB9B4">
      <w:pPr>
        <w:spacing w:line="360" w:lineRule="auto"/>
        <w:jc w:val="center"/>
        <w:rPr>
          <w:rFonts w:hint="eastAsia" w:ascii="宋体" w:hAnsi="宋体" w:cs="宋体"/>
          <w:kern w:val="0"/>
          <w:sz w:val="24"/>
          <w:szCs w:val="24"/>
          <w:highlight w:val="none"/>
        </w:rPr>
      </w:pPr>
    </w:p>
    <w:p w14:paraId="7023EAB5">
      <w:pPr>
        <w:pStyle w:val="104"/>
        <w:spacing w:after="0"/>
        <w:ind w:left="0" w:leftChars="0" w:firstLine="3" w:firstLineChars="1"/>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四、投标函</w:t>
      </w:r>
    </w:p>
    <w:p w14:paraId="2CF00410">
      <w:pP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致：新疆守正项目管理咨询有限公司</w:t>
      </w:r>
    </w:p>
    <w:p w14:paraId="0ED89948">
      <w:pPr>
        <w:spacing w:line="440" w:lineRule="exact"/>
        <w:ind w:firstLine="5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根据贵方为项目招标的投标邀请</w:t>
      </w:r>
      <w:r>
        <w:rPr>
          <w:rFonts w:hint="eastAsia" w:ascii="宋体" w:hAnsi="宋体" w:cs="宋体"/>
          <w:color w:val="000000" w:themeColor="text1"/>
          <w:sz w:val="24"/>
          <w:highlight w:val="none"/>
          <w:u w:val="single"/>
          <w14:textFill>
            <w14:solidFill>
              <w14:schemeClr w14:val="tx1"/>
            </w14:solidFill>
          </w14:textFill>
        </w:rPr>
        <w:t xml:space="preserve"> 项目编号 </w:t>
      </w:r>
      <w:r>
        <w:rPr>
          <w:rFonts w:hint="eastAsia" w:ascii="宋体" w:hAnsi="宋体" w:cs="宋体"/>
          <w:color w:val="000000" w:themeColor="text1"/>
          <w:sz w:val="24"/>
          <w:highlight w:val="none"/>
          <w14:textFill>
            <w14:solidFill>
              <w14:schemeClr w14:val="tx1"/>
            </w14:solidFill>
          </w14:textFill>
        </w:rPr>
        <w:t>，签字代表</w:t>
      </w:r>
      <w:r>
        <w:rPr>
          <w:rFonts w:hint="eastAsia" w:ascii="宋体" w:hAnsi="宋体" w:cs="宋体"/>
          <w:color w:val="000000" w:themeColor="text1"/>
          <w:sz w:val="24"/>
          <w:highlight w:val="none"/>
          <w:u w:val="single"/>
          <w14:textFill>
            <w14:solidFill>
              <w14:schemeClr w14:val="tx1"/>
            </w14:solidFill>
          </w14:textFill>
        </w:rPr>
        <w:t>（姓名、职务）</w:t>
      </w:r>
      <w:r>
        <w:rPr>
          <w:rFonts w:hint="eastAsia" w:ascii="宋体" w:hAnsi="宋体" w:cs="宋体"/>
          <w:color w:val="000000" w:themeColor="text1"/>
          <w:sz w:val="24"/>
          <w:highlight w:val="none"/>
          <w14:textFill>
            <w14:solidFill>
              <w14:schemeClr w14:val="tx1"/>
            </w14:solidFill>
          </w14:textFill>
        </w:rPr>
        <w:t>经正式授权并代表投标供应商</w:t>
      </w:r>
      <w:r>
        <w:rPr>
          <w:rFonts w:hint="eastAsia" w:ascii="宋体" w:hAnsi="宋体" w:cs="宋体"/>
          <w:color w:val="000000" w:themeColor="text1"/>
          <w:sz w:val="24"/>
          <w:highlight w:val="none"/>
          <w:u w:val="single"/>
          <w14:textFill>
            <w14:solidFill>
              <w14:schemeClr w14:val="tx1"/>
            </w14:solidFill>
          </w14:textFill>
        </w:rPr>
        <w:t>（投标供应商名称、地址）</w:t>
      </w:r>
      <w:r>
        <w:rPr>
          <w:rFonts w:hint="eastAsia" w:ascii="宋体" w:hAnsi="宋体" w:cs="宋体"/>
          <w:color w:val="000000" w:themeColor="text1"/>
          <w:sz w:val="24"/>
          <w:highlight w:val="none"/>
          <w14:textFill>
            <w14:solidFill>
              <w14:schemeClr w14:val="tx1"/>
            </w14:solidFill>
          </w14:textFill>
        </w:rPr>
        <w:t>对此项目进行投标。据此函，签字代表宣布并同意如下：</w:t>
      </w:r>
    </w:p>
    <w:p w14:paraId="267D0CDD">
      <w:pPr>
        <w:spacing w:line="440" w:lineRule="exact"/>
        <w:ind w:firstLine="472" w:firstLineChars="200"/>
        <w:rPr>
          <w:rFonts w:hint="eastAsia" w:ascii="宋体" w:hAnsi="宋体" w:cs="宋体"/>
          <w:color w:val="000000" w:themeColor="text1"/>
          <w:spacing w:val="-2"/>
          <w:sz w:val="24"/>
          <w:highlight w:val="none"/>
          <w:u w:val="singl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⒈按照公开招标文件中的一切要求，提供投标货物、安装及技术服务，投标总价</w:t>
      </w:r>
      <w:r>
        <w:rPr>
          <w:rFonts w:hint="eastAsia" w:ascii="宋体" w:hAnsi="宋体" w:cs="宋体"/>
          <w:color w:val="000000" w:themeColor="text1"/>
          <w:spacing w:val="-2"/>
          <w:sz w:val="24"/>
          <w:highlight w:val="none"/>
          <w:u w:val="single"/>
          <w14:textFill>
            <w14:solidFill>
              <w14:schemeClr w14:val="tx1"/>
            </w14:solidFill>
          </w14:textFill>
        </w:rPr>
        <w:t xml:space="preserve">        </w:t>
      </w:r>
      <w:r>
        <w:rPr>
          <w:rFonts w:hint="eastAsia" w:ascii="宋体" w:hAnsi="宋体" w:cs="宋体"/>
          <w:color w:val="000000" w:themeColor="text1"/>
          <w:spacing w:val="-2"/>
          <w:sz w:val="24"/>
          <w:highlight w:val="none"/>
          <w14:textFill>
            <w14:solidFill>
              <w14:schemeClr w14:val="tx1"/>
            </w14:solidFill>
          </w14:textFill>
        </w:rPr>
        <w:t>元（人民币大写）￥：</w:t>
      </w:r>
      <w:r>
        <w:rPr>
          <w:rFonts w:hint="eastAsia" w:ascii="宋体" w:hAnsi="宋体" w:cs="宋体"/>
          <w:color w:val="000000" w:themeColor="text1"/>
          <w:spacing w:val="-2"/>
          <w:sz w:val="24"/>
          <w:highlight w:val="none"/>
          <w:u w:val="single"/>
          <w14:textFill>
            <w14:solidFill>
              <w14:schemeClr w14:val="tx1"/>
            </w14:solidFill>
          </w14:textFill>
        </w:rPr>
        <w:t xml:space="preserve">          </w:t>
      </w:r>
      <w:r>
        <w:rPr>
          <w:rFonts w:hint="eastAsia" w:ascii="宋体" w:hAnsi="宋体" w:cs="宋体"/>
          <w:color w:val="000000" w:themeColor="text1"/>
          <w:spacing w:val="-2"/>
          <w:sz w:val="24"/>
          <w:highlight w:val="none"/>
          <w14:textFill>
            <w14:solidFill>
              <w14:schemeClr w14:val="tx1"/>
            </w14:solidFill>
          </w14:textFill>
        </w:rPr>
        <w:t>元（用阿拉伯数字书写）人民币，中小企业合同金额为    ，占合同总金额   %，其中小微企业合同金额为    ，占合同总金额   %。</w:t>
      </w:r>
    </w:p>
    <w:p w14:paraId="26634C7C">
      <w:pPr>
        <w:spacing w:line="440" w:lineRule="exact"/>
        <w:ind w:firstLine="47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1.我方同意在本项目公开招标文件中规定的开标日起九十日内遵守本投标文件中的承诺且在</w:t>
      </w:r>
      <w:r>
        <w:rPr>
          <w:rFonts w:hint="eastAsia" w:ascii="宋体" w:hAnsi="宋体" w:cs="宋体"/>
          <w:color w:val="000000" w:themeColor="text1"/>
          <w:sz w:val="24"/>
          <w:highlight w:val="none"/>
          <w14:textFill>
            <w14:solidFill>
              <w14:schemeClr w14:val="tx1"/>
            </w14:solidFill>
          </w14:textFill>
        </w:rPr>
        <w:t>此期限期满之前均具有约束力。</w:t>
      </w:r>
    </w:p>
    <w:p w14:paraId="4A79EE7D">
      <w:pPr>
        <w:spacing w:line="440" w:lineRule="exact"/>
        <w:ind w:firstLine="480" w:firstLineChars="200"/>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pacing w:val="-2"/>
          <w:sz w:val="24"/>
          <w:highlight w:val="none"/>
          <w14:textFill>
            <w14:solidFill>
              <w14:schemeClr w14:val="tx1"/>
            </w14:solidFill>
          </w14:textFill>
        </w:rPr>
        <w:t>若我方中标，我方承诺按投标文件承诺向甲方提供服务。</w:t>
      </w:r>
    </w:p>
    <w:p w14:paraId="42BF0927">
      <w:pPr>
        <w:adjustRightInd w:val="0"/>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3.已详细审阅全部公开招标文件(包括公开招标文件澄清函)，理解投标供应商须知的所有条款。</w:t>
      </w:r>
    </w:p>
    <w:p w14:paraId="35CEEB8B">
      <w:pPr>
        <w:adjustRightInd w:val="0"/>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4.完全理解贵方“最低报价不能作为中标的保证”的规定。</w:t>
      </w:r>
    </w:p>
    <w:p w14:paraId="5E2F0D2F">
      <w:pPr>
        <w:adjustRightInd w:val="0"/>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5.接受公开招标文件中全部合同条款，且无任何异议；保证忠实地执行双方所签订的合同，并承担合同规定的责任和义务。</w:t>
      </w:r>
    </w:p>
    <w:p w14:paraId="4E19AE2C">
      <w:pPr>
        <w:adjustRightInd w:val="0"/>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6.完全满足和响应公开招标文件中的各项商务和技术要求，若有偏差，已在投标文件中明确说明。</w:t>
      </w:r>
    </w:p>
    <w:p w14:paraId="4A3BAF9E">
      <w:pPr>
        <w:adjustRightInd w:val="0"/>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7.愿意提供任何与投标有关的数据、情况和技术资料等。</w:t>
      </w:r>
    </w:p>
    <w:p w14:paraId="6ECD0DDF">
      <w:pPr>
        <w:adjustRightInd w:val="0"/>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8.我方已详细审核全部投标文件、参考资料及有关附件，确认无误。</w:t>
      </w:r>
    </w:p>
    <w:p w14:paraId="4B9A1D2C">
      <w:pPr>
        <w:adjustRightInd w:val="0"/>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9.对本次招标内容及与本项目有关的知识产权、技术资料、商业秘密及相关信息保密。</w:t>
      </w:r>
    </w:p>
    <w:p w14:paraId="725DEFE2">
      <w:pPr>
        <w:adjustRightInd w:val="0"/>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10.与采购人和采购代理机构无任何的隶属关系或者其他利害关系。</w:t>
      </w:r>
    </w:p>
    <w:p w14:paraId="18C89535">
      <w:pPr>
        <w:adjustRightInd w:val="0"/>
        <w:snapToGrid w:val="0"/>
        <w:spacing w:line="440" w:lineRule="exact"/>
        <w:rPr>
          <w:rFonts w:hint="eastAsia" w:ascii="宋体" w:hAnsi="宋体" w:cs="宋体"/>
          <w:color w:val="000000" w:themeColor="text1"/>
          <w:sz w:val="24"/>
          <w:highlight w:val="none"/>
          <w14:textFill>
            <w14:solidFill>
              <w14:schemeClr w14:val="tx1"/>
            </w14:solidFill>
          </w14:textFill>
        </w:rPr>
      </w:pPr>
    </w:p>
    <w:p w14:paraId="6210DF81">
      <w:pPr>
        <w:spacing w:line="440" w:lineRule="exact"/>
        <w:ind w:firstLine="240" w:firstLineChars="1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与本投标有关的一切正式往来信函请寄：</w:t>
      </w:r>
    </w:p>
    <w:p w14:paraId="3C5B3C1E">
      <w:pPr>
        <w:spacing w:line="440" w:lineRule="exact"/>
        <w:ind w:firstLine="240" w:firstLineChars="10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w:t>
      </w:r>
      <w:r>
        <w:rPr>
          <w:rFonts w:hint="eastAsia" w:ascii="宋体" w:hAnsi="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邮编：</w:t>
      </w:r>
      <w:r>
        <w:rPr>
          <w:rFonts w:hint="eastAsia" w:ascii="宋体" w:hAnsi="宋体" w:cs="宋体"/>
          <w:color w:val="000000" w:themeColor="text1"/>
          <w:sz w:val="24"/>
          <w:highlight w:val="none"/>
          <w:u w:val="single"/>
          <w14:textFill>
            <w14:solidFill>
              <w14:schemeClr w14:val="tx1"/>
            </w14:solidFill>
          </w14:textFill>
        </w:rPr>
        <w:t>　　　　　　　　　</w:t>
      </w:r>
    </w:p>
    <w:p w14:paraId="131E2617">
      <w:pP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电　　　　　话：</w:t>
      </w:r>
      <w:r>
        <w:rPr>
          <w:rFonts w:hint="eastAsia" w:ascii="宋体" w:hAnsi="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传真：</w:t>
      </w:r>
      <w:r>
        <w:rPr>
          <w:rFonts w:hint="eastAsia" w:ascii="宋体" w:hAnsi="宋体" w:cs="宋体"/>
          <w:color w:val="000000" w:themeColor="text1"/>
          <w:sz w:val="24"/>
          <w:highlight w:val="none"/>
          <w:u w:val="single"/>
          <w14:textFill>
            <w14:solidFill>
              <w14:schemeClr w14:val="tx1"/>
            </w14:solidFill>
          </w14:textFill>
        </w:rPr>
        <w:t>　　　　　　　　　</w:t>
      </w:r>
    </w:p>
    <w:p w14:paraId="06A7F602">
      <w:pP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投标供应商代表签字：</w:t>
      </w:r>
      <w:r>
        <w:rPr>
          <w:rFonts w:hint="eastAsia" w:ascii="宋体" w:hAnsi="宋体" w:cs="宋体"/>
          <w:color w:val="000000" w:themeColor="text1"/>
          <w:sz w:val="24"/>
          <w:highlight w:val="none"/>
          <w:u w:val="single"/>
          <w14:textFill>
            <w14:solidFill>
              <w14:schemeClr w14:val="tx1"/>
            </w14:solidFill>
          </w14:textFill>
        </w:rPr>
        <w:t>　　　　　　　　　　　　　</w:t>
      </w:r>
    </w:p>
    <w:p w14:paraId="7495604C">
      <w:pP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投标供应商名称：</w:t>
      </w:r>
      <w:r>
        <w:rPr>
          <w:rFonts w:hint="eastAsia" w:ascii="宋体" w:hAnsi="宋体" w:cs="宋体"/>
          <w:color w:val="000000" w:themeColor="text1"/>
          <w:sz w:val="24"/>
          <w:highlight w:val="none"/>
          <w:u w:val="single"/>
          <w14:textFill>
            <w14:solidFill>
              <w14:schemeClr w14:val="tx1"/>
            </w14:solidFill>
          </w14:textFill>
        </w:rPr>
        <w:t>　　　　　　　　　　</w:t>
      </w:r>
    </w:p>
    <w:p w14:paraId="219C3EF2">
      <w:pPr>
        <w:spacing w:line="440" w:lineRule="exact"/>
        <w:ind w:firstLine="6240" w:firstLineChars="26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（单位公章）</w:t>
      </w:r>
    </w:p>
    <w:p w14:paraId="02277CCB">
      <w:pPr>
        <w:spacing w:line="440" w:lineRule="exact"/>
        <w:ind w:firstLine="5880" w:firstLineChars="24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  年  月  日</w:t>
      </w:r>
    </w:p>
    <w:p w14:paraId="3FEB3809">
      <w:pPr>
        <w:adjustRightInd w:val="0"/>
        <w:snapToGrid w:val="0"/>
        <w:spacing w:line="440" w:lineRule="exact"/>
        <w:ind w:firstLine="482" w:firstLineChars="200"/>
        <w:rPr>
          <w:rFonts w:hint="eastAsia" w:ascii="宋体" w:hAnsi="宋体" w:cs="宋体"/>
          <w:b/>
          <w:color w:val="000000" w:themeColor="text1"/>
          <w:sz w:val="24"/>
          <w:highlight w:val="none"/>
          <w:em w:val="dot"/>
          <w14:textFill>
            <w14:solidFill>
              <w14:schemeClr w14:val="tx1"/>
            </w14:solidFill>
          </w14:textFill>
        </w:rPr>
      </w:pPr>
      <w:r>
        <w:rPr>
          <w:rFonts w:hint="eastAsia" w:ascii="宋体" w:hAnsi="宋体" w:cs="宋体"/>
          <w:b/>
          <w:color w:val="000000" w:themeColor="text1"/>
          <w:sz w:val="24"/>
          <w:highlight w:val="none"/>
          <w:em w:val="dot"/>
          <w14:textFill>
            <w14:solidFill>
              <w14:schemeClr w14:val="tx1"/>
            </w14:solidFill>
          </w14:textFill>
        </w:rPr>
        <w:t>注：除可填报项目外，对本投标函的任何修改将被视为非实质性响应投标，从而导致该投标被拒绝。</w:t>
      </w:r>
    </w:p>
    <w:p w14:paraId="3DD18544">
      <w:pPr>
        <w:pStyle w:val="104"/>
        <w:spacing w:after="0"/>
        <w:ind w:left="0" w:leftChars="0" w:firstLine="3" w:firstLineChars="1"/>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五、反商业贿赂承诺书</w:t>
      </w:r>
    </w:p>
    <w:p w14:paraId="29F263F0">
      <w:pPr>
        <w:pStyle w:val="11"/>
        <w:spacing w:line="440" w:lineRule="exact"/>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我公司承诺在</w:t>
      </w:r>
      <w:r>
        <w:rPr>
          <w:rFonts w:hint="eastAsia" w:ascii="宋体" w:hAnsi="宋体" w:cs="宋体"/>
          <w:color w:val="000000" w:themeColor="text1"/>
          <w:sz w:val="24"/>
          <w:highlight w:val="none"/>
          <w:u w:val="single"/>
          <w14:textFill>
            <w14:solidFill>
              <w14:schemeClr w14:val="tx1"/>
            </w14:solidFill>
          </w14:textFill>
        </w:rPr>
        <w:t>（项目名称、项目编号）</w:t>
      </w:r>
      <w:r>
        <w:rPr>
          <w:rFonts w:hint="eastAsia" w:ascii="宋体" w:hAnsi="宋体" w:cs="宋体"/>
          <w:color w:val="000000" w:themeColor="text1"/>
          <w:sz w:val="24"/>
          <w:highlight w:val="none"/>
          <w14:textFill>
            <w14:solidFill>
              <w14:schemeClr w14:val="tx1"/>
            </w14:solidFill>
          </w14:textFill>
        </w:rPr>
        <w:t>招标活动中，不给予采购方工作人员以及采购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14:paraId="52F0A6AF">
      <w:pPr>
        <w:pStyle w:val="11"/>
        <w:spacing w:line="440" w:lineRule="exact"/>
        <w:ind w:firstLine="482"/>
        <w:rPr>
          <w:rFonts w:hint="eastAsia" w:ascii="宋体" w:hAnsi="宋体" w:cs="宋体"/>
          <w:sz w:val="24"/>
          <w:highlight w:val="none"/>
        </w:rPr>
      </w:pPr>
      <w:r>
        <w:rPr>
          <w:rFonts w:hint="eastAsia" w:ascii="宋体" w:hAnsi="宋体" w:cs="宋体"/>
          <w:sz w:val="24"/>
          <w:highlight w:val="none"/>
        </w:rPr>
        <w:t>投标人名称（电子签章）：</w:t>
      </w:r>
    </w:p>
    <w:p w14:paraId="75375FC3">
      <w:pPr>
        <w:pStyle w:val="11"/>
        <w:spacing w:line="440" w:lineRule="exact"/>
        <w:ind w:firstLine="482"/>
        <w:rPr>
          <w:rFonts w:hint="eastAsia" w:ascii="宋体" w:hAnsi="宋体" w:cs="宋体"/>
          <w:sz w:val="24"/>
          <w:highlight w:val="none"/>
        </w:rPr>
      </w:pPr>
      <w:r>
        <w:rPr>
          <w:rFonts w:hint="eastAsia" w:ascii="宋体" w:hAnsi="宋体" w:cs="宋体"/>
          <w:sz w:val="24"/>
          <w:highlight w:val="none"/>
        </w:rPr>
        <w:t>供应商法定代表人（电子签名）：</w:t>
      </w:r>
    </w:p>
    <w:p w14:paraId="6861B406">
      <w:pPr>
        <w:pStyle w:val="11"/>
        <w:spacing w:line="440" w:lineRule="exact"/>
        <w:ind w:firstLine="482"/>
        <w:rPr>
          <w:rFonts w:hint="eastAsia" w:ascii="宋体" w:hAnsi="宋体" w:cs="宋体"/>
          <w:sz w:val="24"/>
          <w:highlight w:val="none"/>
        </w:rPr>
      </w:pPr>
      <w:r>
        <w:rPr>
          <w:rFonts w:hint="eastAsia" w:ascii="宋体" w:hAnsi="宋体" w:cs="宋体"/>
          <w:sz w:val="24"/>
          <w:highlight w:val="none"/>
        </w:rPr>
        <w:t>法人授权代表（电子签名）：</w:t>
      </w:r>
    </w:p>
    <w:p w14:paraId="07443182">
      <w:pPr>
        <w:pStyle w:val="11"/>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日期：</w:t>
      </w:r>
    </w:p>
    <w:p w14:paraId="5E2C0E35">
      <w:pPr>
        <w:spacing w:line="460" w:lineRule="atLeast"/>
        <w:jc w:val="center"/>
        <w:rPr>
          <w:rFonts w:hint="eastAsia" w:ascii="宋体" w:hAnsi="宋体" w:cs="宋体"/>
          <w:b/>
          <w:color w:val="000000" w:themeColor="text1"/>
          <w:sz w:val="3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六、开标一览表</w:t>
      </w:r>
    </w:p>
    <w:p w14:paraId="5B29FA1E">
      <w:pPr>
        <w:rPr>
          <w:rFonts w:hint="eastAsia" w:ascii="宋体" w:hAnsi="宋体" w:cs="宋体"/>
          <w:bCs/>
          <w:szCs w:val="21"/>
          <w:highlight w:val="none"/>
          <w:lang w:val="zh-CN"/>
        </w:rPr>
      </w:pPr>
      <w:r>
        <w:rPr>
          <w:rFonts w:hint="eastAsia" w:ascii="宋体" w:hAnsi="宋体" w:cs="宋体"/>
          <w:bCs/>
          <w:szCs w:val="21"/>
          <w:highlight w:val="none"/>
          <w:lang w:val="zh-CN"/>
        </w:rPr>
        <w:t>项目名称：</w:t>
      </w:r>
      <w:r>
        <w:rPr>
          <w:rFonts w:hint="eastAsia" w:ascii="宋体" w:hAnsi="宋体" w:cs="宋体"/>
          <w:bCs/>
          <w:szCs w:val="21"/>
          <w:highlight w:val="none"/>
          <w:u w:val="single"/>
          <w:lang w:val="zh-CN"/>
        </w:rPr>
        <w:t xml:space="preserve">                     </w:t>
      </w:r>
    </w:p>
    <w:p w14:paraId="746D3C31">
      <w:pPr>
        <w:rPr>
          <w:rFonts w:hint="eastAsia" w:ascii="宋体" w:hAnsi="宋体" w:cs="宋体"/>
          <w:bCs/>
          <w:szCs w:val="21"/>
          <w:highlight w:val="none"/>
          <w:u w:val="single"/>
          <w:lang w:val="zh-CN"/>
        </w:rPr>
      </w:pPr>
      <w:r>
        <w:rPr>
          <w:rFonts w:hint="eastAsia" w:ascii="宋体" w:hAnsi="宋体" w:cs="宋体"/>
          <w:bCs/>
          <w:szCs w:val="21"/>
          <w:highlight w:val="none"/>
          <w:lang w:val="zh-CN"/>
        </w:rPr>
        <w:t>项目编号</w:t>
      </w:r>
      <w:r>
        <w:rPr>
          <w:rFonts w:hint="eastAsia" w:ascii="宋体" w:hAnsi="宋体" w:cs="宋体"/>
          <w:bCs/>
          <w:szCs w:val="21"/>
          <w:highlight w:val="none"/>
        </w:rPr>
        <w:t>/</w:t>
      </w:r>
      <w:r>
        <w:rPr>
          <w:rFonts w:hint="eastAsia" w:ascii="宋体" w:hAnsi="宋体" w:cs="宋体"/>
          <w:bCs/>
          <w:szCs w:val="21"/>
          <w:highlight w:val="none"/>
          <w:lang w:val="zh-CN"/>
        </w:rPr>
        <w:t>包号：</w:t>
      </w:r>
      <w:r>
        <w:rPr>
          <w:rFonts w:hint="eastAsia" w:ascii="宋体" w:hAnsi="宋体" w:cs="宋体"/>
          <w:bCs/>
          <w:szCs w:val="21"/>
          <w:highlight w:val="none"/>
          <w:u w:val="single"/>
          <w:lang w:val="zh-CN"/>
        </w:rPr>
        <w:t xml:space="preserve">                </w:t>
      </w:r>
    </w:p>
    <w:tbl>
      <w:tblPr>
        <w:tblStyle w:val="25"/>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43A4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1DAB2834">
            <w:pPr>
              <w:widowControl/>
              <w:autoSpaceDE w:val="0"/>
              <w:autoSpaceDN w:val="0"/>
              <w:jc w:val="center"/>
              <w:textAlignment w:val="bottom"/>
              <w:rPr>
                <w:rFonts w:hint="eastAsia" w:ascii="宋体" w:hAnsi="宋体" w:cs="宋体"/>
                <w:sz w:val="24"/>
                <w:szCs w:val="24"/>
                <w:highlight w:val="none"/>
              </w:rPr>
            </w:pPr>
            <w:r>
              <w:rPr>
                <w:rFonts w:hint="eastAsia" w:ascii="宋体" w:hAnsi="宋体" w:cs="宋体"/>
                <w:sz w:val="24"/>
                <w:szCs w:val="24"/>
                <w:highlight w:val="none"/>
              </w:rPr>
              <w:t>序号</w:t>
            </w:r>
          </w:p>
        </w:tc>
        <w:tc>
          <w:tcPr>
            <w:tcW w:w="2352" w:type="dxa"/>
            <w:vAlign w:val="center"/>
          </w:tcPr>
          <w:p w14:paraId="4A3204DE">
            <w:pPr>
              <w:widowControl/>
              <w:autoSpaceDE w:val="0"/>
              <w:autoSpaceDN w:val="0"/>
              <w:ind w:left="851" w:hanging="851"/>
              <w:jc w:val="center"/>
              <w:textAlignment w:val="bottom"/>
              <w:rPr>
                <w:rFonts w:hint="eastAsia" w:ascii="宋体" w:hAnsi="宋体" w:cs="宋体"/>
                <w:sz w:val="24"/>
                <w:szCs w:val="24"/>
                <w:highlight w:val="none"/>
              </w:rPr>
            </w:pPr>
            <w:r>
              <w:rPr>
                <w:rFonts w:hint="eastAsia" w:ascii="宋体" w:hAnsi="宋体" w:cs="宋体"/>
                <w:sz w:val="24"/>
                <w:szCs w:val="24"/>
                <w:highlight w:val="none"/>
              </w:rPr>
              <w:t>投标报价</w:t>
            </w:r>
          </w:p>
        </w:tc>
        <w:tc>
          <w:tcPr>
            <w:tcW w:w="2161" w:type="dxa"/>
            <w:vAlign w:val="center"/>
          </w:tcPr>
          <w:p w14:paraId="7BF19867">
            <w:pPr>
              <w:widowControl/>
              <w:autoSpaceDE w:val="0"/>
              <w:autoSpaceDN w:val="0"/>
              <w:ind w:left="851" w:hanging="851"/>
              <w:jc w:val="center"/>
              <w:textAlignment w:val="bottom"/>
              <w:rPr>
                <w:rFonts w:hint="eastAsia" w:ascii="宋体" w:hAnsi="宋体" w:cs="宋体"/>
                <w:sz w:val="24"/>
                <w:szCs w:val="24"/>
                <w:highlight w:val="none"/>
              </w:rPr>
            </w:pPr>
            <w:r>
              <w:rPr>
                <w:rFonts w:hint="eastAsia" w:ascii="宋体" w:hAnsi="宋体" w:cs="宋体"/>
                <w:sz w:val="24"/>
                <w:szCs w:val="24"/>
                <w:highlight w:val="none"/>
              </w:rPr>
              <w:t>服务期限</w:t>
            </w:r>
          </w:p>
        </w:tc>
        <w:tc>
          <w:tcPr>
            <w:tcW w:w="2611" w:type="dxa"/>
            <w:vAlign w:val="center"/>
          </w:tcPr>
          <w:p w14:paraId="7E70ACDD">
            <w:pPr>
              <w:widowControl/>
              <w:autoSpaceDE w:val="0"/>
              <w:autoSpaceDN w:val="0"/>
              <w:jc w:val="center"/>
              <w:textAlignment w:val="bottom"/>
              <w:rPr>
                <w:rFonts w:hint="eastAsia" w:ascii="宋体" w:hAnsi="宋体" w:cs="宋体"/>
                <w:sz w:val="24"/>
                <w:szCs w:val="24"/>
                <w:highlight w:val="none"/>
              </w:rPr>
            </w:pPr>
            <w:r>
              <w:rPr>
                <w:rFonts w:hint="eastAsia" w:ascii="宋体" w:hAnsi="宋体" w:cs="宋体"/>
                <w:sz w:val="24"/>
                <w:szCs w:val="24"/>
                <w:highlight w:val="none"/>
              </w:rPr>
              <w:t>备注（如有）</w:t>
            </w:r>
          </w:p>
        </w:tc>
      </w:tr>
      <w:tr w14:paraId="0D2C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19ED6002">
            <w:pPr>
              <w:jc w:val="center"/>
              <w:rPr>
                <w:rFonts w:hint="eastAsia" w:ascii="宋体" w:hAnsi="宋体" w:cs="宋体"/>
                <w:sz w:val="24"/>
                <w:szCs w:val="24"/>
                <w:highlight w:val="none"/>
              </w:rPr>
            </w:pPr>
          </w:p>
        </w:tc>
        <w:tc>
          <w:tcPr>
            <w:tcW w:w="2352" w:type="dxa"/>
            <w:vAlign w:val="center"/>
          </w:tcPr>
          <w:p w14:paraId="4288F1A9">
            <w:pPr>
              <w:widowControl/>
              <w:autoSpaceDE w:val="0"/>
              <w:autoSpaceDN w:val="0"/>
              <w:ind w:left="851" w:hanging="851"/>
              <w:textAlignment w:val="bottom"/>
              <w:rPr>
                <w:rFonts w:hint="eastAsia" w:ascii="宋体" w:hAnsi="宋体" w:cs="宋体"/>
                <w:sz w:val="24"/>
                <w:szCs w:val="24"/>
                <w:highlight w:val="none"/>
              </w:rPr>
            </w:pPr>
            <w:r>
              <w:rPr>
                <w:rFonts w:hint="eastAsia" w:ascii="宋体" w:hAnsi="宋体" w:cs="宋体"/>
                <w:sz w:val="24"/>
                <w:szCs w:val="24"/>
                <w:highlight w:val="none"/>
              </w:rPr>
              <w:t>小写：</w:t>
            </w:r>
          </w:p>
          <w:p w14:paraId="1AABBE6F">
            <w:pPr>
              <w:rPr>
                <w:rFonts w:hint="eastAsia" w:ascii="宋体" w:hAnsi="宋体" w:cs="宋体"/>
                <w:sz w:val="24"/>
                <w:szCs w:val="24"/>
                <w:highlight w:val="none"/>
              </w:rPr>
            </w:pPr>
            <w:r>
              <w:rPr>
                <w:rFonts w:hint="eastAsia" w:ascii="宋体" w:hAnsi="宋体" w:cs="宋体"/>
                <w:sz w:val="24"/>
                <w:szCs w:val="24"/>
                <w:highlight w:val="none"/>
              </w:rPr>
              <w:t>大写：</w:t>
            </w:r>
          </w:p>
        </w:tc>
        <w:tc>
          <w:tcPr>
            <w:tcW w:w="2161" w:type="dxa"/>
            <w:vAlign w:val="center"/>
          </w:tcPr>
          <w:p w14:paraId="49B55A3A">
            <w:pPr>
              <w:jc w:val="center"/>
              <w:rPr>
                <w:rFonts w:hint="eastAsia" w:ascii="宋体" w:hAnsi="宋体" w:cs="宋体"/>
                <w:sz w:val="24"/>
                <w:szCs w:val="24"/>
                <w:highlight w:val="none"/>
              </w:rPr>
            </w:pPr>
          </w:p>
        </w:tc>
        <w:tc>
          <w:tcPr>
            <w:tcW w:w="2611" w:type="dxa"/>
            <w:vAlign w:val="center"/>
          </w:tcPr>
          <w:p w14:paraId="4D533BDC">
            <w:pPr>
              <w:jc w:val="center"/>
              <w:rPr>
                <w:rFonts w:hint="eastAsia" w:ascii="宋体" w:hAnsi="宋体" w:cs="宋体"/>
                <w:sz w:val="24"/>
                <w:szCs w:val="24"/>
                <w:highlight w:val="none"/>
              </w:rPr>
            </w:pPr>
          </w:p>
        </w:tc>
      </w:tr>
    </w:tbl>
    <w:p w14:paraId="77249A58">
      <w:pPr>
        <w:spacing w:line="300" w:lineRule="auto"/>
        <w:rPr>
          <w:rFonts w:hint="eastAsia" w:ascii="宋体" w:hAnsi="宋体" w:cs="宋体"/>
          <w:szCs w:val="21"/>
          <w:highlight w:val="none"/>
          <w:u w:val="single"/>
        </w:rPr>
      </w:pPr>
    </w:p>
    <w:p w14:paraId="52421150">
      <w:pPr>
        <w:spacing w:line="300" w:lineRule="auto"/>
        <w:rPr>
          <w:rFonts w:hint="eastAsia" w:ascii="宋体" w:hAnsi="宋体" w:cs="宋体"/>
          <w:szCs w:val="21"/>
          <w:highlight w:val="none"/>
        </w:rPr>
      </w:pPr>
      <w:r>
        <w:rPr>
          <w:rFonts w:hint="eastAsia" w:ascii="宋体" w:hAnsi="宋体" w:cs="宋体"/>
          <w:szCs w:val="21"/>
          <w:highlight w:val="none"/>
        </w:rPr>
        <w:t>投标人名称</w:t>
      </w:r>
      <w:r>
        <w:rPr>
          <w:rFonts w:hint="eastAsia" w:ascii="宋体" w:hAnsi="宋体" w:cs="宋体"/>
          <w:szCs w:val="24"/>
          <w:highlight w:val="none"/>
        </w:rPr>
        <w:t>（</w:t>
      </w:r>
      <w:r>
        <w:rPr>
          <w:rFonts w:hint="eastAsia" w:ascii="宋体" w:hAnsi="宋体" w:cs="宋体"/>
          <w:kern w:val="0"/>
          <w:sz w:val="24"/>
          <w:szCs w:val="24"/>
          <w:highlight w:val="none"/>
        </w:rPr>
        <w:t>公章</w:t>
      </w:r>
      <w:r>
        <w:rPr>
          <w:rFonts w:hint="eastAsia" w:ascii="宋体" w:hAnsi="宋体" w:cs="宋体"/>
          <w:kern w:val="0"/>
          <w:sz w:val="24"/>
          <w:highlight w:val="none"/>
          <w:lang w:val="zh-CN"/>
        </w:rPr>
        <w:t>)</w:t>
      </w:r>
      <w:r>
        <w:rPr>
          <w:rFonts w:hint="eastAsia" w:ascii="宋体" w:hAnsi="宋体" w:cs="宋体"/>
          <w:szCs w:val="21"/>
          <w:highlight w:val="none"/>
        </w:rPr>
        <w:t>：</w:t>
      </w:r>
    </w:p>
    <w:p w14:paraId="4B9F00E7">
      <w:pPr>
        <w:spacing w:line="300" w:lineRule="auto"/>
        <w:rPr>
          <w:rFonts w:hint="eastAsia" w:ascii="宋体" w:hAnsi="宋体" w:cs="宋体"/>
          <w:szCs w:val="21"/>
          <w:highlight w:val="none"/>
          <w:u w:val="single"/>
        </w:rPr>
      </w:pPr>
      <w:r>
        <w:rPr>
          <w:rFonts w:hint="eastAsia" w:ascii="宋体" w:hAnsi="宋体" w:cs="宋体"/>
          <w:szCs w:val="21"/>
          <w:highlight w:val="none"/>
        </w:rPr>
        <w:t>日期：</w:t>
      </w:r>
    </w:p>
    <w:p w14:paraId="2DF28BC4">
      <w:pPr>
        <w:rPr>
          <w:rFonts w:hint="eastAsia" w:ascii="宋体" w:hAnsi="宋体" w:cs="宋体"/>
          <w:szCs w:val="24"/>
          <w:highlight w:val="none"/>
        </w:rPr>
      </w:pPr>
    </w:p>
    <w:p w14:paraId="4CE89C9E">
      <w:pPr>
        <w:pStyle w:val="10"/>
        <w:rPr>
          <w:rFonts w:hint="eastAsia" w:ascii="宋体" w:hAnsi="宋体" w:cs="宋体"/>
          <w:szCs w:val="24"/>
          <w:highlight w:val="none"/>
        </w:rPr>
      </w:pPr>
    </w:p>
    <w:p w14:paraId="12CD3F01">
      <w:pPr>
        <w:pStyle w:val="10"/>
        <w:rPr>
          <w:rFonts w:hint="eastAsia" w:ascii="宋体" w:hAnsi="宋体" w:cs="宋体"/>
          <w:szCs w:val="24"/>
          <w:highlight w:val="none"/>
        </w:rPr>
      </w:pPr>
    </w:p>
    <w:p w14:paraId="66F6C887">
      <w:pPr>
        <w:pStyle w:val="10"/>
        <w:rPr>
          <w:rFonts w:hint="eastAsia" w:ascii="宋体" w:hAnsi="宋体" w:cs="宋体"/>
          <w:szCs w:val="24"/>
          <w:highlight w:val="none"/>
        </w:rPr>
      </w:pPr>
    </w:p>
    <w:p w14:paraId="2477C19B">
      <w:pPr>
        <w:pStyle w:val="10"/>
        <w:rPr>
          <w:rFonts w:hint="eastAsia" w:ascii="宋体" w:hAnsi="宋体" w:cs="宋体"/>
          <w:szCs w:val="24"/>
          <w:highlight w:val="none"/>
        </w:rPr>
      </w:pPr>
    </w:p>
    <w:p w14:paraId="214B13A1">
      <w:pPr>
        <w:spacing w:line="360" w:lineRule="auto"/>
        <w:rPr>
          <w:rFonts w:hint="eastAsia" w:ascii="宋体" w:hAnsi="宋体" w:cs="宋体"/>
          <w:b/>
          <w:szCs w:val="21"/>
          <w:highlight w:val="none"/>
        </w:rPr>
      </w:pPr>
      <w:r>
        <w:rPr>
          <w:rFonts w:hint="eastAsia" w:ascii="宋体" w:hAnsi="宋体" w:cs="宋体"/>
          <w:b/>
          <w:szCs w:val="21"/>
          <w:highlight w:val="none"/>
        </w:rPr>
        <w:t>注：</w:t>
      </w:r>
    </w:p>
    <w:p w14:paraId="583CC36E">
      <w:pPr>
        <w:spacing w:line="360" w:lineRule="auto"/>
        <w:ind w:firstLine="435"/>
        <w:rPr>
          <w:rFonts w:hint="eastAsia" w:ascii="宋体" w:hAnsi="宋体" w:cs="宋体"/>
          <w:szCs w:val="21"/>
          <w:highlight w:val="none"/>
        </w:rPr>
      </w:pPr>
      <w:r>
        <w:rPr>
          <w:rFonts w:hint="eastAsia" w:ascii="宋体" w:hAnsi="宋体" w:cs="宋体"/>
          <w:szCs w:val="21"/>
          <w:highlight w:val="none"/>
        </w:rPr>
        <w:t>1.此表用于开标唱标之用。</w:t>
      </w:r>
    </w:p>
    <w:p w14:paraId="2E2238CA">
      <w:pPr>
        <w:spacing w:line="360" w:lineRule="auto"/>
        <w:ind w:firstLine="435"/>
        <w:rPr>
          <w:rFonts w:hint="eastAsia" w:ascii="宋体" w:hAnsi="宋体" w:cs="宋体"/>
          <w:szCs w:val="21"/>
          <w:highlight w:val="none"/>
        </w:rPr>
      </w:pPr>
      <w:r>
        <w:rPr>
          <w:rFonts w:hint="eastAsia" w:ascii="宋体" w:hAnsi="宋体" w:cs="宋体"/>
          <w:szCs w:val="21"/>
          <w:highlight w:val="none"/>
        </w:rPr>
        <w:t>2.表中投标报价即为优惠后报价，并作为评审及定标依据。任何有选择或有条件的投标报价，或者表中某一包填写多个报价，均为无效报价。</w:t>
      </w:r>
    </w:p>
    <w:p w14:paraId="71E97173">
      <w:pPr>
        <w:pStyle w:val="10"/>
        <w:ind w:firstLine="420" w:firstLineChars="200"/>
        <w:rPr>
          <w:rFonts w:hint="eastAsia" w:ascii="宋体" w:hAnsi="宋体" w:cs="宋体"/>
          <w:sz w:val="24"/>
          <w:szCs w:val="24"/>
          <w:highlight w:val="none"/>
        </w:rPr>
        <w:sectPr>
          <w:pgSz w:w="11905" w:h="16840"/>
          <w:pgMar w:top="1440" w:right="1797" w:bottom="1440" w:left="1797" w:header="851" w:footer="850" w:gutter="0"/>
          <w:cols w:space="720" w:num="1"/>
        </w:sectPr>
      </w:pPr>
      <w:r>
        <w:rPr>
          <w:rFonts w:hint="eastAsia" w:ascii="宋体" w:hAnsi="宋体" w:cs="宋体"/>
          <w:sz w:val="21"/>
          <w:szCs w:val="21"/>
          <w:highlight w:val="none"/>
        </w:rPr>
        <w:t>3.表中大写与小写不一致的，以大写为准。</w:t>
      </w:r>
    </w:p>
    <w:p w14:paraId="23B24157">
      <w:pPr>
        <w:pStyle w:val="104"/>
        <w:spacing w:after="0"/>
        <w:ind w:left="0" w:leftChars="0" w:firstLine="3" w:firstLineChars="1"/>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七、采购需求偏离表</w:t>
      </w:r>
    </w:p>
    <w:p w14:paraId="08816420">
      <w:pPr>
        <w:spacing w:line="440" w:lineRule="exact"/>
        <w:ind w:firstLine="120" w:firstLineChars="5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投标供应商名称（电子签章）：</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招标编号：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66EAD7F8">
      <w:pPr>
        <w:spacing w:line="440" w:lineRule="exact"/>
        <w:ind w:firstLine="120" w:firstLineChars="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分包序号、名称：</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w:t>
      </w:r>
    </w:p>
    <w:tbl>
      <w:tblPr>
        <w:tblStyle w:val="2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602"/>
        <w:gridCol w:w="2458"/>
        <w:gridCol w:w="2885"/>
        <w:gridCol w:w="2018"/>
      </w:tblGrid>
      <w:tr w14:paraId="08536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91" w:type="dxa"/>
            <w:vAlign w:val="center"/>
          </w:tcPr>
          <w:p w14:paraId="5A6C35B6">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序号</w:t>
            </w:r>
          </w:p>
        </w:tc>
        <w:tc>
          <w:tcPr>
            <w:tcW w:w="1602" w:type="dxa"/>
            <w:vAlign w:val="center"/>
          </w:tcPr>
          <w:p w14:paraId="0455612F">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公开招标文件</w:t>
            </w:r>
          </w:p>
          <w:p w14:paraId="5A7E0849">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条目号</w:t>
            </w:r>
          </w:p>
        </w:tc>
        <w:tc>
          <w:tcPr>
            <w:tcW w:w="2458" w:type="dxa"/>
            <w:vAlign w:val="center"/>
          </w:tcPr>
          <w:p w14:paraId="3010CBE9">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公开招标文件的采购需求</w:t>
            </w:r>
          </w:p>
        </w:tc>
        <w:tc>
          <w:tcPr>
            <w:tcW w:w="2885" w:type="dxa"/>
            <w:vAlign w:val="center"/>
          </w:tcPr>
          <w:p w14:paraId="0F6B78FF">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投标文件的采购需求</w:t>
            </w:r>
          </w:p>
        </w:tc>
        <w:tc>
          <w:tcPr>
            <w:tcW w:w="2018" w:type="dxa"/>
            <w:vAlign w:val="center"/>
          </w:tcPr>
          <w:p w14:paraId="290D8FD3">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说明</w:t>
            </w:r>
          </w:p>
        </w:tc>
      </w:tr>
      <w:tr w14:paraId="3EE7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0377D0A4">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602" w:type="dxa"/>
          </w:tcPr>
          <w:p w14:paraId="268BC346">
            <w:pPr>
              <w:spacing w:line="440" w:lineRule="exact"/>
              <w:jc w:val="center"/>
              <w:rPr>
                <w:rFonts w:hint="eastAsia" w:ascii="宋体" w:hAnsi="宋体" w:cs="宋体"/>
                <w:color w:val="000000" w:themeColor="text1"/>
                <w:sz w:val="24"/>
                <w:szCs w:val="24"/>
                <w:highlight w:val="none"/>
                <w14:textFill>
                  <w14:solidFill>
                    <w14:schemeClr w14:val="tx1"/>
                  </w14:solidFill>
                </w14:textFill>
              </w:rPr>
            </w:pPr>
          </w:p>
        </w:tc>
        <w:tc>
          <w:tcPr>
            <w:tcW w:w="2458" w:type="dxa"/>
          </w:tcPr>
          <w:p w14:paraId="5ACF27E6">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885" w:type="dxa"/>
          </w:tcPr>
          <w:p w14:paraId="583A89BB">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018" w:type="dxa"/>
          </w:tcPr>
          <w:p w14:paraId="58C2A958">
            <w:pPr>
              <w:spacing w:line="440" w:lineRule="exact"/>
              <w:rPr>
                <w:rFonts w:hint="eastAsia" w:ascii="宋体" w:hAnsi="宋体" w:cs="宋体"/>
                <w:color w:val="000000" w:themeColor="text1"/>
                <w:sz w:val="24"/>
                <w:szCs w:val="24"/>
                <w:highlight w:val="none"/>
                <w14:textFill>
                  <w14:solidFill>
                    <w14:schemeClr w14:val="tx1"/>
                  </w14:solidFill>
                </w14:textFill>
              </w:rPr>
            </w:pPr>
          </w:p>
        </w:tc>
      </w:tr>
      <w:tr w14:paraId="31EF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891" w:type="dxa"/>
            <w:vAlign w:val="center"/>
          </w:tcPr>
          <w:p w14:paraId="4ECF55AA">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602" w:type="dxa"/>
          </w:tcPr>
          <w:p w14:paraId="03163FD7">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458" w:type="dxa"/>
          </w:tcPr>
          <w:p w14:paraId="079BCFDC">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885" w:type="dxa"/>
          </w:tcPr>
          <w:p w14:paraId="7F81D99A">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018" w:type="dxa"/>
          </w:tcPr>
          <w:p w14:paraId="3385E000">
            <w:pPr>
              <w:spacing w:line="440" w:lineRule="exact"/>
              <w:rPr>
                <w:rFonts w:hint="eastAsia" w:ascii="宋体" w:hAnsi="宋体" w:cs="宋体"/>
                <w:color w:val="000000" w:themeColor="text1"/>
                <w:sz w:val="24"/>
                <w:szCs w:val="24"/>
                <w:highlight w:val="none"/>
                <w14:textFill>
                  <w14:solidFill>
                    <w14:schemeClr w14:val="tx1"/>
                  </w14:solidFill>
                </w14:textFill>
              </w:rPr>
            </w:pPr>
          </w:p>
        </w:tc>
      </w:tr>
      <w:tr w14:paraId="5DF1A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D1E31BB">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602" w:type="dxa"/>
          </w:tcPr>
          <w:p w14:paraId="4A66B8C3">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458" w:type="dxa"/>
            <w:vAlign w:val="center"/>
          </w:tcPr>
          <w:p w14:paraId="61CAE4E8">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885" w:type="dxa"/>
          </w:tcPr>
          <w:p w14:paraId="3FBC90D7">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018" w:type="dxa"/>
          </w:tcPr>
          <w:p w14:paraId="400D6BE9">
            <w:pPr>
              <w:spacing w:line="440" w:lineRule="exact"/>
              <w:rPr>
                <w:rFonts w:hint="eastAsia" w:ascii="宋体" w:hAnsi="宋体" w:cs="宋体"/>
                <w:color w:val="000000" w:themeColor="text1"/>
                <w:sz w:val="24"/>
                <w:szCs w:val="24"/>
                <w:highlight w:val="none"/>
                <w14:textFill>
                  <w14:solidFill>
                    <w14:schemeClr w14:val="tx1"/>
                  </w14:solidFill>
                </w14:textFill>
              </w:rPr>
            </w:pPr>
          </w:p>
        </w:tc>
      </w:tr>
      <w:tr w14:paraId="7667B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19C92158">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1602" w:type="dxa"/>
          </w:tcPr>
          <w:p w14:paraId="5410E04B">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458" w:type="dxa"/>
            <w:vAlign w:val="center"/>
          </w:tcPr>
          <w:p w14:paraId="26798759">
            <w:pPr>
              <w:pStyle w:val="39"/>
              <w:spacing w:line="440" w:lineRule="exact"/>
              <w:rPr>
                <w:rFonts w:hint="eastAsia"/>
                <w:color w:val="000000" w:themeColor="text1"/>
                <w:kern w:val="2"/>
                <w:highlight w:val="none"/>
                <w14:textFill>
                  <w14:solidFill>
                    <w14:schemeClr w14:val="tx1"/>
                  </w14:solidFill>
                </w14:textFill>
              </w:rPr>
            </w:pPr>
          </w:p>
        </w:tc>
        <w:tc>
          <w:tcPr>
            <w:tcW w:w="2885" w:type="dxa"/>
          </w:tcPr>
          <w:p w14:paraId="1F4A1C9A">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018" w:type="dxa"/>
          </w:tcPr>
          <w:p w14:paraId="79380D6B">
            <w:pPr>
              <w:spacing w:line="440" w:lineRule="exact"/>
              <w:rPr>
                <w:rFonts w:hint="eastAsia" w:ascii="宋体" w:hAnsi="宋体" w:cs="宋体"/>
                <w:color w:val="000000" w:themeColor="text1"/>
                <w:sz w:val="24"/>
                <w:szCs w:val="24"/>
                <w:highlight w:val="none"/>
                <w14:textFill>
                  <w14:solidFill>
                    <w14:schemeClr w14:val="tx1"/>
                  </w14:solidFill>
                </w14:textFill>
              </w:rPr>
            </w:pPr>
          </w:p>
        </w:tc>
      </w:tr>
      <w:tr w14:paraId="1EEBF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047EF0CF">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1602" w:type="dxa"/>
          </w:tcPr>
          <w:p w14:paraId="14E8F305">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458" w:type="dxa"/>
          </w:tcPr>
          <w:p w14:paraId="47BFB4AC">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885" w:type="dxa"/>
          </w:tcPr>
          <w:p w14:paraId="20830A9F">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018" w:type="dxa"/>
          </w:tcPr>
          <w:p w14:paraId="5E3B2AF6">
            <w:pPr>
              <w:spacing w:line="440" w:lineRule="exact"/>
              <w:rPr>
                <w:rFonts w:hint="eastAsia" w:ascii="宋体" w:hAnsi="宋体" w:cs="宋体"/>
                <w:color w:val="000000" w:themeColor="text1"/>
                <w:sz w:val="24"/>
                <w:szCs w:val="24"/>
                <w:highlight w:val="none"/>
                <w14:textFill>
                  <w14:solidFill>
                    <w14:schemeClr w14:val="tx1"/>
                  </w14:solidFill>
                </w14:textFill>
              </w:rPr>
            </w:pPr>
          </w:p>
        </w:tc>
      </w:tr>
      <w:tr w14:paraId="786FC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5D907A41">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1602" w:type="dxa"/>
          </w:tcPr>
          <w:p w14:paraId="0AAEE675">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458" w:type="dxa"/>
          </w:tcPr>
          <w:p w14:paraId="72CBDDFC">
            <w:pPr>
              <w:snapToGrid w:val="0"/>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p>
        </w:tc>
        <w:tc>
          <w:tcPr>
            <w:tcW w:w="2885" w:type="dxa"/>
          </w:tcPr>
          <w:p w14:paraId="120FF154">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018" w:type="dxa"/>
          </w:tcPr>
          <w:p w14:paraId="08A9E2D5">
            <w:pPr>
              <w:spacing w:line="440" w:lineRule="exact"/>
              <w:rPr>
                <w:rFonts w:hint="eastAsia" w:ascii="宋体" w:hAnsi="宋体" w:cs="宋体"/>
                <w:color w:val="000000" w:themeColor="text1"/>
                <w:sz w:val="24"/>
                <w:szCs w:val="24"/>
                <w:highlight w:val="none"/>
                <w14:textFill>
                  <w14:solidFill>
                    <w14:schemeClr w14:val="tx1"/>
                  </w14:solidFill>
                </w14:textFill>
              </w:rPr>
            </w:pPr>
          </w:p>
        </w:tc>
      </w:tr>
      <w:tr w14:paraId="03D11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73DF3B07">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p>
        </w:tc>
        <w:tc>
          <w:tcPr>
            <w:tcW w:w="1602" w:type="dxa"/>
          </w:tcPr>
          <w:p w14:paraId="55E85EAC">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458" w:type="dxa"/>
          </w:tcPr>
          <w:p w14:paraId="4E84D250">
            <w:pPr>
              <w:snapToGrid w:val="0"/>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885" w:type="dxa"/>
          </w:tcPr>
          <w:p w14:paraId="58851B22">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018" w:type="dxa"/>
          </w:tcPr>
          <w:p w14:paraId="056EB98D">
            <w:pPr>
              <w:spacing w:line="440" w:lineRule="exact"/>
              <w:rPr>
                <w:rFonts w:hint="eastAsia" w:ascii="宋体" w:hAnsi="宋体" w:cs="宋体"/>
                <w:color w:val="000000" w:themeColor="text1"/>
                <w:sz w:val="24"/>
                <w:szCs w:val="24"/>
                <w:highlight w:val="none"/>
                <w14:textFill>
                  <w14:solidFill>
                    <w14:schemeClr w14:val="tx1"/>
                  </w14:solidFill>
                </w14:textFill>
              </w:rPr>
            </w:pPr>
          </w:p>
        </w:tc>
      </w:tr>
      <w:tr w14:paraId="02E53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06EC3881">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tc>
        <w:tc>
          <w:tcPr>
            <w:tcW w:w="1602" w:type="dxa"/>
          </w:tcPr>
          <w:p w14:paraId="2F4054E0">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458" w:type="dxa"/>
          </w:tcPr>
          <w:p w14:paraId="5204EF10">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885" w:type="dxa"/>
          </w:tcPr>
          <w:p w14:paraId="225422EA">
            <w:pPr>
              <w:spacing w:line="440" w:lineRule="exact"/>
              <w:rPr>
                <w:rFonts w:hint="eastAsia" w:ascii="宋体" w:hAnsi="宋体" w:cs="宋体"/>
                <w:color w:val="000000" w:themeColor="text1"/>
                <w:sz w:val="24"/>
                <w:szCs w:val="24"/>
                <w:highlight w:val="none"/>
                <w14:textFill>
                  <w14:solidFill>
                    <w14:schemeClr w14:val="tx1"/>
                  </w14:solidFill>
                </w14:textFill>
              </w:rPr>
            </w:pPr>
          </w:p>
        </w:tc>
        <w:tc>
          <w:tcPr>
            <w:tcW w:w="2018" w:type="dxa"/>
          </w:tcPr>
          <w:p w14:paraId="10CC2648">
            <w:pPr>
              <w:spacing w:line="440" w:lineRule="exact"/>
              <w:rPr>
                <w:rFonts w:hint="eastAsia" w:ascii="宋体" w:hAnsi="宋体" w:cs="宋体"/>
                <w:color w:val="000000" w:themeColor="text1"/>
                <w:sz w:val="24"/>
                <w:szCs w:val="24"/>
                <w:highlight w:val="none"/>
                <w14:textFill>
                  <w14:solidFill>
                    <w14:schemeClr w14:val="tx1"/>
                  </w14:solidFill>
                </w14:textFill>
              </w:rPr>
            </w:pPr>
          </w:p>
        </w:tc>
      </w:tr>
    </w:tbl>
    <w:p w14:paraId="2FB90CDD">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投标供应商代表（电子签名）：</w:t>
      </w:r>
    </w:p>
    <w:p w14:paraId="692F491C">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日期：20年</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日　</w:t>
      </w:r>
    </w:p>
    <w:p w14:paraId="5614AB4F">
      <w:pPr>
        <w:pStyle w:val="104"/>
        <w:spacing w:after="0"/>
        <w:ind w:left="0" w:leftChars="0" w:firstLine="2" w:firstLineChars="1"/>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八、项目实施方案</w:t>
      </w:r>
    </w:p>
    <w:p w14:paraId="71FCE45E">
      <w:pPr>
        <w:spacing w:line="360" w:lineRule="auto"/>
        <w:ind w:firstLine="480" w:firstLineChars="200"/>
        <w:rPr>
          <w:rFonts w:hint="eastAsia" w:ascii="宋体" w:hAnsi="宋体" w:cs="宋体"/>
          <w:sz w:val="24"/>
          <w:szCs w:val="24"/>
          <w:highlight w:val="none"/>
          <w:shd w:val="clear" w:color="auto" w:fill="FFFFFF" w:themeFill="background1"/>
        </w:rPr>
      </w:pPr>
      <w:r>
        <w:rPr>
          <w:rFonts w:hint="eastAsia" w:ascii="宋体" w:hAnsi="宋体" w:cs="宋体"/>
          <w:bCs/>
          <w:sz w:val="24"/>
          <w:szCs w:val="24"/>
          <w:highlight w:val="none"/>
          <w:shd w:val="clear" w:color="auto" w:fill="FFFFFF" w:themeFill="background1"/>
        </w:rPr>
        <w:t>供应商须提交拟完成本项目的实施方案，方案的格式和内容由供应商根据本项目的具体情况</w:t>
      </w:r>
      <w:r>
        <w:rPr>
          <w:rFonts w:hint="eastAsia" w:ascii="宋体" w:hAnsi="宋体" w:cs="宋体"/>
          <w:sz w:val="24"/>
          <w:szCs w:val="24"/>
          <w:highlight w:val="none"/>
          <w:shd w:val="clear" w:color="auto" w:fill="FFFFFF" w:themeFill="background1"/>
        </w:rPr>
        <w:t>自行拟定。</w:t>
      </w:r>
    </w:p>
    <w:p w14:paraId="0DD1CEDB">
      <w:pPr>
        <w:pStyle w:val="36"/>
        <w:rPr>
          <w:rFonts w:hint="eastAsia" w:ascii="宋体" w:hAnsi="宋体" w:cs="宋体"/>
          <w:b/>
          <w:color w:val="000000" w:themeColor="text1"/>
          <w:szCs w:val="24"/>
          <w:highlight w:val="none"/>
          <w:lang w:eastAsia="zh-CN"/>
          <w14:textFill>
            <w14:solidFill>
              <w14:schemeClr w14:val="tx1"/>
            </w14:solidFill>
          </w14:textFill>
        </w:rPr>
      </w:pPr>
    </w:p>
    <w:p w14:paraId="44F95FD4">
      <w:pPr>
        <w:pStyle w:val="36"/>
        <w:rPr>
          <w:rFonts w:hint="eastAsia" w:ascii="宋体" w:hAnsi="宋体" w:cs="宋体"/>
          <w:b/>
          <w:color w:val="000000" w:themeColor="text1"/>
          <w:szCs w:val="24"/>
          <w:highlight w:val="none"/>
          <w:lang w:eastAsia="zh-CN"/>
          <w14:textFill>
            <w14:solidFill>
              <w14:schemeClr w14:val="tx1"/>
            </w14:solidFill>
          </w14:textFill>
        </w:rPr>
        <w:sectPr>
          <w:pgSz w:w="11906" w:h="16838"/>
          <w:pgMar w:top="1134" w:right="1134" w:bottom="1134" w:left="1134" w:header="851" w:footer="992" w:gutter="0"/>
          <w:cols w:space="720" w:num="1"/>
          <w:docGrid w:type="lines" w:linePitch="344" w:charSpace="0"/>
        </w:sectPr>
      </w:pPr>
      <w:r>
        <w:rPr>
          <w:rFonts w:hint="eastAsia" w:ascii="宋体" w:hAnsi="宋体" w:cs="宋体"/>
          <w:b/>
          <w:color w:val="000000" w:themeColor="text1"/>
          <w:szCs w:val="24"/>
          <w:highlight w:val="none"/>
          <w:lang w:eastAsia="zh-CN"/>
          <w14:textFill>
            <w14:solidFill>
              <w14:schemeClr w14:val="tx1"/>
            </w14:solidFill>
          </w14:textFill>
        </w:rPr>
        <w:t>注:按照序号顺序应答.</w:t>
      </w:r>
    </w:p>
    <w:p w14:paraId="2DDE31AA">
      <w:pPr>
        <w:pStyle w:val="11"/>
        <w:rPr>
          <w:rFonts w:hint="eastAsia" w:ascii="宋体" w:hAnsi="宋体" w:cs="宋体"/>
          <w:color w:val="000000" w:themeColor="text1"/>
          <w:highlight w:val="none"/>
          <w14:textFill>
            <w14:solidFill>
              <w14:schemeClr w14:val="tx1"/>
            </w14:solidFill>
          </w14:textFill>
        </w:rPr>
      </w:pPr>
    </w:p>
    <w:p w14:paraId="402424F1">
      <w:pPr>
        <w:pStyle w:val="104"/>
        <w:spacing w:after="0"/>
        <w:ind w:left="0" w:leftChars="0" w:firstLine="3" w:firstLineChars="1"/>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九、业绩</w:t>
      </w:r>
    </w:p>
    <w:p w14:paraId="45AA17C1">
      <w:pPr>
        <w:pStyle w:val="11"/>
        <w:rPr>
          <w:rFonts w:hint="eastAsia" w:ascii="宋体" w:hAnsi="宋体" w:cs="宋体"/>
          <w:color w:val="000000" w:themeColor="text1"/>
          <w:highlight w:val="none"/>
          <w14:textFill>
            <w14:solidFill>
              <w14:schemeClr w14:val="tx1"/>
            </w14:solidFill>
          </w14:textFill>
        </w:rPr>
      </w:pPr>
    </w:p>
    <w:p w14:paraId="295E17AA">
      <w:pPr>
        <w:pStyle w:val="12"/>
        <w:rPr>
          <w:rFonts w:hint="eastAsia" w:ascii="宋体" w:hAnsi="宋体" w:cs="宋体"/>
          <w:b/>
          <w:bCs/>
          <w:color w:val="000000" w:themeColor="text1"/>
          <w:sz w:val="24"/>
          <w:szCs w:val="24"/>
          <w:highlight w:val="none"/>
          <w14:textFill>
            <w14:solidFill>
              <w14:schemeClr w14:val="tx1"/>
            </w14:solidFill>
          </w14:textFill>
        </w:rPr>
        <w:sectPr>
          <w:pgSz w:w="11906" w:h="16838"/>
          <w:pgMar w:top="1134" w:right="1134" w:bottom="1134" w:left="1134" w:header="851" w:footer="992" w:gutter="0"/>
          <w:cols w:space="720" w:num="1"/>
          <w:docGrid w:type="lines" w:linePitch="344" w:charSpace="0"/>
        </w:sectPr>
      </w:pPr>
      <w:r>
        <w:rPr>
          <w:rFonts w:hint="eastAsia" w:ascii="宋体" w:hAnsi="宋体" w:cs="宋体"/>
          <w:b/>
          <w:bCs/>
          <w:color w:val="000000" w:themeColor="text1"/>
          <w:sz w:val="24"/>
          <w:szCs w:val="24"/>
          <w:highlight w:val="none"/>
          <w14:textFill>
            <w14:solidFill>
              <w14:schemeClr w14:val="tx1"/>
            </w14:solidFill>
          </w14:textFill>
        </w:rPr>
        <w:t>（格式自拟）</w:t>
      </w:r>
    </w:p>
    <w:p w14:paraId="19BE925A">
      <w:pPr>
        <w:pStyle w:val="104"/>
        <w:spacing w:after="0"/>
        <w:ind w:left="2" w:leftChars="1" w:firstLine="0" w:firstLineChars="0"/>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十、资格审查文件</w:t>
      </w:r>
    </w:p>
    <w:p w14:paraId="3F014603">
      <w:pPr>
        <w:pStyle w:val="11"/>
        <w:ind w:left="0" w:leftChars="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供应商需按照资格审查要求提供资格审查文件。</w:t>
      </w:r>
    </w:p>
    <w:p w14:paraId="2EE7A739">
      <w:pPr>
        <w:spacing w:line="276" w:lineRule="auto"/>
        <w:ind w:firstLine="241" w:firstLineChars="1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注：1.投标供应商制作投标文件，应按照投标文件组成顺序制作，编好始末页码且在投标文件目录中一一列明并对应。</w:t>
      </w:r>
    </w:p>
    <w:p w14:paraId="08071026">
      <w:pPr>
        <w:spacing w:line="276" w:lineRule="auto"/>
        <w:ind w:left="42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2.公开招标文件没有提供格式的，投标供应商可自行设置。</w:t>
      </w:r>
    </w:p>
    <w:p w14:paraId="12033E80">
      <w:pPr>
        <w:pStyle w:val="21"/>
        <w:rPr>
          <w:rFonts w:hint="eastAsia" w:ascii="宋体" w:hAnsi="宋体" w:cs="宋体"/>
          <w:color w:val="000000" w:themeColor="text1"/>
          <w:highlight w:val="none"/>
          <w14:textFill>
            <w14:solidFill>
              <w14:schemeClr w14:val="tx1"/>
            </w14:solidFill>
          </w14:textFill>
        </w:rPr>
      </w:pPr>
    </w:p>
    <w:p w14:paraId="21816CEC">
      <w:pPr>
        <w:widowControl/>
        <w:spacing w:before="100" w:beforeAutospacing="1" w:after="100" w:afterAutospacing="1" w:line="480" w:lineRule="atLeast"/>
        <w:ind w:firstLine="480"/>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b/>
          <w:color w:val="000000" w:themeColor="text1"/>
          <w:sz w:val="24"/>
          <w:highlight w:val="none"/>
          <w14:textFill>
            <w14:solidFill>
              <w14:schemeClr w14:val="tx1"/>
            </w14:solidFill>
          </w14:textFill>
        </w:rPr>
        <w:t>附件一：</w:t>
      </w:r>
    </w:p>
    <w:p w14:paraId="7D3C6AF4">
      <w:pPr>
        <w:widowControl/>
        <w:spacing w:before="100" w:beforeAutospacing="1" w:after="100" w:afterAutospacing="1" w:line="480" w:lineRule="atLeast"/>
        <w:ind w:firstLine="480"/>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中小企业划型标准规定</w:t>
      </w:r>
    </w:p>
    <w:p w14:paraId="11E00EF3">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一、根据《中华人民共和国中小企业促进法》和《国务院关于进一步促进中小企业发展的若干意见》(（国发〔2009〕[2009]36号)，制定本规定。</w:t>
      </w:r>
    </w:p>
    <w:p w14:paraId="5BAA40F0">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二、中小企业划分为中型、小型、微型三种类型，具体标准根据企业从业人员、营业收入、资产总额等指标，结合行业特点制定。</w:t>
      </w:r>
    </w:p>
    <w:p w14:paraId="2D8A2E06">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914792B">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四、各行业划型标准为：</w:t>
      </w:r>
    </w:p>
    <w:p w14:paraId="11792A0F">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704F4734">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C6B9A37">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708016E">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92B9D72">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943F901">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FB465FE">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6B997D1">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901FEE7">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C9C8C75">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CC52240">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1BF9824">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E3C5AF8">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C7AB748">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AD6382B">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735C2DB">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24812181">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五、企业类型的划分以统计部门的统计数据为依据。</w:t>
      </w:r>
    </w:p>
    <w:p w14:paraId="08EF1275">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56A3B5A5">
      <w:pPr>
        <w:widowControl/>
        <w:spacing w:line="480" w:lineRule="atLeast"/>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617C5C0C">
      <w:pPr>
        <w:spacing w:line="276" w:lineRule="auto"/>
        <w:ind w:left="420"/>
        <w:rPr>
          <w:rFonts w:hint="eastAsia" w:ascii="宋体" w:hAnsi="宋体" w:cs="宋体"/>
          <w:b/>
          <w:color w:val="000000" w:themeColor="text1"/>
          <w:highlight w:val="none"/>
          <w14:textFill>
            <w14:solidFill>
              <w14:schemeClr w14:val="tx1"/>
            </w14:solidFill>
          </w14:textFill>
        </w:rPr>
      </w:pPr>
    </w:p>
    <w:p w14:paraId="7AE421C8">
      <w:pPr>
        <w:pStyle w:val="21"/>
        <w:rPr>
          <w:rFonts w:hint="eastAsia" w:ascii="宋体" w:hAnsi="宋体" w:cs="宋体"/>
          <w:color w:val="000000" w:themeColor="text1"/>
          <w:highlight w:val="none"/>
          <w14:textFill>
            <w14:solidFill>
              <w14:schemeClr w14:val="tx1"/>
            </w14:solidFill>
          </w14:textFill>
        </w:rPr>
      </w:pPr>
    </w:p>
    <w:p w14:paraId="1CF0E54D">
      <w:pPr>
        <w:tabs>
          <w:tab w:val="left" w:pos="1929"/>
        </w:tabs>
        <w:rPr>
          <w:rFonts w:hint="eastAsia" w:ascii="宋体" w:hAnsi="宋体" w:cs="宋体"/>
          <w:color w:val="000000" w:themeColor="text1"/>
          <w:highlight w:val="none"/>
          <w14:textFill>
            <w14:solidFill>
              <w14:schemeClr w14:val="tx1"/>
            </w14:solidFill>
          </w14:textFill>
        </w:rPr>
      </w:pPr>
    </w:p>
    <w:sectPr>
      <w:headerReference r:id="rId13" w:type="first"/>
      <w:headerReference r:id="rId11" w:type="default"/>
      <w:footerReference r:id="rId14" w:type="default"/>
      <w:headerReference r:id="rId12" w:type="even"/>
      <w:footerReference r:id="rId15" w:type="even"/>
      <w:pgSz w:w="11906" w:h="16838"/>
      <w:pgMar w:top="1134" w:right="1134" w:bottom="1134" w:left="1134" w:header="851" w:footer="992" w:gutter="0"/>
      <w:cols w:space="720" w:num="1"/>
      <w:docGrid w:type="lines" w:linePitch="3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E005D">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3516A">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C0EE4">
                          <w:pPr>
                            <w:pStyle w:val="18"/>
                          </w:pPr>
                          <w:r>
                            <w:fldChar w:fldCharType="begin"/>
                          </w:r>
                          <w:r>
                            <w:instrText xml:space="preserve"> PAGE  \* MERGEFORMAT </w:instrText>
                          </w:r>
                          <w:r>
                            <w:fldChar w:fldCharType="separate"/>
                          </w:r>
                          <w:r>
                            <w:t>- 5 -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90C0EE4">
                    <w:pPr>
                      <w:pStyle w:val="18"/>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CB360">
    <w:pPr>
      <w:pStyle w:val="18"/>
      <w:framePr w:wrap="around" w:vAnchor="text" w:hAnchor="margin" w:xAlign="center" w:y="1"/>
      <w:rPr>
        <w:rStyle w:val="29"/>
      </w:rPr>
    </w:pPr>
    <w:r>
      <w:fldChar w:fldCharType="begin"/>
    </w:r>
    <w:r>
      <w:rPr>
        <w:rStyle w:val="29"/>
      </w:rPr>
      <w:instrText xml:space="preserve">PAGE  </w:instrText>
    </w:r>
    <w:r>
      <w:fldChar w:fldCharType="end"/>
    </w:r>
  </w:p>
  <w:p w14:paraId="458A3DA5">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A889B">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096575">
                          <w:pPr>
                            <w:pStyle w:val="18"/>
                          </w:pPr>
                          <w:r>
                            <w:fldChar w:fldCharType="begin"/>
                          </w:r>
                          <w:r>
                            <w:instrText xml:space="preserve"> PAGE  \* MERGEFORMAT </w:instrText>
                          </w:r>
                          <w:r>
                            <w:fldChar w:fldCharType="separate"/>
                          </w:r>
                          <w:r>
                            <w:t>- 28 -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E096575">
                    <w:pPr>
                      <w:pStyle w:val="18"/>
                    </w:pPr>
                    <w:r>
                      <w:fldChar w:fldCharType="begin"/>
                    </w:r>
                    <w:r>
                      <w:instrText xml:space="preserve"> PAGE  \* MERGEFORMAT </w:instrText>
                    </w:r>
                    <w:r>
                      <w:fldChar w:fldCharType="separate"/>
                    </w:r>
                    <w:r>
                      <w:t>- 28 -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7DC47">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D75AAD">
                          <w:pPr>
                            <w:pStyle w:val="18"/>
                          </w:pPr>
                          <w:r>
                            <w:fldChar w:fldCharType="begin"/>
                          </w:r>
                          <w:r>
                            <w:instrText xml:space="preserve"> PAGE  \* MERGEFORMAT </w:instrText>
                          </w:r>
                          <w:r>
                            <w:fldChar w:fldCharType="separate"/>
                          </w:r>
                          <w:r>
                            <w:t>- 65 -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8D75AAD">
                    <w:pPr>
                      <w:pStyle w:val="18"/>
                    </w:pPr>
                    <w:r>
                      <w:fldChar w:fldCharType="begin"/>
                    </w:r>
                    <w:r>
                      <w:instrText xml:space="preserve"> PAGE  \* MERGEFORMAT </w:instrText>
                    </w:r>
                    <w:r>
                      <w:fldChar w:fldCharType="separate"/>
                    </w:r>
                    <w:r>
                      <w:t>- 65 -</w:t>
                    </w:r>
                    <w:r>
                      <w:fldChar w:fldCharType="end"/>
                    </w:r>
                  </w:p>
                </w:txbxContent>
              </v:textbox>
            </v:shape>
          </w:pict>
        </mc:Fallback>
      </mc:AlternateContent>
    </w:r>
  </w:p>
  <w:p w14:paraId="45BA7CD0">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70650">
    <w:pPr>
      <w:pStyle w:val="18"/>
      <w:framePr w:wrap="around" w:vAnchor="text" w:hAnchor="margin" w:xAlign="center" w:y="1"/>
      <w:rPr>
        <w:rStyle w:val="29"/>
      </w:rPr>
    </w:pPr>
    <w:r>
      <w:fldChar w:fldCharType="begin"/>
    </w:r>
    <w:r>
      <w:rPr>
        <w:rStyle w:val="29"/>
      </w:rPr>
      <w:instrText xml:space="preserve">PAGE  </w:instrText>
    </w:r>
    <w:r>
      <w:fldChar w:fldCharType="end"/>
    </w:r>
  </w:p>
  <w:p w14:paraId="22FA0B0C">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74F9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F16AE">
    <w:pPr>
      <w:pStyle w:val="19"/>
      <w:pBdr>
        <w:bottom w:val="dashDotStroked" w:color="auto" w:sz="24"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F09D1">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01336">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89C66">
    <w:pPr>
      <w:pStyle w:val="1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C0CE4">
    <w:pPr>
      <w:pStyle w:val="1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5FB13">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812A10"/>
    <w:multiLevelType w:val="multilevel"/>
    <w:tmpl w:val="15812A10"/>
    <w:lvl w:ilvl="0" w:tentative="0">
      <w:start w:val="1"/>
      <w:numFmt w:val="upperLetter"/>
      <w:pStyle w:val="2"/>
      <w:lvlText w:val="%1、"/>
      <w:lvlJc w:val="left"/>
      <w:pPr>
        <w:tabs>
          <w:tab w:val="left" w:pos="360"/>
        </w:tabs>
        <w:ind w:left="360" w:hanging="36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53D55E62"/>
    <w:multiLevelType w:val="multilevel"/>
    <w:tmpl w:val="53D55E62"/>
    <w:lvl w:ilvl="0" w:tentative="0">
      <w:start w:val="1"/>
      <w:numFmt w:val="chineseCountingThousand"/>
      <w:suff w:val="space"/>
      <w:lvlText w:val="第%1章"/>
      <w:lvlJc w:val="left"/>
      <w:pPr>
        <w:ind w:left="0" w:firstLine="0"/>
      </w:pPr>
      <w:rPr>
        <w:rFonts w:hint="eastAsia"/>
      </w:rPr>
    </w:lvl>
    <w:lvl w:ilvl="1" w:tentative="0">
      <w:start w:val="1"/>
      <w:numFmt w:val="chineseCountingThousand"/>
      <w:suff w:val="space"/>
      <w:lvlText w:val="%2、"/>
      <w:lvlJc w:val="left"/>
      <w:pPr>
        <w:ind w:left="113" w:firstLine="0"/>
      </w:pPr>
      <w:rPr>
        <w:rFonts w:hint="eastAsia"/>
      </w:rPr>
    </w:lvl>
    <w:lvl w:ilvl="2" w:tentative="0">
      <w:start w:val="1"/>
      <w:numFmt w:val="decimal"/>
      <w:pStyle w:val="45"/>
      <w:lvlText w:val="%3"/>
      <w:lvlJc w:val="left"/>
      <w:pPr>
        <w:ind w:left="226" w:firstLine="0"/>
      </w:pPr>
      <w:rPr>
        <w:rFonts w:hint="eastAsia"/>
      </w:rPr>
    </w:lvl>
    <w:lvl w:ilvl="3" w:tentative="0">
      <w:start w:val="1"/>
      <w:numFmt w:val="decimal"/>
      <w:suff w:val="space"/>
      <w:lvlText w:val="%3.%4"/>
      <w:lvlJc w:val="left"/>
      <w:pPr>
        <w:ind w:left="339" w:firstLine="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4" w:tentative="0">
      <w:start w:val="1"/>
      <w:numFmt w:val="decimal"/>
      <w:suff w:val="space"/>
      <w:lvlText w:val="%3.%4.%5"/>
      <w:lvlJc w:val="left"/>
      <w:pPr>
        <w:ind w:left="452" w:firstLine="0"/>
      </w:pPr>
      <w:rPr>
        <w:rFonts w:hint="eastAsia"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5" w:tentative="0">
      <w:start w:val="1"/>
      <w:numFmt w:val="decimal"/>
      <w:lvlText w:val="（%6）"/>
      <w:lvlJc w:val="left"/>
      <w:pPr>
        <w:ind w:left="565" w:firstLine="0"/>
      </w:pPr>
      <w:rPr>
        <w:rFonts w:hint="eastAsia"/>
      </w:rPr>
    </w:lvl>
    <w:lvl w:ilvl="6" w:tentative="0">
      <w:start w:val="1"/>
      <w:numFmt w:val="decimal"/>
      <w:lvlText w:val="%7."/>
      <w:lvlJc w:val="left"/>
      <w:pPr>
        <w:ind w:left="678" w:firstLine="0"/>
      </w:pPr>
      <w:rPr>
        <w:rFonts w:hint="eastAsia"/>
      </w:rPr>
    </w:lvl>
    <w:lvl w:ilvl="7" w:tentative="0">
      <w:start w:val="1"/>
      <w:numFmt w:val="lowerLetter"/>
      <w:lvlText w:val="%8."/>
      <w:lvlJc w:val="left"/>
      <w:pPr>
        <w:ind w:left="791" w:firstLine="0"/>
      </w:pPr>
      <w:rPr>
        <w:rFonts w:hint="eastAsia"/>
      </w:rPr>
    </w:lvl>
    <w:lvl w:ilvl="8" w:tentative="0">
      <w:start w:val="1"/>
      <w:numFmt w:val="lowerRoman"/>
      <w:lvlText w:val="%9."/>
      <w:lvlJc w:val="left"/>
      <w:pPr>
        <w:ind w:left="904" w:firstLine="0"/>
      </w:pPr>
      <w:rPr>
        <w:rFonts w:hint="eastAsia"/>
      </w:rPr>
    </w:lvl>
  </w:abstractNum>
  <w:abstractNum w:abstractNumId="2">
    <w:nsid w:val="54913109"/>
    <w:multiLevelType w:val="singleLevel"/>
    <w:tmpl w:val="54913109"/>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72"/>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mExY2JlY2VhNjZmNWU0ZmFhMGUwZjdiNzg2MTIifQ=="/>
  </w:docVars>
  <w:rsids>
    <w:rsidRoot w:val="00172A27"/>
    <w:rsid w:val="000007CA"/>
    <w:rsid w:val="00000946"/>
    <w:rsid w:val="000010C1"/>
    <w:rsid w:val="00001206"/>
    <w:rsid w:val="00001422"/>
    <w:rsid w:val="00001737"/>
    <w:rsid w:val="000018AE"/>
    <w:rsid w:val="00001DDF"/>
    <w:rsid w:val="00001FC9"/>
    <w:rsid w:val="000025BD"/>
    <w:rsid w:val="0000289D"/>
    <w:rsid w:val="00002B40"/>
    <w:rsid w:val="000032EF"/>
    <w:rsid w:val="000035E2"/>
    <w:rsid w:val="00003D89"/>
    <w:rsid w:val="00003EB4"/>
    <w:rsid w:val="00004402"/>
    <w:rsid w:val="00004562"/>
    <w:rsid w:val="0000485D"/>
    <w:rsid w:val="0000521C"/>
    <w:rsid w:val="00005696"/>
    <w:rsid w:val="000065C3"/>
    <w:rsid w:val="000069AD"/>
    <w:rsid w:val="000075D1"/>
    <w:rsid w:val="00010054"/>
    <w:rsid w:val="00010334"/>
    <w:rsid w:val="0001130B"/>
    <w:rsid w:val="000119AC"/>
    <w:rsid w:val="00011BD2"/>
    <w:rsid w:val="000132BE"/>
    <w:rsid w:val="00013E5A"/>
    <w:rsid w:val="000140C4"/>
    <w:rsid w:val="00014240"/>
    <w:rsid w:val="00014915"/>
    <w:rsid w:val="000149C7"/>
    <w:rsid w:val="00014C79"/>
    <w:rsid w:val="00014D10"/>
    <w:rsid w:val="00015752"/>
    <w:rsid w:val="00015CFE"/>
    <w:rsid w:val="000162C6"/>
    <w:rsid w:val="00016851"/>
    <w:rsid w:val="00016C25"/>
    <w:rsid w:val="00017272"/>
    <w:rsid w:val="000200EF"/>
    <w:rsid w:val="00020F99"/>
    <w:rsid w:val="000214E5"/>
    <w:rsid w:val="00021580"/>
    <w:rsid w:val="00021826"/>
    <w:rsid w:val="00021D4C"/>
    <w:rsid w:val="00021DD1"/>
    <w:rsid w:val="00022402"/>
    <w:rsid w:val="0002253E"/>
    <w:rsid w:val="00022556"/>
    <w:rsid w:val="00022946"/>
    <w:rsid w:val="00022C5E"/>
    <w:rsid w:val="00023C04"/>
    <w:rsid w:val="00024627"/>
    <w:rsid w:val="00024672"/>
    <w:rsid w:val="00024867"/>
    <w:rsid w:val="00024A4B"/>
    <w:rsid w:val="00025182"/>
    <w:rsid w:val="000253B0"/>
    <w:rsid w:val="00025981"/>
    <w:rsid w:val="00025AE3"/>
    <w:rsid w:val="0002600E"/>
    <w:rsid w:val="000262D0"/>
    <w:rsid w:val="00026679"/>
    <w:rsid w:val="000272EA"/>
    <w:rsid w:val="00027866"/>
    <w:rsid w:val="00027A09"/>
    <w:rsid w:val="00027C23"/>
    <w:rsid w:val="000300F5"/>
    <w:rsid w:val="00030427"/>
    <w:rsid w:val="0003147A"/>
    <w:rsid w:val="00031EF1"/>
    <w:rsid w:val="0003210C"/>
    <w:rsid w:val="000322ED"/>
    <w:rsid w:val="0003265E"/>
    <w:rsid w:val="00032AC7"/>
    <w:rsid w:val="00033760"/>
    <w:rsid w:val="00033897"/>
    <w:rsid w:val="00033B35"/>
    <w:rsid w:val="00033E26"/>
    <w:rsid w:val="000343F9"/>
    <w:rsid w:val="00034506"/>
    <w:rsid w:val="00034A16"/>
    <w:rsid w:val="00034A9F"/>
    <w:rsid w:val="00034BB1"/>
    <w:rsid w:val="000350BD"/>
    <w:rsid w:val="000359A8"/>
    <w:rsid w:val="00035DAB"/>
    <w:rsid w:val="00035DC5"/>
    <w:rsid w:val="0003607E"/>
    <w:rsid w:val="00036B10"/>
    <w:rsid w:val="00037343"/>
    <w:rsid w:val="00037572"/>
    <w:rsid w:val="0003795A"/>
    <w:rsid w:val="00037BB5"/>
    <w:rsid w:val="000401EE"/>
    <w:rsid w:val="00040BBD"/>
    <w:rsid w:val="00040D7D"/>
    <w:rsid w:val="00040D81"/>
    <w:rsid w:val="00040F2D"/>
    <w:rsid w:val="00041479"/>
    <w:rsid w:val="000421FE"/>
    <w:rsid w:val="00042621"/>
    <w:rsid w:val="00042901"/>
    <w:rsid w:val="000429C4"/>
    <w:rsid w:val="00042CE4"/>
    <w:rsid w:val="00043704"/>
    <w:rsid w:val="00043BF6"/>
    <w:rsid w:val="00044290"/>
    <w:rsid w:val="000449EE"/>
    <w:rsid w:val="00044B70"/>
    <w:rsid w:val="0004516B"/>
    <w:rsid w:val="00045BD3"/>
    <w:rsid w:val="0004638E"/>
    <w:rsid w:val="00046D90"/>
    <w:rsid w:val="00046F97"/>
    <w:rsid w:val="0004705F"/>
    <w:rsid w:val="00047902"/>
    <w:rsid w:val="00050527"/>
    <w:rsid w:val="000505FF"/>
    <w:rsid w:val="0005081A"/>
    <w:rsid w:val="0005094D"/>
    <w:rsid w:val="00050BA5"/>
    <w:rsid w:val="00051638"/>
    <w:rsid w:val="0005166A"/>
    <w:rsid w:val="00051D1F"/>
    <w:rsid w:val="000528C9"/>
    <w:rsid w:val="00052C72"/>
    <w:rsid w:val="00052C96"/>
    <w:rsid w:val="0005343A"/>
    <w:rsid w:val="00053500"/>
    <w:rsid w:val="000537FF"/>
    <w:rsid w:val="00053D48"/>
    <w:rsid w:val="00053E30"/>
    <w:rsid w:val="00054621"/>
    <w:rsid w:val="0005521A"/>
    <w:rsid w:val="000554A7"/>
    <w:rsid w:val="00055D55"/>
    <w:rsid w:val="0005650E"/>
    <w:rsid w:val="00056B3D"/>
    <w:rsid w:val="00057081"/>
    <w:rsid w:val="0005777E"/>
    <w:rsid w:val="00057E72"/>
    <w:rsid w:val="00060BC8"/>
    <w:rsid w:val="00061327"/>
    <w:rsid w:val="00062523"/>
    <w:rsid w:val="000632F5"/>
    <w:rsid w:val="000634D5"/>
    <w:rsid w:val="000637E8"/>
    <w:rsid w:val="00063B26"/>
    <w:rsid w:val="00063E3E"/>
    <w:rsid w:val="000641CC"/>
    <w:rsid w:val="0006422F"/>
    <w:rsid w:val="0006470B"/>
    <w:rsid w:val="00064AE3"/>
    <w:rsid w:val="00064E33"/>
    <w:rsid w:val="00064F4A"/>
    <w:rsid w:val="00065800"/>
    <w:rsid w:val="00065CA9"/>
    <w:rsid w:val="00066450"/>
    <w:rsid w:val="00066822"/>
    <w:rsid w:val="0006704B"/>
    <w:rsid w:val="00067AD3"/>
    <w:rsid w:val="0007037D"/>
    <w:rsid w:val="00070A3A"/>
    <w:rsid w:val="0007136C"/>
    <w:rsid w:val="00071F67"/>
    <w:rsid w:val="000720A6"/>
    <w:rsid w:val="000721BF"/>
    <w:rsid w:val="00072CAF"/>
    <w:rsid w:val="00073399"/>
    <w:rsid w:val="000734B0"/>
    <w:rsid w:val="000738D6"/>
    <w:rsid w:val="00073954"/>
    <w:rsid w:val="000739FA"/>
    <w:rsid w:val="00073C48"/>
    <w:rsid w:val="00074148"/>
    <w:rsid w:val="000741BF"/>
    <w:rsid w:val="00074525"/>
    <w:rsid w:val="000746DD"/>
    <w:rsid w:val="000750D5"/>
    <w:rsid w:val="00075235"/>
    <w:rsid w:val="00075385"/>
    <w:rsid w:val="0007548F"/>
    <w:rsid w:val="00075A7C"/>
    <w:rsid w:val="00075E16"/>
    <w:rsid w:val="000761CC"/>
    <w:rsid w:val="00076E70"/>
    <w:rsid w:val="00077B0A"/>
    <w:rsid w:val="00077DCF"/>
    <w:rsid w:val="00077FD2"/>
    <w:rsid w:val="00080311"/>
    <w:rsid w:val="0008069C"/>
    <w:rsid w:val="0008073B"/>
    <w:rsid w:val="00080C86"/>
    <w:rsid w:val="00081762"/>
    <w:rsid w:val="00082761"/>
    <w:rsid w:val="000829D6"/>
    <w:rsid w:val="0008303D"/>
    <w:rsid w:val="0008377B"/>
    <w:rsid w:val="00083E84"/>
    <w:rsid w:val="000843CC"/>
    <w:rsid w:val="000852C4"/>
    <w:rsid w:val="0008549C"/>
    <w:rsid w:val="00086248"/>
    <w:rsid w:val="00086608"/>
    <w:rsid w:val="000876E0"/>
    <w:rsid w:val="00087AC0"/>
    <w:rsid w:val="00090C90"/>
    <w:rsid w:val="00090C9C"/>
    <w:rsid w:val="00090FCA"/>
    <w:rsid w:val="00091A6F"/>
    <w:rsid w:val="00091E2E"/>
    <w:rsid w:val="000930F0"/>
    <w:rsid w:val="0009324F"/>
    <w:rsid w:val="00093325"/>
    <w:rsid w:val="0009350F"/>
    <w:rsid w:val="00093540"/>
    <w:rsid w:val="0009380D"/>
    <w:rsid w:val="00093EDC"/>
    <w:rsid w:val="000949D5"/>
    <w:rsid w:val="00094BED"/>
    <w:rsid w:val="00094F63"/>
    <w:rsid w:val="00095A0D"/>
    <w:rsid w:val="00095BA1"/>
    <w:rsid w:val="00095DC7"/>
    <w:rsid w:val="00095FE0"/>
    <w:rsid w:val="0009611B"/>
    <w:rsid w:val="000961A3"/>
    <w:rsid w:val="00096CBA"/>
    <w:rsid w:val="00096D65"/>
    <w:rsid w:val="00097196"/>
    <w:rsid w:val="00097658"/>
    <w:rsid w:val="00097A28"/>
    <w:rsid w:val="00097FAD"/>
    <w:rsid w:val="000A0708"/>
    <w:rsid w:val="000A0EBD"/>
    <w:rsid w:val="000A0EE4"/>
    <w:rsid w:val="000A1DC7"/>
    <w:rsid w:val="000A1E2E"/>
    <w:rsid w:val="000A28E1"/>
    <w:rsid w:val="000A2A3D"/>
    <w:rsid w:val="000A2C99"/>
    <w:rsid w:val="000A3331"/>
    <w:rsid w:val="000A3400"/>
    <w:rsid w:val="000A411F"/>
    <w:rsid w:val="000A4261"/>
    <w:rsid w:val="000A4627"/>
    <w:rsid w:val="000A4B04"/>
    <w:rsid w:val="000A5144"/>
    <w:rsid w:val="000A5177"/>
    <w:rsid w:val="000A52F5"/>
    <w:rsid w:val="000A530A"/>
    <w:rsid w:val="000A5763"/>
    <w:rsid w:val="000A581D"/>
    <w:rsid w:val="000A5A40"/>
    <w:rsid w:val="000A5FBA"/>
    <w:rsid w:val="000A6A56"/>
    <w:rsid w:val="000A6B6A"/>
    <w:rsid w:val="000A726E"/>
    <w:rsid w:val="000A7520"/>
    <w:rsid w:val="000A779D"/>
    <w:rsid w:val="000A7DBF"/>
    <w:rsid w:val="000A7E5F"/>
    <w:rsid w:val="000B090D"/>
    <w:rsid w:val="000B0AB7"/>
    <w:rsid w:val="000B10DE"/>
    <w:rsid w:val="000B134C"/>
    <w:rsid w:val="000B158E"/>
    <w:rsid w:val="000B1776"/>
    <w:rsid w:val="000B1914"/>
    <w:rsid w:val="000B1F22"/>
    <w:rsid w:val="000B2247"/>
    <w:rsid w:val="000B2E47"/>
    <w:rsid w:val="000B3363"/>
    <w:rsid w:val="000B374D"/>
    <w:rsid w:val="000B3CB5"/>
    <w:rsid w:val="000B4208"/>
    <w:rsid w:val="000B4583"/>
    <w:rsid w:val="000B45BE"/>
    <w:rsid w:val="000B4701"/>
    <w:rsid w:val="000B4970"/>
    <w:rsid w:val="000B4974"/>
    <w:rsid w:val="000B4DB0"/>
    <w:rsid w:val="000B4E84"/>
    <w:rsid w:val="000B50CC"/>
    <w:rsid w:val="000B5270"/>
    <w:rsid w:val="000B556A"/>
    <w:rsid w:val="000B5CCA"/>
    <w:rsid w:val="000B6191"/>
    <w:rsid w:val="000B64FB"/>
    <w:rsid w:val="000B7503"/>
    <w:rsid w:val="000B760A"/>
    <w:rsid w:val="000B78B2"/>
    <w:rsid w:val="000B7D7D"/>
    <w:rsid w:val="000C02AC"/>
    <w:rsid w:val="000C0522"/>
    <w:rsid w:val="000C0ABB"/>
    <w:rsid w:val="000C1046"/>
    <w:rsid w:val="000C133D"/>
    <w:rsid w:val="000C15B3"/>
    <w:rsid w:val="000C1669"/>
    <w:rsid w:val="000C1775"/>
    <w:rsid w:val="000C1835"/>
    <w:rsid w:val="000C1A4A"/>
    <w:rsid w:val="000C1B36"/>
    <w:rsid w:val="000C1E06"/>
    <w:rsid w:val="000C1F07"/>
    <w:rsid w:val="000C22CB"/>
    <w:rsid w:val="000C2B67"/>
    <w:rsid w:val="000C4086"/>
    <w:rsid w:val="000C4C0D"/>
    <w:rsid w:val="000C541F"/>
    <w:rsid w:val="000C5EC1"/>
    <w:rsid w:val="000C6503"/>
    <w:rsid w:val="000C670A"/>
    <w:rsid w:val="000C6C14"/>
    <w:rsid w:val="000C6D25"/>
    <w:rsid w:val="000C7AE5"/>
    <w:rsid w:val="000C7B11"/>
    <w:rsid w:val="000D0089"/>
    <w:rsid w:val="000D0191"/>
    <w:rsid w:val="000D0A29"/>
    <w:rsid w:val="000D0BA8"/>
    <w:rsid w:val="000D104B"/>
    <w:rsid w:val="000D125E"/>
    <w:rsid w:val="000D148E"/>
    <w:rsid w:val="000D1C0A"/>
    <w:rsid w:val="000D1E09"/>
    <w:rsid w:val="000D218A"/>
    <w:rsid w:val="000D30D2"/>
    <w:rsid w:val="000D3976"/>
    <w:rsid w:val="000D3FB7"/>
    <w:rsid w:val="000D40D3"/>
    <w:rsid w:val="000D4363"/>
    <w:rsid w:val="000D556E"/>
    <w:rsid w:val="000D575C"/>
    <w:rsid w:val="000D5841"/>
    <w:rsid w:val="000D6560"/>
    <w:rsid w:val="000D658A"/>
    <w:rsid w:val="000D6C43"/>
    <w:rsid w:val="000D6E3C"/>
    <w:rsid w:val="000D6EA4"/>
    <w:rsid w:val="000D78EA"/>
    <w:rsid w:val="000D7F9D"/>
    <w:rsid w:val="000E06FC"/>
    <w:rsid w:val="000E0701"/>
    <w:rsid w:val="000E0AD9"/>
    <w:rsid w:val="000E10F1"/>
    <w:rsid w:val="000E1D4A"/>
    <w:rsid w:val="000E1F3C"/>
    <w:rsid w:val="000E298D"/>
    <w:rsid w:val="000E2ADB"/>
    <w:rsid w:val="000E2DE4"/>
    <w:rsid w:val="000E2EEF"/>
    <w:rsid w:val="000E3E6E"/>
    <w:rsid w:val="000E4136"/>
    <w:rsid w:val="000E4D45"/>
    <w:rsid w:val="000E4F82"/>
    <w:rsid w:val="000E4FE7"/>
    <w:rsid w:val="000E5258"/>
    <w:rsid w:val="000E5332"/>
    <w:rsid w:val="000E535C"/>
    <w:rsid w:val="000E5EAC"/>
    <w:rsid w:val="000E6A61"/>
    <w:rsid w:val="000E73A7"/>
    <w:rsid w:val="000E76E8"/>
    <w:rsid w:val="000E787A"/>
    <w:rsid w:val="000E7A62"/>
    <w:rsid w:val="000E7B86"/>
    <w:rsid w:val="000E7D31"/>
    <w:rsid w:val="000F0506"/>
    <w:rsid w:val="000F0592"/>
    <w:rsid w:val="000F1C0D"/>
    <w:rsid w:val="000F23E7"/>
    <w:rsid w:val="000F3166"/>
    <w:rsid w:val="000F3431"/>
    <w:rsid w:val="000F35F1"/>
    <w:rsid w:val="000F3A54"/>
    <w:rsid w:val="000F3C67"/>
    <w:rsid w:val="000F3D04"/>
    <w:rsid w:val="000F3DD1"/>
    <w:rsid w:val="000F3E0A"/>
    <w:rsid w:val="000F404B"/>
    <w:rsid w:val="000F4270"/>
    <w:rsid w:val="000F45F2"/>
    <w:rsid w:val="000F485A"/>
    <w:rsid w:val="000F4979"/>
    <w:rsid w:val="000F5295"/>
    <w:rsid w:val="000F5349"/>
    <w:rsid w:val="000F5499"/>
    <w:rsid w:val="000F56DD"/>
    <w:rsid w:val="000F56E3"/>
    <w:rsid w:val="000F58A7"/>
    <w:rsid w:val="000F5B6C"/>
    <w:rsid w:val="000F66AE"/>
    <w:rsid w:val="000F6850"/>
    <w:rsid w:val="000F6AB8"/>
    <w:rsid w:val="000F72A5"/>
    <w:rsid w:val="000F74E7"/>
    <w:rsid w:val="000F75DB"/>
    <w:rsid w:val="000F77B3"/>
    <w:rsid w:val="000F7BAF"/>
    <w:rsid w:val="001007D9"/>
    <w:rsid w:val="00100D1A"/>
    <w:rsid w:val="00101031"/>
    <w:rsid w:val="001012EC"/>
    <w:rsid w:val="00101459"/>
    <w:rsid w:val="00101636"/>
    <w:rsid w:val="0010166E"/>
    <w:rsid w:val="00101678"/>
    <w:rsid w:val="00102507"/>
    <w:rsid w:val="00102883"/>
    <w:rsid w:val="00102A9B"/>
    <w:rsid w:val="00102C4E"/>
    <w:rsid w:val="00103995"/>
    <w:rsid w:val="00103C20"/>
    <w:rsid w:val="00103CB6"/>
    <w:rsid w:val="0010407D"/>
    <w:rsid w:val="001056C6"/>
    <w:rsid w:val="00105ED1"/>
    <w:rsid w:val="0010670B"/>
    <w:rsid w:val="00107261"/>
    <w:rsid w:val="00107689"/>
    <w:rsid w:val="00110CF1"/>
    <w:rsid w:val="00110D2A"/>
    <w:rsid w:val="00110FAD"/>
    <w:rsid w:val="00111195"/>
    <w:rsid w:val="0011129C"/>
    <w:rsid w:val="00111CFD"/>
    <w:rsid w:val="001123F1"/>
    <w:rsid w:val="00112824"/>
    <w:rsid w:val="00112AD8"/>
    <w:rsid w:val="00112C49"/>
    <w:rsid w:val="00113CF8"/>
    <w:rsid w:val="00114050"/>
    <w:rsid w:val="001148A2"/>
    <w:rsid w:val="00114DAD"/>
    <w:rsid w:val="0011524E"/>
    <w:rsid w:val="0011590D"/>
    <w:rsid w:val="0011685D"/>
    <w:rsid w:val="00116C35"/>
    <w:rsid w:val="00117389"/>
    <w:rsid w:val="0011747D"/>
    <w:rsid w:val="001176B2"/>
    <w:rsid w:val="00117D41"/>
    <w:rsid w:val="00120597"/>
    <w:rsid w:val="00122086"/>
    <w:rsid w:val="00122145"/>
    <w:rsid w:val="001223E8"/>
    <w:rsid w:val="001229C4"/>
    <w:rsid w:val="00122B88"/>
    <w:rsid w:val="00122D59"/>
    <w:rsid w:val="00122EF4"/>
    <w:rsid w:val="001237BC"/>
    <w:rsid w:val="0012391A"/>
    <w:rsid w:val="00123DFF"/>
    <w:rsid w:val="00123E14"/>
    <w:rsid w:val="00123E6D"/>
    <w:rsid w:val="00124409"/>
    <w:rsid w:val="00124669"/>
    <w:rsid w:val="0012646F"/>
    <w:rsid w:val="0012649E"/>
    <w:rsid w:val="00126E7B"/>
    <w:rsid w:val="00126F36"/>
    <w:rsid w:val="00126FFB"/>
    <w:rsid w:val="001273B9"/>
    <w:rsid w:val="001274EF"/>
    <w:rsid w:val="0013017D"/>
    <w:rsid w:val="001304E9"/>
    <w:rsid w:val="00130AAE"/>
    <w:rsid w:val="00130DAF"/>
    <w:rsid w:val="00130F08"/>
    <w:rsid w:val="001310BA"/>
    <w:rsid w:val="00131A58"/>
    <w:rsid w:val="00131B4B"/>
    <w:rsid w:val="00131BAF"/>
    <w:rsid w:val="00131E9F"/>
    <w:rsid w:val="00132146"/>
    <w:rsid w:val="00132CBE"/>
    <w:rsid w:val="0013422C"/>
    <w:rsid w:val="0013423D"/>
    <w:rsid w:val="00134991"/>
    <w:rsid w:val="00135110"/>
    <w:rsid w:val="00135BFC"/>
    <w:rsid w:val="0013640E"/>
    <w:rsid w:val="0013642F"/>
    <w:rsid w:val="0013680B"/>
    <w:rsid w:val="00136CBA"/>
    <w:rsid w:val="00136D6D"/>
    <w:rsid w:val="00136DC0"/>
    <w:rsid w:val="00137B89"/>
    <w:rsid w:val="00137E14"/>
    <w:rsid w:val="00140BE6"/>
    <w:rsid w:val="00140C0D"/>
    <w:rsid w:val="00140F7C"/>
    <w:rsid w:val="00141864"/>
    <w:rsid w:val="001419FB"/>
    <w:rsid w:val="00141C05"/>
    <w:rsid w:val="00141C0E"/>
    <w:rsid w:val="00141E24"/>
    <w:rsid w:val="00142063"/>
    <w:rsid w:val="001422CB"/>
    <w:rsid w:val="00142453"/>
    <w:rsid w:val="001432EF"/>
    <w:rsid w:val="00143459"/>
    <w:rsid w:val="00143EC3"/>
    <w:rsid w:val="001443A5"/>
    <w:rsid w:val="00145272"/>
    <w:rsid w:val="001459B1"/>
    <w:rsid w:val="00145E39"/>
    <w:rsid w:val="001467ED"/>
    <w:rsid w:val="00146E5E"/>
    <w:rsid w:val="00146FE4"/>
    <w:rsid w:val="0014701B"/>
    <w:rsid w:val="00147752"/>
    <w:rsid w:val="00147A51"/>
    <w:rsid w:val="00147BA7"/>
    <w:rsid w:val="00147CF0"/>
    <w:rsid w:val="00150000"/>
    <w:rsid w:val="001500A3"/>
    <w:rsid w:val="001509D2"/>
    <w:rsid w:val="001513FB"/>
    <w:rsid w:val="00151988"/>
    <w:rsid w:val="00152AB5"/>
    <w:rsid w:val="001540D5"/>
    <w:rsid w:val="00154974"/>
    <w:rsid w:val="001549EB"/>
    <w:rsid w:val="00154AD0"/>
    <w:rsid w:val="001553B4"/>
    <w:rsid w:val="00155AD7"/>
    <w:rsid w:val="00155D70"/>
    <w:rsid w:val="00155DA6"/>
    <w:rsid w:val="00155DFF"/>
    <w:rsid w:val="00156157"/>
    <w:rsid w:val="001567EB"/>
    <w:rsid w:val="00156C57"/>
    <w:rsid w:val="001572E8"/>
    <w:rsid w:val="001573F8"/>
    <w:rsid w:val="00157449"/>
    <w:rsid w:val="00157A9A"/>
    <w:rsid w:val="0016051A"/>
    <w:rsid w:val="00161D22"/>
    <w:rsid w:val="0016224C"/>
    <w:rsid w:val="0016363D"/>
    <w:rsid w:val="00163DF0"/>
    <w:rsid w:val="00164D74"/>
    <w:rsid w:val="0016532E"/>
    <w:rsid w:val="00165603"/>
    <w:rsid w:val="00165F5D"/>
    <w:rsid w:val="001662A9"/>
    <w:rsid w:val="001662FB"/>
    <w:rsid w:val="00166749"/>
    <w:rsid w:val="00166FD1"/>
    <w:rsid w:val="00167245"/>
    <w:rsid w:val="001679F1"/>
    <w:rsid w:val="00167B25"/>
    <w:rsid w:val="00167C1A"/>
    <w:rsid w:val="00170012"/>
    <w:rsid w:val="0017038C"/>
    <w:rsid w:val="001708BB"/>
    <w:rsid w:val="001715DF"/>
    <w:rsid w:val="001720C4"/>
    <w:rsid w:val="001720F2"/>
    <w:rsid w:val="00172588"/>
    <w:rsid w:val="00172A27"/>
    <w:rsid w:val="00173415"/>
    <w:rsid w:val="00173619"/>
    <w:rsid w:val="00173791"/>
    <w:rsid w:val="001739E7"/>
    <w:rsid w:val="00173AFC"/>
    <w:rsid w:val="00174151"/>
    <w:rsid w:val="00174167"/>
    <w:rsid w:val="001745C5"/>
    <w:rsid w:val="00174631"/>
    <w:rsid w:val="001746D6"/>
    <w:rsid w:val="001758E4"/>
    <w:rsid w:val="001762F3"/>
    <w:rsid w:val="00176C93"/>
    <w:rsid w:val="00176F1D"/>
    <w:rsid w:val="0017756B"/>
    <w:rsid w:val="00177A39"/>
    <w:rsid w:val="00177CD6"/>
    <w:rsid w:val="0018029D"/>
    <w:rsid w:val="00180B13"/>
    <w:rsid w:val="00180FEE"/>
    <w:rsid w:val="00182926"/>
    <w:rsid w:val="00182DB5"/>
    <w:rsid w:val="00182FC2"/>
    <w:rsid w:val="001831E9"/>
    <w:rsid w:val="00183AC0"/>
    <w:rsid w:val="00183B2C"/>
    <w:rsid w:val="00184225"/>
    <w:rsid w:val="001843E7"/>
    <w:rsid w:val="00184A90"/>
    <w:rsid w:val="00184DAA"/>
    <w:rsid w:val="0018563B"/>
    <w:rsid w:val="00185842"/>
    <w:rsid w:val="00185A3F"/>
    <w:rsid w:val="00185C18"/>
    <w:rsid w:val="0018609B"/>
    <w:rsid w:val="001863FE"/>
    <w:rsid w:val="00186DAF"/>
    <w:rsid w:val="00187035"/>
    <w:rsid w:val="0018785E"/>
    <w:rsid w:val="00187FDF"/>
    <w:rsid w:val="0019057E"/>
    <w:rsid w:val="00190897"/>
    <w:rsid w:val="00190BAC"/>
    <w:rsid w:val="00190CA3"/>
    <w:rsid w:val="001917CC"/>
    <w:rsid w:val="001920A3"/>
    <w:rsid w:val="00192634"/>
    <w:rsid w:val="00192760"/>
    <w:rsid w:val="001928EC"/>
    <w:rsid w:val="00192F51"/>
    <w:rsid w:val="0019302D"/>
    <w:rsid w:val="001938CC"/>
    <w:rsid w:val="00193F6C"/>
    <w:rsid w:val="00193F77"/>
    <w:rsid w:val="00194297"/>
    <w:rsid w:val="001944AA"/>
    <w:rsid w:val="001949A8"/>
    <w:rsid w:val="00194A8B"/>
    <w:rsid w:val="00194D27"/>
    <w:rsid w:val="00194E25"/>
    <w:rsid w:val="001958D6"/>
    <w:rsid w:val="00195BA9"/>
    <w:rsid w:val="00195C30"/>
    <w:rsid w:val="00195C7A"/>
    <w:rsid w:val="00195D34"/>
    <w:rsid w:val="00195E1E"/>
    <w:rsid w:val="0019618D"/>
    <w:rsid w:val="00196684"/>
    <w:rsid w:val="00197082"/>
    <w:rsid w:val="001973D3"/>
    <w:rsid w:val="0019779D"/>
    <w:rsid w:val="001A001B"/>
    <w:rsid w:val="001A03E7"/>
    <w:rsid w:val="001A0405"/>
    <w:rsid w:val="001A0BA3"/>
    <w:rsid w:val="001A0F83"/>
    <w:rsid w:val="001A22D5"/>
    <w:rsid w:val="001A22F3"/>
    <w:rsid w:val="001A3643"/>
    <w:rsid w:val="001A3B7C"/>
    <w:rsid w:val="001A3BBD"/>
    <w:rsid w:val="001A3DE4"/>
    <w:rsid w:val="001A4115"/>
    <w:rsid w:val="001A4AF9"/>
    <w:rsid w:val="001A4D75"/>
    <w:rsid w:val="001A4DB6"/>
    <w:rsid w:val="001A57AC"/>
    <w:rsid w:val="001A5C4C"/>
    <w:rsid w:val="001A5C6F"/>
    <w:rsid w:val="001A7CAD"/>
    <w:rsid w:val="001B04CF"/>
    <w:rsid w:val="001B0BF3"/>
    <w:rsid w:val="001B1176"/>
    <w:rsid w:val="001B15B2"/>
    <w:rsid w:val="001B1D9D"/>
    <w:rsid w:val="001B213E"/>
    <w:rsid w:val="001B2815"/>
    <w:rsid w:val="001B2E51"/>
    <w:rsid w:val="001B424D"/>
    <w:rsid w:val="001B4ACF"/>
    <w:rsid w:val="001B4D39"/>
    <w:rsid w:val="001B4E01"/>
    <w:rsid w:val="001B55E0"/>
    <w:rsid w:val="001B5ABE"/>
    <w:rsid w:val="001B6281"/>
    <w:rsid w:val="001B67EA"/>
    <w:rsid w:val="001B693E"/>
    <w:rsid w:val="001B6FAA"/>
    <w:rsid w:val="001B702F"/>
    <w:rsid w:val="001C0130"/>
    <w:rsid w:val="001C0150"/>
    <w:rsid w:val="001C0480"/>
    <w:rsid w:val="001C0506"/>
    <w:rsid w:val="001C0EE8"/>
    <w:rsid w:val="001C159B"/>
    <w:rsid w:val="001C1EC2"/>
    <w:rsid w:val="001C2747"/>
    <w:rsid w:val="001C2BA5"/>
    <w:rsid w:val="001C385F"/>
    <w:rsid w:val="001C3D41"/>
    <w:rsid w:val="001C443D"/>
    <w:rsid w:val="001C447A"/>
    <w:rsid w:val="001C4BA1"/>
    <w:rsid w:val="001C4DD6"/>
    <w:rsid w:val="001C4E2C"/>
    <w:rsid w:val="001C579F"/>
    <w:rsid w:val="001C595E"/>
    <w:rsid w:val="001C5AB4"/>
    <w:rsid w:val="001C6190"/>
    <w:rsid w:val="001C6340"/>
    <w:rsid w:val="001C703C"/>
    <w:rsid w:val="001C7073"/>
    <w:rsid w:val="001C748E"/>
    <w:rsid w:val="001C7728"/>
    <w:rsid w:val="001C7BAF"/>
    <w:rsid w:val="001D01A7"/>
    <w:rsid w:val="001D02A0"/>
    <w:rsid w:val="001D04A5"/>
    <w:rsid w:val="001D0C4B"/>
    <w:rsid w:val="001D0EF8"/>
    <w:rsid w:val="001D1698"/>
    <w:rsid w:val="001D17C5"/>
    <w:rsid w:val="001D1909"/>
    <w:rsid w:val="001D1CA7"/>
    <w:rsid w:val="001D2283"/>
    <w:rsid w:val="001D23E2"/>
    <w:rsid w:val="001D240B"/>
    <w:rsid w:val="001D244B"/>
    <w:rsid w:val="001D2525"/>
    <w:rsid w:val="001D314A"/>
    <w:rsid w:val="001D3441"/>
    <w:rsid w:val="001D35F6"/>
    <w:rsid w:val="001D3850"/>
    <w:rsid w:val="001D3B33"/>
    <w:rsid w:val="001D3BC0"/>
    <w:rsid w:val="001D4AF9"/>
    <w:rsid w:val="001D4C6F"/>
    <w:rsid w:val="001D4CD1"/>
    <w:rsid w:val="001D58D9"/>
    <w:rsid w:val="001D5EFF"/>
    <w:rsid w:val="001D6290"/>
    <w:rsid w:val="001D62BC"/>
    <w:rsid w:val="001D65FC"/>
    <w:rsid w:val="001D6E1B"/>
    <w:rsid w:val="001D707A"/>
    <w:rsid w:val="001D7771"/>
    <w:rsid w:val="001E001B"/>
    <w:rsid w:val="001E0931"/>
    <w:rsid w:val="001E0A9A"/>
    <w:rsid w:val="001E0F59"/>
    <w:rsid w:val="001E101F"/>
    <w:rsid w:val="001E128F"/>
    <w:rsid w:val="001E1810"/>
    <w:rsid w:val="001E1B51"/>
    <w:rsid w:val="001E1B90"/>
    <w:rsid w:val="001E21BE"/>
    <w:rsid w:val="001E2B5E"/>
    <w:rsid w:val="001E2D8B"/>
    <w:rsid w:val="001E2F1F"/>
    <w:rsid w:val="001E3178"/>
    <w:rsid w:val="001E34ED"/>
    <w:rsid w:val="001E38D5"/>
    <w:rsid w:val="001E3AA0"/>
    <w:rsid w:val="001E3CDF"/>
    <w:rsid w:val="001E4184"/>
    <w:rsid w:val="001E439C"/>
    <w:rsid w:val="001E513E"/>
    <w:rsid w:val="001E5753"/>
    <w:rsid w:val="001E5A30"/>
    <w:rsid w:val="001E5CCE"/>
    <w:rsid w:val="001E68C5"/>
    <w:rsid w:val="001E6989"/>
    <w:rsid w:val="001E6FAE"/>
    <w:rsid w:val="001E72FF"/>
    <w:rsid w:val="001E75AE"/>
    <w:rsid w:val="001E78DE"/>
    <w:rsid w:val="001E7B08"/>
    <w:rsid w:val="001E7BC6"/>
    <w:rsid w:val="001E7C2F"/>
    <w:rsid w:val="001F02B7"/>
    <w:rsid w:val="001F074E"/>
    <w:rsid w:val="001F1186"/>
    <w:rsid w:val="001F15A2"/>
    <w:rsid w:val="001F1694"/>
    <w:rsid w:val="001F19DB"/>
    <w:rsid w:val="001F1A09"/>
    <w:rsid w:val="001F1E7B"/>
    <w:rsid w:val="001F217A"/>
    <w:rsid w:val="001F2955"/>
    <w:rsid w:val="001F30D5"/>
    <w:rsid w:val="001F36EA"/>
    <w:rsid w:val="001F3959"/>
    <w:rsid w:val="001F3D15"/>
    <w:rsid w:val="001F42B9"/>
    <w:rsid w:val="001F4807"/>
    <w:rsid w:val="001F4843"/>
    <w:rsid w:val="001F4CBF"/>
    <w:rsid w:val="001F5C7C"/>
    <w:rsid w:val="001F6229"/>
    <w:rsid w:val="001F631E"/>
    <w:rsid w:val="001F65B8"/>
    <w:rsid w:val="001F69A3"/>
    <w:rsid w:val="001F6D7B"/>
    <w:rsid w:val="001F70EF"/>
    <w:rsid w:val="001F7347"/>
    <w:rsid w:val="001F7A61"/>
    <w:rsid w:val="001F7BCF"/>
    <w:rsid w:val="0020014C"/>
    <w:rsid w:val="00200D9D"/>
    <w:rsid w:val="0020190B"/>
    <w:rsid w:val="002021D9"/>
    <w:rsid w:val="00202602"/>
    <w:rsid w:val="002028CF"/>
    <w:rsid w:val="00202E45"/>
    <w:rsid w:val="002030AC"/>
    <w:rsid w:val="002042D4"/>
    <w:rsid w:val="002044E6"/>
    <w:rsid w:val="00204859"/>
    <w:rsid w:val="00205BB7"/>
    <w:rsid w:val="00205BCB"/>
    <w:rsid w:val="00205C29"/>
    <w:rsid w:val="00206190"/>
    <w:rsid w:val="00207476"/>
    <w:rsid w:val="00207C97"/>
    <w:rsid w:val="00207F31"/>
    <w:rsid w:val="00210267"/>
    <w:rsid w:val="00210B14"/>
    <w:rsid w:val="00211020"/>
    <w:rsid w:val="0021114C"/>
    <w:rsid w:val="002113FB"/>
    <w:rsid w:val="002120AC"/>
    <w:rsid w:val="0021276E"/>
    <w:rsid w:val="00212D38"/>
    <w:rsid w:val="00212DC1"/>
    <w:rsid w:val="0021312B"/>
    <w:rsid w:val="002135E5"/>
    <w:rsid w:val="00213D6C"/>
    <w:rsid w:val="002142A7"/>
    <w:rsid w:val="002149FB"/>
    <w:rsid w:val="002151DA"/>
    <w:rsid w:val="002156C1"/>
    <w:rsid w:val="00215A95"/>
    <w:rsid w:val="00215B8F"/>
    <w:rsid w:val="00215DE0"/>
    <w:rsid w:val="00216366"/>
    <w:rsid w:val="00216523"/>
    <w:rsid w:val="0021682B"/>
    <w:rsid w:val="002176D8"/>
    <w:rsid w:val="00217928"/>
    <w:rsid w:val="00220E23"/>
    <w:rsid w:val="00221092"/>
    <w:rsid w:val="002210F0"/>
    <w:rsid w:val="00221729"/>
    <w:rsid w:val="0022181E"/>
    <w:rsid w:val="002219C8"/>
    <w:rsid w:val="00221AA3"/>
    <w:rsid w:val="00221EF2"/>
    <w:rsid w:val="00221FE1"/>
    <w:rsid w:val="002222B9"/>
    <w:rsid w:val="002233E3"/>
    <w:rsid w:val="00223704"/>
    <w:rsid w:val="0022395D"/>
    <w:rsid w:val="00223BD4"/>
    <w:rsid w:val="00223F76"/>
    <w:rsid w:val="00224007"/>
    <w:rsid w:val="00224B11"/>
    <w:rsid w:val="002253B8"/>
    <w:rsid w:val="0022558A"/>
    <w:rsid w:val="002259CD"/>
    <w:rsid w:val="00226930"/>
    <w:rsid w:val="00226E55"/>
    <w:rsid w:val="00226F24"/>
    <w:rsid w:val="00230167"/>
    <w:rsid w:val="00230ED0"/>
    <w:rsid w:val="00232335"/>
    <w:rsid w:val="00232613"/>
    <w:rsid w:val="0023278C"/>
    <w:rsid w:val="002328DC"/>
    <w:rsid w:val="00232C82"/>
    <w:rsid w:val="00232DC8"/>
    <w:rsid w:val="00233488"/>
    <w:rsid w:val="00233E3E"/>
    <w:rsid w:val="00234038"/>
    <w:rsid w:val="002349B4"/>
    <w:rsid w:val="00234C6C"/>
    <w:rsid w:val="00235587"/>
    <w:rsid w:val="00235D45"/>
    <w:rsid w:val="00235E2A"/>
    <w:rsid w:val="002365C4"/>
    <w:rsid w:val="002369A2"/>
    <w:rsid w:val="00236EB7"/>
    <w:rsid w:val="00237398"/>
    <w:rsid w:val="002413C0"/>
    <w:rsid w:val="00243325"/>
    <w:rsid w:val="00243C04"/>
    <w:rsid w:val="00243ECB"/>
    <w:rsid w:val="00243F60"/>
    <w:rsid w:val="0024405F"/>
    <w:rsid w:val="002440DA"/>
    <w:rsid w:val="00244253"/>
    <w:rsid w:val="002442FB"/>
    <w:rsid w:val="0024490B"/>
    <w:rsid w:val="00245078"/>
    <w:rsid w:val="002450F8"/>
    <w:rsid w:val="00245233"/>
    <w:rsid w:val="00245BEF"/>
    <w:rsid w:val="002460BE"/>
    <w:rsid w:val="002463A3"/>
    <w:rsid w:val="00246A84"/>
    <w:rsid w:val="00250103"/>
    <w:rsid w:val="0025022F"/>
    <w:rsid w:val="0025070B"/>
    <w:rsid w:val="00250917"/>
    <w:rsid w:val="00250F82"/>
    <w:rsid w:val="00251152"/>
    <w:rsid w:val="00251772"/>
    <w:rsid w:val="00251AB8"/>
    <w:rsid w:val="00251CD2"/>
    <w:rsid w:val="00252661"/>
    <w:rsid w:val="00252A3F"/>
    <w:rsid w:val="00253F58"/>
    <w:rsid w:val="00254224"/>
    <w:rsid w:val="00254410"/>
    <w:rsid w:val="00254458"/>
    <w:rsid w:val="00254B5B"/>
    <w:rsid w:val="00254E35"/>
    <w:rsid w:val="0025508B"/>
    <w:rsid w:val="0025525D"/>
    <w:rsid w:val="00255396"/>
    <w:rsid w:val="002557B0"/>
    <w:rsid w:val="002557D3"/>
    <w:rsid w:val="00255F08"/>
    <w:rsid w:val="00256182"/>
    <w:rsid w:val="002561D7"/>
    <w:rsid w:val="002567FC"/>
    <w:rsid w:val="00256915"/>
    <w:rsid w:val="00256C99"/>
    <w:rsid w:val="00256E7C"/>
    <w:rsid w:val="002577AB"/>
    <w:rsid w:val="00257A86"/>
    <w:rsid w:val="00257F5C"/>
    <w:rsid w:val="00260577"/>
    <w:rsid w:val="002605A6"/>
    <w:rsid w:val="002606C6"/>
    <w:rsid w:val="00260D0A"/>
    <w:rsid w:val="00261DD9"/>
    <w:rsid w:val="00261F26"/>
    <w:rsid w:val="0026251C"/>
    <w:rsid w:val="002633B1"/>
    <w:rsid w:val="00263BBB"/>
    <w:rsid w:val="00263CC0"/>
    <w:rsid w:val="00263DA9"/>
    <w:rsid w:val="002641A0"/>
    <w:rsid w:val="00264773"/>
    <w:rsid w:val="0026482B"/>
    <w:rsid w:val="00264C25"/>
    <w:rsid w:val="0026652F"/>
    <w:rsid w:val="002674A6"/>
    <w:rsid w:val="002675EC"/>
    <w:rsid w:val="00267CB9"/>
    <w:rsid w:val="00267F6F"/>
    <w:rsid w:val="0027030D"/>
    <w:rsid w:val="00270420"/>
    <w:rsid w:val="00271F77"/>
    <w:rsid w:val="002724C4"/>
    <w:rsid w:val="00272842"/>
    <w:rsid w:val="00273017"/>
    <w:rsid w:val="002731FA"/>
    <w:rsid w:val="002734D3"/>
    <w:rsid w:val="00273AAB"/>
    <w:rsid w:val="00273AFB"/>
    <w:rsid w:val="002740D3"/>
    <w:rsid w:val="002747BB"/>
    <w:rsid w:val="00275020"/>
    <w:rsid w:val="00275291"/>
    <w:rsid w:val="00275811"/>
    <w:rsid w:val="00275AEB"/>
    <w:rsid w:val="00275EDC"/>
    <w:rsid w:val="002762A0"/>
    <w:rsid w:val="00276441"/>
    <w:rsid w:val="00277574"/>
    <w:rsid w:val="00277814"/>
    <w:rsid w:val="00277819"/>
    <w:rsid w:val="00280125"/>
    <w:rsid w:val="00280D68"/>
    <w:rsid w:val="00280DB6"/>
    <w:rsid w:val="00281240"/>
    <w:rsid w:val="0028133F"/>
    <w:rsid w:val="0028147F"/>
    <w:rsid w:val="0028171F"/>
    <w:rsid w:val="0028183B"/>
    <w:rsid w:val="00281CFB"/>
    <w:rsid w:val="00281D60"/>
    <w:rsid w:val="0028276C"/>
    <w:rsid w:val="002837E3"/>
    <w:rsid w:val="002838AD"/>
    <w:rsid w:val="002847FD"/>
    <w:rsid w:val="002848B9"/>
    <w:rsid w:val="00284A74"/>
    <w:rsid w:val="00284BF8"/>
    <w:rsid w:val="00284D05"/>
    <w:rsid w:val="0028576E"/>
    <w:rsid w:val="00285B86"/>
    <w:rsid w:val="002860A7"/>
    <w:rsid w:val="0028649C"/>
    <w:rsid w:val="00286E42"/>
    <w:rsid w:val="0028713E"/>
    <w:rsid w:val="00287ACB"/>
    <w:rsid w:val="00287C7E"/>
    <w:rsid w:val="00287DE3"/>
    <w:rsid w:val="00287EE3"/>
    <w:rsid w:val="002903F6"/>
    <w:rsid w:val="00290459"/>
    <w:rsid w:val="00290907"/>
    <w:rsid w:val="002910DB"/>
    <w:rsid w:val="0029113A"/>
    <w:rsid w:val="002919BA"/>
    <w:rsid w:val="002924C6"/>
    <w:rsid w:val="002927C9"/>
    <w:rsid w:val="00292AB7"/>
    <w:rsid w:val="0029318A"/>
    <w:rsid w:val="00293416"/>
    <w:rsid w:val="00293604"/>
    <w:rsid w:val="00293658"/>
    <w:rsid w:val="00293891"/>
    <w:rsid w:val="00293BBE"/>
    <w:rsid w:val="00294986"/>
    <w:rsid w:val="00294CDE"/>
    <w:rsid w:val="002953A3"/>
    <w:rsid w:val="002955D2"/>
    <w:rsid w:val="00295AC9"/>
    <w:rsid w:val="002960C4"/>
    <w:rsid w:val="00297148"/>
    <w:rsid w:val="002971EE"/>
    <w:rsid w:val="00297651"/>
    <w:rsid w:val="00297C40"/>
    <w:rsid w:val="002A0246"/>
    <w:rsid w:val="002A08B9"/>
    <w:rsid w:val="002A0A86"/>
    <w:rsid w:val="002A0BDA"/>
    <w:rsid w:val="002A0C47"/>
    <w:rsid w:val="002A0D2B"/>
    <w:rsid w:val="002A129C"/>
    <w:rsid w:val="002A1AB2"/>
    <w:rsid w:val="002A2474"/>
    <w:rsid w:val="002A2E17"/>
    <w:rsid w:val="002A3036"/>
    <w:rsid w:val="002A332A"/>
    <w:rsid w:val="002A38E5"/>
    <w:rsid w:val="002A3E87"/>
    <w:rsid w:val="002A423C"/>
    <w:rsid w:val="002A441D"/>
    <w:rsid w:val="002A478F"/>
    <w:rsid w:val="002A4C23"/>
    <w:rsid w:val="002A4E1A"/>
    <w:rsid w:val="002A4FE1"/>
    <w:rsid w:val="002A518A"/>
    <w:rsid w:val="002A56A8"/>
    <w:rsid w:val="002A56F8"/>
    <w:rsid w:val="002A6011"/>
    <w:rsid w:val="002A641F"/>
    <w:rsid w:val="002A6EF0"/>
    <w:rsid w:val="002A72B8"/>
    <w:rsid w:val="002A7495"/>
    <w:rsid w:val="002A78B7"/>
    <w:rsid w:val="002A7B5A"/>
    <w:rsid w:val="002B02F7"/>
    <w:rsid w:val="002B0495"/>
    <w:rsid w:val="002B09F8"/>
    <w:rsid w:val="002B1865"/>
    <w:rsid w:val="002B1B4E"/>
    <w:rsid w:val="002B1DC9"/>
    <w:rsid w:val="002B1F15"/>
    <w:rsid w:val="002B1F1B"/>
    <w:rsid w:val="002B1FE5"/>
    <w:rsid w:val="002B20DD"/>
    <w:rsid w:val="002B2307"/>
    <w:rsid w:val="002B2327"/>
    <w:rsid w:val="002B24DF"/>
    <w:rsid w:val="002B2867"/>
    <w:rsid w:val="002B2B08"/>
    <w:rsid w:val="002B3762"/>
    <w:rsid w:val="002B3FCA"/>
    <w:rsid w:val="002B421B"/>
    <w:rsid w:val="002B4B1A"/>
    <w:rsid w:val="002B50F0"/>
    <w:rsid w:val="002B5173"/>
    <w:rsid w:val="002B52AB"/>
    <w:rsid w:val="002B5341"/>
    <w:rsid w:val="002B5540"/>
    <w:rsid w:val="002B5909"/>
    <w:rsid w:val="002B5DF5"/>
    <w:rsid w:val="002B5E35"/>
    <w:rsid w:val="002B5E84"/>
    <w:rsid w:val="002B60DF"/>
    <w:rsid w:val="002B637B"/>
    <w:rsid w:val="002B7153"/>
    <w:rsid w:val="002B745D"/>
    <w:rsid w:val="002B74F6"/>
    <w:rsid w:val="002C06AC"/>
    <w:rsid w:val="002C127A"/>
    <w:rsid w:val="002C14F1"/>
    <w:rsid w:val="002C1952"/>
    <w:rsid w:val="002C2195"/>
    <w:rsid w:val="002C2316"/>
    <w:rsid w:val="002C2BC7"/>
    <w:rsid w:val="002C4962"/>
    <w:rsid w:val="002C4B63"/>
    <w:rsid w:val="002C4F73"/>
    <w:rsid w:val="002C4FC5"/>
    <w:rsid w:val="002C5167"/>
    <w:rsid w:val="002C51AF"/>
    <w:rsid w:val="002C51E3"/>
    <w:rsid w:val="002C524E"/>
    <w:rsid w:val="002C5720"/>
    <w:rsid w:val="002C5CE7"/>
    <w:rsid w:val="002C6E39"/>
    <w:rsid w:val="002C6E69"/>
    <w:rsid w:val="002C733C"/>
    <w:rsid w:val="002C747C"/>
    <w:rsid w:val="002C7728"/>
    <w:rsid w:val="002D1091"/>
    <w:rsid w:val="002D11AF"/>
    <w:rsid w:val="002D2732"/>
    <w:rsid w:val="002D2738"/>
    <w:rsid w:val="002D2939"/>
    <w:rsid w:val="002D2A2D"/>
    <w:rsid w:val="002D2A92"/>
    <w:rsid w:val="002D2D30"/>
    <w:rsid w:val="002D31B8"/>
    <w:rsid w:val="002D387C"/>
    <w:rsid w:val="002D4142"/>
    <w:rsid w:val="002D4637"/>
    <w:rsid w:val="002D49EE"/>
    <w:rsid w:val="002D4A6D"/>
    <w:rsid w:val="002D4C3F"/>
    <w:rsid w:val="002D5976"/>
    <w:rsid w:val="002D5A0A"/>
    <w:rsid w:val="002D5BA2"/>
    <w:rsid w:val="002D631B"/>
    <w:rsid w:val="002D6836"/>
    <w:rsid w:val="002D6B84"/>
    <w:rsid w:val="002D6D2E"/>
    <w:rsid w:val="002D7E91"/>
    <w:rsid w:val="002E00D8"/>
    <w:rsid w:val="002E0284"/>
    <w:rsid w:val="002E0748"/>
    <w:rsid w:val="002E0BDA"/>
    <w:rsid w:val="002E0D6E"/>
    <w:rsid w:val="002E0DD5"/>
    <w:rsid w:val="002E0EC4"/>
    <w:rsid w:val="002E1672"/>
    <w:rsid w:val="002E1EF0"/>
    <w:rsid w:val="002E22CE"/>
    <w:rsid w:val="002E2922"/>
    <w:rsid w:val="002E30E1"/>
    <w:rsid w:val="002E3506"/>
    <w:rsid w:val="002E3752"/>
    <w:rsid w:val="002E3A28"/>
    <w:rsid w:val="002E3A72"/>
    <w:rsid w:val="002E4674"/>
    <w:rsid w:val="002E4E06"/>
    <w:rsid w:val="002E5613"/>
    <w:rsid w:val="002E5624"/>
    <w:rsid w:val="002E5A10"/>
    <w:rsid w:val="002E5BF0"/>
    <w:rsid w:val="002E5E85"/>
    <w:rsid w:val="002E5EC2"/>
    <w:rsid w:val="002E5F11"/>
    <w:rsid w:val="002E626C"/>
    <w:rsid w:val="002E65A5"/>
    <w:rsid w:val="002E6D75"/>
    <w:rsid w:val="002E6E5B"/>
    <w:rsid w:val="002E7B96"/>
    <w:rsid w:val="002E7F6F"/>
    <w:rsid w:val="002F1514"/>
    <w:rsid w:val="002F1B9C"/>
    <w:rsid w:val="002F21B2"/>
    <w:rsid w:val="002F25A8"/>
    <w:rsid w:val="002F26FC"/>
    <w:rsid w:val="002F27D2"/>
    <w:rsid w:val="002F3018"/>
    <w:rsid w:val="002F32B2"/>
    <w:rsid w:val="002F34D8"/>
    <w:rsid w:val="002F3650"/>
    <w:rsid w:val="002F382D"/>
    <w:rsid w:val="002F394A"/>
    <w:rsid w:val="002F3CA1"/>
    <w:rsid w:val="002F400C"/>
    <w:rsid w:val="002F408E"/>
    <w:rsid w:val="002F4250"/>
    <w:rsid w:val="002F4674"/>
    <w:rsid w:val="002F49D7"/>
    <w:rsid w:val="002F4E31"/>
    <w:rsid w:val="002F51CC"/>
    <w:rsid w:val="002F5675"/>
    <w:rsid w:val="002F59D6"/>
    <w:rsid w:val="002F5AA3"/>
    <w:rsid w:val="002F72BA"/>
    <w:rsid w:val="002F7529"/>
    <w:rsid w:val="002F752C"/>
    <w:rsid w:val="002F756E"/>
    <w:rsid w:val="002F7626"/>
    <w:rsid w:val="002F7811"/>
    <w:rsid w:val="002F7A6B"/>
    <w:rsid w:val="0030012D"/>
    <w:rsid w:val="0030033A"/>
    <w:rsid w:val="0030044D"/>
    <w:rsid w:val="003005BD"/>
    <w:rsid w:val="0030061C"/>
    <w:rsid w:val="00300CB1"/>
    <w:rsid w:val="0030136D"/>
    <w:rsid w:val="00301416"/>
    <w:rsid w:val="003019D8"/>
    <w:rsid w:val="003021B5"/>
    <w:rsid w:val="00302A6F"/>
    <w:rsid w:val="00302ED5"/>
    <w:rsid w:val="003031F4"/>
    <w:rsid w:val="0030369D"/>
    <w:rsid w:val="00303794"/>
    <w:rsid w:val="003047B3"/>
    <w:rsid w:val="00304E20"/>
    <w:rsid w:val="00304E41"/>
    <w:rsid w:val="00305547"/>
    <w:rsid w:val="003061CF"/>
    <w:rsid w:val="00306434"/>
    <w:rsid w:val="00306A8E"/>
    <w:rsid w:val="00306DF1"/>
    <w:rsid w:val="00306F6F"/>
    <w:rsid w:val="003072C3"/>
    <w:rsid w:val="0030732F"/>
    <w:rsid w:val="0030744E"/>
    <w:rsid w:val="00307894"/>
    <w:rsid w:val="00307CCD"/>
    <w:rsid w:val="003100F3"/>
    <w:rsid w:val="0031034C"/>
    <w:rsid w:val="0031093B"/>
    <w:rsid w:val="00311034"/>
    <w:rsid w:val="0031117C"/>
    <w:rsid w:val="0031142B"/>
    <w:rsid w:val="00311877"/>
    <w:rsid w:val="00311D12"/>
    <w:rsid w:val="00312128"/>
    <w:rsid w:val="0031240B"/>
    <w:rsid w:val="003125DD"/>
    <w:rsid w:val="003128DE"/>
    <w:rsid w:val="0031397B"/>
    <w:rsid w:val="00313C3B"/>
    <w:rsid w:val="00314006"/>
    <w:rsid w:val="00314337"/>
    <w:rsid w:val="00314E6D"/>
    <w:rsid w:val="0031545A"/>
    <w:rsid w:val="00315D65"/>
    <w:rsid w:val="00316332"/>
    <w:rsid w:val="0031658C"/>
    <w:rsid w:val="00317738"/>
    <w:rsid w:val="0031776E"/>
    <w:rsid w:val="00317A4C"/>
    <w:rsid w:val="00320A1F"/>
    <w:rsid w:val="00320B40"/>
    <w:rsid w:val="00320F91"/>
    <w:rsid w:val="00321025"/>
    <w:rsid w:val="0032109F"/>
    <w:rsid w:val="00321586"/>
    <w:rsid w:val="00321954"/>
    <w:rsid w:val="00321AC4"/>
    <w:rsid w:val="00321DE8"/>
    <w:rsid w:val="00321E00"/>
    <w:rsid w:val="00322083"/>
    <w:rsid w:val="003223C9"/>
    <w:rsid w:val="00322619"/>
    <w:rsid w:val="00322623"/>
    <w:rsid w:val="00322F1E"/>
    <w:rsid w:val="00322F5E"/>
    <w:rsid w:val="00323190"/>
    <w:rsid w:val="00323B98"/>
    <w:rsid w:val="003241FB"/>
    <w:rsid w:val="00324A26"/>
    <w:rsid w:val="00324DFC"/>
    <w:rsid w:val="003251AA"/>
    <w:rsid w:val="00325289"/>
    <w:rsid w:val="00326465"/>
    <w:rsid w:val="0032649F"/>
    <w:rsid w:val="00326830"/>
    <w:rsid w:val="00326BB3"/>
    <w:rsid w:val="00327318"/>
    <w:rsid w:val="00330087"/>
    <w:rsid w:val="00330345"/>
    <w:rsid w:val="0033092D"/>
    <w:rsid w:val="00331FD1"/>
    <w:rsid w:val="003332C4"/>
    <w:rsid w:val="003332E3"/>
    <w:rsid w:val="0033384B"/>
    <w:rsid w:val="00333AEA"/>
    <w:rsid w:val="00334555"/>
    <w:rsid w:val="00334589"/>
    <w:rsid w:val="003349CF"/>
    <w:rsid w:val="00334BE4"/>
    <w:rsid w:val="00335357"/>
    <w:rsid w:val="0033546C"/>
    <w:rsid w:val="00336635"/>
    <w:rsid w:val="003366F0"/>
    <w:rsid w:val="00336E80"/>
    <w:rsid w:val="00337338"/>
    <w:rsid w:val="00337779"/>
    <w:rsid w:val="00337A3D"/>
    <w:rsid w:val="00337D02"/>
    <w:rsid w:val="00337DD8"/>
    <w:rsid w:val="0034038A"/>
    <w:rsid w:val="003405BA"/>
    <w:rsid w:val="003405C4"/>
    <w:rsid w:val="003413C4"/>
    <w:rsid w:val="00341516"/>
    <w:rsid w:val="00341685"/>
    <w:rsid w:val="00341748"/>
    <w:rsid w:val="00341824"/>
    <w:rsid w:val="00341845"/>
    <w:rsid w:val="00342984"/>
    <w:rsid w:val="00342D26"/>
    <w:rsid w:val="00342F4C"/>
    <w:rsid w:val="00343C0B"/>
    <w:rsid w:val="0034406E"/>
    <w:rsid w:val="00344124"/>
    <w:rsid w:val="003442C9"/>
    <w:rsid w:val="003445E4"/>
    <w:rsid w:val="00344635"/>
    <w:rsid w:val="00344726"/>
    <w:rsid w:val="0034528A"/>
    <w:rsid w:val="0034550A"/>
    <w:rsid w:val="00345A4A"/>
    <w:rsid w:val="00345F5B"/>
    <w:rsid w:val="003460E6"/>
    <w:rsid w:val="003465B3"/>
    <w:rsid w:val="00346EDC"/>
    <w:rsid w:val="00347053"/>
    <w:rsid w:val="003472C0"/>
    <w:rsid w:val="003474FD"/>
    <w:rsid w:val="003478B0"/>
    <w:rsid w:val="003479FD"/>
    <w:rsid w:val="00347D03"/>
    <w:rsid w:val="00347EF8"/>
    <w:rsid w:val="0035094D"/>
    <w:rsid w:val="003518A8"/>
    <w:rsid w:val="00351B4E"/>
    <w:rsid w:val="003526F2"/>
    <w:rsid w:val="00352CDA"/>
    <w:rsid w:val="00352F34"/>
    <w:rsid w:val="00353081"/>
    <w:rsid w:val="003534CF"/>
    <w:rsid w:val="003538EF"/>
    <w:rsid w:val="003542C1"/>
    <w:rsid w:val="003542F4"/>
    <w:rsid w:val="003548DF"/>
    <w:rsid w:val="00354903"/>
    <w:rsid w:val="0035533B"/>
    <w:rsid w:val="0035568C"/>
    <w:rsid w:val="00355974"/>
    <w:rsid w:val="0035599A"/>
    <w:rsid w:val="00356502"/>
    <w:rsid w:val="00357FE7"/>
    <w:rsid w:val="00360273"/>
    <w:rsid w:val="00360331"/>
    <w:rsid w:val="003606F3"/>
    <w:rsid w:val="00360D9A"/>
    <w:rsid w:val="00360E67"/>
    <w:rsid w:val="00360F2B"/>
    <w:rsid w:val="00361299"/>
    <w:rsid w:val="0036164B"/>
    <w:rsid w:val="00361702"/>
    <w:rsid w:val="0036186D"/>
    <w:rsid w:val="00361882"/>
    <w:rsid w:val="003618C1"/>
    <w:rsid w:val="003619C2"/>
    <w:rsid w:val="00361B48"/>
    <w:rsid w:val="003621C7"/>
    <w:rsid w:val="003622DD"/>
    <w:rsid w:val="00362E8B"/>
    <w:rsid w:val="00363235"/>
    <w:rsid w:val="003633AF"/>
    <w:rsid w:val="0036360A"/>
    <w:rsid w:val="00363944"/>
    <w:rsid w:val="00364915"/>
    <w:rsid w:val="00364D4A"/>
    <w:rsid w:val="00364F06"/>
    <w:rsid w:val="00365BCA"/>
    <w:rsid w:val="0036601D"/>
    <w:rsid w:val="003663C2"/>
    <w:rsid w:val="00366586"/>
    <w:rsid w:val="00366F86"/>
    <w:rsid w:val="003670F9"/>
    <w:rsid w:val="003674BE"/>
    <w:rsid w:val="0036763B"/>
    <w:rsid w:val="00367DDB"/>
    <w:rsid w:val="00367E76"/>
    <w:rsid w:val="0037069E"/>
    <w:rsid w:val="003718CA"/>
    <w:rsid w:val="003719A8"/>
    <w:rsid w:val="003723C4"/>
    <w:rsid w:val="003738A4"/>
    <w:rsid w:val="0037452F"/>
    <w:rsid w:val="003747BD"/>
    <w:rsid w:val="0037488E"/>
    <w:rsid w:val="0037488F"/>
    <w:rsid w:val="00374ABA"/>
    <w:rsid w:val="00374B1E"/>
    <w:rsid w:val="00375657"/>
    <w:rsid w:val="00375765"/>
    <w:rsid w:val="003758CD"/>
    <w:rsid w:val="00375D46"/>
    <w:rsid w:val="00380106"/>
    <w:rsid w:val="0038047D"/>
    <w:rsid w:val="00380730"/>
    <w:rsid w:val="00381295"/>
    <w:rsid w:val="003814A7"/>
    <w:rsid w:val="0038183E"/>
    <w:rsid w:val="00381946"/>
    <w:rsid w:val="00382CB4"/>
    <w:rsid w:val="00383147"/>
    <w:rsid w:val="003834D1"/>
    <w:rsid w:val="003841D8"/>
    <w:rsid w:val="003846C9"/>
    <w:rsid w:val="003856EC"/>
    <w:rsid w:val="0038603C"/>
    <w:rsid w:val="00386188"/>
    <w:rsid w:val="003868B8"/>
    <w:rsid w:val="00390532"/>
    <w:rsid w:val="0039070C"/>
    <w:rsid w:val="00390C65"/>
    <w:rsid w:val="00391022"/>
    <w:rsid w:val="0039152E"/>
    <w:rsid w:val="0039256D"/>
    <w:rsid w:val="00392DB3"/>
    <w:rsid w:val="00393E68"/>
    <w:rsid w:val="00393FD2"/>
    <w:rsid w:val="003942B3"/>
    <w:rsid w:val="0039448A"/>
    <w:rsid w:val="003944E8"/>
    <w:rsid w:val="00395146"/>
    <w:rsid w:val="00395317"/>
    <w:rsid w:val="00395474"/>
    <w:rsid w:val="003957F5"/>
    <w:rsid w:val="0039582C"/>
    <w:rsid w:val="00396709"/>
    <w:rsid w:val="003977B5"/>
    <w:rsid w:val="00397E3F"/>
    <w:rsid w:val="003A01CA"/>
    <w:rsid w:val="003A065C"/>
    <w:rsid w:val="003A0B69"/>
    <w:rsid w:val="003A177C"/>
    <w:rsid w:val="003A1D06"/>
    <w:rsid w:val="003A240F"/>
    <w:rsid w:val="003A2DD4"/>
    <w:rsid w:val="003A3643"/>
    <w:rsid w:val="003A420B"/>
    <w:rsid w:val="003A4353"/>
    <w:rsid w:val="003A4626"/>
    <w:rsid w:val="003A4FD1"/>
    <w:rsid w:val="003A51CC"/>
    <w:rsid w:val="003A58C3"/>
    <w:rsid w:val="003A5938"/>
    <w:rsid w:val="003A6184"/>
    <w:rsid w:val="003A6270"/>
    <w:rsid w:val="003A67D3"/>
    <w:rsid w:val="003A72EC"/>
    <w:rsid w:val="003A7678"/>
    <w:rsid w:val="003B0279"/>
    <w:rsid w:val="003B03C7"/>
    <w:rsid w:val="003B067D"/>
    <w:rsid w:val="003B0FA7"/>
    <w:rsid w:val="003B17E8"/>
    <w:rsid w:val="003B17FF"/>
    <w:rsid w:val="003B1896"/>
    <w:rsid w:val="003B19EF"/>
    <w:rsid w:val="003B1C86"/>
    <w:rsid w:val="003B1E8F"/>
    <w:rsid w:val="003B27FA"/>
    <w:rsid w:val="003B2855"/>
    <w:rsid w:val="003B2D48"/>
    <w:rsid w:val="003B2DC5"/>
    <w:rsid w:val="003B3526"/>
    <w:rsid w:val="003B354C"/>
    <w:rsid w:val="003B38C1"/>
    <w:rsid w:val="003B3AD7"/>
    <w:rsid w:val="003B3D77"/>
    <w:rsid w:val="003B3F62"/>
    <w:rsid w:val="003B487A"/>
    <w:rsid w:val="003B4C24"/>
    <w:rsid w:val="003B4D8D"/>
    <w:rsid w:val="003B4FE5"/>
    <w:rsid w:val="003B5B55"/>
    <w:rsid w:val="003B662E"/>
    <w:rsid w:val="003B7923"/>
    <w:rsid w:val="003B7933"/>
    <w:rsid w:val="003C04F1"/>
    <w:rsid w:val="003C05AF"/>
    <w:rsid w:val="003C0CC7"/>
    <w:rsid w:val="003C0D11"/>
    <w:rsid w:val="003C18E7"/>
    <w:rsid w:val="003C19BA"/>
    <w:rsid w:val="003C1F5F"/>
    <w:rsid w:val="003C1FC8"/>
    <w:rsid w:val="003C20EA"/>
    <w:rsid w:val="003C2301"/>
    <w:rsid w:val="003C2584"/>
    <w:rsid w:val="003C26AF"/>
    <w:rsid w:val="003C2CC4"/>
    <w:rsid w:val="003C306B"/>
    <w:rsid w:val="003C327C"/>
    <w:rsid w:val="003C3DCA"/>
    <w:rsid w:val="003C450E"/>
    <w:rsid w:val="003C45F2"/>
    <w:rsid w:val="003C4818"/>
    <w:rsid w:val="003C541E"/>
    <w:rsid w:val="003C57BC"/>
    <w:rsid w:val="003C5854"/>
    <w:rsid w:val="003C5A2F"/>
    <w:rsid w:val="003C5D43"/>
    <w:rsid w:val="003C657C"/>
    <w:rsid w:val="003C6D0B"/>
    <w:rsid w:val="003C6DCE"/>
    <w:rsid w:val="003C7D16"/>
    <w:rsid w:val="003C7F5D"/>
    <w:rsid w:val="003D0129"/>
    <w:rsid w:val="003D04B3"/>
    <w:rsid w:val="003D0CC3"/>
    <w:rsid w:val="003D1128"/>
    <w:rsid w:val="003D1495"/>
    <w:rsid w:val="003D18AE"/>
    <w:rsid w:val="003D19F8"/>
    <w:rsid w:val="003D2120"/>
    <w:rsid w:val="003D271C"/>
    <w:rsid w:val="003D2828"/>
    <w:rsid w:val="003D35F7"/>
    <w:rsid w:val="003D363A"/>
    <w:rsid w:val="003D3830"/>
    <w:rsid w:val="003D39BC"/>
    <w:rsid w:val="003D4300"/>
    <w:rsid w:val="003D4473"/>
    <w:rsid w:val="003D4D62"/>
    <w:rsid w:val="003D4DCB"/>
    <w:rsid w:val="003D4DF2"/>
    <w:rsid w:val="003D4EA6"/>
    <w:rsid w:val="003D4F5B"/>
    <w:rsid w:val="003D552C"/>
    <w:rsid w:val="003D571D"/>
    <w:rsid w:val="003D5A8D"/>
    <w:rsid w:val="003D5D37"/>
    <w:rsid w:val="003D5E24"/>
    <w:rsid w:val="003D5E8A"/>
    <w:rsid w:val="003D5ED3"/>
    <w:rsid w:val="003D628B"/>
    <w:rsid w:val="003D6E2D"/>
    <w:rsid w:val="003D6ED8"/>
    <w:rsid w:val="003D7F30"/>
    <w:rsid w:val="003E0078"/>
    <w:rsid w:val="003E067B"/>
    <w:rsid w:val="003E111B"/>
    <w:rsid w:val="003E15E7"/>
    <w:rsid w:val="003E1628"/>
    <w:rsid w:val="003E162A"/>
    <w:rsid w:val="003E224D"/>
    <w:rsid w:val="003E2667"/>
    <w:rsid w:val="003E27F5"/>
    <w:rsid w:val="003E2B1F"/>
    <w:rsid w:val="003E2B55"/>
    <w:rsid w:val="003E2D23"/>
    <w:rsid w:val="003E33E0"/>
    <w:rsid w:val="003E3D86"/>
    <w:rsid w:val="003E3E05"/>
    <w:rsid w:val="003E3F3A"/>
    <w:rsid w:val="003E4902"/>
    <w:rsid w:val="003E4B68"/>
    <w:rsid w:val="003E4F42"/>
    <w:rsid w:val="003E510B"/>
    <w:rsid w:val="003E581E"/>
    <w:rsid w:val="003E5AF8"/>
    <w:rsid w:val="003E5D83"/>
    <w:rsid w:val="003E66A0"/>
    <w:rsid w:val="003E68E7"/>
    <w:rsid w:val="003E6917"/>
    <w:rsid w:val="003E6CD9"/>
    <w:rsid w:val="003E6D4F"/>
    <w:rsid w:val="003E6E85"/>
    <w:rsid w:val="003E70B0"/>
    <w:rsid w:val="003E7502"/>
    <w:rsid w:val="003F00F5"/>
    <w:rsid w:val="003F0132"/>
    <w:rsid w:val="003F1345"/>
    <w:rsid w:val="003F16DA"/>
    <w:rsid w:val="003F260F"/>
    <w:rsid w:val="003F2B8D"/>
    <w:rsid w:val="003F2FD3"/>
    <w:rsid w:val="003F37EE"/>
    <w:rsid w:val="003F3AC4"/>
    <w:rsid w:val="003F4685"/>
    <w:rsid w:val="003F4A37"/>
    <w:rsid w:val="003F4E8E"/>
    <w:rsid w:val="003F4FC6"/>
    <w:rsid w:val="003F5704"/>
    <w:rsid w:val="003F5EB2"/>
    <w:rsid w:val="003F6B93"/>
    <w:rsid w:val="003F6E06"/>
    <w:rsid w:val="003F74CD"/>
    <w:rsid w:val="003F7840"/>
    <w:rsid w:val="003F7E7B"/>
    <w:rsid w:val="003F7ED0"/>
    <w:rsid w:val="003F7FB3"/>
    <w:rsid w:val="004000AE"/>
    <w:rsid w:val="00400DF1"/>
    <w:rsid w:val="00400F56"/>
    <w:rsid w:val="00400FA0"/>
    <w:rsid w:val="00401AB6"/>
    <w:rsid w:val="00402817"/>
    <w:rsid w:val="00402BCF"/>
    <w:rsid w:val="00402FAA"/>
    <w:rsid w:val="00403527"/>
    <w:rsid w:val="004040DD"/>
    <w:rsid w:val="004042DE"/>
    <w:rsid w:val="00404646"/>
    <w:rsid w:val="0040518B"/>
    <w:rsid w:val="00405E62"/>
    <w:rsid w:val="00405EF8"/>
    <w:rsid w:val="00406C20"/>
    <w:rsid w:val="004072ED"/>
    <w:rsid w:val="004100DF"/>
    <w:rsid w:val="004104A1"/>
    <w:rsid w:val="00411244"/>
    <w:rsid w:val="004115E9"/>
    <w:rsid w:val="00411D4C"/>
    <w:rsid w:val="00411E04"/>
    <w:rsid w:val="004124AF"/>
    <w:rsid w:val="004128C2"/>
    <w:rsid w:val="004129AB"/>
    <w:rsid w:val="0041324B"/>
    <w:rsid w:val="00413976"/>
    <w:rsid w:val="00413AA7"/>
    <w:rsid w:val="00413B8F"/>
    <w:rsid w:val="00413D20"/>
    <w:rsid w:val="0041422C"/>
    <w:rsid w:val="004143A6"/>
    <w:rsid w:val="0041451F"/>
    <w:rsid w:val="00414ABB"/>
    <w:rsid w:val="00415111"/>
    <w:rsid w:val="004151A6"/>
    <w:rsid w:val="00416BC0"/>
    <w:rsid w:val="00416FE6"/>
    <w:rsid w:val="0041704C"/>
    <w:rsid w:val="00417094"/>
    <w:rsid w:val="004178D5"/>
    <w:rsid w:val="00420793"/>
    <w:rsid w:val="004211BA"/>
    <w:rsid w:val="0042125E"/>
    <w:rsid w:val="0042149C"/>
    <w:rsid w:val="00421AA7"/>
    <w:rsid w:val="00421DFA"/>
    <w:rsid w:val="00422373"/>
    <w:rsid w:val="0042256A"/>
    <w:rsid w:val="00422BFD"/>
    <w:rsid w:val="00422F36"/>
    <w:rsid w:val="004236FF"/>
    <w:rsid w:val="00423D6A"/>
    <w:rsid w:val="00423DCF"/>
    <w:rsid w:val="0042508F"/>
    <w:rsid w:val="004250CC"/>
    <w:rsid w:val="004253D1"/>
    <w:rsid w:val="0042570F"/>
    <w:rsid w:val="004258D4"/>
    <w:rsid w:val="0042645B"/>
    <w:rsid w:val="0042698D"/>
    <w:rsid w:val="00426A18"/>
    <w:rsid w:val="00426A5E"/>
    <w:rsid w:val="00426D47"/>
    <w:rsid w:val="00427855"/>
    <w:rsid w:val="004278AA"/>
    <w:rsid w:val="00427D72"/>
    <w:rsid w:val="00430008"/>
    <w:rsid w:val="00430C40"/>
    <w:rsid w:val="00431F8E"/>
    <w:rsid w:val="00431FFE"/>
    <w:rsid w:val="0043236C"/>
    <w:rsid w:val="00432860"/>
    <w:rsid w:val="004331DF"/>
    <w:rsid w:val="004333C1"/>
    <w:rsid w:val="004333EE"/>
    <w:rsid w:val="004336A5"/>
    <w:rsid w:val="00433CF1"/>
    <w:rsid w:val="00435903"/>
    <w:rsid w:val="00435C88"/>
    <w:rsid w:val="00436954"/>
    <w:rsid w:val="004369FB"/>
    <w:rsid w:val="00436AD8"/>
    <w:rsid w:val="00437CCD"/>
    <w:rsid w:val="0044032E"/>
    <w:rsid w:val="0044078F"/>
    <w:rsid w:val="00440808"/>
    <w:rsid w:val="004410C5"/>
    <w:rsid w:val="004411B7"/>
    <w:rsid w:val="00441A93"/>
    <w:rsid w:val="00442F7D"/>
    <w:rsid w:val="004430D5"/>
    <w:rsid w:val="00443C1E"/>
    <w:rsid w:val="0044430C"/>
    <w:rsid w:val="00444BC4"/>
    <w:rsid w:val="00444E71"/>
    <w:rsid w:val="00445410"/>
    <w:rsid w:val="0044578C"/>
    <w:rsid w:val="004465C1"/>
    <w:rsid w:val="00446820"/>
    <w:rsid w:val="00447396"/>
    <w:rsid w:val="0044745A"/>
    <w:rsid w:val="00447669"/>
    <w:rsid w:val="0044782F"/>
    <w:rsid w:val="004479F6"/>
    <w:rsid w:val="00447FE2"/>
    <w:rsid w:val="00450860"/>
    <w:rsid w:val="004508C5"/>
    <w:rsid w:val="00450A17"/>
    <w:rsid w:val="00450B06"/>
    <w:rsid w:val="00450C67"/>
    <w:rsid w:val="004511D0"/>
    <w:rsid w:val="004518A0"/>
    <w:rsid w:val="00451D3C"/>
    <w:rsid w:val="00452DA6"/>
    <w:rsid w:val="00453533"/>
    <w:rsid w:val="004536AF"/>
    <w:rsid w:val="00453E69"/>
    <w:rsid w:val="004544C8"/>
    <w:rsid w:val="004545D7"/>
    <w:rsid w:val="00454709"/>
    <w:rsid w:val="00454A77"/>
    <w:rsid w:val="00454B84"/>
    <w:rsid w:val="0045552C"/>
    <w:rsid w:val="00455813"/>
    <w:rsid w:val="004559A8"/>
    <w:rsid w:val="00455A69"/>
    <w:rsid w:val="00455BB7"/>
    <w:rsid w:val="00455D9E"/>
    <w:rsid w:val="004562B6"/>
    <w:rsid w:val="00456538"/>
    <w:rsid w:val="00456B2F"/>
    <w:rsid w:val="0045754F"/>
    <w:rsid w:val="0045761F"/>
    <w:rsid w:val="00460415"/>
    <w:rsid w:val="00460812"/>
    <w:rsid w:val="00460E1A"/>
    <w:rsid w:val="00461763"/>
    <w:rsid w:val="00461933"/>
    <w:rsid w:val="00461C68"/>
    <w:rsid w:val="00461DC3"/>
    <w:rsid w:val="004623B2"/>
    <w:rsid w:val="00463542"/>
    <w:rsid w:val="00463DE2"/>
    <w:rsid w:val="00464270"/>
    <w:rsid w:val="00464746"/>
    <w:rsid w:val="0046480A"/>
    <w:rsid w:val="00464D00"/>
    <w:rsid w:val="0046504C"/>
    <w:rsid w:val="00465672"/>
    <w:rsid w:val="004656C0"/>
    <w:rsid w:val="00465ABC"/>
    <w:rsid w:val="0046604E"/>
    <w:rsid w:val="00466378"/>
    <w:rsid w:val="004668D0"/>
    <w:rsid w:val="00466A76"/>
    <w:rsid w:val="00466D48"/>
    <w:rsid w:val="0046708B"/>
    <w:rsid w:val="004672DE"/>
    <w:rsid w:val="004672F9"/>
    <w:rsid w:val="00467585"/>
    <w:rsid w:val="00467A2A"/>
    <w:rsid w:val="00467BB6"/>
    <w:rsid w:val="0047035C"/>
    <w:rsid w:val="00470958"/>
    <w:rsid w:val="004710EE"/>
    <w:rsid w:val="00471373"/>
    <w:rsid w:val="00471686"/>
    <w:rsid w:val="0047217C"/>
    <w:rsid w:val="004723E6"/>
    <w:rsid w:val="00473737"/>
    <w:rsid w:val="004739CC"/>
    <w:rsid w:val="00473CEC"/>
    <w:rsid w:val="00475E1A"/>
    <w:rsid w:val="004761E0"/>
    <w:rsid w:val="00476A05"/>
    <w:rsid w:val="00477D57"/>
    <w:rsid w:val="0048002C"/>
    <w:rsid w:val="004800AF"/>
    <w:rsid w:val="0048029E"/>
    <w:rsid w:val="0048069A"/>
    <w:rsid w:val="00481116"/>
    <w:rsid w:val="00481719"/>
    <w:rsid w:val="0048193A"/>
    <w:rsid w:val="00481F2D"/>
    <w:rsid w:val="00481F9C"/>
    <w:rsid w:val="004831C0"/>
    <w:rsid w:val="00483576"/>
    <w:rsid w:val="0048378A"/>
    <w:rsid w:val="00484617"/>
    <w:rsid w:val="004846E3"/>
    <w:rsid w:val="00484CE2"/>
    <w:rsid w:val="00485049"/>
    <w:rsid w:val="0048547E"/>
    <w:rsid w:val="0048549E"/>
    <w:rsid w:val="00485E05"/>
    <w:rsid w:val="00486436"/>
    <w:rsid w:val="004866D6"/>
    <w:rsid w:val="00486BB7"/>
    <w:rsid w:val="00486E76"/>
    <w:rsid w:val="00487410"/>
    <w:rsid w:val="00487750"/>
    <w:rsid w:val="00487B68"/>
    <w:rsid w:val="00487B71"/>
    <w:rsid w:val="00487E66"/>
    <w:rsid w:val="00490568"/>
    <w:rsid w:val="00490648"/>
    <w:rsid w:val="00490A0B"/>
    <w:rsid w:val="0049127E"/>
    <w:rsid w:val="004913C4"/>
    <w:rsid w:val="00491D1C"/>
    <w:rsid w:val="004926D3"/>
    <w:rsid w:val="00492706"/>
    <w:rsid w:val="00492A3F"/>
    <w:rsid w:val="00492BE7"/>
    <w:rsid w:val="0049319C"/>
    <w:rsid w:val="00493A85"/>
    <w:rsid w:val="00494237"/>
    <w:rsid w:val="0049514D"/>
    <w:rsid w:val="004959A5"/>
    <w:rsid w:val="00496308"/>
    <w:rsid w:val="00496647"/>
    <w:rsid w:val="00496DD1"/>
    <w:rsid w:val="004971CE"/>
    <w:rsid w:val="004976C9"/>
    <w:rsid w:val="00497A0B"/>
    <w:rsid w:val="004A0965"/>
    <w:rsid w:val="004A09EB"/>
    <w:rsid w:val="004A1056"/>
    <w:rsid w:val="004A17E9"/>
    <w:rsid w:val="004A1CC7"/>
    <w:rsid w:val="004A20D5"/>
    <w:rsid w:val="004A22F6"/>
    <w:rsid w:val="004A23D9"/>
    <w:rsid w:val="004A2648"/>
    <w:rsid w:val="004A2FDD"/>
    <w:rsid w:val="004A377B"/>
    <w:rsid w:val="004A3F58"/>
    <w:rsid w:val="004A422A"/>
    <w:rsid w:val="004A43C7"/>
    <w:rsid w:val="004A4693"/>
    <w:rsid w:val="004A4952"/>
    <w:rsid w:val="004A50F4"/>
    <w:rsid w:val="004A5237"/>
    <w:rsid w:val="004A5330"/>
    <w:rsid w:val="004A5758"/>
    <w:rsid w:val="004A5C6F"/>
    <w:rsid w:val="004A5CED"/>
    <w:rsid w:val="004A5CF7"/>
    <w:rsid w:val="004A6782"/>
    <w:rsid w:val="004A6EE7"/>
    <w:rsid w:val="004A76A2"/>
    <w:rsid w:val="004A7E49"/>
    <w:rsid w:val="004B07A5"/>
    <w:rsid w:val="004B0A75"/>
    <w:rsid w:val="004B1536"/>
    <w:rsid w:val="004B1AF3"/>
    <w:rsid w:val="004B1D5A"/>
    <w:rsid w:val="004B2417"/>
    <w:rsid w:val="004B269D"/>
    <w:rsid w:val="004B2983"/>
    <w:rsid w:val="004B2CB2"/>
    <w:rsid w:val="004B317A"/>
    <w:rsid w:val="004B34DC"/>
    <w:rsid w:val="004B3DBA"/>
    <w:rsid w:val="004B41B1"/>
    <w:rsid w:val="004B48BA"/>
    <w:rsid w:val="004B4B4C"/>
    <w:rsid w:val="004B5162"/>
    <w:rsid w:val="004B542C"/>
    <w:rsid w:val="004B5695"/>
    <w:rsid w:val="004B58B6"/>
    <w:rsid w:val="004B6997"/>
    <w:rsid w:val="004B6B88"/>
    <w:rsid w:val="004B75F7"/>
    <w:rsid w:val="004B7980"/>
    <w:rsid w:val="004B7C14"/>
    <w:rsid w:val="004B7CCC"/>
    <w:rsid w:val="004C020B"/>
    <w:rsid w:val="004C0437"/>
    <w:rsid w:val="004C05F3"/>
    <w:rsid w:val="004C0B8D"/>
    <w:rsid w:val="004C2302"/>
    <w:rsid w:val="004C2A9B"/>
    <w:rsid w:val="004C2FB4"/>
    <w:rsid w:val="004C3713"/>
    <w:rsid w:val="004C37CE"/>
    <w:rsid w:val="004C3F22"/>
    <w:rsid w:val="004C433C"/>
    <w:rsid w:val="004C4CAE"/>
    <w:rsid w:val="004C4EEC"/>
    <w:rsid w:val="004C500D"/>
    <w:rsid w:val="004C5210"/>
    <w:rsid w:val="004C5278"/>
    <w:rsid w:val="004C5564"/>
    <w:rsid w:val="004C563F"/>
    <w:rsid w:val="004C5CE3"/>
    <w:rsid w:val="004C6AA7"/>
    <w:rsid w:val="004C7ABE"/>
    <w:rsid w:val="004C7E68"/>
    <w:rsid w:val="004D03E9"/>
    <w:rsid w:val="004D07B2"/>
    <w:rsid w:val="004D0D86"/>
    <w:rsid w:val="004D17E7"/>
    <w:rsid w:val="004D1B93"/>
    <w:rsid w:val="004D1EBB"/>
    <w:rsid w:val="004D1EBE"/>
    <w:rsid w:val="004D277E"/>
    <w:rsid w:val="004D2E44"/>
    <w:rsid w:val="004D3277"/>
    <w:rsid w:val="004D33AA"/>
    <w:rsid w:val="004D394A"/>
    <w:rsid w:val="004D3A1D"/>
    <w:rsid w:val="004D4099"/>
    <w:rsid w:val="004D412C"/>
    <w:rsid w:val="004D4467"/>
    <w:rsid w:val="004D48CA"/>
    <w:rsid w:val="004D4B66"/>
    <w:rsid w:val="004D4BFE"/>
    <w:rsid w:val="004D4C97"/>
    <w:rsid w:val="004D5099"/>
    <w:rsid w:val="004D5340"/>
    <w:rsid w:val="004D5C44"/>
    <w:rsid w:val="004D5CEB"/>
    <w:rsid w:val="004D697A"/>
    <w:rsid w:val="004D7360"/>
    <w:rsid w:val="004D75FC"/>
    <w:rsid w:val="004D7624"/>
    <w:rsid w:val="004D7727"/>
    <w:rsid w:val="004E0356"/>
    <w:rsid w:val="004E0456"/>
    <w:rsid w:val="004E06E9"/>
    <w:rsid w:val="004E09F2"/>
    <w:rsid w:val="004E0C6D"/>
    <w:rsid w:val="004E0D6F"/>
    <w:rsid w:val="004E12F2"/>
    <w:rsid w:val="004E15BE"/>
    <w:rsid w:val="004E19CA"/>
    <w:rsid w:val="004E1E34"/>
    <w:rsid w:val="004E1E7B"/>
    <w:rsid w:val="004E220E"/>
    <w:rsid w:val="004E2DC7"/>
    <w:rsid w:val="004E2E1F"/>
    <w:rsid w:val="004E2F31"/>
    <w:rsid w:val="004E3905"/>
    <w:rsid w:val="004E3A59"/>
    <w:rsid w:val="004E3C86"/>
    <w:rsid w:val="004E427C"/>
    <w:rsid w:val="004E45BD"/>
    <w:rsid w:val="004E45D7"/>
    <w:rsid w:val="004E4779"/>
    <w:rsid w:val="004E4912"/>
    <w:rsid w:val="004E4A1E"/>
    <w:rsid w:val="004E4BE5"/>
    <w:rsid w:val="004E4C21"/>
    <w:rsid w:val="004E4FD4"/>
    <w:rsid w:val="004E509E"/>
    <w:rsid w:val="004E50B2"/>
    <w:rsid w:val="004E5A10"/>
    <w:rsid w:val="004E5C80"/>
    <w:rsid w:val="004E5FBF"/>
    <w:rsid w:val="004E6093"/>
    <w:rsid w:val="004E64AE"/>
    <w:rsid w:val="004E6E66"/>
    <w:rsid w:val="004E6F23"/>
    <w:rsid w:val="004E6F8C"/>
    <w:rsid w:val="004E71EF"/>
    <w:rsid w:val="004F0026"/>
    <w:rsid w:val="004F042C"/>
    <w:rsid w:val="004F0609"/>
    <w:rsid w:val="004F0719"/>
    <w:rsid w:val="004F09A4"/>
    <w:rsid w:val="004F0C9C"/>
    <w:rsid w:val="004F177D"/>
    <w:rsid w:val="004F179B"/>
    <w:rsid w:val="004F1D43"/>
    <w:rsid w:val="004F2654"/>
    <w:rsid w:val="004F2713"/>
    <w:rsid w:val="004F2842"/>
    <w:rsid w:val="004F2A33"/>
    <w:rsid w:val="004F3D81"/>
    <w:rsid w:val="004F420E"/>
    <w:rsid w:val="004F4236"/>
    <w:rsid w:val="004F427C"/>
    <w:rsid w:val="004F528B"/>
    <w:rsid w:val="004F5929"/>
    <w:rsid w:val="004F71AE"/>
    <w:rsid w:val="004F722F"/>
    <w:rsid w:val="004F7DDF"/>
    <w:rsid w:val="0050003D"/>
    <w:rsid w:val="00500322"/>
    <w:rsid w:val="00500C52"/>
    <w:rsid w:val="005010B8"/>
    <w:rsid w:val="005010BB"/>
    <w:rsid w:val="005010ED"/>
    <w:rsid w:val="00501143"/>
    <w:rsid w:val="005012FF"/>
    <w:rsid w:val="00501BFA"/>
    <w:rsid w:val="0050208A"/>
    <w:rsid w:val="00503039"/>
    <w:rsid w:val="00504615"/>
    <w:rsid w:val="0050473E"/>
    <w:rsid w:val="0050525F"/>
    <w:rsid w:val="00505411"/>
    <w:rsid w:val="00505ADB"/>
    <w:rsid w:val="00506624"/>
    <w:rsid w:val="005066ED"/>
    <w:rsid w:val="005069E4"/>
    <w:rsid w:val="00506FB8"/>
    <w:rsid w:val="005070EC"/>
    <w:rsid w:val="0050730E"/>
    <w:rsid w:val="00507356"/>
    <w:rsid w:val="00507ACB"/>
    <w:rsid w:val="00507B30"/>
    <w:rsid w:val="0051047C"/>
    <w:rsid w:val="005106B8"/>
    <w:rsid w:val="005106F2"/>
    <w:rsid w:val="005107EC"/>
    <w:rsid w:val="00511385"/>
    <w:rsid w:val="0051167E"/>
    <w:rsid w:val="00511AE5"/>
    <w:rsid w:val="0051278C"/>
    <w:rsid w:val="00512AF4"/>
    <w:rsid w:val="00513D15"/>
    <w:rsid w:val="00513D1A"/>
    <w:rsid w:val="005144A7"/>
    <w:rsid w:val="00514A63"/>
    <w:rsid w:val="00514C0B"/>
    <w:rsid w:val="00514E85"/>
    <w:rsid w:val="005156F2"/>
    <w:rsid w:val="00515AFB"/>
    <w:rsid w:val="00515E46"/>
    <w:rsid w:val="00516213"/>
    <w:rsid w:val="005164B5"/>
    <w:rsid w:val="005165A5"/>
    <w:rsid w:val="00516615"/>
    <w:rsid w:val="0051664F"/>
    <w:rsid w:val="005168CE"/>
    <w:rsid w:val="00516917"/>
    <w:rsid w:val="00517C0E"/>
    <w:rsid w:val="00520111"/>
    <w:rsid w:val="005201E4"/>
    <w:rsid w:val="005201F0"/>
    <w:rsid w:val="00520A7E"/>
    <w:rsid w:val="00520E3F"/>
    <w:rsid w:val="005214E7"/>
    <w:rsid w:val="00521998"/>
    <w:rsid w:val="00521BC0"/>
    <w:rsid w:val="005230E0"/>
    <w:rsid w:val="00523589"/>
    <w:rsid w:val="00523B37"/>
    <w:rsid w:val="00523C7D"/>
    <w:rsid w:val="00525DA4"/>
    <w:rsid w:val="00525F00"/>
    <w:rsid w:val="0052608A"/>
    <w:rsid w:val="005264CF"/>
    <w:rsid w:val="00526FFB"/>
    <w:rsid w:val="005272C8"/>
    <w:rsid w:val="00527336"/>
    <w:rsid w:val="00527F08"/>
    <w:rsid w:val="005301D8"/>
    <w:rsid w:val="005305A7"/>
    <w:rsid w:val="005310E2"/>
    <w:rsid w:val="00531439"/>
    <w:rsid w:val="0053181C"/>
    <w:rsid w:val="00531AD2"/>
    <w:rsid w:val="005321D4"/>
    <w:rsid w:val="00532688"/>
    <w:rsid w:val="0053290A"/>
    <w:rsid w:val="00532C19"/>
    <w:rsid w:val="00532CEB"/>
    <w:rsid w:val="005332AA"/>
    <w:rsid w:val="00533501"/>
    <w:rsid w:val="00533ADB"/>
    <w:rsid w:val="00533AFA"/>
    <w:rsid w:val="00533C57"/>
    <w:rsid w:val="00533DBD"/>
    <w:rsid w:val="005346F2"/>
    <w:rsid w:val="00534884"/>
    <w:rsid w:val="00534895"/>
    <w:rsid w:val="00535B25"/>
    <w:rsid w:val="005363E7"/>
    <w:rsid w:val="00536672"/>
    <w:rsid w:val="00536CE6"/>
    <w:rsid w:val="00536FF3"/>
    <w:rsid w:val="00537047"/>
    <w:rsid w:val="00537A70"/>
    <w:rsid w:val="005410FE"/>
    <w:rsid w:val="005415CF"/>
    <w:rsid w:val="005426E8"/>
    <w:rsid w:val="00542F18"/>
    <w:rsid w:val="0054304E"/>
    <w:rsid w:val="00543308"/>
    <w:rsid w:val="0054341E"/>
    <w:rsid w:val="00543427"/>
    <w:rsid w:val="00543726"/>
    <w:rsid w:val="00543822"/>
    <w:rsid w:val="005440BA"/>
    <w:rsid w:val="00544366"/>
    <w:rsid w:val="005445F7"/>
    <w:rsid w:val="00544EBA"/>
    <w:rsid w:val="00545257"/>
    <w:rsid w:val="00545ACC"/>
    <w:rsid w:val="00545D06"/>
    <w:rsid w:val="005469BE"/>
    <w:rsid w:val="00546BD5"/>
    <w:rsid w:val="005470D8"/>
    <w:rsid w:val="00547110"/>
    <w:rsid w:val="00547497"/>
    <w:rsid w:val="005477B4"/>
    <w:rsid w:val="00547B66"/>
    <w:rsid w:val="00547F98"/>
    <w:rsid w:val="0055002A"/>
    <w:rsid w:val="0055075F"/>
    <w:rsid w:val="00550DEA"/>
    <w:rsid w:val="00551468"/>
    <w:rsid w:val="00551AAC"/>
    <w:rsid w:val="00551EDC"/>
    <w:rsid w:val="005524EE"/>
    <w:rsid w:val="005530A2"/>
    <w:rsid w:val="00553291"/>
    <w:rsid w:val="00553375"/>
    <w:rsid w:val="0055354A"/>
    <w:rsid w:val="00553712"/>
    <w:rsid w:val="005538A6"/>
    <w:rsid w:val="00553CFE"/>
    <w:rsid w:val="00553EE6"/>
    <w:rsid w:val="00554178"/>
    <w:rsid w:val="00554D5D"/>
    <w:rsid w:val="00554EFC"/>
    <w:rsid w:val="00554F87"/>
    <w:rsid w:val="00555A2F"/>
    <w:rsid w:val="00555D32"/>
    <w:rsid w:val="00556D9D"/>
    <w:rsid w:val="00560866"/>
    <w:rsid w:val="005609F1"/>
    <w:rsid w:val="0056136D"/>
    <w:rsid w:val="0056158D"/>
    <w:rsid w:val="00561AB7"/>
    <w:rsid w:val="00561CDA"/>
    <w:rsid w:val="00562050"/>
    <w:rsid w:val="005620FC"/>
    <w:rsid w:val="005624F1"/>
    <w:rsid w:val="00562867"/>
    <w:rsid w:val="00562E84"/>
    <w:rsid w:val="00562EE9"/>
    <w:rsid w:val="00563157"/>
    <w:rsid w:val="0056354C"/>
    <w:rsid w:val="005636DC"/>
    <w:rsid w:val="00563B01"/>
    <w:rsid w:val="00563F57"/>
    <w:rsid w:val="00564150"/>
    <w:rsid w:val="005643DE"/>
    <w:rsid w:val="005644B6"/>
    <w:rsid w:val="00564D10"/>
    <w:rsid w:val="00564F32"/>
    <w:rsid w:val="00565860"/>
    <w:rsid w:val="00565C0E"/>
    <w:rsid w:val="0056726C"/>
    <w:rsid w:val="00567A18"/>
    <w:rsid w:val="005701EE"/>
    <w:rsid w:val="00570454"/>
    <w:rsid w:val="00570CE1"/>
    <w:rsid w:val="00570E2F"/>
    <w:rsid w:val="0057164E"/>
    <w:rsid w:val="005717F1"/>
    <w:rsid w:val="00571BCB"/>
    <w:rsid w:val="005728CD"/>
    <w:rsid w:val="00572E1F"/>
    <w:rsid w:val="005730AD"/>
    <w:rsid w:val="00573237"/>
    <w:rsid w:val="00573BE0"/>
    <w:rsid w:val="00573CC8"/>
    <w:rsid w:val="00574229"/>
    <w:rsid w:val="0057450E"/>
    <w:rsid w:val="005745EF"/>
    <w:rsid w:val="00574C03"/>
    <w:rsid w:val="00574CA0"/>
    <w:rsid w:val="00575306"/>
    <w:rsid w:val="0057593B"/>
    <w:rsid w:val="00575DC2"/>
    <w:rsid w:val="00576087"/>
    <w:rsid w:val="005761C8"/>
    <w:rsid w:val="00576224"/>
    <w:rsid w:val="0057670D"/>
    <w:rsid w:val="00576DC8"/>
    <w:rsid w:val="0057795C"/>
    <w:rsid w:val="00577D1D"/>
    <w:rsid w:val="00580191"/>
    <w:rsid w:val="00580F5C"/>
    <w:rsid w:val="00580F9D"/>
    <w:rsid w:val="005811EF"/>
    <w:rsid w:val="005811F8"/>
    <w:rsid w:val="00581209"/>
    <w:rsid w:val="0058122A"/>
    <w:rsid w:val="005816D3"/>
    <w:rsid w:val="00581A73"/>
    <w:rsid w:val="00581AB2"/>
    <w:rsid w:val="00582E47"/>
    <w:rsid w:val="00582F8B"/>
    <w:rsid w:val="00583945"/>
    <w:rsid w:val="00583B6D"/>
    <w:rsid w:val="00584065"/>
    <w:rsid w:val="0058443C"/>
    <w:rsid w:val="005844C5"/>
    <w:rsid w:val="0058458B"/>
    <w:rsid w:val="00584AF3"/>
    <w:rsid w:val="00584B88"/>
    <w:rsid w:val="00585389"/>
    <w:rsid w:val="005858FB"/>
    <w:rsid w:val="0058635E"/>
    <w:rsid w:val="005863C2"/>
    <w:rsid w:val="00586B45"/>
    <w:rsid w:val="00586FE9"/>
    <w:rsid w:val="00587389"/>
    <w:rsid w:val="00587A0E"/>
    <w:rsid w:val="00587D7B"/>
    <w:rsid w:val="00590919"/>
    <w:rsid w:val="00590A65"/>
    <w:rsid w:val="00590C24"/>
    <w:rsid w:val="0059126E"/>
    <w:rsid w:val="005912D9"/>
    <w:rsid w:val="0059146F"/>
    <w:rsid w:val="0059162E"/>
    <w:rsid w:val="005916F2"/>
    <w:rsid w:val="00591C33"/>
    <w:rsid w:val="005925C6"/>
    <w:rsid w:val="0059262E"/>
    <w:rsid w:val="00592738"/>
    <w:rsid w:val="00593B60"/>
    <w:rsid w:val="00593B77"/>
    <w:rsid w:val="0059407F"/>
    <w:rsid w:val="00594261"/>
    <w:rsid w:val="00594923"/>
    <w:rsid w:val="005949F7"/>
    <w:rsid w:val="00594C16"/>
    <w:rsid w:val="005953DF"/>
    <w:rsid w:val="0059567F"/>
    <w:rsid w:val="00595702"/>
    <w:rsid w:val="00595F02"/>
    <w:rsid w:val="00595F3F"/>
    <w:rsid w:val="0059613A"/>
    <w:rsid w:val="00596512"/>
    <w:rsid w:val="0059655E"/>
    <w:rsid w:val="005965FB"/>
    <w:rsid w:val="00596850"/>
    <w:rsid w:val="00596FBA"/>
    <w:rsid w:val="005972C7"/>
    <w:rsid w:val="005973D1"/>
    <w:rsid w:val="005975D2"/>
    <w:rsid w:val="00597954"/>
    <w:rsid w:val="005A056D"/>
    <w:rsid w:val="005A05F1"/>
    <w:rsid w:val="005A13CD"/>
    <w:rsid w:val="005A14B8"/>
    <w:rsid w:val="005A1817"/>
    <w:rsid w:val="005A23AC"/>
    <w:rsid w:val="005A291A"/>
    <w:rsid w:val="005A2A52"/>
    <w:rsid w:val="005A37D9"/>
    <w:rsid w:val="005A37F9"/>
    <w:rsid w:val="005A3B06"/>
    <w:rsid w:val="005A400A"/>
    <w:rsid w:val="005A4293"/>
    <w:rsid w:val="005A441E"/>
    <w:rsid w:val="005A51CF"/>
    <w:rsid w:val="005A5B86"/>
    <w:rsid w:val="005A6110"/>
    <w:rsid w:val="005A6F06"/>
    <w:rsid w:val="005A7961"/>
    <w:rsid w:val="005A7998"/>
    <w:rsid w:val="005B0251"/>
    <w:rsid w:val="005B11D4"/>
    <w:rsid w:val="005B1764"/>
    <w:rsid w:val="005B20D2"/>
    <w:rsid w:val="005B21E9"/>
    <w:rsid w:val="005B2317"/>
    <w:rsid w:val="005B23D4"/>
    <w:rsid w:val="005B2800"/>
    <w:rsid w:val="005B296B"/>
    <w:rsid w:val="005B2A87"/>
    <w:rsid w:val="005B2CE5"/>
    <w:rsid w:val="005B3953"/>
    <w:rsid w:val="005B3CDC"/>
    <w:rsid w:val="005B3FCF"/>
    <w:rsid w:val="005B46A4"/>
    <w:rsid w:val="005B46FE"/>
    <w:rsid w:val="005B47DA"/>
    <w:rsid w:val="005B5005"/>
    <w:rsid w:val="005B5053"/>
    <w:rsid w:val="005B557A"/>
    <w:rsid w:val="005B59A7"/>
    <w:rsid w:val="005B5C03"/>
    <w:rsid w:val="005B5E67"/>
    <w:rsid w:val="005B60AD"/>
    <w:rsid w:val="005B6731"/>
    <w:rsid w:val="005B72F0"/>
    <w:rsid w:val="005B7341"/>
    <w:rsid w:val="005B7973"/>
    <w:rsid w:val="005C01FD"/>
    <w:rsid w:val="005C11B7"/>
    <w:rsid w:val="005C17FC"/>
    <w:rsid w:val="005C1F3E"/>
    <w:rsid w:val="005C350E"/>
    <w:rsid w:val="005C3829"/>
    <w:rsid w:val="005C3A93"/>
    <w:rsid w:val="005C3F3C"/>
    <w:rsid w:val="005C431E"/>
    <w:rsid w:val="005C4635"/>
    <w:rsid w:val="005C4884"/>
    <w:rsid w:val="005C494B"/>
    <w:rsid w:val="005C4B6B"/>
    <w:rsid w:val="005C503F"/>
    <w:rsid w:val="005C556B"/>
    <w:rsid w:val="005C58CF"/>
    <w:rsid w:val="005C62D1"/>
    <w:rsid w:val="005C6936"/>
    <w:rsid w:val="005C745C"/>
    <w:rsid w:val="005D0629"/>
    <w:rsid w:val="005D0DD0"/>
    <w:rsid w:val="005D1073"/>
    <w:rsid w:val="005D10C2"/>
    <w:rsid w:val="005D1D3B"/>
    <w:rsid w:val="005D1D94"/>
    <w:rsid w:val="005D236F"/>
    <w:rsid w:val="005D2456"/>
    <w:rsid w:val="005D2859"/>
    <w:rsid w:val="005D28A0"/>
    <w:rsid w:val="005D2B76"/>
    <w:rsid w:val="005D2C6E"/>
    <w:rsid w:val="005D2E6B"/>
    <w:rsid w:val="005D3A03"/>
    <w:rsid w:val="005D3B48"/>
    <w:rsid w:val="005D3D7E"/>
    <w:rsid w:val="005D3E2A"/>
    <w:rsid w:val="005D3FB0"/>
    <w:rsid w:val="005D5480"/>
    <w:rsid w:val="005D5A92"/>
    <w:rsid w:val="005D5D68"/>
    <w:rsid w:val="005D62BC"/>
    <w:rsid w:val="005D69B1"/>
    <w:rsid w:val="005D73C6"/>
    <w:rsid w:val="005D7737"/>
    <w:rsid w:val="005D7988"/>
    <w:rsid w:val="005D7AB3"/>
    <w:rsid w:val="005D7B1A"/>
    <w:rsid w:val="005D7BBA"/>
    <w:rsid w:val="005D7F8B"/>
    <w:rsid w:val="005E03CE"/>
    <w:rsid w:val="005E0E04"/>
    <w:rsid w:val="005E0FC5"/>
    <w:rsid w:val="005E144C"/>
    <w:rsid w:val="005E1522"/>
    <w:rsid w:val="005E1923"/>
    <w:rsid w:val="005E1B91"/>
    <w:rsid w:val="005E1DB4"/>
    <w:rsid w:val="005E2268"/>
    <w:rsid w:val="005E2461"/>
    <w:rsid w:val="005E2AFC"/>
    <w:rsid w:val="005E391E"/>
    <w:rsid w:val="005E3AAC"/>
    <w:rsid w:val="005E3ED4"/>
    <w:rsid w:val="005E3F54"/>
    <w:rsid w:val="005E4889"/>
    <w:rsid w:val="005E4C8A"/>
    <w:rsid w:val="005E4FF6"/>
    <w:rsid w:val="005E5745"/>
    <w:rsid w:val="005E583B"/>
    <w:rsid w:val="005E624E"/>
    <w:rsid w:val="005E6FAD"/>
    <w:rsid w:val="005E7B89"/>
    <w:rsid w:val="005F0229"/>
    <w:rsid w:val="005F0CC7"/>
    <w:rsid w:val="005F0D85"/>
    <w:rsid w:val="005F0D94"/>
    <w:rsid w:val="005F0F44"/>
    <w:rsid w:val="005F1577"/>
    <w:rsid w:val="005F2750"/>
    <w:rsid w:val="005F290B"/>
    <w:rsid w:val="005F2C16"/>
    <w:rsid w:val="005F3102"/>
    <w:rsid w:val="005F3ADA"/>
    <w:rsid w:val="005F3E4B"/>
    <w:rsid w:val="005F4029"/>
    <w:rsid w:val="005F438E"/>
    <w:rsid w:val="005F4A0C"/>
    <w:rsid w:val="005F5859"/>
    <w:rsid w:val="005F63AF"/>
    <w:rsid w:val="005F68C4"/>
    <w:rsid w:val="005F7437"/>
    <w:rsid w:val="005F74DC"/>
    <w:rsid w:val="005F7807"/>
    <w:rsid w:val="005F7FF0"/>
    <w:rsid w:val="006002E8"/>
    <w:rsid w:val="00600718"/>
    <w:rsid w:val="0060085F"/>
    <w:rsid w:val="006009BF"/>
    <w:rsid w:val="00600E8C"/>
    <w:rsid w:val="0060114F"/>
    <w:rsid w:val="006015CB"/>
    <w:rsid w:val="00601D3D"/>
    <w:rsid w:val="00601E66"/>
    <w:rsid w:val="00601EB6"/>
    <w:rsid w:val="00601FE2"/>
    <w:rsid w:val="006020B4"/>
    <w:rsid w:val="00603473"/>
    <w:rsid w:val="0060370F"/>
    <w:rsid w:val="00603B2C"/>
    <w:rsid w:val="00603CA0"/>
    <w:rsid w:val="00603F91"/>
    <w:rsid w:val="006045DC"/>
    <w:rsid w:val="006047A3"/>
    <w:rsid w:val="00604984"/>
    <w:rsid w:val="006049A4"/>
    <w:rsid w:val="006049CF"/>
    <w:rsid w:val="00604C4D"/>
    <w:rsid w:val="00604F48"/>
    <w:rsid w:val="00604FB0"/>
    <w:rsid w:val="00605D12"/>
    <w:rsid w:val="00605F41"/>
    <w:rsid w:val="00606743"/>
    <w:rsid w:val="006068E7"/>
    <w:rsid w:val="00606986"/>
    <w:rsid w:val="00606C2F"/>
    <w:rsid w:val="00607730"/>
    <w:rsid w:val="00607E9C"/>
    <w:rsid w:val="00610126"/>
    <w:rsid w:val="00610281"/>
    <w:rsid w:val="00610539"/>
    <w:rsid w:val="00610818"/>
    <w:rsid w:val="006117FD"/>
    <w:rsid w:val="00611CAA"/>
    <w:rsid w:val="0061216C"/>
    <w:rsid w:val="0061361A"/>
    <w:rsid w:val="006136C9"/>
    <w:rsid w:val="00613C11"/>
    <w:rsid w:val="00613CD9"/>
    <w:rsid w:val="00614127"/>
    <w:rsid w:val="00614442"/>
    <w:rsid w:val="00614A4E"/>
    <w:rsid w:val="00615178"/>
    <w:rsid w:val="006159F3"/>
    <w:rsid w:val="00615BDA"/>
    <w:rsid w:val="00615CB4"/>
    <w:rsid w:val="00616127"/>
    <w:rsid w:val="00616465"/>
    <w:rsid w:val="00616EE7"/>
    <w:rsid w:val="0061727E"/>
    <w:rsid w:val="00617308"/>
    <w:rsid w:val="00617776"/>
    <w:rsid w:val="0061795C"/>
    <w:rsid w:val="0062009C"/>
    <w:rsid w:val="006207C8"/>
    <w:rsid w:val="006208C7"/>
    <w:rsid w:val="006213F6"/>
    <w:rsid w:val="00623DC5"/>
    <w:rsid w:val="006250B7"/>
    <w:rsid w:val="006259E7"/>
    <w:rsid w:val="00625D9E"/>
    <w:rsid w:val="00626500"/>
    <w:rsid w:val="00626859"/>
    <w:rsid w:val="00626A58"/>
    <w:rsid w:val="00626F2B"/>
    <w:rsid w:val="00627D56"/>
    <w:rsid w:val="00630D9B"/>
    <w:rsid w:val="00631E52"/>
    <w:rsid w:val="0063254F"/>
    <w:rsid w:val="00632B69"/>
    <w:rsid w:val="00633569"/>
    <w:rsid w:val="00633F06"/>
    <w:rsid w:val="006341A5"/>
    <w:rsid w:val="006348F5"/>
    <w:rsid w:val="00634B0A"/>
    <w:rsid w:val="00634E1C"/>
    <w:rsid w:val="00635113"/>
    <w:rsid w:val="00635879"/>
    <w:rsid w:val="00635F8A"/>
    <w:rsid w:val="00636086"/>
    <w:rsid w:val="006365A4"/>
    <w:rsid w:val="00636823"/>
    <w:rsid w:val="0063755A"/>
    <w:rsid w:val="00640A3C"/>
    <w:rsid w:val="00641242"/>
    <w:rsid w:val="006416A1"/>
    <w:rsid w:val="00641754"/>
    <w:rsid w:val="00641B51"/>
    <w:rsid w:val="00641D43"/>
    <w:rsid w:val="00641F40"/>
    <w:rsid w:val="00642351"/>
    <w:rsid w:val="00642574"/>
    <w:rsid w:val="00642DC8"/>
    <w:rsid w:val="00643120"/>
    <w:rsid w:val="00643361"/>
    <w:rsid w:val="0064430F"/>
    <w:rsid w:val="006444EF"/>
    <w:rsid w:val="0064465C"/>
    <w:rsid w:val="006446E3"/>
    <w:rsid w:val="00644744"/>
    <w:rsid w:val="00644FC7"/>
    <w:rsid w:val="006453F7"/>
    <w:rsid w:val="00645604"/>
    <w:rsid w:val="0064562E"/>
    <w:rsid w:val="0064569F"/>
    <w:rsid w:val="00645CB6"/>
    <w:rsid w:val="00646123"/>
    <w:rsid w:val="00646269"/>
    <w:rsid w:val="00646678"/>
    <w:rsid w:val="006468F2"/>
    <w:rsid w:val="0065030A"/>
    <w:rsid w:val="006503E2"/>
    <w:rsid w:val="00650A38"/>
    <w:rsid w:val="00650C31"/>
    <w:rsid w:val="00650C6D"/>
    <w:rsid w:val="006514CE"/>
    <w:rsid w:val="00651DA6"/>
    <w:rsid w:val="006521DA"/>
    <w:rsid w:val="00652545"/>
    <w:rsid w:val="00652A86"/>
    <w:rsid w:val="00654D37"/>
    <w:rsid w:val="00654D64"/>
    <w:rsid w:val="006552D6"/>
    <w:rsid w:val="006563CE"/>
    <w:rsid w:val="00657049"/>
    <w:rsid w:val="00657174"/>
    <w:rsid w:val="00657667"/>
    <w:rsid w:val="00657A99"/>
    <w:rsid w:val="00657C40"/>
    <w:rsid w:val="00657F18"/>
    <w:rsid w:val="006601DF"/>
    <w:rsid w:val="0066020C"/>
    <w:rsid w:val="00660618"/>
    <w:rsid w:val="00660F4F"/>
    <w:rsid w:val="0066147F"/>
    <w:rsid w:val="00661D33"/>
    <w:rsid w:val="00662498"/>
    <w:rsid w:val="006626E1"/>
    <w:rsid w:val="00662AE9"/>
    <w:rsid w:val="00663429"/>
    <w:rsid w:val="0066375B"/>
    <w:rsid w:val="00663CCD"/>
    <w:rsid w:val="00664031"/>
    <w:rsid w:val="00664072"/>
    <w:rsid w:val="0066437F"/>
    <w:rsid w:val="0066533B"/>
    <w:rsid w:val="00665A35"/>
    <w:rsid w:val="006663CD"/>
    <w:rsid w:val="006668DE"/>
    <w:rsid w:val="00666BFA"/>
    <w:rsid w:val="00666DA4"/>
    <w:rsid w:val="006670B7"/>
    <w:rsid w:val="00667999"/>
    <w:rsid w:val="00667D7B"/>
    <w:rsid w:val="00667DEF"/>
    <w:rsid w:val="00667E93"/>
    <w:rsid w:val="00670212"/>
    <w:rsid w:val="00670C23"/>
    <w:rsid w:val="00670E4F"/>
    <w:rsid w:val="0067111A"/>
    <w:rsid w:val="00671DA3"/>
    <w:rsid w:val="00672366"/>
    <w:rsid w:val="006727DF"/>
    <w:rsid w:val="006727F3"/>
    <w:rsid w:val="0067339E"/>
    <w:rsid w:val="006734D9"/>
    <w:rsid w:val="00673C6F"/>
    <w:rsid w:val="006740A3"/>
    <w:rsid w:val="0067410F"/>
    <w:rsid w:val="006743FE"/>
    <w:rsid w:val="006752C8"/>
    <w:rsid w:val="006764FD"/>
    <w:rsid w:val="006766EF"/>
    <w:rsid w:val="00676D57"/>
    <w:rsid w:val="00676F19"/>
    <w:rsid w:val="00676F9D"/>
    <w:rsid w:val="00677079"/>
    <w:rsid w:val="00677719"/>
    <w:rsid w:val="00680424"/>
    <w:rsid w:val="006808C6"/>
    <w:rsid w:val="00680B7D"/>
    <w:rsid w:val="00680D02"/>
    <w:rsid w:val="00680DE3"/>
    <w:rsid w:val="00680E6D"/>
    <w:rsid w:val="00680FB1"/>
    <w:rsid w:val="00681503"/>
    <w:rsid w:val="006818BF"/>
    <w:rsid w:val="00681C44"/>
    <w:rsid w:val="00682E40"/>
    <w:rsid w:val="0068345F"/>
    <w:rsid w:val="00684282"/>
    <w:rsid w:val="006847D2"/>
    <w:rsid w:val="00685091"/>
    <w:rsid w:val="0068512F"/>
    <w:rsid w:val="00685382"/>
    <w:rsid w:val="006857FE"/>
    <w:rsid w:val="00685C6C"/>
    <w:rsid w:val="00685ED9"/>
    <w:rsid w:val="006864BB"/>
    <w:rsid w:val="006865E6"/>
    <w:rsid w:val="006865F0"/>
    <w:rsid w:val="0068705B"/>
    <w:rsid w:val="00687061"/>
    <w:rsid w:val="006876F4"/>
    <w:rsid w:val="00687C00"/>
    <w:rsid w:val="00690015"/>
    <w:rsid w:val="00690298"/>
    <w:rsid w:val="00690FDF"/>
    <w:rsid w:val="006910FB"/>
    <w:rsid w:val="006919B6"/>
    <w:rsid w:val="00691AEF"/>
    <w:rsid w:val="00691C2C"/>
    <w:rsid w:val="00691E72"/>
    <w:rsid w:val="00692EA9"/>
    <w:rsid w:val="006937FE"/>
    <w:rsid w:val="006939E3"/>
    <w:rsid w:val="00693F4C"/>
    <w:rsid w:val="006944F9"/>
    <w:rsid w:val="00694C23"/>
    <w:rsid w:val="00694CD5"/>
    <w:rsid w:val="00694DA2"/>
    <w:rsid w:val="00694E7B"/>
    <w:rsid w:val="00695054"/>
    <w:rsid w:val="006953E2"/>
    <w:rsid w:val="006955C2"/>
    <w:rsid w:val="0069578B"/>
    <w:rsid w:val="00695915"/>
    <w:rsid w:val="00695F71"/>
    <w:rsid w:val="00696AA2"/>
    <w:rsid w:val="00696F65"/>
    <w:rsid w:val="00697008"/>
    <w:rsid w:val="0069799C"/>
    <w:rsid w:val="00697A4B"/>
    <w:rsid w:val="006A015A"/>
    <w:rsid w:val="006A04DA"/>
    <w:rsid w:val="006A0695"/>
    <w:rsid w:val="006A0CDD"/>
    <w:rsid w:val="006A109B"/>
    <w:rsid w:val="006A1678"/>
    <w:rsid w:val="006A1AF0"/>
    <w:rsid w:val="006A1B53"/>
    <w:rsid w:val="006A23E7"/>
    <w:rsid w:val="006A2401"/>
    <w:rsid w:val="006A282A"/>
    <w:rsid w:val="006A2CED"/>
    <w:rsid w:val="006A307A"/>
    <w:rsid w:val="006A3A04"/>
    <w:rsid w:val="006A3AC4"/>
    <w:rsid w:val="006A400A"/>
    <w:rsid w:val="006A412F"/>
    <w:rsid w:val="006A44E6"/>
    <w:rsid w:val="006A46CB"/>
    <w:rsid w:val="006A4DEC"/>
    <w:rsid w:val="006A539F"/>
    <w:rsid w:val="006A5A39"/>
    <w:rsid w:val="006A5A81"/>
    <w:rsid w:val="006A6BE2"/>
    <w:rsid w:val="006A7856"/>
    <w:rsid w:val="006A794E"/>
    <w:rsid w:val="006A79A1"/>
    <w:rsid w:val="006B014C"/>
    <w:rsid w:val="006B0559"/>
    <w:rsid w:val="006B06B5"/>
    <w:rsid w:val="006B11C2"/>
    <w:rsid w:val="006B11FD"/>
    <w:rsid w:val="006B2079"/>
    <w:rsid w:val="006B2E3F"/>
    <w:rsid w:val="006B2F19"/>
    <w:rsid w:val="006B3867"/>
    <w:rsid w:val="006B3EF1"/>
    <w:rsid w:val="006B3F0B"/>
    <w:rsid w:val="006B4A48"/>
    <w:rsid w:val="006B581B"/>
    <w:rsid w:val="006B5A07"/>
    <w:rsid w:val="006B6034"/>
    <w:rsid w:val="006B60C1"/>
    <w:rsid w:val="006B611B"/>
    <w:rsid w:val="006B6F4E"/>
    <w:rsid w:val="006C04C8"/>
    <w:rsid w:val="006C057F"/>
    <w:rsid w:val="006C07B1"/>
    <w:rsid w:val="006C0F41"/>
    <w:rsid w:val="006C1430"/>
    <w:rsid w:val="006C2188"/>
    <w:rsid w:val="006C21B8"/>
    <w:rsid w:val="006C2908"/>
    <w:rsid w:val="006C2CE2"/>
    <w:rsid w:val="006C3598"/>
    <w:rsid w:val="006C375C"/>
    <w:rsid w:val="006C375E"/>
    <w:rsid w:val="006C3D70"/>
    <w:rsid w:val="006C3DE2"/>
    <w:rsid w:val="006C3F98"/>
    <w:rsid w:val="006C496E"/>
    <w:rsid w:val="006C5168"/>
    <w:rsid w:val="006C60B0"/>
    <w:rsid w:val="006C6E6D"/>
    <w:rsid w:val="006C725A"/>
    <w:rsid w:val="006C7BAA"/>
    <w:rsid w:val="006D0043"/>
    <w:rsid w:val="006D0643"/>
    <w:rsid w:val="006D0939"/>
    <w:rsid w:val="006D17BB"/>
    <w:rsid w:val="006D1C38"/>
    <w:rsid w:val="006D1E6B"/>
    <w:rsid w:val="006D2BC4"/>
    <w:rsid w:val="006D2C52"/>
    <w:rsid w:val="006D2CC4"/>
    <w:rsid w:val="006D2EFE"/>
    <w:rsid w:val="006D33A3"/>
    <w:rsid w:val="006D3499"/>
    <w:rsid w:val="006D38B5"/>
    <w:rsid w:val="006D39E5"/>
    <w:rsid w:val="006D3DA3"/>
    <w:rsid w:val="006D48FF"/>
    <w:rsid w:val="006D5FA3"/>
    <w:rsid w:val="006D6169"/>
    <w:rsid w:val="006D6178"/>
    <w:rsid w:val="006D6379"/>
    <w:rsid w:val="006D6625"/>
    <w:rsid w:val="006D68AB"/>
    <w:rsid w:val="006D69DD"/>
    <w:rsid w:val="006D6D94"/>
    <w:rsid w:val="006D6F71"/>
    <w:rsid w:val="006D6FD8"/>
    <w:rsid w:val="006D7458"/>
    <w:rsid w:val="006D76ED"/>
    <w:rsid w:val="006E0B43"/>
    <w:rsid w:val="006E0FD9"/>
    <w:rsid w:val="006E145A"/>
    <w:rsid w:val="006E1872"/>
    <w:rsid w:val="006E324D"/>
    <w:rsid w:val="006E3CED"/>
    <w:rsid w:val="006E3E0F"/>
    <w:rsid w:val="006E43BB"/>
    <w:rsid w:val="006E4700"/>
    <w:rsid w:val="006E4AD6"/>
    <w:rsid w:val="006E601B"/>
    <w:rsid w:val="006E67BF"/>
    <w:rsid w:val="006E6DD7"/>
    <w:rsid w:val="006E76F0"/>
    <w:rsid w:val="006E7991"/>
    <w:rsid w:val="006F008F"/>
    <w:rsid w:val="006F02C5"/>
    <w:rsid w:val="006F06D8"/>
    <w:rsid w:val="006F0BAE"/>
    <w:rsid w:val="006F113B"/>
    <w:rsid w:val="006F15E3"/>
    <w:rsid w:val="006F1C4A"/>
    <w:rsid w:val="006F243B"/>
    <w:rsid w:val="006F252C"/>
    <w:rsid w:val="006F258E"/>
    <w:rsid w:val="006F27B4"/>
    <w:rsid w:val="006F2A7E"/>
    <w:rsid w:val="006F2D8A"/>
    <w:rsid w:val="006F2DF8"/>
    <w:rsid w:val="006F34A1"/>
    <w:rsid w:val="006F36A6"/>
    <w:rsid w:val="006F37CF"/>
    <w:rsid w:val="006F3D85"/>
    <w:rsid w:val="006F3E4C"/>
    <w:rsid w:val="006F3E4D"/>
    <w:rsid w:val="006F3ED8"/>
    <w:rsid w:val="006F3F1E"/>
    <w:rsid w:val="006F4361"/>
    <w:rsid w:val="006F5472"/>
    <w:rsid w:val="006F55B5"/>
    <w:rsid w:val="006F55C2"/>
    <w:rsid w:val="006F5798"/>
    <w:rsid w:val="006F5DCA"/>
    <w:rsid w:val="006F65EE"/>
    <w:rsid w:val="006F67AC"/>
    <w:rsid w:val="006F7688"/>
    <w:rsid w:val="006F7766"/>
    <w:rsid w:val="006F7CCE"/>
    <w:rsid w:val="0070002B"/>
    <w:rsid w:val="00700630"/>
    <w:rsid w:val="00700B6A"/>
    <w:rsid w:val="00701472"/>
    <w:rsid w:val="007020AC"/>
    <w:rsid w:val="007023CA"/>
    <w:rsid w:val="00703213"/>
    <w:rsid w:val="00703660"/>
    <w:rsid w:val="00703A61"/>
    <w:rsid w:val="00703D9B"/>
    <w:rsid w:val="00703ECF"/>
    <w:rsid w:val="00704053"/>
    <w:rsid w:val="007045B0"/>
    <w:rsid w:val="00705082"/>
    <w:rsid w:val="0070594E"/>
    <w:rsid w:val="007059E8"/>
    <w:rsid w:val="007066CC"/>
    <w:rsid w:val="00707127"/>
    <w:rsid w:val="007073B1"/>
    <w:rsid w:val="00707446"/>
    <w:rsid w:val="00707F7A"/>
    <w:rsid w:val="007107F7"/>
    <w:rsid w:val="007110E6"/>
    <w:rsid w:val="00711347"/>
    <w:rsid w:val="00711492"/>
    <w:rsid w:val="007115B3"/>
    <w:rsid w:val="00711DA5"/>
    <w:rsid w:val="0071294D"/>
    <w:rsid w:val="00712B28"/>
    <w:rsid w:val="00713381"/>
    <w:rsid w:val="0071366F"/>
    <w:rsid w:val="00714449"/>
    <w:rsid w:val="00715773"/>
    <w:rsid w:val="00715D93"/>
    <w:rsid w:val="0071611B"/>
    <w:rsid w:val="00716154"/>
    <w:rsid w:val="00716830"/>
    <w:rsid w:val="00716969"/>
    <w:rsid w:val="00716B59"/>
    <w:rsid w:val="00717315"/>
    <w:rsid w:val="0071749C"/>
    <w:rsid w:val="00717895"/>
    <w:rsid w:val="00717A94"/>
    <w:rsid w:val="00717CA5"/>
    <w:rsid w:val="0072031B"/>
    <w:rsid w:val="00721059"/>
    <w:rsid w:val="00721E45"/>
    <w:rsid w:val="00721F5B"/>
    <w:rsid w:val="00721FE4"/>
    <w:rsid w:val="00722859"/>
    <w:rsid w:val="00722B72"/>
    <w:rsid w:val="00722C74"/>
    <w:rsid w:val="00722CE0"/>
    <w:rsid w:val="00722EFF"/>
    <w:rsid w:val="00722F5C"/>
    <w:rsid w:val="007231BA"/>
    <w:rsid w:val="007233B9"/>
    <w:rsid w:val="00723FBB"/>
    <w:rsid w:val="00724419"/>
    <w:rsid w:val="007247E3"/>
    <w:rsid w:val="007247E4"/>
    <w:rsid w:val="007252F1"/>
    <w:rsid w:val="00725EF5"/>
    <w:rsid w:val="00725F1A"/>
    <w:rsid w:val="0072609B"/>
    <w:rsid w:val="0072617D"/>
    <w:rsid w:val="007267D0"/>
    <w:rsid w:val="00726CCC"/>
    <w:rsid w:val="007270D1"/>
    <w:rsid w:val="0072744D"/>
    <w:rsid w:val="00730022"/>
    <w:rsid w:val="007305F3"/>
    <w:rsid w:val="007306B7"/>
    <w:rsid w:val="00730846"/>
    <w:rsid w:val="00730AB4"/>
    <w:rsid w:val="00730DC6"/>
    <w:rsid w:val="00730DCB"/>
    <w:rsid w:val="00731101"/>
    <w:rsid w:val="00731503"/>
    <w:rsid w:val="00731B72"/>
    <w:rsid w:val="00731E73"/>
    <w:rsid w:val="00731EAF"/>
    <w:rsid w:val="0073223F"/>
    <w:rsid w:val="007323FB"/>
    <w:rsid w:val="00732DD1"/>
    <w:rsid w:val="00733A6D"/>
    <w:rsid w:val="00733B3B"/>
    <w:rsid w:val="007348DE"/>
    <w:rsid w:val="007353F5"/>
    <w:rsid w:val="00735474"/>
    <w:rsid w:val="00735701"/>
    <w:rsid w:val="00735DA8"/>
    <w:rsid w:val="00735DF1"/>
    <w:rsid w:val="00736075"/>
    <w:rsid w:val="007362A3"/>
    <w:rsid w:val="00736DB1"/>
    <w:rsid w:val="0073745C"/>
    <w:rsid w:val="00737603"/>
    <w:rsid w:val="00737B47"/>
    <w:rsid w:val="00737F3F"/>
    <w:rsid w:val="007402B4"/>
    <w:rsid w:val="00740C28"/>
    <w:rsid w:val="00741236"/>
    <w:rsid w:val="007416CC"/>
    <w:rsid w:val="00741784"/>
    <w:rsid w:val="0074195D"/>
    <w:rsid w:val="007423B9"/>
    <w:rsid w:val="00742701"/>
    <w:rsid w:val="00742BCA"/>
    <w:rsid w:val="00743829"/>
    <w:rsid w:val="00743A49"/>
    <w:rsid w:val="00744032"/>
    <w:rsid w:val="0074437E"/>
    <w:rsid w:val="007445B8"/>
    <w:rsid w:val="00744A00"/>
    <w:rsid w:val="00744E64"/>
    <w:rsid w:val="007451B1"/>
    <w:rsid w:val="007455F7"/>
    <w:rsid w:val="00745E4D"/>
    <w:rsid w:val="0074623B"/>
    <w:rsid w:val="00746660"/>
    <w:rsid w:val="00746E2A"/>
    <w:rsid w:val="00746F91"/>
    <w:rsid w:val="007472E3"/>
    <w:rsid w:val="007476BA"/>
    <w:rsid w:val="00747FC6"/>
    <w:rsid w:val="0075023F"/>
    <w:rsid w:val="00750B7B"/>
    <w:rsid w:val="00750B7D"/>
    <w:rsid w:val="00750F4C"/>
    <w:rsid w:val="007516F0"/>
    <w:rsid w:val="0075307F"/>
    <w:rsid w:val="007534EA"/>
    <w:rsid w:val="00753518"/>
    <w:rsid w:val="00753799"/>
    <w:rsid w:val="007538C1"/>
    <w:rsid w:val="0075434C"/>
    <w:rsid w:val="007550BF"/>
    <w:rsid w:val="00755245"/>
    <w:rsid w:val="007557A0"/>
    <w:rsid w:val="00755D0D"/>
    <w:rsid w:val="0075657B"/>
    <w:rsid w:val="0075687F"/>
    <w:rsid w:val="00756941"/>
    <w:rsid w:val="00756DC7"/>
    <w:rsid w:val="0075716A"/>
    <w:rsid w:val="007574B0"/>
    <w:rsid w:val="007600DE"/>
    <w:rsid w:val="0076087C"/>
    <w:rsid w:val="00761151"/>
    <w:rsid w:val="007612EC"/>
    <w:rsid w:val="00761352"/>
    <w:rsid w:val="00761862"/>
    <w:rsid w:val="00761C74"/>
    <w:rsid w:val="00761E8C"/>
    <w:rsid w:val="00761F33"/>
    <w:rsid w:val="0076255D"/>
    <w:rsid w:val="00763B71"/>
    <w:rsid w:val="00763FDD"/>
    <w:rsid w:val="00764895"/>
    <w:rsid w:val="007648D0"/>
    <w:rsid w:val="00764981"/>
    <w:rsid w:val="007650F6"/>
    <w:rsid w:val="0076525E"/>
    <w:rsid w:val="0076561F"/>
    <w:rsid w:val="00766326"/>
    <w:rsid w:val="007664E3"/>
    <w:rsid w:val="00766820"/>
    <w:rsid w:val="0076682D"/>
    <w:rsid w:val="00766A41"/>
    <w:rsid w:val="007670FD"/>
    <w:rsid w:val="007703CB"/>
    <w:rsid w:val="00770827"/>
    <w:rsid w:val="00770D92"/>
    <w:rsid w:val="00770F03"/>
    <w:rsid w:val="0077102B"/>
    <w:rsid w:val="00771842"/>
    <w:rsid w:val="0077274A"/>
    <w:rsid w:val="00772F43"/>
    <w:rsid w:val="0077315F"/>
    <w:rsid w:val="00773699"/>
    <w:rsid w:val="00773874"/>
    <w:rsid w:val="00774158"/>
    <w:rsid w:val="007743C5"/>
    <w:rsid w:val="007747D2"/>
    <w:rsid w:val="007748BF"/>
    <w:rsid w:val="0077545C"/>
    <w:rsid w:val="0077570E"/>
    <w:rsid w:val="00775DB7"/>
    <w:rsid w:val="00775E11"/>
    <w:rsid w:val="0077623F"/>
    <w:rsid w:val="007762DB"/>
    <w:rsid w:val="00777894"/>
    <w:rsid w:val="00780092"/>
    <w:rsid w:val="007800EE"/>
    <w:rsid w:val="007807FE"/>
    <w:rsid w:val="00780A30"/>
    <w:rsid w:val="00780C33"/>
    <w:rsid w:val="007813FC"/>
    <w:rsid w:val="00781914"/>
    <w:rsid w:val="00781ED7"/>
    <w:rsid w:val="007820D4"/>
    <w:rsid w:val="007828F2"/>
    <w:rsid w:val="00782DFE"/>
    <w:rsid w:val="00782F90"/>
    <w:rsid w:val="007831C7"/>
    <w:rsid w:val="007841A6"/>
    <w:rsid w:val="00784464"/>
    <w:rsid w:val="00784C44"/>
    <w:rsid w:val="00785136"/>
    <w:rsid w:val="007857C4"/>
    <w:rsid w:val="00786C5C"/>
    <w:rsid w:val="007879FA"/>
    <w:rsid w:val="00787A4F"/>
    <w:rsid w:val="00787C53"/>
    <w:rsid w:val="00790573"/>
    <w:rsid w:val="00790824"/>
    <w:rsid w:val="00790D73"/>
    <w:rsid w:val="00791BD7"/>
    <w:rsid w:val="00791C1C"/>
    <w:rsid w:val="007921AF"/>
    <w:rsid w:val="007923A4"/>
    <w:rsid w:val="0079258F"/>
    <w:rsid w:val="00792B0B"/>
    <w:rsid w:val="00792B9A"/>
    <w:rsid w:val="00792FE1"/>
    <w:rsid w:val="00793199"/>
    <w:rsid w:val="007931D1"/>
    <w:rsid w:val="00793545"/>
    <w:rsid w:val="00793EE2"/>
    <w:rsid w:val="00794264"/>
    <w:rsid w:val="00794A23"/>
    <w:rsid w:val="00794C78"/>
    <w:rsid w:val="00794FE4"/>
    <w:rsid w:val="00795FDB"/>
    <w:rsid w:val="0079684C"/>
    <w:rsid w:val="00796CB2"/>
    <w:rsid w:val="00797B27"/>
    <w:rsid w:val="007A007C"/>
    <w:rsid w:val="007A022D"/>
    <w:rsid w:val="007A0519"/>
    <w:rsid w:val="007A06D6"/>
    <w:rsid w:val="007A09F2"/>
    <w:rsid w:val="007A0BB9"/>
    <w:rsid w:val="007A0BE9"/>
    <w:rsid w:val="007A0FB9"/>
    <w:rsid w:val="007A1040"/>
    <w:rsid w:val="007A1586"/>
    <w:rsid w:val="007A18C7"/>
    <w:rsid w:val="007A1B95"/>
    <w:rsid w:val="007A312C"/>
    <w:rsid w:val="007A357B"/>
    <w:rsid w:val="007A3596"/>
    <w:rsid w:val="007A3A1E"/>
    <w:rsid w:val="007A3C1A"/>
    <w:rsid w:val="007A46CD"/>
    <w:rsid w:val="007A4D97"/>
    <w:rsid w:val="007A4EC3"/>
    <w:rsid w:val="007A5390"/>
    <w:rsid w:val="007A5BCC"/>
    <w:rsid w:val="007A6031"/>
    <w:rsid w:val="007A6343"/>
    <w:rsid w:val="007A6490"/>
    <w:rsid w:val="007A65FE"/>
    <w:rsid w:val="007A6ACE"/>
    <w:rsid w:val="007A6B79"/>
    <w:rsid w:val="007A7034"/>
    <w:rsid w:val="007A76F8"/>
    <w:rsid w:val="007A7D0D"/>
    <w:rsid w:val="007A7D16"/>
    <w:rsid w:val="007B0235"/>
    <w:rsid w:val="007B17B2"/>
    <w:rsid w:val="007B1CFC"/>
    <w:rsid w:val="007B2085"/>
    <w:rsid w:val="007B212F"/>
    <w:rsid w:val="007B251D"/>
    <w:rsid w:val="007B2985"/>
    <w:rsid w:val="007B2A56"/>
    <w:rsid w:val="007B2D04"/>
    <w:rsid w:val="007B2FBF"/>
    <w:rsid w:val="007B37C4"/>
    <w:rsid w:val="007B37D1"/>
    <w:rsid w:val="007B3C9B"/>
    <w:rsid w:val="007B3E9C"/>
    <w:rsid w:val="007B4BA1"/>
    <w:rsid w:val="007B4FD1"/>
    <w:rsid w:val="007B6474"/>
    <w:rsid w:val="007B6894"/>
    <w:rsid w:val="007B6937"/>
    <w:rsid w:val="007B6980"/>
    <w:rsid w:val="007B6A7E"/>
    <w:rsid w:val="007B6B07"/>
    <w:rsid w:val="007B6C09"/>
    <w:rsid w:val="007B7919"/>
    <w:rsid w:val="007C0121"/>
    <w:rsid w:val="007C02F3"/>
    <w:rsid w:val="007C041B"/>
    <w:rsid w:val="007C06FA"/>
    <w:rsid w:val="007C0790"/>
    <w:rsid w:val="007C0BAF"/>
    <w:rsid w:val="007C11A0"/>
    <w:rsid w:val="007C170F"/>
    <w:rsid w:val="007C2BB0"/>
    <w:rsid w:val="007C2D3A"/>
    <w:rsid w:val="007C2EEC"/>
    <w:rsid w:val="007C38A9"/>
    <w:rsid w:val="007C3C7D"/>
    <w:rsid w:val="007C41C5"/>
    <w:rsid w:val="007C4626"/>
    <w:rsid w:val="007C6054"/>
    <w:rsid w:val="007C65C5"/>
    <w:rsid w:val="007C6BD3"/>
    <w:rsid w:val="007C6F32"/>
    <w:rsid w:val="007C7311"/>
    <w:rsid w:val="007C73CE"/>
    <w:rsid w:val="007C780B"/>
    <w:rsid w:val="007C7942"/>
    <w:rsid w:val="007C7B44"/>
    <w:rsid w:val="007D00B1"/>
    <w:rsid w:val="007D0B43"/>
    <w:rsid w:val="007D1058"/>
    <w:rsid w:val="007D14DA"/>
    <w:rsid w:val="007D2252"/>
    <w:rsid w:val="007D2688"/>
    <w:rsid w:val="007D281C"/>
    <w:rsid w:val="007D2A8B"/>
    <w:rsid w:val="007D2B3D"/>
    <w:rsid w:val="007D31F8"/>
    <w:rsid w:val="007D32F7"/>
    <w:rsid w:val="007D3458"/>
    <w:rsid w:val="007D3794"/>
    <w:rsid w:val="007D380C"/>
    <w:rsid w:val="007D3852"/>
    <w:rsid w:val="007D3929"/>
    <w:rsid w:val="007D3C26"/>
    <w:rsid w:val="007D4574"/>
    <w:rsid w:val="007D463A"/>
    <w:rsid w:val="007D4C47"/>
    <w:rsid w:val="007D5264"/>
    <w:rsid w:val="007D5385"/>
    <w:rsid w:val="007D5389"/>
    <w:rsid w:val="007D61F4"/>
    <w:rsid w:val="007D6FFD"/>
    <w:rsid w:val="007D7D2F"/>
    <w:rsid w:val="007E0152"/>
    <w:rsid w:val="007E093A"/>
    <w:rsid w:val="007E0AC3"/>
    <w:rsid w:val="007E15E8"/>
    <w:rsid w:val="007E15FD"/>
    <w:rsid w:val="007E1947"/>
    <w:rsid w:val="007E1F5C"/>
    <w:rsid w:val="007E22E6"/>
    <w:rsid w:val="007E2A8A"/>
    <w:rsid w:val="007E2C9B"/>
    <w:rsid w:val="007E3DA3"/>
    <w:rsid w:val="007E411D"/>
    <w:rsid w:val="007E48BC"/>
    <w:rsid w:val="007E4CA5"/>
    <w:rsid w:val="007E4E6B"/>
    <w:rsid w:val="007E565A"/>
    <w:rsid w:val="007E5A5B"/>
    <w:rsid w:val="007E6189"/>
    <w:rsid w:val="007E6227"/>
    <w:rsid w:val="007E6382"/>
    <w:rsid w:val="007E66C2"/>
    <w:rsid w:val="007E6941"/>
    <w:rsid w:val="007E6AC0"/>
    <w:rsid w:val="007E7068"/>
    <w:rsid w:val="007E769F"/>
    <w:rsid w:val="007E7950"/>
    <w:rsid w:val="007E7A34"/>
    <w:rsid w:val="007F02AC"/>
    <w:rsid w:val="007F04BB"/>
    <w:rsid w:val="007F059C"/>
    <w:rsid w:val="007F074E"/>
    <w:rsid w:val="007F0DCC"/>
    <w:rsid w:val="007F16A2"/>
    <w:rsid w:val="007F2225"/>
    <w:rsid w:val="007F34FD"/>
    <w:rsid w:val="007F4660"/>
    <w:rsid w:val="007F49C2"/>
    <w:rsid w:val="007F4A31"/>
    <w:rsid w:val="007F4E01"/>
    <w:rsid w:val="007F4ED3"/>
    <w:rsid w:val="007F5605"/>
    <w:rsid w:val="007F5A97"/>
    <w:rsid w:val="007F5CFC"/>
    <w:rsid w:val="007F610D"/>
    <w:rsid w:val="007F68AC"/>
    <w:rsid w:val="007F6AC6"/>
    <w:rsid w:val="007F6C6F"/>
    <w:rsid w:val="007F6E8D"/>
    <w:rsid w:val="007F78A4"/>
    <w:rsid w:val="007F7A8D"/>
    <w:rsid w:val="007F7AE3"/>
    <w:rsid w:val="00801649"/>
    <w:rsid w:val="00801879"/>
    <w:rsid w:val="00801C03"/>
    <w:rsid w:val="008028E8"/>
    <w:rsid w:val="00802A65"/>
    <w:rsid w:val="00802ABF"/>
    <w:rsid w:val="00803386"/>
    <w:rsid w:val="0080356C"/>
    <w:rsid w:val="00803CA8"/>
    <w:rsid w:val="00803D95"/>
    <w:rsid w:val="008041EA"/>
    <w:rsid w:val="0080448B"/>
    <w:rsid w:val="008045D4"/>
    <w:rsid w:val="008047B5"/>
    <w:rsid w:val="00804837"/>
    <w:rsid w:val="00804984"/>
    <w:rsid w:val="00804B4B"/>
    <w:rsid w:val="008051F7"/>
    <w:rsid w:val="00805534"/>
    <w:rsid w:val="00805932"/>
    <w:rsid w:val="00805F44"/>
    <w:rsid w:val="008065DE"/>
    <w:rsid w:val="00807330"/>
    <w:rsid w:val="008103B9"/>
    <w:rsid w:val="008111B8"/>
    <w:rsid w:val="00811FDD"/>
    <w:rsid w:val="008126D8"/>
    <w:rsid w:val="00812811"/>
    <w:rsid w:val="00813805"/>
    <w:rsid w:val="00813914"/>
    <w:rsid w:val="00813FC6"/>
    <w:rsid w:val="008140FC"/>
    <w:rsid w:val="00815420"/>
    <w:rsid w:val="0081669C"/>
    <w:rsid w:val="00817416"/>
    <w:rsid w:val="008203D7"/>
    <w:rsid w:val="008209F6"/>
    <w:rsid w:val="00820A60"/>
    <w:rsid w:val="00820B67"/>
    <w:rsid w:val="00820BB5"/>
    <w:rsid w:val="00820BBD"/>
    <w:rsid w:val="00820D1F"/>
    <w:rsid w:val="00820F0A"/>
    <w:rsid w:val="008219E1"/>
    <w:rsid w:val="00821B1D"/>
    <w:rsid w:val="00821CFD"/>
    <w:rsid w:val="0082259F"/>
    <w:rsid w:val="00823DF2"/>
    <w:rsid w:val="00823E12"/>
    <w:rsid w:val="00824694"/>
    <w:rsid w:val="00824A62"/>
    <w:rsid w:val="00824E80"/>
    <w:rsid w:val="00825257"/>
    <w:rsid w:val="008254F2"/>
    <w:rsid w:val="008258D5"/>
    <w:rsid w:val="00825C19"/>
    <w:rsid w:val="00826319"/>
    <w:rsid w:val="00826917"/>
    <w:rsid w:val="00826F4C"/>
    <w:rsid w:val="00827964"/>
    <w:rsid w:val="00827ED9"/>
    <w:rsid w:val="00830009"/>
    <w:rsid w:val="00830130"/>
    <w:rsid w:val="00830146"/>
    <w:rsid w:val="008303EA"/>
    <w:rsid w:val="00830D44"/>
    <w:rsid w:val="00831C20"/>
    <w:rsid w:val="00832195"/>
    <w:rsid w:val="008325BC"/>
    <w:rsid w:val="00832F73"/>
    <w:rsid w:val="0083300E"/>
    <w:rsid w:val="00833690"/>
    <w:rsid w:val="00833CBB"/>
    <w:rsid w:val="00833CE1"/>
    <w:rsid w:val="00833D40"/>
    <w:rsid w:val="00833EB8"/>
    <w:rsid w:val="008340DB"/>
    <w:rsid w:val="008346E0"/>
    <w:rsid w:val="00835AD7"/>
    <w:rsid w:val="00835CE6"/>
    <w:rsid w:val="00836156"/>
    <w:rsid w:val="00836329"/>
    <w:rsid w:val="008370F2"/>
    <w:rsid w:val="00837224"/>
    <w:rsid w:val="00837D1D"/>
    <w:rsid w:val="00840353"/>
    <w:rsid w:val="008406C8"/>
    <w:rsid w:val="00840912"/>
    <w:rsid w:val="008409C6"/>
    <w:rsid w:val="00840B76"/>
    <w:rsid w:val="00841221"/>
    <w:rsid w:val="00841659"/>
    <w:rsid w:val="008422AD"/>
    <w:rsid w:val="00842CFD"/>
    <w:rsid w:val="008430BB"/>
    <w:rsid w:val="008435B1"/>
    <w:rsid w:val="0084457D"/>
    <w:rsid w:val="00844718"/>
    <w:rsid w:val="008453E4"/>
    <w:rsid w:val="00845B6D"/>
    <w:rsid w:val="0084605E"/>
    <w:rsid w:val="008465DD"/>
    <w:rsid w:val="00847733"/>
    <w:rsid w:val="0084774F"/>
    <w:rsid w:val="00847F40"/>
    <w:rsid w:val="008503D8"/>
    <w:rsid w:val="00850443"/>
    <w:rsid w:val="00850600"/>
    <w:rsid w:val="0085064F"/>
    <w:rsid w:val="00851329"/>
    <w:rsid w:val="0085174F"/>
    <w:rsid w:val="00851814"/>
    <w:rsid w:val="00851B38"/>
    <w:rsid w:val="00851EDF"/>
    <w:rsid w:val="008521F8"/>
    <w:rsid w:val="00852621"/>
    <w:rsid w:val="008526F8"/>
    <w:rsid w:val="00852D02"/>
    <w:rsid w:val="00853269"/>
    <w:rsid w:val="00853401"/>
    <w:rsid w:val="00853FE8"/>
    <w:rsid w:val="0085486A"/>
    <w:rsid w:val="00854B1F"/>
    <w:rsid w:val="00855107"/>
    <w:rsid w:val="008555B8"/>
    <w:rsid w:val="00855B55"/>
    <w:rsid w:val="0085669D"/>
    <w:rsid w:val="00856884"/>
    <w:rsid w:val="00856A20"/>
    <w:rsid w:val="00856E5D"/>
    <w:rsid w:val="008570FA"/>
    <w:rsid w:val="008575D3"/>
    <w:rsid w:val="00857A42"/>
    <w:rsid w:val="008603C3"/>
    <w:rsid w:val="00860984"/>
    <w:rsid w:val="00861C68"/>
    <w:rsid w:val="00861E8B"/>
    <w:rsid w:val="0086277B"/>
    <w:rsid w:val="008628A2"/>
    <w:rsid w:val="0086321C"/>
    <w:rsid w:val="00863391"/>
    <w:rsid w:val="00863904"/>
    <w:rsid w:val="00864244"/>
    <w:rsid w:val="00865522"/>
    <w:rsid w:val="008655EF"/>
    <w:rsid w:val="00865E7D"/>
    <w:rsid w:val="0086644C"/>
    <w:rsid w:val="00866480"/>
    <w:rsid w:val="0086678C"/>
    <w:rsid w:val="00866967"/>
    <w:rsid w:val="008669EC"/>
    <w:rsid w:val="00866A01"/>
    <w:rsid w:val="00866B94"/>
    <w:rsid w:val="00867058"/>
    <w:rsid w:val="008675AB"/>
    <w:rsid w:val="008676D6"/>
    <w:rsid w:val="00867773"/>
    <w:rsid w:val="008677EB"/>
    <w:rsid w:val="00870222"/>
    <w:rsid w:val="00870263"/>
    <w:rsid w:val="00870644"/>
    <w:rsid w:val="008708E5"/>
    <w:rsid w:val="00870CAC"/>
    <w:rsid w:val="00870D07"/>
    <w:rsid w:val="00870E76"/>
    <w:rsid w:val="00871423"/>
    <w:rsid w:val="008716AC"/>
    <w:rsid w:val="00871CC0"/>
    <w:rsid w:val="00871E7A"/>
    <w:rsid w:val="00871FBB"/>
    <w:rsid w:val="00872093"/>
    <w:rsid w:val="00872619"/>
    <w:rsid w:val="008726D6"/>
    <w:rsid w:val="00872E30"/>
    <w:rsid w:val="00872EDF"/>
    <w:rsid w:val="00873855"/>
    <w:rsid w:val="00873FC4"/>
    <w:rsid w:val="008740B1"/>
    <w:rsid w:val="008744B9"/>
    <w:rsid w:val="00874BB3"/>
    <w:rsid w:val="00874C97"/>
    <w:rsid w:val="00875311"/>
    <w:rsid w:val="008756AB"/>
    <w:rsid w:val="008756AD"/>
    <w:rsid w:val="0087598F"/>
    <w:rsid w:val="00876029"/>
    <w:rsid w:val="0087637C"/>
    <w:rsid w:val="00876CF7"/>
    <w:rsid w:val="00876E45"/>
    <w:rsid w:val="00877953"/>
    <w:rsid w:val="008779BD"/>
    <w:rsid w:val="00877AF7"/>
    <w:rsid w:val="00880AAF"/>
    <w:rsid w:val="00880C5B"/>
    <w:rsid w:val="008813A1"/>
    <w:rsid w:val="00881D05"/>
    <w:rsid w:val="0088201B"/>
    <w:rsid w:val="00882258"/>
    <w:rsid w:val="0088252C"/>
    <w:rsid w:val="00882699"/>
    <w:rsid w:val="00882722"/>
    <w:rsid w:val="00882852"/>
    <w:rsid w:val="00882895"/>
    <w:rsid w:val="00882E7A"/>
    <w:rsid w:val="0088316F"/>
    <w:rsid w:val="008833D3"/>
    <w:rsid w:val="008834B3"/>
    <w:rsid w:val="00883771"/>
    <w:rsid w:val="00883876"/>
    <w:rsid w:val="00883A27"/>
    <w:rsid w:val="00883DD9"/>
    <w:rsid w:val="00883DFA"/>
    <w:rsid w:val="00884172"/>
    <w:rsid w:val="00884EBD"/>
    <w:rsid w:val="00885682"/>
    <w:rsid w:val="00885B97"/>
    <w:rsid w:val="00885C4E"/>
    <w:rsid w:val="00885D92"/>
    <w:rsid w:val="00885EF4"/>
    <w:rsid w:val="00885F9B"/>
    <w:rsid w:val="00886876"/>
    <w:rsid w:val="0088688C"/>
    <w:rsid w:val="00886973"/>
    <w:rsid w:val="00887BC4"/>
    <w:rsid w:val="00887DEB"/>
    <w:rsid w:val="00887EAB"/>
    <w:rsid w:val="00890528"/>
    <w:rsid w:val="008909DA"/>
    <w:rsid w:val="00890EAD"/>
    <w:rsid w:val="00891074"/>
    <w:rsid w:val="008910E0"/>
    <w:rsid w:val="00891342"/>
    <w:rsid w:val="008923F0"/>
    <w:rsid w:val="00892B5C"/>
    <w:rsid w:val="0089374E"/>
    <w:rsid w:val="00893C91"/>
    <w:rsid w:val="008944AD"/>
    <w:rsid w:val="0089472E"/>
    <w:rsid w:val="008952C8"/>
    <w:rsid w:val="008953EA"/>
    <w:rsid w:val="00895F33"/>
    <w:rsid w:val="008966F2"/>
    <w:rsid w:val="00896747"/>
    <w:rsid w:val="0089679D"/>
    <w:rsid w:val="008968E8"/>
    <w:rsid w:val="00896980"/>
    <w:rsid w:val="00897234"/>
    <w:rsid w:val="0089724B"/>
    <w:rsid w:val="0089764D"/>
    <w:rsid w:val="008A037A"/>
    <w:rsid w:val="008A0755"/>
    <w:rsid w:val="008A0813"/>
    <w:rsid w:val="008A0836"/>
    <w:rsid w:val="008A0B4F"/>
    <w:rsid w:val="008A0C8A"/>
    <w:rsid w:val="008A0EF5"/>
    <w:rsid w:val="008A154D"/>
    <w:rsid w:val="008A1D94"/>
    <w:rsid w:val="008A2EEB"/>
    <w:rsid w:val="008A3655"/>
    <w:rsid w:val="008A37AA"/>
    <w:rsid w:val="008A3AFB"/>
    <w:rsid w:val="008A3D16"/>
    <w:rsid w:val="008A4DE7"/>
    <w:rsid w:val="008A5B1E"/>
    <w:rsid w:val="008A5BC5"/>
    <w:rsid w:val="008A5F1D"/>
    <w:rsid w:val="008A5FC0"/>
    <w:rsid w:val="008A6011"/>
    <w:rsid w:val="008A6509"/>
    <w:rsid w:val="008A6A1C"/>
    <w:rsid w:val="008A6BFB"/>
    <w:rsid w:val="008A6DCF"/>
    <w:rsid w:val="008A773F"/>
    <w:rsid w:val="008A79E7"/>
    <w:rsid w:val="008B11B9"/>
    <w:rsid w:val="008B1273"/>
    <w:rsid w:val="008B1404"/>
    <w:rsid w:val="008B145A"/>
    <w:rsid w:val="008B2271"/>
    <w:rsid w:val="008B2365"/>
    <w:rsid w:val="008B4CB0"/>
    <w:rsid w:val="008B50A1"/>
    <w:rsid w:val="008B5114"/>
    <w:rsid w:val="008B64CB"/>
    <w:rsid w:val="008B6B92"/>
    <w:rsid w:val="008B6D48"/>
    <w:rsid w:val="008B6F53"/>
    <w:rsid w:val="008B6FCC"/>
    <w:rsid w:val="008C02D8"/>
    <w:rsid w:val="008C12E9"/>
    <w:rsid w:val="008C180D"/>
    <w:rsid w:val="008C1B42"/>
    <w:rsid w:val="008C1E4B"/>
    <w:rsid w:val="008C1FDD"/>
    <w:rsid w:val="008C22CF"/>
    <w:rsid w:val="008C26FF"/>
    <w:rsid w:val="008C3270"/>
    <w:rsid w:val="008C3412"/>
    <w:rsid w:val="008C4417"/>
    <w:rsid w:val="008C55BB"/>
    <w:rsid w:val="008C5E97"/>
    <w:rsid w:val="008C6450"/>
    <w:rsid w:val="008C74D6"/>
    <w:rsid w:val="008D0325"/>
    <w:rsid w:val="008D1837"/>
    <w:rsid w:val="008D1F12"/>
    <w:rsid w:val="008D1FCF"/>
    <w:rsid w:val="008D22B1"/>
    <w:rsid w:val="008D2A7F"/>
    <w:rsid w:val="008D2B70"/>
    <w:rsid w:val="008D3128"/>
    <w:rsid w:val="008D3216"/>
    <w:rsid w:val="008D33A9"/>
    <w:rsid w:val="008D34A3"/>
    <w:rsid w:val="008D36F6"/>
    <w:rsid w:val="008D3DC6"/>
    <w:rsid w:val="008D4557"/>
    <w:rsid w:val="008D48DC"/>
    <w:rsid w:val="008D4943"/>
    <w:rsid w:val="008D4A9A"/>
    <w:rsid w:val="008D50DF"/>
    <w:rsid w:val="008D5655"/>
    <w:rsid w:val="008D5C8A"/>
    <w:rsid w:val="008D5D8A"/>
    <w:rsid w:val="008D5FD6"/>
    <w:rsid w:val="008D61A7"/>
    <w:rsid w:val="008D6381"/>
    <w:rsid w:val="008D6539"/>
    <w:rsid w:val="008D6949"/>
    <w:rsid w:val="008D6C1B"/>
    <w:rsid w:val="008D710B"/>
    <w:rsid w:val="008D710E"/>
    <w:rsid w:val="008D72F5"/>
    <w:rsid w:val="008D7ACA"/>
    <w:rsid w:val="008D7B3C"/>
    <w:rsid w:val="008E02A6"/>
    <w:rsid w:val="008E0A1B"/>
    <w:rsid w:val="008E2013"/>
    <w:rsid w:val="008E25B6"/>
    <w:rsid w:val="008E2949"/>
    <w:rsid w:val="008E2BB0"/>
    <w:rsid w:val="008E2DAA"/>
    <w:rsid w:val="008E2F37"/>
    <w:rsid w:val="008E315A"/>
    <w:rsid w:val="008E317C"/>
    <w:rsid w:val="008E356C"/>
    <w:rsid w:val="008E4193"/>
    <w:rsid w:val="008E4871"/>
    <w:rsid w:val="008E4937"/>
    <w:rsid w:val="008E4A6D"/>
    <w:rsid w:val="008E4B29"/>
    <w:rsid w:val="008E51F0"/>
    <w:rsid w:val="008E5B4B"/>
    <w:rsid w:val="008E60AB"/>
    <w:rsid w:val="008E63D8"/>
    <w:rsid w:val="008E6673"/>
    <w:rsid w:val="008E7609"/>
    <w:rsid w:val="008F040F"/>
    <w:rsid w:val="008F0EE3"/>
    <w:rsid w:val="008F17A7"/>
    <w:rsid w:val="008F17F3"/>
    <w:rsid w:val="008F18C5"/>
    <w:rsid w:val="008F1FFE"/>
    <w:rsid w:val="008F2031"/>
    <w:rsid w:val="008F2A11"/>
    <w:rsid w:val="008F2AC4"/>
    <w:rsid w:val="008F43D8"/>
    <w:rsid w:val="008F4FAE"/>
    <w:rsid w:val="008F50C9"/>
    <w:rsid w:val="008F5498"/>
    <w:rsid w:val="008F556A"/>
    <w:rsid w:val="008F5A4D"/>
    <w:rsid w:val="008F5F12"/>
    <w:rsid w:val="008F6046"/>
    <w:rsid w:val="008F6E8D"/>
    <w:rsid w:val="008F722C"/>
    <w:rsid w:val="00900351"/>
    <w:rsid w:val="00900833"/>
    <w:rsid w:val="00900DDD"/>
    <w:rsid w:val="00901128"/>
    <w:rsid w:val="00901B6D"/>
    <w:rsid w:val="00901CE4"/>
    <w:rsid w:val="00902034"/>
    <w:rsid w:val="00902114"/>
    <w:rsid w:val="009022D9"/>
    <w:rsid w:val="009024AC"/>
    <w:rsid w:val="00902693"/>
    <w:rsid w:val="00902961"/>
    <w:rsid w:val="009034C1"/>
    <w:rsid w:val="00903BDC"/>
    <w:rsid w:val="00903E74"/>
    <w:rsid w:val="00904CDC"/>
    <w:rsid w:val="00904EE6"/>
    <w:rsid w:val="00904F53"/>
    <w:rsid w:val="009052EF"/>
    <w:rsid w:val="009053E9"/>
    <w:rsid w:val="00905712"/>
    <w:rsid w:val="0090586C"/>
    <w:rsid w:val="0090596C"/>
    <w:rsid w:val="00905F47"/>
    <w:rsid w:val="009068E1"/>
    <w:rsid w:val="00906E2B"/>
    <w:rsid w:val="00907671"/>
    <w:rsid w:val="00907ACF"/>
    <w:rsid w:val="00910A8D"/>
    <w:rsid w:val="00910C40"/>
    <w:rsid w:val="00910D38"/>
    <w:rsid w:val="00910D8A"/>
    <w:rsid w:val="0091105D"/>
    <w:rsid w:val="0091168D"/>
    <w:rsid w:val="0091168F"/>
    <w:rsid w:val="00911B8C"/>
    <w:rsid w:val="00912179"/>
    <w:rsid w:val="009122D6"/>
    <w:rsid w:val="00912374"/>
    <w:rsid w:val="00912C95"/>
    <w:rsid w:val="00914CE0"/>
    <w:rsid w:val="009151AE"/>
    <w:rsid w:val="009153CE"/>
    <w:rsid w:val="0091558B"/>
    <w:rsid w:val="00915C50"/>
    <w:rsid w:val="009164FA"/>
    <w:rsid w:val="00916508"/>
    <w:rsid w:val="009166E8"/>
    <w:rsid w:val="00916CCE"/>
    <w:rsid w:val="00916CD3"/>
    <w:rsid w:val="00916DFF"/>
    <w:rsid w:val="0091713C"/>
    <w:rsid w:val="009176AF"/>
    <w:rsid w:val="00917A22"/>
    <w:rsid w:val="00917BD3"/>
    <w:rsid w:val="00921295"/>
    <w:rsid w:val="0092259E"/>
    <w:rsid w:val="00923273"/>
    <w:rsid w:val="009242F4"/>
    <w:rsid w:val="00924B58"/>
    <w:rsid w:val="00924F2C"/>
    <w:rsid w:val="0092575E"/>
    <w:rsid w:val="0092580A"/>
    <w:rsid w:val="00925DA5"/>
    <w:rsid w:val="00925FF4"/>
    <w:rsid w:val="009264FB"/>
    <w:rsid w:val="00927320"/>
    <w:rsid w:val="0092770A"/>
    <w:rsid w:val="00927AA0"/>
    <w:rsid w:val="00930303"/>
    <w:rsid w:val="00931D6C"/>
    <w:rsid w:val="009325E3"/>
    <w:rsid w:val="00932A19"/>
    <w:rsid w:val="0093314B"/>
    <w:rsid w:val="00933D66"/>
    <w:rsid w:val="00934209"/>
    <w:rsid w:val="00934435"/>
    <w:rsid w:val="00934682"/>
    <w:rsid w:val="00935382"/>
    <w:rsid w:val="00935495"/>
    <w:rsid w:val="00935FF2"/>
    <w:rsid w:val="009365E2"/>
    <w:rsid w:val="00936A53"/>
    <w:rsid w:val="00936B29"/>
    <w:rsid w:val="00936BC5"/>
    <w:rsid w:val="0093728D"/>
    <w:rsid w:val="00937527"/>
    <w:rsid w:val="0093772C"/>
    <w:rsid w:val="00940145"/>
    <w:rsid w:val="009403F2"/>
    <w:rsid w:val="0094174E"/>
    <w:rsid w:val="00942909"/>
    <w:rsid w:val="00943268"/>
    <w:rsid w:val="00944D61"/>
    <w:rsid w:val="00945541"/>
    <w:rsid w:val="00946A46"/>
    <w:rsid w:val="00946AAC"/>
    <w:rsid w:val="00946F46"/>
    <w:rsid w:val="00947110"/>
    <w:rsid w:val="00947726"/>
    <w:rsid w:val="00947C91"/>
    <w:rsid w:val="00950420"/>
    <w:rsid w:val="00950C04"/>
    <w:rsid w:val="00950E3A"/>
    <w:rsid w:val="00950E6D"/>
    <w:rsid w:val="00950FE4"/>
    <w:rsid w:val="009513A2"/>
    <w:rsid w:val="009520F6"/>
    <w:rsid w:val="00952C84"/>
    <w:rsid w:val="00952D0F"/>
    <w:rsid w:val="00953021"/>
    <w:rsid w:val="009532DD"/>
    <w:rsid w:val="00953D2A"/>
    <w:rsid w:val="009547EF"/>
    <w:rsid w:val="00954BA3"/>
    <w:rsid w:val="009555D3"/>
    <w:rsid w:val="00955C67"/>
    <w:rsid w:val="00956098"/>
    <w:rsid w:val="00956218"/>
    <w:rsid w:val="00956B46"/>
    <w:rsid w:val="00956EFE"/>
    <w:rsid w:val="00957114"/>
    <w:rsid w:val="00957434"/>
    <w:rsid w:val="0095751E"/>
    <w:rsid w:val="00960022"/>
    <w:rsid w:val="00960621"/>
    <w:rsid w:val="00960E57"/>
    <w:rsid w:val="00961B1D"/>
    <w:rsid w:val="00962041"/>
    <w:rsid w:val="0096222C"/>
    <w:rsid w:val="0096287D"/>
    <w:rsid w:val="00962D10"/>
    <w:rsid w:val="00962E94"/>
    <w:rsid w:val="009632F2"/>
    <w:rsid w:val="00963560"/>
    <w:rsid w:val="00963620"/>
    <w:rsid w:val="00963A2C"/>
    <w:rsid w:val="0096446E"/>
    <w:rsid w:val="00964837"/>
    <w:rsid w:val="00964F04"/>
    <w:rsid w:val="009651DF"/>
    <w:rsid w:val="009667E8"/>
    <w:rsid w:val="00966A63"/>
    <w:rsid w:val="00966A9B"/>
    <w:rsid w:val="009677CB"/>
    <w:rsid w:val="00970369"/>
    <w:rsid w:val="00970A67"/>
    <w:rsid w:val="00970F37"/>
    <w:rsid w:val="00971A16"/>
    <w:rsid w:val="00971BDA"/>
    <w:rsid w:val="00972169"/>
    <w:rsid w:val="009724CF"/>
    <w:rsid w:val="00972EDB"/>
    <w:rsid w:val="00972F08"/>
    <w:rsid w:val="00973C47"/>
    <w:rsid w:val="00973F4A"/>
    <w:rsid w:val="00974580"/>
    <w:rsid w:val="009748F5"/>
    <w:rsid w:val="00974C34"/>
    <w:rsid w:val="00974CE7"/>
    <w:rsid w:val="009751B8"/>
    <w:rsid w:val="00976592"/>
    <w:rsid w:val="00976712"/>
    <w:rsid w:val="00976D18"/>
    <w:rsid w:val="00976FD1"/>
    <w:rsid w:val="009776B0"/>
    <w:rsid w:val="0097788E"/>
    <w:rsid w:val="00977EE2"/>
    <w:rsid w:val="009801E0"/>
    <w:rsid w:val="0098024E"/>
    <w:rsid w:val="00980334"/>
    <w:rsid w:val="0098041A"/>
    <w:rsid w:val="00980748"/>
    <w:rsid w:val="00980C19"/>
    <w:rsid w:val="00980CA4"/>
    <w:rsid w:val="009815AB"/>
    <w:rsid w:val="009818BA"/>
    <w:rsid w:val="009819A6"/>
    <w:rsid w:val="00981DDD"/>
    <w:rsid w:val="0098210F"/>
    <w:rsid w:val="0098221E"/>
    <w:rsid w:val="00982783"/>
    <w:rsid w:val="009834D1"/>
    <w:rsid w:val="00983DA2"/>
    <w:rsid w:val="00984A23"/>
    <w:rsid w:val="00984BDB"/>
    <w:rsid w:val="00984F14"/>
    <w:rsid w:val="009853DC"/>
    <w:rsid w:val="009854EB"/>
    <w:rsid w:val="00985853"/>
    <w:rsid w:val="00985A8A"/>
    <w:rsid w:val="00985E05"/>
    <w:rsid w:val="00985ECE"/>
    <w:rsid w:val="0098601F"/>
    <w:rsid w:val="009870DC"/>
    <w:rsid w:val="009875DE"/>
    <w:rsid w:val="00987966"/>
    <w:rsid w:val="00987D6C"/>
    <w:rsid w:val="00987F0E"/>
    <w:rsid w:val="00990422"/>
    <w:rsid w:val="00990576"/>
    <w:rsid w:val="009911B5"/>
    <w:rsid w:val="009911E1"/>
    <w:rsid w:val="009916AD"/>
    <w:rsid w:val="009918FC"/>
    <w:rsid w:val="00991F23"/>
    <w:rsid w:val="00993435"/>
    <w:rsid w:val="009940BE"/>
    <w:rsid w:val="00994111"/>
    <w:rsid w:val="00994586"/>
    <w:rsid w:val="0099465D"/>
    <w:rsid w:val="00994761"/>
    <w:rsid w:val="00994AE2"/>
    <w:rsid w:val="00994C56"/>
    <w:rsid w:val="00995382"/>
    <w:rsid w:val="00995536"/>
    <w:rsid w:val="009959ED"/>
    <w:rsid w:val="00995AD5"/>
    <w:rsid w:val="009963F6"/>
    <w:rsid w:val="00996D45"/>
    <w:rsid w:val="00997120"/>
    <w:rsid w:val="0099746A"/>
    <w:rsid w:val="009976E3"/>
    <w:rsid w:val="00997C2F"/>
    <w:rsid w:val="00997D61"/>
    <w:rsid w:val="009A0FF0"/>
    <w:rsid w:val="009A1D30"/>
    <w:rsid w:val="009A1F3B"/>
    <w:rsid w:val="009A27F1"/>
    <w:rsid w:val="009A2A5C"/>
    <w:rsid w:val="009A37F9"/>
    <w:rsid w:val="009A3BBD"/>
    <w:rsid w:val="009A3C64"/>
    <w:rsid w:val="009A409F"/>
    <w:rsid w:val="009A4295"/>
    <w:rsid w:val="009A4339"/>
    <w:rsid w:val="009A48D4"/>
    <w:rsid w:val="009A4BD8"/>
    <w:rsid w:val="009A5580"/>
    <w:rsid w:val="009A5ACE"/>
    <w:rsid w:val="009A5D1B"/>
    <w:rsid w:val="009A5D8C"/>
    <w:rsid w:val="009A7881"/>
    <w:rsid w:val="009A79ED"/>
    <w:rsid w:val="009A7D6C"/>
    <w:rsid w:val="009A7E98"/>
    <w:rsid w:val="009A7FFE"/>
    <w:rsid w:val="009B0183"/>
    <w:rsid w:val="009B0606"/>
    <w:rsid w:val="009B0A0D"/>
    <w:rsid w:val="009B0F31"/>
    <w:rsid w:val="009B1DD9"/>
    <w:rsid w:val="009B204C"/>
    <w:rsid w:val="009B21A1"/>
    <w:rsid w:val="009B30CE"/>
    <w:rsid w:val="009B35CD"/>
    <w:rsid w:val="009B39D8"/>
    <w:rsid w:val="009B39FC"/>
    <w:rsid w:val="009B39FE"/>
    <w:rsid w:val="009B3F6E"/>
    <w:rsid w:val="009B40F1"/>
    <w:rsid w:val="009B4CDE"/>
    <w:rsid w:val="009B50F4"/>
    <w:rsid w:val="009B5817"/>
    <w:rsid w:val="009B5AD6"/>
    <w:rsid w:val="009B6219"/>
    <w:rsid w:val="009B66B6"/>
    <w:rsid w:val="009B6AAC"/>
    <w:rsid w:val="009B6B41"/>
    <w:rsid w:val="009B7435"/>
    <w:rsid w:val="009B79A4"/>
    <w:rsid w:val="009B7C74"/>
    <w:rsid w:val="009B7DFF"/>
    <w:rsid w:val="009B7E14"/>
    <w:rsid w:val="009C001D"/>
    <w:rsid w:val="009C0106"/>
    <w:rsid w:val="009C1196"/>
    <w:rsid w:val="009C19CD"/>
    <w:rsid w:val="009C2996"/>
    <w:rsid w:val="009C2BA6"/>
    <w:rsid w:val="009C3316"/>
    <w:rsid w:val="009C33FF"/>
    <w:rsid w:val="009C371F"/>
    <w:rsid w:val="009C3C62"/>
    <w:rsid w:val="009C4501"/>
    <w:rsid w:val="009C459A"/>
    <w:rsid w:val="009C48D6"/>
    <w:rsid w:val="009C5577"/>
    <w:rsid w:val="009C566C"/>
    <w:rsid w:val="009C5703"/>
    <w:rsid w:val="009C588E"/>
    <w:rsid w:val="009C5AA5"/>
    <w:rsid w:val="009C5F3B"/>
    <w:rsid w:val="009C6034"/>
    <w:rsid w:val="009C66DD"/>
    <w:rsid w:val="009C6EA6"/>
    <w:rsid w:val="009C7500"/>
    <w:rsid w:val="009C7929"/>
    <w:rsid w:val="009C7DD4"/>
    <w:rsid w:val="009D0041"/>
    <w:rsid w:val="009D0962"/>
    <w:rsid w:val="009D0D08"/>
    <w:rsid w:val="009D19A2"/>
    <w:rsid w:val="009D2014"/>
    <w:rsid w:val="009D222C"/>
    <w:rsid w:val="009D2556"/>
    <w:rsid w:val="009D2601"/>
    <w:rsid w:val="009D2654"/>
    <w:rsid w:val="009D2ABC"/>
    <w:rsid w:val="009D2E14"/>
    <w:rsid w:val="009D4FF8"/>
    <w:rsid w:val="009D5063"/>
    <w:rsid w:val="009D51BE"/>
    <w:rsid w:val="009D542A"/>
    <w:rsid w:val="009D554B"/>
    <w:rsid w:val="009D58C6"/>
    <w:rsid w:val="009D5F1B"/>
    <w:rsid w:val="009D5FAF"/>
    <w:rsid w:val="009D61F4"/>
    <w:rsid w:val="009D666D"/>
    <w:rsid w:val="009D69BA"/>
    <w:rsid w:val="009D6A78"/>
    <w:rsid w:val="009D6CC3"/>
    <w:rsid w:val="009D7283"/>
    <w:rsid w:val="009D773A"/>
    <w:rsid w:val="009D7922"/>
    <w:rsid w:val="009D7A28"/>
    <w:rsid w:val="009E0092"/>
    <w:rsid w:val="009E0724"/>
    <w:rsid w:val="009E0966"/>
    <w:rsid w:val="009E13BF"/>
    <w:rsid w:val="009E29AA"/>
    <w:rsid w:val="009E2F3C"/>
    <w:rsid w:val="009E3167"/>
    <w:rsid w:val="009E3351"/>
    <w:rsid w:val="009E4000"/>
    <w:rsid w:val="009E4972"/>
    <w:rsid w:val="009E50F5"/>
    <w:rsid w:val="009E5418"/>
    <w:rsid w:val="009E5893"/>
    <w:rsid w:val="009E6AD9"/>
    <w:rsid w:val="009E6D65"/>
    <w:rsid w:val="009E7777"/>
    <w:rsid w:val="009E7C4B"/>
    <w:rsid w:val="009E7CAA"/>
    <w:rsid w:val="009E7FFD"/>
    <w:rsid w:val="009F0166"/>
    <w:rsid w:val="009F0441"/>
    <w:rsid w:val="009F1531"/>
    <w:rsid w:val="009F1B96"/>
    <w:rsid w:val="009F1DEC"/>
    <w:rsid w:val="009F2367"/>
    <w:rsid w:val="009F23EB"/>
    <w:rsid w:val="009F2B76"/>
    <w:rsid w:val="009F2C60"/>
    <w:rsid w:val="009F2CB4"/>
    <w:rsid w:val="009F2DED"/>
    <w:rsid w:val="009F49F3"/>
    <w:rsid w:val="009F4B0E"/>
    <w:rsid w:val="009F4C03"/>
    <w:rsid w:val="009F4D8A"/>
    <w:rsid w:val="009F5603"/>
    <w:rsid w:val="009F5BF5"/>
    <w:rsid w:val="009F65F9"/>
    <w:rsid w:val="009F6D1B"/>
    <w:rsid w:val="009F6E94"/>
    <w:rsid w:val="009F74B8"/>
    <w:rsid w:val="009F78A8"/>
    <w:rsid w:val="00A00441"/>
    <w:rsid w:val="00A00994"/>
    <w:rsid w:val="00A01B22"/>
    <w:rsid w:val="00A01E26"/>
    <w:rsid w:val="00A02488"/>
    <w:rsid w:val="00A02AC4"/>
    <w:rsid w:val="00A02E6C"/>
    <w:rsid w:val="00A03129"/>
    <w:rsid w:val="00A03198"/>
    <w:rsid w:val="00A03EEB"/>
    <w:rsid w:val="00A04449"/>
    <w:rsid w:val="00A0451F"/>
    <w:rsid w:val="00A04673"/>
    <w:rsid w:val="00A048D8"/>
    <w:rsid w:val="00A04EE1"/>
    <w:rsid w:val="00A050C9"/>
    <w:rsid w:val="00A055BF"/>
    <w:rsid w:val="00A05835"/>
    <w:rsid w:val="00A05E57"/>
    <w:rsid w:val="00A05EC6"/>
    <w:rsid w:val="00A0689A"/>
    <w:rsid w:val="00A06AB2"/>
    <w:rsid w:val="00A06C12"/>
    <w:rsid w:val="00A071D6"/>
    <w:rsid w:val="00A0746B"/>
    <w:rsid w:val="00A1020D"/>
    <w:rsid w:val="00A113A5"/>
    <w:rsid w:val="00A11A00"/>
    <w:rsid w:val="00A11F1C"/>
    <w:rsid w:val="00A12288"/>
    <w:rsid w:val="00A13071"/>
    <w:rsid w:val="00A13474"/>
    <w:rsid w:val="00A138AD"/>
    <w:rsid w:val="00A138F0"/>
    <w:rsid w:val="00A14904"/>
    <w:rsid w:val="00A14DF2"/>
    <w:rsid w:val="00A14ECC"/>
    <w:rsid w:val="00A1571F"/>
    <w:rsid w:val="00A16546"/>
    <w:rsid w:val="00A16C7F"/>
    <w:rsid w:val="00A16E5D"/>
    <w:rsid w:val="00A16FD3"/>
    <w:rsid w:val="00A17024"/>
    <w:rsid w:val="00A17567"/>
    <w:rsid w:val="00A20280"/>
    <w:rsid w:val="00A2057A"/>
    <w:rsid w:val="00A20768"/>
    <w:rsid w:val="00A20AE8"/>
    <w:rsid w:val="00A20E49"/>
    <w:rsid w:val="00A21033"/>
    <w:rsid w:val="00A2210A"/>
    <w:rsid w:val="00A22343"/>
    <w:rsid w:val="00A22987"/>
    <w:rsid w:val="00A22EBD"/>
    <w:rsid w:val="00A23086"/>
    <w:rsid w:val="00A2339F"/>
    <w:rsid w:val="00A23780"/>
    <w:rsid w:val="00A23BC8"/>
    <w:rsid w:val="00A23D47"/>
    <w:rsid w:val="00A24102"/>
    <w:rsid w:val="00A24F1C"/>
    <w:rsid w:val="00A25432"/>
    <w:rsid w:val="00A25AF8"/>
    <w:rsid w:val="00A25E95"/>
    <w:rsid w:val="00A2625D"/>
    <w:rsid w:val="00A26BE1"/>
    <w:rsid w:val="00A26DDD"/>
    <w:rsid w:val="00A26FC7"/>
    <w:rsid w:val="00A27106"/>
    <w:rsid w:val="00A3077D"/>
    <w:rsid w:val="00A30EC5"/>
    <w:rsid w:val="00A31599"/>
    <w:rsid w:val="00A31680"/>
    <w:rsid w:val="00A31D68"/>
    <w:rsid w:val="00A329FC"/>
    <w:rsid w:val="00A32C1F"/>
    <w:rsid w:val="00A32EB0"/>
    <w:rsid w:val="00A335DA"/>
    <w:rsid w:val="00A339CA"/>
    <w:rsid w:val="00A33FEB"/>
    <w:rsid w:val="00A34320"/>
    <w:rsid w:val="00A3471C"/>
    <w:rsid w:val="00A35111"/>
    <w:rsid w:val="00A354F1"/>
    <w:rsid w:val="00A35565"/>
    <w:rsid w:val="00A3600B"/>
    <w:rsid w:val="00A36185"/>
    <w:rsid w:val="00A368BA"/>
    <w:rsid w:val="00A36CF1"/>
    <w:rsid w:val="00A36EA4"/>
    <w:rsid w:val="00A370FB"/>
    <w:rsid w:val="00A3738C"/>
    <w:rsid w:val="00A3749A"/>
    <w:rsid w:val="00A37797"/>
    <w:rsid w:val="00A37966"/>
    <w:rsid w:val="00A37A2B"/>
    <w:rsid w:val="00A401A2"/>
    <w:rsid w:val="00A406C9"/>
    <w:rsid w:val="00A40A0C"/>
    <w:rsid w:val="00A40B80"/>
    <w:rsid w:val="00A4120A"/>
    <w:rsid w:val="00A41264"/>
    <w:rsid w:val="00A4126E"/>
    <w:rsid w:val="00A41BFB"/>
    <w:rsid w:val="00A42298"/>
    <w:rsid w:val="00A425EB"/>
    <w:rsid w:val="00A427D2"/>
    <w:rsid w:val="00A4296B"/>
    <w:rsid w:val="00A42D4E"/>
    <w:rsid w:val="00A42E4D"/>
    <w:rsid w:val="00A42E6C"/>
    <w:rsid w:val="00A43F51"/>
    <w:rsid w:val="00A4474A"/>
    <w:rsid w:val="00A44A48"/>
    <w:rsid w:val="00A44AF9"/>
    <w:rsid w:val="00A44FA3"/>
    <w:rsid w:val="00A453BF"/>
    <w:rsid w:val="00A45E97"/>
    <w:rsid w:val="00A46A76"/>
    <w:rsid w:val="00A46B49"/>
    <w:rsid w:val="00A46C84"/>
    <w:rsid w:val="00A46DCA"/>
    <w:rsid w:val="00A47027"/>
    <w:rsid w:val="00A4711D"/>
    <w:rsid w:val="00A47578"/>
    <w:rsid w:val="00A47735"/>
    <w:rsid w:val="00A50E50"/>
    <w:rsid w:val="00A51F46"/>
    <w:rsid w:val="00A5272F"/>
    <w:rsid w:val="00A5295E"/>
    <w:rsid w:val="00A53007"/>
    <w:rsid w:val="00A534A4"/>
    <w:rsid w:val="00A53E60"/>
    <w:rsid w:val="00A5433C"/>
    <w:rsid w:val="00A546F6"/>
    <w:rsid w:val="00A54AD5"/>
    <w:rsid w:val="00A54B90"/>
    <w:rsid w:val="00A55450"/>
    <w:rsid w:val="00A558B0"/>
    <w:rsid w:val="00A55904"/>
    <w:rsid w:val="00A55AE0"/>
    <w:rsid w:val="00A55EDD"/>
    <w:rsid w:val="00A55F6C"/>
    <w:rsid w:val="00A5624C"/>
    <w:rsid w:val="00A5665D"/>
    <w:rsid w:val="00A5669B"/>
    <w:rsid w:val="00A5749A"/>
    <w:rsid w:val="00A576E7"/>
    <w:rsid w:val="00A57D01"/>
    <w:rsid w:val="00A57D25"/>
    <w:rsid w:val="00A57F38"/>
    <w:rsid w:val="00A6044B"/>
    <w:rsid w:val="00A60B3B"/>
    <w:rsid w:val="00A60D49"/>
    <w:rsid w:val="00A60E46"/>
    <w:rsid w:val="00A61CA5"/>
    <w:rsid w:val="00A61F4A"/>
    <w:rsid w:val="00A620DA"/>
    <w:rsid w:val="00A620F5"/>
    <w:rsid w:val="00A62C60"/>
    <w:rsid w:val="00A62CF5"/>
    <w:rsid w:val="00A62DDC"/>
    <w:rsid w:val="00A62F48"/>
    <w:rsid w:val="00A63085"/>
    <w:rsid w:val="00A6329A"/>
    <w:rsid w:val="00A633A3"/>
    <w:rsid w:val="00A63416"/>
    <w:rsid w:val="00A63818"/>
    <w:rsid w:val="00A63B54"/>
    <w:rsid w:val="00A6491B"/>
    <w:rsid w:val="00A64EFA"/>
    <w:rsid w:val="00A65093"/>
    <w:rsid w:val="00A654D6"/>
    <w:rsid w:val="00A65D1C"/>
    <w:rsid w:val="00A6602C"/>
    <w:rsid w:val="00A660BA"/>
    <w:rsid w:val="00A67520"/>
    <w:rsid w:val="00A6774B"/>
    <w:rsid w:val="00A67A70"/>
    <w:rsid w:val="00A67FDE"/>
    <w:rsid w:val="00A70045"/>
    <w:rsid w:val="00A70945"/>
    <w:rsid w:val="00A709DD"/>
    <w:rsid w:val="00A7161A"/>
    <w:rsid w:val="00A72107"/>
    <w:rsid w:val="00A72154"/>
    <w:rsid w:val="00A721EF"/>
    <w:rsid w:val="00A72912"/>
    <w:rsid w:val="00A7310D"/>
    <w:rsid w:val="00A7369C"/>
    <w:rsid w:val="00A73A7C"/>
    <w:rsid w:val="00A74533"/>
    <w:rsid w:val="00A749F7"/>
    <w:rsid w:val="00A75169"/>
    <w:rsid w:val="00A752F6"/>
    <w:rsid w:val="00A76099"/>
    <w:rsid w:val="00A76379"/>
    <w:rsid w:val="00A766B3"/>
    <w:rsid w:val="00A76C53"/>
    <w:rsid w:val="00A7728A"/>
    <w:rsid w:val="00A7749F"/>
    <w:rsid w:val="00A775BF"/>
    <w:rsid w:val="00A77658"/>
    <w:rsid w:val="00A77DF6"/>
    <w:rsid w:val="00A8050B"/>
    <w:rsid w:val="00A80CB4"/>
    <w:rsid w:val="00A81114"/>
    <w:rsid w:val="00A81CCC"/>
    <w:rsid w:val="00A8260E"/>
    <w:rsid w:val="00A830A2"/>
    <w:rsid w:val="00A8327A"/>
    <w:rsid w:val="00A83494"/>
    <w:rsid w:val="00A83864"/>
    <w:rsid w:val="00A83B2C"/>
    <w:rsid w:val="00A84005"/>
    <w:rsid w:val="00A8406E"/>
    <w:rsid w:val="00A846BB"/>
    <w:rsid w:val="00A85549"/>
    <w:rsid w:val="00A85976"/>
    <w:rsid w:val="00A85D3F"/>
    <w:rsid w:val="00A85D8F"/>
    <w:rsid w:val="00A86DB7"/>
    <w:rsid w:val="00A87530"/>
    <w:rsid w:val="00A877D6"/>
    <w:rsid w:val="00A879B3"/>
    <w:rsid w:val="00A87BD4"/>
    <w:rsid w:val="00A87CA0"/>
    <w:rsid w:val="00A900AE"/>
    <w:rsid w:val="00A906F0"/>
    <w:rsid w:val="00A9178B"/>
    <w:rsid w:val="00A92725"/>
    <w:rsid w:val="00A931CF"/>
    <w:rsid w:val="00A93B45"/>
    <w:rsid w:val="00A93F1E"/>
    <w:rsid w:val="00A94008"/>
    <w:rsid w:val="00A943BA"/>
    <w:rsid w:val="00A94867"/>
    <w:rsid w:val="00A94F08"/>
    <w:rsid w:val="00A95199"/>
    <w:rsid w:val="00A951AA"/>
    <w:rsid w:val="00A95F3F"/>
    <w:rsid w:val="00A96107"/>
    <w:rsid w:val="00A968B6"/>
    <w:rsid w:val="00A96B48"/>
    <w:rsid w:val="00A97FBB"/>
    <w:rsid w:val="00AA00C8"/>
    <w:rsid w:val="00AA0A8C"/>
    <w:rsid w:val="00AA0B56"/>
    <w:rsid w:val="00AA0D31"/>
    <w:rsid w:val="00AA0EB3"/>
    <w:rsid w:val="00AA10F7"/>
    <w:rsid w:val="00AA14D0"/>
    <w:rsid w:val="00AA1C0F"/>
    <w:rsid w:val="00AA1C29"/>
    <w:rsid w:val="00AA3C7C"/>
    <w:rsid w:val="00AA40B2"/>
    <w:rsid w:val="00AA4268"/>
    <w:rsid w:val="00AA496B"/>
    <w:rsid w:val="00AA4CD8"/>
    <w:rsid w:val="00AA4FB1"/>
    <w:rsid w:val="00AA5546"/>
    <w:rsid w:val="00AA5CA0"/>
    <w:rsid w:val="00AA5CBE"/>
    <w:rsid w:val="00AA605E"/>
    <w:rsid w:val="00AA6607"/>
    <w:rsid w:val="00AA6E37"/>
    <w:rsid w:val="00AA7231"/>
    <w:rsid w:val="00AA7469"/>
    <w:rsid w:val="00AA7617"/>
    <w:rsid w:val="00AA77D2"/>
    <w:rsid w:val="00AA7F72"/>
    <w:rsid w:val="00AA7F8A"/>
    <w:rsid w:val="00AB07CF"/>
    <w:rsid w:val="00AB0B7D"/>
    <w:rsid w:val="00AB0E3D"/>
    <w:rsid w:val="00AB159A"/>
    <w:rsid w:val="00AB174F"/>
    <w:rsid w:val="00AB1B28"/>
    <w:rsid w:val="00AB1C4C"/>
    <w:rsid w:val="00AB1F6F"/>
    <w:rsid w:val="00AB282A"/>
    <w:rsid w:val="00AB2CB6"/>
    <w:rsid w:val="00AB3058"/>
    <w:rsid w:val="00AB32A1"/>
    <w:rsid w:val="00AB3952"/>
    <w:rsid w:val="00AB3A2B"/>
    <w:rsid w:val="00AB3B75"/>
    <w:rsid w:val="00AB3D54"/>
    <w:rsid w:val="00AB3F1E"/>
    <w:rsid w:val="00AB4A92"/>
    <w:rsid w:val="00AB4B11"/>
    <w:rsid w:val="00AB549D"/>
    <w:rsid w:val="00AB55DA"/>
    <w:rsid w:val="00AB5650"/>
    <w:rsid w:val="00AB56C5"/>
    <w:rsid w:val="00AB6346"/>
    <w:rsid w:val="00AB64BA"/>
    <w:rsid w:val="00AB681A"/>
    <w:rsid w:val="00AB6D6F"/>
    <w:rsid w:val="00AB6E55"/>
    <w:rsid w:val="00AB6FEF"/>
    <w:rsid w:val="00AB72F7"/>
    <w:rsid w:val="00AC00F9"/>
    <w:rsid w:val="00AC043B"/>
    <w:rsid w:val="00AC05A3"/>
    <w:rsid w:val="00AC0DEF"/>
    <w:rsid w:val="00AC1542"/>
    <w:rsid w:val="00AC1787"/>
    <w:rsid w:val="00AC1CF4"/>
    <w:rsid w:val="00AC22CF"/>
    <w:rsid w:val="00AC2E4A"/>
    <w:rsid w:val="00AC333E"/>
    <w:rsid w:val="00AC3A09"/>
    <w:rsid w:val="00AC5063"/>
    <w:rsid w:val="00AC5872"/>
    <w:rsid w:val="00AC641E"/>
    <w:rsid w:val="00AC6E13"/>
    <w:rsid w:val="00AC6F62"/>
    <w:rsid w:val="00AC764E"/>
    <w:rsid w:val="00AC7847"/>
    <w:rsid w:val="00AC7C46"/>
    <w:rsid w:val="00AD028B"/>
    <w:rsid w:val="00AD04C3"/>
    <w:rsid w:val="00AD0549"/>
    <w:rsid w:val="00AD0BE3"/>
    <w:rsid w:val="00AD0BFB"/>
    <w:rsid w:val="00AD1040"/>
    <w:rsid w:val="00AD1303"/>
    <w:rsid w:val="00AD14B0"/>
    <w:rsid w:val="00AD1A6F"/>
    <w:rsid w:val="00AD2686"/>
    <w:rsid w:val="00AD275A"/>
    <w:rsid w:val="00AD2A24"/>
    <w:rsid w:val="00AD36DD"/>
    <w:rsid w:val="00AD41E6"/>
    <w:rsid w:val="00AD4460"/>
    <w:rsid w:val="00AD46A9"/>
    <w:rsid w:val="00AD5349"/>
    <w:rsid w:val="00AD5431"/>
    <w:rsid w:val="00AD5901"/>
    <w:rsid w:val="00AD625B"/>
    <w:rsid w:val="00AD702B"/>
    <w:rsid w:val="00AD70F7"/>
    <w:rsid w:val="00AD7F56"/>
    <w:rsid w:val="00AE06AF"/>
    <w:rsid w:val="00AE08E2"/>
    <w:rsid w:val="00AE096A"/>
    <w:rsid w:val="00AE103F"/>
    <w:rsid w:val="00AE166C"/>
    <w:rsid w:val="00AE189C"/>
    <w:rsid w:val="00AE2012"/>
    <w:rsid w:val="00AE271A"/>
    <w:rsid w:val="00AE279A"/>
    <w:rsid w:val="00AE2FF6"/>
    <w:rsid w:val="00AE3415"/>
    <w:rsid w:val="00AE378F"/>
    <w:rsid w:val="00AE384F"/>
    <w:rsid w:val="00AE3A2E"/>
    <w:rsid w:val="00AE3B67"/>
    <w:rsid w:val="00AE40A5"/>
    <w:rsid w:val="00AE41B7"/>
    <w:rsid w:val="00AE4688"/>
    <w:rsid w:val="00AE4815"/>
    <w:rsid w:val="00AE4A4A"/>
    <w:rsid w:val="00AE55A7"/>
    <w:rsid w:val="00AE55AA"/>
    <w:rsid w:val="00AE5E58"/>
    <w:rsid w:val="00AE6012"/>
    <w:rsid w:val="00AE6204"/>
    <w:rsid w:val="00AE781C"/>
    <w:rsid w:val="00AE7BFE"/>
    <w:rsid w:val="00AE7C47"/>
    <w:rsid w:val="00AF02C6"/>
    <w:rsid w:val="00AF0568"/>
    <w:rsid w:val="00AF065F"/>
    <w:rsid w:val="00AF09BE"/>
    <w:rsid w:val="00AF09E8"/>
    <w:rsid w:val="00AF0B87"/>
    <w:rsid w:val="00AF0C1D"/>
    <w:rsid w:val="00AF1019"/>
    <w:rsid w:val="00AF10A8"/>
    <w:rsid w:val="00AF145D"/>
    <w:rsid w:val="00AF1647"/>
    <w:rsid w:val="00AF1718"/>
    <w:rsid w:val="00AF1804"/>
    <w:rsid w:val="00AF1D02"/>
    <w:rsid w:val="00AF200C"/>
    <w:rsid w:val="00AF214A"/>
    <w:rsid w:val="00AF22B0"/>
    <w:rsid w:val="00AF2AD7"/>
    <w:rsid w:val="00AF2EA7"/>
    <w:rsid w:val="00AF3236"/>
    <w:rsid w:val="00AF3484"/>
    <w:rsid w:val="00AF3C95"/>
    <w:rsid w:val="00AF438D"/>
    <w:rsid w:val="00AF452E"/>
    <w:rsid w:val="00AF480C"/>
    <w:rsid w:val="00AF512F"/>
    <w:rsid w:val="00AF5987"/>
    <w:rsid w:val="00AF6036"/>
    <w:rsid w:val="00AF6432"/>
    <w:rsid w:val="00AF7595"/>
    <w:rsid w:val="00AF7898"/>
    <w:rsid w:val="00B002C1"/>
    <w:rsid w:val="00B00BA7"/>
    <w:rsid w:val="00B010DA"/>
    <w:rsid w:val="00B01970"/>
    <w:rsid w:val="00B01C53"/>
    <w:rsid w:val="00B01F36"/>
    <w:rsid w:val="00B02469"/>
    <w:rsid w:val="00B02B55"/>
    <w:rsid w:val="00B03212"/>
    <w:rsid w:val="00B0340E"/>
    <w:rsid w:val="00B03F5F"/>
    <w:rsid w:val="00B040CA"/>
    <w:rsid w:val="00B043B7"/>
    <w:rsid w:val="00B04456"/>
    <w:rsid w:val="00B04BD8"/>
    <w:rsid w:val="00B04E3A"/>
    <w:rsid w:val="00B04F10"/>
    <w:rsid w:val="00B04F9C"/>
    <w:rsid w:val="00B05755"/>
    <w:rsid w:val="00B0591A"/>
    <w:rsid w:val="00B05A49"/>
    <w:rsid w:val="00B07A1F"/>
    <w:rsid w:val="00B07D87"/>
    <w:rsid w:val="00B1004B"/>
    <w:rsid w:val="00B10134"/>
    <w:rsid w:val="00B10CCA"/>
    <w:rsid w:val="00B10D8D"/>
    <w:rsid w:val="00B11941"/>
    <w:rsid w:val="00B11AE9"/>
    <w:rsid w:val="00B11E77"/>
    <w:rsid w:val="00B12043"/>
    <w:rsid w:val="00B124CC"/>
    <w:rsid w:val="00B12F2A"/>
    <w:rsid w:val="00B12FE9"/>
    <w:rsid w:val="00B135FE"/>
    <w:rsid w:val="00B13751"/>
    <w:rsid w:val="00B13F09"/>
    <w:rsid w:val="00B14774"/>
    <w:rsid w:val="00B15285"/>
    <w:rsid w:val="00B15715"/>
    <w:rsid w:val="00B1572D"/>
    <w:rsid w:val="00B16A21"/>
    <w:rsid w:val="00B20905"/>
    <w:rsid w:val="00B209A6"/>
    <w:rsid w:val="00B209C0"/>
    <w:rsid w:val="00B20AA2"/>
    <w:rsid w:val="00B20D90"/>
    <w:rsid w:val="00B20DDB"/>
    <w:rsid w:val="00B21444"/>
    <w:rsid w:val="00B21607"/>
    <w:rsid w:val="00B21ECE"/>
    <w:rsid w:val="00B221C2"/>
    <w:rsid w:val="00B22240"/>
    <w:rsid w:val="00B2244B"/>
    <w:rsid w:val="00B237F3"/>
    <w:rsid w:val="00B23B4A"/>
    <w:rsid w:val="00B23B9A"/>
    <w:rsid w:val="00B23F8E"/>
    <w:rsid w:val="00B24212"/>
    <w:rsid w:val="00B24454"/>
    <w:rsid w:val="00B24ECC"/>
    <w:rsid w:val="00B251C0"/>
    <w:rsid w:val="00B25331"/>
    <w:rsid w:val="00B25780"/>
    <w:rsid w:val="00B2595E"/>
    <w:rsid w:val="00B25E22"/>
    <w:rsid w:val="00B26C64"/>
    <w:rsid w:val="00B26CD5"/>
    <w:rsid w:val="00B2709B"/>
    <w:rsid w:val="00B27364"/>
    <w:rsid w:val="00B2736F"/>
    <w:rsid w:val="00B274F7"/>
    <w:rsid w:val="00B3078A"/>
    <w:rsid w:val="00B30D6B"/>
    <w:rsid w:val="00B30F0A"/>
    <w:rsid w:val="00B31B3A"/>
    <w:rsid w:val="00B31E45"/>
    <w:rsid w:val="00B3333E"/>
    <w:rsid w:val="00B33799"/>
    <w:rsid w:val="00B3421A"/>
    <w:rsid w:val="00B342DD"/>
    <w:rsid w:val="00B342FF"/>
    <w:rsid w:val="00B344D8"/>
    <w:rsid w:val="00B345B8"/>
    <w:rsid w:val="00B3537F"/>
    <w:rsid w:val="00B35B55"/>
    <w:rsid w:val="00B35CE0"/>
    <w:rsid w:val="00B35D0E"/>
    <w:rsid w:val="00B35E8A"/>
    <w:rsid w:val="00B36272"/>
    <w:rsid w:val="00B365EB"/>
    <w:rsid w:val="00B3709A"/>
    <w:rsid w:val="00B372B7"/>
    <w:rsid w:val="00B3737C"/>
    <w:rsid w:val="00B37425"/>
    <w:rsid w:val="00B3763E"/>
    <w:rsid w:val="00B3784B"/>
    <w:rsid w:val="00B37850"/>
    <w:rsid w:val="00B3785A"/>
    <w:rsid w:val="00B378AC"/>
    <w:rsid w:val="00B37999"/>
    <w:rsid w:val="00B37D62"/>
    <w:rsid w:val="00B401C2"/>
    <w:rsid w:val="00B40696"/>
    <w:rsid w:val="00B40E9B"/>
    <w:rsid w:val="00B415F0"/>
    <w:rsid w:val="00B418C4"/>
    <w:rsid w:val="00B418CB"/>
    <w:rsid w:val="00B41D16"/>
    <w:rsid w:val="00B42006"/>
    <w:rsid w:val="00B425C9"/>
    <w:rsid w:val="00B426FC"/>
    <w:rsid w:val="00B42896"/>
    <w:rsid w:val="00B430E4"/>
    <w:rsid w:val="00B436A6"/>
    <w:rsid w:val="00B437DC"/>
    <w:rsid w:val="00B43957"/>
    <w:rsid w:val="00B43A2F"/>
    <w:rsid w:val="00B43A93"/>
    <w:rsid w:val="00B43D6C"/>
    <w:rsid w:val="00B43F20"/>
    <w:rsid w:val="00B43F8D"/>
    <w:rsid w:val="00B44010"/>
    <w:rsid w:val="00B441D5"/>
    <w:rsid w:val="00B442BC"/>
    <w:rsid w:val="00B44360"/>
    <w:rsid w:val="00B447E7"/>
    <w:rsid w:val="00B4497D"/>
    <w:rsid w:val="00B44C88"/>
    <w:rsid w:val="00B44F62"/>
    <w:rsid w:val="00B452E3"/>
    <w:rsid w:val="00B457B3"/>
    <w:rsid w:val="00B45BD7"/>
    <w:rsid w:val="00B4639C"/>
    <w:rsid w:val="00B467ED"/>
    <w:rsid w:val="00B475E4"/>
    <w:rsid w:val="00B47FA1"/>
    <w:rsid w:val="00B5045E"/>
    <w:rsid w:val="00B50A0A"/>
    <w:rsid w:val="00B50BFA"/>
    <w:rsid w:val="00B50C59"/>
    <w:rsid w:val="00B51389"/>
    <w:rsid w:val="00B51BCB"/>
    <w:rsid w:val="00B52104"/>
    <w:rsid w:val="00B5253A"/>
    <w:rsid w:val="00B52615"/>
    <w:rsid w:val="00B52BD8"/>
    <w:rsid w:val="00B52F6D"/>
    <w:rsid w:val="00B5363D"/>
    <w:rsid w:val="00B538FD"/>
    <w:rsid w:val="00B53974"/>
    <w:rsid w:val="00B542AF"/>
    <w:rsid w:val="00B54FCF"/>
    <w:rsid w:val="00B5566A"/>
    <w:rsid w:val="00B5572D"/>
    <w:rsid w:val="00B55987"/>
    <w:rsid w:val="00B55C21"/>
    <w:rsid w:val="00B55DB6"/>
    <w:rsid w:val="00B56538"/>
    <w:rsid w:val="00B56C68"/>
    <w:rsid w:val="00B56C8B"/>
    <w:rsid w:val="00B56DCC"/>
    <w:rsid w:val="00B56F8D"/>
    <w:rsid w:val="00B571AC"/>
    <w:rsid w:val="00B576CB"/>
    <w:rsid w:val="00B57A36"/>
    <w:rsid w:val="00B60408"/>
    <w:rsid w:val="00B6062E"/>
    <w:rsid w:val="00B61465"/>
    <w:rsid w:val="00B629D8"/>
    <w:rsid w:val="00B63899"/>
    <w:rsid w:val="00B638B8"/>
    <w:rsid w:val="00B63CD4"/>
    <w:rsid w:val="00B645E0"/>
    <w:rsid w:val="00B64BB2"/>
    <w:rsid w:val="00B64CB6"/>
    <w:rsid w:val="00B64FE9"/>
    <w:rsid w:val="00B66447"/>
    <w:rsid w:val="00B664DB"/>
    <w:rsid w:val="00B66AA2"/>
    <w:rsid w:val="00B67CEC"/>
    <w:rsid w:val="00B70414"/>
    <w:rsid w:val="00B70D87"/>
    <w:rsid w:val="00B71880"/>
    <w:rsid w:val="00B71D26"/>
    <w:rsid w:val="00B72278"/>
    <w:rsid w:val="00B73006"/>
    <w:rsid w:val="00B73284"/>
    <w:rsid w:val="00B73AEF"/>
    <w:rsid w:val="00B743BB"/>
    <w:rsid w:val="00B74536"/>
    <w:rsid w:val="00B7492B"/>
    <w:rsid w:val="00B74BAA"/>
    <w:rsid w:val="00B7563A"/>
    <w:rsid w:val="00B75750"/>
    <w:rsid w:val="00B76410"/>
    <w:rsid w:val="00B768E9"/>
    <w:rsid w:val="00B76EAA"/>
    <w:rsid w:val="00B775F7"/>
    <w:rsid w:val="00B808A5"/>
    <w:rsid w:val="00B80B46"/>
    <w:rsid w:val="00B80D0F"/>
    <w:rsid w:val="00B8100F"/>
    <w:rsid w:val="00B811FC"/>
    <w:rsid w:val="00B8146F"/>
    <w:rsid w:val="00B817B3"/>
    <w:rsid w:val="00B81F29"/>
    <w:rsid w:val="00B8209A"/>
    <w:rsid w:val="00B82D11"/>
    <w:rsid w:val="00B830BD"/>
    <w:rsid w:val="00B832F7"/>
    <w:rsid w:val="00B83B77"/>
    <w:rsid w:val="00B84379"/>
    <w:rsid w:val="00B8473B"/>
    <w:rsid w:val="00B85D1D"/>
    <w:rsid w:val="00B8600B"/>
    <w:rsid w:val="00B86326"/>
    <w:rsid w:val="00B86377"/>
    <w:rsid w:val="00B8729A"/>
    <w:rsid w:val="00B87408"/>
    <w:rsid w:val="00B87713"/>
    <w:rsid w:val="00B87F02"/>
    <w:rsid w:val="00B914BC"/>
    <w:rsid w:val="00B91E91"/>
    <w:rsid w:val="00B9273B"/>
    <w:rsid w:val="00B9287B"/>
    <w:rsid w:val="00B92E77"/>
    <w:rsid w:val="00B93090"/>
    <w:rsid w:val="00B93BF5"/>
    <w:rsid w:val="00B93FBD"/>
    <w:rsid w:val="00B94084"/>
    <w:rsid w:val="00B94946"/>
    <w:rsid w:val="00B949FA"/>
    <w:rsid w:val="00B94F7D"/>
    <w:rsid w:val="00B953C9"/>
    <w:rsid w:val="00B95552"/>
    <w:rsid w:val="00B95713"/>
    <w:rsid w:val="00B95AB7"/>
    <w:rsid w:val="00B9799B"/>
    <w:rsid w:val="00B97C68"/>
    <w:rsid w:val="00B97EE3"/>
    <w:rsid w:val="00BA083C"/>
    <w:rsid w:val="00BA0B93"/>
    <w:rsid w:val="00BA0D49"/>
    <w:rsid w:val="00BA10F8"/>
    <w:rsid w:val="00BA1604"/>
    <w:rsid w:val="00BA1921"/>
    <w:rsid w:val="00BA1EC8"/>
    <w:rsid w:val="00BA2030"/>
    <w:rsid w:val="00BA26BF"/>
    <w:rsid w:val="00BA295F"/>
    <w:rsid w:val="00BA2D0C"/>
    <w:rsid w:val="00BA2F9B"/>
    <w:rsid w:val="00BA334D"/>
    <w:rsid w:val="00BA39F3"/>
    <w:rsid w:val="00BA3FB7"/>
    <w:rsid w:val="00BA417E"/>
    <w:rsid w:val="00BA4C90"/>
    <w:rsid w:val="00BA5A5D"/>
    <w:rsid w:val="00BA5BAD"/>
    <w:rsid w:val="00BA6E5A"/>
    <w:rsid w:val="00BA7451"/>
    <w:rsid w:val="00BA7456"/>
    <w:rsid w:val="00BB051D"/>
    <w:rsid w:val="00BB0B6A"/>
    <w:rsid w:val="00BB0D4B"/>
    <w:rsid w:val="00BB1206"/>
    <w:rsid w:val="00BB1903"/>
    <w:rsid w:val="00BB1B8E"/>
    <w:rsid w:val="00BB2372"/>
    <w:rsid w:val="00BB2E37"/>
    <w:rsid w:val="00BB3600"/>
    <w:rsid w:val="00BB3B3F"/>
    <w:rsid w:val="00BB3DB6"/>
    <w:rsid w:val="00BB42B0"/>
    <w:rsid w:val="00BB44BA"/>
    <w:rsid w:val="00BB456C"/>
    <w:rsid w:val="00BB4632"/>
    <w:rsid w:val="00BB53C0"/>
    <w:rsid w:val="00BB63EB"/>
    <w:rsid w:val="00BB6422"/>
    <w:rsid w:val="00BB64D3"/>
    <w:rsid w:val="00BB69AB"/>
    <w:rsid w:val="00BB6C2D"/>
    <w:rsid w:val="00BB6C7B"/>
    <w:rsid w:val="00BB6EA1"/>
    <w:rsid w:val="00BB6F61"/>
    <w:rsid w:val="00BB71DC"/>
    <w:rsid w:val="00BB7854"/>
    <w:rsid w:val="00BC03B6"/>
    <w:rsid w:val="00BC04D7"/>
    <w:rsid w:val="00BC05F1"/>
    <w:rsid w:val="00BC104E"/>
    <w:rsid w:val="00BC17BC"/>
    <w:rsid w:val="00BC23D7"/>
    <w:rsid w:val="00BC28AA"/>
    <w:rsid w:val="00BC2A5E"/>
    <w:rsid w:val="00BC2ED9"/>
    <w:rsid w:val="00BC2F64"/>
    <w:rsid w:val="00BC3002"/>
    <w:rsid w:val="00BC30DA"/>
    <w:rsid w:val="00BC3AFA"/>
    <w:rsid w:val="00BC3BED"/>
    <w:rsid w:val="00BC3C2D"/>
    <w:rsid w:val="00BC4D09"/>
    <w:rsid w:val="00BC524A"/>
    <w:rsid w:val="00BC525E"/>
    <w:rsid w:val="00BC54ED"/>
    <w:rsid w:val="00BC59F1"/>
    <w:rsid w:val="00BC5B4C"/>
    <w:rsid w:val="00BC6960"/>
    <w:rsid w:val="00BC6E87"/>
    <w:rsid w:val="00BC79AE"/>
    <w:rsid w:val="00BD0C1B"/>
    <w:rsid w:val="00BD1A74"/>
    <w:rsid w:val="00BD1ECA"/>
    <w:rsid w:val="00BD22AC"/>
    <w:rsid w:val="00BD27CD"/>
    <w:rsid w:val="00BD3049"/>
    <w:rsid w:val="00BD39F1"/>
    <w:rsid w:val="00BD3B52"/>
    <w:rsid w:val="00BD3FA5"/>
    <w:rsid w:val="00BD4159"/>
    <w:rsid w:val="00BD42C5"/>
    <w:rsid w:val="00BD487C"/>
    <w:rsid w:val="00BD4D0D"/>
    <w:rsid w:val="00BD5424"/>
    <w:rsid w:val="00BD59A4"/>
    <w:rsid w:val="00BD59C6"/>
    <w:rsid w:val="00BD5A15"/>
    <w:rsid w:val="00BD6772"/>
    <w:rsid w:val="00BD6F5B"/>
    <w:rsid w:val="00BD7598"/>
    <w:rsid w:val="00BD77F7"/>
    <w:rsid w:val="00BD781C"/>
    <w:rsid w:val="00BD7B27"/>
    <w:rsid w:val="00BD7CF3"/>
    <w:rsid w:val="00BE027B"/>
    <w:rsid w:val="00BE0DFF"/>
    <w:rsid w:val="00BE189B"/>
    <w:rsid w:val="00BE2A29"/>
    <w:rsid w:val="00BE2A87"/>
    <w:rsid w:val="00BE3740"/>
    <w:rsid w:val="00BE3974"/>
    <w:rsid w:val="00BE3BA8"/>
    <w:rsid w:val="00BE41C7"/>
    <w:rsid w:val="00BE4242"/>
    <w:rsid w:val="00BE42DA"/>
    <w:rsid w:val="00BE4820"/>
    <w:rsid w:val="00BE4BBD"/>
    <w:rsid w:val="00BE4D38"/>
    <w:rsid w:val="00BE516D"/>
    <w:rsid w:val="00BE6DE1"/>
    <w:rsid w:val="00BE6FE5"/>
    <w:rsid w:val="00BE7B0A"/>
    <w:rsid w:val="00BE7BEC"/>
    <w:rsid w:val="00BE7D0D"/>
    <w:rsid w:val="00BF00B7"/>
    <w:rsid w:val="00BF049D"/>
    <w:rsid w:val="00BF06E6"/>
    <w:rsid w:val="00BF06FE"/>
    <w:rsid w:val="00BF08C2"/>
    <w:rsid w:val="00BF0DFF"/>
    <w:rsid w:val="00BF2038"/>
    <w:rsid w:val="00BF2280"/>
    <w:rsid w:val="00BF2458"/>
    <w:rsid w:val="00BF2C40"/>
    <w:rsid w:val="00BF2E3E"/>
    <w:rsid w:val="00BF3E73"/>
    <w:rsid w:val="00BF4EF7"/>
    <w:rsid w:val="00BF4F79"/>
    <w:rsid w:val="00BF4F81"/>
    <w:rsid w:val="00BF544D"/>
    <w:rsid w:val="00BF6107"/>
    <w:rsid w:val="00BF6561"/>
    <w:rsid w:val="00BF6626"/>
    <w:rsid w:val="00BF7DBB"/>
    <w:rsid w:val="00BF7E8B"/>
    <w:rsid w:val="00C00246"/>
    <w:rsid w:val="00C00EFD"/>
    <w:rsid w:val="00C01781"/>
    <w:rsid w:val="00C01F6D"/>
    <w:rsid w:val="00C01FB8"/>
    <w:rsid w:val="00C023C8"/>
    <w:rsid w:val="00C02868"/>
    <w:rsid w:val="00C02EB7"/>
    <w:rsid w:val="00C02F74"/>
    <w:rsid w:val="00C03137"/>
    <w:rsid w:val="00C0373A"/>
    <w:rsid w:val="00C04743"/>
    <w:rsid w:val="00C05350"/>
    <w:rsid w:val="00C05953"/>
    <w:rsid w:val="00C066DD"/>
    <w:rsid w:val="00C06D0E"/>
    <w:rsid w:val="00C071A9"/>
    <w:rsid w:val="00C073DD"/>
    <w:rsid w:val="00C07C10"/>
    <w:rsid w:val="00C07DF1"/>
    <w:rsid w:val="00C10B82"/>
    <w:rsid w:val="00C116A2"/>
    <w:rsid w:val="00C117BE"/>
    <w:rsid w:val="00C11A04"/>
    <w:rsid w:val="00C11A38"/>
    <w:rsid w:val="00C11F7F"/>
    <w:rsid w:val="00C12ECB"/>
    <w:rsid w:val="00C13050"/>
    <w:rsid w:val="00C1334F"/>
    <w:rsid w:val="00C1357F"/>
    <w:rsid w:val="00C13A80"/>
    <w:rsid w:val="00C13EFF"/>
    <w:rsid w:val="00C1430A"/>
    <w:rsid w:val="00C14460"/>
    <w:rsid w:val="00C1492C"/>
    <w:rsid w:val="00C150EE"/>
    <w:rsid w:val="00C15307"/>
    <w:rsid w:val="00C1534E"/>
    <w:rsid w:val="00C155EF"/>
    <w:rsid w:val="00C15611"/>
    <w:rsid w:val="00C158F4"/>
    <w:rsid w:val="00C15D17"/>
    <w:rsid w:val="00C16001"/>
    <w:rsid w:val="00C161E6"/>
    <w:rsid w:val="00C16386"/>
    <w:rsid w:val="00C1651E"/>
    <w:rsid w:val="00C16836"/>
    <w:rsid w:val="00C1783E"/>
    <w:rsid w:val="00C17890"/>
    <w:rsid w:val="00C17957"/>
    <w:rsid w:val="00C17BFA"/>
    <w:rsid w:val="00C17FD8"/>
    <w:rsid w:val="00C20636"/>
    <w:rsid w:val="00C21BC0"/>
    <w:rsid w:val="00C220C9"/>
    <w:rsid w:val="00C2293D"/>
    <w:rsid w:val="00C22D11"/>
    <w:rsid w:val="00C232DC"/>
    <w:rsid w:val="00C237D5"/>
    <w:rsid w:val="00C23968"/>
    <w:rsid w:val="00C23F86"/>
    <w:rsid w:val="00C2576B"/>
    <w:rsid w:val="00C263FF"/>
    <w:rsid w:val="00C26715"/>
    <w:rsid w:val="00C271FA"/>
    <w:rsid w:val="00C272B6"/>
    <w:rsid w:val="00C2752C"/>
    <w:rsid w:val="00C303EC"/>
    <w:rsid w:val="00C30634"/>
    <w:rsid w:val="00C30D3D"/>
    <w:rsid w:val="00C3138C"/>
    <w:rsid w:val="00C315CD"/>
    <w:rsid w:val="00C31814"/>
    <w:rsid w:val="00C31AB0"/>
    <w:rsid w:val="00C327DB"/>
    <w:rsid w:val="00C3403C"/>
    <w:rsid w:val="00C34766"/>
    <w:rsid w:val="00C34D53"/>
    <w:rsid w:val="00C35090"/>
    <w:rsid w:val="00C3568C"/>
    <w:rsid w:val="00C35912"/>
    <w:rsid w:val="00C35C3A"/>
    <w:rsid w:val="00C35ECA"/>
    <w:rsid w:val="00C36104"/>
    <w:rsid w:val="00C369D2"/>
    <w:rsid w:val="00C36C47"/>
    <w:rsid w:val="00C36FE0"/>
    <w:rsid w:val="00C37416"/>
    <w:rsid w:val="00C37716"/>
    <w:rsid w:val="00C37B73"/>
    <w:rsid w:val="00C40185"/>
    <w:rsid w:val="00C4149C"/>
    <w:rsid w:val="00C41524"/>
    <w:rsid w:val="00C42087"/>
    <w:rsid w:val="00C42358"/>
    <w:rsid w:val="00C42441"/>
    <w:rsid w:val="00C42CFF"/>
    <w:rsid w:val="00C43141"/>
    <w:rsid w:val="00C431B2"/>
    <w:rsid w:val="00C43885"/>
    <w:rsid w:val="00C43924"/>
    <w:rsid w:val="00C440B4"/>
    <w:rsid w:val="00C44580"/>
    <w:rsid w:val="00C44739"/>
    <w:rsid w:val="00C4492A"/>
    <w:rsid w:val="00C44EA7"/>
    <w:rsid w:val="00C450A8"/>
    <w:rsid w:val="00C45339"/>
    <w:rsid w:val="00C45458"/>
    <w:rsid w:val="00C45658"/>
    <w:rsid w:val="00C45F2B"/>
    <w:rsid w:val="00C4617B"/>
    <w:rsid w:val="00C46F8F"/>
    <w:rsid w:val="00C4701E"/>
    <w:rsid w:val="00C47C5F"/>
    <w:rsid w:val="00C50428"/>
    <w:rsid w:val="00C510F2"/>
    <w:rsid w:val="00C51199"/>
    <w:rsid w:val="00C5194E"/>
    <w:rsid w:val="00C5219E"/>
    <w:rsid w:val="00C539CF"/>
    <w:rsid w:val="00C53D2D"/>
    <w:rsid w:val="00C5472E"/>
    <w:rsid w:val="00C549A7"/>
    <w:rsid w:val="00C54CD9"/>
    <w:rsid w:val="00C55185"/>
    <w:rsid w:val="00C55CAF"/>
    <w:rsid w:val="00C55DDD"/>
    <w:rsid w:val="00C55FFF"/>
    <w:rsid w:val="00C5728A"/>
    <w:rsid w:val="00C573C2"/>
    <w:rsid w:val="00C57C06"/>
    <w:rsid w:val="00C6000C"/>
    <w:rsid w:val="00C603F8"/>
    <w:rsid w:val="00C61081"/>
    <w:rsid w:val="00C616D3"/>
    <w:rsid w:val="00C6190B"/>
    <w:rsid w:val="00C61EE3"/>
    <w:rsid w:val="00C62ADF"/>
    <w:rsid w:val="00C62E99"/>
    <w:rsid w:val="00C632BE"/>
    <w:rsid w:val="00C635C6"/>
    <w:rsid w:val="00C635FD"/>
    <w:rsid w:val="00C63911"/>
    <w:rsid w:val="00C63ED6"/>
    <w:rsid w:val="00C63FAC"/>
    <w:rsid w:val="00C643C0"/>
    <w:rsid w:val="00C65DFF"/>
    <w:rsid w:val="00C66603"/>
    <w:rsid w:val="00C6695A"/>
    <w:rsid w:val="00C669C2"/>
    <w:rsid w:val="00C66CB3"/>
    <w:rsid w:val="00C66D1F"/>
    <w:rsid w:val="00C66DF1"/>
    <w:rsid w:val="00C67153"/>
    <w:rsid w:val="00C678E7"/>
    <w:rsid w:val="00C67B67"/>
    <w:rsid w:val="00C70039"/>
    <w:rsid w:val="00C70B47"/>
    <w:rsid w:val="00C712EE"/>
    <w:rsid w:val="00C7150A"/>
    <w:rsid w:val="00C71C66"/>
    <w:rsid w:val="00C71E8E"/>
    <w:rsid w:val="00C71EDA"/>
    <w:rsid w:val="00C721C0"/>
    <w:rsid w:val="00C73C68"/>
    <w:rsid w:val="00C73D25"/>
    <w:rsid w:val="00C74201"/>
    <w:rsid w:val="00C742CD"/>
    <w:rsid w:val="00C7483E"/>
    <w:rsid w:val="00C74990"/>
    <w:rsid w:val="00C74A5D"/>
    <w:rsid w:val="00C7579F"/>
    <w:rsid w:val="00C7599B"/>
    <w:rsid w:val="00C75AD3"/>
    <w:rsid w:val="00C75D90"/>
    <w:rsid w:val="00C7659B"/>
    <w:rsid w:val="00C80707"/>
    <w:rsid w:val="00C808E1"/>
    <w:rsid w:val="00C80B36"/>
    <w:rsid w:val="00C80B59"/>
    <w:rsid w:val="00C80B5E"/>
    <w:rsid w:val="00C80C08"/>
    <w:rsid w:val="00C81353"/>
    <w:rsid w:val="00C81455"/>
    <w:rsid w:val="00C8215D"/>
    <w:rsid w:val="00C82A01"/>
    <w:rsid w:val="00C83458"/>
    <w:rsid w:val="00C83A03"/>
    <w:rsid w:val="00C83F22"/>
    <w:rsid w:val="00C84C79"/>
    <w:rsid w:val="00C84E9B"/>
    <w:rsid w:val="00C852FF"/>
    <w:rsid w:val="00C856AB"/>
    <w:rsid w:val="00C85B09"/>
    <w:rsid w:val="00C86128"/>
    <w:rsid w:val="00C861EE"/>
    <w:rsid w:val="00C86A5F"/>
    <w:rsid w:val="00C870DC"/>
    <w:rsid w:val="00C875BB"/>
    <w:rsid w:val="00C87D14"/>
    <w:rsid w:val="00C90058"/>
    <w:rsid w:val="00C90475"/>
    <w:rsid w:val="00C9058C"/>
    <w:rsid w:val="00C91684"/>
    <w:rsid w:val="00C91FE2"/>
    <w:rsid w:val="00C92C55"/>
    <w:rsid w:val="00C92EB8"/>
    <w:rsid w:val="00C93860"/>
    <w:rsid w:val="00C939A3"/>
    <w:rsid w:val="00C93AEB"/>
    <w:rsid w:val="00C9434A"/>
    <w:rsid w:val="00C94861"/>
    <w:rsid w:val="00C951D4"/>
    <w:rsid w:val="00C95268"/>
    <w:rsid w:val="00C956A2"/>
    <w:rsid w:val="00C963EE"/>
    <w:rsid w:val="00C964C4"/>
    <w:rsid w:val="00C964C6"/>
    <w:rsid w:val="00C968C5"/>
    <w:rsid w:val="00C96921"/>
    <w:rsid w:val="00C96B4B"/>
    <w:rsid w:val="00C96BBD"/>
    <w:rsid w:val="00C974BC"/>
    <w:rsid w:val="00CA0550"/>
    <w:rsid w:val="00CA123F"/>
    <w:rsid w:val="00CA1259"/>
    <w:rsid w:val="00CA1BFB"/>
    <w:rsid w:val="00CA1DC6"/>
    <w:rsid w:val="00CA2953"/>
    <w:rsid w:val="00CA3276"/>
    <w:rsid w:val="00CA34DE"/>
    <w:rsid w:val="00CA3567"/>
    <w:rsid w:val="00CA3B91"/>
    <w:rsid w:val="00CA4606"/>
    <w:rsid w:val="00CA53EC"/>
    <w:rsid w:val="00CA5AE3"/>
    <w:rsid w:val="00CA5C2D"/>
    <w:rsid w:val="00CA756B"/>
    <w:rsid w:val="00CA7CE7"/>
    <w:rsid w:val="00CB02D1"/>
    <w:rsid w:val="00CB08EA"/>
    <w:rsid w:val="00CB0AB2"/>
    <w:rsid w:val="00CB1066"/>
    <w:rsid w:val="00CB10D6"/>
    <w:rsid w:val="00CB1221"/>
    <w:rsid w:val="00CB12FE"/>
    <w:rsid w:val="00CB14FB"/>
    <w:rsid w:val="00CB18AA"/>
    <w:rsid w:val="00CB1C92"/>
    <w:rsid w:val="00CB2144"/>
    <w:rsid w:val="00CB240A"/>
    <w:rsid w:val="00CB2547"/>
    <w:rsid w:val="00CB30E5"/>
    <w:rsid w:val="00CB4B23"/>
    <w:rsid w:val="00CB4CB5"/>
    <w:rsid w:val="00CB5180"/>
    <w:rsid w:val="00CB5423"/>
    <w:rsid w:val="00CB550A"/>
    <w:rsid w:val="00CB5663"/>
    <w:rsid w:val="00CB62A8"/>
    <w:rsid w:val="00CB6420"/>
    <w:rsid w:val="00CB6DFF"/>
    <w:rsid w:val="00CB7D9E"/>
    <w:rsid w:val="00CC0B50"/>
    <w:rsid w:val="00CC0C36"/>
    <w:rsid w:val="00CC11FD"/>
    <w:rsid w:val="00CC19BB"/>
    <w:rsid w:val="00CC1BA8"/>
    <w:rsid w:val="00CC22C1"/>
    <w:rsid w:val="00CC2373"/>
    <w:rsid w:val="00CC263C"/>
    <w:rsid w:val="00CC27EA"/>
    <w:rsid w:val="00CC2BF4"/>
    <w:rsid w:val="00CC2E4F"/>
    <w:rsid w:val="00CC2F02"/>
    <w:rsid w:val="00CC3616"/>
    <w:rsid w:val="00CC369C"/>
    <w:rsid w:val="00CC3EE3"/>
    <w:rsid w:val="00CC42F9"/>
    <w:rsid w:val="00CC542D"/>
    <w:rsid w:val="00CC547F"/>
    <w:rsid w:val="00CC5857"/>
    <w:rsid w:val="00CC6876"/>
    <w:rsid w:val="00CC6D75"/>
    <w:rsid w:val="00CC70C7"/>
    <w:rsid w:val="00CC74DE"/>
    <w:rsid w:val="00CC77C7"/>
    <w:rsid w:val="00CD01DA"/>
    <w:rsid w:val="00CD06A6"/>
    <w:rsid w:val="00CD11B2"/>
    <w:rsid w:val="00CD123E"/>
    <w:rsid w:val="00CD1389"/>
    <w:rsid w:val="00CD187C"/>
    <w:rsid w:val="00CD24E6"/>
    <w:rsid w:val="00CD28C5"/>
    <w:rsid w:val="00CD362C"/>
    <w:rsid w:val="00CD39C8"/>
    <w:rsid w:val="00CD3E5A"/>
    <w:rsid w:val="00CD4452"/>
    <w:rsid w:val="00CD4E81"/>
    <w:rsid w:val="00CD563F"/>
    <w:rsid w:val="00CD5AB2"/>
    <w:rsid w:val="00CD6719"/>
    <w:rsid w:val="00CD69E8"/>
    <w:rsid w:val="00CD7491"/>
    <w:rsid w:val="00CD76B9"/>
    <w:rsid w:val="00CD7DFA"/>
    <w:rsid w:val="00CE002E"/>
    <w:rsid w:val="00CE0167"/>
    <w:rsid w:val="00CE020D"/>
    <w:rsid w:val="00CE039B"/>
    <w:rsid w:val="00CE05E9"/>
    <w:rsid w:val="00CE0844"/>
    <w:rsid w:val="00CE0CFD"/>
    <w:rsid w:val="00CE0F60"/>
    <w:rsid w:val="00CE1931"/>
    <w:rsid w:val="00CE1C4E"/>
    <w:rsid w:val="00CE1DF0"/>
    <w:rsid w:val="00CE1E0B"/>
    <w:rsid w:val="00CE24B9"/>
    <w:rsid w:val="00CE27B0"/>
    <w:rsid w:val="00CE2E14"/>
    <w:rsid w:val="00CE3188"/>
    <w:rsid w:val="00CE34EE"/>
    <w:rsid w:val="00CE374B"/>
    <w:rsid w:val="00CE38BB"/>
    <w:rsid w:val="00CE43EF"/>
    <w:rsid w:val="00CE44F2"/>
    <w:rsid w:val="00CE4A98"/>
    <w:rsid w:val="00CE4DB1"/>
    <w:rsid w:val="00CE4F16"/>
    <w:rsid w:val="00CE5976"/>
    <w:rsid w:val="00CE5C9B"/>
    <w:rsid w:val="00CE5F02"/>
    <w:rsid w:val="00CE5F33"/>
    <w:rsid w:val="00CE63A3"/>
    <w:rsid w:val="00CE78DF"/>
    <w:rsid w:val="00CF0ABF"/>
    <w:rsid w:val="00CF0F13"/>
    <w:rsid w:val="00CF1343"/>
    <w:rsid w:val="00CF1823"/>
    <w:rsid w:val="00CF1AA3"/>
    <w:rsid w:val="00CF22DF"/>
    <w:rsid w:val="00CF2859"/>
    <w:rsid w:val="00CF2CCE"/>
    <w:rsid w:val="00CF3467"/>
    <w:rsid w:val="00CF36CA"/>
    <w:rsid w:val="00CF3C52"/>
    <w:rsid w:val="00CF4A5F"/>
    <w:rsid w:val="00CF546B"/>
    <w:rsid w:val="00CF5695"/>
    <w:rsid w:val="00CF57D5"/>
    <w:rsid w:val="00CF5ED9"/>
    <w:rsid w:val="00CF68B9"/>
    <w:rsid w:val="00CF7073"/>
    <w:rsid w:val="00CF739A"/>
    <w:rsid w:val="00CF788E"/>
    <w:rsid w:val="00CF7D0D"/>
    <w:rsid w:val="00D00215"/>
    <w:rsid w:val="00D0068E"/>
    <w:rsid w:val="00D00CD0"/>
    <w:rsid w:val="00D00F88"/>
    <w:rsid w:val="00D01484"/>
    <w:rsid w:val="00D01F00"/>
    <w:rsid w:val="00D02286"/>
    <w:rsid w:val="00D022B3"/>
    <w:rsid w:val="00D0253A"/>
    <w:rsid w:val="00D02C4E"/>
    <w:rsid w:val="00D03A72"/>
    <w:rsid w:val="00D03F5D"/>
    <w:rsid w:val="00D05685"/>
    <w:rsid w:val="00D05B81"/>
    <w:rsid w:val="00D05C5C"/>
    <w:rsid w:val="00D05CBC"/>
    <w:rsid w:val="00D05DD3"/>
    <w:rsid w:val="00D05EEF"/>
    <w:rsid w:val="00D0669C"/>
    <w:rsid w:val="00D06BE4"/>
    <w:rsid w:val="00D06E28"/>
    <w:rsid w:val="00D07BA5"/>
    <w:rsid w:val="00D100FA"/>
    <w:rsid w:val="00D105EF"/>
    <w:rsid w:val="00D10D2C"/>
    <w:rsid w:val="00D10E21"/>
    <w:rsid w:val="00D11051"/>
    <w:rsid w:val="00D1147E"/>
    <w:rsid w:val="00D12428"/>
    <w:rsid w:val="00D13209"/>
    <w:rsid w:val="00D1335D"/>
    <w:rsid w:val="00D133FC"/>
    <w:rsid w:val="00D13628"/>
    <w:rsid w:val="00D139DA"/>
    <w:rsid w:val="00D13CDE"/>
    <w:rsid w:val="00D13EBE"/>
    <w:rsid w:val="00D1451C"/>
    <w:rsid w:val="00D152E8"/>
    <w:rsid w:val="00D15CAC"/>
    <w:rsid w:val="00D16647"/>
    <w:rsid w:val="00D16B4F"/>
    <w:rsid w:val="00D16B7E"/>
    <w:rsid w:val="00D17079"/>
    <w:rsid w:val="00D17304"/>
    <w:rsid w:val="00D1777D"/>
    <w:rsid w:val="00D1783F"/>
    <w:rsid w:val="00D178B4"/>
    <w:rsid w:val="00D17E0E"/>
    <w:rsid w:val="00D201D7"/>
    <w:rsid w:val="00D20396"/>
    <w:rsid w:val="00D20427"/>
    <w:rsid w:val="00D20646"/>
    <w:rsid w:val="00D2154E"/>
    <w:rsid w:val="00D21676"/>
    <w:rsid w:val="00D21A2B"/>
    <w:rsid w:val="00D21BCC"/>
    <w:rsid w:val="00D21EB9"/>
    <w:rsid w:val="00D2233A"/>
    <w:rsid w:val="00D22F99"/>
    <w:rsid w:val="00D23160"/>
    <w:rsid w:val="00D231B6"/>
    <w:rsid w:val="00D236FB"/>
    <w:rsid w:val="00D23830"/>
    <w:rsid w:val="00D2384F"/>
    <w:rsid w:val="00D23910"/>
    <w:rsid w:val="00D23AF7"/>
    <w:rsid w:val="00D24654"/>
    <w:rsid w:val="00D247E9"/>
    <w:rsid w:val="00D24A4E"/>
    <w:rsid w:val="00D24E08"/>
    <w:rsid w:val="00D25439"/>
    <w:rsid w:val="00D25B0A"/>
    <w:rsid w:val="00D25F91"/>
    <w:rsid w:val="00D267AA"/>
    <w:rsid w:val="00D268DD"/>
    <w:rsid w:val="00D2722D"/>
    <w:rsid w:val="00D2791B"/>
    <w:rsid w:val="00D27BFB"/>
    <w:rsid w:val="00D31453"/>
    <w:rsid w:val="00D31902"/>
    <w:rsid w:val="00D31D7B"/>
    <w:rsid w:val="00D3227A"/>
    <w:rsid w:val="00D3244F"/>
    <w:rsid w:val="00D325B3"/>
    <w:rsid w:val="00D32ACB"/>
    <w:rsid w:val="00D32F7A"/>
    <w:rsid w:val="00D33900"/>
    <w:rsid w:val="00D33B44"/>
    <w:rsid w:val="00D33FA6"/>
    <w:rsid w:val="00D33FB7"/>
    <w:rsid w:val="00D343F3"/>
    <w:rsid w:val="00D347F7"/>
    <w:rsid w:val="00D354C8"/>
    <w:rsid w:val="00D35526"/>
    <w:rsid w:val="00D36621"/>
    <w:rsid w:val="00D36E52"/>
    <w:rsid w:val="00D371F2"/>
    <w:rsid w:val="00D3723D"/>
    <w:rsid w:val="00D37282"/>
    <w:rsid w:val="00D374E5"/>
    <w:rsid w:val="00D37575"/>
    <w:rsid w:val="00D3796B"/>
    <w:rsid w:val="00D40095"/>
    <w:rsid w:val="00D404D8"/>
    <w:rsid w:val="00D42993"/>
    <w:rsid w:val="00D4347E"/>
    <w:rsid w:val="00D4369C"/>
    <w:rsid w:val="00D437BF"/>
    <w:rsid w:val="00D43825"/>
    <w:rsid w:val="00D4393A"/>
    <w:rsid w:val="00D43CEF"/>
    <w:rsid w:val="00D43E31"/>
    <w:rsid w:val="00D44302"/>
    <w:rsid w:val="00D44572"/>
    <w:rsid w:val="00D44724"/>
    <w:rsid w:val="00D44881"/>
    <w:rsid w:val="00D45EFA"/>
    <w:rsid w:val="00D4618E"/>
    <w:rsid w:val="00D466F0"/>
    <w:rsid w:val="00D46709"/>
    <w:rsid w:val="00D46B90"/>
    <w:rsid w:val="00D47226"/>
    <w:rsid w:val="00D476E6"/>
    <w:rsid w:val="00D4780A"/>
    <w:rsid w:val="00D47C75"/>
    <w:rsid w:val="00D50669"/>
    <w:rsid w:val="00D508E2"/>
    <w:rsid w:val="00D52686"/>
    <w:rsid w:val="00D52D5D"/>
    <w:rsid w:val="00D52D83"/>
    <w:rsid w:val="00D5353F"/>
    <w:rsid w:val="00D535C2"/>
    <w:rsid w:val="00D5362F"/>
    <w:rsid w:val="00D536B5"/>
    <w:rsid w:val="00D537E2"/>
    <w:rsid w:val="00D54961"/>
    <w:rsid w:val="00D54EA9"/>
    <w:rsid w:val="00D55149"/>
    <w:rsid w:val="00D554D7"/>
    <w:rsid w:val="00D55AC2"/>
    <w:rsid w:val="00D55ADE"/>
    <w:rsid w:val="00D56830"/>
    <w:rsid w:val="00D57013"/>
    <w:rsid w:val="00D5703B"/>
    <w:rsid w:val="00D5725A"/>
    <w:rsid w:val="00D60B01"/>
    <w:rsid w:val="00D60D96"/>
    <w:rsid w:val="00D60E42"/>
    <w:rsid w:val="00D61166"/>
    <w:rsid w:val="00D61F91"/>
    <w:rsid w:val="00D62136"/>
    <w:rsid w:val="00D62652"/>
    <w:rsid w:val="00D626FF"/>
    <w:rsid w:val="00D62918"/>
    <w:rsid w:val="00D634A8"/>
    <w:rsid w:val="00D635C1"/>
    <w:rsid w:val="00D64009"/>
    <w:rsid w:val="00D64010"/>
    <w:rsid w:val="00D643C7"/>
    <w:rsid w:val="00D645F1"/>
    <w:rsid w:val="00D64881"/>
    <w:rsid w:val="00D64D68"/>
    <w:rsid w:val="00D64FC5"/>
    <w:rsid w:val="00D65B6A"/>
    <w:rsid w:val="00D6690A"/>
    <w:rsid w:val="00D66BF9"/>
    <w:rsid w:val="00D66D8B"/>
    <w:rsid w:val="00D66E07"/>
    <w:rsid w:val="00D67B63"/>
    <w:rsid w:val="00D70090"/>
    <w:rsid w:val="00D704A7"/>
    <w:rsid w:val="00D70650"/>
    <w:rsid w:val="00D70981"/>
    <w:rsid w:val="00D71258"/>
    <w:rsid w:val="00D71309"/>
    <w:rsid w:val="00D71651"/>
    <w:rsid w:val="00D7177C"/>
    <w:rsid w:val="00D71788"/>
    <w:rsid w:val="00D726F1"/>
    <w:rsid w:val="00D733A1"/>
    <w:rsid w:val="00D733C5"/>
    <w:rsid w:val="00D73567"/>
    <w:rsid w:val="00D73D59"/>
    <w:rsid w:val="00D749FC"/>
    <w:rsid w:val="00D74B7E"/>
    <w:rsid w:val="00D74D91"/>
    <w:rsid w:val="00D75E15"/>
    <w:rsid w:val="00D75E7A"/>
    <w:rsid w:val="00D76364"/>
    <w:rsid w:val="00D76414"/>
    <w:rsid w:val="00D7649B"/>
    <w:rsid w:val="00D76B6F"/>
    <w:rsid w:val="00D76C6B"/>
    <w:rsid w:val="00D76F75"/>
    <w:rsid w:val="00D77481"/>
    <w:rsid w:val="00D7788D"/>
    <w:rsid w:val="00D779AA"/>
    <w:rsid w:val="00D77ECB"/>
    <w:rsid w:val="00D801F5"/>
    <w:rsid w:val="00D806AA"/>
    <w:rsid w:val="00D807F5"/>
    <w:rsid w:val="00D80995"/>
    <w:rsid w:val="00D80B54"/>
    <w:rsid w:val="00D80BEE"/>
    <w:rsid w:val="00D80EF0"/>
    <w:rsid w:val="00D816D1"/>
    <w:rsid w:val="00D81D06"/>
    <w:rsid w:val="00D81DBC"/>
    <w:rsid w:val="00D81E73"/>
    <w:rsid w:val="00D827A4"/>
    <w:rsid w:val="00D82C3A"/>
    <w:rsid w:val="00D82D73"/>
    <w:rsid w:val="00D84436"/>
    <w:rsid w:val="00D84694"/>
    <w:rsid w:val="00D848F2"/>
    <w:rsid w:val="00D84ADC"/>
    <w:rsid w:val="00D84D96"/>
    <w:rsid w:val="00D8522A"/>
    <w:rsid w:val="00D85A2A"/>
    <w:rsid w:val="00D85D7E"/>
    <w:rsid w:val="00D86317"/>
    <w:rsid w:val="00D86FE3"/>
    <w:rsid w:val="00D87B9E"/>
    <w:rsid w:val="00D87D42"/>
    <w:rsid w:val="00D87E95"/>
    <w:rsid w:val="00D90488"/>
    <w:rsid w:val="00D906C7"/>
    <w:rsid w:val="00D9107B"/>
    <w:rsid w:val="00D91810"/>
    <w:rsid w:val="00D91875"/>
    <w:rsid w:val="00D918B4"/>
    <w:rsid w:val="00D918CE"/>
    <w:rsid w:val="00D91A66"/>
    <w:rsid w:val="00D91D1B"/>
    <w:rsid w:val="00D9269C"/>
    <w:rsid w:val="00D92CF6"/>
    <w:rsid w:val="00D93678"/>
    <w:rsid w:val="00D93C06"/>
    <w:rsid w:val="00D9478F"/>
    <w:rsid w:val="00D948BE"/>
    <w:rsid w:val="00D94BE5"/>
    <w:rsid w:val="00D94ED3"/>
    <w:rsid w:val="00D95AA8"/>
    <w:rsid w:val="00D95D1B"/>
    <w:rsid w:val="00D95E72"/>
    <w:rsid w:val="00D95FC7"/>
    <w:rsid w:val="00DA0257"/>
    <w:rsid w:val="00DA0891"/>
    <w:rsid w:val="00DA14ED"/>
    <w:rsid w:val="00DA26B9"/>
    <w:rsid w:val="00DA2B8E"/>
    <w:rsid w:val="00DA2D63"/>
    <w:rsid w:val="00DA39D6"/>
    <w:rsid w:val="00DA3BBF"/>
    <w:rsid w:val="00DA4D86"/>
    <w:rsid w:val="00DA4FCE"/>
    <w:rsid w:val="00DA5A95"/>
    <w:rsid w:val="00DA60E1"/>
    <w:rsid w:val="00DA610E"/>
    <w:rsid w:val="00DA73E4"/>
    <w:rsid w:val="00DB03B0"/>
    <w:rsid w:val="00DB0483"/>
    <w:rsid w:val="00DB0CF9"/>
    <w:rsid w:val="00DB0EF4"/>
    <w:rsid w:val="00DB1037"/>
    <w:rsid w:val="00DB255D"/>
    <w:rsid w:val="00DB2D10"/>
    <w:rsid w:val="00DB2E6F"/>
    <w:rsid w:val="00DB334F"/>
    <w:rsid w:val="00DB35BF"/>
    <w:rsid w:val="00DB36F3"/>
    <w:rsid w:val="00DB3B7B"/>
    <w:rsid w:val="00DB3D6C"/>
    <w:rsid w:val="00DB3FF9"/>
    <w:rsid w:val="00DB48FC"/>
    <w:rsid w:val="00DB4D43"/>
    <w:rsid w:val="00DB51D8"/>
    <w:rsid w:val="00DB54AC"/>
    <w:rsid w:val="00DB5B1C"/>
    <w:rsid w:val="00DB6B98"/>
    <w:rsid w:val="00DB6E8A"/>
    <w:rsid w:val="00DB6E9A"/>
    <w:rsid w:val="00DB6FF3"/>
    <w:rsid w:val="00DB6FFD"/>
    <w:rsid w:val="00DB7AB2"/>
    <w:rsid w:val="00DC10FC"/>
    <w:rsid w:val="00DC128F"/>
    <w:rsid w:val="00DC1E83"/>
    <w:rsid w:val="00DC21E1"/>
    <w:rsid w:val="00DC2795"/>
    <w:rsid w:val="00DC3042"/>
    <w:rsid w:val="00DC31D6"/>
    <w:rsid w:val="00DC35FD"/>
    <w:rsid w:val="00DC37F9"/>
    <w:rsid w:val="00DC3A95"/>
    <w:rsid w:val="00DC3ED7"/>
    <w:rsid w:val="00DC4247"/>
    <w:rsid w:val="00DC4649"/>
    <w:rsid w:val="00DC4794"/>
    <w:rsid w:val="00DC4D82"/>
    <w:rsid w:val="00DC5003"/>
    <w:rsid w:val="00DC5714"/>
    <w:rsid w:val="00DC5FEA"/>
    <w:rsid w:val="00DC677D"/>
    <w:rsid w:val="00DC6959"/>
    <w:rsid w:val="00DC6FF2"/>
    <w:rsid w:val="00DC70EC"/>
    <w:rsid w:val="00DC77B8"/>
    <w:rsid w:val="00DC7E0D"/>
    <w:rsid w:val="00DD0017"/>
    <w:rsid w:val="00DD0555"/>
    <w:rsid w:val="00DD0AE1"/>
    <w:rsid w:val="00DD1A49"/>
    <w:rsid w:val="00DD2A9A"/>
    <w:rsid w:val="00DD3347"/>
    <w:rsid w:val="00DD3D38"/>
    <w:rsid w:val="00DD4320"/>
    <w:rsid w:val="00DD4DCE"/>
    <w:rsid w:val="00DD573B"/>
    <w:rsid w:val="00DD57AF"/>
    <w:rsid w:val="00DD57FD"/>
    <w:rsid w:val="00DD5CCA"/>
    <w:rsid w:val="00DD63B1"/>
    <w:rsid w:val="00DD64BA"/>
    <w:rsid w:val="00DD686A"/>
    <w:rsid w:val="00DD7116"/>
    <w:rsid w:val="00DD727E"/>
    <w:rsid w:val="00DE0127"/>
    <w:rsid w:val="00DE0AFD"/>
    <w:rsid w:val="00DE115C"/>
    <w:rsid w:val="00DE16E6"/>
    <w:rsid w:val="00DE2509"/>
    <w:rsid w:val="00DE26D8"/>
    <w:rsid w:val="00DE343A"/>
    <w:rsid w:val="00DE3558"/>
    <w:rsid w:val="00DE358E"/>
    <w:rsid w:val="00DE3B9F"/>
    <w:rsid w:val="00DE4090"/>
    <w:rsid w:val="00DE41DE"/>
    <w:rsid w:val="00DE4FA9"/>
    <w:rsid w:val="00DE5A2F"/>
    <w:rsid w:val="00DE5CD3"/>
    <w:rsid w:val="00DE6010"/>
    <w:rsid w:val="00DE63C4"/>
    <w:rsid w:val="00DE63D2"/>
    <w:rsid w:val="00DE6CBB"/>
    <w:rsid w:val="00DE7C1E"/>
    <w:rsid w:val="00DE7E08"/>
    <w:rsid w:val="00DE7F61"/>
    <w:rsid w:val="00DF09BC"/>
    <w:rsid w:val="00DF0A51"/>
    <w:rsid w:val="00DF100D"/>
    <w:rsid w:val="00DF1104"/>
    <w:rsid w:val="00DF110A"/>
    <w:rsid w:val="00DF14BE"/>
    <w:rsid w:val="00DF1889"/>
    <w:rsid w:val="00DF1947"/>
    <w:rsid w:val="00DF1D86"/>
    <w:rsid w:val="00DF2E02"/>
    <w:rsid w:val="00DF3258"/>
    <w:rsid w:val="00DF33E6"/>
    <w:rsid w:val="00DF4677"/>
    <w:rsid w:val="00DF4695"/>
    <w:rsid w:val="00DF47A8"/>
    <w:rsid w:val="00DF47C5"/>
    <w:rsid w:val="00DF4A06"/>
    <w:rsid w:val="00DF4D0C"/>
    <w:rsid w:val="00DF55D9"/>
    <w:rsid w:val="00DF5A35"/>
    <w:rsid w:val="00DF5CEB"/>
    <w:rsid w:val="00DF625C"/>
    <w:rsid w:val="00DF6437"/>
    <w:rsid w:val="00DF65D4"/>
    <w:rsid w:val="00DF6BE1"/>
    <w:rsid w:val="00DF6D99"/>
    <w:rsid w:val="00DF768B"/>
    <w:rsid w:val="00DF76AC"/>
    <w:rsid w:val="00DF7718"/>
    <w:rsid w:val="00E00E7E"/>
    <w:rsid w:val="00E02258"/>
    <w:rsid w:val="00E027E5"/>
    <w:rsid w:val="00E03B7D"/>
    <w:rsid w:val="00E03FBB"/>
    <w:rsid w:val="00E041E7"/>
    <w:rsid w:val="00E049BC"/>
    <w:rsid w:val="00E04CBD"/>
    <w:rsid w:val="00E04DBD"/>
    <w:rsid w:val="00E04F07"/>
    <w:rsid w:val="00E04F2B"/>
    <w:rsid w:val="00E059B4"/>
    <w:rsid w:val="00E059F1"/>
    <w:rsid w:val="00E05C01"/>
    <w:rsid w:val="00E05EEC"/>
    <w:rsid w:val="00E0602D"/>
    <w:rsid w:val="00E062F1"/>
    <w:rsid w:val="00E0716B"/>
    <w:rsid w:val="00E07974"/>
    <w:rsid w:val="00E07B32"/>
    <w:rsid w:val="00E10737"/>
    <w:rsid w:val="00E117D4"/>
    <w:rsid w:val="00E119A0"/>
    <w:rsid w:val="00E11D0B"/>
    <w:rsid w:val="00E12113"/>
    <w:rsid w:val="00E12849"/>
    <w:rsid w:val="00E128E2"/>
    <w:rsid w:val="00E12B5D"/>
    <w:rsid w:val="00E12EE2"/>
    <w:rsid w:val="00E1382D"/>
    <w:rsid w:val="00E13FE9"/>
    <w:rsid w:val="00E142F7"/>
    <w:rsid w:val="00E14D3D"/>
    <w:rsid w:val="00E152B2"/>
    <w:rsid w:val="00E1534F"/>
    <w:rsid w:val="00E15A11"/>
    <w:rsid w:val="00E15DC0"/>
    <w:rsid w:val="00E15F19"/>
    <w:rsid w:val="00E16152"/>
    <w:rsid w:val="00E16987"/>
    <w:rsid w:val="00E16A14"/>
    <w:rsid w:val="00E17312"/>
    <w:rsid w:val="00E17611"/>
    <w:rsid w:val="00E176BD"/>
    <w:rsid w:val="00E17CF4"/>
    <w:rsid w:val="00E202ED"/>
    <w:rsid w:val="00E2036C"/>
    <w:rsid w:val="00E205AC"/>
    <w:rsid w:val="00E20A91"/>
    <w:rsid w:val="00E20D15"/>
    <w:rsid w:val="00E20FEB"/>
    <w:rsid w:val="00E212BE"/>
    <w:rsid w:val="00E2189E"/>
    <w:rsid w:val="00E2254C"/>
    <w:rsid w:val="00E228FA"/>
    <w:rsid w:val="00E22A71"/>
    <w:rsid w:val="00E233DD"/>
    <w:rsid w:val="00E238C1"/>
    <w:rsid w:val="00E238C7"/>
    <w:rsid w:val="00E23917"/>
    <w:rsid w:val="00E23F9C"/>
    <w:rsid w:val="00E24218"/>
    <w:rsid w:val="00E250E8"/>
    <w:rsid w:val="00E2542E"/>
    <w:rsid w:val="00E25E80"/>
    <w:rsid w:val="00E260EE"/>
    <w:rsid w:val="00E276A7"/>
    <w:rsid w:val="00E30932"/>
    <w:rsid w:val="00E3118B"/>
    <w:rsid w:val="00E317A0"/>
    <w:rsid w:val="00E3185F"/>
    <w:rsid w:val="00E31CF8"/>
    <w:rsid w:val="00E31D8E"/>
    <w:rsid w:val="00E32546"/>
    <w:rsid w:val="00E32893"/>
    <w:rsid w:val="00E32A44"/>
    <w:rsid w:val="00E32A92"/>
    <w:rsid w:val="00E32E95"/>
    <w:rsid w:val="00E3312A"/>
    <w:rsid w:val="00E3330A"/>
    <w:rsid w:val="00E3341C"/>
    <w:rsid w:val="00E33A51"/>
    <w:rsid w:val="00E34122"/>
    <w:rsid w:val="00E341DB"/>
    <w:rsid w:val="00E34428"/>
    <w:rsid w:val="00E345E9"/>
    <w:rsid w:val="00E34791"/>
    <w:rsid w:val="00E34892"/>
    <w:rsid w:val="00E34A57"/>
    <w:rsid w:val="00E351F6"/>
    <w:rsid w:val="00E355EF"/>
    <w:rsid w:val="00E36208"/>
    <w:rsid w:val="00E36353"/>
    <w:rsid w:val="00E369B3"/>
    <w:rsid w:val="00E36C6C"/>
    <w:rsid w:val="00E40187"/>
    <w:rsid w:val="00E402F3"/>
    <w:rsid w:val="00E418EA"/>
    <w:rsid w:val="00E41A8F"/>
    <w:rsid w:val="00E41E62"/>
    <w:rsid w:val="00E420AF"/>
    <w:rsid w:val="00E4219B"/>
    <w:rsid w:val="00E42C59"/>
    <w:rsid w:val="00E430FA"/>
    <w:rsid w:val="00E4325F"/>
    <w:rsid w:val="00E438DE"/>
    <w:rsid w:val="00E439DB"/>
    <w:rsid w:val="00E43A3D"/>
    <w:rsid w:val="00E43E2C"/>
    <w:rsid w:val="00E44C6C"/>
    <w:rsid w:val="00E451E0"/>
    <w:rsid w:val="00E45FB6"/>
    <w:rsid w:val="00E46699"/>
    <w:rsid w:val="00E46839"/>
    <w:rsid w:val="00E46DEE"/>
    <w:rsid w:val="00E474FB"/>
    <w:rsid w:val="00E501F7"/>
    <w:rsid w:val="00E50251"/>
    <w:rsid w:val="00E503B1"/>
    <w:rsid w:val="00E50A41"/>
    <w:rsid w:val="00E50CAE"/>
    <w:rsid w:val="00E50E18"/>
    <w:rsid w:val="00E5171F"/>
    <w:rsid w:val="00E525AC"/>
    <w:rsid w:val="00E52631"/>
    <w:rsid w:val="00E52D80"/>
    <w:rsid w:val="00E52F93"/>
    <w:rsid w:val="00E53478"/>
    <w:rsid w:val="00E53D0E"/>
    <w:rsid w:val="00E53FB1"/>
    <w:rsid w:val="00E54BE4"/>
    <w:rsid w:val="00E557B0"/>
    <w:rsid w:val="00E558D8"/>
    <w:rsid w:val="00E55B34"/>
    <w:rsid w:val="00E55C06"/>
    <w:rsid w:val="00E55C6A"/>
    <w:rsid w:val="00E55C75"/>
    <w:rsid w:val="00E56298"/>
    <w:rsid w:val="00E5703A"/>
    <w:rsid w:val="00E57287"/>
    <w:rsid w:val="00E576CB"/>
    <w:rsid w:val="00E57B8F"/>
    <w:rsid w:val="00E604B2"/>
    <w:rsid w:val="00E608BB"/>
    <w:rsid w:val="00E6099E"/>
    <w:rsid w:val="00E60F8D"/>
    <w:rsid w:val="00E61281"/>
    <w:rsid w:val="00E61289"/>
    <w:rsid w:val="00E61674"/>
    <w:rsid w:val="00E6203C"/>
    <w:rsid w:val="00E62239"/>
    <w:rsid w:val="00E622B5"/>
    <w:rsid w:val="00E62A35"/>
    <w:rsid w:val="00E62A82"/>
    <w:rsid w:val="00E62BCC"/>
    <w:rsid w:val="00E6338F"/>
    <w:rsid w:val="00E63535"/>
    <w:rsid w:val="00E63DDD"/>
    <w:rsid w:val="00E63F7A"/>
    <w:rsid w:val="00E6404D"/>
    <w:rsid w:val="00E645C9"/>
    <w:rsid w:val="00E64658"/>
    <w:rsid w:val="00E64835"/>
    <w:rsid w:val="00E64C3F"/>
    <w:rsid w:val="00E64FBE"/>
    <w:rsid w:val="00E65B9F"/>
    <w:rsid w:val="00E65C8C"/>
    <w:rsid w:val="00E65F67"/>
    <w:rsid w:val="00E66206"/>
    <w:rsid w:val="00E66B92"/>
    <w:rsid w:val="00E66EA5"/>
    <w:rsid w:val="00E67193"/>
    <w:rsid w:val="00E70117"/>
    <w:rsid w:val="00E7014E"/>
    <w:rsid w:val="00E70919"/>
    <w:rsid w:val="00E7091D"/>
    <w:rsid w:val="00E70E1F"/>
    <w:rsid w:val="00E71CF4"/>
    <w:rsid w:val="00E725D4"/>
    <w:rsid w:val="00E726F8"/>
    <w:rsid w:val="00E72C3D"/>
    <w:rsid w:val="00E72D54"/>
    <w:rsid w:val="00E73834"/>
    <w:rsid w:val="00E741ED"/>
    <w:rsid w:val="00E747E3"/>
    <w:rsid w:val="00E74AA4"/>
    <w:rsid w:val="00E75125"/>
    <w:rsid w:val="00E75171"/>
    <w:rsid w:val="00E7521D"/>
    <w:rsid w:val="00E75B03"/>
    <w:rsid w:val="00E75EF2"/>
    <w:rsid w:val="00E76A0E"/>
    <w:rsid w:val="00E76C24"/>
    <w:rsid w:val="00E77613"/>
    <w:rsid w:val="00E77B7F"/>
    <w:rsid w:val="00E80039"/>
    <w:rsid w:val="00E80044"/>
    <w:rsid w:val="00E80160"/>
    <w:rsid w:val="00E807DC"/>
    <w:rsid w:val="00E81A9F"/>
    <w:rsid w:val="00E81B82"/>
    <w:rsid w:val="00E81BAA"/>
    <w:rsid w:val="00E81D65"/>
    <w:rsid w:val="00E82B27"/>
    <w:rsid w:val="00E83406"/>
    <w:rsid w:val="00E835C3"/>
    <w:rsid w:val="00E83E27"/>
    <w:rsid w:val="00E84796"/>
    <w:rsid w:val="00E847B6"/>
    <w:rsid w:val="00E84BC1"/>
    <w:rsid w:val="00E84C3F"/>
    <w:rsid w:val="00E85564"/>
    <w:rsid w:val="00E85ADF"/>
    <w:rsid w:val="00E85BC2"/>
    <w:rsid w:val="00E85BDC"/>
    <w:rsid w:val="00E85D5E"/>
    <w:rsid w:val="00E85D77"/>
    <w:rsid w:val="00E86127"/>
    <w:rsid w:val="00E86579"/>
    <w:rsid w:val="00E865C2"/>
    <w:rsid w:val="00E86D5D"/>
    <w:rsid w:val="00E87105"/>
    <w:rsid w:val="00E8779D"/>
    <w:rsid w:val="00E87A43"/>
    <w:rsid w:val="00E87CDE"/>
    <w:rsid w:val="00E87D0F"/>
    <w:rsid w:val="00E902F3"/>
    <w:rsid w:val="00E90715"/>
    <w:rsid w:val="00E907AA"/>
    <w:rsid w:val="00E90989"/>
    <w:rsid w:val="00E909F3"/>
    <w:rsid w:val="00E90CCD"/>
    <w:rsid w:val="00E91AE2"/>
    <w:rsid w:val="00E91D47"/>
    <w:rsid w:val="00E91F9B"/>
    <w:rsid w:val="00E92020"/>
    <w:rsid w:val="00E9355E"/>
    <w:rsid w:val="00E93FA3"/>
    <w:rsid w:val="00E941BA"/>
    <w:rsid w:val="00E94C2B"/>
    <w:rsid w:val="00E94F29"/>
    <w:rsid w:val="00E95671"/>
    <w:rsid w:val="00E958C7"/>
    <w:rsid w:val="00E959B3"/>
    <w:rsid w:val="00E95E52"/>
    <w:rsid w:val="00E963EA"/>
    <w:rsid w:val="00E96815"/>
    <w:rsid w:val="00E96A0B"/>
    <w:rsid w:val="00E96B40"/>
    <w:rsid w:val="00E96D43"/>
    <w:rsid w:val="00E97DBD"/>
    <w:rsid w:val="00EA0764"/>
    <w:rsid w:val="00EA0AB1"/>
    <w:rsid w:val="00EA108A"/>
    <w:rsid w:val="00EA1719"/>
    <w:rsid w:val="00EA1DAD"/>
    <w:rsid w:val="00EA2667"/>
    <w:rsid w:val="00EA28CD"/>
    <w:rsid w:val="00EA420A"/>
    <w:rsid w:val="00EA4386"/>
    <w:rsid w:val="00EA48B2"/>
    <w:rsid w:val="00EA4911"/>
    <w:rsid w:val="00EA55D0"/>
    <w:rsid w:val="00EA685A"/>
    <w:rsid w:val="00EA72CB"/>
    <w:rsid w:val="00EA747F"/>
    <w:rsid w:val="00EA765A"/>
    <w:rsid w:val="00EA76BE"/>
    <w:rsid w:val="00EA7D78"/>
    <w:rsid w:val="00EA7E09"/>
    <w:rsid w:val="00EB1BDA"/>
    <w:rsid w:val="00EB2036"/>
    <w:rsid w:val="00EB246D"/>
    <w:rsid w:val="00EB2B60"/>
    <w:rsid w:val="00EB2C3D"/>
    <w:rsid w:val="00EB2CD4"/>
    <w:rsid w:val="00EB3331"/>
    <w:rsid w:val="00EB53C0"/>
    <w:rsid w:val="00EB55B2"/>
    <w:rsid w:val="00EB572E"/>
    <w:rsid w:val="00EB5C6B"/>
    <w:rsid w:val="00EB6565"/>
    <w:rsid w:val="00EB684C"/>
    <w:rsid w:val="00EB6C73"/>
    <w:rsid w:val="00EB6F3A"/>
    <w:rsid w:val="00EB75C8"/>
    <w:rsid w:val="00EB77DB"/>
    <w:rsid w:val="00EB7D3E"/>
    <w:rsid w:val="00EC08FF"/>
    <w:rsid w:val="00EC0A8D"/>
    <w:rsid w:val="00EC0D87"/>
    <w:rsid w:val="00EC199E"/>
    <w:rsid w:val="00EC1EC0"/>
    <w:rsid w:val="00EC2489"/>
    <w:rsid w:val="00EC24B2"/>
    <w:rsid w:val="00EC2635"/>
    <w:rsid w:val="00EC2A7E"/>
    <w:rsid w:val="00EC3375"/>
    <w:rsid w:val="00EC3BA2"/>
    <w:rsid w:val="00EC3BDE"/>
    <w:rsid w:val="00EC3EE2"/>
    <w:rsid w:val="00EC42DE"/>
    <w:rsid w:val="00EC476A"/>
    <w:rsid w:val="00EC4FEA"/>
    <w:rsid w:val="00EC60B9"/>
    <w:rsid w:val="00EC68FA"/>
    <w:rsid w:val="00EC7370"/>
    <w:rsid w:val="00EC74D0"/>
    <w:rsid w:val="00EC7B89"/>
    <w:rsid w:val="00EC7F67"/>
    <w:rsid w:val="00ED02BF"/>
    <w:rsid w:val="00ED05AD"/>
    <w:rsid w:val="00ED1690"/>
    <w:rsid w:val="00ED17AC"/>
    <w:rsid w:val="00ED22CA"/>
    <w:rsid w:val="00ED2744"/>
    <w:rsid w:val="00ED2F54"/>
    <w:rsid w:val="00ED3F69"/>
    <w:rsid w:val="00ED4172"/>
    <w:rsid w:val="00ED4416"/>
    <w:rsid w:val="00ED483D"/>
    <w:rsid w:val="00ED485F"/>
    <w:rsid w:val="00ED58AD"/>
    <w:rsid w:val="00ED5940"/>
    <w:rsid w:val="00ED617C"/>
    <w:rsid w:val="00ED6959"/>
    <w:rsid w:val="00ED6A6F"/>
    <w:rsid w:val="00ED6E2C"/>
    <w:rsid w:val="00ED71B4"/>
    <w:rsid w:val="00EE0A39"/>
    <w:rsid w:val="00EE213A"/>
    <w:rsid w:val="00EE2428"/>
    <w:rsid w:val="00EE2719"/>
    <w:rsid w:val="00EE2AD9"/>
    <w:rsid w:val="00EE2DF4"/>
    <w:rsid w:val="00EE2FCD"/>
    <w:rsid w:val="00EE52D0"/>
    <w:rsid w:val="00EE5407"/>
    <w:rsid w:val="00EE66E6"/>
    <w:rsid w:val="00EE69D2"/>
    <w:rsid w:val="00EE6DF7"/>
    <w:rsid w:val="00EE6FCD"/>
    <w:rsid w:val="00EE7143"/>
    <w:rsid w:val="00EE7250"/>
    <w:rsid w:val="00EE72D1"/>
    <w:rsid w:val="00EE7534"/>
    <w:rsid w:val="00EE762D"/>
    <w:rsid w:val="00EF00CE"/>
    <w:rsid w:val="00EF03B1"/>
    <w:rsid w:val="00EF0C17"/>
    <w:rsid w:val="00EF0EB1"/>
    <w:rsid w:val="00EF1785"/>
    <w:rsid w:val="00EF1B67"/>
    <w:rsid w:val="00EF1CC1"/>
    <w:rsid w:val="00EF1D55"/>
    <w:rsid w:val="00EF1E2A"/>
    <w:rsid w:val="00EF21F2"/>
    <w:rsid w:val="00EF2541"/>
    <w:rsid w:val="00EF28C6"/>
    <w:rsid w:val="00EF2B9F"/>
    <w:rsid w:val="00EF305D"/>
    <w:rsid w:val="00EF3647"/>
    <w:rsid w:val="00EF3661"/>
    <w:rsid w:val="00EF4C6E"/>
    <w:rsid w:val="00EF50F7"/>
    <w:rsid w:val="00EF522B"/>
    <w:rsid w:val="00EF532E"/>
    <w:rsid w:val="00EF5ED0"/>
    <w:rsid w:val="00EF67BC"/>
    <w:rsid w:val="00EF6C0E"/>
    <w:rsid w:val="00EF6C18"/>
    <w:rsid w:val="00EF6ECB"/>
    <w:rsid w:val="00EF6FAD"/>
    <w:rsid w:val="00EF7094"/>
    <w:rsid w:val="00EF710C"/>
    <w:rsid w:val="00EF754B"/>
    <w:rsid w:val="00EF7CD3"/>
    <w:rsid w:val="00EF7E4E"/>
    <w:rsid w:val="00F005B1"/>
    <w:rsid w:val="00F00893"/>
    <w:rsid w:val="00F00A53"/>
    <w:rsid w:val="00F00AD6"/>
    <w:rsid w:val="00F00F73"/>
    <w:rsid w:val="00F01401"/>
    <w:rsid w:val="00F016AA"/>
    <w:rsid w:val="00F02A18"/>
    <w:rsid w:val="00F02AEE"/>
    <w:rsid w:val="00F02ED9"/>
    <w:rsid w:val="00F03617"/>
    <w:rsid w:val="00F036C9"/>
    <w:rsid w:val="00F038F6"/>
    <w:rsid w:val="00F03943"/>
    <w:rsid w:val="00F03C90"/>
    <w:rsid w:val="00F03CD9"/>
    <w:rsid w:val="00F04614"/>
    <w:rsid w:val="00F0466E"/>
    <w:rsid w:val="00F04753"/>
    <w:rsid w:val="00F04A3A"/>
    <w:rsid w:val="00F04CC7"/>
    <w:rsid w:val="00F0592A"/>
    <w:rsid w:val="00F05FFB"/>
    <w:rsid w:val="00F0615A"/>
    <w:rsid w:val="00F063BC"/>
    <w:rsid w:val="00F06500"/>
    <w:rsid w:val="00F06867"/>
    <w:rsid w:val="00F0748A"/>
    <w:rsid w:val="00F07996"/>
    <w:rsid w:val="00F07F5B"/>
    <w:rsid w:val="00F116EC"/>
    <w:rsid w:val="00F11BCC"/>
    <w:rsid w:val="00F121CC"/>
    <w:rsid w:val="00F12C3C"/>
    <w:rsid w:val="00F134CA"/>
    <w:rsid w:val="00F1359C"/>
    <w:rsid w:val="00F1364C"/>
    <w:rsid w:val="00F13EB4"/>
    <w:rsid w:val="00F13FEA"/>
    <w:rsid w:val="00F1444B"/>
    <w:rsid w:val="00F1508E"/>
    <w:rsid w:val="00F158F5"/>
    <w:rsid w:val="00F1629E"/>
    <w:rsid w:val="00F17D5F"/>
    <w:rsid w:val="00F20291"/>
    <w:rsid w:val="00F20819"/>
    <w:rsid w:val="00F210AE"/>
    <w:rsid w:val="00F21DF4"/>
    <w:rsid w:val="00F21F3A"/>
    <w:rsid w:val="00F21FFA"/>
    <w:rsid w:val="00F22262"/>
    <w:rsid w:val="00F228A1"/>
    <w:rsid w:val="00F24504"/>
    <w:rsid w:val="00F246B3"/>
    <w:rsid w:val="00F25038"/>
    <w:rsid w:val="00F25329"/>
    <w:rsid w:val="00F25DDD"/>
    <w:rsid w:val="00F25F4E"/>
    <w:rsid w:val="00F26C15"/>
    <w:rsid w:val="00F276FB"/>
    <w:rsid w:val="00F27EDC"/>
    <w:rsid w:val="00F30470"/>
    <w:rsid w:val="00F305E6"/>
    <w:rsid w:val="00F30976"/>
    <w:rsid w:val="00F3128C"/>
    <w:rsid w:val="00F314B8"/>
    <w:rsid w:val="00F31CEE"/>
    <w:rsid w:val="00F32267"/>
    <w:rsid w:val="00F323D5"/>
    <w:rsid w:val="00F32B04"/>
    <w:rsid w:val="00F32E6F"/>
    <w:rsid w:val="00F330C4"/>
    <w:rsid w:val="00F33C72"/>
    <w:rsid w:val="00F33D99"/>
    <w:rsid w:val="00F33E62"/>
    <w:rsid w:val="00F34588"/>
    <w:rsid w:val="00F34B19"/>
    <w:rsid w:val="00F350DC"/>
    <w:rsid w:val="00F35707"/>
    <w:rsid w:val="00F3591E"/>
    <w:rsid w:val="00F36389"/>
    <w:rsid w:val="00F36675"/>
    <w:rsid w:val="00F368F0"/>
    <w:rsid w:val="00F36B8A"/>
    <w:rsid w:val="00F37090"/>
    <w:rsid w:val="00F37F54"/>
    <w:rsid w:val="00F400F1"/>
    <w:rsid w:val="00F40106"/>
    <w:rsid w:val="00F4037C"/>
    <w:rsid w:val="00F410DA"/>
    <w:rsid w:val="00F41208"/>
    <w:rsid w:val="00F418A9"/>
    <w:rsid w:val="00F41ABB"/>
    <w:rsid w:val="00F42CF2"/>
    <w:rsid w:val="00F42CF7"/>
    <w:rsid w:val="00F43559"/>
    <w:rsid w:val="00F436FF"/>
    <w:rsid w:val="00F445C1"/>
    <w:rsid w:val="00F446A0"/>
    <w:rsid w:val="00F44736"/>
    <w:rsid w:val="00F4614F"/>
    <w:rsid w:val="00F475B2"/>
    <w:rsid w:val="00F475D8"/>
    <w:rsid w:val="00F47EBF"/>
    <w:rsid w:val="00F512D4"/>
    <w:rsid w:val="00F52324"/>
    <w:rsid w:val="00F52C22"/>
    <w:rsid w:val="00F53249"/>
    <w:rsid w:val="00F535EA"/>
    <w:rsid w:val="00F537BF"/>
    <w:rsid w:val="00F53987"/>
    <w:rsid w:val="00F53D1F"/>
    <w:rsid w:val="00F53EE8"/>
    <w:rsid w:val="00F54921"/>
    <w:rsid w:val="00F5593D"/>
    <w:rsid w:val="00F55CDB"/>
    <w:rsid w:val="00F562FC"/>
    <w:rsid w:val="00F56427"/>
    <w:rsid w:val="00F5654C"/>
    <w:rsid w:val="00F5745C"/>
    <w:rsid w:val="00F60577"/>
    <w:rsid w:val="00F60D06"/>
    <w:rsid w:val="00F60EFB"/>
    <w:rsid w:val="00F614DF"/>
    <w:rsid w:val="00F615D4"/>
    <w:rsid w:val="00F61D28"/>
    <w:rsid w:val="00F630CC"/>
    <w:rsid w:val="00F6355C"/>
    <w:rsid w:val="00F63FCC"/>
    <w:rsid w:val="00F64D9D"/>
    <w:rsid w:val="00F64E27"/>
    <w:rsid w:val="00F64FFD"/>
    <w:rsid w:val="00F65285"/>
    <w:rsid w:val="00F655CF"/>
    <w:rsid w:val="00F65AC3"/>
    <w:rsid w:val="00F667AF"/>
    <w:rsid w:val="00F67028"/>
    <w:rsid w:val="00F67310"/>
    <w:rsid w:val="00F67740"/>
    <w:rsid w:val="00F67805"/>
    <w:rsid w:val="00F67888"/>
    <w:rsid w:val="00F6798F"/>
    <w:rsid w:val="00F70096"/>
    <w:rsid w:val="00F704BF"/>
    <w:rsid w:val="00F706E7"/>
    <w:rsid w:val="00F70875"/>
    <w:rsid w:val="00F71280"/>
    <w:rsid w:val="00F71D2D"/>
    <w:rsid w:val="00F72306"/>
    <w:rsid w:val="00F72759"/>
    <w:rsid w:val="00F72CA1"/>
    <w:rsid w:val="00F72F37"/>
    <w:rsid w:val="00F73AF8"/>
    <w:rsid w:val="00F73BBD"/>
    <w:rsid w:val="00F73EAB"/>
    <w:rsid w:val="00F73EC7"/>
    <w:rsid w:val="00F746C2"/>
    <w:rsid w:val="00F747DD"/>
    <w:rsid w:val="00F752DE"/>
    <w:rsid w:val="00F753AA"/>
    <w:rsid w:val="00F75D34"/>
    <w:rsid w:val="00F75F02"/>
    <w:rsid w:val="00F7650D"/>
    <w:rsid w:val="00F7681E"/>
    <w:rsid w:val="00F768C9"/>
    <w:rsid w:val="00F76A22"/>
    <w:rsid w:val="00F76BE6"/>
    <w:rsid w:val="00F77F66"/>
    <w:rsid w:val="00F80371"/>
    <w:rsid w:val="00F806FF"/>
    <w:rsid w:val="00F80D13"/>
    <w:rsid w:val="00F80D49"/>
    <w:rsid w:val="00F80F0D"/>
    <w:rsid w:val="00F8134E"/>
    <w:rsid w:val="00F81C79"/>
    <w:rsid w:val="00F8208D"/>
    <w:rsid w:val="00F821E3"/>
    <w:rsid w:val="00F82D2A"/>
    <w:rsid w:val="00F82D6A"/>
    <w:rsid w:val="00F83160"/>
    <w:rsid w:val="00F8379E"/>
    <w:rsid w:val="00F83CD4"/>
    <w:rsid w:val="00F8438C"/>
    <w:rsid w:val="00F844DB"/>
    <w:rsid w:val="00F84EC2"/>
    <w:rsid w:val="00F84ECF"/>
    <w:rsid w:val="00F85045"/>
    <w:rsid w:val="00F861B3"/>
    <w:rsid w:val="00F862D7"/>
    <w:rsid w:val="00F86495"/>
    <w:rsid w:val="00F86F6B"/>
    <w:rsid w:val="00F86F89"/>
    <w:rsid w:val="00F87516"/>
    <w:rsid w:val="00F87682"/>
    <w:rsid w:val="00F87D66"/>
    <w:rsid w:val="00F9041F"/>
    <w:rsid w:val="00F90E73"/>
    <w:rsid w:val="00F90FAD"/>
    <w:rsid w:val="00F91038"/>
    <w:rsid w:val="00F91279"/>
    <w:rsid w:val="00F9132B"/>
    <w:rsid w:val="00F91426"/>
    <w:rsid w:val="00F91DBD"/>
    <w:rsid w:val="00F922E4"/>
    <w:rsid w:val="00F92638"/>
    <w:rsid w:val="00F927EE"/>
    <w:rsid w:val="00F92C95"/>
    <w:rsid w:val="00F931B9"/>
    <w:rsid w:val="00F94AD0"/>
    <w:rsid w:val="00F95063"/>
    <w:rsid w:val="00F9509F"/>
    <w:rsid w:val="00F95551"/>
    <w:rsid w:val="00F9629D"/>
    <w:rsid w:val="00F96AC6"/>
    <w:rsid w:val="00F96F92"/>
    <w:rsid w:val="00F96F93"/>
    <w:rsid w:val="00F970C6"/>
    <w:rsid w:val="00F97754"/>
    <w:rsid w:val="00F978D6"/>
    <w:rsid w:val="00F97931"/>
    <w:rsid w:val="00F97A23"/>
    <w:rsid w:val="00F97BC2"/>
    <w:rsid w:val="00FA05CF"/>
    <w:rsid w:val="00FA0891"/>
    <w:rsid w:val="00FA16E4"/>
    <w:rsid w:val="00FA1851"/>
    <w:rsid w:val="00FA230C"/>
    <w:rsid w:val="00FA26CB"/>
    <w:rsid w:val="00FA2BE3"/>
    <w:rsid w:val="00FA3109"/>
    <w:rsid w:val="00FA32B7"/>
    <w:rsid w:val="00FA3706"/>
    <w:rsid w:val="00FA3A2E"/>
    <w:rsid w:val="00FA464E"/>
    <w:rsid w:val="00FA491D"/>
    <w:rsid w:val="00FA4BC0"/>
    <w:rsid w:val="00FA55D7"/>
    <w:rsid w:val="00FA56C1"/>
    <w:rsid w:val="00FA572F"/>
    <w:rsid w:val="00FA5BED"/>
    <w:rsid w:val="00FA6356"/>
    <w:rsid w:val="00FA64D6"/>
    <w:rsid w:val="00FA66CE"/>
    <w:rsid w:val="00FA6F09"/>
    <w:rsid w:val="00FA70A9"/>
    <w:rsid w:val="00FA74A4"/>
    <w:rsid w:val="00FA772E"/>
    <w:rsid w:val="00FA78CE"/>
    <w:rsid w:val="00FB04C0"/>
    <w:rsid w:val="00FB063F"/>
    <w:rsid w:val="00FB0A82"/>
    <w:rsid w:val="00FB0E63"/>
    <w:rsid w:val="00FB184E"/>
    <w:rsid w:val="00FB1A8A"/>
    <w:rsid w:val="00FB1ADF"/>
    <w:rsid w:val="00FB1ECE"/>
    <w:rsid w:val="00FB2855"/>
    <w:rsid w:val="00FB3672"/>
    <w:rsid w:val="00FB377D"/>
    <w:rsid w:val="00FB384E"/>
    <w:rsid w:val="00FB3895"/>
    <w:rsid w:val="00FB3900"/>
    <w:rsid w:val="00FB3B6A"/>
    <w:rsid w:val="00FB3E62"/>
    <w:rsid w:val="00FB3F1F"/>
    <w:rsid w:val="00FB440E"/>
    <w:rsid w:val="00FB4557"/>
    <w:rsid w:val="00FB4C54"/>
    <w:rsid w:val="00FB4C9C"/>
    <w:rsid w:val="00FB4D66"/>
    <w:rsid w:val="00FB4E2E"/>
    <w:rsid w:val="00FB4E4A"/>
    <w:rsid w:val="00FB52E8"/>
    <w:rsid w:val="00FB5B5A"/>
    <w:rsid w:val="00FB631B"/>
    <w:rsid w:val="00FB69E9"/>
    <w:rsid w:val="00FB72B4"/>
    <w:rsid w:val="00FB747D"/>
    <w:rsid w:val="00FC06C4"/>
    <w:rsid w:val="00FC0BDC"/>
    <w:rsid w:val="00FC0D58"/>
    <w:rsid w:val="00FC145A"/>
    <w:rsid w:val="00FC14AB"/>
    <w:rsid w:val="00FC18C4"/>
    <w:rsid w:val="00FC1CC1"/>
    <w:rsid w:val="00FC27D6"/>
    <w:rsid w:val="00FC38D9"/>
    <w:rsid w:val="00FC3BAC"/>
    <w:rsid w:val="00FC402D"/>
    <w:rsid w:val="00FC4116"/>
    <w:rsid w:val="00FC414A"/>
    <w:rsid w:val="00FC42E5"/>
    <w:rsid w:val="00FC4B56"/>
    <w:rsid w:val="00FC5741"/>
    <w:rsid w:val="00FC5873"/>
    <w:rsid w:val="00FC598F"/>
    <w:rsid w:val="00FC5C37"/>
    <w:rsid w:val="00FC5C3E"/>
    <w:rsid w:val="00FC5C8E"/>
    <w:rsid w:val="00FC6571"/>
    <w:rsid w:val="00FC6A45"/>
    <w:rsid w:val="00FC7512"/>
    <w:rsid w:val="00FC7833"/>
    <w:rsid w:val="00FC79F0"/>
    <w:rsid w:val="00FD09E8"/>
    <w:rsid w:val="00FD0CC9"/>
    <w:rsid w:val="00FD0D26"/>
    <w:rsid w:val="00FD1615"/>
    <w:rsid w:val="00FD1731"/>
    <w:rsid w:val="00FD1798"/>
    <w:rsid w:val="00FD1A49"/>
    <w:rsid w:val="00FD1AAD"/>
    <w:rsid w:val="00FD1AB6"/>
    <w:rsid w:val="00FD1AD2"/>
    <w:rsid w:val="00FD2540"/>
    <w:rsid w:val="00FD2A79"/>
    <w:rsid w:val="00FD2BDB"/>
    <w:rsid w:val="00FD2D8A"/>
    <w:rsid w:val="00FD2DC5"/>
    <w:rsid w:val="00FD2F34"/>
    <w:rsid w:val="00FD3048"/>
    <w:rsid w:val="00FD331F"/>
    <w:rsid w:val="00FD338B"/>
    <w:rsid w:val="00FD34B1"/>
    <w:rsid w:val="00FD37A1"/>
    <w:rsid w:val="00FD3C31"/>
    <w:rsid w:val="00FD436B"/>
    <w:rsid w:val="00FD469B"/>
    <w:rsid w:val="00FD46BF"/>
    <w:rsid w:val="00FD5695"/>
    <w:rsid w:val="00FD6BD7"/>
    <w:rsid w:val="00FD7082"/>
    <w:rsid w:val="00FD708C"/>
    <w:rsid w:val="00FD7390"/>
    <w:rsid w:val="00FE1CAA"/>
    <w:rsid w:val="00FE1D4B"/>
    <w:rsid w:val="00FE2B13"/>
    <w:rsid w:val="00FE30AE"/>
    <w:rsid w:val="00FE3110"/>
    <w:rsid w:val="00FE33D5"/>
    <w:rsid w:val="00FE3561"/>
    <w:rsid w:val="00FE3578"/>
    <w:rsid w:val="00FE38CB"/>
    <w:rsid w:val="00FE3902"/>
    <w:rsid w:val="00FE3C50"/>
    <w:rsid w:val="00FE3FFE"/>
    <w:rsid w:val="00FE4060"/>
    <w:rsid w:val="00FE427F"/>
    <w:rsid w:val="00FE439F"/>
    <w:rsid w:val="00FE4540"/>
    <w:rsid w:val="00FE4798"/>
    <w:rsid w:val="00FE4B5A"/>
    <w:rsid w:val="00FE4BC4"/>
    <w:rsid w:val="00FE5594"/>
    <w:rsid w:val="00FE578B"/>
    <w:rsid w:val="00FE5EB3"/>
    <w:rsid w:val="00FE6268"/>
    <w:rsid w:val="00FE643C"/>
    <w:rsid w:val="00FE680D"/>
    <w:rsid w:val="00FE69A6"/>
    <w:rsid w:val="00FE6CE3"/>
    <w:rsid w:val="00FE70DE"/>
    <w:rsid w:val="00FE71DB"/>
    <w:rsid w:val="00FE7200"/>
    <w:rsid w:val="00FE777D"/>
    <w:rsid w:val="00FE7800"/>
    <w:rsid w:val="00FE7DED"/>
    <w:rsid w:val="00FF00C3"/>
    <w:rsid w:val="00FF0980"/>
    <w:rsid w:val="00FF0E8B"/>
    <w:rsid w:val="00FF1999"/>
    <w:rsid w:val="00FF1B69"/>
    <w:rsid w:val="00FF1E00"/>
    <w:rsid w:val="00FF2288"/>
    <w:rsid w:val="00FF22D4"/>
    <w:rsid w:val="00FF22E3"/>
    <w:rsid w:val="00FF24E7"/>
    <w:rsid w:val="00FF258A"/>
    <w:rsid w:val="00FF2A39"/>
    <w:rsid w:val="00FF2BC4"/>
    <w:rsid w:val="00FF3E08"/>
    <w:rsid w:val="00FF48E5"/>
    <w:rsid w:val="00FF4D22"/>
    <w:rsid w:val="00FF664A"/>
    <w:rsid w:val="00FF67F1"/>
    <w:rsid w:val="00FF6C0B"/>
    <w:rsid w:val="00FF6D56"/>
    <w:rsid w:val="00FF7393"/>
    <w:rsid w:val="00FF78D1"/>
    <w:rsid w:val="00FF7CD8"/>
    <w:rsid w:val="010C2239"/>
    <w:rsid w:val="012D0479"/>
    <w:rsid w:val="016521D3"/>
    <w:rsid w:val="019E3125"/>
    <w:rsid w:val="021047DD"/>
    <w:rsid w:val="0227136C"/>
    <w:rsid w:val="02301F51"/>
    <w:rsid w:val="025C201D"/>
    <w:rsid w:val="02694276"/>
    <w:rsid w:val="02704AC1"/>
    <w:rsid w:val="02766859"/>
    <w:rsid w:val="029E4ED0"/>
    <w:rsid w:val="02F4124E"/>
    <w:rsid w:val="02F831F6"/>
    <w:rsid w:val="030E5384"/>
    <w:rsid w:val="03667C72"/>
    <w:rsid w:val="036D1000"/>
    <w:rsid w:val="03D930DC"/>
    <w:rsid w:val="04564960"/>
    <w:rsid w:val="04602913"/>
    <w:rsid w:val="048F7CF9"/>
    <w:rsid w:val="04D255BF"/>
    <w:rsid w:val="05070317"/>
    <w:rsid w:val="05120D42"/>
    <w:rsid w:val="051F5D1E"/>
    <w:rsid w:val="05237BC9"/>
    <w:rsid w:val="05355B4E"/>
    <w:rsid w:val="05B607CF"/>
    <w:rsid w:val="05DB66F5"/>
    <w:rsid w:val="05E732EC"/>
    <w:rsid w:val="062A4F87"/>
    <w:rsid w:val="06723038"/>
    <w:rsid w:val="06B331CE"/>
    <w:rsid w:val="06C02D46"/>
    <w:rsid w:val="06E93094"/>
    <w:rsid w:val="072B7BD7"/>
    <w:rsid w:val="0733249E"/>
    <w:rsid w:val="074E2EF7"/>
    <w:rsid w:val="07921036"/>
    <w:rsid w:val="07A6249E"/>
    <w:rsid w:val="07CE4A46"/>
    <w:rsid w:val="07D55438"/>
    <w:rsid w:val="07DD49A7"/>
    <w:rsid w:val="07FE2B6F"/>
    <w:rsid w:val="081B102B"/>
    <w:rsid w:val="085B51B1"/>
    <w:rsid w:val="087F43B6"/>
    <w:rsid w:val="08844E22"/>
    <w:rsid w:val="09336C26"/>
    <w:rsid w:val="094E3682"/>
    <w:rsid w:val="09644C54"/>
    <w:rsid w:val="096A109B"/>
    <w:rsid w:val="09C676BC"/>
    <w:rsid w:val="09D43B87"/>
    <w:rsid w:val="09EB6E0F"/>
    <w:rsid w:val="09EF09C1"/>
    <w:rsid w:val="09FB55B8"/>
    <w:rsid w:val="0A2B5D98"/>
    <w:rsid w:val="0A2C5771"/>
    <w:rsid w:val="0A6C2012"/>
    <w:rsid w:val="0A7D5FCD"/>
    <w:rsid w:val="0AB8072D"/>
    <w:rsid w:val="0AEC4F01"/>
    <w:rsid w:val="0B0A4D29"/>
    <w:rsid w:val="0B4304BD"/>
    <w:rsid w:val="0B8213C1"/>
    <w:rsid w:val="0BA7412C"/>
    <w:rsid w:val="0BC56019"/>
    <w:rsid w:val="0C0849EC"/>
    <w:rsid w:val="0C4452AF"/>
    <w:rsid w:val="0C4548C9"/>
    <w:rsid w:val="0C4C20FB"/>
    <w:rsid w:val="0C9646E6"/>
    <w:rsid w:val="0CB35CD6"/>
    <w:rsid w:val="0CB5105E"/>
    <w:rsid w:val="0D162709"/>
    <w:rsid w:val="0D5D5C42"/>
    <w:rsid w:val="0D6671EC"/>
    <w:rsid w:val="0D6C56B8"/>
    <w:rsid w:val="0DB8731C"/>
    <w:rsid w:val="0DC363ED"/>
    <w:rsid w:val="0DC61A39"/>
    <w:rsid w:val="0DCE0757"/>
    <w:rsid w:val="0DD3583C"/>
    <w:rsid w:val="0DE256C3"/>
    <w:rsid w:val="0E1E7AC7"/>
    <w:rsid w:val="0E4D3F08"/>
    <w:rsid w:val="0E501D2F"/>
    <w:rsid w:val="0E7476E7"/>
    <w:rsid w:val="0EA555A2"/>
    <w:rsid w:val="0EAF0F09"/>
    <w:rsid w:val="0EB27B18"/>
    <w:rsid w:val="0EE4486D"/>
    <w:rsid w:val="0EE84006"/>
    <w:rsid w:val="0FA579EC"/>
    <w:rsid w:val="0FDC19E8"/>
    <w:rsid w:val="101F1ADF"/>
    <w:rsid w:val="10401F77"/>
    <w:rsid w:val="105800E6"/>
    <w:rsid w:val="105B0B5E"/>
    <w:rsid w:val="110C1E59"/>
    <w:rsid w:val="11146F5F"/>
    <w:rsid w:val="11230F50"/>
    <w:rsid w:val="11292A0B"/>
    <w:rsid w:val="11B04EDA"/>
    <w:rsid w:val="11BF25DA"/>
    <w:rsid w:val="121C60CC"/>
    <w:rsid w:val="122E0441"/>
    <w:rsid w:val="127801BF"/>
    <w:rsid w:val="12891287"/>
    <w:rsid w:val="128A572B"/>
    <w:rsid w:val="129739A4"/>
    <w:rsid w:val="12E74675"/>
    <w:rsid w:val="12EA33B0"/>
    <w:rsid w:val="12FE5A4C"/>
    <w:rsid w:val="13144FF5"/>
    <w:rsid w:val="1318290F"/>
    <w:rsid w:val="13280AA0"/>
    <w:rsid w:val="132C67E2"/>
    <w:rsid w:val="13427DB4"/>
    <w:rsid w:val="134753CA"/>
    <w:rsid w:val="13626075"/>
    <w:rsid w:val="13C62793"/>
    <w:rsid w:val="141F3619"/>
    <w:rsid w:val="142B6A9A"/>
    <w:rsid w:val="144C7774"/>
    <w:rsid w:val="14863420"/>
    <w:rsid w:val="14DF1632"/>
    <w:rsid w:val="154E24EE"/>
    <w:rsid w:val="1593014F"/>
    <w:rsid w:val="15BF56EC"/>
    <w:rsid w:val="15C43586"/>
    <w:rsid w:val="15F97D4A"/>
    <w:rsid w:val="15FD4CF1"/>
    <w:rsid w:val="15FF3D3A"/>
    <w:rsid w:val="161A0B74"/>
    <w:rsid w:val="1633430E"/>
    <w:rsid w:val="163868AA"/>
    <w:rsid w:val="16BA5EB3"/>
    <w:rsid w:val="16BE59A3"/>
    <w:rsid w:val="16E318AE"/>
    <w:rsid w:val="16F455B8"/>
    <w:rsid w:val="175E7186"/>
    <w:rsid w:val="176C00A9"/>
    <w:rsid w:val="17836BED"/>
    <w:rsid w:val="17A50911"/>
    <w:rsid w:val="17BF5C11"/>
    <w:rsid w:val="17C35302"/>
    <w:rsid w:val="17D4049A"/>
    <w:rsid w:val="17EB6C6C"/>
    <w:rsid w:val="17F90C5D"/>
    <w:rsid w:val="18687698"/>
    <w:rsid w:val="187A63FF"/>
    <w:rsid w:val="18E74355"/>
    <w:rsid w:val="18F460C2"/>
    <w:rsid w:val="19155BB3"/>
    <w:rsid w:val="191E1227"/>
    <w:rsid w:val="19440AE2"/>
    <w:rsid w:val="19AF3CC9"/>
    <w:rsid w:val="19BB20AC"/>
    <w:rsid w:val="1A0C4C78"/>
    <w:rsid w:val="1A1A4BE8"/>
    <w:rsid w:val="1A451B07"/>
    <w:rsid w:val="1A604FC3"/>
    <w:rsid w:val="1A620D3B"/>
    <w:rsid w:val="1A766595"/>
    <w:rsid w:val="1AD27C6F"/>
    <w:rsid w:val="1AE63A6C"/>
    <w:rsid w:val="1B4A1EFB"/>
    <w:rsid w:val="1B9772BD"/>
    <w:rsid w:val="1BB43819"/>
    <w:rsid w:val="1BB92BDD"/>
    <w:rsid w:val="1BD712B5"/>
    <w:rsid w:val="1C542906"/>
    <w:rsid w:val="1C821221"/>
    <w:rsid w:val="1CB02232"/>
    <w:rsid w:val="1CC61A56"/>
    <w:rsid w:val="1CD51C99"/>
    <w:rsid w:val="1D284510"/>
    <w:rsid w:val="1D4A71EF"/>
    <w:rsid w:val="1D506B65"/>
    <w:rsid w:val="1D65301C"/>
    <w:rsid w:val="1D9A2F34"/>
    <w:rsid w:val="1DB16262"/>
    <w:rsid w:val="1E0D10F8"/>
    <w:rsid w:val="1E330118"/>
    <w:rsid w:val="1E5F6680"/>
    <w:rsid w:val="1EAA7B96"/>
    <w:rsid w:val="1EAC4C7B"/>
    <w:rsid w:val="1EC477D8"/>
    <w:rsid w:val="1ED5118B"/>
    <w:rsid w:val="1EEB4FBD"/>
    <w:rsid w:val="1EEF4A77"/>
    <w:rsid w:val="1F0265C3"/>
    <w:rsid w:val="1F036342"/>
    <w:rsid w:val="1F240CB5"/>
    <w:rsid w:val="1F664E2A"/>
    <w:rsid w:val="1F8D23B7"/>
    <w:rsid w:val="1F9F20EA"/>
    <w:rsid w:val="1FB17124"/>
    <w:rsid w:val="1FBE07C2"/>
    <w:rsid w:val="1FD56960"/>
    <w:rsid w:val="1FDE70B6"/>
    <w:rsid w:val="1FEA4231"/>
    <w:rsid w:val="200E6725"/>
    <w:rsid w:val="20621F0A"/>
    <w:rsid w:val="20BB31CA"/>
    <w:rsid w:val="214E3B8E"/>
    <w:rsid w:val="21790498"/>
    <w:rsid w:val="217D46AD"/>
    <w:rsid w:val="218D4E4C"/>
    <w:rsid w:val="21936CA6"/>
    <w:rsid w:val="21DD7016"/>
    <w:rsid w:val="220B1BC2"/>
    <w:rsid w:val="22342FBD"/>
    <w:rsid w:val="224A0A33"/>
    <w:rsid w:val="227640E7"/>
    <w:rsid w:val="22EF5136"/>
    <w:rsid w:val="22FD42C4"/>
    <w:rsid w:val="23040BE2"/>
    <w:rsid w:val="23137077"/>
    <w:rsid w:val="232079E6"/>
    <w:rsid w:val="23486D36"/>
    <w:rsid w:val="235C0A1E"/>
    <w:rsid w:val="23607DE2"/>
    <w:rsid w:val="236D16F9"/>
    <w:rsid w:val="23921869"/>
    <w:rsid w:val="2393640A"/>
    <w:rsid w:val="23A26011"/>
    <w:rsid w:val="23B87254"/>
    <w:rsid w:val="24B146FC"/>
    <w:rsid w:val="24E567F1"/>
    <w:rsid w:val="24F12B89"/>
    <w:rsid w:val="24FC4E65"/>
    <w:rsid w:val="25557376"/>
    <w:rsid w:val="255B2F57"/>
    <w:rsid w:val="255E0351"/>
    <w:rsid w:val="25641E0C"/>
    <w:rsid w:val="256D11F2"/>
    <w:rsid w:val="25826C83"/>
    <w:rsid w:val="25DA1042"/>
    <w:rsid w:val="25DD2180"/>
    <w:rsid w:val="25F55CA0"/>
    <w:rsid w:val="260929B3"/>
    <w:rsid w:val="26393298"/>
    <w:rsid w:val="263B32FF"/>
    <w:rsid w:val="263E265D"/>
    <w:rsid w:val="266A3CEA"/>
    <w:rsid w:val="26A30712"/>
    <w:rsid w:val="271B474C"/>
    <w:rsid w:val="272517AC"/>
    <w:rsid w:val="274556D9"/>
    <w:rsid w:val="27534580"/>
    <w:rsid w:val="27B0416A"/>
    <w:rsid w:val="27B841BB"/>
    <w:rsid w:val="28CA0E3C"/>
    <w:rsid w:val="28CA642A"/>
    <w:rsid w:val="293E2974"/>
    <w:rsid w:val="294855A0"/>
    <w:rsid w:val="29712D49"/>
    <w:rsid w:val="297645D7"/>
    <w:rsid w:val="29BB0FAF"/>
    <w:rsid w:val="29CC61D1"/>
    <w:rsid w:val="2A1470AB"/>
    <w:rsid w:val="2A443FBA"/>
    <w:rsid w:val="2A703001"/>
    <w:rsid w:val="2A790107"/>
    <w:rsid w:val="2A905451"/>
    <w:rsid w:val="2A9A1E2C"/>
    <w:rsid w:val="2AD0584D"/>
    <w:rsid w:val="2AD73080"/>
    <w:rsid w:val="2AF8509F"/>
    <w:rsid w:val="2AFE098F"/>
    <w:rsid w:val="2B110340"/>
    <w:rsid w:val="2B5B038E"/>
    <w:rsid w:val="2B9045C4"/>
    <w:rsid w:val="2BA56CDA"/>
    <w:rsid w:val="2BAE37AF"/>
    <w:rsid w:val="2C144DE1"/>
    <w:rsid w:val="2C267E1B"/>
    <w:rsid w:val="2CBC29C6"/>
    <w:rsid w:val="2CC913E4"/>
    <w:rsid w:val="2D035522"/>
    <w:rsid w:val="2D393B7E"/>
    <w:rsid w:val="2D5B685D"/>
    <w:rsid w:val="2D6230D5"/>
    <w:rsid w:val="2D632327"/>
    <w:rsid w:val="2DA53476"/>
    <w:rsid w:val="2DD04A0F"/>
    <w:rsid w:val="2E0C4DEE"/>
    <w:rsid w:val="2E0C7B9E"/>
    <w:rsid w:val="2E36630F"/>
    <w:rsid w:val="2E496043"/>
    <w:rsid w:val="2E4C34F7"/>
    <w:rsid w:val="2E6C1D31"/>
    <w:rsid w:val="2E8B665B"/>
    <w:rsid w:val="2EDC279E"/>
    <w:rsid w:val="2EED4C20"/>
    <w:rsid w:val="2EF85E1E"/>
    <w:rsid w:val="2EF958DA"/>
    <w:rsid w:val="2F1403FE"/>
    <w:rsid w:val="2F8C268B"/>
    <w:rsid w:val="2FA15A0A"/>
    <w:rsid w:val="2FB35292"/>
    <w:rsid w:val="2FCB3085"/>
    <w:rsid w:val="2FCC2ADD"/>
    <w:rsid w:val="2FE23E63"/>
    <w:rsid w:val="2FFA3A98"/>
    <w:rsid w:val="301601A6"/>
    <w:rsid w:val="30760C45"/>
    <w:rsid w:val="308F0036"/>
    <w:rsid w:val="3095584F"/>
    <w:rsid w:val="30977539"/>
    <w:rsid w:val="30B46DBE"/>
    <w:rsid w:val="30BA4FD6"/>
    <w:rsid w:val="30BD6DB1"/>
    <w:rsid w:val="30D75B88"/>
    <w:rsid w:val="30DD2A72"/>
    <w:rsid w:val="3108307F"/>
    <w:rsid w:val="310A72C9"/>
    <w:rsid w:val="310F3573"/>
    <w:rsid w:val="313B5C41"/>
    <w:rsid w:val="316513E5"/>
    <w:rsid w:val="31BC4D7D"/>
    <w:rsid w:val="31C93680"/>
    <w:rsid w:val="320A67AD"/>
    <w:rsid w:val="32495C16"/>
    <w:rsid w:val="3254500F"/>
    <w:rsid w:val="326F1DF0"/>
    <w:rsid w:val="328A1547"/>
    <w:rsid w:val="328F681A"/>
    <w:rsid w:val="32A777DC"/>
    <w:rsid w:val="32C57C62"/>
    <w:rsid w:val="32E54217"/>
    <w:rsid w:val="32F553A9"/>
    <w:rsid w:val="33044755"/>
    <w:rsid w:val="330D1551"/>
    <w:rsid w:val="333E257D"/>
    <w:rsid w:val="338C085C"/>
    <w:rsid w:val="3404068C"/>
    <w:rsid w:val="3445105A"/>
    <w:rsid w:val="34480B4A"/>
    <w:rsid w:val="34690110"/>
    <w:rsid w:val="34811922"/>
    <w:rsid w:val="348C4EDB"/>
    <w:rsid w:val="34934D35"/>
    <w:rsid w:val="34E22381"/>
    <w:rsid w:val="34EE16F2"/>
    <w:rsid w:val="352E5399"/>
    <w:rsid w:val="35636441"/>
    <w:rsid w:val="356E638F"/>
    <w:rsid w:val="35B72D6B"/>
    <w:rsid w:val="35D501BC"/>
    <w:rsid w:val="35D8677A"/>
    <w:rsid w:val="36401AD9"/>
    <w:rsid w:val="3667175C"/>
    <w:rsid w:val="36721EAF"/>
    <w:rsid w:val="368340BC"/>
    <w:rsid w:val="36B44A6A"/>
    <w:rsid w:val="37166D54"/>
    <w:rsid w:val="37342019"/>
    <w:rsid w:val="37EA54B4"/>
    <w:rsid w:val="37EB3CC7"/>
    <w:rsid w:val="38286CC9"/>
    <w:rsid w:val="38415FDC"/>
    <w:rsid w:val="386A78F8"/>
    <w:rsid w:val="388365F5"/>
    <w:rsid w:val="38957B7A"/>
    <w:rsid w:val="38B05970"/>
    <w:rsid w:val="38E86458"/>
    <w:rsid w:val="38ED6BAA"/>
    <w:rsid w:val="394B3914"/>
    <w:rsid w:val="394C1291"/>
    <w:rsid w:val="39616936"/>
    <w:rsid w:val="397B5451"/>
    <w:rsid w:val="397D0376"/>
    <w:rsid w:val="39A6412A"/>
    <w:rsid w:val="39E503A1"/>
    <w:rsid w:val="3A202852"/>
    <w:rsid w:val="3A3F02FA"/>
    <w:rsid w:val="3A683CF4"/>
    <w:rsid w:val="3A8600A0"/>
    <w:rsid w:val="3A900B55"/>
    <w:rsid w:val="3A9B3DE4"/>
    <w:rsid w:val="3AEE274E"/>
    <w:rsid w:val="3B43009C"/>
    <w:rsid w:val="3B4712F0"/>
    <w:rsid w:val="3B520EC2"/>
    <w:rsid w:val="3B556027"/>
    <w:rsid w:val="3B5D137F"/>
    <w:rsid w:val="3B826A16"/>
    <w:rsid w:val="3B936B4F"/>
    <w:rsid w:val="3BD74C8E"/>
    <w:rsid w:val="3BF33A92"/>
    <w:rsid w:val="3BFD221A"/>
    <w:rsid w:val="3C065573"/>
    <w:rsid w:val="3C073099"/>
    <w:rsid w:val="3C1F6635"/>
    <w:rsid w:val="3C4165AB"/>
    <w:rsid w:val="3C5207B8"/>
    <w:rsid w:val="3CBE19AA"/>
    <w:rsid w:val="3CEB6517"/>
    <w:rsid w:val="3D0D46DF"/>
    <w:rsid w:val="3D115F7D"/>
    <w:rsid w:val="3D184757"/>
    <w:rsid w:val="3D232155"/>
    <w:rsid w:val="3D361E88"/>
    <w:rsid w:val="3D74650C"/>
    <w:rsid w:val="3D772BB6"/>
    <w:rsid w:val="3D98669F"/>
    <w:rsid w:val="3E0E1FAB"/>
    <w:rsid w:val="3E1B7EB9"/>
    <w:rsid w:val="3E3F72C8"/>
    <w:rsid w:val="3ED454B4"/>
    <w:rsid w:val="3EEC30E5"/>
    <w:rsid w:val="3F051B12"/>
    <w:rsid w:val="3F375CE0"/>
    <w:rsid w:val="3F406FEE"/>
    <w:rsid w:val="3F4A39C9"/>
    <w:rsid w:val="3F4A46E6"/>
    <w:rsid w:val="3F874C1D"/>
    <w:rsid w:val="3F8811D3"/>
    <w:rsid w:val="3FA72BC9"/>
    <w:rsid w:val="3FAA4467"/>
    <w:rsid w:val="3FC27A03"/>
    <w:rsid w:val="40387CC5"/>
    <w:rsid w:val="406960D0"/>
    <w:rsid w:val="40753892"/>
    <w:rsid w:val="408B6047"/>
    <w:rsid w:val="40B4404A"/>
    <w:rsid w:val="410D1152"/>
    <w:rsid w:val="412344D1"/>
    <w:rsid w:val="412844FF"/>
    <w:rsid w:val="413D54A6"/>
    <w:rsid w:val="415B1EBD"/>
    <w:rsid w:val="415E375B"/>
    <w:rsid w:val="41774B95"/>
    <w:rsid w:val="41923943"/>
    <w:rsid w:val="41A43E58"/>
    <w:rsid w:val="41A945C9"/>
    <w:rsid w:val="41B42324"/>
    <w:rsid w:val="42312C1E"/>
    <w:rsid w:val="429A6A15"/>
    <w:rsid w:val="42A338A7"/>
    <w:rsid w:val="43106CD7"/>
    <w:rsid w:val="433A3D54"/>
    <w:rsid w:val="439416B6"/>
    <w:rsid w:val="43943464"/>
    <w:rsid w:val="43960849"/>
    <w:rsid w:val="43E30E9C"/>
    <w:rsid w:val="442A5113"/>
    <w:rsid w:val="444E1066"/>
    <w:rsid w:val="44670B79"/>
    <w:rsid w:val="44705C7F"/>
    <w:rsid w:val="44867251"/>
    <w:rsid w:val="448D19A9"/>
    <w:rsid w:val="44A26055"/>
    <w:rsid w:val="44B32010"/>
    <w:rsid w:val="44DB4B1F"/>
    <w:rsid w:val="44E77751"/>
    <w:rsid w:val="450021B2"/>
    <w:rsid w:val="450A5435"/>
    <w:rsid w:val="452E136A"/>
    <w:rsid w:val="452E1696"/>
    <w:rsid w:val="45322F35"/>
    <w:rsid w:val="453E5D7D"/>
    <w:rsid w:val="455C4456"/>
    <w:rsid w:val="457E31A4"/>
    <w:rsid w:val="45C043CD"/>
    <w:rsid w:val="45C90B4F"/>
    <w:rsid w:val="46116FEE"/>
    <w:rsid w:val="46325936"/>
    <w:rsid w:val="463B406B"/>
    <w:rsid w:val="46605A53"/>
    <w:rsid w:val="46A9191C"/>
    <w:rsid w:val="46B53E1D"/>
    <w:rsid w:val="46C16C66"/>
    <w:rsid w:val="46C47C5A"/>
    <w:rsid w:val="470C4C98"/>
    <w:rsid w:val="472E6612"/>
    <w:rsid w:val="474F4272"/>
    <w:rsid w:val="47690AE9"/>
    <w:rsid w:val="47761748"/>
    <w:rsid w:val="477B33F6"/>
    <w:rsid w:val="4792415F"/>
    <w:rsid w:val="47E32C0C"/>
    <w:rsid w:val="48050DD4"/>
    <w:rsid w:val="48087510"/>
    <w:rsid w:val="4829252D"/>
    <w:rsid w:val="488B7899"/>
    <w:rsid w:val="48B53457"/>
    <w:rsid w:val="48BA1BBF"/>
    <w:rsid w:val="48D163DC"/>
    <w:rsid w:val="48DA5DBD"/>
    <w:rsid w:val="4944592C"/>
    <w:rsid w:val="498521CD"/>
    <w:rsid w:val="498A1AC2"/>
    <w:rsid w:val="49900B72"/>
    <w:rsid w:val="499F1A0D"/>
    <w:rsid w:val="49A451D7"/>
    <w:rsid w:val="49B36701"/>
    <w:rsid w:val="49B55FB8"/>
    <w:rsid w:val="49E30770"/>
    <w:rsid w:val="4A080708"/>
    <w:rsid w:val="4A0C7048"/>
    <w:rsid w:val="4A6C513B"/>
    <w:rsid w:val="4AAA6A80"/>
    <w:rsid w:val="4AAD305D"/>
    <w:rsid w:val="4AC77B9D"/>
    <w:rsid w:val="4AD30D16"/>
    <w:rsid w:val="4AE922E8"/>
    <w:rsid w:val="4B044DE2"/>
    <w:rsid w:val="4B4B11F4"/>
    <w:rsid w:val="4B4C61C0"/>
    <w:rsid w:val="4B607F0F"/>
    <w:rsid w:val="4B63713C"/>
    <w:rsid w:val="4B7E0D23"/>
    <w:rsid w:val="4BB075EA"/>
    <w:rsid w:val="4BCA036B"/>
    <w:rsid w:val="4BDD5A2A"/>
    <w:rsid w:val="4BEB208F"/>
    <w:rsid w:val="4C0C2706"/>
    <w:rsid w:val="4C2757BD"/>
    <w:rsid w:val="4C6F1289"/>
    <w:rsid w:val="4CD06E80"/>
    <w:rsid w:val="4CF3569F"/>
    <w:rsid w:val="4D1D44CA"/>
    <w:rsid w:val="4D3763FF"/>
    <w:rsid w:val="4D3A1520"/>
    <w:rsid w:val="4D866514"/>
    <w:rsid w:val="4DBE38BD"/>
    <w:rsid w:val="4DC1579E"/>
    <w:rsid w:val="4DD3102D"/>
    <w:rsid w:val="4DEA5FE1"/>
    <w:rsid w:val="4E0B07C7"/>
    <w:rsid w:val="4E2875CB"/>
    <w:rsid w:val="4E2A58C3"/>
    <w:rsid w:val="4E2B460E"/>
    <w:rsid w:val="4E7862AB"/>
    <w:rsid w:val="4E9E1967"/>
    <w:rsid w:val="4EAD187E"/>
    <w:rsid w:val="4EB038C3"/>
    <w:rsid w:val="4EB23B13"/>
    <w:rsid w:val="4EC217CD"/>
    <w:rsid w:val="4ECA2430"/>
    <w:rsid w:val="4F2E462B"/>
    <w:rsid w:val="4F3B50DC"/>
    <w:rsid w:val="4F4F373F"/>
    <w:rsid w:val="4F691C49"/>
    <w:rsid w:val="4F734876"/>
    <w:rsid w:val="4F860B05"/>
    <w:rsid w:val="4FC60E49"/>
    <w:rsid w:val="50011E81"/>
    <w:rsid w:val="5015592D"/>
    <w:rsid w:val="501F67AB"/>
    <w:rsid w:val="50357D7D"/>
    <w:rsid w:val="50AD025B"/>
    <w:rsid w:val="50B977AF"/>
    <w:rsid w:val="50CE5E0A"/>
    <w:rsid w:val="50DA3146"/>
    <w:rsid w:val="50E104DF"/>
    <w:rsid w:val="50FE23F8"/>
    <w:rsid w:val="5121097E"/>
    <w:rsid w:val="512B1721"/>
    <w:rsid w:val="515802E8"/>
    <w:rsid w:val="51631648"/>
    <w:rsid w:val="517A634E"/>
    <w:rsid w:val="51AF0EBC"/>
    <w:rsid w:val="51BF1FF4"/>
    <w:rsid w:val="51C8534D"/>
    <w:rsid w:val="51D3292F"/>
    <w:rsid w:val="51EB4B97"/>
    <w:rsid w:val="51F55A16"/>
    <w:rsid w:val="525C76C9"/>
    <w:rsid w:val="52741030"/>
    <w:rsid w:val="52D946DE"/>
    <w:rsid w:val="52E06644"/>
    <w:rsid w:val="52FB4C31"/>
    <w:rsid w:val="53023555"/>
    <w:rsid w:val="53195734"/>
    <w:rsid w:val="531F5A09"/>
    <w:rsid w:val="5335162E"/>
    <w:rsid w:val="53472AD9"/>
    <w:rsid w:val="537975F9"/>
    <w:rsid w:val="538C7479"/>
    <w:rsid w:val="53FB64DE"/>
    <w:rsid w:val="53FD32A8"/>
    <w:rsid w:val="541D14D7"/>
    <w:rsid w:val="542E10AC"/>
    <w:rsid w:val="54352A41"/>
    <w:rsid w:val="549A0000"/>
    <w:rsid w:val="54AA5FF5"/>
    <w:rsid w:val="54E310D2"/>
    <w:rsid w:val="54E337C4"/>
    <w:rsid w:val="54EE3D97"/>
    <w:rsid w:val="54F41FB5"/>
    <w:rsid w:val="55480552"/>
    <w:rsid w:val="5551615B"/>
    <w:rsid w:val="55593010"/>
    <w:rsid w:val="55E61798"/>
    <w:rsid w:val="562E70CC"/>
    <w:rsid w:val="56530F5D"/>
    <w:rsid w:val="56535401"/>
    <w:rsid w:val="565847C5"/>
    <w:rsid w:val="5665387A"/>
    <w:rsid w:val="566969D2"/>
    <w:rsid w:val="56894AC6"/>
    <w:rsid w:val="56B714EC"/>
    <w:rsid w:val="57362D58"/>
    <w:rsid w:val="57476D14"/>
    <w:rsid w:val="57502121"/>
    <w:rsid w:val="57536CC6"/>
    <w:rsid w:val="57833AC4"/>
    <w:rsid w:val="5789732C"/>
    <w:rsid w:val="57A26B81"/>
    <w:rsid w:val="57AC6B77"/>
    <w:rsid w:val="57D83E10"/>
    <w:rsid w:val="57D90263"/>
    <w:rsid w:val="57FD742D"/>
    <w:rsid w:val="58093FC9"/>
    <w:rsid w:val="580F5357"/>
    <w:rsid w:val="58156E12"/>
    <w:rsid w:val="5827444F"/>
    <w:rsid w:val="584451D7"/>
    <w:rsid w:val="58507E4A"/>
    <w:rsid w:val="587A09A5"/>
    <w:rsid w:val="587D6E68"/>
    <w:rsid w:val="58896EB8"/>
    <w:rsid w:val="58A1428B"/>
    <w:rsid w:val="58C04415"/>
    <w:rsid w:val="58C40DE1"/>
    <w:rsid w:val="590E4F6C"/>
    <w:rsid w:val="593B6F6F"/>
    <w:rsid w:val="59835FFD"/>
    <w:rsid w:val="59837DAB"/>
    <w:rsid w:val="599C3A15"/>
    <w:rsid w:val="59C84858"/>
    <w:rsid w:val="59CC39A6"/>
    <w:rsid w:val="59EE6755"/>
    <w:rsid w:val="59FB3DE5"/>
    <w:rsid w:val="59FC23B2"/>
    <w:rsid w:val="5A054C64"/>
    <w:rsid w:val="5A0F30B0"/>
    <w:rsid w:val="5A137381"/>
    <w:rsid w:val="5A153C28"/>
    <w:rsid w:val="5A1F5D26"/>
    <w:rsid w:val="5A22370E"/>
    <w:rsid w:val="5A3612C1"/>
    <w:rsid w:val="5A551748"/>
    <w:rsid w:val="5A84202D"/>
    <w:rsid w:val="5ADD1E8F"/>
    <w:rsid w:val="5B152C85"/>
    <w:rsid w:val="5B1E422F"/>
    <w:rsid w:val="5B920779"/>
    <w:rsid w:val="5BCF70D5"/>
    <w:rsid w:val="5C05719D"/>
    <w:rsid w:val="5C204FC8"/>
    <w:rsid w:val="5C430EF4"/>
    <w:rsid w:val="5C6D7B0D"/>
    <w:rsid w:val="5CA8625A"/>
    <w:rsid w:val="5CBC3D9E"/>
    <w:rsid w:val="5CDA1592"/>
    <w:rsid w:val="5CE15514"/>
    <w:rsid w:val="5CE9261B"/>
    <w:rsid w:val="5CF25531"/>
    <w:rsid w:val="5D053352"/>
    <w:rsid w:val="5D086C55"/>
    <w:rsid w:val="5D3F4885"/>
    <w:rsid w:val="5DB163EB"/>
    <w:rsid w:val="5DD042A4"/>
    <w:rsid w:val="5DDC7A8A"/>
    <w:rsid w:val="5DE731E4"/>
    <w:rsid w:val="5DEA03F9"/>
    <w:rsid w:val="5E110D5B"/>
    <w:rsid w:val="5E2C10D5"/>
    <w:rsid w:val="5E3B08DD"/>
    <w:rsid w:val="5E40626B"/>
    <w:rsid w:val="5E482FBE"/>
    <w:rsid w:val="5E733A52"/>
    <w:rsid w:val="5E8545C5"/>
    <w:rsid w:val="5E8B6D01"/>
    <w:rsid w:val="5EB17168"/>
    <w:rsid w:val="5ECC7074"/>
    <w:rsid w:val="5ECE4B71"/>
    <w:rsid w:val="5EFC37D8"/>
    <w:rsid w:val="5EFE5712"/>
    <w:rsid w:val="5F4366D9"/>
    <w:rsid w:val="5F58362A"/>
    <w:rsid w:val="5F7C1524"/>
    <w:rsid w:val="5F8C565A"/>
    <w:rsid w:val="5FAA6092"/>
    <w:rsid w:val="5FAE3C40"/>
    <w:rsid w:val="5FC26AA0"/>
    <w:rsid w:val="5FFF6FDC"/>
    <w:rsid w:val="602A0293"/>
    <w:rsid w:val="603E4A2C"/>
    <w:rsid w:val="6051650D"/>
    <w:rsid w:val="60E70C20"/>
    <w:rsid w:val="60E750C3"/>
    <w:rsid w:val="610466BA"/>
    <w:rsid w:val="6141523F"/>
    <w:rsid w:val="61443E46"/>
    <w:rsid w:val="61572E47"/>
    <w:rsid w:val="619C4F8D"/>
    <w:rsid w:val="61B65ADA"/>
    <w:rsid w:val="625E643D"/>
    <w:rsid w:val="62A36DC8"/>
    <w:rsid w:val="62C950FF"/>
    <w:rsid w:val="62CD4A8E"/>
    <w:rsid w:val="62ED7E84"/>
    <w:rsid w:val="63046813"/>
    <w:rsid w:val="63147CC6"/>
    <w:rsid w:val="631B1054"/>
    <w:rsid w:val="63253C81"/>
    <w:rsid w:val="63473BF7"/>
    <w:rsid w:val="637D586B"/>
    <w:rsid w:val="63917771"/>
    <w:rsid w:val="639332E1"/>
    <w:rsid w:val="63972A16"/>
    <w:rsid w:val="63991EF2"/>
    <w:rsid w:val="639D0223"/>
    <w:rsid w:val="63B15515"/>
    <w:rsid w:val="63F773CC"/>
    <w:rsid w:val="63FF4024"/>
    <w:rsid w:val="642303DA"/>
    <w:rsid w:val="643842D4"/>
    <w:rsid w:val="64630F05"/>
    <w:rsid w:val="646B69EA"/>
    <w:rsid w:val="647E2BF2"/>
    <w:rsid w:val="648D7D30"/>
    <w:rsid w:val="64920E2E"/>
    <w:rsid w:val="64D911C7"/>
    <w:rsid w:val="64DE67DD"/>
    <w:rsid w:val="64DF3C9A"/>
    <w:rsid w:val="64EC0EFA"/>
    <w:rsid w:val="651346D9"/>
    <w:rsid w:val="652A1A23"/>
    <w:rsid w:val="65310E21"/>
    <w:rsid w:val="65314B5F"/>
    <w:rsid w:val="65362175"/>
    <w:rsid w:val="655B398A"/>
    <w:rsid w:val="655F7D58"/>
    <w:rsid w:val="658B6DC7"/>
    <w:rsid w:val="65970068"/>
    <w:rsid w:val="659D1DBC"/>
    <w:rsid w:val="65AA7E46"/>
    <w:rsid w:val="65BF482E"/>
    <w:rsid w:val="65C71020"/>
    <w:rsid w:val="65CA511A"/>
    <w:rsid w:val="65DE4CE7"/>
    <w:rsid w:val="660109D5"/>
    <w:rsid w:val="661A3903"/>
    <w:rsid w:val="663D12E2"/>
    <w:rsid w:val="66456B14"/>
    <w:rsid w:val="669929BC"/>
    <w:rsid w:val="66BA201C"/>
    <w:rsid w:val="66E55C01"/>
    <w:rsid w:val="677F5616"/>
    <w:rsid w:val="67C223E6"/>
    <w:rsid w:val="67CC5D59"/>
    <w:rsid w:val="67CE1BA8"/>
    <w:rsid w:val="684A4382"/>
    <w:rsid w:val="68831B76"/>
    <w:rsid w:val="690A7BA1"/>
    <w:rsid w:val="693370F8"/>
    <w:rsid w:val="6965127B"/>
    <w:rsid w:val="69B13899"/>
    <w:rsid w:val="69B144C0"/>
    <w:rsid w:val="69C73CE4"/>
    <w:rsid w:val="69E93980"/>
    <w:rsid w:val="69F66377"/>
    <w:rsid w:val="6A334ED5"/>
    <w:rsid w:val="6A681023"/>
    <w:rsid w:val="6A883473"/>
    <w:rsid w:val="6AA22798"/>
    <w:rsid w:val="6AA638F9"/>
    <w:rsid w:val="6ABF6769"/>
    <w:rsid w:val="6AEC1C54"/>
    <w:rsid w:val="6AEF34F2"/>
    <w:rsid w:val="6AFF1033"/>
    <w:rsid w:val="6B23319C"/>
    <w:rsid w:val="6B3B477B"/>
    <w:rsid w:val="6B635476"/>
    <w:rsid w:val="6B9145AA"/>
    <w:rsid w:val="6BAC3191"/>
    <w:rsid w:val="6BC24763"/>
    <w:rsid w:val="6BF82044"/>
    <w:rsid w:val="6C276CBC"/>
    <w:rsid w:val="6C3C0563"/>
    <w:rsid w:val="6C6B3F54"/>
    <w:rsid w:val="6CA2242E"/>
    <w:rsid w:val="6CCA7D73"/>
    <w:rsid w:val="6D3A657B"/>
    <w:rsid w:val="6D635AD2"/>
    <w:rsid w:val="6D7165A7"/>
    <w:rsid w:val="6D8B377D"/>
    <w:rsid w:val="6D8C32E7"/>
    <w:rsid w:val="6DCF4F15"/>
    <w:rsid w:val="6DD864C0"/>
    <w:rsid w:val="6DF332FA"/>
    <w:rsid w:val="6DFB5D0A"/>
    <w:rsid w:val="6E1E6D28"/>
    <w:rsid w:val="6E3B07FD"/>
    <w:rsid w:val="6E472F85"/>
    <w:rsid w:val="6E590230"/>
    <w:rsid w:val="6E681094"/>
    <w:rsid w:val="6EB53486"/>
    <w:rsid w:val="6F1029F4"/>
    <w:rsid w:val="6F274FBB"/>
    <w:rsid w:val="6F314216"/>
    <w:rsid w:val="6F5C6C7D"/>
    <w:rsid w:val="6F7C2E7B"/>
    <w:rsid w:val="6F8D3411"/>
    <w:rsid w:val="6F975436"/>
    <w:rsid w:val="6FA26D85"/>
    <w:rsid w:val="6FAA3C20"/>
    <w:rsid w:val="6FB47548"/>
    <w:rsid w:val="6FCC5BB0"/>
    <w:rsid w:val="6FCC6779"/>
    <w:rsid w:val="6FD66175"/>
    <w:rsid w:val="70105C56"/>
    <w:rsid w:val="70187047"/>
    <w:rsid w:val="705A0D9A"/>
    <w:rsid w:val="707B6DF7"/>
    <w:rsid w:val="70BE10E3"/>
    <w:rsid w:val="70DC0AFC"/>
    <w:rsid w:val="71145A61"/>
    <w:rsid w:val="71494FDF"/>
    <w:rsid w:val="717D3BD5"/>
    <w:rsid w:val="71BC607B"/>
    <w:rsid w:val="71C06E4D"/>
    <w:rsid w:val="71E9647C"/>
    <w:rsid w:val="7218332F"/>
    <w:rsid w:val="722C0B88"/>
    <w:rsid w:val="722F2426"/>
    <w:rsid w:val="724A3704"/>
    <w:rsid w:val="727A5D97"/>
    <w:rsid w:val="72914E8F"/>
    <w:rsid w:val="72916C3D"/>
    <w:rsid w:val="72BB3CBA"/>
    <w:rsid w:val="731568D6"/>
    <w:rsid w:val="735569A8"/>
    <w:rsid w:val="737D1DC4"/>
    <w:rsid w:val="73865801"/>
    <w:rsid w:val="73C05A2C"/>
    <w:rsid w:val="73E36BAB"/>
    <w:rsid w:val="73E6120B"/>
    <w:rsid w:val="74147B26"/>
    <w:rsid w:val="74373814"/>
    <w:rsid w:val="744F5002"/>
    <w:rsid w:val="74A24D5F"/>
    <w:rsid w:val="74DA2B1D"/>
    <w:rsid w:val="74DD616A"/>
    <w:rsid w:val="74F61F18"/>
    <w:rsid w:val="75047B9A"/>
    <w:rsid w:val="7521074C"/>
    <w:rsid w:val="754206C3"/>
    <w:rsid w:val="759E127A"/>
    <w:rsid w:val="75C17839"/>
    <w:rsid w:val="75D532E5"/>
    <w:rsid w:val="75F06371"/>
    <w:rsid w:val="76053BCA"/>
    <w:rsid w:val="760D238E"/>
    <w:rsid w:val="76257DC8"/>
    <w:rsid w:val="76261D92"/>
    <w:rsid w:val="7646681C"/>
    <w:rsid w:val="766C3C49"/>
    <w:rsid w:val="76726D86"/>
    <w:rsid w:val="768E0063"/>
    <w:rsid w:val="76A827A7"/>
    <w:rsid w:val="76D8308D"/>
    <w:rsid w:val="77447586"/>
    <w:rsid w:val="77470212"/>
    <w:rsid w:val="779D6084"/>
    <w:rsid w:val="77B70EF4"/>
    <w:rsid w:val="781B05C0"/>
    <w:rsid w:val="782E5969"/>
    <w:rsid w:val="783D7A8A"/>
    <w:rsid w:val="785034EF"/>
    <w:rsid w:val="785543CB"/>
    <w:rsid w:val="785726D7"/>
    <w:rsid w:val="787F6E74"/>
    <w:rsid w:val="78B421EB"/>
    <w:rsid w:val="78D43E6E"/>
    <w:rsid w:val="78E139CE"/>
    <w:rsid w:val="78E73A5B"/>
    <w:rsid w:val="79256331"/>
    <w:rsid w:val="794744F9"/>
    <w:rsid w:val="79766B8D"/>
    <w:rsid w:val="797F3C93"/>
    <w:rsid w:val="79DA0F42"/>
    <w:rsid w:val="7A2D36EF"/>
    <w:rsid w:val="7A3456BF"/>
    <w:rsid w:val="7A4B626B"/>
    <w:rsid w:val="7A4C652D"/>
    <w:rsid w:val="7A684727"/>
    <w:rsid w:val="7A8A3819"/>
    <w:rsid w:val="7AAC0949"/>
    <w:rsid w:val="7AD46261"/>
    <w:rsid w:val="7ADA3086"/>
    <w:rsid w:val="7B043031"/>
    <w:rsid w:val="7B0703E4"/>
    <w:rsid w:val="7B2D23F7"/>
    <w:rsid w:val="7B2F435B"/>
    <w:rsid w:val="7B52292A"/>
    <w:rsid w:val="7B5455AE"/>
    <w:rsid w:val="7BC63555"/>
    <w:rsid w:val="7C624616"/>
    <w:rsid w:val="7D083FA0"/>
    <w:rsid w:val="7D4274B2"/>
    <w:rsid w:val="7D9D293A"/>
    <w:rsid w:val="7E085C95"/>
    <w:rsid w:val="7E2D54D9"/>
    <w:rsid w:val="7E665422"/>
    <w:rsid w:val="7E7A3A8F"/>
    <w:rsid w:val="7ECF746B"/>
    <w:rsid w:val="7EE34D31"/>
    <w:rsid w:val="7F0013D2"/>
    <w:rsid w:val="7F091139"/>
    <w:rsid w:val="7F0B7D77"/>
    <w:rsid w:val="7F387F18"/>
    <w:rsid w:val="7F49049D"/>
    <w:rsid w:val="7F7B6CAB"/>
    <w:rsid w:val="7FB76EE4"/>
    <w:rsid w:val="7FDC35ED"/>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qFormat="1"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99"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22" w:semiHidden="0" w:name="Strong" w:locked="1"/>
    <w:lsdException w:qFormat="1" w:unhideWhenUsed="0" w:uiPriority="0" w:semiHidden="0" w:name="Emphasis" w:locked="1"/>
    <w:lsdException w:qFormat="1" w:unhideWhenUsed="0" w:uiPriority="0" w:name="Document Map"/>
    <w:lsdException w:qFormat="1" w:unhideWhenUsed="0" w:uiPriority="99" w:semiHidden="0" w:name="Plain Text"/>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qFormat="1" w:uiPriority="99"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qFormat="1" w:unhideWhenUsed="0" w:uiPriority="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name="Balloon Text" w:locked="1"/>
    <w:lsdException w:qFormat="1" w:unhideWhenUsed="0" w:uiPriority="0" w:semiHidden="0" w:name="Table Grid"/>
    <w:lsdException w:uiPriority="0"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9"/>
    <w:qFormat/>
    <w:uiPriority w:val="0"/>
    <w:pPr>
      <w:keepNext/>
      <w:numPr>
        <w:ilvl w:val="0"/>
        <w:numId w:val="1"/>
      </w:numPr>
      <w:outlineLvl w:val="0"/>
    </w:pPr>
    <w:rPr>
      <w:b/>
      <w:kern w:val="44"/>
      <w:sz w:val="44"/>
    </w:rPr>
  </w:style>
  <w:style w:type="paragraph" w:styleId="3">
    <w:name w:val="heading 2"/>
    <w:basedOn w:val="1"/>
    <w:next w:val="1"/>
    <w:link w:val="110"/>
    <w:qFormat/>
    <w:uiPriority w:val="0"/>
    <w:pPr>
      <w:keepNext/>
      <w:keepLines/>
      <w:spacing w:before="260" w:after="260" w:line="416" w:lineRule="auto"/>
      <w:outlineLvl w:val="1"/>
    </w:pPr>
    <w:rPr>
      <w:rFonts w:ascii="Cambria" w:hAnsi="Cambria"/>
      <w:b/>
      <w:kern w:val="0"/>
      <w:sz w:val="32"/>
    </w:rPr>
  </w:style>
  <w:style w:type="paragraph" w:styleId="4">
    <w:name w:val="heading 3"/>
    <w:basedOn w:val="1"/>
    <w:next w:val="1"/>
    <w:link w:val="111"/>
    <w:qFormat/>
    <w:uiPriority w:val="0"/>
    <w:pPr>
      <w:keepNext/>
      <w:keepLines/>
      <w:spacing w:before="260" w:after="260" w:line="416" w:lineRule="auto"/>
      <w:outlineLvl w:val="2"/>
    </w:pPr>
    <w:rPr>
      <w:b/>
      <w:kern w:val="0"/>
      <w:sz w:val="32"/>
    </w:rPr>
  </w:style>
  <w:style w:type="paragraph" w:styleId="5">
    <w:name w:val="heading 4"/>
    <w:basedOn w:val="1"/>
    <w:next w:val="1"/>
    <w:qFormat/>
    <w:locked/>
    <w:uiPriority w:val="0"/>
    <w:pPr>
      <w:keepNext/>
      <w:keepLines/>
      <w:spacing w:before="280" w:after="290" w:line="376" w:lineRule="auto"/>
      <w:outlineLvl w:val="3"/>
    </w:pPr>
    <w:rPr>
      <w:rFonts w:ascii="Calibri Light" w:hAnsi="Calibri Light"/>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qFormat/>
    <w:locked/>
    <w:uiPriority w:val="0"/>
    <w:pPr>
      <w:spacing w:before="60"/>
      <w:ind w:firstLine="420" w:firstLineChars="200"/>
    </w:pPr>
    <w:rPr>
      <w:szCs w:val="24"/>
    </w:rPr>
  </w:style>
  <w:style w:type="paragraph" w:styleId="7">
    <w:name w:val="Document Map"/>
    <w:basedOn w:val="1"/>
    <w:link w:val="112"/>
    <w:semiHidden/>
    <w:qFormat/>
    <w:uiPriority w:val="0"/>
    <w:pPr>
      <w:shd w:val="clear" w:color="auto" w:fill="000080"/>
    </w:pPr>
    <w:rPr>
      <w:kern w:val="0"/>
      <w:sz w:val="2"/>
    </w:rPr>
  </w:style>
  <w:style w:type="paragraph" w:styleId="8">
    <w:name w:val="toa heading"/>
    <w:basedOn w:val="1"/>
    <w:next w:val="1"/>
    <w:qFormat/>
    <w:locked/>
    <w:uiPriority w:val="99"/>
    <w:pPr>
      <w:spacing w:before="120"/>
    </w:pPr>
    <w:rPr>
      <w:rFonts w:ascii="Cambria" w:hAnsi="Cambria"/>
      <w:sz w:val="24"/>
    </w:rPr>
  </w:style>
  <w:style w:type="paragraph" w:styleId="9">
    <w:name w:val="annotation text"/>
    <w:basedOn w:val="1"/>
    <w:link w:val="113"/>
    <w:semiHidden/>
    <w:qFormat/>
    <w:uiPriority w:val="0"/>
    <w:pPr>
      <w:jc w:val="left"/>
    </w:pPr>
    <w:rPr>
      <w:sz w:val="28"/>
    </w:rPr>
  </w:style>
  <w:style w:type="paragraph" w:styleId="10">
    <w:name w:val="Body Text"/>
    <w:basedOn w:val="1"/>
    <w:link w:val="114"/>
    <w:semiHidden/>
    <w:qFormat/>
    <w:uiPriority w:val="0"/>
    <w:pPr>
      <w:spacing w:before="100" w:beforeAutospacing="1" w:after="100" w:afterAutospacing="1" w:line="600" w:lineRule="auto"/>
    </w:pPr>
    <w:rPr>
      <w:kern w:val="0"/>
      <w:sz w:val="20"/>
    </w:rPr>
  </w:style>
  <w:style w:type="paragraph" w:styleId="11">
    <w:name w:val="Body Text Indent"/>
    <w:basedOn w:val="1"/>
    <w:next w:val="12"/>
    <w:link w:val="115"/>
    <w:qFormat/>
    <w:uiPriority w:val="0"/>
    <w:pPr>
      <w:spacing w:after="120"/>
      <w:ind w:left="420" w:leftChars="200"/>
    </w:pPr>
    <w:rPr>
      <w:kern w:val="0"/>
      <w:sz w:val="20"/>
    </w:rPr>
  </w:style>
  <w:style w:type="paragraph" w:styleId="12">
    <w:name w:val="Body Text First Indent 2"/>
    <w:basedOn w:val="11"/>
    <w:qFormat/>
    <w:locked/>
    <w:uiPriority w:val="0"/>
    <w:pPr>
      <w:tabs>
        <w:tab w:val="left" w:pos="720"/>
      </w:tabs>
      <w:ind w:firstLine="420"/>
    </w:pPr>
    <w:rPr>
      <w:sz w:val="21"/>
    </w:rPr>
  </w:style>
  <w:style w:type="paragraph" w:styleId="13">
    <w:name w:val="toc 3"/>
    <w:basedOn w:val="1"/>
    <w:next w:val="1"/>
    <w:qFormat/>
    <w:locked/>
    <w:uiPriority w:val="39"/>
    <w:pPr>
      <w:ind w:left="840" w:leftChars="400"/>
    </w:pPr>
  </w:style>
  <w:style w:type="paragraph" w:styleId="14">
    <w:name w:val="Plain Text"/>
    <w:basedOn w:val="1"/>
    <w:link w:val="116"/>
    <w:qFormat/>
    <w:uiPriority w:val="99"/>
    <w:rPr>
      <w:rFonts w:ascii="宋体" w:hAnsi="Courier New"/>
    </w:rPr>
  </w:style>
  <w:style w:type="paragraph" w:styleId="15">
    <w:name w:val="Date"/>
    <w:basedOn w:val="1"/>
    <w:next w:val="1"/>
    <w:link w:val="117"/>
    <w:qFormat/>
    <w:uiPriority w:val="0"/>
    <w:pPr>
      <w:adjustRightInd w:val="0"/>
      <w:spacing w:line="360" w:lineRule="atLeast"/>
      <w:ind w:firstLine="454"/>
      <w:textAlignment w:val="baseline"/>
    </w:pPr>
    <w:rPr>
      <w:kern w:val="0"/>
      <w:sz w:val="20"/>
    </w:rPr>
  </w:style>
  <w:style w:type="paragraph" w:styleId="16">
    <w:name w:val="Body Text Indent 2"/>
    <w:basedOn w:val="1"/>
    <w:link w:val="118"/>
    <w:qFormat/>
    <w:uiPriority w:val="0"/>
    <w:pPr>
      <w:ind w:firstLine="480"/>
    </w:pPr>
    <w:rPr>
      <w:kern w:val="0"/>
      <w:sz w:val="20"/>
    </w:rPr>
  </w:style>
  <w:style w:type="paragraph" w:styleId="17">
    <w:name w:val="Balloon Text"/>
    <w:basedOn w:val="1"/>
    <w:semiHidden/>
    <w:qFormat/>
    <w:locked/>
    <w:uiPriority w:val="0"/>
    <w:rPr>
      <w:sz w:val="18"/>
      <w:szCs w:val="18"/>
    </w:rPr>
  </w:style>
  <w:style w:type="paragraph" w:styleId="18">
    <w:name w:val="footer"/>
    <w:basedOn w:val="1"/>
    <w:link w:val="119"/>
    <w:qFormat/>
    <w:uiPriority w:val="99"/>
    <w:pPr>
      <w:tabs>
        <w:tab w:val="center" w:pos="4153"/>
        <w:tab w:val="right" w:pos="8306"/>
      </w:tabs>
      <w:snapToGrid w:val="0"/>
      <w:jc w:val="left"/>
    </w:pPr>
    <w:rPr>
      <w:kern w:val="0"/>
      <w:sz w:val="18"/>
    </w:rPr>
  </w:style>
  <w:style w:type="paragraph" w:styleId="19">
    <w:name w:val="header"/>
    <w:basedOn w:val="1"/>
    <w:link w:val="120"/>
    <w:qFormat/>
    <w:uiPriority w:val="0"/>
    <w:pPr>
      <w:pBdr>
        <w:bottom w:val="single" w:color="auto" w:sz="6" w:space="1"/>
      </w:pBdr>
      <w:tabs>
        <w:tab w:val="center" w:pos="4153"/>
        <w:tab w:val="right" w:pos="8306"/>
      </w:tabs>
      <w:snapToGrid w:val="0"/>
      <w:jc w:val="center"/>
    </w:pPr>
    <w:rPr>
      <w:kern w:val="0"/>
      <w:sz w:val="18"/>
    </w:rPr>
  </w:style>
  <w:style w:type="paragraph" w:styleId="20">
    <w:name w:val="toc 1"/>
    <w:basedOn w:val="1"/>
    <w:next w:val="1"/>
    <w:qFormat/>
    <w:uiPriority w:val="39"/>
    <w:pPr>
      <w:tabs>
        <w:tab w:val="right" w:leader="dot" w:pos="9628"/>
      </w:tabs>
      <w:spacing w:line="440" w:lineRule="exact"/>
      <w:jc w:val="center"/>
    </w:pPr>
    <w:rPr>
      <w:rFonts w:ascii="仿宋" w:hAnsi="仿宋" w:eastAsia="仿宋"/>
      <w:b/>
      <w:sz w:val="44"/>
      <w:szCs w:val="44"/>
    </w:rPr>
  </w:style>
  <w:style w:type="paragraph" w:styleId="21">
    <w:name w:val="footnote text"/>
    <w:basedOn w:val="1"/>
    <w:qFormat/>
    <w:locked/>
    <w:uiPriority w:val="0"/>
    <w:pPr>
      <w:snapToGrid w:val="0"/>
      <w:jc w:val="left"/>
    </w:pPr>
    <w:rPr>
      <w:sz w:val="18"/>
    </w:rPr>
  </w:style>
  <w:style w:type="paragraph" w:styleId="22">
    <w:name w:val="toc 2"/>
    <w:basedOn w:val="1"/>
    <w:next w:val="1"/>
    <w:qFormat/>
    <w:uiPriority w:val="39"/>
    <w:pPr>
      <w:tabs>
        <w:tab w:val="right" w:leader="dot" w:pos="9628"/>
      </w:tabs>
      <w:ind w:left="420" w:leftChars="200"/>
    </w:pPr>
  </w:style>
  <w:style w:type="paragraph" w:styleId="23">
    <w:name w:val="Normal (Web)"/>
    <w:basedOn w:val="1"/>
    <w:qFormat/>
    <w:locked/>
    <w:uiPriority w:val="99"/>
    <w:pPr>
      <w:widowControl/>
      <w:spacing w:before="100" w:beforeAutospacing="1" w:after="100" w:afterAutospacing="1"/>
      <w:jc w:val="left"/>
    </w:pPr>
    <w:rPr>
      <w:rFonts w:ascii="宋体" w:hAnsi="宋体"/>
      <w:kern w:val="0"/>
      <w:sz w:val="24"/>
      <w:szCs w:val="24"/>
    </w:rPr>
  </w:style>
  <w:style w:type="paragraph" w:styleId="24">
    <w:name w:val="annotation subject"/>
    <w:basedOn w:val="9"/>
    <w:next w:val="9"/>
    <w:semiHidden/>
    <w:qFormat/>
    <w:locked/>
    <w:uiPriority w:val="0"/>
    <w:rPr>
      <w:b/>
      <w:bCs/>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locked/>
    <w:uiPriority w:val="22"/>
    <w:rPr>
      <w:b/>
      <w:bCs/>
    </w:rPr>
  </w:style>
  <w:style w:type="character" w:styleId="29">
    <w:name w:val="page number"/>
    <w:qFormat/>
    <w:uiPriority w:val="0"/>
    <w:rPr>
      <w:rFonts w:cs="Times New Roman"/>
    </w:rPr>
  </w:style>
  <w:style w:type="character" w:styleId="30">
    <w:name w:val="FollowedHyperlink"/>
    <w:qFormat/>
    <w:locked/>
    <w:uiPriority w:val="0"/>
    <w:rPr>
      <w:color w:val="800080"/>
      <w:u w:val="single"/>
    </w:rPr>
  </w:style>
  <w:style w:type="character" w:styleId="31">
    <w:name w:val="Emphasis"/>
    <w:qFormat/>
    <w:locked/>
    <w:uiPriority w:val="0"/>
    <w:rPr>
      <w:i/>
    </w:rPr>
  </w:style>
  <w:style w:type="character" w:styleId="32">
    <w:name w:val="Hyperlink"/>
    <w:qFormat/>
    <w:uiPriority w:val="99"/>
    <w:rPr>
      <w:rFonts w:cs="Times New Roman"/>
      <w:color w:val="0000FF"/>
      <w:u w:val="single"/>
    </w:rPr>
  </w:style>
  <w:style w:type="character" w:styleId="33">
    <w:name w:val="annotation reference"/>
    <w:semiHidden/>
    <w:qFormat/>
    <w:uiPriority w:val="0"/>
    <w:rPr>
      <w:rFonts w:cs="Times New Roman"/>
      <w:sz w:val="21"/>
      <w:szCs w:val="21"/>
    </w:rPr>
  </w:style>
  <w:style w:type="character" w:styleId="34">
    <w:name w:val="HTML Sample"/>
    <w:unhideWhenUsed/>
    <w:qFormat/>
    <w:locked/>
    <w:uiPriority w:val="99"/>
    <w:rPr>
      <w:rFonts w:ascii="宋体" w:hAnsi="宋体" w:eastAsia="宋体" w:cs="宋体"/>
    </w:rPr>
  </w:style>
  <w:style w:type="paragraph" w:customStyle="1" w:styleId="35">
    <w:name w:val="首行缩进"/>
    <w:basedOn w:val="1"/>
    <w:qFormat/>
    <w:uiPriority w:val="0"/>
    <w:pPr>
      <w:spacing w:line="360" w:lineRule="auto"/>
      <w:ind w:firstLine="480" w:firstLineChars="200"/>
    </w:pPr>
    <w:rPr>
      <w:rFonts w:ascii="宋体" w:hAnsi="宋体" w:cs="宋体"/>
      <w:kern w:val="0"/>
      <w:sz w:val="24"/>
    </w:rPr>
  </w:style>
  <w:style w:type="paragraph" w:customStyle="1" w:styleId="36">
    <w:name w:val="Style1"/>
    <w:basedOn w:val="1"/>
    <w:qFormat/>
    <w:uiPriority w:val="0"/>
    <w:pPr>
      <w:widowControl/>
      <w:tabs>
        <w:tab w:val="left" w:pos="-720"/>
      </w:tabs>
    </w:pPr>
    <w:rPr>
      <w:spacing w:val="-3"/>
      <w:kern w:val="0"/>
      <w:sz w:val="24"/>
      <w:lang w:val="en-AU" w:eastAsia="en-US"/>
    </w:rPr>
  </w:style>
  <w:style w:type="paragraph" w:customStyle="1" w:styleId="37">
    <w:name w:val="Char Char Char Char Char Char Char"/>
    <w:basedOn w:val="1"/>
    <w:qFormat/>
    <w:uiPriority w:val="0"/>
    <w:pPr>
      <w:tabs>
        <w:tab w:val="left" w:pos="432"/>
      </w:tabs>
      <w:ind w:left="432" w:hanging="432"/>
    </w:pPr>
    <w:rPr>
      <w:rFonts w:ascii="Tahoma" w:hAnsi="Tahoma"/>
      <w:sz w:val="24"/>
    </w:rPr>
  </w:style>
  <w:style w:type="paragraph" w:customStyle="1" w:styleId="38">
    <w:name w:val="Char1"/>
    <w:basedOn w:val="1"/>
    <w:qFormat/>
    <w:uiPriority w:val="0"/>
    <w:rPr>
      <w:rFonts w:ascii="Tahoma" w:hAnsi="Tahoma"/>
      <w:sz w:val="24"/>
    </w:rPr>
  </w:style>
  <w:style w:type="paragraph" w:customStyle="1" w:styleId="3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0">
    <w:name w:val="List Paragraph1"/>
    <w:basedOn w:val="1"/>
    <w:qFormat/>
    <w:uiPriority w:val="0"/>
    <w:pPr>
      <w:ind w:firstLine="420" w:firstLineChars="200"/>
    </w:pPr>
    <w:rPr>
      <w:rFonts w:ascii="Calibri" w:hAnsi="Calibri"/>
      <w:szCs w:val="22"/>
    </w:rPr>
  </w:style>
  <w:style w:type="paragraph" w:customStyle="1" w:styleId="41">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2">
    <w:name w:val="样式 宋体 五号 行距: 单倍行距"/>
    <w:basedOn w:val="1"/>
    <w:qFormat/>
    <w:uiPriority w:val="0"/>
    <w:pPr>
      <w:adjustRightInd w:val="0"/>
      <w:jc w:val="left"/>
      <w:textAlignment w:val="baseline"/>
    </w:pPr>
    <w:rPr>
      <w:rFonts w:ascii="宋体" w:hAnsi="宋体"/>
      <w:kern w:val="0"/>
    </w:rPr>
  </w:style>
  <w:style w:type="paragraph" w:customStyle="1" w:styleId="43">
    <w:name w:val="p15"/>
    <w:basedOn w:val="1"/>
    <w:qFormat/>
    <w:uiPriority w:val="0"/>
    <w:pPr>
      <w:widowControl/>
    </w:pPr>
    <w:rPr>
      <w:kern w:val="0"/>
      <w:szCs w:val="21"/>
    </w:rPr>
  </w:style>
  <w:style w:type="paragraph" w:customStyle="1" w:styleId="44">
    <w:name w:val="Default Text:1"/>
    <w:basedOn w:val="1"/>
    <w:qFormat/>
    <w:uiPriority w:val="0"/>
    <w:pPr>
      <w:widowControl/>
      <w:overflowPunct w:val="0"/>
      <w:autoSpaceDE w:val="0"/>
      <w:autoSpaceDN w:val="0"/>
      <w:adjustRightInd w:val="0"/>
      <w:jc w:val="left"/>
      <w:textAlignment w:val="baseline"/>
    </w:pPr>
    <w:rPr>
      <w:kern w:val="0"/>
      <w:sz w:val="24"/>
    </w:rPr>
  </w:style>
  <w:style w:type="paragraph" w:customStyle="1" w:styleId="45">
    <w:name w:val="三级标题"/>
    <w:basedOn w:val="1"/>
    <w:next w:val="1"/>
    <w:qFormat/>
    <w:uiPriority w:val="0"/>
    <w:pPr>
      <w:numPr>
        <w:ilvl w:val="2"/>
        <w:numId w:val="2"/>
      </w:numPr>
      <w:outlineLvl w:val="3"/>
    </w:pPr>
    <w:rPr>
      <w:b/>
    </w:rPr>
  </w:style>
  <w:style w:type="paragraph" w:customStyle="1" w:styleId="46">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47">
    <w:name w:val="正文_29_3_4"/>
    <w:qFormat/>
    <w:uiPriority w:val="0"/>
    <w:pPr>
      <w:widowControl w:val="0"/>
      <w:jc w:val="both"/>
    </w:pPr>
    <w:rPr>
      <w:rFonts w:ascii="Calibri" w:hAnsi="Calibri" w:eastAsia="宋体" w:cs="Times New Roman"/>
      <w:kern w:val="2"/>
      <w:sz w:val="21"/>
      <w:szCs w:val="24"/>
      <w:lang w:val="en-US" w:eastAsia="zh-CN" w:bidi="ar-SA"/>
    </w:rPr>
  </w:style>
  <w:style w:type="paragraph" w:customStyle="1" w:styleId="48">
    <w:name w:val="List Paragraph2"/>
    <w:basedOn w:val="1"/>
    <w:qFormat/>
    <w:uiPriority w:val="0"/>
    <w:pPr>
      <w:ind w:firstLine="420" w:firstLineChars="200"/>
    </w:pPr>
    <w:rPr>
      <w:rFonts w:ascii="Calibri" w:hAnsi="Calibri"/>
      <w:szCs w:val="22"/>
    </w:rPr>
  </w:style>
  <w:style w:type="paragraph" w:customStyle="1" w:styleId="49">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0">
    <w:name w:val="样式 样式 样式 样式 标题 2 + 宋体 五号 非加粗 黑色 + 段前: 6 磅 段后: 0 磅 行距: 单倍行距 + 段前:..."/>
    <w:basedOn w:val="1"/>
    <w:qFormat/>
    <w:uiPriority w:val="0"/>
    <w:pPr>
      <w:keepNext/>
      <w:keepLines/>
      <w:adjustRightInd w:val="0"/>
      <w:spacing w:before="240"/>
      <w:textAlignment w:val="baseline"/>
      <w:outlineLvl w:val="1"/>
    </w:pPr>
    <w:rPr>
      <w:rFonts w:ascii="宋体" w:hAnsi="宋体"/>
      <w:b/>
      <w:bCs/>
      <w:kern w:val="0"/>
    </w:rPr>
  </w:style>
  <w:style w:type="paragraph" w:customStyle="1" w:styleId="51">
    <w:name w:val="Definition Term"/>
    <w:basedOn w:val="1"/>
    <w:next w:val="1"/>
    <w:qFormat/>
    <w:uiPriority w:val="0"/>
    <w:pPr>
      <w:autoSpaceDE w:val="0"/>
      <w:autoSpaceDN w:val="0"/>
      <w:adjustRightInd w:val="0"/>
      <w:jc w:val="left"/>
    </w:pPr>
    <w:rPr>
      <w:kern w:val="0"/>
      <w:sz w:val="24"/>
    </w:rPr>
  </w:style>
  <w:style w:type="paragraph" w:customStyle="1" w:styleId="52">
    <w:name w:val="Char"/>
    <w:basedOn w:val="7"/>
    <w:semiHidden/>
    <w:qFormat/>
    <w:uiPriority w:val="0"/>
    <w:rPr>
      <w:rFonts w:ascii="Tahoma" w:hAnsi="Tahoma"/>
      <w:sz w:val="24"/>
      <w:szCs w:val="24"/>
    </w:rPr>
  </w:style>
  <w:style w:type="paragraph" w:customStyle="1" w:styleId="53">
    <w:name w:val="样式3"/>
    <w:basedOn w:val="14"/>
    <w:qFormat/>
    <w:uiPriority w:val="0"/>
    <w:pPr>
      <w:spacing w:line="240" w:lineRule="atLeast"/>
      <w:outlineLvl w:val="0"/>
    </w:pPr>
    <w:rPr>
      <w:sz w:val="28"/>
      <w:szCs w:val="24"/>
    </w:rPr>
  </w:style>
  <w:style w:type="paragraph" w:customStyle="1" w:styleId="54">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 w:type="paragraph" w:customStyle="1" w:styleId="55">
    <w:name w:val="样式1"/>
    <w:basedOn w:val="1"/>
    <w:qFormat/>
    <w:uiPriority w:val="0"/>
    <w:pPr>
      <w:tabs>
        <w:tab w:val="left" w:pos="480"/>
      </w:tabs>
      <w:adjustRightInd w:val="0"/>
      <w:ind w:left="480" w:hanging="480"/>
      <w:textAlignment w:val="baseline"/>
    </w:pPr>
    <w:rPr>
      <w:rFonts w:ascii="宋体" w:hAnsi="宋体"/>
      <w:kern w:val="0"/>
      <w:szCs w:val="21"/>
    </w:rPr>
  </w:style>
  <w:style w:type="paragraph" w:customStyle="1" w:styleId="5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样式 宋体 五号 两端对齐 行距: 单倍行距"/>
    <w:basedOn w:val="1"/>
    <w:qFormat/>
    <w:uiPriority w:val="0"/>
    <w:pPr>
      <w:adjustRightInd w:val="0"/>
      <w:textAlignment w:val="baseline"/>
    </w:pPr>
    <w:rPr>
      <w:rFonts w:ascii="宋体" w:hAnsi="宋体"/>
      <w:kern w:val="0"/>
    </w:rPr>
  </w:style>
  <w:style w:type="paragraph" w:customStyle="1" w:styleId="58">
    <w:name w:val="列出段落1"/>
    <w:basedOn w:val="1"/>
    <w:next w:val="1"/>
    <w:link w:val="151"/>
    <w:qFormat/>
    <w:uiPriority w:val="34"/>
    <w:pPr>
      <w:ind w:firstLine="420" w:firstLineChars="200"/>
    </w:pPr>
    <w:rPr>
      <w:rFonts w:ascii="Calibri" w:hAnsi="Calibri"/>
      <w:szCs w:val="22"/>
    </w:rPr>
  </w:style>
  <w:style w:type="paragraph" w:customStyle="1" w:styleId="59">
    <w:name w:val="_Style 1"/>
    <w:qFormat/>
    <w:uiPriority w:val="1"/>
    <w:pPr>
      <w:adjustRightInd w:val="0"/>
      <w:snapToGrid w:val="0"/>
    </w:pPr>
    <w:rPr>
      <w:rFonts w:ascii="Tahoma" w:hAnsi="Tahoma" w:eastAsia="宋体" w:cs="Times New Roman"/>
      <w:sz w:val="22"/>
      <w:szCs w:val="22"/>
      <w:lang w:val="en-US" w:eastAsia="zh-CN" w:bidi="ar-SA"/>
    </w:rPr>
  </w:style>
  <w:style w:type="paragraph" w:styleId="60">
    <w:name w:val="List Paragraph"/>
    <w:basedOn w:val="1"/>
    <w:qFormat/>
    <w:uiPriority w:val="34"/>
    <w:pPr>
      <w:widowControl/>
      <w:ind w:firstLine="420" w:firstLineChars="200"/>
      <w:jc w:val="left"/>
    </w:pPr>
    <w:rPr>
      <w:rFonts w:ascii="宋体" w:hAnsi="宋体" w:cs="宋体"/>
      <w:kern w:val="0"/>
      <w:sz w:val="24"/>
      <w:szCs w:val="24"/>
    </w:rPr>
  </w:style>
  <w:style w:type="paragraph" w:customStyle="1" w:styleId="61">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2">
    <w:name w:val="Body text|1"/>
    <w:basedOn w:val="1"/>
    <w:qFormat/>
    <w:uiPriority w:val="0"/>
    <w:pPr>
      <w:spacing w:after="60"/>
      <w:jc w:val="left"/>
    </w:pPr>
    <w:rPr>
      <w:rFonts w:ascii="宋体" w:hAnsi="宋体" w:cs="宋体"/>
      <w:color w:val="000000"/>
      <w:kern w:val="0"/>
      <w:sz w:val="19"/>
      <w:szCs w:val="19"/>
      <w:lang w:val="zh-TW" w:eastAsia="zh-TW" w:bidi="zh-TW"/>
    </w:rPr>
  </w:style>
  <w:style w:type="paragraph" w:customStyle="1" w:styleId="63">
    <w:name w:val="Body text|2"/>
    <w:basedOn w:val="1"/>
    <w:qFormat/>
    <w:uiPriority w:val="0"/>
    <w:pPr>
      <w:spacing w:after="60"/>
      <w:jc w:val="left"/>
    </w:pPr>
    <w:rPr>
      <w:rFonts w:eastAsia="Times New Roman"/>
      <w:color w:val="000000"/>
      <w:kern w:val="0"/>
      <w:sz w:val="18"/>
      <w:szCs w:val="18"/>
      <w:lang w:eastAsia="en-US" w:bidi="en-US"/>
    </w:rPr>
  </w:style>
  <w:style w:type="paragraph" w:customStyle="1" w:styleId="6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65">
    <w:name w:val="Table Paragraph"/>
    <w:basedOn w:val="1"/>
    <w:qFormat/>
    <w:uiPriority w:val="1"/>
    <w:pPr>
      <w:autoSpaceDE w:val="0"/>
      <w:autoSpaceDN w:val="0"/>
      <w:spacing w:before="41"/>
      <w:ind w:left="108"/>
      <w:jc w:val="left"/>
    </w:pPr>
    <w:rPr>
      <w:rFonts w:ascii="宋体" w:hAnsi="宋体" w:cs="宋体"/>
      <w:kern w:val="0"/>
      <w:sz w:val="22"/>
      <w:szCs w:val="22"/>
      <w:lang w:val="zh-CN" w:bidi="zh-CN"/>
    </w:rPr>
  </w:style>
  <w:style w:type="paragraph" w:customStyle="1" w:styleId="66">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7">
    <w:name w:val="UserStyle_39"/>
    <w:qFormat/>
    <w:uiPriority w:val="0"/>
    <w:pPr>
      <w:jc w:val="both"/>
      <w:textAlignment w:val="baseline"/>
    </w:pPr>
    <w:rPr>
      <w:rFonts w:ascii="Calibri" w:hAnsi="Calibri" w:eastAsia="宋体" w:cs="Times New Roman"/>
      <w:kern w:val="2"/>
      <w:sz w:val="21"/>
      <w:szCs w:val="24"/>
      <w:lang w:val="en-US" w:eastAsia="zh-CN" w:bidi="ar-SA"/>
    </w:rPr>
  </w:style>
  <w:style w:type="paragraph" w:customStyle="1" w:styleId="68">
    <w:name w:val="正文_1"/>
    <w:next w:val="69"/>
    <w:qFormat/>
    <w:uiPriority w:val="0"/>
    <w:pPr>
      <w:widowControl w:val="0"/>
      <w:jc w:val="both"/>
    </w:pPr>
    <w:rPr>
      <w:rFonts w:ascii="Calibri" w:hAnsi="Calibri" w:eastAsia="宋体" w:cs="Times New Roman"/>
      <w:kern w:val="2"/>
      <w:sz w:val="21"/>
      <w:szCs w:val="24"/>
      <w:lang w:val="en-US" w:eastAsia="zh-CN" w:bidi="ar-SA"/>
    </w:rPr>
  </w:style>
  <w:style w:type="paragraph" w:customStyle="1" w:styleId="69">
    <w:name w:val="Default_0"/>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70">
    <w:name w:val="正文缩进_0"/>
    <w:basedOn w:val="71"/>
    <w:unhideWhenUsed/>
    <w:qFormat/>
    <w:uiPriority w:val="0"/>
    <w:pPr>
      <w:ind w:firstLine="420" w:firstLineChars="200"/>
    </w:pPr>
  </w:style>
  <w:style w:type="paragraph" w:customStyle="1" w:styleId="71">
    <w:name w:val="正文_3"/>
    <w:basedOn w:val="72"/>
    <w:next w:val="75"/>
    <w:qFormat/>
    <w:uiPriority w:val="0"/>
    <w:rPr>
      <w:rFonts w:ascii="Times New Roman" w:hAnsi="Times New Roman" w:eastAsia="宋体"/>
      <w:kern w:val="2"/>
      <w:sz w:val="21"/>
      <w:szCs w:val="22"/>
    </w:rPr>
  </w:style>
  <w:style w:type="paragraph" w:customStyle="1" w:styleId="72">
    <w:name w:val="Normal_0"/>
    <w:basedOn w:val="73"/>
    <w:next w:val="74"/>
    <w:qFormat/>
    <w:uiPriority w:val="0"/>
    <w:rPr>
      <w:rFonts w:eastAsia="Times New Roman"/>
      <w:sz w:val="24"/>
      <w:szCs w:val="24"/>
    </w:rPr>
  </w:style>
  <w:style w:type="paragraph" w:customStyle="1" w:styleId="73">
    <w:name w:val="正文1"/>
    <w:autoRedefine/>
    <w:qFormat/>
    <w:uiPriority w:val="0"/>
    <w:pPr>
      <w:widowControl w:val="0"/>
      <w:jc w:val="both"/>
    </w:pPr>
    <w:rPr>
      <w:rFonts w:ascii="Calibri" w:hAnsi="Calibri" w:eastAsia="宋体" w:cs="Times New Roman"/>
      <w:lang w:val="en-US" w:eastAsia="zh-CN" w:bidi="ar-SA"/>
    </w:rPr>
  </w:style>
  <w:style w:type="paragraph" w:customStyle="1" w:styleId="74">
    <w:name w:val="正文文本1"/>
    <w:basedOn w:val="72"/>
    <w:qFormat/>
    <w:uiPriority w:val="0"/>
    <w:pPr>
      <w:spacing w:after="120"/>
    </w:pPr>
  </w:style>
  <w:style w:type="paragraph" w:customStyle="1" w:styleId="75">
    <w:name w:val="正文缩进_0_0"/>
    <w:basedOn w:val="76"/>
    <w:unhideWhenUsed/>
    <w:qFormat/>
    <w:uiPriority w:val="0"/>
    <w:pPr>
      <w:ind w:firstLine="420" w:firstLineChars="200"/>
    </w:pPr>
  </w:style>
  <w:style w:type="paragraph" w:customStyle="1" w:styleId="76">
    <w:name w:val="正文_0_1"/>
    <w:basedOn w:val="77"/>
    <w:next w:val="103"/>
    <w:qFormat/>
    <w:locked/>
    <w:uiPriority w:val="0"/>
  </w:style>
  <w:style w:type="paragraph" w:customStyle="1" w:styleId="77">
    <w:name w:val="正文_0_2"/>
    <w:basedOn w:val="78"/>
    <w:next w:val="102"/>
    <w:qFormat/>
    <w:locked/>
    <w:uiPriority w:val="0"/>
    <w:rPr>
      <w:rFonts w:ascii="Times New Roman" w:hAnsi="Times New Roman"/>
    </w:rPr>
  </w:style>
  <w:style w:type="paragraph" w:customStyle="1" w:styleId="78">
    <w:name w:val="正文_2_1"/>
    <w:basedOn w:val="79"/>
    <w:next w:val="97"/>
    <w:qFormat/>
    <w:uiPriority w:val="0"/>
  </w:style>
  <w:style w:type="paragraph" w:customStyle="1" w:styleId="79">
    <w:name w:val="正文_3_0"/>
    <w:basedOn w:val="80"/>
    <w:next w:val="82"/>
    <w:qFormat/>
    <w:uiPriority w:val="0"/>
  </w:style>
  <w:style w:type="paragraph" w:customStyle="1" w:styleId="80">
    <w:name w:val="Normal_0_0"/>
    <w:next w:val="8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1">
    <w:name w:val="Body Text_0"/>
    <w:basedOn w:val="80"/>
    <w:qFormat/>
    <w:uiPriority w:val="0"/>
    <w:pPr>
      <w:spacing w:after="120"/>
    </w:pPr>
  </w:style>
  <w:style w:type="paragraph" w:customStyle="1" w:styleId="82">
    <w:name w:val="正文缩进_0_0_1"/>
    <w:basedOn w:val="83"/>
    <w:unhideWhenUsed/>
    <w:qFormat/>
    <w:uiPriority w:val="0"/>
    <w:pPr>
      <w:ind w:firstLine="420" w:firstLineChars="200"/>
    </w:pPr>
  </w:style>
  <w:style w:type="paragraph" w:customStyle="1" w:styleId="83">
    <w:name w:val="正文_0_1_1"/>
    <w:basedOn w:val="84"/>
    <w:next w:val="94"/>
    <w:qFormat/>
    <w:uiPriority w:val="0"/>
    <w:pPr>
      <w:widowControl w:val="0"/>
      <w:jc w:val="both"/>
    </w:pPr>
    <w:rPr>
      <w:rFonts w:ascii="Calibri" w:hAnsi="Calibri" w:eastAsia="Calibri"/>
      <w:kern w:val="2"/>
      <w:sz w:val="21"/>
      <w:szCs w:val="22"/>
    </w:rPr>
  </w:style>
  <w:style w:type="paragraph" w:customStyle="1" w:styleId="84">
    <w:name w:val="正文_3_1"/>
    <w:basedOn w:val="85"/>
    <w:next w:val="86"/>
    <w:qFormat/>
    <w:uiPriority w:val="0"/>
    <w:rPr>
      <w:szCs w:val="21"/>
    </w:rPr>
  </w:style>
  <w:style w:type="paragraph" w:customStyle="1" w:styleId="85">
    <w:name w:val="Normal_0_1"/>
    <w:qFormat/>
    <w:uiPriority w:val="0"/>
    <w:rPr>
      <w:rFonts w:ascii="黑体" w:hAnsi="黑体" w:eastAsia="黑体" w:cs="Times New Roman"/>
      <w:b/>
      <w:sz w:val="32"/>
      <w:szCs w:val="24"/>
      <w:lang w:val="en-US" w:eastAsia="zh-CN" w:bidi="ar-SA"/>
    </w:rPr>
  </w:style>
  <w:style w:type="paragraph" w:customStyle="1" w:styleId="86">
    <w:name w:val="正文缩进_0_0_0"/>
    <w:basedOn w:val="87"/>
    <w:unhideWhenUsed/>
    <w:qFormat/>
    <w:uiPriority w:val="0"/>
    <w:pPr>
      <w:ind w:firstLine="420" w:firstLineChars="200"/>
    </w:pPr>
  </w:style>
  <w:style w:type="paragraph" w:customStyle="1" w:styleId="87">
    <w:name w:val="正文_0_1_0"/>
    <w:basedOn w:val="88"/>
    <w:next w:val="89"/>
    <w:qFormat/>
    <w:uiPriority w:val="0"/>
    <w:rPr>
      <w:rFonts w:cs="宋体"/>
      <w:szCs w:val="21"/>
    </w:rPr>
  </w:style>
  <w:style w:type="paragraph" w:customStyle="1" w:styleId="88">
    <w:name w:val="正文_1_1"/>
    <w:next w:val="89"/>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89">
    <w:name w:val="脚注文本_0"/>
    <w:basedOn w:val="77"/>
    <w:next w:val="90"/>
    <w:unhideWhenUsed/>
    <w:qFormat/>
    <w:uiPriority w:val="99"/>
    <w:pPr>
      <w:snapToGrid w:val="0"/>
      <w:jc w:val="left"/>
    </w:pPr>
    <w:rPr>
      <w:rFonts w:ascii="Calibri" w:hAnsi="Calibri" w:eastAsia="Calibri"/>
      <w:sz w:val="18"/>
    </w:rPr>
  </w:style>
  <w:style w:type="paragraph" w:customStyle="1" w:styleId="90">
    <w:name w:val="正文_2"/>
    <w:basedOn w:val="71"/>
    <w:next w:val="91"/>
    <w:autoRedefine/>
    <w:qFormat/>
    <w:uiPriority w:val="0"/>
    <w:rPr>
      <w:rFonts w:ascii="Calibri" w:hAnsi="Calibri"/>
    </w:rPr>
  </w:style>
  <w:style w:type="paragraph" w:customStyle="1" w:styleId="91">
    <w:name w:val="正文文本_0"/>
    <w:basedOn w:val="92"/>
    <w:qFormat/>
    <w:uiPriority w:val="0"/>
    <w:rPr>
      <w:rFonts w:eastAsia="黑体"/>
      <w:sz w:val="36"/>
    </w:rPr>
  </w:style>
  <w:style w:type="paragraph" w:customStyle="1" w:styleId="92">
    <w:name w:val="正文_2_0"/>
    <w:basedOn w:val="78"/>
    <w:next w:val="93"/>
    <w:qFormat/>
    <w:uiPriority w:val="0"/>
    <w:rPr>
      <w:szCs w:val="24"/>
    </w:rPr>
  </w:style>
  <w:style w:type="paragraph" w:customStyle="1" w:styleId="93">
    <w:name w:val="正文1_0"/>
    <w:basedOn w:val="71"/>
    <w:qFormat/>
    <w:uiPriority w:val="0"/>
    <w:pPr>
      <w:widowControl/>
      <w:adjustRightInd w:val="0"/>
      <w:spacing w:before="120" w:after="120"/>
      <w:ind w:firstLine="200" w:firstLineChars="200"/>
      <w:jc w:val="left"/>
    </w:pPr>
    <w:rPr>
      <w:rFonts w:eastAsia="Adobe 仿宋 Std R"/>
    </w:rPr>
  </w:style>
  <w:style w:type="paragraph" w:customStyle="1" w:styleId="94">
    <w:name w:val="脚注文本1"/>
    <w:basedOn w:val="95"/>
    <w:next w:val="96"/>
    <w:unhideWhenUsed/>
    <w:qFormat/>
    <w:uiPriority w:val="0"/>
    <w:pPr>
      <w:snapToGrid w:val="0"/>
      <w:jc w:val="left"/>
    </w:pPr>
    <w:rPr>
      <w:kern w:val="0"/>
      <w:sz w:val="18"/>
      <w:szCs w:val="18"/>
    </w:rPr>
  </w:style>
  <w:style w:type="paragraph" w:customStyle="1" w:styleId="95">
    <w:name w:val="正文_1_0"/>
    <w:next w:val="94"/>
    <w:qFormat/>
    <w:uiPriority w:val="0"/>
    <w:pPr>
      <w:widowControl w:val="0"/>
      <w:jc w:val="both"/>
    </w:pPr>
    <w:rPr>
      <w:rFonts w:ascii="Calibri" w:hAnsi="Calibri" w:eastAsia="宋体" w:cs="Times New Roman"/>
      <w:kern w:val="2"/>
      <w:sz w:val="21"/>
      <w:szCs w:val="24"/>
      <w:lang w:val="en-US" w:eastAsia="zh-CN" w:bidi="ar-SA"/>
    </w:rPr>
  </w:style>
  <w:style w:type="paragraph" w:customStyle="1" w:styleId="96">
    <w:name w:val="索引 51"/>
    <w:basedOn w:val="95"/>
    <w:next w:val="95"/>
    <w:unhideWhenUsed/>
    <w:qFormat/>
    <w:uiPriority w:val="99"/>
    <w:pPr>
      <w:ind w:left="1680"/>
    </w:pPr>
  </w:style>
  <w:style w:type="paragraph" w:customStyle="1" w:styleId="97">
    <w:name w:val="No Spacing_0"/>
    <w:basedOn w:val="98"/>
    <w:qFormat/>
    <w:uiPriority w:val="1"/>
  </w:style>
  <w:style w:type="paragraph" w:customStyle="1" w:styleId="98">
    <w:name w:val="正文_5"/>
    <w:basedOn w:val="99"/>
    <w:next w:val="101"/>
    <w:qFormat/>
    <w:uiPriority w:val="0"/>
  </w:style>
  <w:style w:type="paragraph" w:customStyle="1" w:styleId="99">
    <w:name w:val="正文_6"/>
    <w:next w:val="10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0">
    <w:name w:val="列表_1"/>
    <w:basedOn w:val="99"/>
    <w:semiHidden/>
    <w:qFormat/>
    <w:locked/>
    <w:uiPriority w:val="0"/>
    <w:pPr>
      <w:ind w:left="200" w:hanging="200" w:hangingChars="200"/>
    </w:pPr>
  </w:style>
  <w:style w:type="paragraph" w:customStyle="1" w:styleId="101">
    <w:name w:val="段_0"/>
    <w:next w:val="98"/>
    <w:qFormat/>
    <w:uiPriority w:val="0"/>
    <w:pPr>
      <w:autoSpaceDE w:val="0"/>
      <w:autoSpaceDN w:val="0"/>
      <w:adjustRightInd w:val="0"/>
      <w:snapToGrid w:val="0"/>
      <w:spacing w:line="360" w:lineRule="auto"/>
      <w:ind w:firstLine="200" w:firstLineChars="200"/>
      <w:jc w:val="both"/>
    </w:pPr>
    <w:rPr>
      <w:rFonts w:ascii="宋体" w:hAnsi="Calibri" w:eastAsia="Calibri" w:cs="Times New Roman"/>
      <w:sz w:val="24"/>
      <w:szCs w:val="22"/>
      <w:lang w:val="en-US" w:eastAsia="zh-CN" w:bidi="ar-SA"/>
    </w:rPr>
  </w:style>
  <w:style w:type="paragraph" w:customStyle="1" w:styleId="102">
    <w:name w:val="页脚_0_0"/>
    <w:basedOn w:val="77"/>
    <w:unhideWhenUsed/>
    <w:qFormat/>
    <w:uiPriority w:val="99"/>
    <w:pPr>
      <w:tabs>
        <w:tab w:val="center" w:pos="4153"/>
        <w:tab w:val="right" w:pos="8306"/>
      </w:tabs>
      <w:snapToGrid w:val="0"/>
      <w:jc w:val="left"/>
    </w:pPr>
    <w:rPr>
      <w:sz w:val="18"/>
      <w:szCs w:val="18"/>
    </w:rPr>
  </w:style>
  <w:style w:type="paragraph" w:customStyle="1" w:styleId="103">
    <w:name w:val="页脚_0"/>
    <w:basedOn w:val="68"/>
    <w:unhideWhenUsed/>
    <w:qFormat/>
    <w:uiPriority w:val="99"/>
    <w:pPr>
      <w:tabs>
        <w:tab w:val="center" w:pos="4153"/>
        <w:tab w:val="right" w:pos="8306"/>
      </w:tabs>
      <w:snapToGrid w:val="0"/>
      <w:jc w:val="left"/>
    </w:pPr>
    <w:rPr>
      <w:sz w:val="18"/>
      <w:szCs w:val="18"/>
    </w:rPr>
  </w:style>
  <w:style w:type="paragraph" w:customStyle="1" w:styleId="104">
    <w:name w:val="正文缩进1"/>
    <w:basedOn w:val="1"/>
    <w:next w:val="11"/>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105">
    <w:name w:val="5）标书正文 首行缩进2字符"/>
    <w:basedOn w:val="1"/>
    <w:qFormat/>
    <w:uiPriority w:val="0"/>
    <w:pPr>
      <w:spacing w:line="480" w:lineRule="exact"/>
      <w:ind w:firstLine="200" w:firstLineChars="200"/>
    </w:pPr>
    <w:rPr>
      <w:rFonts w:ascii="仿宋_GB2312" w:eastAsia="仿宋_GB2312"/>
      <w:sz w:val="28"/>
    </w:rPr>
  </w:style>
  <w:style w:type="paragraph" w:customStyle="1" w:styleId="106">
    <w:name w:val="Table Text"/>
    <w:basedOn w:val="1"/>
    <w:semiHidden/>
    <w:qFormat/>
    <w:uiPriority w:val="0"/>
    <w:rPr>
      <w:rFonts w:ascii="宋体" w:hAnsi="宋体" w:cs="宋体"/>
      <w:sz w:val="36"/>
      <w:szCs w:val="36"/>
      <w:lang w:eastAsia="en-US"/>
    </w:rPr>
  </w:style>
  <w:style w:type="paragraph" w:customStyle="1" w:styleId="107">
    <w:name w:val="正文文本11"/>
    <w:basedOn w:val="1"/>
    <w:qFormat/>
    <w:uiPriority w:val="0"/>
    <w:pPr>
      <w:spacing w:after="480" w:line="444" w:lineRule="auto"/>
      <w:ind w:firstLine="400"/>
    </w:pPr>
    <w:rPr>
      <w:rFonts w:ascii="宋体" w:hAnsi="宋体"/>
      <w:sz w:val="22"/>
      <w:lang w:val="zh-CN" w:bidi="zh-CN"/>
    </w:rPr>
  </w:style>
  <w:style w:type="paragraph" w:customStyle="1" w:styleId="108">
    <w:name w:val="Normal_8"/>
    <w:qFormat/>
    <w:uiPriority w:val="0"/>
    <w:rPr>
      <w:rFonts w:ascii="Times New Roman" w:hAnsi="Times New Roman" w:eastAsia="Times New Roman" w:cs="Times New Roman"/>
      <w:sz w:val="24"/>
      <w:szCs w:val="24"/>
      <w:lang w:val="en-US" w:eastAsia="zh-CN" w:bidi="ar-SA"/>
    </w:rPr>
  </w:style>
  <w:style w:type="character" w:customStyle="1" w:styleId="109">
    <w:name w:val="标题 1 字符"/>
    <w:link w:val="2"/>
    <w:qFormat/>
    <w:locked/>
    <w:uiPriority w:val="0"/>
    <w:rPr>
      <w:b/>
      <w:kern w:val="44"/>
      <w:sz w:val="44"/>
    </w:rPr>
  </w:style>
  <w:style w:type="character" w:customStyle="1" w:styleId="110">
    <w:name w:val="标题 2 字符"/>
    <w:link w:val="3"/>
    <w:semiHidden/>
    <w:qFormat/>
    <w:locked/>
    <w:uiPriority w:val="0"/>
    <w:rPr>
      <w:rFonts w:ascii="Cambria" w:hAnsi="Cambria" w:eastAsia="宋体"/>
      <w:b/>
      <w:sz w:val="32"/>
    </w:rPr>
  </w:style>
  <w:style w:type="character" w:customStyle="1" w:styleId="111">
    <w:name w:val="标题 3 字符"/>
    <w:link w:val="4"/>
    <w:semiHidden/>
    <w:qFormat/>
    <w:locked/>
    <w:uiPriority w:val="0"/>
    <w:rPr>
      <w:b/>
      <w:sz w:val="32"/>
    </w:rPr>
  </w:style>
  <w:style w:type="character" w:customStyle="1" w:styleId="112">
    <w:name w:val="文档结构图 字符"/>
    <w:link w:val="7"/>
    <w:semiHidden/>
    <w:qFormat/>
    <w:locked/>
    <w:uiPriority w:val="0"/>
    <w:rPr>
      <w:sz w:val="2"/>
    </w:rPr>
  </w:style>
  <w:style w:type="character" w:customStyle="1" w:styleId="113">
    <w:name w:val="批注文字 字符"/>
    <w:link w:val="9"/>
    <w:semiHidden/>
    <w:qFormat/>
    <w:locked/>
    <w:uiPriority w:val="0"/>
    <w:rPr>
      <w:rFonts w:eastAsia="宋体" w:cs="Times New Roman"/>
      <w:kern w:val="2"/>
      <w:sz w:val="28"/>
      <w:lang w:val="en-US" w:eastAsia="zh-CN" w:bidi="ar-SA"/>
    </w:rPr>
  </w:style>
  <w:style w:type="character" w:customStyle="1" w:styleId="114">
    <w:name w:val="正文文本 字符"/>
    <w:link w:val="10"/>
    <w:semiHidden/>
    <w:qFormat/>
    <w:locked/>
    <w:uiPriority w:val="0"/>
    <w:rPr>
      <w:sz w:val="20"/>
    </w:rPr>
  </w:style>
  <w:style w:type="character" w:customStyle="1" w:styleId="115">
    <w:name w:val="正文文本缩进 字符"/>
    <w:link w:val="11"/>
    <w:semiHidden/>
    <w:qFormat/>
    <w:locked/>
    <w:uiPriority w:val="0"/>
    <w:rPr>
      <w:sz w:val="20"/>
    </w:rPr>
  </w:style>
  <w:style w:type="character" w:customStyle="1" w:styleId="116">
    <w:name w:val="纯文本 字符"/>
    <w:link w:val="14"/>
    <w:qFormat/>
    <w:locked/>
    <w:uiPriority w:val="0"/>
    <w:rPr>
      <w:rFonts w:ascii="宋体" w:hAnsi="Courier New" w:eastAsia="宋体"/>
      <w:kern w:val="2"/>
      <w:sz w:val="21"/>
      <w:lang w:val="en-US" w:eastAsia="zh-CN"/>
    </w:rPr>
  </w:style>
  <w:style w:type="character" w:customStyle="1" w:styleId="117">
    <w:name w:val="日期 字符"/>
    <w:link w:val="15"/>
    <w:semiHidden/>
    <w:qFormat/>
    <w:locked/>
    <w:uiPriority w:val="0"/>
    <w:rPr>
      <w:sz w:val="20"/>
    </w:rPr>
  </w:style>
  <w:style w:type="character" w:customStyle="1" w:styleId="118">
    <w:name w:val="正文文本缩进 2 字符"/>
    <w:link w:val="16"/>
    <w:semiHidden/>
    <w:qFormat/>
    <w:locked/>
    <w:uiPriority w:val="0"/>
    <w:rPr>
      <w:sz w:val="20"/>
    </w:rPr>
  </w:style>
  <w:style w:type="character" w:customStyle="1" w:styleId="119">
    <w:name w:val="页脚 字符"/>
    <w:link w:val="18"/>
    <w:qFormat/>
    <w:locked/>
    <w:uiPriority w:val="99"/>
    <w:rPr>
      <w:sz w:val="18"/>
    </w:rPr>
  </w:style>
  <w:style w:type="character" w:customStyle="1" w:styleId="120">
    <w:name w:val="页眉 字符"/>
    <w:link w:val="19"/>
    <w:semiHidden/>
    <w:qFormat/>
    <w:locked/>
    <w:uiPriority w:val="0"/>
    <w:rPr>
      <w:sz w:val="18"/>
    </w:rPr>
  </w:style>
  <w:style w:type="character" w:customStyle="1" w:styleId="121">
    <w:name w:val="bookmark-item uuid-1536114230642 code-00004"/>
    <w:qFormat/>
    <w:uiPriority w:val="0"/>
  </w:style>
  <w:style w:type="character" w:customStyle="1" w:styleId="122">
    <w:name w:val="bookmark-item uuid-1536114326115 code-23007"/>
    <w:qFormat/>
    <w:uiPriority w:val="0"/>
  </w:style>
  <w:style w:type="character" w:customStyle="1" w:styleId="123">
    <w:name w:val="fontstyle01"/>
    <w:qFormat/>
    <w:uiPriority w:val="0"/>
    <w:rPr>
      <w:rFonts w:hint="eastAsia" w:ascii="宋体" w:hAnsi="宋体" w:eastAsia="宋体" w:cs="宋体"/>
      <w:color w:val="000000"/>
      <w:sz w:val="44"/>
      <w:szCs w:val="44"/>
    </w:rPr>
  </w:style>
  <w:style w:type="character" w:customStyle="1" w:styleId="124">
    <w:name w:val="Char Char"/>
    <w:qFormat/>
    <w:uiPriority w:val="0"/>
    <w:rPr>
      <w:rFonts w:ascii="宋体" w:hAnsi="Courier New" w:eastAsia="宋体" w:cs="Times New Roman"/>
      <w:kern w:val="2"/>
      <w:sz w:val="21"/>
      <w:lang w:val="en-US" w:eastAsia="zh-CN" w:bidi="ar-SA"/>
    </w:rPr>
  </w:style>
  <w:style w:type="character" w:customStyle="1" w:styleId="125">
    <w:name w:val="sub"/>
    <w:qFormat/>
    <w:uiPriority w:val="0"/>
  </w:style>
  <w:style w:type="character" w:customStyle="1" w:styleId="126">
    <w:name w:val="wj"/>
    <w:qFormat/>
    <w:uiPriority w:val="0"/>
  </w:style>
  <w:style w:type="character" w:customStyle="1" w:styleId="127">
    <w:name w:val="tpc_content1"/>
    <w:qFormat/>
    <w:uiPriority w:val="0"/>
    <w:rPr>
      <w:sz w:val="20"/>
    </w:rPr>
  </w:style>
  <w:style w:type="character" w:customStyle="1" w:styleId="128">
    <w:name w:val="bookmark-item uuid-1536114715836 code-00014"/>
    <w:qFormat/>
    <w:uiPriority w:val="0"/>
  </w:style>
  <w:style w:type="character" w:customStyle="1" w:styleId="129">
    <w:name w:val="Char Char4"/>
    <w:qFormat/>
    <w:uiPriority w:val="0"/>
    <w:rPr>
      <w:rFonts w:eastAsia="宋体" w:cs="Times New Roman"/>
      <w:kern w:val="2"/>
      <w:sz w:val="18"/>
      <w:szCs w:val="18"/>
      <w:lang w:val="en-US" w:eastAsia="zh-CN" w:bidi="ar-SA"/>
    </w:rPr>
  </w:style>
  <w:style w:type="character" w:customStyle="1" w:styleId="130">
    <w:name w:val="apple-converted-space"/>
    <w:qFormat/>
    <w:uiPriority w:val="0"/>
    <w:rPr>
      <w:rFonts w:cs="Times New Roman"/>
    </w:rPr>
  </w:style>
  <w:style w:type="character" w:customStyle="1" w:styleId="131">
    <w:name w:val="bookmark-item uuid-1536114237662 code-00006"/>
    <w:qFormat/>
    <w:uiPriority w:val="0"/>
  </w:style>
  <w:style w:type="character" w:customStyle="1" w:styleId="132">
    <w:name w:val="bookmark-item uuid-1536114308002 code-23005"/>
    <w:qFormat/>
    <w:uiPriority w:val="0"/>
  </w:style>
  <w:style w:type="character" w:customStyle="1" w:styleId="133">
    <w:name w:val="bookmark-item uuid-1536325460878 code-23001"/>
    <w:qFormat/>
    <w:uiPriority w:val="0"/>
  </w:style>
  <w:style w:type="character" w:customStyle="1" w:styleId="134">
    <w:name w:val="bookmark-item uuid-1536114797846 code-23002"/>
    <w:qFormat/>
    <w:uiPriority w:val="0"/>
  </w:style>
  <w:style w:type="character" w:customStyle="1" w:styleId="135">
    <w:name w:val="bookmark-item uuid-1536114315631 code-23006"/>
    <w:qFormat/>
    <w:uiPriority w:val="0"/>
  </w:style>
  <w:style w:type="character" w:customStyle="1" w:styleId="136">
    <w:name w:val="bookmark-item uuid-1541657111286 code-23008"/>
    <w:qFormat/>
    <w:uiPriority w:val="0"/>
  </w:style>
  <w:style w:type="character" w:customStyle="1" w:styleId="137">
    <w:name w:val="bookmark-item uuid-1536114351935 code-23009"/>
    <w:qFormat/>
    <w:uiPriority w:val="0"/>
  </w:style>
  <w:style w:type="character" w:customStyle="1" w:styleId="138">
    <w:name w:val="bookmark-item uuid-1536114708792 code-00013"/>
    <w:qFormat/>
    <w:uiPriority w:val="0"/>
  </w:style>
  <w:style w:type="character" w:customStyle="1" w:styleId="139">
    <w:name w:val="bookmark-item uuid-1536114367028 code-23012"/>
    <w:qFormat/>
    <w:uiPriority w:val="0"/>
  </w:style>
  <w:style w:type="character" w:customStyle="1" w:styleId="140">
    <w:name w:val="bookmark-item uuid-1536114381259 code-23015"/>
    <w:qFormat/>
    <w:uiPriority w:val="0"/>
  </w:style>
  <w:style w:type="character" w:customStyle="1" w:styleId="141">
    <w:name w:val="bookmark-item uuid-1536114672385 code-23021"/>
    <w:qFormat/>
    <w:uiPriority w:val="0"/>
  </w:style>
  <w:style w:type="character" w:customStyle="1" w:styleId="142">
    <w:name w:val="bookmark-item uuid-1536114681261 code-00009"/>
    <w:qFormat/>
    <w:uiPriority w:val="0"/>
  </w:style>
  <w:style w:type="character" w:customStyle="1" w:styleId="143">
    <w:name w:val="bookmark-item uuid-1536114688571 code-00010"/>
    <w:qFormat/>
    <w:uiPriority w:val="0"/>
  </w:style>
  <w:style w:type="character" w:customStyle="1" w:styleId="144">
    <w:name w:val="bookmark-item uuid-1536114695490 code-00011"/>
    <w:qFormat/>
    <w:uiPriority w:val="0"/>
  </w:style>
  <w:style w:type="character" w:customStyle="1" w:styleId="145">
    <w:name w:val="bookmark-item uuid-1536114722887 code-00015"/>
    <w:qFormat/>
    <w:uiPriority w:val="0"/>
  </w:style>
  <w:style w:type="character" w:customStyle="1" w:styleId="146">
    <w:name w:val="bookmark-item uuid-1536114730799 code-00016"/>
    <w:qFormat/>
    <w:uiPriority w:val="0"/>
  </w:style>
  <w:style w:type="character" w:customStyle="1" w:styleId="147">
    <w:name w:val="bookmark-item uuid-1536114744629 code-00018"/>
    <w:qFormat/>
    <w:uiPriority w:val="0"/>
  </w:style>
  <w:style w:type="character" w:customStyle="1" w:styleId="148">
    <w:name w:val="bookmark-item uuid-1536114752958 code-00019"/>
    <w:qFormat/>
    <w:uiPriority w:val="0"/>
  </w:style>
  <w:style w:type="character" w:customStyle="1" w:styleId="149">
    <w:name w:val="bookmark-item uuid-1536114761735 code-00020"/>
    <w:qFormat/>
    <w:uiPriority w:val="0"/>
  </w:style>
  <w:style w:type="character" w:customStyle="1" w:styleId="150">
    <w:name w:val="bookmark-item uuid-1536114769643 code-00021"/>
    <w:qFormat/>
    <w:uiPriority w:val="0"/>
  </w:style>
  <w:style w:type="character" w:customStyle="1" w:styleId="151">
    <w:name w:val="列出段落 Char Char"/>
    <w:link w:val="58"/>
    <w:qFormat/>
    <w:uiPriority w:val="34"/>
    <w:rPr>
      <w:rFonts w:ascii="Calibri" w:hAnsi="Calibri"/>
      <w:kern w:val="2"/>
      <w:sz w:val="21"/>
      <w:szCs w:val="22"/>
    </w:rPr>
  </w:style>
  <w:style w:type="character" w:customStyle="1" w:styleId="152">
    <w:name w:val="bookmark-item"/>
    <w:qFormat/>
    <w:uiPriority w:val="0"/>
  </w:style>
  <w:style w:type="character" w:customStyle="1" w:styleId="153">
    <w:name w:val="纯文本 Char1"/>
    <w:qFormat/>
    <w:locked/>
    <w:uiPriority w:val="99"/>
    <w:rPr>
      <w:rFonts w:ascii="宋体" w:hAnsi="Courier New" w:eastAsia="宋体"/>
      <w:kern w:val="2"/>
      <w:sz w:val="21"/>
      <w:lang w:val="en-US" w:eastAsia="zh-CN"/>
    </w:rPr>
  </w:style>
  <w:style w:type="character" w:customStyle="1" w:styleId="154">
    <w:name w:val="NormalCharacter"/>
    <w:qFormat/>
    <w:uiPriority w:val="0"/>
  </w:style>
  <w:style w:type="character" w:customStyle="1" w:styleId="155">
    <w:name w:val="7）页眉页脚"/>
    <w:qFormat/>
    <w:uiPriority w:val="0"/>
    <w:rPr>
      <w:rFonts w:ascii="仿宋_GB2312" w:eastAsia="仿宋_GB2312"/>
      <w:b/>
      <w:i/>
      <w:sz w:val="18"/>
      <w:vertAlign w:val="baseline"/>
    </w:rPr>
  </w:style>
  <w:style w:type="character" w:customStyle="1" w:styleId="156">
    <w:name w:val="font41"/>
    <w:qFormat/>
    <w:uiPriority w:val="0"/>
    <w:rPr>
      <w:rFonts w:hint="eastAsia" w:ascii="宋体" w:hAnsi="宋体" w:eastAsia="宋体" w:cs="宋体"/>
      <w:color w:val="000000"/>
      <w:sz w:val="24"/>
      <w:szCs w:val="24"/>
      <w:u w:val="none"/>
    </w:rPr>
  </w:style>
  <w:style w:type="character" w:customStyle="1" w:styleId="157">
    <w:name w:val="font11"/>
    <w:qFormat/>
    <w:uiPriority w:val="0"/>
    <w:rPr>
      <w:rFonts w:hint="eastAsia" w:ascii="宋体" w:hAnsi="宋体" w:eastAsia="宋体" w:cs="宋体"/>
      <w:b/>
      <w:bCs/>
      <w:color w:val="000000"/>
      <w:sz w:val="24"/>
      <w:szCs w:val="24"/>
      <w:u w:val="none"/>
    </w:rPr>
  </w:style>
  <w:style w:type="character" w:customStyle="1" w:styleId="158">
    <w:name w:val="font31"/>
    <w:qFormat/>
    <w:uiPriority w:val="0"/>
    <w:rPr>
      <w:rFonts w:hint="eastAsia" w:ascii="宋体" w:hAnsi="宋体" w:eastAsia="宋体" w:cs="宋体"/>
      <w:color w:val="000000"/>
      <w:sz w:val="24"/>
      <w:szCs w:val="24"/>
      <w:u w:val="none"/>
    </w:rPr>
  </w:style>
  <w:style w:type="character" w:customStyle="1" w:styleId="159">
    <w:name w:val="font51"/>
    <w:qFormat/>
    <w:uiPriority w:val="0"/>
    <w:rPr>
      <w:rFonts w:hint="eastAsia" w:ascii="宋体" w:hAnsi="宋体" w:eastAsia="宋体" w:cs="宋体"/>
      <w:b/>
      <w:bCs/>
      <w:color w:val="000000"/>
      <w:sz w:val="24"/>
      <w:szCs w:val="24"/>
      <w:u w:val="none"/>
    </w:rPr>
  </w:style>
  <w:style w:type="character" w:customStyle="1" w:styleId="160">
    <w:name w:val="font21"/>
    <w:qFormat/>
    <w:uiPriority w:val="0"/>
    <w:rPr>
      <w:rFonts w:hint="eastAsia" w:ascii="宋体" w:hAnsi="宋体" w:eastAsia="宋体" w:cs="宋体"/>
      <w:b/>
      <w:bCs/>
      <w:color w:val="000000"/>
      <w:sz w:val="22"/>
      <w:szCs w:val="22"/>
      <w:u w:val="none"/>
    </w:rPr>
  </w:style>
  <w:style w:type="character" w:customStyle="1" w:styleId="161">
    <w:name w:val="font01"/>
    <w:qFormat/>
    <w:uiPriority w:val="0"/>
    <w:rPr>
      <w:rFonts w:hint="eastAsia" w:ascii="宋体" w:hAnsi="宋体" w:eastAsia="宋体" w:cs="宋体"/>
      <w:color w:val="000000"/>
      <w:sz w:val="22"/>
      <w:szCs w:val="22"/>
      <w:u w:val="none"/>
    </w:rPr>
  </w:style>
  <w:style w:type="table" w:customStyle="1" w:styleId="162">
    <w:name w:val="Table Normal"/>
    <w:unhideWhenUsed/>
    <w:qFormat/>
    <w:uiPriority w:val="0"/>
    <w:rPr>
      <w:rFonts w:ascii="Arial" w:hAnsi="Arial" w:eastAsia="等线" w:cs="Arial"/>
      <w:snapToGrid w:val="0"/>
      <w:color w:val="000000"/>
      <w:sz w:val="21"/>
      <w:szCs w:val="21"/>
    </w:rPr>
    <w:tblPr>
      <w:tblCellMar>
        <w:top w:w="0" w:type="dxa"/>
        <w:left w:w="0" w:type="dxa"/>
        <w:bottom w:w="0" w:type="dxa"/>
        <w:right w:w="0" w:type="dxa"/>
      </w:tblCellMar>
    </w:tblPr>
  </w:style>
  <w:style w:type="paragraph" w:customStyle="1" w:styleId="163">
    <w:name w:val="标书正文"/>
    <w:basedOn w:val="1"/>
    <w:qFormat/>
    <w:uiPriority w:val="0"/>
    <w:pPr>
      <w:spacing w:line="560" w:lineRule="exact"/>
      <w:ind w:firstLine="723" w:firstLineChars="200"/>
      <w:jc w:val="center"/>
    </w:pPr>
    <w:rPr>
      <w:rFonts w:ascii="仿宋_GB2312" w:eastAsia="仿宋_GB2312"/>
      <w:b/>
      <w:sz w:val="36"/>
    </w:rPr>
  </w:style>
  <w:style w:type="character" w:customStyle="1" w:styleId="164">
    <w:name w:val="15"/>
    <w:basedOn w:val="27"/>
    <w:qFormat/>
    <w:uiPriority w:val="0"/>
    <w:rPr>
      <w:rFonts w:hint="default" w:ascii="Times New Roman" w:hAnsi="Times New Roman" w:cs="Times New Roman"/>
    </w:rPr>
  </w:style>
  <w:style w:type="paragraph" w:customStyle="1" w:styleId="165">
    <w:name w:val="正文2"/>
    <w:qFormat/>
    <w:uiPriority w:val="0"/>
    <w:pPr>
      <w:widowControl w:val="0"/>
      <w:jc w:val="both"/>
    </w:pPr>
    <w:rPr>
      <w:rFonts w:ascii="Times New Roman" w:hAnsi="Times New Roman" w:eastAsia="Times New Roman" w:cs="Times New Roman"/>
      <w:lang w:val="en-US" w:eastAsia="zh-CN" w:bidi="ar-SA"/>
    </w:rPr>
  </w:style>
  <w:style w:type="paragraph" w:customStyle="1" w:styleId="166">
    <w:name w:val="正文缩进2"/>
    <w:basedOn w:val="1"/>
    <w:qFormat/>
    <w:uiPriority w:val="0"/>
    <w:pPr>
      <w:wordWrap w:val="0"/>
      <w:ind w:firstLine="480"/>
    </w:pPr>
    <w:rPr>
      <w:iCs/>
      <w:shd w:val="clear" w:color="auto" w:fill="FFFFFF"/>
      <w:lang w:val="zh-CN"/>
    </w:rPr>
  </w:style>
  <w:style w:type="paragraph" w:styleId="167">
    <w:name w:val="No Spacing"/>
    <w:qFormat/>
    <w:uiPriority w:val="1"/>
    <w:pPr>
      <w:widowControl w:val="0"/>
    </w:pPr>
    <w:rPr>
      <w:rFonts w:ascii="宋体" w:hAnsi="宋体"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75</Pages>
  <Words>27241</Words>
  <Characters>28692</Characters>
  <Lines>3192</Lines>
  <Paragraphs>3460</Paragraphs>
  <TotalTime>275</TotalTime>
  <ScaleCrop>false</ScaleCrop>
  <LinksUpToDate>false</LinksUpToDate>
  <CharactersWithSpaces>28991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2024-04-11T10:53:00Z</dcterms:created>
  <dc:creator>LTSC</dc:creator>
  <cp:lastModifiedBy>LTSC</cp:lastModifiedBy>
  <cp:lastPrinted>2023-04-04T04:31:00Z</cp:lastPrinted>
  <dcterms:modified xsi:type="dcterms:W3CDTF">2026-09-01T15:59:46Z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3374DF6309B9484CACDF011C40B357FA_13</vt:lpwstr>
  </property>
  <property fmtid="{D5CDD505-2E9C-101B-9397-08002B2CF9AE}" pid="4" name="KSOTemplateDocerSaveRecord">
    <vt:lpwstr>eyJoZGlkIjoiNjFhMzZiMTJlZDJhNzVjZjA3OWMwZjI1ZDkyMWIxOWIiLCJ1c2VySWQiOiI1NTU0OTg4In0=</vt:lpwstr>
  </property>
</Properties>
</file>