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D3BB0">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1075" cy="790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81075" cy="790575"/>
                    </a:xfrm>
                    <a:prstGeom prst="rect">
                      <a:avLst/>
                    </a:prstGeom>
                    <a:noFill/>
                    <a:ln>
                      <a:noFill/>
                    </a:ln>
                  </pic:spPr>
                </pic:pic>
              </a:graphicData>
            </a:graphic>
          </wp:inline>
        </w:drawing>
      </w:r>
      <w:r>
        <w:rPr>
          <w:rFonts w:hint="eastAsia" w:ascii="仿宋" w:hAnsi="仿宋" w:eastAsia="仿宋" w:cs="仿宋"/>
          <w:color w:val="auto"/>
          <w:highlight w:val="none"/>
        </w:rPr>
        <w:t xml:space="preserve"> </w:t>
      </w:r>
    </w:p>
    <w:p w14:paraId="307F3B95">
      <w:pPr>
        <w:pStyle w:val="13"/>
        <w:rPr>
          <w:rFonts w:hint="eastAsia"/>
          <w:color w:val="auto"/>
          <w:highlight w:val="none"/>
        </w:rPr>
      </w:pPr>
    </w:p>
    <w:p w14:paraId="2347750E">
      <w:pPr>
        <w:adjustRightInd w:val="0"/>
        <w:snapToGrid w:val="0"/>
        <w:jc w:val="left"/>
        <w:rPr>
          <w:rFonts w:hint="eastAsia" w:ascii="仿宋" w:hAnsi="仿宋" w:eastAsia="仿宋" w:cs="仿宋"/>
          <w:color w:val="auto"/>
          <w:highlight w:val="none"/>
        </w:rPr>
      </w:pPr>
    </w:p>
    <w:p w14:paraId="56E9C053">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lang w:val="en-US" w:eastAsia="zh-CN"/>
        </w:rPr>
      </w:pPr>
      <w:r>
        <w:rPr>
          <w:rFonts w:hint="eastAsia" w:ascii="仿宋" w:hAnsi="仿宋" w:eastAsia="仿宋" w:cs="仿宋"/>
          <w:b/>
          <w:bCs/>
          <w:color w:val="auto"/>
          <w:sz w:val="52"/>
          <w:szCs w:val="28"/>
          <w:highlight w:val="none"/>
          <w:shd w:val="clear" w:color="auto" w:fill="FFFFFF" w:themeFill="background1"/>
          <w:lang w:val="en-US" w:eastAsia="zh-CN"/>
        </w:rPr>
        <w:t>采 购 文 件</w:t>
      </w:r>
    </w:p>
    <w:p w14:paraId="0CAA0BB0">
      <w:pPr>
        <w:pStyle w:val="35"/>
        <w:jc w:val="center"/>
        <w:rPr>
          <w:color w:val="auto"/>
          <w:sz w:val="16"/>
          <w:szCs w:val="16"/>
          <w:highlight w:val="none"/>
        </w:rPr>
      </w:pPr>
      <w:r>
        <w:rPr>
          <w:rFonts w:hint="eastAsia" w:ascii="仿宋" w:hAnsi="仿宋" w:eastAsia="仿宋" w:cs="仿宋"/>
          <w:b/>
          <w:bCs/>
          <w:color w:val="auto"/>
          <w:sz w:val="28"/>
          <w:szCs w:val="16"/>
          <w:highlight w:val="none"/>
          <w:shd w:val="clear" w:color="auto" w:fill="FFFFFF" w:themeFill="background1"/>
          <w:lang w:val="en-US" w:eastAsia="zh-CN"/>
        </w:rPr>
        <w:t>（竞争性磋商-工程）</w:t>
      </w:r>
    </w:p>
    <w:p w14:paraId="0E707AFC">
      <w:pPr>
        <w:ind w:left="1574" w:right="-191" w:rightChars="-91" w:hanging="1574" w:hangingChars="492"/>
        <w:rPr>
          <w:rFonts w:hint="eastAsia" w:ascii="仿宋" w:hAnsi="仿宋" w:eastAsia="仿宋" w:cs="仿宋"/>
          <w:bCs/>
          <w:color w:val="auto"/>
          <w:kern w:val="0"/>
          <w:sz w:val="32"/>
          <w:szCs w:val="32"/>
          <w:highlight w:val="none"/>
        </w:rPr>
      </w:pPr>
    </w:p>
    <w:p w14:paraId="179713E4">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新疆农业大学正大门出入口、八区出入口及古城花园南侧老满城街出入口改造项目</w:t>
      </w:r>
    </w:p>
    <w:p w14:paraId="613344C9">
      <w:pPr>
        <w:adjustRightInd w:val="0"/>
        <w:snapToGrid w:val="0"/>
        <w:spacing w:line="480" w:lineRule="exact"/>
        <w:jc w:val="center"/>
        <w:rPr>
          <w:rFonts w:hint="eastAsia" w:ascii="仿宋" w:hAnsi="仿宋" w:eastAsia="仿宋" w:cs="仿宋"/>
          <w:bCs/>
          <w:color w:val="auto"/>
          <w:sz w:val="32"/>
          <w:szCs w:val="32"/>
          <w:highlight w:val="none"/>
        </w:rPr>
      </w:pPr>
    </w:p>
    <w:p w14:paraId="33A7786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lang w:eastAsia="zh-CN"/>
        </w:rPr>
        <w:t>新疆农业大学</w:t>
      </w:r>
    </w:p>
    <w:p w14:paraId="75498CB6">
      <w:pPr>
        <w:adjustRightInd w:val="0"/>
        <w:snapToGrid w:val="0"/>
        <w:spacing w:line="480" w:lineRule="exact"/>
        <w:rPr>
          <w:rFonts w:hint="eastAsia" w:ascii="仿宋" w:hAnsi="仿宋" w:eastAsia="仿宋" w:cs="仿宋"/>
          <w:bCs/>
          <w:color w:val="auto"/>
          <w:sz w:val="32"/>
          <w:szCs w:val="32"/>
          <w:highlight w:val="none"/>
        </w:rPr>
      </w:pPr>
    </w:p>
    <w:p w14:paraId="4A0E38F0">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eastAsia="zh-CN"/>
        </w:rPr>
        <w:t>张冬冬</w:t>
      </w:r>
    </w:p>
    <w:p w14:paraId="6A91EF02">
      <w:pPr>
        <w:adjustRightInd w:val="0"/>
        <w:snapToGrid w:val="0"/>
        <w:spacing w:line="480" w:lineRule="exact"/>
        <w:rPr>
          <w:rFonts w:hint="eastAsia" w:ascii="仿宋" w:hAnsi="仿宋" w:eastAsia="仿宋" w:cs="仿宋"/>
          <w:bCs/>
          <w:color w:val="auto"/>
          <w:sz w:val="32"/>
          <w:szCs w:val="32"/>
          <w:highlight w:val="none"/>
        </w:rPr>
      </w:pPr>
    </w:p>
    <w:p w14:paraId="07722F62">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电  话：</w:t>
      </w:r>
      <w:r>
        <w:rPr>
          <w:rFonts w:hint="eastAsia" w:ascii="仿宋" w:hAnsi="仿宋" w:eastAsia="仿宋" w:cs="仿宋"/>
          <w:bCs/>
          <w:color w:val="auto"/>
          <w:sz w:val="32"/>
          <w:szCs w:val="32"/>
          <w:highlight w:val="none"/>
          <w:lang w:eastAsia="zh-CN"/>
        </w:rPr>
        <w:t>18199811604</w:t>
      </w:r>
    </w:p>
    <w:p w14:paraId="45AA3BFE">
      <w:pPr>
        <w:adjustRightInd w:val="0"/>
        <w:snapToGrid w:val="0"/>
        <w:spacing w:line="480" w:lineRule="exact"/>
        <w:rPr>
          <w:rFonts w:hint="eastAsia" w:ascii="仿宋" w:hAnsi="仿宋" w:eastAsia="仿宋" w:cs="仿宋"/>
          <w:bCs/>
          <w:color w:val="auto"/>
          <w:sz w:val="32"/>
          <w:szCs w:val="32"/>
          <w:highlight w:val="none"/>
        </w:rPr>
      </w:pPr>
    </w:p>
    <w:p w14:paraId="28CC2FE6">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21DAFF7F">
      <w:pPr>
        <w:adjustRightInd w:val="0"/>
        <w:snapToGrid w:val="0"/>
        <w:spacing w:line="480" w:lineRule="exact"/>
        <w:jc w:val="center"/>
        <w:rPr>
          <w:rFonts w:hint="eastAsia" w:ascii="仿宋" w:hAnsi="仿宋" w:eastAsia="仿宋" w:cs="仿宋"/>
          <w:bCs/>
          <w:color w:val="auto"/>
          <w:sz w:val="32"/>
          <w:szCs w:val="32"/>
          <w:highlight w:val="none"/>
        </w:rPr>
      </w:pPr>
    </w:p>
    <w:p w14:paraId="7EC4F0DF">
      <w:pPr>
        <w:adjustRightInd w:val="0"/>
        <w:snapToGrid w:val="0"/>
        <w:spacing w:line="480" w:lineRule="exact"/>
        <w:jc w:val="center"/>
        <w:rPr>
          <w:rFonts w:hint="eastAsia" w:ascii="仿宋" w:hAnsi="仿宋" w:eastAsia="仿宋" w:cs="仿宋"/>
          <w:bCs/>
          <w:color w:val="auto"/>
          <w:sz w:val="32"/>
          <w:szCs w:val="32"/>
          <w:highlight w:val="none"/>
        </w:rPr>
      </w:pPr>
    </w:p>
    <w:p w14:paraId="7E15D6DE">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28C148C1">
      <w:pPr>
        <w:adjustRightInd w:val="0"/>
        <w:snapToGrid w:val="0"/>
        <w:spacing w:line="480" w:lineRule="exact"/>
        <w:jc w:val="both"/>
        <w:rPr>
          <w:rFonts w:hint="eastAsia" w:ascii="仿宋" w:hAnsi="仿宋" w:eastAsia="仿宋" w:cs="仿宋"/>
          <w:bCs/>
          <w:color w:val="auto"/>
          <w:sz w:val="32"/>
          <w:szCs w:val="32"/>
          <w:highlight w:val="none"/>
        </w:rPr>
      </w:pPr>
    </w:p>
    <w:p w14:paraId="33521220">
      <w:pPr>
        <w:adjustRightInd w:val="0"/>
        <w:snapToGrid w:val="0"/>
        <w:spacing w:line="480" w:lineRule="exact"/>
        <w:jc w:val="both"/>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联 系 人： </w:t>
      </w:r>
      <w:r>
        <w:rPr>
          <w:rFonts w:hint="eastAsia" w:ascii="仿宋" w:hAnsi="仿宋" w:eastAsia="仿宋" w:cs="仿宋"/>
          <w:bCs/>
          <w:color w:val="auto"/>
          <w:sz w:val="32"/>
          <w:szCs w:val="32"/>
          <w:highlight w:val="none"/>
          <w:lang w:eastAsia="zh-CN"/>
        </w:rPr>
        <w:t>马丹阳</w:t>
      </w:r>
    </w:p>
    <w:p w14:paraId="12A16FC2">
      <w:pPr>
        <w:adjustRightInd w:val="0"/>
        <w:snapToGrid w:val="0"/>
        <w:spacing w:line="480" w:lineRule="exact"/>
        <w:rPr>
          <w:rFonts w:hint="eastAsia" w:ascii="仿宋" w:hAnsi="仿宋" w:eastAsia="仿宋" w:cs="仿宋"/>
          <w:bCs/>
          <w:color w:val="auto"/>
          <w:kern w:val="0"/>
          <w:sz w:val="32"/>
          <w:szCs w:val="32"/>
          <w:highlight w:val="none"/>
        </w:rPr>
      </w:pPr>
    </w:p>
    <w:p w14:paraId="14CAC3BD">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rPr>
        <w:t>电    话</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0991-4661782</w:t>
      </w:r>
    </w:p>
    <w:p w14:paraId="16EB9ED4">
      <w:pPr>
        <w:adjustRightInd w:val="0"/>
        <w:snapToGrid w:val="0"/>
        <w:spacing w:line="480" w:lineRule="exact"/>
        <w:jc w:val="both"/>
        <w:rPr>
          <w:rFonts w:hint="eastAsia" w:ascii="仿宋" w:hAnsi="仿宋" w:eastAsia="仿宋" w:cs="仿宋"/>
          <w:bCs/>
          <w:color w:val="auto"/>
          <w:sz w:val="32"/>
          <w:szCs w:val="32"/>
          <w:highlight w:val="none"/>
        </w:rPr>
      </w:pPr>
    </w:p>
    <w:p w14:paraId="2092641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详</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址：乌鲁木齐市新兴街20号凤凰科技大厦五楼</w:t>
      </w:r>
    </w:p>
    <w:p w14:paraId="10F3D302">
      <w:pPr>
        <w:widowControl/>
        <w:jc w:val="left"/>
        <w:rPr>
          <w:rFonts w:hint="eastAsia" w:ascii="仿宋" w:hAnsi="仿宋" w:eastAsia="仿宋" w:cs="仿宋"/>
          <w:b/>
          <w:bCs/>
          <w:color w:val="auto"/>
          <w:sz w:val="24"/>
          <w:szCs w:val="24"/>
          <w:highlight w:val="none"/>
        </w:rPr>
      </w:pPr>
    </w:p>
    <w:p w14:paraId="2D1964E3">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2B1D1C7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 录</w:t>
      </w:r>
    </w:p>
    <w:p w14:paraId="6A00405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TOC \o "1-3" \h \u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_Toc9333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32"/>
          <w:highlight w:val="none"/>
          <w:lang w:val="en-US" w:eastAsia="zh-CN"/>
        </w:rPr>
        <w:t>竞争性</w:t>
      </w:r>
      <w:r>
        <w:rPr>
          <w:rFonts w:hint="eastAsia" w:ascii="仿宋" w:hAnsi="仿宋" w:eastAsia="仿宋" w:cs="仿宋"/>
          <w:bCs/>
          <w:color w:val="auto"/>
          <w:szCs w:val="32"/>
          <w:highlight w:val="none"/>
        </w:rPr>
        <w:t>磋商公告</w:t>
      </w:r>
      <w:r>
        <w:rPr>
          <w:color w:val="auto"/>
          <w:highlight w:val="none"/>
        </w:rPr>
        <w:tab/>
      </w:r>
      <w:r>
        <w:rPr>
          <w:color w:val="auto"/>
          <w:highlight w:val="none"/>
        </w:rPr>
        <w:fldChar w:fldCharType="begin"/>
      </w:r>
      <w:r>
        <w:rPr>
          <w:color w:val="auto"/>
          <w:highlight w:val="none"/>
        </w:rPr>
        <w:instrText xml:space="preserve"> PAGEREF _Toc9333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color w:val="auto"/>
          <w:szCs w:val="21"/>
          <w:highlight w:val="none"/>
        </w:rPr>
        <w:fldChar w:fldCharType="end"/>
      </w:r>
    </w:p>
    <w:p w14:paraId="144640EF">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_Toc5849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_Toc5849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bCs/>
          <w:color w:val="auto"/>
          <w:szCs w:val="21"/>
          <w:highlight w:val="none"/>
        </w:rPr>
        <w:fldChar w:fldCharType="end"/>
      </w:r>
    </w:p>
    <w:p w14:paraId="1268D846">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_Toc3604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第一章 供应商须知</w:t>
      </w:r>
      <w:r>
        <w:rPr>
          <w:color w:val="auto"/>
          <w:highlight w:val="none"/>
        </w:rPr>
        <w:tab/>
      </w:r>
      <w:r>
        <w:rPr>
          <w:color w:val="auto"/>
          <w:highlight w:val="none"/>
        </w:rPr>
        <w:fldChar w:fldCharType="begin"/>
      </w:r>
      <w:r>
        <w:rPr>
          <w:color w:val="auto"/>
          <w:highlight w:val="none"/>
        </w:rPr>
        <w:instrText xml:space="preserve"> PAGEREF _Toc3604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10A73D1B">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_Toc9818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一、</w:t>
      </w:r>
      <w:r>
        <w:rPr>
          <w:rFonts w:hint="eastAsia" w:ascii="仿宋" w:hAnsi="仿宋" w:eastAsia="仿宋" w:cs="仿宋"/>
          <w:bCs w:val="0"/>
          <w:color w:val="auto"/>
          <w:szCs w:val="24"/>
          <w:highlight w:val="none"/>
        </w:rPr>
        <w:t>总则</w:t>
      </w:r>
      <w:r>
        <w:rPr>
          <w:color w:val="auto"/>
          <w:highlight w:val="none"/>
        </w:rPr>
        <w:tab/>
      </w:r>
      <w:r>
        <w:rPr>
          <w:color w:val="auto"/>
          <w:highlight w:val="none"/>
        </w:rPr>
        <w:fldChar w:fldCharType="begin"/>
      </w:r>
      <w:r>
        <w:rPr>
          <w:color w:val="auto"/>
          <w:highlight w:val="none"/>
        </w:rPr>
        <w:instrText xml:space="preserve"> PAGEREF _Toc9818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73876C0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_Toc26646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二、</w:t>
      </w:r>
      <w:r>
        <w:rPr>
          <w:rFonts w:hint="eastAsia" w:ascii="仿宋" w:hAnsi="仿宋" w:eastAsia="仿宋" w:cs="仿宋"/>
          <w:bCs w:val="0"/>
          <w:color w:val="auto"/>
          <w:szCs w:val="24"/>
          <w:highlight w:val="none"/>
          <w:lang w:eastAsia="zh-CN"/>
        </w:rPr>
        <w:t>采购文件</w:t>
      </w:r>
      <w:r>
        <w:rPr>
          <w:color w:val="auto"/>
          <w:highlight w:val="none"/>
        </w:rPr>
        <w:tab/>
      </w:r>
      <w:r>
        <w:rPr>
          <w:color w:val="auto"/>
          <w:highlight w:val="none"/>
        </w:rPr>
        <w:fldChar w:fldCharType="begin"/>
      </w:r>
      <w:r>
        <w:rPr>
          <w:color w:val="auto"/>
          <w:highlight w:val="none"/>
        </w:rPr>
        <w:instrText xml:space="preserve"> PAGEREF _Toc26646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bCs/>
          <w:color w:val="auto"/>
          <w:szCs w:val="21"/>
          <w:highlight w:val="none"/>
        </w:rPr>
        <w:fldChar w:fldCharType="end"/>
      </w:r>
    </w:p>
    <w:p w14:paraId="5FB09FE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_Toc13802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三、</w:t>
      </w:r>
      <w:r>
        <w:rPr>
          <w:rFonts w:hint="eastAsia" w:ascii="仿宋" w:hAnsi="仿宋" w:eastAsia="仿宋" w:cs="仿宋"/>
          <w:bCs w:val="0"/>
          <w:color w:val="auto"/>
          <w:szCs w:val="24"/>
          <w:highlight w:val="none"/>
        </w:rPr>
        <w:t>响应文件</w:t>
      </w:r>
      <w:r>
        <w:rPr>
          <w:color w:val="auto"/>
          <w:highlight w:val="none"/>
        </w:rPr>
        <w:tab/>
      </w:r>
      <w:r>
        <w:rPr>
          <w:color w:val="auto"/>
          <w:highlight w:val="none"/>
        </w:rPr>
        <w:fldChar w:fldCharType="begin"/>
      </w:r>
      <w:r>
        <w:rPr>
          <w:color w:val="auto"/>
          <w:highlight w:val="none"/>
        </w:rPr>
        <w:instrText xml:space="preserve"> PAGEREF _Toc13802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bCs/>
          <w:color w:val="auto"/>
          <w:szCs w:val="21"/>
          <w:highlight w:val="none"/>
        </w:rPr>
        <w:fldChar w:fldCharType="end"/>
      </w:r>
    </w:p>
    <w:p w14:paraId="74153F1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_Toc15170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四、</w:t>
      </w:r>
      <w:r>
        <w:rPr>
          <w:rFonts w:hint="eastAsia" w:ascii="仿宋" w:hAnsi="仿宋" w:eastAsia="仿宋" w:cs="仿宋"/>
          <w:bCs w:val="0"/>
          <w:color w:val="auto"/>
          <w:szCs w:val="24"/>
          <w:highlight w:val="none"/>
          <w:lang w:eastAsia="zh-CN"/>
        </w:rPr>
        <w:t>响应</w:t>
      </w:r>
      <w:r>
        <w:rPr>
          <w:color w:val="auto"/>
          <w:highlight w:val="none"/>
        </w:rPr>
        <w:tab/>
      </w:r>
      <w:r>
        <w:rPr>
          <w:color w:val="auto"/>
          <w:highlight w:val="none"/>
        </w:rPr>
        <w:fldChar w:fldCharType="begin"/>
      </w:r>
      <w:r>
        <w:rPr>
          <w:color w:val="auto"/>
          <w:highlight w:val="none"/>
        </w:rPr>
        <w:instrText xml:space="preserve"> PAGEREF _Toc15170 \h </w:instrText>
      </w:r>
      <w:r>
        <w:rPr>
          <w:color w:val="auto"/>
          <w:highlight w:val="none"/>
        </w:rPr>
        <w:fldChar w:fldCharType="separate"/>
      </w:r>
      <w:r>
        <w:rPr>
          <w:color w:val="auto"/>
          <w:highlight w:val="none"/>
        </w:rPr>
        <w:t>11</w:t>
      </w:r>
      <w:r>
        <w:rPr>
          <w:color w:val="auto"/>
          <w:highlight w:val="none"/>
        </w:rPr>
        <w:fldChar w:fldCharType="end"/>
      </w:r>
      <w:r>
        <w:rPr>
          <w:rFonts w:hint="eastAsia" w:ascii="仿宋" w:hAnsi="仿宋" w:eastAsia="仿宋" w:cs="仿宋"/>
          <w:bCs/>
          <w:color w:val="auto"/>
          <w:szCs w:val="21"/>
          <w:highlight w:val="none"/>
        </w:rPr>
        <w:fldChar w:fldCharType="end"/>
      </w:r>
    </w:p>
    <w:p w14:paraId="30DC2DC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_Toc9966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五、</w:t>
      </w:r>
      <w:r>
        <w:rPr>
          <w:rFonts w:hint="eastAsia" w:ascii="仿宋" w:hAnsi="仿宋" w:eastAsia="仿宋" w:cs="仿宋"/>
          <w:bCs w:val="0"/>
          <w:color w:val="auto"/>
          <w:szCs w:val="24"/>
          <w:highlight w:val="none"/>
          <w:lang w:eastAsia="zh-CN"/>
        </w:rPr>
        <w:t>开启</w:t>
      </w:r>
      <w:r>
        <w:rPr>
          <w:color w:val="auto"/>
          <w:highlight w:val="none"/>
        </w:rPr>
        <w:tab/>
      </w:r>
      <w:r>
        <w:rPr>
          <w:color w:val="auto"/>
          <w:highlight w:val="none"/>
        </w:rPr>
        <w:fldChar w:fldCharType="begin"/>
      </w:r>
      <w:r>
        <w:rPr>
          <w:color w:val="auto"/>
          <w:highlight w:val="none"/>
        </w:rPr>
        <w:instrText xml:space="preserve"> PAGEREF _Toc9966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2CBCA9C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_Toc22593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六、</w:t>
      </w:r>
      <w:r>
        <w:rPr>
          <w:rFonts w:hint="eastAsia" w:ascii="仿宋" w:hAnsi="仿宋" w:eastAsia="仿宋" w:cs="仿宋"/>
          <w:bCs w:val="0"/>
          <w:color w:val="auto"/>
          <w:szCs w:val="24"/>
          <w:highlight w:val="none"/>
        </w:rPr>
        <w:t>评审</w:t>
      </w:r>
      <w:r>
        <w:rPr>
          <w:color w:val="auto"/>
          <w:highlight w:val="none"/>
        </w:rPr>
        <w:tab/>
      </w:r>
      <w:r>
        <w:rPr>
          <w:color w:val="auto"/>
          <w:highlight w:val="none"/>
        </w:rPr>
        <w:fldChar w:fldCharType="begin"/>
      </w:r>
      <w:r>
        <w:rPr>
          <w:color w:val="auto"/>
          <w:highlight w:val="none"/>
        </w:rPr>
        <w:instrText xml:space="preserve"> PAGEREF _Toc22593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490A6B11">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_Toc28916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rPr>
        <w:t>七、定标及合同授予</w:t>
      </w:r>
      <w:r>
        <w:rPr>
          <w:color w:val="auto"/>
          <w:highlight w:val="none"/>
        </w:rPr>
        <w:tab/>
      </w:r>
      <w:r>
        <w:rPr>
          <w:color w:val="auto"/>
          <w:highlight w:val="none"/>
        </w:rPr>
        <w:fldChar w:fldCharType="begin"/>
      </w:r>
      <w:r>
        <w:rPr>
          <w:color w:val="auto"/>
          <w:highlight w:val="none"/>
        </w:rPr>
        <w:instrText xml:space="preserve"> PAGEREF _Toc28916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bCs/>
          <w:color w:val="auto"/>
          <w:szCs w:val="21"/>
          <w:highlight w:val="none"/>
        </w:rPr>
        <w:fldChar w:fldCharType="end"/>
      </w:r>
    </w:p>
    <w:p w14:paraId="755C18F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_Toc17350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shd w:val="clear" w:color="auto" w:fill="FFFFFF" w:themeFill="background1"/>
        </w:rPr>
        <w:t>八、纪律和监督</w:t>
      </w:r>
      <w:r>
        <w:rPr>
          <w:color w:val="auto"/>
          <w:highlight w:val="none"/>
        </w:rPr>
        <w:tab/>
      </w:r>
      <w:r>
        <w:rPr>
          <w:color w:val="auto"/>
          <w:highlight w:val="none"/>
        </w:rPr>
        <w:fldChar w:fldCharType="begin"/>
      </w:r>
      <w:r>
        <w:rPr>
          <w:color w:val="auto"/>
          <w:highlight w:val="none"/>
        </w:rPr>
        <w:instrText xml:space="preserve"> PAGEREF _Toc17350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仿宋"/>
          <w:bCs/>
          <w:color w:val="auto"/>
          <w:szCs w:val="21"/>
          <w:highlight w:val="none"/>
        </w:rPr>
        <w:fldChar w:fldCharType="end"/>
      </w:r>
    </w:p>
    <w:p w14:paraId="547C841D">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_Toc19388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第二章 评审办法</w:t>
      </w:r>
      <w:r>
        <w:rPr>
          <w:color w:val="auto"/>
          <w:highlight w:val="none"/>
        </w:rPr>
        <w:tab/>
      </w:r>
      <w:r>
        <w:rPr>
          <w:color w:val="auto"/>
          <w:highlight w:val="none"/>
        </w:rPr>
        <w:fldChar w:fldCharType="begin"/>
      </w:r>
      <w:r>
        <w:rPr>
          <w:color w:val="auto"/>
          <w:highlight w:val="none"/>
        </w:rPr>
        <w:instrText xml:space="preserve"> PAGEREF _Toc19388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4999515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_Toc27911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_Toc27911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39A78A4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_Toc28240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一、</w:t>
      </w:r>
      <w:r>
        <w:rPr>
          <w:rFonts w:hint="eastAsia" w:ascii="仿宋" w:hAnsi="仿宋" w:eastAsia="仿宋" w:cs="仿宋"/>
          <w:bCs/>
          <w:color w:val="auto"/>
          <w:szCs w:val="24"/>
          <w:highlight w:val="none"/>
          <w:shd w:val="clear" w:color="auto" w:fill="FFFFFF" w:themeFill="background1"/>
        </w:rPr>
        <w:t>评审方法</w:t>
      </w:r>
      <w:r>
        <w:rPr>
          <w:color w:val="auto"/>
          <w:highlight w:val="none"/>
        </w:rPr>
        <w:tab/>
      </w:r>
      <w:r>
        <w:rPr>
          <w:color w:val="auto"/>
          <w:highlight w:val="none"/>
        </w:rPr>
        <w:fldChar w:fldCharType="begin"/>
      </w:r>
      <w:r>
        <w:rPr>
          <w:color w:val="auto"/>
          <w:highlight w:val="none"/>
        </w:rPr>
        <w:instrText xml:space="preserve"> PAGEREF _Toc28240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32D4357B">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_Toc18662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二、</w:t>
      </w:r>
      <w:r>
        <w:rPr>
          <w:rFonts w:hint="eastAsia" w:ascii="仿宋" w:hAnsi="仿宋" w:eastAsia="仿宋" w:cs="仿宋"/>
          <w:bCs/>
          <w:color w:val="auto"/>
          <w:szCs w:val="24"/>
          <w:highlight w:val="none"/>
          <w:shd w:val="clear" w:color="auto" w:fill="FFFFFF" w:themeFill="background1"/>
        </w:rPr>
        <w:t>评审标准</w:t>
      </w:r>
      <w:r>
        <w:rPr>
          <w:color w:val="auto"/>
          <w:highlight w:val="none"/>
        </w:rPr>
        <w:tab/>
      </w:r>
      <w:r>
        <w:rPr>
          <w:color w:val="auto"/>
          <w:highlight w:val="none"/>
        </w:rPr>
        <w:fldChar w:fldCharType="begin"/>
      </w:r>
      <w:r>
        <w:rPr>
          <w:color w:val="auto"/>
          <w:highlight w:val="none"/>
        </w:rPr>
        <w:instrText xml:space="preserve"> PAGEREF _Toc18662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671B8B9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_Toc13315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kern w:val="0"/>
          <w:szCs w:val="24"/>
          <w:highlight w:val="none"/>
          <w:shd w:val="clear" w:color="auto" w:fill="FFFFFF" w:themeFill="background1"/>
          <w:lang w:val="en-US" w:eastAsia="zh-CN"/>
        </w:rPr>
        <w:t>三、</w:t>
      </w:r>
      <w:r>
        <w:rPr>
          <w:rFonts w:hint="eastAsia" w:ascii="仿宋" w:hAnsi="仿宋" w:eastAsia="仿宋" w:cs="仿宋"/>
          <w:bCs/>
          <w:color w:val="auto"/>
          <w:kern w:val="0"/>
          <w:szCs w:val="24"/>
          <w:highlight w:val="none"/>
          <w:shd w:val="clear" w:color="auto" w:fill="FFFFFF" w:themeFill="background1"/>
        </w:rPr>
        <w:t>评审程序</w:t>
      </w:r>
      <w:bookmarkStart w:id="829" w:name="_GoBack"/>
      <w:bookmarkEnd w:id="829"/>
      <w:r>
        <w:rPr>
          <w:color w:val="auto"/>
          <w:highlight w:val="none"/>
        </w:rPr>
        <w:tab/>
      </w:r>
      <w:r>
        <w:rPr>
          <w:color w:val="auto"/>
          <w:highlight w:val="none"/>
        </w:rPr>
        <w:fldChar w:fldCharType="begin"/>
      </w:r>
      <w:r>
        <w:rPr>
          <w:color w:val="auto"/>
          <w:highlight w:val="none"/>
        </w:rPr>
        <w:instrText xml:space="preserve"> PAGEREF _Toc13315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7DCE921D">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_Toc32635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 xml:space="preserve">第三章 </w:t>
      </w:r>
      <w:r>
        <w:rPr>
          <w:rFonts w:hint="eastAsia" w:ascii="仿宋" w:hAnsi="仿宋" w:eastAsia="仿宋" w:cs="仿宋"/>
          <w:color w:val="auto"/>
          <w:szCs w:val="24"/>
          <w:highlight w:val="none"/>
          <w:lang w:eastAsia="zh-CN"/>
        </w:rPr>
        <w:t>合同文本</w:t>
      </w:r>
      <w:r>
        <w:rPr>
          <w:color w:val="auto"/>
          <w:highlight w:val="none"/>
        </w:rPr>
        <w:tab/>
      </w:r>
      <w:r>
        <w:rPr>
          <w:color w:val="auto"/>
          <w:highlight w:val="none"/>
        </w:rPr>
        <w:fldChar w:fldCharType="begin"/>
      </w:r>
      <w:r>
        <w:rPr>
          <w:color w:val="auto"/>
          <w:highlight w:val="none"/>
        </w:rPr>
        <w:instrText xml:space="preserve"> PAGEREF _Toc32635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bCs/>
          <w:color w:val="auto"/>
          <w:szCs w:val="21"/>
          <w:highlight w:val="none"/>
        </w:rPr>
        <w:fldChar w:fldCharType="end"/>
      </w:r>
    </w:p>
    <w:p w14:paraId="6FE2388A">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_Toc15960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第四章 技术标准和要求</w:t>
      </w:r>
      <w:r>
        <w:rPr>
          <w:color w:val="auto"/>
          <w:highlight w:val="none"/>
        </w:rPr>
        <w:tab/>
      </w:r>
      <w:r>
        <w:rPr>
          <w:color w:val="auto"/>
          <w:highlight w:val="none"/>
        </w:rPr>
        <w:fldChar w:fldCharType="begin"/>
      </w:r>
      <w:r>
        <w:rPr>
          <w:color w:val="auto"/>
          <w:highlight w:val="none"/>
        </w:rPr>
        <w:instrText xml:space="preserve"> PAGEREF _Toc15960 \h </w:instrText>
      </w:r>
      <w:r>
        <w:rPr>
          <w:color w:val="auto"/>
          <w:highlight w:val="none"/>
        </w:rPr>
        <w:fldChar w:fldCharType="separate"/>
      </w:r>
      <w:r>
        <w:rPr>
          <w:color w:val="auto"/>
          <w:highlight w:val="none"/>
        </w:rPr>
        <w:t>69</w:t>
      </w:r>
      <w:r>
        <w:rPr>
          <w:color w:val="auto"/>
          <w:highlight w:val="none"/>
        </w:rPr>
        <w:fldChar w:fldCharType="end"/>
      </w:r>
      <w:r>
        <w:rPr>
          <w:rFonts w:hint="eastAsia" w:ascii="仿宋" w:hAnsi="仿宋" w:eastAsia="仿宋" w:cs="仿宋"/>
          <w:bCs/>
          <w:color w:val="auto"/>
          <w:szCs w:val="21"/>
          <w:highlight w:val="none"/>
        </w:rPr>
        <w:fldChar w:fldCharType="end"/>
      </w:r>
    </w:p>
    <w:p w14:paraId="27A1461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_Toc1761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第五章 响应文件格式</w:t>
      </w:r>
      <w:r>
        <w:rPr>
          <w:color w:val="auto"/>
          <w:highlight w:val="none"/>
        </w:rPr>
        <w:tab/>
      </w:r>
      <w:r>
        <w:rPr>
          <w:color w:val="auto"/>
          <w:highlight w:val="none"/>
        </w:rPr>
        <w:fldChar w:fldCharType="begin"/>
      </w:r>
      <w:r>
        <w:rPr>
          <w:color w:val="auto"/>
          <w:highlight w:val="none"/>
        </w:rPr>
        <w:instrText xml:space="preserve"> PAGEREF _Toc1761 \h </w:instrText>
      </w:r>
      <w:r>
        <w:rPr>
          <w:color w:val="auto"/>
          <w:highlight w:val="none"/>
        </w:rPr>
        <w:fldChar w:fldCharType="separate"/>
      </w:r>
      <w:r>
        <w:rPr>
          <w:color w:val="auto"/>
          <w:highlight w:val="none"/>
        </w:rPr>
        <w:t>70</w:t>
      </w:r>
      <w:r>
        <w:rPr>
          <w:color w:val="auto"/>
          <w:highlight w:val="none"/>
        </w:rPr>
        <w:fldChar w:fldCharType="end"/>
      </w:r>
      <w:r>
        <w:rPr>
          <w:rFonts w:hint="eastAsia" w:ascii="仿宋" w:hAnsi="仿宋" w:eastAsia="仿宋" w:cs="仿宋"/>
          <w:bCs/>
          <w:color w:val="auto"/>
          <w:szCs w:val="21"/>
          <w:highlight w:val="none"/>
        </w:rPr>
        <w:fldChar w:fldCharType="end"/>
      </w:r>
    </w:p>
    <w:p w14:paraId="0D5EA1F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_Toc8983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一、</w:t>
      </w:r>
      <w:r>
        <w:rPr>
          <w:rFonts w:hint="eastAsia" w:ascii="仿宋" w:hAnsi="仿宋" w:eastAsia="仿宋" w:cs="仿宋"/>
          <w:color w:val="auto"/>
          <w:szCs w:val="24"/>
          <w:highlight w:val="none"/>
          <w:shd w:val="clear" w:color="auto" w:fill="FFFFFF" w:themeFill="background1"/>
          <w:lang w:eastAsia="zh-CN"/>
        </w:rPr>
        <w:t>开启一览表</w:t>
      </w:r>
      <w:r>
        <w:rPr>
          <w:color w:val="auto"/>
          <w:highlight w:val="none"/>
        </w:rPr>
        <w:tab/>
      </w:r>
      <w:r>
        <w:rPr>
          <w:color w:val="auto"/>
          <w:highlight w:val="none"/>
        </w:rPr>
        <w:fldChar w:fldCharType="begin"/>
      </w:r>
      <w:r>
        <w:rPr>
          <w:color w:val="auto"/>
          <w:highlight w:val="none"/>
        </w:rPr>
        <w:instrText xml:space="preserve"> PAGEREF _Toc8983 \h </w:instrText>
      </w:r>
      <w:r>
        <w:rPr>
          <w:color w:val="auto"/>
          <w:highlight w:val="none"/>
        </w:rPr>
        <w:fldChar w:fldCharType="separate"/>
      </w:r>
      <w:r>
        <w:rPr>
          <w:color w:val="auto"/>
          <w:highlight w:val="none"/>
        </w:rPr>
        <w:t>72</w:t>
      </w:r>
      <w:r>
        <w:rPr>
          <w:color w:val="auto"/>
          <w:highlight w:val="none"/>
        </w:rPr>
        <w:fldChar w:fldCharType="end"/>
      </w:r>
      <w:r>
        <w:rPr>
          <w:rFonts w:hint="eastAsia" w:ascii="仿宋" w:hAnsi="仿宋" w:eastAsia="仿宋" w:cs="仿宋"/>
          <w:bCs/>
          <w:color w:val="auto"/>
          <w:szCs w:val="21"/>
          <w:highlight w:val="none"/>
        </w:rPr>
        <w:fldChar w:fldCharType="end"/>
      </w:r>
    </w:p>
    <w:p w14:paraId="53B260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_Toc7538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响应函</w:t>
      </w:r>
      <w:r>
        <w:rPr>
          <w:color w:val="auto"/>
          <w:highlight w:val="none"/>
        </w:rPr>
        <w:tab/>
      </w:r>
      <w:r>
        <w:rPr>
          <w:color w:val="auto"/>
          <w:highlight w:val="none"/>
        </w:rPr>
        <w:fldChar w:fldCharType="begin"/>
      </w:r>
      <w:r>
        <w:rPr>
          <w:color w:val="auto"/>
          <w:highlight w:val="none"/>
        </w:rPr>
        <w:instrText xml:space="preserve"> PAGEREF _Toc7538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bCs/>
          <w:color w:val="auto"/>
          <w:szCs w:val="21"/>
          <w:highlight w:val="none"/>
        </w:rPr>
        <w:fldChar w:fldCharType="end"/>
      </w:r>
    </w:p>
    <w:p w14:paraId="0B6BD0D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_Toc28702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三</w:t>
      </w:r>
      <w:r>
        <w:rPr>
          <w:rFonts w:hint="eastAsia" w:ascii="仿宋" w:hAnsi="仿宋" w:eastAsia="仿宋" w:cs="仿宋"/>
          <w:color w:val="auto"/>
          <w:szCs w:val="24"/>
          <w:highlight w:val="none"/>
          <w:shd w:val="clear" w:color="auto" w:fill="FFFFFF" w:themeFill="background1"/>
        </w:rPr>
        <w:t>、商务条款偏离表</w:t>
      </w:r>
      <w:r>
        <w:rPr>
          <w:color w:val="auto"/>
          <w:highlight w:val="none"/>
        </w:rPr>
        <w:tab/>
      </w:r>
      <w:r>
        <w:rPr>
          <w:color w:val="auto"/>
          <w:highlight w:val="none"/>
        </w:rPr>
        <w:fldChar w:fldCharType="begin"/>
      </w:r>
      <w:r>
        <w:rPr>
          <w:color w:val="auto"/>
          <w:highlight w:val="none"/>
        </w:rPr>
        <w:instrText xml:space="preserve"> PAGEREF _Toc28702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bCs/>
          <w:color w:val="auto"/>
          <w:szCs w:val="21"/>
          <w:highlight w:val="none"/>
        </w:rPr>
        <w:fldChar w:fldCharType="end"/>
      </w:r>
    </w:p>
    <w:p w14:paraId="21A796B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_Toc26323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四</w:t>
      </w:r>
      <w:r>
        <w:rPr>
          <w:rFonts w:hint="eastAsia" w:ascii="仿宋" w:hAnsi="仿宋" w:eastAsia="仿宋" w:cs="仿宋"/>
          <w:color w:val="auto"/>
          <w:szCs w:val="24"/>
          <w:highlight w:val="none"/>
          <w:shd w:val="clear" w:color="auto" w:fill="FFFFFF" w:themeFill="background1"/>
        </w:rPr>
        <w:t>、技术条款偏离表</w:t>
      </w:r>
      <w:r>
        <w:rPr>
          <w:color w:val="auto"/>
          <w:highlight w:val="none"/>
        </w:rPr>
        <w:tab/>
      </w:r>
      <w:r>
        <w:rPr>
          <w:color w:val="auto"/>
          <w:highlight w:val="none"/>
        </w:rPr>
        <w:fldChar w:fldCharType="begin"/>
      </w:r>
      <w:r>
        <w:rPr>
          <w:color w:val="auto"/>
          <w:highlight w:val="none"/>
        </w:rPr>
        <w:instrText xml:space="preserve"> PAGEREF _Toc26323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bCs/>
          <w:color w:val="auto"/>
          <w:szCs w:val="21"/>
          <w:highlight w:val="none"/>
        </w:rPr>
        <w:fldChar w:fldCharType="end"/>
      </w:r>
    </w:p>
    <w:p w14:paraId="7C19D40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_Toc23220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五</w:t>
      </w:r>
      <w:r>
        <w:rPr>
          <w:rFonts w:hint="eastAsia" w:ascii="仿宋" w:hAnsi="仿宋" w:eastAsia="仿宋" w:cs="仿宋"/>
          <w:color w:val="auto"/>
          <w:szCs w:val="24"/>
          <w:highlight w:val="none"/>
          <w:shd w:val="clear" w:color="auto" w:fill="FFFFFF" w:themeFill="background1"/>
        </w:rPr>
        <w:t>、法定代表人身份证明书</w:t>
      </w:r>
      <w:r>
        <w:rPr>
          <w:color w:val="auto"/>
          <w:highlight w:val="none"/>
        </w:rPr>
        <w:tab/>
      </w:r>
      <w:r>
        <w:rPr>
          <w:color w:val="auto"/>
          <w:highlight w:val="none"/>
        </w:rPr>
        <w:fldChar w:fldCharType="begin"/>
      </w:r>
      <w:r>
        <w:rPr>
          <w:color w:val="auto"/>
          <w:highlight w:val="none"/>
        </w:rPr>
        <w:instrText xml:space="preserve"> PAGEREF _Toc23220 \h </w:instrText>
      </w:r>
      <w:r>
        <w:rPr>
          <w:color w:val="auto"/>
          <w:highlight w:val="none"/>
        </w:rPr>
        <w:fldChar w:fldCharType="separate"/>
      </w:r>
      <w:r>
        <w:rPr>
          <w:color w:val="auto"/>
          <w:highlight w:val="none"/>
        </w:rPr>
        <w:t>76</w:t>
      </w:r>
      <w:r>
        <w:rPr>
          <w:color w:val="auto"/>
          <w:highlight w:val="none"/>
        </w:rPr>
        <w:fldChar w:fldCharType="end"/>
      </w:r>
      <w:r>
        <w:rPr>
          <w:rFonts w:hint="eastAsia" w:ascii="仿宋" w:hAnsi="仿宋" w:eastAsia="仿宋" w:cs="仿宋"/>
          <w:bCs/>
          <w:color w:val="auto"/>
          <w:szCs w:val="21"/>
          <w:highlight w:val="none"/>
        </w:rPr>
        <w:fldChar w:fldCharType="end"/>
      </w:r>
    </w:p>
    <w:p w14:paraId="42B021B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_Toc19078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六</w:t>
      </w:r>
      <w:r>
        <w:rPr>
          <w:rFonts w:hint="eastAsia" w:ascii="仿宋" w:hAnsi="仿宋" w:eastAsia="仿宋" w:cs="仿宋"/>
          <w:color w:val="auto"/>
          <w:szCs w:val="24"/>
          <w:highlight w:val="none"/>
          <w:shd w:val="clear" w:color="auto" w:fill="FFFFFF" w:themeFill="background1"/>
        </w:rPr>
        <w:t>、法定代表人授权委托书</w:t>
      </w:r>
      <w:r>
        <w:rPr>
          <w:color w:val="auto"/>
          <w:highlight w:val="none"/>
        </w:rPr>
        <w:tab/>
      </w:r>
      <w:r>
        <w:rPr>
          <w:color w:val="auto"/>
          <w:highlight w:val="none"/>
        </w:rPr>
        <w:fldChar w:fldCharType="begin"/>
      </w:r>
      <w:r>
        <w:rPr>
          <w:color w:val="auto"/>
          <w:highlight w:val="none"/>
        </w:rPr>
        <w:instrText xml:space="preserve"> PAGEREF _Toc19078 \h </w:instrText>
      </w:r>
      <w:r>
        <w:rPr>
          <w:color w:val="auto"/>
          <w:highlight w:val="none"/>
        </w:rPr>
        <w:fldChar w:fldCharType="separate"/>
      </w:r>
      <w:r>
        <w:rPr>
          <w:color w:val="auto"/>
          <w:highlight w:val="none"/>
        </w:rPr>
        <w:t>77</w:t>
      </w:r>
      <w:r>
        <w:rPr>
          <w:color w:val="auto"/>
          <w:highlight w:val="none"/>
        </w:rPr>
        <w:fldChar w:fldCharType="end"/>
      </w:r>
      <w:r>
        <w:rPr>
          <w:rFonts w:hint="eastAsia" w:ascii="仿宋" w:hAnsi="仿宋" w:eastAsia="仿宋" w:cs="仿宋"/>
          <w:bCs/>
          <w:color w:val="auto"/>
          <w:szCs w:val="21"/>
          <w:highlight w:val="none"/>
        </w:rPr>
        <w:fldChar w:fldCharType="end"/>
      </w:r>
    </w:p>
    <w:p w14:paraId="2C43F6B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_Toc24159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七</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供应商资格要求</w:t>
      </w:r>
      <w:r>
        <w:rPr>
          <w:rFonts w:hint="eastAsia" w:ascii="仿宋" w:hAnsi="仿宋" w:eastAsia="仿宋" w:cs="仿宋"/>
          <w:bCs/>
          <w:color w:val="auto"/>
          <w:szCs w:val="24"/>
          <w:highlight w:val="none"/>
          <w:shd w:val="clear" w:color="auto" w:fill="FFFFFF" w:themeFill="background1"/>
        </w:rPr>
        <w:t>证明材料</w:t>
      </w:r>
      <w:r>
        <w:rPr>
          <w:color w:val="auto"/>
          <w:highlight w:val="none"/>
        </w:rPr>
        <w:tab/>
      </w:r>
      <w:r>
        <w:rPr>
          <w:color w:val="auto"/>
          <w:highlight w:val="none"/>
        </w:rPr>
        <w:fldChar w:fldCharType="begin"/>
      </w:r>
      <w:r>
        <w:rPr>
          <w:color w:val="auto"/>
          <w:highlight w:val="none"/>
        </w:rPr>
        <w:instrText xml:space="preserve"> PAGEREF _Toc24159 \h </w:instrText>
      </w:r>
      <w:r>
        <w:rPr>
          <w:color w:val="auto"/>
          <w:highlight w:val="none"/>
        </w:rPr>
        <w:fldChar w:fldCharType="separate"/>
      </w:r>
      <w:r>
        <w:rPr>
          <w:color w:val="auto"/>
          <w:highlight w:val="none"/>
        </w:rPr>
        <w:t>78</w:t>
      </w:r>
      <w:r>
        <w:rPr>
          <w:color w:val="auto"/>
          <w:highlight w:val="none"/>
        </w:rPr>
        <w:fldChar w:fldCharType="end"/>
      </w:r>
      <w:r>
        <w:rPr>
          <w:rFonts w:hint="eastAsia" w:ascii="仿宋" w:hAnsi="仿宋" w:eastAsia="仿宋" w:cs="仿宋"/>
          <w:bCs/>
          <w:color w:val="auto"/>
          <w:szCs w:val="21"/>
          <w:highlight w:val="none"/>
        </w:rPr>
        <w:fldChar w:fldCharType="end"/>
      </w:r>
    </w:p>
    <w:p w14:paraId="49E9DC3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_Toc26584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1、法人或者其他组织的营业执照等证明文件，自然人的身份证明</w:t>
      </w:r>
      <w:r>
        <w:rPr>
          <w:color w:val="auto"/>
          <w:highlight w:val="none"/>
        </w:rPr>
        <w:tab/>
      </w:r>
      <w:r>
        <w:rPr>
          <w:color w:val="auto"/>
          <w:highlight w:val="none"/>
        </w:rPr>
        <w:fldChar w:fldCharType="begin"/>
      </w:r>
      <w:r>
        <w:rPr>
          <w:color w:val="auto"/>
          <w:highlight w:val="none"/>
        </w:rPr>
        <w:instrText xml:space="preserve"> PAGEREF _Toc26584 \h </w:instrText>
      </w:r>
      <w:r>
        <w:rPr>
          <w:color w:val="auto"/>
          <w:highlight w:val="none"/>
        </w:rPr>
        <w:fldChar w:fldCharType="separate"/>
      </w:r>
      <w:r>
        <w:rPr>
          <w:color w:val="auto"/>
          <w:highlight w:val="none"/>
        </w:rPr>
        <w:t>79</w:t>
      </w:r>
      <w:r>
        <w:rPr>
          <w:color w:val="auto"/>
          <w:highlight w:val="none"/>
        </w:rPr>
        <w:fldChar w:fldCharType="end"/>
      </w:r>
      <w:r>
        <w:rPr>
          <w:rFonts w:hint="eastAsia" w:ascii="仿宋" w:hAnsi="仿宋" w:eastAsia="仿宋" w:cs="仿宋"/>
          <w:bCs/>
          <w:color w:val="auto"/>
          <w:szCs w:val="21"/>
          <w:highlight w:val="none"/>
        </w:rPr>
        <w:fldChar w:fldCharType="end"/>
      </w:r>
    </w:p>
    <w:p w14:paraId="3691783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_Toc28562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.2、财务状况报告，依法缴纳税收和社会保障资金的相关材料</w:t>
      </w:r>
      <w:r>
        <w:rPr>
          <w:color w:val="auto"/>
          <w:highlight w:val="none"/>
        </w:rPr>
        <w:tab/>
      </w:r>
      <w:r>
        <w:rPr>
          <w:color w:val="auto"/>
          <w:highlight w:val="none"/>
        </w:rPr>
        <w:fldChar w:fldCharType="begin"/>
      </w:r>
      <w:r>
        <w:rPr>
          <w:color w:val="auto"/>
          <w:highlight w:val="none"/>
        </w:rPr>
        <w:instrText xml:space="preserve"> PAGEREF _Toc28562 \h </w:instrText>
      </w:r>
      <w:r>
        <w:rPr>
          <w:color w:val="auto"/>
          <w:highlight w:val="none"/>
        </w:rPr>
        <w:fldChar w:fldCharType="separate"/>
      </w:r>
      <w:r>
        <w:rPr>
          <w:color w:val="auto"/>
          <w:highlight w:val="none"/>
        </w:rPr>
        <w:t>80</w:t>
      </w:r>
      <w:r>
        <w:rPr>
          <w:color w:val="auto"/>
          <w:highlight w:val="none"/>
        </w:rPr>
        <w:fldChar w:fldCharType="end"/>
      </w:r>
      <w:r>
        <w:rPr>
          <w:rFonts w:hint="eastAsia" w:ascii="仿宋" w:hAnsi="仿宋" w:eastAsia="仿宋" w:cs="仿宋"/>
          <w:bCs/>
          <w:color w:val="auto"/>
          <w:szCs w:val="21"/>
          <w:highlight w:val="none"/>
        </w:rPr>
        <w:fldChar w:fldCharType="end"/>
      </w:r>
    </w:p>
    <w:p w14:paraId="12D802F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_Toc21089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.3、具备履行合同所必需的设备和专业技术能力的证明材料</w:t>
      </w:r>
      <w:r>
        <w:rPr>
          <w:color w:val="auto"/>
          <w:highlight w:val="none"/>
        </w:rPr>
        <w:tab/>
      </w:r>
      <w:r>
        <w:rPr>
          <w:color w:val="auto"/>
          <w:highlight w:val="none"/>
        </w:rPr>
        <w:fldChar w:fldCharType="begin"/>
      </w:r>
      <w:r>
        <w:rPr>
          <w:color w:val="auto"/>
          <w:highlight w:val="none"/>
        </w:rPr>
        <w:instrText xml:space="preserve"> PAGEREF _Toc21089 \h </w:instrText>
      </w:r>
      <w:r>
        <w:rPr>
          <w:color w:val="auto"/>
          <w:highlight w:val="none"/>
        </w:rPr>
        <w:fldChar w:fldCharType="separate"/>
      </w:r>
      <w:r>
        <w:rPr>
          <w:color w:val="auto"/>
          <w:highlight w:val="none"/>
        </w:rPr>
        <w:t>81</w:t>
      </w:r>
      <w:r>
        <w:rPr>
          <w:color w:val="auto"/>
          <w:highlight w:val="none"/>
        </w:rPr>
        <w:fldChar w:fldCharType="end"/>
      </w:r>
      <w:r>
        <w:rPr>
          <w:rFonts w:hint="eastAsia" w:ascii="仿宋" w:hAnsi="仿宋" w:eastAsia="仿宋" w:cs="仿宋"/>
          <w:bCs/>
          <w:color w:val="auto"/>
          <w:szCs w:val="21"/>
          <w:highlight w:val="none"/>
        </w:rPr>
        <w:fldChar w:fldCharType="end"/>
      </w:r>
    </w:p>
    <w:p w14:paraId="25D362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_Toc18610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.4、参加政府采购活动前3年内在经营活动中没有重大违法记录的书面声明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_Toc18610 \h </w:instrText>
      </w:r>
      <w:r>
        <w:rPr>
          <w:color w:val="auto"/>
          <w:highlight w:val="none"/>
        </w:rPr>
        <w:fldChar w:fldCharType="separate"/>
      </w:r>
      <w:r>
        <w:rPr>
          <w:color w:val="auto"/>
          <w:highlight w:val="none"/>
        </w:rPr>
        <w:t>82</w:t>
      </w:r>
      <w:r>
        <w:rPr>
          <w:color w:val="auto"/>
          <w:highlight w:val="none"/>
        </w:rPr>
        <w:fldChar w:fldCharType="end"/>
      </w:r>
      <w:r>
        <w:rPr>
          <w:rFonts w:hint="eastAsia" w:ascii="仿宋" w:hAnsi="仿宋" w:eastAsia="仿宋" w:cs="仿宋"/>
          <w:bCs/>
          <w:color w:val="auto"/>
          <w:szCs w:val="21"/>
          <w:highlight w:val="none"/>
        </w:rPr>
        <w:fldChar w:fldCharType="end"/>
      </w:r>
    </w:p>
    <w:p w14:paraId="0AB9AB0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_Toc9076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.5、具备法律、行政法规规定的其他条件的证明材料</w:t>
      </w:r>
      <w:r>
        <w:rPr>
          <w:color w:val="auto"/>
          <w:highlight w:val="none"/>
        </w:rPr>
        <w:tab/>
      </w:r>
      <w:r>
        <w:rPr>
          <w:color w:val="auto"/>
          <w:highlight w:val="none"/>
        </w:rPr>
        <w:fldChar w:fldCharType="begin"/>
      </w:r>
      <w:r>
        <w:rPr>
          <w:color w:val="auto"/>
          <w:highlight w:val="none"/>
        </w:rPr>
        <w:instrText xml:space="preserve"> PAGEREF _Toc9076 \h </w:instrText>
      </w:r>
      <w:r>
        <w:rPr>
          <w:color w:val="auto"/>
          <w:highlight w:val="none"/>
        </w:rPr>
        <w:fldChar w:fldCharType="separate"/>
      </w:r>
      <w:r>
        <w:rPr>
          <w:color w:val="auto"/>
          <w:highlight w:val="none"/>
        </w:rPr>
        <w:t>83</w:t>
      </w:r>
      <w:r>
        <w:rPr>
          <w:color w:val="auto"/>
          <w:highlight w:val="none"/>
        </w:rPr>
        <w:fldChar w:fldCharType="end"/>
      </w:r>
      <w:r>
        <w:rPr>
          <w:rFonts w:hint="eastAsia" w:ascii="仿宋" w:hAnsi="仿宋" w:eastAsia="仿宋" w:cs="仿宋"/>
          <w:bCs/>
          <w:color w:val="auto"/>
          <w:szCs w:val="21"/>
          <w:highlight w:val="none"/>
        </w:rPr>
        <w:fldChar w:fldCharType="end"/>
      </w:r>
    </w:p>
    <w:p w14:paraId="4A4C7C3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_Toc19513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八</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供应商</w:t>
      </w:r>
      <w:r>
        <w:rPr>
          <w:rFonts w:hint="eastAsia" w:ascii="仿宋" w:hAnsi="仿宋" w:eastAsia="仿宋" w:cs="仿宋"/>
          <w:bCs/>
          <w:color w:val="auto"/>
          <w:szCs w:val="24"/>
          <w:highlight w:val="none"/>
          <w:shd w:val="clear" w:color="auto" w:fill="FFFFFF" w:themeFill="background1"/>
        </w:rPr>
        <w:t>类似项目业绩表</w:t>
      </w:r>
      <w:r>
        <w:rPr>
          <w:color w:val="auto"/>
          <w:highlight w:val="none"/>
        </w:rPr>
        <w:tab/>
      </w:r>
      <w:r>
        <w:rPr>
          <w:color w:val="auto"/>
          <w:highlight w:val="none"/>
        </w:rPr>
        <w:fldChar w:fldCharType="begin"/>
      </w:r>
      <w:r>
        <w:rPr>
          <w:color w:val="auto"/>
          <w:highlight w:val="none"/>
        </w:rPr>
        <w:instrText xml:space="preserve"> PAGEREF _Toc19513 \h </w:instrText>
      </w:r>
      <w:r>
        <w:rPr>
          <w:color w:val="auto"/>
          <w:highlight w:val="none"/>
        </w:rPr>
        <w:fldChar w:fldCharType="separate"/>
      </w:r>
      <w:r>
        <w:rPr>
          <w:color w:val="auto"/>
          <w:highlight w:val="none"/>
        </w:rPr>
        <w:t>86</w:t>
      </w:r>
      <w:r>
        <w:rPr>
          <w:color w:val="auto"/>
          <w:highlight w:val="none"/>
        </w:rPr>
        <w:fldChar w:fldCharType="end"/>
      </w:r>
      <w:r>
        <w:rPr>
          <w:rFonts w:hint="eastAsia" w:ascii="仿宋" w:hAnsi="仿宋" w:eastAsia="仿宋" w:cs="仿宋"/>
          <w:bCs/>
          <w:color w:val="auto"/>
          <w:szCs w:val="21"/>
          <w:highlight w:val="none"/>
        </w:rPr>
        <w:fldChar w:fldCharType="end"/>
      </w:r>
    </w:p>
    <w:p w14:paraId="3EC778B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_Toc4152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九</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rPr>
        <w:t>项目负责人简历表</w:t>
      </w:r>
      <w:r>
        <w:rPr>
          <w:color w:val="auto"/>
          <w:highlight w:val="none"/>
        </w:rPr>
        <w:tab/>
      </w:r>
      <w:r>
        <w:rPr>
          <w:color w:val="auto"/>
          <w:highlight w:val="none"/>
        </w:rPr>
        <w:fldChar w:fldCharType="begin"/>
      </w:r>
      <w:r>
        <w:rPr>
          <w:color w:val="auto"/>
          <w:highlight w:val="none"/>
        </w:rPr>
        <w:instrText xml:space="preserve"> PAGEREF _Toc4152 \h </w:instrText>
      </w:r>
      <w:r>
        <w:rPr>
          <w:color w:val="auto"/>
          <w:highlight w:val="none"/>
        </w:rPr>
        <w:fldChar w:fldCharType="separate"/>
      </w:r>
      <w:r>
        <w:rPr>
          <w:color w:val="auto"/>
          <w:highlight w:val="none"/>
        </w:rPr>
        <w:t>87</w:t>
      </w:r>
      <w:r>
        <w:rPr>
          <w:color w:val="auto"/>
          <w:highlight w:val="none"/>
        </w:rPr>
        <w:fldChar w:fldCharType="end"/>
      </w:r>
      <w:r>
        <w:rPr>
          <w:rFonts w:hint="eastAsia" w:ascii="仿宋" w:hAnsi="仿宋" w:eastAsia="仿宋" w:cs="仿宋"/>
          <w:bCs/>
          <w:color w:val="auto"/>
          <w:szCs w:val="21"/>
          <w:highlight w:val="none"/>
        </w:rPr>
        <w:fldChar w:fldCharType="end"/>
      </w:r>
    </w:p>
    <w:p w14:paraId="75E8CA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_Toc3333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十</w:t>
      </w:r>
      <w:r>
        <w:rPr>
          <w:rFonts w:hint="eastAsia" w:ascii="仿宋" w:hAnsi="仿宋" w:eastAsia="仿宋" w:cs="仿宋"/>
          <w:bCs/>
          <w:color w:val="auto"/>
          <w:szCs w:val="24"/>
          <w:highlight w:val="none"/>
          <w:shd w:val="clear" w:color="auto" w:fill="FFFFFF" w:themeFill="background1"/>
        </w:rPr>
        <w:t>、主要项目管理人员表</w:t>
      </w:r>
      <w:r>
        <w:rPr>
          <w:color w:val="auto"/>
          <w:highlight w:val="none"/>
        </w:rPr>
        <w:tab/>
      </w:r>
      <w:r>
        <w:rPr>
          <w:color w:val="auto"/>
          <w:highlight w:val="none"/>
        </w:rPr>
        <w:fldChar w:fldCharType="begin"/>
      </w:r>
      <w:r>
        <w:rPr>
          <w:color w:val="auto"/>
          <w:highlight w:val="none"/>
        </w:rPr>
        <w:instrText xml:space="preserve"> PAGEREF _Toc3333 \h </w:instrText>
      </w:r>
      <w:r>
        <w:rPr>
          <w:color w:val="auto"/>
          <w:highlight w:val="none"/>
        </w:rPr>
        <w:fldChar w:fldCharType="separate"/>
      </w:r>
      <w:r>
        <w:rPr>
          <w:color w:val="auto"/>
          <w:highlight w:val="none"/>
        </w:rPr>
        <w:t>88</w:t>
      </w:r>
      <w:r>
        <w:rPr>
          <w:color w:val="auto"/>
          <w:highlight w:val="none"/>
        </w:rPr>
        <w:fldChar w:fldCharType="end"/>
      </w:r>
      <w:r>
        <w:rPr>
          <w:rFonts w:hint="eastAsia" w:ascii="仿宋" w:hAnsi="仿宋" w:eastAsia="仿宋" w:cs="仿宋"/>
          <w:bCs/>
          <w:color w:val="auto"/>
          <w:szCs w:val="21"/>
          <w:highlight w:val="none"/>
        </w:rPr>
        <w:fldChar w:fldCharType="end"/>
      </w:r>
    </w:p>
    <w:p w14:paraId="65F1100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_Toc28979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一</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施工组织设计</w:t>
      </w:r>
      <w:r>
        <w:rPr>
          <w:color w:val="auto"/>
          <w:highlight w:val="none"/>
        </w:rPr>
        <w:tab/>
      </w:r>
      <w:r>
        <w:rPr>
          <w:color w:val="auto"/>
          <w:highlight w:val="none"/>
        </w:rPr>
        <w:fldChar w:fldCharType="begin"/>
      </w:r>
      <w:r>
        <w:rPr>
          <w:color w:val="auto"/>
          <w:highlight w:val="none"/>
        </w:rPr>
        <w:instrText xml:space="preserve"> PAGEREF _Toc28979 \h </w:instrText>
      </w:r>
      <w:r>
        <w:rPr>
          <w:color w:val="auto"/>
          <w:highlight w:val="none"/>
        </w:rPr>
        <w:fldChar w:fldCharType="separate"/>
      </w:r>
      <w:r>
        <w:rPr>
          <w:color w:val="auto"/>
          <w:highlight w:val="none"/>
        </w:rPr>
        <w:t>89</w:t>
      </w:r>
      <w:r>
        <w:rPr>
          <w:color w:val="auto"/>
          <w:highlight w:val="none"/>
        </w:rPr>
        <w:fldChar w:fldCharType="end"/>
      </w:r>
      <w:r>
        <w:rPr>
          <w:rFonts w:hint="eastAsia" w:ascii="仿宋" w:hAnsi="仿宋" w:eastAsia="仿宋" w:cs="仿宋"/>
          <w:bCs/>
          <w:color w:val="auto"/>
          <w:szCs w:val="21"/>
          <w:highlight w:val="none"/>
        </w:rPr>
        <w:fldChar w:fldCharType="end"/>
      </w:r>
    </w:p>
    <w:p w14:paraId="4582155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_Toc22039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eastAsia="zh-CN"/>
        </w:rPr>
        <w:t>已标价工程量清单</w:t>
      </w:r>
      <w:r>
        <w:rPr>
          <w:color w:val="auto"/>
          <w:highlight w:val="none"/>
        </w:rPr>
        <w:tab/>
      </w:r>
      <w:r>
        <w:rPr>
          <w:color w:val="auto"/>
          <w:highlight w:val="none"/>
        </w:rPr>
        <w:fldChar w:fldCharType="begin"/>
      </w:r>
      <w:r>
        <w:rPr>
          <w:color w:val="auto"/>
          <w:highlight w:val="none"/>
        </w:rPr>
        <w:instrText xml:space="preserve"> PAGEREF _Toc22039 \h </w:instrText>
      </w:r>
      <w:r>
        <w:rPr>
          <w:color w:val="auto"/>
          <w:highlight w:val="none"/>
        </w:rPr>
        <w:fldChar w:fldCharType="separate"/>
      </w:r>
      <w:r>
        <w:rPr>
          <w:color w:val="auto"/>
          <w:highlight w:val="none"/>
        </w:rPr>
        <w:t>90</w:t>
      </w:r>
      <w:r>
        <w:rPr>
          <w:color w:val="auto"/>
          <w:highlight w:val="none"/>
        </w:rPr>
        <w:fldChar w:fldCharType="end"/>
      </w:r>
      <w:r>
        <w:rPr>
          <w:rFonts w:hint="eastAsia" w:ascii="仿宋" w:hAnsi="仿宋" w:eastAsia="仿宋" w:cs="仿宋"/>
          <w:bCs/>
          <w:color w:val="auto"/>
          <w:szCs w:val="21"/>
          <w:highlight w:val="none"/>
        </w:rPr>
        <w:fldChar w:fldCharType="end"/>
      </w:r>
    </w:p>
    <w:p w14:paraId="1B8DB61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_Toc20373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、保证金缴纳证明材料</w:t>
      </w:r>
      <w:r>
        <w:rPr>
          <w:color w:val="auto"/>
          <w:highlight w:val="none"/>
        </w:rPr>
        <w:tab/>
      </w:r>
      <w:r>
        <w:rPr>
          <w:color w:val="auto"/>
          <w:highlight w:val="none"/>
        </w:rPr>
        <w:fldChar w:fldCharType="begin"/>
      </w:r>
      <w:r>
        <w:rPr>
          <w:color w:val="auto"/>
          <w:highlight w:val="none"/>
        </w:rPr>
        <w:instrText xml:space="preserve"> PAGEREF _Toc20373 \h </w:instrText>
      </w:r>
      <w:r>
        <w:rPr>
          <w:color w:val="auto"/>
          <w:highlight w:val="none"/>
        </w:rPr>
        <w:fldChar w:fldCharType="separate"/>
      </w:r>
      <w:r>
        <w:rPr>
          <w:color w:val="auto"/>
          <w:highlight w:val="none"/>
        </w:rPr>
        <w:t>91</w:t>
      </w:r>
      <w:r>
        <w:rPr>
          <w:color w:val="auto"/>
          <w:highlight w:val="none"/>
        </w:rPr>
        <w:fldChar w:fldCharType="end"/>
      </w:r>
      <w:r>
        <w:rPr>
          <w:rFonts w:hint="eastAsia" w:ascii="仿宋" w:hAnsi="仿宋" w:eastAsia="仿宋" w:cs="仿宋"/>
          <w:bCs/>
          <w:color w:val="auto"/>
          <w:szCs w:val="21"/>
          <w:highlight w:val="none"/>
        </w:rPr>
        <w:fldChar w:fldCharType="end"/>
      </w:r>
    </w:p>
    <w:p w14:paraId="1102445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_Toc5450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、其它需要提交的资料</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92</w:t>
      </w:r>
      <w:r>
        <w:rPr>
          <w:color w:val="auto"/>
          <w:highlight w:val="none"/>
        </w:rPr>
        <w:fldChar w:fldCharType="end"/>
      </w:r>
      <w:r>
        <w:rPr>
          <w:rFonts w:hint="eastAsia" w:ascii="仿宋" w:hAnsi="仿宋" w:eastAsia="仿宋" w:cs="仿宋"/>
          <w:bCs/>
          <w:color w:val="auto"/>
          <w:szCs w:val="21"/>
          <w:highlight w:val="none"/>
        </w:rPr>
        <w:fldChar w:fldCharType="end"/>
      </w:r>
    </w:p>
    <w:p w14:paraId="0FDA2ED5">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_Toc28044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第六章 补充条款</w:t>
      </w:r>
      <w:r>
        <w:rPr>
          <w:color w:val="auto"/>
          <w:highlight w:val="none"/>
        </w:rPr>
        <w:tab/>
      </w:r>
      <w:r>
        <w:rPr>
          <w:color w:val="auto"/>
          <w:highlight w:val="none"/>
        </w:rPr>
        <w:fldChar w:fldCharType="begin"/>
      </w:r>
      <w:r>
        <w:rPr>
          <w:color w:val="auto"/>
          <w:highlight w:val="none"/>
        </w:rPr>
        <w:instrText xml:space="preserve"> PAGEREF _Toc28044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56FC43D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_Toc26832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1</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中小企业扶持政策</w:t>
      </w:r>
      <w:r>
        <w:rPr>
          <w:color w:val="auto"/>
          <w:highlight w:val="none"/>
        </w:rPr>
        <w:tab/>
      </w:r>
      <w:r>
        <w:rPr>
          <w:color w:val="auto"/>
          <w:highlight w:val="none"/>
        </w:rPr>
        <w:fldChar w:fldCharType="begin"/>
      </w:r>
      <w:r>
        <w:rPr>
          <w:color w:val="auto"/>
          <w:highlight w:val="none"/>
        </w:rPr>
        <w:instrText xml:space="preserve"> PAGEREF _Toc26832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47F006B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_Toc10842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2</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残疾人企业扶持政策</w:t>
      </w:r>
      <w:r>
        <w:rPr>
          <w:color w:val="auto"/>
          <w:highlight w:val="none"/>
        </w:rPr>
        <w:tab/>
      </w:r>
      <w:r>
        <w:rPr>
          <w:color w:val="auto"/>
          <w:highlight w:val="none"/>
        </w:rPr>
        <w:fldChar w:fldCharType="begin"/>
      </w:r>
      <w:r>
        <w:rPr>
          <w:color w:val="auto"/>
          <w:highlight w:val="none"/>
        </w:rPr>
        <w:instrText xml:space="preserve"> PAGEREF _Toc10842 \h </w:instrText>
      </w:r>
      <w:r>
        <w:rPr>
          <w:color w:val="auto"/>
          <w:highlight w:val="none"/>
        </w:rPr>
        <w:fldChar w:fldCharType="separate"/>
      </w:r>
      <w:r>
        <w:rPr>
          <w:color w:val="auto"/>
          <w:highlight w:val="none"/>
        </w:rPr>
        <w:t>97</w:t>
      </w:r>
      <w:r>
        <w:rPr>
          <w:color w:val="auto"/>
          <w:highlight w:val="none"/>
        </w:rPr>
        <w:fldChar w:fldCharType="end"/>
      </w:r>
      <w:r>
        <w:rPr>
          <w:rFonts w:hint="eastAsia" w:ascii="仿宋" w:hAnsi="仿宋" w:eastAsia="仿宋" w:cs="仿宋"/>
          <w:bCs/>
          <w:color w:val="auto"/>
          <w:szCs w:val="21"/>
          <w:highlight w:val="none"/>
        </w:rPr>
        <w:fldChar w:fldCharType="end"/>
      </w:r>
    </w:p>
    <w:p w14:paraId="52A4389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_Toc19822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3</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监狱扶持政策</w:t>
      </w:r>
      <w:r>
        <w:rPr>
          <w:color w:val="auto"/>
          <w:highlight w:val="none"/>
        </w:rPr>
        <w:tab/>
      </w:r>
      <w:r>
        <w:rPr>
          <w:color w:val="auto"/>
          <w:highlight w:val="none"/>
        </w:rPr>
        <w:fldChar w:fldCharType="begin"/>
      </w:r>
      <w:r>
        <w:rPr>
          <w:color w:val="auto"/>
          <w:highlight w:val="none"/>
        </w:rPr>
        <w:instrText xml:space="preserve"> PAGEREF _Toc19822 \h </w:instrText>
      </w:r>
      <w:r>
        <w:rPr>
          <w:color w:val="auto"/>
          <w:highlight w:val="none"/>
        </w:rPr>
        <w:fldChar w:fldCharType="separate"/>
      </w:r>
      <w:r>
        <w:rPr>
          <w:color w:val="auto"/>
          <w:highlight w:val="none"/>
        </w:rPr>
        <w:t>99</w:t>
      </w:r>
      <w:r>
        <w:rPr>
          <w:color w:val="auto"/>
          <w:highlight w:val="none"/>
        </w:rPr>
        <w:fldChar w:fldCharType="end"/>
      </w:r>
      <w:r>
        <w:rPr>
          <w:rFonts w:hint="eastAsia" w:ascii="仿宋" w:hAnsi="仿宋" w:eastAsia="仿宋" w:cs="仿宋"/>
          <w:bCs/>
          <w:color w:val="auto"/>
          <w:szCs w:val="21"/>
          <w:highlight w:val="none"/>
        </w:rPr>
        <w:fldChar w:fldCharType="end"/>
      </w:r>
    </w:p>
    <w:p w14:paraId="750FE59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Cs/>
          <w:color w:val="auto"/>
          <w:highlight w:val="none"/>
        </w:rPr>
      </w:pPr>
      <w:r>
        <w:rPr>
          <w:rFonts w:hint="eastAsia" w:ascii="仿宋" w:hAnsi="仿宋" w:eastAsia="仿宋" w:cs="仿宋"/>
          <w:bCs/>
          <w:color w:val="auto"/>
          <w:szCs w:val="21"/>
          <w:highlight w:val="none"/>
        </w:rPr>
        <w:fldChar w:fldCharType="end"/>
      </w:r>
    </w:p>
    <w:p w14:paraId="001C39BA">
      <w:pPr>
        <w:widowControl/>
        <w:shd w:val="clear" w:color="auto" w:fill="FFFFFF"/>
        <w:spacing w:line="360" w:lineRule="auto"/>
        <w:jc w:val="center"/>
        <w:outlineLvl w:val="0"/>
        <w:rPr>
          <w:rFonts w:hint="eastAsia" w:ascii="仿宋" w:hAnsi="仿宋" w:eastAsia="仿宋" w:cs="仿宋"/>
          <w:b/>
          <w:color w:val="auto"/>
          <w:kern w:val="0"/>
          <w:sz w:val="24"/>
          <w:szCs w:val="24"/>
          <w:highlight w:val="none"/>
        </w:rPr>
        <w:sectPr>
          <w:headerReference r:id="rId3" w:type="default"/>
          <w:footerReference r:id="rId4" w:type="even"/>
          <w:pgSz w:w="11906" w:h="16838"/>
          <w:pgMar w:top="1440" w:right="1080" w:bottom="1440" w:left="1080" w:header="851" w:footer="992" w:gutter="0"/>
          <w:pgNumType w:start="1"/>
          <w:cols w:space="720" w:num="1"/>
          <w:docGrid w:type="lines" w:linePitch="312" w:charSpace="0"/>
        </w:sectPr>
      </w:pPr>
      <w:bookmarkStart w:id="0" w:name="_Toc129942521"/>
    </w:p>
    <w:bookmarkEnd w:id="0"/>
    <w:p w14:paraId="5F514F64">
      <w:pPr>
        <w:spacing w:line="360" w:lineRule="auto"/>
        <w:jc w:val="center"/>
        <w:outlineLvl w:val="0"/>
        <w:rPr>
          <w:rFonts w:hint="eastAsia" w:ascii="仿宋" w:hAnsi="仿宋" w:eastAsia="仿宋" w:cs="仿宋"/>
          <w:b/>
          <w:bCs/>
          <w:color w:val="auto"/>
          <w:sz w:val="28"/>
          <w:szCs w:val="32"/>
          <w:highlight w:val="none"/>
        </w:rPr>
      </w:pPr>
      <w:bookmarkStart w:id="1" w:name="_Toc9333"/>
      <w:bookmarkStart w:id="2" w:name="_Toc30844"/>
      <w:r>
        <w:rPr>
          <w:rFonts w:hint="eastAsia" w:ascii="仿宋" w:hAnsi="仿宋" w:eastAsia="仿宋" w:cs="仿宋"/>
          <w:b/>
          <w:bCs/>
          <w:color w:val="auto"/>
          <w:sz w:val="28"/>
          <w:szCs w:val="32"/>
          <w:highlight w:val="none"/>
          <w:lang w:val="en-US" w:eastAsia="zh-CN"/>
        </w:rPr>
        <w:t>竞争性</w:t>
      </w:r>
      <w:r>
        <w:rPr>
          <w:rFonts w:hint="eastAsia" w:ascii="仿宋" w:hAnsi="仿宋" w:eastAsia="仿宋" w:cs="仿宋"/>
          <w:b/>
          <w:bCs/>
          <w:color w:val="auto"/>
          <w:sz w:val="28"/>
          <w:szCs w:val="32"/>
          <w:highlight w:val="none"/>
        </w:rPr>
        <w:t>磋商公告</w:t>
      </w:r>
      <w:bookmarkEnd w:id="1"/>
      <w:bookmarkEnd w:id="2"/>
    </w:p>
    <w:p w14:paraId="7D4AC2E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                                         </w:t>
      </w:r>
    </w:p>
    <w:p w14:paraId="46B251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新疆农业大学正大门出入口、八区出入口及古城花园南侧老满城街出入口改造项目</w:t>
      </w:r>
      <w:r>
        <w:rPr>
          <w:rFonts w:hint="eastAsia" w:ascii="仿宋" w:hAnsi="仿宋" w:eastAsia="仿宋" w:cs="仿宋"/>
          <w:color w:val="auto"/>
          <w:sz w:val="24"/>
          <w:szCs w:val="24"/>
          <w:highlight w:val="none"/>
        </w:rPr>
        <w:t>的潜在供应商应在政采云平台线上获取获取采购文件，并于</w:t>
      </w:r>
      <w:r>
        <w:rPr>
          <w:rFonts w:hint="eastAsia" w:ascii="仿宋" w:hAnsi="仿宋" w:eastAsia="仿宋" w:cs="仿宋"/>
          <w:color w:val="auto"/>
          <w:sz w:val="24"/>
          <w:szCs w:val="24"/>
          <w:highlight w:val="none"/>
          <w:lang w:eastAsia="zh-CN"/>
        </w:rPr>
        <w:t>2026年07月23日11:00</w:t>
      </w:r>
      <w:r>
        <w:rPr>
          <w:rFonts w:hint="eastAsia" w:ascii="仿宋" w:hAnsi="仿宋" w:eastAsia="仿宋" w:cs="仿宋"/>
          <w:color w:val="auto"/>
          <w:sz w:val="24"/>
          <w:szCs w:val="24"/>
          <w:highlight w:val="none"/>
        </w:rPr>
        <w:t>（北京时间）前提交响应文件。</w:t>
      </w:r>
    </w:p>
    <w:p w14:paraId="297B009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2B79DBC8">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val="en-US" w:eastAsia="zh-CN"/>
        </w:rPr>
        <w:t>XJXSJ-2026(ZC)-408</w:t>
      </w:r>
    </w:p>
    <w:p w14:paraId="63BC9B2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新疆农业大学正大门出入口、八区出入口及古城花园南侧老满城街出入口改造项目</w:t>
      </w:r>
      <w:r>
        <w:rPr>
          <w:rFonts w:hint="eastAsia" w:ascii="仿宋" w:hAnsi="仿宋" w:eastAsia="仿宋" w:cs="仿宋"/>
          <w:color w:val="auto"/>
          <w:sz w:val="24"/>
          <w:szCs w:val="24"/>
          <w:highlight w:val="none"/>
        </w:rPr>
        <w:t> </w:t>
      </w:r>
    </w:p>
    <w:p w14:paraId="34450D9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 </w:t>
      </w:r>
    </w:p>
    <w:p w14:paraId="1D091FD3">
      <w:pPr>
        <w:spacing w:line="360" w:lineRule="auto"/>
        <w:ind w:firstLine="480" w:firstLineChars="200"/>
        <w:rPr>
          <w:rFonts w:hint="default" w:eastAsia="仿宋"/>
          <w:color w:val="auto"/>
          <w:highlight w:val="none"/>
          <w:lang w:val="en-US" w:eastAsia="zh-CN"/>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lang w:val="en-US" w:eastAsia="zh-CN"/>
        </w:rPr>
        <w:t>650000.00</w:t>
      </w:r>
    </w:p>
    <w:p w14:paraId="7B0749D6">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24"/>
          <w:highlight w:val="none"/>
          <w:lang w:val="en-US" w:eastAsia="zh-CN"/>
        </w:rPr>
        <w:t>649491.61</w:t>
      </w:r>
    </w:p>
    <w:p w14:paraId="2635E3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简要规格描述：</w:t>
      </w:r>
      <w:r>
        <w:rPr>
          <w:rFonts w:hint="eastAsia" w:ascii="仿宋" w:hAnsi="仿宋" w:eastAsia="仿宋" w:cs="仿宋"/>
          <w:color w:val="auto"/>
          <w:sz w:val="24"/>
          <w:szCs w:val="24"/>
          <w:highlight w:val="none"/>
          <w:lang w:val="en-US" w:eastAsia="zh-CN"/>
        </w:rPr>
        <w:t>新疆农业大学正大门出入口、八区出入口及古城花园南侧老满城街出入口改造</w:t>
      </w:r>
      <w:r>
        <w:rPr>
          <w:rFonts w:hint="eastAsia" w:ascii="仿宋" w:hAnsi="仿宋" w:eastAsia="仿宋" w:cs="仿宋"/>
          <w:color w:val="auto"/>
          <w:sz w:val="24"/>
          <w:szCs w:val="24"/>
          <w:highlight w:val="none"/>
        </w:rPr>
        <w:t>（详见工程量清单）   </w:t>
      </w:r>
    </w:p>
    <w:p w14:paraId="154B0851">
      <w:pPr>
        <w:spacing w:line="360" w:lineRule="auto"/>
        <w:ind w:firstLine="480" w:firstLineChars="200"/>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合同履约期限：</w:t>
      </w:r>
      <w:r>
        <w:rPr>
          <w:rFonts w:hint="eastAsia" w:ascii="仿宋" w:hAnsi="仿宋" w:eastAsia="仿宋" w:cs="仿宋"/>
          <w:color w:val="auto"/>
          <w:sz w:val="24"/>
          <w:szCs w:val="24"/>
          <w:highlight w:val="none"/>
          <w:lang w:val="en-US" w:eastAsia="zh-CN"/>
        </w:rPr>
        <w:t>自合同签订之日起30日历日</w:t>
      </w:r>
    </w:p>
    <w:p w14:paraId="261A93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  </w:t>
      </w:r>
    </w:p>
    <w:p w14:paraId="56EF8E4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eastAsia="zh-CN"/>
        </w:rPr>
        <w:t>供应商的资格要求</w:t>
      </w:r>
      <w:r>
        <w:rPr>
          <w:rFonts w:hint="eastAsia" w:ascii="仿宋" w:hAnsi="仿宋" w:eastAsia="仿宋" w:cs="仿宋"/>
          <w:color w:val="auto"/>
          <w:sz w:val="24"/>
          <w:szCs w:val="24"/>
          <w:highlight w:val="none"/>
        </w:rPr>
        <w:t>：</w:t>
      </w:r>
    </w:p>
    <w:p w14:paraId="0973F66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C66EE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2、供应商为中小企业。</w:t>
      </w:r>
    </w:p>
    <w:p w14:paraId="1D6EA354">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p w14:paraId="0FDEAC64">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、供应商须具备：</w:t>
      </w:r>
      <w:r>
        <w:rPr>
          <w:rFonts w:hint="eastAsia" w:ascii="仿宋" w:hAnsi="仿宋" w:eastAsia="仿宋" w:cs="仿宋"/>
          <w:color w:val="auto"/>
          <w:kern w:val="0"/>
          <w:sz w:val="24"/>
          <w:szCs w:val="24"/>
          <w:highlight w:val="none"/>
          <w:lang w:eastAsia="zh-CN"/>
        </w:rPr>
        <w:t>建筑工程（总承包企业资质）三级及以上资质</w:t>
      </w:r>
      <w:r>
        <w:rPr>
          <w:rFonts w:hint="eastAsia" w:ascii="仿宋" w:hAnsi="仿宋" w:eastAsia="仿宋" w:cs="仿宋"/>
          <w:color w:val="auto"/>
          <w:kern w:val="0"/>
          <w:sz w:val="24"/>
          <w:szCs w:val="24"/>
          <w:highlight w:val="none"/>
        </w:rPr>
        <w:t>。</w:t>
      </w:r>
    </w:p>
    <w:p w14:paraId="613829BA">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供应商须具备有效的安全生产许可证。</w:t>
      </w:r>
    </w:p>
    <w:p w14:paraId="63493BEC">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供应商名称必须与营业执照、资质证书、安全生产许可证中的企业名称保持一致。</w:t>
      </w:r>
    </w:p>
    <w:p w14:paraId="760DDF3A">
      <w:pPr>
        <w:widowControl/>
        <w:shd w:val="clear" w:color="auto" w:fill="FFFFFF"/>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、项目负责人要求：注册建造师（建筑工程专业）二级及以上，本单位注册</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且具备有效的安全生产考核合格证书（B类）。</w:t>
      </w:r>
    </w:p>
    <w:p w14:paraId="20BEF58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三、获取采购文件</w:t>
      </w:r>
    </w:p>
    <w:p w14:paraId="1A5E59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lang w:eastAsia="zh-CN"/>
        </w:rPr>
        <w:t>日至2026年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，每天上午00:00至1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:00，下午1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:00至23:59（北京时间，法定节假日除外）</w:t>
      </w:r>
    </w:p>
    <w:p w14:paraId="2CCE57A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 </w:t>
      </w:r>
    </w:p>
    <w:p w14:paraId="31DC90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方式：供应商登录政采云平台https://www.zcygov.cn/在线申请获取采购文件（进入“项目采购”应用，在获取采购文件菜单中选择项目，申请获取采购文件） </w:t>
      </w:r>
    </w:p>
    <w:p w14:paraId="7BA066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 0 </w:t>
      </w:r>
    </w:p>
    <w:p w14:paraId="2705FC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四、响应文件提交 </w:t>
      </w:r>
    </w:p>
    <w:p w14:paraId="391B3B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2026年07月23日11:00</w:t>
      </w:r>
      <w:r>
        <w:rPr>
          <w:rFonts w:hint="eastAsia" w:ascii="仿宋" w:hAnsi="仿宋" w:eastAsia="仿宋" w:cs="仿宋"/>
          <w:color w:val="auto"/>
          <w:sz w:val="24"/>
          <w:szCs w:val="24"/>
          <w:highlight w:val="none"/>
        </w:rPr>
        <w:t>（北京时间）</w:t>
      </w:r>
    </w:p>
    <w:p w14:paraId="773487D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地点：请登录政采云投标客户端投标 </w:t>
      </w:r>
    </w:p>
    <w:p w14:paraId="19DC68F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五、响应文件开启 </w:t>
      </w:r>
    </w:p>
    <w:p w14:paraId="43B8B11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开启时间：</w:t>
      </w:r>
      <w:r>
        <w:rPr>
          <w:rFonts w:hint="eastAsia" w:ascii="仿宋" w:hAnsi="仿宋" w:eastAsia="仿宋" w:cs="仿宋"/>
          <w:color w:val="auto"/>
          <w:sz w:val="24"/>
          <w:szCs w:val="24"/>
          <w:highlight w:val="none"/>
          <w:lang w:eastAsia="zh-CN"/>
        </w:rPr>
        <w:t>2026年07月23日11:00</w:t>
      </w:r>
      <w:r>
        <w:rPr>
          <w:rFonts w:hint="eastAsia" w:ascii="仿宋" w:hAnsi="仿宋" w:eastAsia="仿宋" w:cs="仿宋"/>
          <w:color w:val="auto"/>
          <w:sz w:val="24"/>
          <w:szCs w:val="24"/>
          <w:highlight w:val="none"/>
        </w:rPr>
        <w:t>（北京时间）</w:t>
      </w:r>
    </w:p>
    <w:p w14:paraId="4CD1EA30">
      <w:pPr>
        <w:spacing w:line="360" w:lineRule="auto"/>
        <w:ind w:firstLine="480" w:firstLineChars="20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地点：</w:t>
      </w:r>
      <w:r>
        <w:rPr>
          <w:rFonts w:hint="eastAsia" w:ascii="仿宋" w:hAnsi="仿宋" w:eastAsia="仿宋" w:cs="仿宋"/>
          <w:color w:val="auto"/>
          <w:sz w:val="24"/>
          <w:szCs w:val="32"/>
          <w:highlight w:val="none"/>
          <w:lang w:val="en-US" w:eastAsia="zh-CN"/>
        </w:rPr>
        <w:t>供应商</w:t>
      </w:r>
      <w:r>
        <w:rPr>
          <w:rFonts w:hint="eastAsia" w:ascii="仿宋" w:hAnsi="仿宋" w:eastAsia="仿宋" w:cs="仿宋"/>
          <w:color w:val="auto"/>
          <w:sz w:val="24"/>
          <w:szCs w:val="32"/>
          <w:highlight w:val="none"/>
        </w:rPr>
        <w:t>登录政采云平台https://www.zcygov.cn/，进入“项目采购-开标评标-右边选择对应项目点击“进入项目”进入开标大厅。 </w:t>
      </w:r>
    </w:p>
    <w:p w14:paraId="7642B3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六、公告期限</w:t>
      </w:r>
    </w:p>
    <w:p w14:paraId="3918BD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自本公告发布之日起3个工作日。</w:t>
      </w:r>
    </w:p>
    <w:p w14:paraId="31E3333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七、凡对本次</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提出询问，请按以下方式联系</w:t>
      </w:r>
    </w:p>
    <w:p w14:paraId="0A4B88A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354CA198">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3686117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址：乌鲁木齐市农大东路311号</w:t>
      </w:r>
    </w:p>
    <w:p w14:paraId="6E27759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18199811604</w:t>
      </w:r>
    </w:p>
    <w:p w14:paraId="094430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7634F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347406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w:t>
      </w:r>
      <w:r>
        <w:rPr>
          <w:rFonts w:hint="eastAsia" w:ascii="仿宋" w:hAnsi="仿宋" w:eastAsia="仿宋" w:cs="仿宋"/>
          <w:color w:val="auto"/>
          <w:sz w:val="24"/>
          <w:szCs w:val="24"/>
          <w:highlight w:val="none"/>
          <w:lang w:val="en-US" w:eastAsia="zh-CN"/>
        </w:rPr>
        <w:t>水磨沟区</w:t>
      </w:r>
      <w:r>
        <w:rPr>
          <w:rFonts w:hint="eastAsia" w:ascii="仿宋" w:hAnsi="仿宋" w:eastAsia="仿宋" w:cs="仿宋"/>
          <w:color w:val="auto"/>
          <w:sz w:val="24"/>
          <w:szCs w:val="24"/>
          <w:highlight w:val="none"/>
        </w:rPr>
        <w:t>新兴街20号</w:t>
      </w:r>
    </w:p>
    <w:p w14:paraId="1A0C6F7C">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18690890996</w:t>
      </w:r>
    </w:p>
    <w:p w14:paraId="6044A5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6333756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马丹阳</w:t>
      </w:r>
    </w:p>
    <w:p w14:paraId="36987CE1">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话：0991-4661782</w:t>
      </w:r>
    </w:p>
    <w:p w14:paraId="749ECDF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1894BFC">
      <w:pPr>
        <w:spacing w:line="440" w:lineRule="exact"/>
        <w:jc w:val="center"/>
        <w:outlineLvl w:val="0"/>
        <w:rPr>
          <w:rFonts w:ascii="仿宋" w:hAnsi="仿宋" w:eastAsia="仿宋" w:cs="仿宋"/>
          <w:b/>
          <w:bCs/>
          <w:color w:val="auto"/>
          <w:sz w:val="24"/>
          <w:szCs w:val="24"/>
          <w:highlight w:val="none"/>
          <w:shd w:val="clear" w:color="auto" w:fill="FFFFFF" w:themeFill="background1"/>
        </w:rPr>
      </w:pPr>
      <w:bookmarkStart w:id="3" w:name="_Toc5849"/>
      <w:r>
        <w:rPr>
          <w:rFonts w:hint="eastAsia" w:ascii="仿宋" w:hAnsi="仿宋" w:eastAsia="仿宋" w:cs="仿宋"/>
          <w:b/>
          <w:color w:val="auto"/>
          <w:sz w:val="24"/>
          <w:szCs w:val="24"/>
          <w:highlight w:val="none"/>
        </w:rPr>
        <w:t>供应商须知前附表</w:t>
      </w:r>
      <w:bookmarkEnd w:id="3"/>
      <w:bookmarkStart w:id="4" w:name="_BookMark_3"/>
      <w:bookmarkEnd w:id="4"/>
    </w:p>
    <w:tbl>
      <w:tblPr>
        <w:tblStyle w:val="49"/>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795"/>
        <w:gridCol w:w="6688"/>
      </w:tblGrid>
      <w:tr w14:paraId="6B26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50F8FD76">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项号</w:t>
            </w:r>
          </w:p>
        </w:tc>
        <w:tc>
          <w:tcPr>
            <w:tcW w:w="8483" w:type="dxa"/>
            <w:gridSpan w:val="2"/>
            <w:vAlign w:val="center"/>
          </w:tcPr>
          <w:p w14:paraId="5E303AAF">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编列内容</w:t>
            </w:r>
          </w:p>
        </w:tc>
      </w:tr>
      <w:tr w14:paraId="06B49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5D805C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w:t>
            </w:r>
          </w:p>
        </w:tc>
        <w:tc>
          <w:tcPr>
            <w:tcW w:w="1795" w:type="dxa"/>
            <w:vAlign w:val="center"/>
          </w:tcPr>
          <w:p w14:paraId="626CAB3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项目名称</w:t>
            </w:r>
          </w:p>
        </w:tc>
        <w:tc>
          <w:tcPr>
            <w:tcW w:w="6688" w:type="dxa"/>
            <w:vAlign w:val="center"/>
          </w:tcPr>
          <w:p w14:paraId="01E9B66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新疆农业大学正大门出入口、八区出入口及古城花园南侧老满城街出入口改造项目</w:t>
            </w:r>
          </w:p>
        </w:tc>
      </w:tr>
      <w:tr w14:paraId="6BD1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84B63B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EDB1F3A">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项目编号</w:t>
            </w:r>
          </w:p>
        </w:tc>
        <w:tc>
          <w:tcPr>
            <w:tcW w:w="6688" w:type="dxa"/>
            <w:vAlign w:val="center"/>
          </w:tcPr>
          <w:p w14:paraId="73AFDEB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XJXSJ-2026(ZC)-408</w:t>
            </w:r>
          </w:p>
        </w:tc>
      </w:tr>
      <w:tr w14:paraId="61FED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953311D">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D4857AD">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采购人</w:t>
            </w:r>
          </w:p>
        </w:tc>
        <w:tc>
          <w:tcPr>
            <w:tcW w:w="6688" w:type="dxa"/>
            <w:vAlign w:val="bottom"/>
          </w:tcPr>
          <w:p w14:paraId="553D5C9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w:t>
            </w:r>
          </w:p>
        </w:tc>
      </w:tr>
      <w:tr w14:paraId="74661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658189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877A07B">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w:t>
            </w:r>
          </w:p>
        </w:tc>
        <w:tc>
          <w:tcPr>
            <w:tcW w:w="6688" w:type="dxa"/>
            <w:vAlign w:val="center"/>
          </w:tcPr>
          <w:p w14:paraId="504D6908">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新疆新世纪招标有限公司</w:t>
            </w:r>
          </w:p>
        </w:tc>
      </w:tr>
      <w:tr w14:paraId="5290F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FECD8F5">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8EA89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项目地点</w:t>
            </w:r>
          </w:p>
        </w:tc>
        <w:tc>
          <w:tcPr>
            <w:tcW w:w="6688" w:type="dxa"/>
            <w:vAlign w:val="center"/>
          </w:tcPr>
          <w:p w14:paraId="4E205B5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乌鲁木齐市</w:t>
            </w:r>
          </w:p>
        </w:tc>
      </w:tr>
      <w:tr w14:paraId="12216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157D4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1FABFF5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资金来源</w:t>
            </w:r>
          </w:p>
        </w:tc>
        <w:tc>
          <w:tcPr>
            <w:tcW w:w="6688" w:type="dxa"/>
            <w:vAlign w:val="center"/>
          </w:tcPr>
          <w:p w14:paraId="1E087C6B">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default" w:ascii="仿宋" w:hAnsi="仿宋" w:eastAsia="仿宋" w:cs="仿宋"/>
                <w:color w:val="auto"/>
                <w:kern w:val="0"/>
                <w:szCs w:val="21"/>
                <w:highlight w:val="none"/>
                <w:shd w:val="clear" w:color="auto" w:fill="FFFFFF" w:themeFill="background1"/>
                <w:lang w:val="en-US" w:eastAsia="zh-CN"/>
              </w:rPr>
              <w:t>校级专项经费</w:t>
            </w:r>
          </w:p>
        </w:tc>
      </w:tr>
      <w:tr w14:paraId="08097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390438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C846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采购预算金额</w:t>
            </w:r>
          </w:p>
        </w:tc>
        <w:tc>
          <w:tcPr>
            <w:tcW w:w="6688" w:type="dxa"/>
            <w:vAlign w:val="center"/>
          </w:tcPr>
          <w:p w14:paraId="4B25E8F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650000.00</w:t>
            </w:r>
            <w:r>
              <w:rPr>
                <w:rFonts w:hint="eastAsia" w:ascii="仿宋" w:hAnsi="仿宋" w:eastAsia="仿宋" w:cs="仿宋"/>
                <w:color w:val="auto"/>
                <w:kern w:val="0"/>
                <w:szCs w:val="21"/>
                <w:highlight w:val="none"/>
                <w:shd w:val="clear" w:color="auto" w:fill="FFFFFF" w:themeFill="background1"/>
              </w:rPr>
              <w:t>元</w:t>
            </w:r>
          </w:p>
        </w:tc>
      </w:tr>
      <w:tr w14:paraId="3125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DE47FD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3833AC3F">
            <w:pPr>
              <w:keepNext/>
              <w:widowControl/>
              <w:spacing w:line="240" w:lineRule="auto"/>
              <w:jc w:val="distribut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最高限价</w:t>
            </w:r>
          </w:p>
        </w:tc>
        <w:tc>
          <w:tcPr>
            <w:tcW w:w="6688" w:type="dxa"/>
            <w:vAlign w:val="center"/>
          </w:tcPr>
          <w:p w14:paraId="471F5C03">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649491.61元</w:t>
            </w:r>
          </w:p>
        </w:tc>
      </w:tr>
      <w:tr w14:paraId="38C3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6F58C3C">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7E1D76F">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承包方式</w:t>
            </w:r>
          </w:p>
        </w:tc>
        <w:tc>
          <w:tcPr>
            <w:tcW w:w="6688" w:type="dxa"/>
            <w:vAlign w:val="center"/>
          </w:tcPr>
          <w:p w14:paraId="5B541DBD">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包工包料</w:t>
            </w:r>
          </w:p>
        </w:tc>
      </w:tr>
      <w:tr w14:paraId="6BE80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62D49B6">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72364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质量要求</w:t>
            </w:r>
          </w:p>
        </w:tc>
        <w:tc>
          <w:tcPr>
            <w:tcW w:w="6688" w:type="dxa"/>
            <w:vAlign w:val="center"/>
          </w:tcPr>
          <w:p w14:paraId="7D0C0FA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合格</w:t>
            </w:r>
          </w:p>
        </w:tc>
      </w:tr>
      <w:tr w14:paraId="347D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30A3072">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0D46D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工期</w:t>
            </w:r>
          </w:p>
        </w:tc>
        <w:tc>
          <w:tcPr>
            <w:tcW w:w="6688" w:type="dxa"/>
            <w:vAlign w:val="center"/>
          </w:tcPr>
          <w:p w14:paraId="175A131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自合同签订之日起30日历日</w:t>
            </w:r>
          </w:p>
        </w:tc>
      </w:tr>
      <w:tr w14:paraId="2F017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0" w:hRule="atLeast"/>
          <w:jc w:val="center"/>
        </w:trPr>
        <w:tc>
          <w:tcPr>
            <w:tcW w:w="597" w:type="dxa"/>
            <w:vAlign w:val="center"/>
          </w:tcPr>
          <w:p w14:paraId="5C77376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w:t>
            </w:r>
          </w:p>
        </w:tc>
        <w:tc>
          <w:tcPr>
            <w:tcW w:w="1795" w:type="dxa"/>
            <w:vAlign w:val="center"/>
          </w:tcPr>
          <w:p w14:paraId="6EE670F7">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采购范围</w:t>
            </w:r>
          </w:p>
        </w:tc>
        <w:tc>
          <w:tcPr>
            <w:tcW w:w="6688" w:type="dxa"/>
            <w:vAlign w:val="center"/>
          </w:tcPr>
          <w:p w14:paraId="2A12288B">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全套施工图纸及工程量清单范围内的全部工作内容（包括</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补充及答疑等工作内容）。</w:t>
            </w:r>
          </w:p>
        </w:tc>
      </w:tr>
      <w:tr w14:paraId="7A84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323ABE38">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w:t>
            </w:r>
          </w:p>
        </w:tc>
        <w:tc>
          <w:tcPr>
            <w:tcW w:w="1795" w:type="dxa"/>
            <w:vAlign w:val="center"/>
          </w:tcPr>
          <w:p w14:paraId="727F65B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采购方式</w:t>
            </w:r>
          </w:p>
        </w:tc>
        <w:tc>
          <w:tcPr>
            <w:tcW w:w="6688" w:type="dxa"/>
            <w:vAlign w:val="center"/>
          </w:tcPr>
          <w:p w14:paraId="638E526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竞争性磋商</w:t>
            </w:r>
          </w:p>
        </w:tc>
      </w:tr>
      <w:tr w14:paraId="4749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01453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C7A6ED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资格审查方式</w:t>
            </w:r>
          </w:p>
        </w:tc>
        <w:tc>
          <w:tcPr>
            <w:tcW w:w="6688" w:type="dxa"/>
            <w:vAlign w:val="center"/>
          </w:tcPr>
          <w:p w14:paraId="1748E674">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资格后审</w:t>
            </w:r>
          </w:p>
        </w:tc>
      </w:tr>
      <w:tr w14:paraId="59674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0CBF2293">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w:t>
            </w:r>
          </w:p>
        </w:tc>
        <w:tc>
          <w:tcPr>
            <w:tcW w:w="1795" w:type="dxa"/>
            <w:vAlign w:val="center"/>
          </w:tcPr>
          <w:p w14:paraId="599C73B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评审办法</w:t>
            </w:r>
          </w:p>
        </w:tc>
        <w:tc>
          <w:tcPr>
            <w:tcW w:w="6688" w:type="dxa"/>
            <w:vAlign w:val="center"/>
          </w:tcPr>
          <w:p w14:paraId="13DF719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综合评分法</w:t>
            </w:r>
          </w:p>
        </w:tc>
      </w:tr>
      <w:tr w14:paraId="61D1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55C9B9B">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0DD3431">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计价方式</w:t>
            </w:r>
          </w:p>
        </w:tc>
        <w:tc>
          <w:tcPr>
            <w:tcW w:w="6688" w:type="dxa"/>
            <w:vAlign w:val="center"/>
          </w:tcPr>
          <w:p w14:paraId="52B4FBEB">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highlight w:val="none"/>
              </w:rPr>
              <w:t>工程量清单计价</w:t>
            </w:r>
          </w:p>
        </w:tc>
      </w:tr>
      <w:tr w14:paraId="5D0FA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6A0AC0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B0101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成交候选人</w:t>
            </w:r>
          </w:p>
        </w:tc>
        <w:tc>
          <w:tcPr>
            <w:tcW w:w="6688" w:type="dxa"/>
            <w:vAlign w:val="center"/>
          </w:tcPr>
          <w:p w14:paraId="74B11A2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磋商小组推荐三名成交候选人</w:t>
            </w:r>
          </w:p>
        </w:tc>
      </w:tr>
      <w:tr w14:paraId="5F48E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775E47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w:t>
            </w:r>
          </w:p>
        </w:tc>
        <w:tc>
          <w:tcPr>
            <w:tcW w:w="1795" w:type="dxa"/>
            <w:shd w:val="clear" w:color="auto" w:fill="auto"/>
            <w:vAlign w:val="center"/>
          </w:tcPr>
          <w:p w14:paraId="1D5CA773">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供应商的资格要求</w:t>
            </w:r>
          </w:p>
        </w:tc>
        <w:tc>
          <w:tcPr>
            <w:tcW w:w="6688" w:type="dxa"/>
            <w:shd w:val="clear" w:color="auto" w:fill="auto"/>
            <w:vAlign w:val="center"/>
          </w:tcPr>
          <w:p w14:paraId="21B0E5B3">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1、满足《中华人民共和国政府采购法》第二十二条规定。</w:t>
            </w:r>
          </w:p>
          <w:p w14:paraId="1A3BAA8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2、供应商为中小企业。</w:t>
            </w:r>
          </w:p>
          <w:p w14:paraId="34E3314C">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3、供应商如在“信用中国”网站（www.creditchina.gov.cn）、中国政府采购网（www.ccgp.gov.cn）等渠道被列入失信被执行人、重大税收违法失信主体、政府采购严重违法失信行为记录名单，尚在处罚期内的将被拒绝参加本次采购活动。</w:t>
            </w:r>
          </w:p>
          <w:p w14:paraId="31D05F3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4、供应商须具备：建筑工程（总承包企业资质）三级及以上资质。</w:t>
            </w:r>
          </w:p>
          <w:p w14:paraId="12A800F2">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5、供应商须具备有效的安全生产许可证。</w:t>
            </w:r>
          </w:p>
          <w:p w14:paraId="140EC778">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6、供应商名称必须与营业执照、资质证书、安全生产许可证中的企业名称保持一致。</w:t>
            </w:r>
          </w:p>
          <w:p w14:paraId="25865FD2">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7、项目负责人要求：注册建造师（建筑工程专业）二级及以上，本单位注册；且具备有效的安全生产考核合格证书（B类）。</w:t>
            </w:r>
          </w:p>
        </w:tc>
      </w:tr>
      <w:tr w14:paraId="71A6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1A112AEF">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6</w:t>
            </w:r>
          </w:p>
        </w:tc>
        <w:tc>
          <w:tcPr>
            <w:tcW w:w="1795" w:type="dxa"/>
            <w:shd w:val="clear" w:color="auto" w:fill="auto"/>
            <w:vAlign w:val="center"/>
          </w:tcPr>
          <w:p w14:paraId="01C747AB">
            <w:pPr>
              <w:keepNext/>
              <w:keepLines w:val="0"/>
              <w:pageBreakBefore w:val="0"/>
              <w:widowControl/>
              <w:kinsoku/>
              <w:wordWrap/>
              <w:overflowPunct/>
              <w:topLinePunct w:val="0"/>
              <w:autoSpaceDE/>
              <w:autoSpaceDN/>
              <w:bidi w:val="0"/>
              <w:adjustRightInd/>
              <w:snapToGrid/>
              <w:spacing w:beforeAutospacing="0" w:afterAutospacing="0" w:line="240" w:lineRule="auto"/>
              <w:jc w:val="distribute"/>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供应商不得存在的情形</w:t>
            </w:r>
          </w:p>
        </w:tc>
        <w:tc>
          <w:tcPr>
            <w:tcW w:w="6688" w:type="dxa"/>
            <w:shd w:val="clear" w:color="auto" w:fill="auto"/>
            <w:vAlign w:val="center"/>
          </w:tcPr>
          <w:p w14:paraId="38CB86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rPr>
              <w:t>本项目不接受联合体。</w:t>
            </w:r>
          </w:p>
          <w:p w14:paraId="26CCD2E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2、</w:t>
            </w:r>
            <w:r>
              <w:rPr>
                <w:rFonts w:hint="eastAsia" w:ascii="仿宋" w:hAnsi="仿宋" w:eastAsia="仿宋" w:cs="仿宋"/>
                <w:color w:val="auto"/>
                <w:kern w:val="0"/>
                <w:szCs w:val="21"/>
                <w:highlight w:val="none"/>
                <w:shd w:val="clear" w:color="auto" w:fill="FFFFFF" w:themeFill="background1"/>
              </w:rPr>
              <w:t>为采购项目提供整体设计、规范编制或者项目管理、监理、检测等服务的供应商，不得再参加该采购项目的其他采购活动</w:t>
            </w:r>
            <w:r>
              <w:rPr>
                <w:rFonts w:hint="eastAsia" w:ascii="仿宋" w:hAnsi="仿宋" w:eastAsia="仿宋" w:cs="仿宋"/>
                <w:color w:val="auto"/>
                <w:kern w:val="0"/>
                <w:szCs w:val="21"/>
                <w:highlight w:val="none"/>
                <w:shd w:val="clear" w:color="auto" w:fill="FFFFFF" w:themeFill="background1"/>
                <w:lang w:eastAsia="zh-CN"/>
              </w:rPr>
              <w:t>。</w:t>
            </w:r>
          </w:p>
          <w:p w14:paraId="77668AB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lang w:val="en-US" w:eastAsia="zh-CN"/>
              </w:rPr>
              <w:t>3、</w:t>
            </w:r>
            <w:r>
              <w:rPr>
                <w:rFonts w:hint="eastAsia" w:ascii="仿宋" w:hAnsi="仿宋" w:eastAsia="仿宋" w:cs="仿宋"/>
                <w:color w:val="auto"/>
                <w:kern w:val="0"/>
                <w:szCs w:val="21"/>
                <w:highlight w:val="none"/>
                <w:shd w:val="clear" w:color="auto" w:fill="FFFFFF" w:themeFill="background1"/>
              </w:rPr>
              <w:t>单位负责人为同一人或者存在直接控股、管理关系的不同供应商不得参加本项目同一包的采购活动。</w:t>
            </w:r>
          </w:p>
          <w:p w14:paraId="74E96F9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val="en-US" w:eastAsia="zh-CN"/>
              </w:rPr>
              <w:t>4、</w:t>
            </w:r>
            <w:r>
              <w:rPr>
                <w:rFonts w:hint="eastAsia" w:ascii="仿宋" w:hAnsi="仿宋" w:eastAsia="仿宋" w:cs="仿宋"/>
                <w:color w:val="auto"/>
                <w:kern w:val="0"/>
                <w:szCs w:val="21"/>
                <w:highlight w:val="none"/>
                <w:shd w:val="clear" w:color="auto" w:fill="FFFFFF" w:themeFill="background1"/>
              </w:rPr>
              <w:t>供应商处于被责令停业、财产被接管、冻结和破产状态，以及</w:t>
            </w:r>
            <w:r>
              <w:rPr>
                <w:rFonts w:hint="eastAsia" w:ascii="仿宋" w:hAnsi="仿宋" w:eastAsia="仿宋" w:cs="仿宋"/>
                <w:color w:val="auto"/>
                <w:kern w:val="0"/>
                <w:szCs w:val="21"/>
                <w:highlight w:val="none"/>
                <w:shd w:val="clear" w:color="auto" w:fill="FFFFFF" w:themeFill="background1"/>
                <w:lang w:eastAsia="zh-CN"/>
              </w:rPr>
              <w:t>响应资格</w:t>
            </w:r>
            <w:r>
              <w:rPr>
                <w:rFonts w:hint="eastAsia" w:ascii="仿宋" w:hAnsi="仿宋" w:eastAsia="仿宋" w:cs="仿宋"/>
                <w:color w:val="auto"/>
                <w:kern w:val="0"/>
                <w:szCs w:val="21"/>
                <w:highlight w:val="none"/>
                <w:shd w:val="clear" w:color="auto" w:fill="FFFFFF" w:themeFill="background1"/>
              </w:rPr>
              <w:t>被取消或者被暂停且在暂停期内</w:t>
            </w:r>
            <w:r>
              <w:rPr>
                <w:rFonts w:hint="eastAsia" w:ascii="仿宋" w:hAnsi="仿宋" w:eastAsia="仿宋" w:cs="仿宋"/>
                <w:color w:val="auto"/>
                <w:kern w:val="0"/>
                <w:szCs w:val="21"/>
                <w:highlight w:val="none"/>
                <w:shd w:val="clear" w:color="auto" w:fill="FFFFFF" w:themeFill="background1"/>
                <w:lang w:eastAsia="zh-CN"/>
              </w:rPr>
              <w:t>。</w:t>
            </w:r>
          </w:p>
          <w:p w14:paraId="2E08E2A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0"/>
                <w:szCs w:val="21"/>
                <w:highlight w:val="none"/>
                <w:shd w:val="clear" w:color="auto" w:fill="FFFFFF" w:themeFill="background1"/>
                <w:lang w:val="en-US" w:eastAsia="zh-CN"/>
              </w:rPr>
              <w:t>5、法律法规及采购文件规定的其他情形。</w:t>
            </w:r>
          </w:p>
        </w:tc>
      </w:tr>
      <w:tr w14:paraId="2AC8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4D667915">
            <w:pPr>
              <w:spacing w:line="240" w:lineRule="auto"/>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7</w:t>
            </w:r>
          </w:p>
        </w:tc>
        <w:tc>
          <w:tcPr>
            <w:tcW w:w="1795" w:type="dxa"/>
            <w:shd w:val="clear" w:color="auto" w:fill="auto"/>
            <w:vAlign w:val="center"/>
          </w:tcPr>
          <w:p w14:paraId="5C2A9341">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费</w:t>
            </w:r>
          </w:p>
        </w:tc>
        <w:tc>
          <w:tcPr>
            <w:tcW w:w="6688" w:type="dxa"/>
            <w:shd w:val="clear" w:color="auto" w:fill="auto"/>
            <w:vAlign w:val="center"/>
          </w:tcPr>
          <w:p w14:paraId="34FDCE45">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0元/份</w:t>
            </w:r>
          </w:p>
        </w:tc>
      </w:tr>
      <w:tr w14:paraId="4EBF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36302D6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8</w:t>
            </w:r>
          </w:p>
        </w:tc>
        <w:tc>
          <w:tcPr>
            <w:tcW w:w="1795" w:type="dxa"/>
            <w:shd w:val="clear" w:color="auto" w:fill="auto"/>
            <w:vAlign w:val="center"/>
          </w:tcPr>
          <w:p w14:paraId="69B5F0BB">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响应保证金</w:t>
            </w:r>
          </w:p>
        </w:tc>
        <w:tc>
          <w:tcPr>
            <w:tcW w:w="6688" w:type="dxa"/>
            <w:shd w:val="clear" w:color="auto" w:fill="auto"/>
            <w:vAlign w:val="center"/>
          </w:tcPr>
          <w:p w14:paraId="16EEA756">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lang w:val="en-US" w:eastAsia="zh-CN"/>
              </w:rPr>
              <w:t>金额：12800.00元</w:t>
            </w:r>
          </w:p>
          <w:p w14:paraId="342595B4">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2、提交截止时间：同响应文件递交截止时间</w:t>
            </w:r>
          </w:p>
          <w:p w14:paraId="6A41B92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3、提交形式：</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rPr>
              <w:t>以支票、汇票、本票或者金融机构、担保机构出具的保函等非现金形式提交至采购代理机构。</w:t>
            </w:r>
          </w:p>
          <w:p w14:paraId="421A5C2C">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4、银行账户信息</w:t>
            </w:r>
          </w:p>
          <w:p w14:paraId="194AD7E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639A0E7F">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5、供应商在提交响应保证金时需备注项目名称简称。</w:t>
            </w:r>
          </w:p>
        </w:tc>
      </w:tr>
      <w:tr w14:paraId="60B3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7401464">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9</w:t>
            </w:r>
          </w:p>
        </w:tc>
        <w:tc>
          <w:tcPr>
            <w:tcW w:w="1795" w:type="dxa"/>
            <w:shd w:val="clear" w:color="auto" w:fill="auto"/>
            <w:vAlign w:val="center"/>
          </w:tcPr>
          <w:p w14:paraId="15B5A047">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现场踏勘</w:t>
            </w:r>
          </w:p>
        </w:tc>
        <w:tc>
          <w:tcPr>
            <w:tcW w:w="6688" w:type="dxa"/>
            <w:shd w:val="clear" w:color="auto" w:fill="auto"/>
            <w:vAlign w:val="center"/>
          </w:tcPr>
          <w:p w14:paraId="26149D2C">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不组织</w:t>
            </w:r>
          </w:p>
        </w:tc>
      </w:tr>
      <w:tr w14:paraId="4B8D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548D998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10</w:t>
            </w:r>
          </w:p>
        </w:tc>
        <w:tc>
          <w:tcPr>
            <w:tcW w:w="1795" w:type="dxa"/>
            <w:shd w:val="clear" w:color="auto" w:fill="auto"/>
            <w:vAlign w:val="center"/>
          </w:tcPr>
          <w:p w14:paraId="58AB1501">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采购答疑</w:t>
            </w:r>
          </w:p>
        </w:tc>
        <w:tc>
          <w:tcPr>
            <w:tcW w:w="6688" w:type="dxa"/>
            <w:shd w:val="clear" w:color="auto" w:fill="auto"/>
            <w:vAlign w:val="center"/>
          </w:tcPr>
          <w:p w14:paraId="5F28F8EE">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1、不召开答疑会。</w:t>
            </w:r>
          </w:p>
          <w:p w14:paraId="785EE4C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2、提出询问的，应当在响应文件递交截止时间6日前以书面形式（加盖公章）递交至新疆新世纪招标有限公司，否则采购人不作任何解释。</w:t>
            </w:r>
          </w:p>
          <w:p w14:paraId="6F067876">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提出质疑的，应当在获取</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或者</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公告期限届满之日起7个工作日内一次性以书面形式（按照财政部制定的质疑函范本编写）提出并递交至采购代理机构。</w:t>
            </w:r>
          </w:p>
          <w:p w14:paraId="7EA55ECA">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质疑接收人：</w:t>
            </w:r>
            <w:r>
              <w:rPr>
                <w:rFonts w:hint="eastAsia" w:ascii="仿宋" w:hAnsi="仿宋" w:eastAsia="仿宋" w:cs="仿宋"/>
                <w:color w:val="auto"/>
                <w:kern w:val="0"/>
                <w:szCs w:val="21"/>
                <w:highlight w:val="none"/>
                <w:shd w:val="clear" w:color="auto" w:fill="FFFFFF" w:themeFill="background1"/>
                <w:lang w:eastAsia="zh-CN"/>
              </w:rPr>
              <w:t>马丹阳</w:t>
            </w:r>
            <w:r>
              <w:rPr>
                <w:rFonts w:hint="eastAsia" w:ascii="仿宋" w:hAnsi="仿宋" w:eastAsia="仿宋" w:cs="仿宋"/>
                <w:color w:val="auto"/>
                <w:kern w:val="0"/>
                <w:szCs w:val="21"/>
                <w:highlight w:val="none"/>
                <w:shd w:val="clear" w:color="auto" w:fill="FFFFFF" w:themeFill="background1"/>
              </w:rPr>
              <w:t>；联系方式：</w:t>
            </w:r>
            <w:r>
              <w:rPr>
                <w:rFonts w:hint="eastAsia" w:ascii="仿宋" w:hAnsi="仿宋" w:eastAsia="仿宋" w:cs="仿宋"/>
                <w:color w:val="auto"/>
                <w:kern w:val="0"/>
                <w:szCs w:val="21"/>
                <w:highlight w:val="none"/>
                <w:shd w:val="clear" w:color="auto" w:fill="FFFFFF" w:themeFill="background1"/>
                <w:lang w:eastAsia="zh-CN"/>
              </w:rPr>
              <w:t>0991-4661782</w:t>
            </w:r>
            <w:r>
              <w:rPr>
                <w:rFonts w:hint="eastAsia" w:ascii="仿宋" w:hAnsi="仿宋" w:eastAsia="仿宋" w:cs="仿宋"/>
                <w:color w:val="auto"/>
                <w:kern w:val="0"/>
                <w:szCs w:val="21"/>
                <w:highlight w:val="none"/>
                <w:shd w:val="clear" w:color="auto" w:fill="FFFFFF" w:themeFill="background1"/>
              </w:rPr>
              <w:t>。</w:t>
            </w:r>
          </w:p>
          <w:p w14:paraId="6ED21B4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4、注：①、供应商必须在法定质疑期内一次性提出针对同一采购程序环节的质疑；供应商投诉的事项不得超出已质疑事项的范围。②、供应商在国家法律规定的时间内未提出书面疑问，视为对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的资格条件、评审方法、合同文本、工程量清单等所有内容无异议。</w:t>
            </w:r>
          </w:p>
        </w:tc>
      </w:tr>
      <w:tr w14:paraId="6C847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331EA0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11</w:t>
            </w:r>
          </w:p>
        </w:tc>
        <w:tc>
          <w:tcPr>
            <w:tcW w:w="1795" w:type="dxa"/>
            <w:shd w:val="clear" w:color="auto" w:fill="auto"/>
            <w:vAlign w:val="center"/>
          </w:tcPr>
          <w:p w14:paraId="56572794">
            <w:pPr>
              <w:keepNext/>
              <w:widowControl/>
              <w:spacing w:line="22" w:lineRule="atLeast"/>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w:t>
            </w:r>
          </w:p>
        </w:tc>
        <w:tc>
          <w:tcPr>
            <w:tcW w:w="6688" w:type="dxa"/>
            <w:shd w:val="clear" w:color="auto" w:fill="auto"/>
            <w:vAlign w:val="center"/>
          </w:tcPr>
          <w:p w14:paraId="3571CC07">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次采购采用电子交易方式，电子交易平台为“政采云平台（https://www.zcygov.cn/）”。供应商参与本项目电子交易活动前，应注册成为政府采购云平台正式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或</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 xml:space="preserve">失败等后果由供应商自行承担。 </w:t>
            </w:r>
          </w:p>
          <w:p w14:paraId="27D8B399">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2、加密的电子响应文件须在响应文件递交截止时间前通过政采云平台上传完成。逾期上传或者未上传至指定地点的响应文件，不予受理。</w:t>
            </w:r>
          </w:p>
          <w:p w14:paraId="3197EC50">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3、供应商在开标前须提前配置好电脑浏览器，开标时请使用制作加密电子响应文件的CA锁进行解密及报价确认。</w:t>
            </w:r>
          </w:p>
          <w:p w14:paraId="0DCB5712">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4、不见面开标默认解密时长：30分钟；除因交易平台发生故障导致响应文件无法按时解密外，响应文件未按时解密的，视为未按规定提交响应文件，响应无效。</w:t>
            </w:r>
          </w:p>
          <w:p w14:paraId="00F58A6F">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w:t>
            </w:r>
            <w:r>
              <w:rPr>
                <w:rFonts w:hint="eastAsia" w:ascii="仿宋" w:hAnsi="仿宋" w:eastAsia="仿宋" w:cs="仿宋"/>
                <w:color w:val="auto"/>
                <w:kern w:val="0"/>
                <w:szCs w:val="21"/>
                <w:highlight w:val="none"/>
                <w:shd w:val="clear" w:color="auto" w:fill="FFFFFF" w:themeFill="background1"/>
              </w:rPr>
              <w:t>、如遇电子交易平台的交易规则调整，以最新要求为准。</w:t>
            </w:r>
          </w:p>
        </w:tc>
      </w:tr>
      <w:tr w14:paraId="147C0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ED9E387">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12</w:t>
            </w:r>
          </w:p>
        </w:tc>
        <w:tc>
          <w:tcPr>
            <w:tcW w:w="1795" w:type="dxa"/>
            <w:shd w:val="clear" w:color="auto" w:fill="auto"/>
            <w:vAlign w:val="center"/>
          </w:tcPr>
          <w:p w14:paraId="3A9C3212">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响应文件递交</w:t>
            </w:r>
          </w:p>
        </w:tc>
        <w:tc>
          <w:tcPr>
            <w:tcW w:w="6688" w:type="dxa"/>
            <w:shd w:val="clear" w:color="auto" w:fill="auto"/>
            <w:vAlign w:val="center"/>
          </w:tcPr>
          <w:p w14:paraId="3280BFA3">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截止时间：</w:t>
            </w:r>
            <w:r>
              <w:rPr>
                <w:rFonts w:hint="eastAsia" w:ascii="仿宋" w:hAnsi="仿宋" w:eastAsia="仿宋" w:cs="仿宋"/>
                <w:color w:val="auto"/>
                <w:kern w:val="0"/>
                <w:szCs w:val="21"/>
                <w:highlight w:val="none"/>
                <w:u w:val="single"/>
                <w:shd w:val="clear" w:color="auto" w:fill="FFFFFF" w:themeFill="background1"/>
                <w:lang w:eastAsia="zh-CN"/>
              </w:rPr>
              <w:t>2026年07月23日11:00</w:t>
            </w:r>
            <w:r>
              <w:rPr>
                <w:rFonts w:hint="eastAsia" w:ascii="仿宋" w:hAnsi="仿宋" w:eastAsia="仿宋" w:cs="仿宋"/>
                <w:color w:val="auto"/>
                <w:kern w:val="0"/>
                <w:szCs w:val="21"/>
                <w:highlight w:val="none"/>
                <w:shd w:val="clear" w:color="auto" w:fill="FFFFFF" w:themeFill="background1"/>
              </w:rPr>
              <w:t>（北京时间）</w:t>
            </w:r>
          </w:p>
          <w:p w14:paraId="58E31445">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递交地点：政采云平台（https://www.zcygov.cn/）</w:t>
            </w:r>
          </w:p>
        </w:tc>
      </w:tr>
      <w:tr w14:paraId="30465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349174B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13</w:t>
            </w:r>
          </w:p>
        </w:tc>
        <w:tc>
          <w:tcPr>
            <w:tcW w:w="1795" w:type="dxa"/>
            <w:shd w:val="clear" w:color="auto" w:fill="auto"/>
            <w:vAlign w:val="center"/>
          </w:tcPr>
          <w:p w14:paraId="2180FA26">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开启</w:t>
            </w:r>
          </w:p>
        </w:tc>
        <w:tc>
          <w:tcPr>
            <w:tcW w:w="6688" w:type="dxa"/>
            <w:shd w:val="clear" w:color="auto" w:fill="auto"/>
            <w:vAlign w:val="center"/>
          </w:tcPr>
          <w:p w14:paraId="14F82FC4">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u w:val="singl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时间：</w:t>
            </w:r>
            <w:r>
              <w:rPr>
                <w:rFonts w:hint="eastAsia" w:ascii="仿宋" w:hAnsi="仿宋" w:eastAsia="仿宋" w:cs="仿宋"/>
                <w:color w:val="auto"/>
                <w:kern w:val="0"/>
                <w:szCs w:val="21"/>
                <w:highlight w:val="none"/>
                <w:u w:val="single"/>
                <w:shd w:val="clear" w:color="auto" w:fill="FFFFFF" w:themeFill="background1"/>
                <w:lang w:eastAsia="zh-CN"/>
              </w:rPr>
              <w:t>2026年07月23日11:00</w:t>
            </w:r>
            <w:r>
              <w:rPr>
                <w:rFonts w:hint="eastAsia" w:ascii="仿宋" w:hAnsi="仿宋" w:eastAsia="仿宋" w:cs="仿宋"/>
                <w:color w:val="auto"/>
                <w:kern w:val="0"/>
                <w:szCs w:val="21"/>
                <w:highlight w:val="none"/>
                <w:shd w:val="clear" w:color="auto" w:fill="FFFFFF" w:themeFill="background1"/>
              </w:rPr>
              <w:t>（北京时间）</w:t>
            </w:r>
          </w:p>
          <w:p w14:paraId="338BC52A">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地点：政采云平台（https://www.zcygov.cn/）</w:t>
            </w:r>
          </w:p>
        </w:tc>
      </w:tr>
      <w:tr w14:paraId="5AC1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B607E98">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14</w:t>
            </w:r>
          </w:p>
        </w:tc>
        <w:tc>
          <w:tcPr>
            <w:tcW w:w="1795" w:type="dxa"/>
            <w:shd w:val="clear" w:color="auto" w:fill="auto"/>
            <w:vAlign w:val="center"/>
          </w:tcPr>
          <w:p w14:paraId="111BA6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响应有效期</w:t>
            </w:r>
          </w:p>
        </w:tc>
        <w:tc>
          <w:tcPr>
            <w:tcW w:w="6688" w:type="dxa"/>
            <w:shd w:val="clear" w:color="auto" w:fill="auto"/>
            <w:vAlign w:val="center"/>
          </w:tcPr>
          <w:p w14:paraId="75A3408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自</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截止之日90日历日</w:t>
            </w:r>
          </w:p>
        </w:tc>
      </w:tr>
      <w:tr w14:paraId="5B4E8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25" w:hRule="atLeast"/>
          <w:jc w:val="center"/>
        </w:trPr>
        <w:tc>
          <w:tcPr>
            <w:tcW w:w="597" w:type="dxa"/>
            <w:shd w:val="clear" w:color="auto" w:fill="auto"/>
            <w:vAlign w:val="center"/>
          </w:tcPr>
          <w:p w14:paraId="530C517C">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15</w:t>
            </w:r>
          </w:p>
        </w:tc>
        <w:tc>
          <w:tcPr>
            <w:tcW w:w="1795" w:type="dxa"/>
            <w:shd w:val="clear" w:color="auto" w:fill="auto"/>
            <w:vAlign w:val="center"/>
          </w:tcPr>
          <w:p w14:paraId="60FD64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公告发布媒体</w:t>
            </w:r>
          </w:p>
        </w:tc>
        <w:tc>
          <w:tcPr>
            <w:tcW w:w="6688" w:type="dxa"/>
            <w:shd w:val="clear" w:color="auto" w:fill="auto"/>
            <w:vAlign w:val="center"/>
          </w:tcPr>
          <w:p w14:paraId="7CB53544">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highlight w:val="none"/>
                <w:lang w:eastAsia="zh-CN"/>
              </w:rPr>
              <w:t>新疆政府采购网</w:t>
            </w:r>
          </w:p>
        </w:tc>
      </w:tr>
      <w:tr w14:paraId="26447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68B36E4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16</w:t>
            </w:r>
          </w:p>
        </w:tc>
        <w:tc>
          <w:tcPr>
            <w:tcW w:w="1795" w:type="dxa"/>
            <w:shd w:val="clear" w:color="auto" w:fill="auto"/>
            <w:vAlign w:val="center"/>
          </w:tcPr>
          <w:p w14:paraId="3557ED28">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履约保证金</w:t>
            </w:r>
          </w:p>
        </w:tc>
        <w:tc>
          <w:tcPr>
            <w:tcW w:w="6688" w:type="dxa"/>
            <w:shd w:val="clear" w:color="auto" w:fill="auto"/>
            <w:vAlign w:val="center"/>
          </w:tcPr>
          <w:p w14:paraId="0FE130AB">
            <w:pPr>
              <w:keepNext/>
              <w:keepLines w:val="0"/>
              <w:pageBreakBefore w:val="0"/>
              <w:widowControl/>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1、履约保证金金额：</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w:t>
            </w:r>
          </w:p>
          <w:p w14:paraId="659F93F3">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应当以支票、汇票、本票或者金融机构、担保机构出具的保函等非现金形式提交履约保证金。</w:t>
            </w:r>
          </w:p>
        </w:tc>
      </w:tr>
      <w:tr w14:paraId="642CF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10749BD6">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17</w:t>
            </w:r>
          </w:p>
        </w:tc>
        <w:tc>
          <w:tcPr>
            <w:tcW w:w="1795" w:type="dxa"/>
            <w:shd w:val="clear" w:color="auto" w:fill="auto"/>
            <w:vAlign w:val="center"/>
          </w:tcPr>
          <w:p w14:paraId="78D97C74">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中小企业政策说明</w:t>
            </w:r>
          </w:p>
        </w:tc>
        <w:tc>
          <w:tcPr>
            <w:tcW w:w="6688" w:type="dxa"/>
            <w:shd w:val="clear" w:color="auto" w:fill="auto"/>
            <w:vAlign w:val="center"/>
          </w:tcPr>
          <w:p w14:paraId="74F90705">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中小企业，是指在中华人民共和国境内依法设立，依据国务院批准的中小企业划分标准确定的中型企业、小型企业和微型企业。</w:t>
            </w:r>
          </w:p>
          <w:p w14:paraId="5D34D2C9">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符合中小企业划分标准的个体工商户，在政府采购活动中视同中小企业；残疾人福利性单位和监狱企业视同为小型、微型企业。</w:t>
            </w:r>
          </w:p>
          <w:p w14:paraId="2D09D02A">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、根据“关于印发中小企业划型标准规定的通知(工信部联企业〔2011〕300号)”等有关规定，本项目标的所属行业为建筑业。</w:t>
            </w:r>
          </w:p>
        </w:tc>
      </w:tr>
      <w:tr w14:paraId="6E3BE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4427C2A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18</w:t>
            </w:r>
          </w:p>
        </w:tc>
        <w:tc>
          <w:tcPr>
            <w:tcW w:w="1795" w:type="dxa"/>
            <w:shd w:val="clear" w:color="auto" w:fill="auto"/>
            <w:vAlign w:val="center"/>
          </w:tcPr>
          <w:p w14:paraId="2FC476FD">
            <w:pPr>
              <w:keepNext/>
              <w:widowControl/>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是否允许分包</w:t>
            </w:r>
          </w:p>
        </w:tc>
        <w:tc>
          <w:tcPr>
            <w:tcW w:w="6688" w:type="dxa"/>
            <w:shd w:val="clear" w:color="auto" w:fill="auto"/>
            <w:vAlign w:val="center"/>
          </w:tcPr>
          <w:p w14:paraId="0857899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不允许分包</w:t>
            </w:r>
          </w:p>
          <w:p w14:paraId="66F1569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允许分包,要求：</w:t>
            </w:r>
            <w:r>
              <w:rPr>
                <w:rFonts w:hint="eastAsia" w:ascii="仿宋" w:hAnsi="仿宋" w:eastAsia="仿宋" w:cs="仿宋"/>
                <w:color w:val="auto"/>
                <w:kern w:val="0"/>
                <w:szCs w:val="21"/>
                <w:highlight w:val="none"/>
                <w:u w:val="single"/>
                <w:lang w:val="en-US" w:eastAsia="zh-CN"/>
              </w:rPr>
              <w:t xml:space="preserve">  /  </w:t>
            </w:r>
          </w:p>
        </w:tc>
      </w:tr>
      <w:tr w14:paraId="7EFE7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0E39B4F">
            <w:pPr>
              <w:spacing w:line="24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19</w:t>
            </w:r>
          </w:p>
        </w:tc>
        <w:tc>
          <w:tcPr>
            <w:tcW w:w="1795" w:type="dxa"/>
            <w:shd w:val="clear" w:color="auto" w:fill="auto"/>
            <w:vAlign w:val="center"/>
          </w:tcPr>
          <w:p w14:paraId="5740E554">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说明</w:t>
            </w:r>
          </w:p>
        </w:tc>
        <w:tc>
          <w:tcPr>
            <w:tcW w:w="6688" w:type="dxa"/>
            <w:shd w:val="clear" w:color="auto" w:fill="auto"/>
            <w:vAlign w:val="center"/>
          </w:tcPr>
          <w:p w14:paraId="3FB115EE">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1、采购文件中所述政策法规、标准规范等文件，如有新文件则按新文件执行，如已废止则仅为参考。</w:t>
            </w:r>
          </w:p>
          <w:p w14:paraId="164FB438">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2、供应商须根据采购文件要求在响应文件中提供评审所需的相应证明材料复印件。</w:t>
            </w:r>
          </w:p>
          <w:p w14:paraId="353C3989">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3、最低报价不能作为中标的保证。</w:t>
            </w:r>
          </w:p>
          <w:p w14:paraId="7F0FC6A4">
            <w:pPr>
              <w:keepNext/>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 w:val="21"/>
                <w:szCs w:val="21"/>
                <w:highlight w:val="none"/>
                <w:lang w:val="en-US" w:eastAsia="zh-CN" w:bidi="ar-SA"/>
              </w:rPr>
              <w:t>、本表内容如与后文内容不一致处，以本表为准。</w:t>
            </w:r>
          </w:p>
        </w:tc>
      </w:tr>
    </w:tbl>
    <w:p w14:paraId="352609C0">
      <w:pPr>
        <w:spacing w:line="360" w:lineRule="auto"/>
        <w:jc w:val="center"/>
        <w:outlineLvl w:val="0"/>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5" w:name="_Toc3604"/>
      <w:bookmarkStart w:id="6" w:name="_Toc22827"/>
      <w:r>
        <w:rPr>
          <w:rFonts w:hint="eastAsia" w:ascii="仿宋" w:hAnsi="仿宋" w:eastAsia="仿宋" w:cs="仿宋"/>
          <w:b/>
          <w:color w:val="auto"/>
          <w:sz w:val="24"/>
          <w:szCs w:val="24"/>
          <w:highlight w:val="none"/>
          <w:shd w:val="clear" w:color="auto" w:fill="FFFFFF" w:themeFill="background1"/>
        </w:rPr>
        <w:t>第一章 供应商须知</w:t>
      </w:r>
      <w:bookmarkEnd w:id="5"/>
      <w:bookmarkEnd w:id="6"/>
      <w:bookmarkStart w:id="7" w:name="_BookMark_2"/>
      <w:bookmarkEnd w:id="7"/>
    </w:p>
    <w:p w14:paraId="6FE2025F">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8" w:name="_Toc27768"/>
      <w:bookmarkStart w:id="9" w:name="_Toc9818"/>
      <w:r>
        <w:rPr>
          <w:rFonts w:hint="eastAsia" w:ascii="仿宋" w:hAnsi="仿宋" w:eastAsia="仿宋" w:cs="仿宋"/>
          <w:b w:val="0"/>
          <w:bCs w:val="0"/>
          <w:color w:val="auto"/>
          <w:sz w:val="24"/>
          <w:szCs w:val="24"/>
          <w:highlight w:val="none"/>
          <w:lang w:val="en-US" w:eastAsia="zh-CN"/>
        </w:rPr>
        <w:t>一、</w:t>
      </w:r>
      <w:r>
        <w:rPr>
          <w:rFonts w:hint="eastAsia" w:ascii="仿宋" w:hAnsi="仿宋" w:eastAsia="仿宋" w:cs="仿宋"/>
          <w:b w:val="0"/>
          <w:bCs w:val="0"/>
          <w:color w:val="auto"/>
          <w:sz w:val="24"/>
          <w:szCs w:val="24"/>
          <w:highlight w:val="none"/>
        </w:rPr>
        <w:t>总则</w:t>
      </w:r>
      <w:bookmarkEnd w:id="8"/>
      <w:bookmarkEnd w:id="9"/>
    </w:p>
    <w:p w14:paraId="491E2A0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 采购项目概况</w:t>
      </w:r>
    </w:p>
    <w:p w14:paraId="37B0936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 项目名称：见供应商须知前附表。</w:t>
      </w:r>
    </w:p>
    <w:p w14:paraId="67E089F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1.1.2项目编号：见供应商须知前附表。</w:t>
      </w:r>
    </w:p>
    <w:p w14:paraId="117A79F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1.1.3采购人：见供应商须知前附表。</w:t>
      </w:r>
    </w:p>
    <w:p w14:paraId="6B82106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1.1.4采购代理机构：见供应商须知前附表。</w:t>
      </w:r>
    </w:p>
    <w:p w14:paraId="3CFC2F8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1.1.5项目地点：见供应商须知前附表。</w:t>
      </w:r>
    </w:p>
    <w:p w14:paraId="10B5ED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1.1.6资金来源：见供应商须知前附表。</w:t>
      </w:r>
    </w:p>
    <w:p w14:paraId="1717C91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1.1.7采购预算金额：见供应商须知前附表。</w:t>
      </w:r>
    </w:p>
    <w:p w14:paraId="5654668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：见供应商须知前附表。</w:t>
      </w:r>
    </w:p>
    <w:p w14:paraId="456840F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1.1.9承包方式：见供应商须知前附表。</w:t>
      </w:r>
    </w:p>
    <w:p w14:paraId="06138E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1.1.10质量要求：见供应商须知前附表。</w:t>
      </w:r>
    </w:p>
    <w:p w14:paraId="00805D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1.1.11工期：见供应商须知前附表。</w:t>
      </w:r>
    </w:p>
    <w:p w14:paraId="6FFF25B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1.2采购范围：见供应商须知前附表。</w:t>
      </w:r>
    </w:p>
    <w:p w14:paraId="0AC9A7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 采购方式和资格审查方式</w:t>
      </w:r>
    </w:p>
    <w:p w14:paraId="0DD19D0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1.3.1 采购方式：见供应商须知前附表。</w:t>
      </w:r>
    </w:p>
    <w:p w14:paraId="7646F6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1.3.2 资格审查方式：见供应商须知前附表。</w:t>
      </w:r>
    </w:p>
    <w:p w14:paraId="5BB6042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 评审办法、计价方式及成交候选人</w:t>
      </w:r>
    </w:p>
    <w:p w14:paraId="263ED9D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1.4.1 评审办法：见供应商须知前附表。</w:t>
      </w:r>
    </w:p>
    <w:p w14:paraId="2014A1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1.4.2计价方式：见供应商须知前附表。</w:t>
      </w:r>
    </w:p>
    <w:p w14:paraId="5B7D148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1.4.3成交候选人：见供应商须知前附表。</w:t>
      </w:r>
    </w:p>
    <w:p w14:paraId="7914657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：见供应商须知前附表。</w:t>
      </w:r>
    </w:p>
    <w:p w14:paraId="1E03C13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 </w:t>
      </w:r>
      <w:r>
        <w:rPr>
          <w:rFonts w:hint="eastAsia" w:ascii="仿宋" w:hAnsi="仿宋" w:eastAsia="仿宋" w:cs="仿宋"/>
          <w:b w:val="0"/>
          <w:bCs w:val="0"/>
          <w:color w:val="auto"/>
          <w:sz w:val="24"/>
          <w:szCs w:val="24"/>
          <w:highlight w:val="none"/>
          <w:lang w:val="en-US" w:eastAsia="zh-CN"/>
        </w:rPr>
        <w:t>供应商不得存在的情形</w:t>
      </w:r>
      <w:r>
        <w:rPr>
          <w:rFonts w:hint="eastAsia" w:ascii="仿宋" w:hAnsi="仿宋" w:eastAsia="仿宋" w:cs="仿宋"/>
          <w:b w:val="0"/>
          <w:bCs w:val="0"/>
          <w:color w:val="auto"/>
          <w:sz w:val="24"/>
          <w:szCs w:val="24"/>
          <w:highlight w:val="none"/>
        </w:rPr>
        <w:t>：见供应商须知前附表。</w:t>
      </w:r>
    </w:p>
    <w:p w14:paraId="759F00C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1.7费用承担</w:t>
      </w:r>
    </w:p>
    <w:p w14:paraId="19BD936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1.7.1</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费：见供应商须知前附表。</w:t>
      </w:r>
    </w:p>
    <w:p w14:paraId="336AA2F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1.7.2供应商应承担其编制响应文件与递交响应文件所涉及的一切费用，无论响应结果如何，采购人及采购代理机构对上述费用不作任何补偿。采购代理咨询费由成交供应商支付。</w:t>
      </w:r>
    </w:p>
    <w:p w14:paraId="429002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1.8</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：见供应商须知前附表。</w:t>
      </w:r>
    </w:p>
    <w:p w14:paraId="231760C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1.9现场踏勘</w:t>
      </w:r>
    </w:p>
    <w:p w14:paraId="4B0D8B9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1.9.1 供应商须知前附表规定组织踏勘现场的，采购人或采购代理机构按供应商须知前附表规定的时间、地点组织供应商踏勘项目现场。 </w:t>
      </w:r>
    </w:p>
    <w:p w14:paraId="32586A2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1.9.2 供应商踏勘现场发生的费用自理。</w:t>
      </w:r>
    </w:p>
    <w:p w14:paraId="5F1E49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1.9.3 除采购人或采购代理机构的原因外，供应商自行负责在踏勘现场中所发生的人员伤亡和财产损失。</w:t>
      </w:r>
    </w:p>
    <w:p w14:paraId="32BCE44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1.9.4 采购人或采购代理机构在踏勘现场中介绍的项目有关情况，供应商在编制响应文件时参考，采购人或采购代理机构不对供应商据此作出的判断和决策负责。</w:t>
      </w:r>
    </w:p>
    <w:p w14:paraId="69FB307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 采购答疑</w:t>
      </w:r>
    </w:p>
    <w:p w14:paraId="074D9D1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1.10.1 供应商须知前附表规定召开答疑会的，采购人或采购代理机构按照供应商须知前附表规定的时间和地点召开答疑会，澄清供应商提出的问题。</w:t>
      </w:r>
    </w:p>
    <w:p w14:paraId="4913A6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1.10.2 供应商若有疑问，应按规定的时间、方式向采购人或采购代理机构提出，要求采购人对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9D039B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1.10.3 采购人或采购代理机构将按规定的时间方式对供应商的疑问作出统一的解答。</w:t>
      </w:r>
    </w:p>
    <w:p w14:paraId="1B611F9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1.11响应文件：见供应商须知前附表。</w:t>
      </w:r>
    </w:p>
    <w:p w14:paraId="18A685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1.12响应文件递交：见供应商须知前附表。</w:t>
      </w:r>
    </w:p>
    <w:p w14:paraId="0FB0BAA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w:t>
      </w:r>
      <w:r>
        <w:rPr>
          <w:rFonts w:hint="eastAsia" w:ascii="仿宋" w:hAnsi="仿宋" w:eastAsia="仿宋" w:cs="仿宋"/>
          <w:b w:val="0"/>
          <w:bCs w:val="0"/>
          <w:color w:val="auto"/>
          <w:sz w:val="24"/>
          <w:szCs w:val="24"/>
          <w:highlight w:val="none"/>
          <w:lang w:eastAsia="zh-CN"/>
        </w:rPr>
        <w:t>开启</w:t>
      </w:r>
      <w:r>
        <w:rPr>
          <w:rFonts w:hint="eastAsia" w:ascii="仿宋" w:hAnsi="仿宋" w:eastAsia="仿宋" w:cs="仿宋"/>
          <w:b w:val="0"/>
          <w:bCs w:val="0"/>
          <w:color w:val="auto"/>
          <w:sz w:val="24"/>
          <w:szCs w:val="24"/>
          <w:highlight w:val="none"/>
        </w:rPr>
        <w:t>：见供应商须知前附表。</w:t>
      </w:r>
    </w:p>
    <w:p w14:paraId="673612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1.14响应有效期：见供应商须知前附表。</w:t>
      </w:r>
    </w:p>
    <w:p w14:paraId="34735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1.15公告发布媒体：见供应商须知前附表。</w:t>
      </w:r>
    </w:p>
    <w:p w14:paraId="0F2DF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1.16履约保证金：见供应商须知前附表。</w:t>
      </w:r>
    </w:p>
    <w:p w14:paraId="58AA161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1.17中小企业政策说明：见供应商须知前附表。</w:t>
      </w:r>
    </w:p>
    <w:p w14:paraId="323D83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1.18分包：见供应商须知前附表。</w:t>
      </w:r>
    </w:p>
    <w:p w14:paraId="685D5CD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保密</w:t>
      </w:r>
    </w:p>
    <w:p w14:paraId="0E33A71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参与采购活动的各方应当对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和响应文件中的商业和技术等秘密保密，否则应当承担相应的法律责任。</w:t>
      </w:r>
    </w:p>
    <w:p w14:paraId="1B3F659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语言文字</w:t>
      </w:r>
    </w:p>
    <w:p w14:paraId="136F19F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除专用术语外，与</w:t>
      </w:r>
      <w:r>
        <w:rPr>
          <w:rFonts w:hint="eastAsia" w:ascii="仿宋" w:hAnsi="仿宋" w:eastAsia="仿宋" w:cs="仿宋"/>
          <w:b w:val="0"/>
          <w:bCs w:val="0"/>
          <w:color w:val="auto"/>
          <w:sz w:val="24"/>
          <w:szCs w:val="24"/>
          <w:highlight w:val="none"/>
          <w:lang w:val="en-US" w:eastAsia="zh-CN"/>
        </w:rPr>
        <w:t>采购活动</w:t>
      </w:r>
      <w:r>
        <w:rPr>
          <w:rFonts w:hint="eastAsia" w:ascii="仿宋" w:hAnsi="仿宋" w:eastAsia="仿宋" w:cs="仿宋"/>
          <w:b w:val="0"/>
          <w:bCs w:val="0"/>
          <w:color w:val="auto"/>
          <w:sz w:val="24"/>
          <w:szCs w:val="24"/>
          <w:highlight w:val="none"/>
        </w:rPr>
        <w:t>有关的语言均应当使用中文。必要时专用术语应附有中文注释。</w:t>
      </w:r>
    </w:p>
    <w:p w14:paraId="7A1089B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 xml:space="preserve"> 计量单位</w:t>
      </w:r>
    </w:p>
    <w:p w14:paraId="69F858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所有计量均采用中华人民共和国法定计量单位。</w:t>
      </w:r>
    </w:p>
    <w:p w14:paraId="5A2C12C8">
      <w:pPr>
        <w:spacing w:line="360" w:lineRule="auto"/>
        <w:ind w:firstLine="480" w:firstLineChars="200"/>
        <w:outlineLvl w:val="1"/>
        <w:rPr>
          <w:rFonts w:hint="eastAsia" w:ascii="仿宋" w:hAnsi="仿宋" w:eastAsia="仿宋" w:cs="仿宋"/>
          <w:b w:val="0"/>
          <w:bCs w:val="0"/>
          <w:color w:val="auto"/>
          <w:sz w:val="24"/>
          <w:szCs w:val="24"/>
          <w:highlight w:val="none"/>
          <w:lang w:eastAsia="zh-CN"/>
        </w:rPr>
      </w:pPr>
      <w:bookmarkStart w:id="10" w:name="_Toc130"/>
      <w:bookmarkStart w:id="11" w:name="_Toc26646"/>
      <w:r>
        <w:rPr>
          <w:rFonts w:hint="eastAsia" w:ascii="仿宋" w:hAnsi="仿宋" w:eastAsia="仿宋" w:cs="仿宋"/>
          <w:b w:val="0"/>
          <w:bCs w:val="0"/>
          <w:color w:val="auto"/>
          <w:sz w:val="24"/>
          <w:szCs w:val="24"/>
          <w:highlight w:val="none"/>
          <w:lang w:val="en-US" w:eastAsia="zh-CN"/>
        </w:rPr>
        <w:t>二、</w:t>
      </w:r>
      <w:bookmarkEnd w:id="10"/>
      <w:r>
        <w:rPr>
          <w:rFonts w:hint="eastAsia" w:ascii="仿宋" w:hAnsi="仿宋" w:eastAsia="仿宋" w:cs="仿宋"/>
          <w:b w:val="0"/>
          <w:bCs w:val="0"/>
          <w:color w:val="auto"/>
          <w:sz w:val="24"/>
          <w:szCs w:val="24"/>
          <w:highlight w:val="none"/>
          <w:lang w:eastAsia="zh-CN"/>
        </w:rPr>
        <w:t>采购文件</w:t>
      </w:r>
      <w:bookmarkEnd w:id="11"/>
    </w:p>
    <w:p w14:paraId="3B82232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w:t>
      </w:r>
    </w:p>
    <w:p w14:paraId="348E7C42">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kern w:val="0"/>
          <w:sz w:val="24"/>
          <w:szCs w:val="24"/>
          <w:highlight w:val="none"/>
          <w:lang w:val="en-US" w:eastAsia="zh-CN"/>
        </w:rPr>
        <w:t>磋商</w:t>
      </w:r>
      <w:r>
        <w:rPr>
          <w:rFonts w:hint="eastAsia" w:ascii="仿宋" w:hAnsi="仿宋" w:eastAsia="仿宋" w:cs="仿宋"/>
          <w:b w:val="0"/>
          <w:bCs w:val="0"/>
          <w:color w:val="auto"/>
          <w:kern w:val="0"/>
          <w:sz w:val="24"/>
          <w:szCs w:val="24"/>
          <w:highlight w:val="none"/>
        </w:rPr>
        <w:t>公告</w:t>
      </w:r>
    </w:p>
    <w:p w14:paraId="5941CBFD">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须知前附表</w:t>
      </w:r>
    </w:p>
    <w:p w14:paraId="4C3B84D9">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w:t>
      </w:r>
    </w:p>
    <w:p w14:paraId="22644DCE">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w:t>
      </w:r>
      <w:r>
        <w:rPr>
          <w:rFonts w:hint="eastAsia" w:ascii="仿宋" w:hAnsi="仿宋" w:eastAsia="仿宋" w:cs="仿宋"/>
          <w:b w:val="0"/>
          <w:bCs w:val="0"/>
          <w:color w:val="auto"/>
          <w:kern w:val="0"/>
          <w:sz w:val="24"/>
          <w:szCs w:val="24"/>
          <w:highlight w:val="none"/>
          <w:lang w:val="en-US" w:eastAsia="zh-CN"/>
        </w:rPr>
        <w:t>评审</w:t>
      </w:r>
      <w:r>
        <w:rPr>
          <w:rFonts w:hint="eastAsia" w:ascii="仿宋" w:hAnsi="仿宋" w:eastAsia="仿宋" w:cs="仿宋"/>
          <w:b w:val="0"/>
          <w:bCs w:val="0"/>
          <w:color w:val="auto"/>
          <w:kern w:val="0"/>
          <w:sz w:val="24"/>
          <w:szCs w:val="24"/>
          <w:highlight w:val="none"/>
        </w:rPr>
        <w:t>办法</w:t>
      </w:r>
    </w:p>
    <w:p w14:paraId="7D098A8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（5）合同</w:t>
      </w:r>
      <w:r>
        <w:rPr>
          <w:rFonts w:hint="eastAsia" w:ascii="仿宋" w:hAnsi="仿宋" w:eastAsia="仿宋" w:cs="仿宋"/>
          <w:b w:val="0"/>
          <w:bCs w:val="0"/>
          <w:color w:val="auto"/>
          <w:kern w:val="0"/>
          <w:sz w:val="24"/>
          <w:szCs w:val="24"/>
          <w:highlight w:val="none"/>
          <w:lang w:val="en-US" w:eastAsia="zh-CN"/>
        </w:rPr>
        <w:t>文本</w:t>
      </w:r>
      <w:r>
        <w:rPr>
          <w:rFonts w:hint="eastAsia" w:ascii="仿宋" w:hAnsi="仿宋" w:eastAsia="仿宋" w:cs="仿宋"/>
          <w:b w:val="0"/>
          <w:bCs w:val="0"/>
          <w:color w:val="auto"/>
          <w:kern w:val="0"/>
          <w:sz w:val="24"/>
          <w:szCs w:val="24"/>
          <w:highlight w:val="none"/>
        </w:rPr>
        <w:t>；</w:t>
      </w:r>
    </w:p>
    <w:p w14:paraId="72158F0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w:t>
      </w:r>
      <w:r>
        <w:rPr>
          <w:rFonts w:hint="eastAsia" w:ascii="仿宋" w:hAnsi="仿宋" w:eastAsia="仿宋" w:cs="仿宋"/>
          <w:b w:val="0"/>
          <w:bCs w:val="0"/>
          <w:color w:val="auto"/>
          <w:sz w:val="24"/>
          <w:szCs w:val="24"/>
          <w:highlight w:val="none"/>
        </w:rPr>
        <w:t>技术标准和要求</w:t>
      </w:r>
      <w:r>
        <w:rPr>
          <w:rFonts w:hint="eastAsia" w:ascii="仿宋" w:hAnsi="仿宋" w:eastAsia="仿宋" w:cs="仿宋"/>
          <w:b w:val="0"/>
          <w:bCs w:val="0"/>
          <w:color w:val="auto"/>
          <w:kern w:val="0"/>
          <w:sz w:val="24"/>
          <w:szCs w:val="24"/>
          <w:highlight w:val="none"/>
        </w:rPr>
        <w:t>；</w:t>
      </w:r>
    </w:p>
    <w:p w14:paraId="401CDBC8">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（7）</w:t>
      </w:r>
      <w:r>
        <w:rPr>
          <w:rFonts w:hint="eastAsia" w:ascii="仿宋" w:hAnsi="仿宋" w:eastAsia="仿宋" w:cs="仿宋"/>
          <w:b w:val="0"/>
          <w:bCs w:val="0"/>
          <w:color w:val="auto"/>
          <w:kern w:val="0"/>
          <w:sz w:val="24"/>
          <w:szCs w:val="24"/>
          <w:highlight w:val="none"/>
          <w:lang w:val="en-US" w:eastAsia="zh-CN"/>
        </w:rPr>
        <w:t>响应</w:t>
      </w:r>
      <w:r>
        <w:rPr>
          <w:rFonts w:hint="eastAsia" w:ascii="仿宋" w:hAnsi="仿宋" w:eastAsia="仿宋" w:cs="仿宋"/>
          <w:b w:val="0"/>
          <w:bCs w:val="0"/>
          <w:color w:val="auto"/>
          <w:kern w:val="0"/>
          <w:sz w:val="24"/>
          <w:szCs w:val="24"/>
          <w:highlight w:val="none"/>
        </w:rPr>
        <w:t>文件格式；</w:t>
      </w:r>
    </w:p>
    <w:p w14:paraId="2E28523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（8）补充条款。</w:t>
      </w:r>
    </w:p>
    <w:p w14:paraId="579B463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根据本章第2.3款和第2.4款对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所作的澄清、修改，构成</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w:t>
      </w:r>
    </w:p>
    <w:p w14:paraId="2DA7605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的获取</w:t>
      </w:r>
    </w:p>
    <w:p w14:paraId="282050B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凡有意参加并符合供应商须知前附表“</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”的供应商，均可在采购代理机构获取</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w:t>
      </w:r>
    </w:p>
    <w:p w14:paraId="7DE3C40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w:t>
      </w:r>
    </w:p>
    <w:p w14:paraId="4D84732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2.3.1 供应商应当仔细阅读和检查</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的全部内容。如发现缺页或附件不全，应当及时向采购人提出，以便补齐。如有疑问，应当在供应商须知前附表规定的时间、方式向采购人提出，要求采购人对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E5120E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的澄清将按照供应商须知前附表规定的时间、方式发布，但不指明澄清问题的来源。</w:t>
      </w:r>
    </w:p>
    <w:p w14:paraId="5CB6DB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w:t>
      </w:r>
    </w:p>
    <w:p w14:paraId="4A47EE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的修改将按照供应商须知前附表规定的时间、方式发布，但不指明澄清问题的来源。</w:t>
      </w:r>
    </w:p>
    <w:p w14:paraId="1CA5E2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2.4.2 在供应商须知前附表规定的截止时间前，无论出于何种原因，采购代理机构和采购人可主动地或在解答潜在供应商提出的澄清问题时对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进行修改。</w:t>
      </w:r>
    </w:p>
    <w:p w14:paraId="572B32C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的修改部分是</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的组成部分对供应商具有约束力。</w:t>
      </w:r>
    </w:p>
    <w:p w14:paraId="3246EC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2.4.4 当采购人发放的</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及</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的答疑文件、修改文件、补充文件前后不一致，发生矛盾情况时，以最后发出的为准。</w:t>
      </w:r>
    </w:p>
    <w:p w14:paraId="770C09E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2.4.5 如果</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w:t>
      </w:r>
      <w:r>
        <w:rPr>
          <w:rFonts w:hint="eastAsia" w:ascii="仿宋" w:hAnsi="仿宋" w:eastAsia="仿宋" w:cs="仿宋"/>
          <w:b w:val="0"/>
          <w:bCs w:val="0"/>
          <w:color w:val="auto"/>
          <w:sz w:val="24"/>
          <w:szCs w:val="24"/>
          <w:highlight w:val="none"/>
          <w:lang w:eastAsia="zh-CN"/>
        </w:rPr>
        <w:t>响应过程</w:t>
      </w:r>
      <w:r>
        <w:rPr>
          <w:rFonts w:hint="eastAsia" w:ascii="仿宋" w:hAnsi="仿宋" w:eastAsia="仿宋" w:cs="仿宋"/>
          <w:b w:val="0"/>
          <w:bCs w:val="0"/>
          <w:color w:val="auto"/>
          <w:sz w:val="24"/>
          <w:szCs w:val="24"/>
          <w:highlight w:val="none"/>
        </w:rPr>
        <w:t>中未能发现并对有关歧义、矛盾或错误提出澄清请求，而在成交后发现并提出，成交供应商将必须接受由采购人依据合同有关条款而做出的书面澄清。</w:t>
      </w:r>
    </w:p>
    <w:p w14:paraId="7EE491A0">
      <w:pPr>
        <w:widowControl/>
        <w:shd w:val="clear" w:color="auto" w:fill="FFFFFF"/>
        <w:snapToGri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color w:val="auto"/>
          <w:kern w:val="0"/>
          <w:sz w:val="24"/>
          <w:szCs w:val="24"/>
          <w:highlight w:val="none"/>
          <w:lang w:val="en-US" w:eastAsia="zh-CN"/>
        </w:rPr>
        <w:t>2.5由于本项目采用电子招标方式，潜在供应商的名单将在提交响应文件截止时间后才会解密。因此，采购人或采购代理机构无法通过传统的传真或邮件方式，将招标文件的澄清或修改内容逐一通知到每位已获取招标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422AF088">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12" w:name="_BookMark_6"/>
      <w:bookmarkEnd w:id="12"/>
      <w:bookmarkStart w:id="13" w:name="_Toc18823"/>
      <w:bookmarkStart w:id="14" w:name="_Toc13802"/>
      <w:r>
        <w:rPr>
          <w:rFonts w:hint="eastAsia" w:ascii="仿宋" w:hAnsi="仿宋" w:eastAsia="仿宋" w:cs="仿宋"/>
          <w:b w:val="0"/>
          <w:bCs w:val="0"/>
          <w:color w:val="auto"/>
          <w:sz w:val="24"/>
          <w:szCs w:val="24"/>
          <w:highlight w:val="none"/>
          <w:lang w:val="en-US" w:eastAsia="zh-CN"/>
        </w:rPr>
        <w:t>三、</w:t>
      </w:r>
      <w:r>
        <w:rPr>
          <w:rFonts w:hint="eastAsia" w:ascii="仿宋" w:hAnsi="仿宋" w:eastAsia="仿宋" w:cs="仿宋"/>
          <w:b w:val="0"/>
          <w:bCs w:val="0"/>
          <w:color w:val="auto"/>
          <w:sz w:val="24"/>
          <w:szCs w:val="24"/>
          <w:highlight w:val="none"/>
        </w:rPr>
        <w:t>响应文件</w:t>
      </w:r>
      <w:bookmarkEnd w:id="13"/>
      <w:bookmarkEnd w:id="14"/>
    </w:p>
    <w:p w14:paraId="490EEDA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 响应文件的组成</w:t>
      </w:r>
    </w:p>
    <w:p w14:paraId="1F6F635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3.1.1响应文件应包括下列内容：</w:t>
      </w:r>
    </w:p>
    <w:p w14:paraId="14692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4F37E7B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6E205F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3D93D5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3FE6CC3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40F399B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0F9E24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1B9CE93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722516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1A28CC1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021FE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80A6D5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07E4798F">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shd w:val="clear" w:color="auto" w:fill="FFFFFF" w:themeFill="background1"/>
        </w:rPr>
        <w:t>保证金缴纳证明材料</w:t>
      </w:r>
    </w:p>
    <w:p w14:paraId="564FEC66">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fill="FFFFFF" w:themeFill="background1"/>
          <w:lang w:val="en-US" w:eastAsia="zh-CN" w:bidi="ar-SA"/>
        </w:rPr>
        <w:t>（14）</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其它需要提交的资料</w:t>
      </w:r>
    </w:p>
    <w:p w14:paraId="1F54FFE7">
      <w:pPr>
        <w:spacing w:line="360" w:lineRule="auto"/>
        <w:ind w:firstLine="480" w:firstLineChars="200"/>
        <w:outlineLvl w:val="9"/>
        <w:rPr>
          <w:rFonts w:hint="eastAsia" w:ascii="仿宋" w:hAnsi="仿宋" w:eastAsia="仿宋" w:cs="仿宋"/>
          <w:b w:val="0"/>
          <w:bCs w:val="0"/>
          <w:color w:val="auto"/>
          <w:sz w:val="24"/>
          <w:szCs w:val="24"/>
          <w:highlight w:val="none"/>
        </w:rPr>
      </w:pPr>
    </w:p>
    <w:p w14:paraId="7389986A">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3.2 </w:t>
      </w:r>
      <w:r>
        <w:rPr>
          <w:rFonts w:hint="eastAsia" w:ascii="仿宋" w:hAnsi="仿宋" w:eastAsia="仿宋" w:cs="仿宋"/>
          <w:b w:val="0"/>
          <w:bCs w:val="0"/>
          <w:color w:val="auto"/>
          <w:sz w:val="24"/>
          <w:szCs w:val="24"/>
          <w:highlight w:val="none"/>
          <w:lang w:eastAsia="zh-CN"/>
        </w:rPr>
        <w:t>响应价格</w:t>
      </w:r>
    </w:p>
    <w:p w14:paraId="5CB49F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3.2.1 供应商应当按第四章“技术标准和要求”</w:t>
      </w:r>
      <w:r>
        <w:rPr>
          <w:rFonts w:hint="eastAsia" w:ascii="仿宋" w:hAnsi="仿宋" w:eastAsia="仿宋" w:cs="仿宋"/>
          <w:b w:val="0"/>
          <w:bCs w:val="0"/>
          <w:color w:val="auto"/>
          <w:sz w:val="24"/>
          <w:szCs w:val="24"/>
          <w:highlight w:val="none"/>
          <w:lang w:val="en-US" w:eastAsia="zh-CN"/>
        </w:rPr>
        <w:t>和</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附件（工程量清单）</w:t>
      </w:r>
      <w:r>
        <w:rPr>
          <w:rFonts w:hint="eastAsia" w:ascii="仿宋" w:hAnsi="仿宋" w:eastAsia="仿宋" w:cs="仿宋"/>
          <w:b w:val="0"/>
          <w:bCs w:val="0"/>
          <w:color w:val="auto"/>
          <w:sz w:val="24"/>
          <w:szCs w:val="24"/>
          <w:highlight w:val="none"/>
        </w:rPr>
        <w:t>的规定进行报价，并填写第五章“响应文件格式”中的</w:t>
      </w:r>
      <w:r>
        <w:rPr>
          <w:rFonts w:hint="eastAsia" w:ascii="仿宋" w:hAnsi="仿宋" w:eastAsia="仿宋" w:cs="仿宋"/>
          <w:b w:val="0"/>
          <w:bCs w:val="0"/>
          <w:color w:val="auto"/>
          <w:sz w:val="24"/>
          <w:szCs w:val="24"/>
          <w:highlight w:val="none"/>
          <w:lang w:eastAsia="zh-CN"/>
        </w:rPr>
        <w:t>已标价工程量清单</w:t>
      </w:r>
      <w:r>
        <w:rPr>
          <w:rFonts w:hint="eastAsia" w:ascii="仿宋" w:hAnsi="仿宋" w:eastAsia="仿宋" w:cs="仿宋"/>
          <w:b w:val="0"/>
          <w:bCs w:val="0"/>
          <w:color w:val="auto"/>
          <w:sz w:val="24"/>
          <w:szCs w:val="24"/>
          <w:highlight w:val="none"/>
        </w:rPr>
        <w:t>。</w:t>
      </w:r>
    </w:p>
    <w:p w14:paraId="085280F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3.2.2本次磋商采用二轮报价法，第二轮报价时长由磋商小组成员根据现场情况设定，供应商必须在规定时间内报价，超时无效；</w:t>
      </w:r>
      <w:r>
        <w:rPr>
          <w:rFonts w:hint="eastAsia" w:ascii="仿宋" w:hAnsi="仿宋" w:eastAsia="仿宋" w:cs="仿宋"/>
          <w:b w:val="0"/>
          <w:bCs w:val="0"/>
          <w:color w:val="auto"/>
          <w:sz w:val="24"/>
          <w:szCs w:val="24"/>
          <w:highlight w:val="none"/>
          <w:lang w:eastAsia="zh-CN"/>
        </w:rPr>
        <w:t>若供应商未进行第二轮报价，视为放弃响应资格；其响应无效；不在参与后续评审</w:t>
      </w:r>
      <w:r>
        <w:rPr>
          <w:rFonts w:hint="eastAsia" w:ascii="仿宋" w:hAnsi="仿宋" w:eastAsia="仿宋" w:cs="仿宋"/>
          <w:b w:val="0"/>
          <w:bCs w:val="0"/>
          <w:color w:val="auto"/>
          <w:sz w:val="24"/>
          <w:szCs w:val="24"/>
          <w:highlight w:val="none"/>
        </w:rPr>
        <w:t>。</w:t>
      </w:r>
    </w:p>
    <w:p w14:paraId="62A0CB7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3.2.3供应商递交的响应文件中的报价为第一轮报价，第一轮报价与第二轮报价超出本项目</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的视为无效磋商。</w:t>
      </w:r>
    </w:p>
    <w:p w14:paraId="7EE4E61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3.2.4供应商提供的工程一律用人民币报价。</w:t>
      </w:r>
    </w:p>
    <w:p w14:paraId="0488C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3.2.5供应商的工程只允许有一个报价，采购人不接受有任何选择的报价。</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中。</w:t>
      </w:r>
    </w:p>
    <w:p w14:paraId="3B08DD5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3.2.6 最低报价不能作为成交的保证。</w:t>
      </w:r>
    </w:p>
    <w:p w14:paraId="2C26D00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 响应有效期</w:t>
      </w:r>
    </w:p>
    <w:p w14:paraId="38C2DE8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3.3.1 在供应商须知前附表规定的响应有效期内，供应商不得要求撤销或修改其响应文件。</w:t>
      </w:r>
    </w:p>
    <w:p w14:paraId="167495F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3.3.2 出现特殊情况需要延长响应有效期的，采购人将通知所有供应商延长响应有效期。供应商同意延长的，应当相应延长其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的有效期，但不得要求或被允许修改或撤销其响应文件；供应商拒绝延长的，其</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失效，但供应商有权收回其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 xml:space="preserve">。 </w:t>
      </w:r>
    </w:p>
    <w:p w14:paraId="41D1DCF1">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3.4 </w:t>
      </w:r>
      <w:r>
        <w:rPr>
          <w:rFonts w:hint="eastAsia" w:ascii="仿宋" w:hAnsi="仿宋" w:eastAsia="仿宋" w:cs="仿宋"/>
          <w:b w:val="0"/>
          <w:bCs w:val="0"/>
          <w:color w:val="auto"/>
          <w:sz w:val="24"/>
          <w:szCs w:val="24"/>
          <w:highlight w:val="none"/>
          <w:lang w:eastAsia="zh-CN"/>
        </w:rPr>
        <w:t>响应保证金</w:t>
      </w:r>
    </w:p>
    <w:p w14:paraId="116569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3.4.1 供应商应于响应文件递交截止时间前按供应商须知前附表规定数额提交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。未提交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的，将被视为非响应性</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而予以拒绝。联合体磋商</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的，其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由牵头人递交，并应符合供应商须知前附表的规定。</w:t>
      </w:r>
    </w:p>
    <w:p w14:paraId="1B33B0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3.4.2</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以支票、汇票、本票或者金融机构、担保机构出具的保函等非现金形式提交至采购代理机构。</w:t>
      </w:r>
    </w:p>
    <w:p w14:paraId="32AEA64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3.4.3 </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是为了保护采购人免遭因供应商的行为而蒙受损失。采购人在因供应商的行为受到损害时可根据相关法律规定没收供应商的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2165250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3.4.4 采购人或者采购代理机构应当自成交通知书发出之日起5个工作日内退还未成交供应商的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，自采购合同签订之日起5个工作日内退还成交供应商的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6D92148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3.4.5</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有效期与响应有效期一致。</w:t>
      </w:r>
    </w:p>
    <w:p w14:paraId="075FC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3.4.6有下列情形之一的，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不予退还：</w:t>
      </w:r>
    </w:p>
    <w:p w14:paraId="799D0EC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（1）供应商在规定的响应有效期内撤销或修改其响应文件的；</w:t>
      </w:r>
    </w:p>
    <w:p w14:paraId="39CE15E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（2）成交供应商在收到成交通知书后，无正当理由拒签合同协议书或在签订合同时提出附加条件或者更改合同实质性内容的；</w:t>
      </w:r>
    </w:p>
    <w:p w14:paraId="4293454F">
      <w:pPr>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sz w:val="24"/>
          <w:szCs w:val="24"/>
          <w:highlight w:val="none"/>
        </w:rPr>
        <w:t>（3）未按</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规定提交履约保证金的。</w:t>
      </w:r>
    </w:p>
    <w:p w14:paraId="783CFEB0">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5" w:name="_BookMark_7"/>
      <w:bookmarkEnd w:id="15"/>
      <w:r>
        <w:rPr>
          <w:rFonts w:hint="eastAsia" w:ascii="仿宋" w:hAnsi="仿宋" w:eastAsia="仿宋" w:cs="仿宋"/>
          <w:b w:val="0"/>
          <w:bCs w:val="0"/>
          <w:color w:val="auto"/>
          <w:sz w:val="24"/>
          <w:szCs w:val="28"/>
          <w:highlight w:val="none"/>
        </w:rPr>
        <w:t>3.5 响应文件的编制</w:t>
      </w:r>
    </w:p>
    <w:p w14:paraId="3862405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3.5.1响应文件应按第五章“响应文件格式”进行编写，如有必要，可以增加附页，作为响应文件的组成部分。</w:t>
      </w:r>
    </w:p>
    <w:p w14:paraId="0A8C9D91">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3.5.2响应文件应当对</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有关采购范围、技术与服务要求等实质性内容做出响应。</w:t>
      </w:r>
    </w:p>
    <w:p w14:paraId="1965FD5A">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3.5.3电子响应文件使用政采云平台响应文件制作工具以及</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要求进行制作编制。响应文件制作时，按照</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中明确的响应文件目录和格式进行编制，保证目录清晰、内容完整。</w:t>
      </w:r>
    </w:p>
    <w:p w14:paraId="25B2E1E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w:t>
      </w:r>
      <w:r>
        <w:rPr>
          <w:rFonts w:hint="eastAsia" w:ascii="仿宋" w:hAnsi="仿宋" w:eastAsia="仿宋" w:cs="仿宋"/>
          <w:b w:val="0"/>
          <w:bCs w:val="0"/>
          <w:color w:val="auto"/>
          <w:sz w:val="24"/>
          <w:szCs w:val="28"/>
          <w:highlight w:val="none"/>
          <w:lang w:val="en-US" w:eastAsia="zh-CN"/>
        </w:rPr>
        <w:t>4</w:t>
      </w:r>
      <w:r>
        <w:rPr>
          <w:rFonts w:hint="eastAsia" w:ascii="仿宋" w:hAnsi="仿宋" w:eastAsia="仿宋" w:cs="仿宋"/>
          <w:b w:val="0"/>
          <w:bCs w:val="0"/>
          <w:color w:val="auto"/>
          <w:sz w:val="24"/>
          <w:szCs w:val="28"/>
          <w:highlight w:val="none"/>
        </w:rPr>
        <w:t>电子招</w:t>
      </w:r>
      <w:r>
        <w:rPr>
          <w:rFonts w:hint="eastAsia" w:ascii="仿宋" w:hAnsi="仿宋" w:eastAsia="仿宋" w:cs="仿宋"/>
          <w:b w:val="0"/>
          <w:bCs w:val="0"/>
          <w:color w:val="auto"/>
          <w:sz w:val="24"/>
          <w:szCs w:val="28"/>
          <w:highlight w:val="none"/>
          <w:lang w:eastAsia="zh-CN"/>
        </w:rPr>
        <w:t>响应文件</w:t>
      </w:r>
      <w:r>
        <w:rPr>
          <w:rFonts w:hint="eastAsia" w:ascii="仿宋" w:hAnsi="仿宋" w:eastAsia="仿宋" w:cs="仿宋"/>
          <w:b w:val="0"/>
          <w:bCs w:val="0"/>
          <w:color w:val="auto"/>
          <w:sz w:val="24"/>
          <w:szCs w:val="28"/>
          <w:highlight w:val="none"/>
        </w:rPr>
        <w:t>具有法律效力，与其他形式的响应文件在内容和格式上等同，若响应文件与</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要求不一致，其内容影响成交结果时，责任由供应商自行承担。供应商递交的电子响应文件因供应商自身原因而导致无法导入电子评标系统，该响应文件视为无效响应文件，将导致其</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被拒绝。</w:t>
      </w:r>
    </w:p>
    <w:p w14:paraId="69961A96">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6" w:name="_Toc15170"/>
      <w:r>
        <w:rPr>
          <w:rFonts w:hint="eastAsia" w:ascii="仿宋" w:hAnsi="仿宋" w:eastAsia="仿宋" w:cs="仿宋"/>
          <w:b w:val="0"/>
          <w:bCs w:val="0"/>
          <w:color w:val="auto"/>
          <w:sz w:val="24"/>
          <w:szCs w:val="24"/>
          <w:highlight w:val="none"/>
          <w:lang w:val="en-US" w:eastAsia="zh-CN"/>
        </w:rPr>
        <w:t>四、</w:t>
      </w:r>
      <w:r>
        <w:rPr>
          <w:rFonts w:hint="eastAsia" w:ascii="仿宋" w:hAnsi="仿宋" w:eastAsia="仿宋" w:cs="仿宋"/>
          <w:b w:val="0"/>
          <w:bCs w:val="0"/>
          <w:color w:val="auto"/>
          <w:sz w:val="24"/>
          <w:szCs w:val="24"/>
          <w:highlight w:val="none"/>
          <w:lang w:eastAsia="zh-CN"/>
        </w:rPr>
        <w:t>响应</w:t>
      </w:r>
      <w:bookmarkEnd w:id="16"/>
    </w:p>
    <w:p w14:paraId="466FE2BB">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7" w:name="_BookMark_8"/>
      <w:bookmarkEnd w:id="17"/>
      <w:r>
        <w:rPr>
          <w:rFonts w:hint="eastAsia" w:ascii="仿宋" w:hAnsi="仿宋" w:eastAsia="仿宋" w:cs="仿宋"/>
          <w:b w:val="0"/>
          <w:bCs w:val="0"/>
          <w:color w:val="auto"/>
          <w:sz w:val="24"/>
          <w:szCs w:val="28"/>
          <w:highlight w:val="none"/>
        </w:rPr>
        <w:t>4.1本次采购采用电子交易方式，电子交易平台为“政采云平台（https://www.zcygov.cn/）”。供应商参与本项目电子交易活动前，应注册成为政府采购云平台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或</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 xml:space="preserve">失败等后果由供应商自行承担。 </w:t>
      </w:r>
    </w:p>
    <w:p w14:paraId="265090DB">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1443CF13">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4.3响应文件的递交</w:t>
      </w:r>
    </w:p>
    <w:p w14:paraId="21F5DBA6">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4.3.1加密的电子响应文件应在响应文件递交截止时间前通过政采云平台上传完成。逾期上传或者未上传指定地点的响应文件，采购人不予受理。</w:t>
      </w:r>
    </w:p>
    <w:p w14:paraId="00B050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4.3.2采购人事先约定延长响应文件递交截止时间的，采购人与供应商以前的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截止期方面的全部权利、责任和义务，将适用延长至新的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w:t>
      </w:r>
    </w:p>
    <w:p w14:paraId="65B68A6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4.3.3供应商或其响应文件存在下列情形之一的，采购人对其响应文件不予受理：</w:t>
      </w:r>
    </w:p>
    <w:p w14:paraId="5D973D6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（1）逾期上传的响应文件；</w:t>
      </w:r>
    </w:p>
    <w:p w14:paraId="438B4991">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（2）未上传指定地点的响应文件；</w:t>
      </w:r>
    </w:p>
    <w:p w14:paraId="61F821B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（3）未按本章要求加密的响应文件。</w:t>
      </w:r>
    </w:p>
    <w:p w14:paraId="55EF84B8">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4.4响应文件的修改与撤回</w:t>
      </w:r>
    </w:p>
    <w:p w14:paraId="65FF120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4.4.1供应商应在</w:t>
      </w:r>
      <w:r>
        <w:rPr>
          <w:rFonts w:hint="eastAsia" w:ascii="仿宋" w:hAnsi="仿宋" w:eastAsia="仿宋" w:cs="仿宋"/>
          <w:b w:val="0"/>
          <w:bCs w:val="0"/>
          <w:color w:val="auto"/>
          <w:sz w:val="24"/>
          <w:szCs w:val="28"/>
          <w:highlight w:val="none"/>
          <w:lang w:val="en-US" w:eastAsia="zh-CN"/>
        </w:rPr>
        <w:t>供应商</w:t>
      </w:r>
      <w:r>
        <w:rPr>
          <w:rFonts w:hint="eastAsia" w:ascii="仿宋" w:hAnsi="仿宋" w:eastAsia="仿宋" w:cs="仿宋"/>
          <w:b w:val="0"/>
          <w:bCs w:val="0"/>
          <w:color w:val="auto"/>
          <w:sz w:val="24"/>
          <w:szCs w:val="28"/>
          <w:highlight w:val="none"/>
        </w:rPr>
        <w:t>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31FE3C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4.5响应文件格式</w:t>
      </w:r>
    </w:p>
    <w:p w14:paraId="2DF11BC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4.5.1响应文件格式见第五章。</w:t>
      </w:r>
    </w:p>
    <w:p w14:paraId="61F9E8F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4.5.2供应商应使用本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后面提供的响应文件格式填写，如不够用时，供应商可按同样格式自行编制和填补，如果本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未提供格式的，供应商可自行编制。</w:t>
      </w:r>
    </w:p>
    <w:p w14:paraId="20FA12C8">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8" w:name="_Toc9966"/>
      <w:r>
        <w:rPr>
          <w:rFonts w:hint="eastAsia" w:ascii="仿宋" w:hAnsi="仿宋" w:eastAsia="仿宋" w:cs="仿宋"/>
          <w:b w:val="0"/>
          <w:bCs w:val="0"/>
          <w:color w:val="auto"/>
          <w:sz w:val="24"/>
          <w:szCs w:val="24"/>
          <w:highlight w:val="none"/>
          <w:lang w:val="en-US" w:eastAsia="zh-CN"/>
        </w:rPr>
        <w:t>五、</w:t>
      </w:r>
      <w:r>
        <w:rPr>
          <w:rFonts w:hint="eastAsia" w:ascii="仿宋" w:hAnsi="仿宋" w:eastAsia="仿宋" w:cs="仿宋"/>
          <w:b w:val="0"/>
          <w:bCs w:val="0"/>
          <w:color w:val="auto"/>
          <w:sz w:val="24"/>
          <w:szCs w:val="24"/>
          <w:highlight w:val="none"/>
          <w:lang w:eastAsia="zh-CN"/>
        </w:rPr>
        <w:t>开启</w:t>
      </w:r>
      <w:bookmarkEnd w:id="18"/>
    </w:p>
    <w:p w14:paraId="5C361EB5">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5.1 </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时间和地点</w:t>
      </w:r>
    </w:p>
    <w:p w14:paraId="51D1DCF4">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采购人在供应商须知前附表规定的时间、地点公开</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，并邀请所有供应商的法定代表人或其授权委托人参加。</w:t>
      </w:r>
    </w:p>
    <w:p w14:paraId="461D000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kern w:val="0"/>
          <w:sz w:val="24"/>
          <w:szCs w:val="24"/>
          <w:highlight w:val="none"/>
        </w:rPr>
        <w:t>5.2</w:t>
      </w:r>
      <w:r>
        <w:rPr>
          <w:rFonts w:hint="eastAsia" w:ascii="仿宋" w:hAnsi="仿宋" w:eastAsia="仿宋" w:cs="仿宋"/>
          <w:b w:val="0"/>
          <w:bCs w:val="0"/>
          <w:color w:val="auto"/>
          <w:sz w:val="24"/>
          <w:highlight w:val="none"/>
        </w:rPr>
        <w:t>各供应商应对本单位的加密的电子响应文件网上解密，采购代理机构工作人员在监督人员监督下开启所有响应文件。</w:t>
      </w:r>
    </w:p>
    <w:p w14:paraId="4FD34DD4">
      <w:pPr>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注：根据政府采购法及有关政策规定，竞争性磋商采购方式不能公开供应商的技术资料、价格和其他信息，因此对于上述内容不予唱标。</w:t>
      </w:r>
    </w:p>
    <w:p w14:paraId="219C5E34">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rPr>
      </w:pPr>
      <w:bookmarkStart w:id="19" w:name="_BookMark_9"/>
      <w:bookmarkEnd w:id="19"/>
      <w:bookmarkStart w:id="20" w:name="_Toc22593"/>
      <w:r>
        <w:rPr>
          <w:rFonts w:hint="eastAsia" w:ascii="仿宋" w:hAnsi="仿宋" w:eastAsia="仿宋" w:cs="仿宋"/>
          <w:b w:val="0"/>
          <w:bCs w:val="0"/>
          <w:color w:val="auto"/>
          <w:sz w:val="24"/>
          <w:szCs w:val="24"/>
          <w:highlight w:val="none"/>
          <w:lang w:val="en-US" w:eastAsia="zh-CN"/>
        </w:rPr>
        <w:t>六、</w:t>
      </w:r>
      <w:r>
        <w:rPr>
          <w:rFonts w:hint="eastAsia" w:ascii="仿宋" w:hAnsi="仿宋" w:eastAsia="仿宋" w:cs="仿宋"/>
          <w:b w:val="0"/>
          <w:bCs w:val="0"/>
          <w:color w:val="auto"/>
          <w:sz w:val="24"/>
          <w:szCs w:val="24"/>
          <w:highlight w:val="none"/>
        </w:rPr>
        <w:t>评审</w:t>
      </w:r>
      <w:bookmarkEnd w:id="20"/>
    </w:p>
    <w:p w14:paraId="00464636">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 磋商小组</w:t>
      </w:r>
    </w:p>
    <w:p w14:paraId="5AD8759E">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6.1.1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D50A3D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6.1.2 磋商小组成员有下列情形之一的，应当回避：</w:t>
      </w:r>
    </w:p>
    <w:p w14:paraId="61410B3A">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（1）参加采购活动前三年内,与供应商存在劳动关系,或者担任过供应商的董事、监事,或者是供应商的控股股东或实际控制人。</w:t>
      </w:r>
    </w:p>
    <w:p w14:paraId="68C0194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（2）与供应商的法定代表人或者负责人有夫妻、直系血亲、三代以内旁系血亲或者近姻亲关系。</w:t>
      </w:r>
    </w:p>
    <w:p w14:paraId="557F94E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（3）与供应商有其他可能影响政府采购活动公平、公正进行的关系。</w:t>
      </w:r>
    </w:p>
    <w:p w14:paraId="34C08E7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6.2 评审原则 </w:t>
      </w:r>
    </w:p>
    <w:p w14:paraId="5BB52587">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评审活动遵循公平、公正、科学和择优的原则。</w:t>
      </w:r>
    </w:p>
    <w:p w14:paraId="5B77F620">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6.3 评审</w:t>
      </w:r>
    </w:p>
    <w:p w14:paraId="3BAE5BB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磋商小组按照</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中规定的方法、评审因素、标准和程序对响应文件进行评审。</w:t>
      </w:r>
    </w:p>
    <w:p w14:paraId="5FA1BFF8">
      <w:pPr>
        <w:tabs>
          <w:tab w:val="center" w:pos="4832"/>
          <w:tab w:val="left" w:pos="7140"/>
        </w:tabs>
        <w:spacing w:line="360" w:lineRule="auto"/>
        <w:ind w:firstLine="470" w:firstLineChars="196"/>
        <w:jc w:val="left"/>
        <w:outlineLvl w:val="1"/>
        <w:rPr>
          <w:rFonts w:hint="eastAsia" w:ascii="仿宋" w:hAnsi="仿宋" w:eastAsia="仿宋" w:cs="仿宋"/>
          <w:b w:val="0"/>
          <w:bCs/>
          <w:color w:val="auto"/>
          <w:sz w:val="24"/>
          <w:szCs w:val="24"/>
          <w:highlight w:val="none"/>
          <w:shd w:val="clear" w:color="auto" w:fill="FFFFFF" w:themeFill="background1"/>
        </w:rPr>
      </w:pPr>
      <w:bookmarkStart w:id="21" w:name="_BookMark_11"/>
      <w:bookmarkEnd w:id="21"/>
      <w:bookmarkStart w:id="22" w:name="_BookMark_10"/>
      <w:bookmarkEnd w:id="22"/>
      <w:bookmarkStart w:id="23" w:name="_Toc12239"/>
      <w:bookmarkStart w:id="24" w:name="_Toc28916"/>
      <w:bookmarkStart w:id="25" w:name="_Toc113902767"/>
      <w:r>
        <w:rPr>
          <w:rFonts w:hint="eastAsia" w:ascii="仿宋" w:hAnsi="仿宋" w:eastAsia="仿宋" w:cs="仿宋"/>
          <w:b w:val="0"/>
          <w:bCs/>
          <w:color w:val="auto"/>
          <w:sz w:val="24"/>
          <w:szCs w:val="24"/>
          <w:highlight w:val="none"/>
          <w:shd w:val="clear" w:color="auto" w:fill="FFFFFF" w:themeFill="background1"/>
        </w:rPr>
        <w:t>七、定标及合同授予</w:t>
      </w:r>
      <w:bookmarkEnd w:id="23"/>
      <w:bookmarkEnd w:id="24"/>
      <w:bookmarkEnd w:id="25"/>
    </w:p>
    <w:p w14:paraId="655145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 定标方法</w:t>
      </w:r>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中规定的方法、评标因素、标准和程序对</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进行评标，并按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须知前附表的规定向采购人推荐</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。采购人依据</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确定</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中确定出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的原则：采购人应当确定排名第一的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、因不可抗力不能履行合同、拒绝与采购人签订合同，不按照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要求提交履约保证金、或者被查实存在影响</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结果的违法行为等情形，不符合</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条件的，采购人可以按照</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名单排名依次确定其他</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结果的同时，采购人或者采购代理机构向</w:t>
      </w:r>
      <w:r>
        <w:rPr>
          <w:rFonts w:hint="eastAsia" w:ascii="仿宋" w:hAnsi="仿宋" w:eastAsia="仿宋" w:cs="仿宋"/>
          <w:color w:val="auto"/>
          <w:kern w:val="0"/>
          <w:sz w:val="24"/>
          <w:szCs w:val="24"/>
          <w:highlight w:val="none"/>
          <w:shd w:val="clear" w:color="auto" w:fill="FFFFFF" w:themeFill="background1"/>
          <w:lang w:eastAsia="zh-CN"/>
        </w:rPr>
        <w:t>成交供应商</w:t>
      </w:r>
      <w:r>
        <w:rPr>
          <w:rFonts w:hint="eastAsia" w:ascii="仿宋" w:hAnsi="仿宋" w:eastAsia="仿宋" w:cs="仿宋"/>
          <w:color w:val="auto"/>
          <w:kern w:val="0"/>
          <w:sz w:val="24"/>
          <w:szCs w:val="24"/>
          <w:highlight w:val="none"/>
          <w:shd w:val="clear" w:color="auto" w:fill="FFFFFF" w:themeFill="background1"/>
        </w:rPr>
        <w:t>发出</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通知书；对未通过资格审查的</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应按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须知前附表规定的金额、形式向采购人提交履约保证金。联合体</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的，其履约保证金由牵头人提交，并应符合</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7.3.2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未按要求提交履约保证金的，视为放弃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通知书发出之日起30日内，按照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和</w:t>
      </w:r>
      <w:r>
        <w:rPr>
          <w:rFonts w:hint="eastAsia" w:ascii="仿宋" w:hAnsi="仿宋" w:eastAsia="仿宋" w:cs="仿宋"/>
          <w:color w:val="auto"/>
          <w:kern w:val="0"/>
          <w:sz w:val="24"/>
          <w:szCs w:val="24"/>
          <w:highlight w:val="none"/>
          <w:lang w:eastAsia="zh-CN"/>
        </w:rPr>
        <w:t>成交供应商响应文件</w:t>
      </w:r>
      <w:r>
        <w:rPr>
          <w:rFonts w:hint="eastAsia" w:ascii="仿宋" w:hAnsi="仿宋" w:eastAsia="仿宋" w:cs="仿宋"/>
          <w:color w:val="auto"/>
          <w:kern w:val="0"/>
          <w:sz w:val="24"/>
          <w:szCs w:val="24"/>
          <w:highlight w:val="none"/>
        </w:rPr>
        <w:t>的规定，与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通知书后，采购人无正当理由拒签合同的，给</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造成损失的，还应当赔偿</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无正当理由拒签合同的，采购人将取消其</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资格，其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拒绝与采购人签订合同的，采购人可以按照评标报告推荐的</w:t>
      </w:r>
      <w:r>
        <w:rPr>
          <w:rFonts w:hint="eastAsia" w:ascii="仿宋" w:hAnsi="仿宋" w:eastAsia="仿宋" w:cs="仿宋"/>
          <w:color w:val="auto"/>
          <w:kern w:val="0"/>
          <w:sz w:val="24"/>
          <w:szCs w:val="24"/>
          <w:highlight w:val="none"/>
          <w:lang w:eastAsia="zh-CN"/>
        </w:rPr>
        <w:t>成交候</w:t>
      </w:r>
      <w:r>
        <w:rPr>
          <w:rFonts w:hint="eastAsia" w:ascii="仿宋" w:hAnsi="仿宋" w:eastAsia="仿宋" w:cs="仿宋"/>
          <w:b w:val="0"/>
          <w:bCs w:val="0"/>
          <w:color w:val="auto"/>
          <w:kern w:val="0"/>
          <w:sz w:val="24"/>
          <w:szCs w:val="24"/>
          <w:highlight w:val="none"/>
          <w:lang w:eastAsia="zh-CN"/>
        </w:rPr>
        <w:t>选人</w:t>
      </w:r>
      <w:r>
        <w:rPr>
          <w:rFonts w:hint="eastAsia" w:ascii="仿宋" w:hAnsi="仿宋" w:eastAsia="仿宋" w:cs="仿宋"/>
          <w:b w:val="0"/>
          <w:bCs w:val="0"/>
          <w:color w:val="auto"/>
          <w:kern w:val="0"/>
          <w:sz w:val="24"/>
          <w:szCs w:val="24"/>
          <w:highlight w:val="none"/>
        </w:rPr>
        <w:t>名单排序，确定下一候选人为</w:t>
      </w:r>
      <w:r>
        <w:rPr>
          <w:rFonts w:hint="eastAsia" w:ascii="仿宋" w:hAnsi="仿宋" w:eastAsia="仿宋" w:cs="仿宋"/>
          <w:b w:val="0"/>
          <w:bCs w:val="0"/>
          <w:color w:val="auto"/>
          <w:kern w:val="0"/>
          <w:sz w:val="24"/>
          <w:szCs w:val="24"/>
          <w:highlight w:val="none"/>
          <w:lang w:eastAsia="zh-CN"/>
        </w:rPr>
        <w:t>成交供应商</w:t>
      </w:r>
      <w:r>
        <w:rPr>
          <w:rFonts w:hint="eastAsia" w:ascii="仿宋" w:hAnsi="仿宋" w:eastAsia="仿宋" w:cs="仿宋"/>
          <w:b w:val="0"/>
          <w:bCs w:val="0"/>
          <w:color w:val="auto"/>
          <w:kern w:val="0"/>
          <w:sz w:val="24"/>
          <w:szCs w:val="24"/>
          <w:highlight w:val="none"/>
        </w:rPr>
        <w:t>，也可以重新开展政府采购活动。</w:t>
      </w:r>
    </w:p>
    <w:p w14:paraId="5B0E76ED">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shd w:val="clear" w:color="auto" w:fill="FFFFFF" w:themeFill="background1"/>
        </w:rPr>
      </w:pPr>
      <w:bookmarkStart w:id="26" w:name="_Toc20827"/>
      <w:bookmarkStart w:id="27" w:name="_Toc17350"/>
      <w:r>
        <w:rPr>
          <w:rFonts w:hint="eastAsia" w:ascii="仿宋" w:hAnsi="仿宋" w:eastAsia="仿宋" w:cs="仿宋"/>
          <w:b w:val="0"/>
          <w:bCs w:val="0"/>
          <w:color w:val="auto"/>
          <w:sz w:val="24"/>
          <w:szCs w:val="24"/>
          <w:highlight w:val="none"/>
          <w:shd w:val="clear" w:color="auto" w:fill="FFFFFF" w:themeFill="background1"/>
        </w:rPr>
        <w:t>八、纪律和监督</w:t>
      </w:r>
      <w:bookmarkEnd w:id="26"/>
      <w:bookmarkEnd w:id="27"/>
    </w:p>
    <w:p w14:paraId="3FA20E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 对采购人的纪律要求</w:t>
      </w:r>
    </w:p>
    <w:p w14:paraId="45A2F9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采购人不得泄漏</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中应当保密的情况和资料，不得与供应商串通损害国家利益、社会公共利益或者他人合法权益。</w:t>
      </w:r>
    </w:p>
    <w:p w14:paraId="23976E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 对供应商的纪律要求</w:t>
      </w:r>
    </w:p>
    <w:p w14:paraId="2798BB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或者与采购人串通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，不得向采购人或者磋商小组成员行贿谋取中标（成交），不得以他人名义</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或者以其他方式弄虚作假骗取中标（成交）；供应商不得以任何方式干扰、影响评审工作。</w:t>
      </w:r>
    </w:p>
    <w:p w14:paraId="671318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 对磋商小组成员的纪律要求</w:t>
      </w:r>
    </w:p>
    <w:p w14:paraId="7FE075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7BE306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 对与评审活动有关的工作人员的纪律要求</w:t>
      </w:r>
    </w:p>
    <w:p w14:paraId="7A066D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032C8A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 监督</w:t>
      </w:r>
    </w:p>
    <w:p w14:paraId="49F0B38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及其相关当事人应当接受有管辖权的监督部门依法实施的监督。</w:t>
      </w:r>
      <w:bookmarkStart w:id="28" w:name="_BookMark_12"/>
      <w:bookmarkEnd w:id="28"/>
    </w:p>
    <w:p w14:paraId="24B2DBD2">
      <w:pPr>
        <w:spacing w:line="440" w:lineRule="exact"/>
        <w:jc w:val="center"/>
        <w:outlineLvl w:val="0"/>
        <w:rPr>
          <w:rFonts w:hint="eastAsia" w:ascii="仿宋" w:hAnsi="仿宋" w:eastAsia="仿宋" w:cs="仿宋"/>
          <w:b/>
          <w:color w:val="auto"/>
          <w:sz w:val="24"/>
          <w:szCs w:val="24"/>
          <w:highlight w:val="none"/>
        </w:rPr>
      </w:pPr>
      <w:r>
        <w:rPr>
          <w:rFonts w:hint="eastAsia" w:ascii="仿宋" w:hAnsi="仿宋" w:eastAsia="仿宋" w:cs="仿宋"/>
          <w:bCs/>
          <w:color w:val="auto"/>
          <w:kern w:val="0"/>
          <w:sz w:val="24"/>
          <w:szCs w:val="24"/>
          <w:highlight w:val="none"/>
        </w:rPr>
        <w:br w:type="page"/>
      </w:r>
      <w:bookmarkStart w:id="29" w:name="_Toc19388"/>
      <w:r>
        <w:rPr>
          <w:rFonts w:hint="eastAsia" w:ascii="仿宋" w:hAnsi="仿宋" w:eastAsia="仿宋" w:cs="仿宋"/>
          <w:b/>
          <w:color w:val="auto"/>
          <w:sz w:val="24"/>
          <w:szCs w:val="24"/>
          <w:highlight w:val="none"/>
        </w:rPr>
        <w:t>第二章 评审办法</w:t>
      </w:r>
      <w:bookmarkEnd w:id="29"/>
    </w:p>
    <w:p w14:paraId="213D8726">
      <w:pPr>
        <w:tabs>
          <w:tab w:val="center" w:pos="4832"/>
          <w:tab w:val="left" w:pos="7140"/>
        </w:tabs>
        <w:spacing w:line="360" w:lineRule="auto"/>
        <w:jc w:val="center"/>
        <w:outlineLvl w:val="1"/>
        <w:rPr>
          <w:rFonts w:hint="eastAsia" w:ascii="仿宋" w:hAnsi="仿宋" w:eastAsia="仿宋" w:cs="仿宋"/>
          <w:b w:val="0"/>
          <w:bCs/>
          <w:color w:val="auto"/>
          <w:sz w:val="24"/>
          <w:szCs w:val="24"/>
          <w:highlight w:val="none"/>
        </w:rPr>
      </w:pPr>
      <w:bookmarkStart w:id="30" w:name="_BookMark_1"/>
      <w:bookmarkEnd w:id="30"/>
      <w:bookmarkStart w:id="31" w:name="_Toc27911"/>
      <w:r>
        <w:rPr>
          <w:rFonts w:hint="eastAsia" w:ascii="仿宋" w:hAnsi="仿宋" w:eastAsia="仿宋" w:cs="仿宋"/>
          <w:b w:val="0"/>
          <w:bCs/>
          <w:color w:val="auto"/>
          <w:sz w:val="24"/>
          <w:szCs w:val="24"/>
          <w:highlight w:val="none"/>
        </w:rPr>
        <w:t>评审办法前附表</w:t>
      </w:r>
      <w:bookmarkEnd w:id="31"/>
    </w:p>
    <w:tbl>
      <w:tblPr>
        <w:tblStyle w:val="48"/>
        <w:tblpPr w:leftFromText="181" w:rightFromText="181" w:vertAnchor="text" w:horzAnchor="page" w:tblpXSpec="center" w:tblpY="1"/>
        <w:tblOverlap w:val="never"/>
        <w:tblW w:w="9125" w:type="dxa"/>
        <w:jc w:val="center"/>
        <w:tblLayout w:type="fixed"/>
        <w:tblCellMar>
          <w:top w:w="0" w:type="dxa"/>
          <w:left w:w="0" w:type="dxa"/>
          <w:bottom w:w="0" w:type="dxa"/>
          <w:right w:w="0" w:type="dxa"/>
        </w:tblCellMar>
      </w:tblPr>
      <w:tblGrid>
        <w:gridCol w:w="611"/>
        <w:gridCol w:w="2771"/>
        <w:gridCol w:w="5743"/>
      </w:tblGrid>
      <w:tr w14:paraId="292B3C74">
        <w:tblPrEx>
          <w:tblCellMar>
            <w:top w:w="0" w:type="dxa"/>
            <w:left w:w="0" w:type="dxa"/>
            <w:bottom w:w="0" w:type="dxa"/>
            <w:right w:w="0" w:type="dxa"/>
          </w:tblCellMar>
        </w:tblPrEx>
        <w:trPr>
          <w:cantSplit/>
          <w:trHeight w:val="47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8B8F614">
            <w:pPr>
              <w:spacing w:line="240" w:lineRule="auto"/>
              <w:jc w:val="center"/>
              <w:rPr>
                <w:rFonts w:ascii="仿宋" w:hAnsi="仿宋" w:eastAsia="仿宋" w:cs="仿宋"/>
                <w:b w:val="0"/>
                <w:bCs/>
                <w:color w:val="auto"/>
                <w:szCs w:val="21"/>
                <w:highlight w:val="none"/>
                <w:shd w:val="clear" w:color="auto" w:fill="FFFFFF" w:themeFill="background1"/>
              </w:rPr>
            </w:pPr>
            <w:bookmarkStart w:id="32" w:name="_Toc501719166"/>
            <w:r>
              <w:rPr>
                <w:rFonts w:hint="eastAsia" w:ascii="仿宋" w:hAnsi="仿宋" w:eastAsia="仿宋" w:cs="仿宋"/>
                <w:b w:val="0"/>
                <w:bCs/>
                <w:color w:val="auto"/>
                <w:szCs w:val="21"/>
                <w:highlight w:val="none"/>
                <w:shd w:val="clear" w:color="auto" w:fill="FFFFFF" w:themeFill="background1"/>
              </w:rPr>
              <w:t>序号</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8D8712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条款内容</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1D4D9DA7">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编列内容</w:t>
            </w:r>
          </w:p>
        </w:tc>
      </w:tr>
      <w:tr w14:paraId="6AED922F">
        <w:tblPrEx>
          <w:tblCellMar>
            <w:top w:w="0" w:type="dxa"/>
            <w:left w:w="0" w:type="dxa"/>
            <w:bottom w:w="0" w:type="dxa"/>
            <w:right w:w="0" w:type="dxa"/>
          </w:tblCellMar>
        </w:tblPrEx>
        <w:trPr>
          <w:cantSplit/>
          <w:trHeight w:val="567"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3BD5DC5F">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2771"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B8359B6">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分值构成及权重</w:t>
            </w:r>
          </w:p>
          <w:p w14:paraId="4E13B639">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(总分100分)</w:t>
            </w:r>
          </w:p>
        </w:tc>
        <w:tc>
          <w:tcPr>
            <w:tcW w:w="5743"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1BD0E59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1.详细评审部分</w:t>
            </w:r>
            <w:r>
              <w:rPr>
                <w:rFonts w:hint="eastAsia" w:ascii="仿宋" w:hAnsi="仿宋" w:eastAsia="仿宋" w:cs="仿宋"/>
                <w:b w:val="0"/>
                <w:bCs/>
                <w:color w:val="auto"/>
                <w:szCs w:val="21"/>
                <w:highlight w:val="none"/>
                <w:shd w:val="clear" w:color="auto" w:fill="FFFFFF" w:themeFill="background1"/>
                <w:lang w:val="en-US" w:eastAsia="zh-CN"/>
              </w:rPr>
              <w:t>70</w:t>
            </w:r>
            <w:r>
              <w:rPr>
                <w:rFonts w:hint="eastAsia" w:ascii="仿宋" w:hAnsi="仿宋" w:eastAsia="仿宋" w:cs="仿宋"/>
                <w:b w:val="0"/>
                <w:bCs/>
                <w:color w:val="auto"/>
                <w:szCs w:val="21"/>
                <w:highlight w:val="none"/>
                <w:shd w:val="clear" w:color="auto" w:fill="FFFFFF" w:themeFill="background1"/>
              </w:rPr>
              <w:t>分</w:t>
            </w:r>
          </w:p>
          <w:p w14:paraId="57870BEE">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部分</w:t>
            </w:r>
            <w:r>
              <w:rPr>
                <w:rFonts w:hint="eastAsia" w:ascii="仿宋" w:hAnsi="仿宋" w:eastAsia="仿宋" w:cs="仿宋"/>
                <w:b w:val="0"/>
                <w:bCs/>
                <w:color w:val="auto"/>
                <w:szCs w:val="21"/>
                <w:highlight w:val="none"/>
                <w:shd w:val="clear" w:color="auto" w:fill="FFFFFF" w:themeFill="background1"/>
                <w:lang w:val="en-US" w:eastAsia="zh-CN"/>
              </w:rPr>
              <w:t>30</w:t>
            </w:r>
            <w:r>
              <w:rPr>
                <w:rFonts w:hint="eastAsia" w:ascii="仿宋" w:hAnsi="仿宋" w:eastAsia="仿宋" w:cs="仿宋"/>
                <w:b w:val="0"/>
                <w:bCs/>
                <w:color w:val="auto"/>
                <w:szCs w:val="21"/>
                <w:highlight w:val="none"/>
                <w:shd w:val="clear" w:color="auto" w:fill="FFFFFF" w:themeFill="background1"/>
              </w:rPr>
              <w:t>分</w:t>
            </w:r>
          </w:p>
        </w:tc>
      </w:tr>
      <w:tr w14:paraId="58125B2D">
        <w:tblPrEx>
          <w:tblCellMar>
            <w:top w:w="0" w:type="dxa"/>
            <w:left w:w="0" w:type="dxa"/>
            <w:bottom w:w="0" w:type="dxa"/>
            <w:right w:w="0" w:type="dxa"/>
          </w:tblCellMar>
        </w:tblPrEx>
        <w:trPr>
          <w:cantSplit/>
          <w:trHeight w:val="405"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2F8D3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4DE21171">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资格审查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53E79C7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详见《资格审查标准》</w:t>
            </w:r>
          </w:p>
        </w:tc>
      </w:tr>
      <w:tr w14:paraId="72C77DCB">
        <w:tblPrEx>
          <w:tblCellMar>
            <w:top w:w="0" w:type="dxa"/>
            <w:left w:w="0" w:type="dxa"/>
            <w:bottom w:w="0" w:type="dxa"/>
            <w:right w:w="0" w:type="dxa"/>
          </w:tblCellMar>
        </w:tblPrEx>
        <w:trPr>
          <w:cantSplit/>
          <w:trHeight w:val="41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74B53C0">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3</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F17D014">
            <w:pPr>
              <w:spacing w:line="240" w:lineRule="auto"/>
              <w:jc w:val="center"/>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符合性审查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B9CB09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标准》</w:t>
            </w:r>
          </w:p>
        </w:tc>
      </w:tr>
      <w:tr w14:paraId="4917DDB1">
        <w:tblPrEx>
          <w:tblCellMar>
            <w:top w:w="0" w:type="dxa"/>
            <w:left w:w="0" w:type="dxa"/>
            <w:bottom w:w="0" w:type="dxa"/>
            <w:right w:w="0" w:type="dxa"/>
          </w:tblCellMar>
        </w:tblPrEx>
        <w:trPr>
          <w:cantSplit/>
          <w:trHeight w:val="402" w:hRule="atLeast"/>
          <w:jc w:val="center"/>
        </w:trPr>
        <w:tc>
          <w:tcPr>
            <w:tcW w:w="61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204986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w:t>
            </w:r>
          </w:p>
        </w:tc>
        <w:tc>
          <w:tcPr>
            <w:tcW w:w="277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4372B68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详细评审</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B4C29B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详见《详细评审标准》及本节第3.6款</w:t>
            </w:r>
          </w:p>
        </w:tc>
      </w:tr>
      <w:tr w14:paraId="15B58F28">
        <w:tblPrEx>
          <w:tblCellMar>
            <w:top w:w="0" w:type="dxa"/>
            <w:left w:w="0" w:type="dxa"/>
            <w:bottom w:w="0" w:type="dxa"/>
            <w:right w:w="0" w:type="dxa"/>
          </w:tblCellMar>
        </w:tblPrEx>
        <w:trPr>
          <w:cantSplit/>
          <w:trHeight w:val="3082" w:hRule="atLeast"/>
          <w:jc w:val="center"/>
        </w:trPr>
        <w:tc>
          <w:tcPr>
            <w:tcW w:w="61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515D710C">
            <w:pPr>
              <w:spacing w:line="240" w:lineRule="auto"/>
              <w:jc w:val="center"/>
              <w:rPr>
                <w:rFonts w:ascii="仿宋" w:hAnsi="仿宋" w:eastAsia="仿宋" w:cs="仿宋"/>
                <w:b w:val="0"/>
                <w:bCs/>
                <w:color w:val="auto"/>
                <w:szCs w:val="21"/>
                <w:highlight w:val="none"/>
                <w:shd w:val="clear" w:color="auto" w:fill="FFFFFF" w:themeFill="background1"/>
              </w:rPr>
            </w:pPr>
          </w:p>
        </w:tc>
        <w:tc>
          <w:tcPr>
            <w:tcW w:w="277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7BBAEF86">
            <w:pPr>
              <w:spacing w:line="240" w:lineRule="auto"/>
              <w:jc w:val="center"/>
              <w:rPr>
                <w:rFonts w:ascii="仿宋" w:hAnsi="仿宋" w:eastAsia="仿宋" w:cs="仿宋"/>
                <w:b w:val="0"/>
                <w:bCs/>
                <w:color w:val="auto"/>
                <w:szCs w:val="21"/>
                <w:highlight w:val="none"/>
                <w:shd w:val="clear" w:color="auto" w:fill="FFFFFF" w:themeFill="background1"/>
              </w:rPr>
            </w:pP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75CE46F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得分计算方法：</w:t>
            </w:r>
          </w:p>
          <w:p w14:paraId="4841051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的确定</w:t>
            </w:r>
          </w:p>
          <w:p w14:paraId="113921A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是指经评审的且不超过</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的</w:t>
            </w:r>
            <w:r>
              <w:rPr>
                <w:rFonts w:hint="eastAsia" w:ascii="仿宋" w:hAnsi="仿宋" w:eastAsia="仿宋" w:cs="仿宋"/>
                <w:b w:val="0"/>
                <w:bCs/>
                <w:color w:val="auto"/>
                <w:szCs w:val="21"/>
                <w:highlight w:val="none"/>
                <w:shd w:val="clear" w:color="auto" w:fill="FFFFFF" w:themeFill="background1"/>
                <w:lang w:eastAsia="zh-CN"/>
              </w:rPr>
              <w:t>响应价格</w:t>
            </w:r>
          </w:p>
          <w:p w14:paraId="1A929E7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的确定</w:t>
            </w:r>
          </w:p>
          <w:p w14:paraId="0ACD97C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rPr>
              <w:t>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要求且最后</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最低的供应商的价格为</w:t>
            </w:r>
            <w:r>
              <w:rPr>
                <w:rFonts w:hint="eastAsia" w:ascii="仿宋" w:hAnsi="仿宋" w:eastAsia="仿宋" w:cs="仿宋"/>
                <w:b w:val="0"/>
                <w:bCs/>
                <w:color w:val="auto"/>
                <w:szCs w:val="21"/>
                <w:highlight w:val="none"/>
                <w:shd w:val="clear" w:color="auto" w:fill="FFFFFF" w:themeFill="background1"/>
                <w:lang w:eastAsia="zh-CN"/>
              </w:rPr>
              <w:t>基准价</w:t>
            </w:r>
          </w:p>
          <w:p w14:paraId="3BC66201">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default" w:ascii="仿宋" w:hAnsi="仿宋" w:eastAsia="仿宋" w:cs="仿宋"/>
                <w:b w:val="0"/>
                <w:bCs/>
                <w:color w:val="auto"/>
                <w:szCs w:val="21"/>
                <w:highlight w:val="none"/>
                <w:shd w:val="clear" w:color="auto" w:fill="FFFFFF" w:themeFill="background1"/>
                <w:lang w:val="en-US"/>
              </w:rPr>
            </w:pPr>
            <w:r>
              <w:rPr>
                <w:rFonts w:hint="eastAsia" w:ascii="仿宋" w:hAnsi="仿宋" w:eastAsia="仿宋" w:cs="仿宋"/>
                <w:b w:val="0"/>
                <w:bCs/>
                <w:color w:val="auto"/>
                <w:szCs w:val="21"/>
                <w:highlight w:val="none"/>
                <w:shd w:val="clear" w:color="auto" w:fill="FFFFFF" w:themeFill="background1"/>
              </w:rPr>
              <w:t>3.</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val="en-US" w:eastAsia="zh-CN"/>
              </w:rPr>
              <w:t>30</w:t>
            </w:r>
          </w:p>
          <w:p w14:paraId="01AC17C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4.分值计算保留小数点后两位，小数点后三位“四舍五入”。</w:t>
            </w:r>
          </w:p>
        </w:tc>
      </w:tr>
      <w:bookmarkEnd w:id="32"/>
    </w:tbl>
    <w:p w14:paraId="348C0C73">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37790F4B">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《资格审查标准》</w:t>
      </w:r>
    </w:p>
    <w:tbl>
      <w:tblPr>
        <w:tblStyle w:val="48"/>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01AC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1E7A3BE4">
            <w:pPr>
              <w:spacing w:line="288" w:lineRule="auto"/>
              <w:jc w:val="center"/>
              <w:rPr>
                <w:rFonts w:ascii="仿宋" w:hAnsi="仿宋" w:eastAsia="仿宋" w:cs="仿宋"/>
                <w:color w:val="auto"/>
                <w:szCs w:val="21"/>
                <w:highlight w:val="none"/>
                <w:shd w:val="clear" w:color="auto" w:fill="FFFFFF" w:themeFill="background1"/>
              </w:rPr>
            </w:pPr>
            <w:bookmarkStart w:id="33" w:name="_Toc501719167"/>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1D96974B">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17100CCD">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0E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3B71EF4">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w:t>
            </w:r>
          </w:p>
        </w:tc>
        <w:tc>
          <w:tcPr>
            <w:tcW w:w="3659" w:type="dxa"/>
            <w:shd w:val="clear" w:color="auto" w:fill="auto"/>
            <w:vAlign w:val="center"/>
          </w:tcPr>
          <w:p w14:paraId="2E4644AF">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E2EADF6">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是企业（包括合伙企业)，应提供在工商部门注册的有效“企业法人营业执照”或“营业执照”;</w:t>
            </w:r>
          </w:p>
          <w:p w14:paraId="478C250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是事业单位，应提供有效的“事业单位法人证书”;</w:t>
            </w:r>
          </w:p>
          <w:p w14:paraId="032F170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是非企业专业服务机构的，应提供执业许可证等证明文件;</w:t>
            </w:r>
          </w:p>
          <w:p w14:paraId="7280C6C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是个体工商户，应提供有效的“个体工商户营业执照”;</w:t>
            </w:r>
          </w:p>
          <w:p w14:paraId="0FBE132B">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是自然人，应提供有效的自然人身份证明。</w:t>
            </w:r>
          </w:p>
        </w:tc>
      </w:tr>
      <w:tr w14:paraId="6F01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41DE3B">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2</w:t>
            </w:r>
          </w:p>
        </w:tc>
        <w:tc>
          <w:tcPr>
            <w:tcW w:w="3659" w:type="dxa"/>
            <w:shd w:val="clear" w:color="auto" w:fill="auto"/>
            <w:vAlign w:val="center"/>
          </w:tcPr>
          <w:p w14:paraId="20E9F5E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具有良好的商业信誉和健全的财务会计制度</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D77A81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满足下述一条要求即可：</w:t>
            </w:r>
          </w:p>
          <w:p w14:paraId="230ABC9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要求1、经审计的财务报告（202</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年度或202</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年度，包括“四表-注”，即资产负债表、利润表、现金流量表、所有者权益变动表及其附注）或银行出具的资信证明（响应文件递交截止之日前六个月内任意一个月）。</w:t>
            </w:r>
          </w:p>
          <w:p w14:paraId="3B0CB665">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要求2、成立不足一个月（以响应文件递交截止之日为期限）的供应商无需提供。</w:t>
            </w:r>
          </w:p>
        </w:tc>
      </w:tr>
      <w:tr w14:paraId="4BF7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6D5F722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w:t>
            </w:r>
          </w:p>
        </w:tc>
        <w:tc>
          <w:tcPr>
            <w:tcW w:w="3659" w:type="dxa"/>
            <w:shd w:val="clear" w:color="auto" w:fill="auto"/>
            <w:vAlign w:val="center"/>
          </w:tcPr>
          <w:p w14:paraId="7165C657">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具有履行合同所必需的设备和专业技术能力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6A9B9F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提供《具有履行合同所必需的设备和专业技术能力的承诺函》，加盖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409C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5B04AA76">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4</w:t>
            </w:r>
          </w:p>
        </w:tc>
        <w:tc>
          <w:tcPr>
            <w:tcW w:w="3659" w:type="dxa"/>
            <w:shd w:val="clear" w:color="auto" w:fill="auto"/>
            <w:vAlign w:val="center"/>
          </w:tcPr>
          <w:p w14:paraId="365915BE">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有依法缴纳税收和社会保障资金的良好记录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D5562A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1、依法缴纳税收的证明材料：</w:t>
            </w:r>
          </w:p>
          <w:p w14:paraId="6DE3CC62">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递交截止之日前六个月内任一个月）内缴纳税收的完税凭证（指各种完税证、缴款书、印花税票、扣（收）税凭证以及其他完税证明）。</w:t>
            </w:r>
          </w:p>
          <w:p w14:paraId="5B5A1037">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2、依法缴纳社会保障资金的证明材料：</w:t>
            </w:r>
          </w:p>
          <w:p w14:paraId="1627149E">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递交截止之日前六个月内任一个月）内缴纳社会保险的凭据，其他组织和自然人也需要提供缴纳税收的凭据和缴纳社会保险的凭据。</w:t>
            </w:r>
          </w:p>
          <w:p w14:paraId="4B65DF3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3、依法免税或不需要缴纳社会保障资金的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，应提供相应文件证明其依法免税或不需要缴纳社会保障资金。</w:t>
            </w:r>
          </w:p>
        </w:tc>
      </w:tr>
      <w:tr w14:paraId="65E8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9F79602">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w:t>
            </w:r>
          </w:p>
        </w:tc>
        <w:tc>
          <w:tcPr>
            <w:tcW w:w="3659" w:type="dxa"/>
            <w:shd w:val="clear" w:color="auto" w:fill="auto"/>
            <w:vAlign w:val="center"/>
          </w:tcPr>
          <w:p w14:paraId="24CCB3B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763C2B3A">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提供《参加政府采购活动前3年内在经营活动中没有重大违法记录的书面声明》，加盖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3740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BE008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6</w:t>
            </w:r>
          </w:p>
        </w:tc>
        <w:tc>
          <w:tcPr>
            <w:tcW w:w="3659" w:type="dxa"/>
            <w:shd w:val="clear" w:color="auto" w:fill="auto"/>
            <w:vAlign w:val="center"/>
          </w:tcPr>
          <w:p w14:paraId="076756E5">
            <w:pPr>
              <w:spacing w:line="288" w:lineRule="auto"/>
              <w:jc w:val="left"/>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供应商为中小企业。</w:t>
            </w:r>
          </w:p>
        </w:tc>
        <w:tc>
          <w:tcPr>
            <w:tcW w:w="4935" w:type="dxa"/>
            <w:shd w:val="clear" w:color="auto" w:fill="auto"/>
            <w:vAlign w:val="center"/>
          </w:tcPr>
          <w:p w14:paraId="02F6EE47">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按采购文件要求提供声明函，加盖供应商章。</w:t>
            </w:r>
          </w:p>
        </w:tc>
      </w:tr>
      <w:tr w14:paraId="489F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F3722F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7</w:t>
            </w:r>
          </w:p>
        </w:tc>
        <w:tc>
          <w:tcPr>
            <w:tcW w:w="3659" w:type="dxa"/>
            <w:shd w:val="clear" w:color="auto" w:fill="auto"/>
            <w:vAlign w:val="center"/>
          </w:tcPr>
          <w:p w14:paraId="034FA33B">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shd w:val="clear" w:color="auto" w:fill="auto"/>
            <w:vAlign w:val="center"/>
          </w:tcPr>
          <w:p w14:paraId="01936D70">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以采购人或者采购代理机构查询记录为准。</w:t>
            </w:r>
          </w:p>
        </w:tc>
      </w:tr>
      <w:tr w14:paraId="74B1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628566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8</w:t>
            </w:r>
          </w:p>
        </w:tc>
        <w:tc>
          <w:tcPr>
            <w:tcW w:w="3659" w:type="dxa"/>
            <w:shd w:val="clear" w:color="auto" w:fill="auto"/>
            <w:vAlign w:val="center"/>
          </w:tcPr>
          <w:p w14:paraId="43082162">
            <w:pPr>
              <w:spacing w:line="288" w:lineRule="auto"/>
              <w:jc w:val="left"/>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供应商须具备：建筑工程（总承包企业资质）三级及以上资质。</w:t>
            </w:r>
          </w:p>
        </w:tc>
        <w:tc>
          <w:tcPr>
            <w:tcW w:w="4935" w:type="dxa"/>
            <w:shd w:val="clear" w:color="auto" w:fill="auto"/>
            <w:vAlign w:val="center"/>
          </w:tcPr>
          <w:p w14:paraId="72696DAD">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资质证书扫描件。</w:t>
            </w:r>
          </w:p>
        </w:tc>
      </w:tr>
      <w:tr w14:paraId="4396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E0E78E4">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9</w:t>
            </w:r>
          </w:p>
        </w:tc>
        <w:tc>
          <w:tcPr>
            <w:tcW w:w="3659" w:type="dxa"/>
            <w:shd w:val="clear" w:color="auto" w:fill="auto"/>
            <w:vAlign w:val="center"/>
          </w:tcPr>
          <w:p w14:paraId="7D25BA20">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供应商须具备有效的安全生产许可证。</w:t>
            </w:r>
          </w:p>
        </w:tc>
        <w:tc>
          <w:tcPr>
            <w:tcW w:w="4935" w:type="dxa"/>
            <w:shd w:val="clear" w:color="auto" w:fill="auto"/>
            <w:vAlign w:val="center"/>
          </w:tcPr>
          <w:p w14:paraId="13B4BA43">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安全生产许可证</w:t>
            </w:r>
            <w:r>
              <w:rPr>
                <w:rFonts w:hint="eastAsia" w:ascii="仿宋" w:hAnsi="仿宋" w:eastAsia="仿宋" w:cs="仿宋"/>
                <w:color w:val="auto"/>
                <w:kern w:val="0"/>
                <w:szCs w:val="21"/>
                <w:highlight w:val="none"/>
                <w:lang w:val="en-US" w:eastAsia="zh-CN"/>
              </w:rPr>
              <w:t>扫描件。</w:t>
            </w:r>
          </w:p>
        </w:tc>
      </w:tr>
      <w:tr w14:paraId="4EE44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AE511BE">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10</w:t>
            </w:r>
          </w:p>
        </w:tc>
        <w:tc>
          <w:tcPr>
            <w:tcW w:w="3659" w:type="dxa"/>
            <w:shd w:val="clear" w:color="auto" w:fill="auto"/>
            <w:vAlign w:val="center"/>
          </w:tcPr>
          <w:p w14:paraId="119464FD">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供应商名称必须与营业执照、资质证书、安全生产许可证中的企业名称保持一致。</w:t>
            </w:r>
          </w:p>
        </w:tc>
        <w:tc>
          <w:tcPr>
            <w:tcW w:w="4935" w:type="dxa"/>
            <w:shd w:val="clear" w:color="auto" w:fill="auto"/>
            <w:vAlign w:val="center"/>
          </w:tcPr>
          <w:p w14:paraId="2EC1B7BB">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w:t>
            </w:r>
          </w:p>
        </w:tc>
      </w:tr>
      <w:tr w14:paraId="7495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1338E77E">
            <w:pPr>
              <w:spacing w:line="288"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11</w:t>
            </w:r>
          </w:p>
        </w:tc>
        <w:tc>
          <w:tcPr>
            <w:tcW w:w="3659" w:type="dxa"/>
            <w:shd w:val="clear" w:color="auto" w:fill="auto"/>
            <w:vAlign w:val="center"/>
          </w:tcPr>
          <w:p w14:paraId="33DE0618">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项目负责人要求：注册建造师（建筑工程专业）二级及以上，本单位注册；且具备有效的安全生产考核合格证书（B类））。</w:t>
            </w:r>
          </w:p>
        </w:tc>
        <w:tc>
          <w:tcPr>
            <w:tcW w:w="4935" w:type="dxa"/>
            <w:shd w:val="clear" w:color="auto" w:fill="auto"/>
            <w:vAlign w:val="center"/>
          </w:tcPr>
          <w:p w14:paraId="53AC994A">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建设行政主管部门核发的注册建造师证书</w:t>
            </w:r>
            <w:r>
              <w:rPr>
                <w:rFonts w:hint="eastAsia" w:ascii="仿宋" w:hAnsi="仿宋" w:eastAsia="仿宋" w:cs="仿宋"/>
                <w:color w:val="auto"/>
                <w:kern w:val="0"/>
                <w:szCs w:val="21"/>
                <w:highlight w:val="none"/>
                <w:lang w:val="en-US" w:eastAsia="zh-CN"/>
              </w:rPr>
              <w:t>扫描件和</w:t>
            </w:r>
            <w:r>
              <w:rPr>
                <w:rFonts w:hint="eastAsia" w:ascii="仿宋" w:hAnsi="仿宋" w:eastAsia="仿宋" w:cs="仿宋"/>
                <w:color w:val="auto"/>
                <w:kern w:val="0"/>
                <w:szCs w:val="21"/>
                <w:highlight w:val="none"/>
                <w:lang w:eastAsia="zh-CN"/>
              </w:rPr>
              <w:t>安全生产考核合格证书（B类）</w:t>
            </w:r>
            <w:r>
              <w:rPr>
                <w:rFonts w:hint="eastAsia" w:ascii="仿宋" w:hAnsi="仿宋" w:eastAsia="仿宋" w:cs="仿宋"/>
                <w:color w:val="auto"/>
                <w:kern w:val="0"/>
                <w:szCs w:val="21"/>
                <w:highlight w:val="none"/>
                <w:lang w:val="en-US" w:eastAsia="zh-CN"/>
              </w:rPr>
              <w:t>扫描件。</w:t>
            </w:r>
          </w:p>
        </w:tc>
      </w:tr>
      <w:tr w14:paraId="5813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519BC66F">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653581CF">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14117AB0">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bookmarkEnd w:id="33"/>
    </w:p>
    <w:tbl>
      <w:tblPr>
        <w:tblStyle w:val="48"/>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5275"/>
        <w:gridCol w:w="3067"/>
      </w:tblGrid>
      <w:tr w14:paraId="166B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2FB758F5">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序号</w:t>
            </w:r>
          </w:p>
        </w:tc>
        <w:tc>
          <w:tcPr>
            <w:tcW w:w="5275" w:type="dxa"/>
            <w:vAlign w:val="center"/>
          </w:tcPr>
          <w:p w14:paraId="1EE6B92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审查要求</w:t>
            </w:r>
          </w:p>
        </w:tc>
        <w:tc>
          <w:tcPr>
            <w:tcW w:w="3067" w:type="dxa"/>
            <w:vAlign w:val="center"/>
          </w:tcPr>
          <w:p w14:paraId="422100F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要求说明</w:t>
            </w:r>
          </w:p>
        </w:tc>
      </w:tr>
      <w:tr w14:paraId="4369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395884CE">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5275" w:type="dxa"/>
            <w:vAlign w:val="center"/>
          </w:tcPr>
          <w:p w14:paraId="102A4E1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响应文件必须按照</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规定要求加盖供应商章、法定代表人章</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lang w:val="en-US" w:eastAsia="zh-CN"/>
              </w:rPr>
              <w:t>或签名</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rPr>
              <w:t>。</w:t>
            </w:r>
          </w:p>
        </w:tc>
        <w:tc>
          <w:tcPr>
            <w:tcW w:w="3067" w:type="dxa"/>
            <w:vAlign w:val="center"/>
          </w:tcPr>
          <w:p w14:paraId="3EDEB480">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4C66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5F8E9B6">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5275" w:type="dxa"/>
            <w:vAlign w:val="center"/>
          </w:tcPr>
          <w:p w14:paraId="4F11C47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供应商所报工期、质量标准必须满足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w:t>
            </w:r>
          </w:p>
        </w:tc>
        <w:tc>
          <w:tcPr>
            <w:tcW w:w="3067" w:type="dxa"/>
            <w:vAlign w:val="center"/>
          </w:tcPr>
          <w:p w14:paraId="084BBE18">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2EE5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7ED12C5A">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3</w:t>
            </w:r>
          </w:p>
        </w:tc>
        <w:tc>
          <w:tcPr>
            <w:tcW w:w="5275" w:type="dxa"/>
            <w:shd w:val="clear" w:color="auto" w:fill="auto"/>
            <w:vAlign w:val="center"/>
          </w:tcPr>
          <w:p w14:paraId="326D49BC">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项目负责人简历表必须提供。</w:t>
            </w:r>
          </w:p>
        </w:tc>
        <w:tc>
          <w:tcPr>
            <w:tcW w:w="3067" w:type="dxa"/>
            <w:shd w:val="clear" w:color="auto" w:fill="auto"/>
            <w:vAlign w:val="center"/>
          </w:tcPr>
          <w:p w14:paraId="171BEBA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2F01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3C958A24">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4</w:t>
            </w:r>
          </w:p>
        </w:tc>
        <w:tc>
          <w:tcPr>
            <w:tcW w:w="5275" w:type="dxa"/>
            <w:shd w:val="clear" w:color="auto" w:fill="auto"/>
            <w:vAlign w:val="center"/>
          </w:tcPr>
          <w:p w14:paraId="3B7BBEEE">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highlight w:val="none"/>
              </w:rPr>
              <w:t>主要项目管理人员表必须提供。</w:t>
            </w:r>
          </w:p>
        </w:tc>
        <w:tc>
          <w:tcPr>
            <w:tcW w:w="3067" w:type="dxa"/>
            <w:shd w:val="clear" w:color="auto" w:fill="auto"/>
            <w:vAlign w:val="center"/>
          </w:tcPr>
          <w:p w14:paraId="02BF460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38664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5B604CDF">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5</w:t>
            </w:r>
          </w:p>
        </w:tc>
        <w:tc>
          <w:tcPr>
            <w:tcW w:w="5275" w:type="dxa"/>
            <w:shd w:val="clear" w:color="auto" w:fill="auto"/>
            <w:vAlign w:val="center"/>
          </w:tcPr>
          <w:p w14:paraId="0BEA5D88">
            <w:pPr>
              <w:spacing w:line="288" w:lineRule="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rPr>
              <w:t>必须按照</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要求缴纳。</w:t>
            </w:r>
          </w:p>
        </w:tc>
        <w:tc>
          <w:tcPr>
            <w:tcW w:w="3067" w:type="dxa"/>
            <w:shd w:val="clear" w:color="auto" w:fill="auto"/>
            <w:vAlign w:val="center"/>
          </w:tcPr>
          <w:p w14:paraId="2071C5A5">
            <w:pPr>
              <w:widowControl/>
              <w:numPr>
                <w:ilvl w:val="0"/>
                <w:numId w:val="0"/>
              </w:numPr>
              <w:shd w:val="clear" w:color="auto" w:fill="FFFFFF"/>
              <w:snapToGrid w:val="0"/>
              <w:spacing w:line="360" w:lineRule="auto"/>
              <w:jc w:val="both"/>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保证金缴纳证明材料：汇款凭证或支票或汇票或保函或保证金收据等的扫描件。</w:t>
            </w:r>
          </w:p>
          <w:p w14:paraId="6F5F9405">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Cs w:val="24"/>
                <w:highlight w:val="none"/>
                <w:lang w:val="en-US" w:eastAsia="zh-CN"/>
              </w:rPr>
              <w:t>注：采用电汇方式缴纳的，若供应商未提供上述证明材料，但采购代理机构已查实足额缴纳的，视为已按规定缴纳保证金。</w:t>
            </w:r>
          </w:p>
        </w:tc>
      </w:tr>
      <w:tr w14:paraId="189F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16D7E05B">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6</w:t>
            </w:r>
          </w:p>
        </w:tc>
        <w:tc>
          <w:tcPr>
            <w:tcW w:w="5275" w:type="dxa"/>
            <w:shd w:val="clear" w:color="auto" w:fill="auto"/>
            <w:vAlign w:val="center"/>
          </w:tcPr>
          <w:p w14:paraId="0CF2CE95">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eastAsia="zh-CN"/>
              </w:rPr>
              <w:t>响应价格</w:t>
            </w:r>
            <w:r>
              <w:rPr>
                <w:rFonts w:hint="eastAsia" w:ascii="仿宋" w:hAnsi="仿宋" w:eastAsia="仿宋" w:cs="仿宋"/>
                <w:b w:val="0"/>
                <w:bCs/>
                <w:color w:val="auto"/>
                <w:szCs w:val="21"/>
                <w:highlight w:val="none"/>
                <w:shd w:val="clear" w:color="auto" w:fill="FFFFFF" w:themeFill="background1"/>
              </w:rPr>
              <w:t>不得超过供应商须知前附表中的</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w:t>
            </w:r>
          </w:p>
        </w:tc>
        <w:tc>
          <w:tcPr>
            <w:tcW w:w="3067" w:type="dxa"/>
            <w:shd w:val="clear" w:color="auto" w:fill="auto"/>
            <w:vAlign w:val="center"/>
          </w:tcPr>
          <w:p w14:paraId="58B85C53">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kern w:val="2"/>
                <w:sz w:val="21"/>
                <w:szCs w:val="21"/>
                <w:highlight w:val="none"/>
                <w:shd w:val="clear" w:color="auto" w:fill="FFFFFF" w:themeFill="background1"/>
                <w:lang w:val="en-US" w:eastAsia="zh-CN" w:bidi="ar-SA"/>
              </w:rPr>
              <w:t>/</w:t>
            </w:r>
          </w:p>
        </w:tc>
      </w:tr>
      <w:tr w14:paraId="6B2B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3B81D3F9">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7</w:t>
            </w:r>
          </w:p>
        </w:tc>
        <w:tc>
          <w:tcPr>
            <w:tcW w:w="5275" w:type="dxa"/>
            <w:vAlign w:val="center"/>
          </w:tcPr>
          <w:p w14:paraId="2073F2AF">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供应商必须按工程量清单填报价格。项目编码、项目名称、项目特征、</w:t>
            </w:r>
            <w:r>
              <w:rPr>
                <w:rFonts w:hint="default" w:ascii="仿宋" w:hAnsi="仿宋" w:eastAsia="仿宋" w:cs="仿宋"/>
                <w:b w:val="0"/>
                <w:bCs/>
                <w:color w:val="auto"/>
                <w:szCs w:val="21"/>
                <w:highlight w:val="none"/>
                <w:shd w:val="clear" w:color="auto" w:fill="FFFFFF" w:themeFill="background1"/>
                <w:lang w:val="en-US" w:eastAsia="zh-CN"/>
              </w:rPr>
              <w:t>计量单位、工程量必须与工程量清单一致。</w:t>
            </w:r>
          </w:p>
        </w:tc>
        <w:tc>
          <w:tcPr>
            <w:tcW w:w="3067" w:type="dxa"/>
            <w:vAlign w:val="center"/>
          </w:tcPr>
          <w:p w14:paraId="6D7D10E2">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5005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5FF13090">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8</w:t>
            </w:r>
          </w:p>
        </w:tc>
        <w:tc>
          <w:tcPr>
            <w:tcW w:w="5275" w:type="dxa"/>
            <w:vAlign w:val="center"/>
          </w:tcPr>
          <w:p w14:paraId="719554C6">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已标价工程量清单的安全文明施工费、规费和税金必须按国家或省级、行业建设主管部门的规定计算，不</w:t>
            </w:r>
            <w:r>
              <w:rPr>
                <w:rFonts w:hint="default" w:ascii="仿宋" w:hAnsi="仿宋" w:eastAsia="仿宋" w:cs="仿宋"/>
                <w:b w:val="0"/>
                <w:bCs/>
                <w:color w:val="auto"/>
                <w:szCs w:val="21"/>
                <w:highlight w:val="none"/>
                <w:shd w:val="clear" w:color="auto" w:fill="FFFFFF" w:themeFill="background1"/>
                <w:lang w:val="en-US" w:eastAsia="zh-CN"/>
              </w:rPr>
              <w:t>得作为竞争性费用。</w:t>
            </w:r>
          </w:p>
        </w:tc>
        <w:tc>
          <w:tcPr>
            <w:tcW w:w="3067" w:type="dxa"/>
            <w:vAlign w:val="center"/>
          </w:tcPr>
          <w:p w14:paraId="01A50F7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121E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17DCD68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9</w:t>
            </w:r>
          </w:p>
        </w:tc>
        <w:tc>
          <w:tcPr>
            <w:tcW w:w="5275" w:type="dxa"/>
            <w:vAlign w:val="center"/>
          </w:tcPr>
          <w:p w14:paraId="76337F9C">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已标价工程量清单的暂列金额应按工程量清单中列出的金额填写，不得变动。</w:t>
            </w:r>
          </w:p>
        </w:tc>
        <w:tc>
          <w:tcPr>
            <w:tcW w:w="3067" w:type="dxa"/>
            <w:vAlign w:val="center"/>
          </w:tcPr>
          <w:p w14:paraId="391D200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481D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836792E">
            <w:pPr>
              <w:spacing w:line="360" w:lineRule="auto"/>
              <w:jc w:val="center"/>
              <w:rPr>
                <w:rFonts w:hint="default"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10</w:t>
            </w:r>
          </w:p>
        </w:tc>
        <w:tc>
          <w:tcPr>
            <w:tcW w:w="5275" w:type="dxa"/>
            <w:vAlign w:val="center"/>
          </w:tcPr>
          <w:p w14:paraId="43A300C8">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已标价工程量清单的材料、工程设备暂估价必须按工程量清单中列出的暂估单价计入综合单价；专业</w:t>
            </w:r>
            <w:r>
              <w:rPr>
                <w:rFonts w:hint="default" w:ascii="仿宋" w:hAnsi="仿宋" w:eastAsia="仿宋" w:cs="仿宋"/>
                <w:b w:val="0"/>
                <w:bCs/>
                <w:color w:val="auto"/>
                <w:szCs w:val="21"/>
                <w:highlight w:val="none"/>
                <w:shd w:val="clear" w:color="auto" w:fill="FFFFFF" w:themeFill="background1"/>
                <w:lang w:val="en-US" w:eastAsia="zh-CN"/>
              </w:rPr>
              <w:t>工程暂估价必须按工程量清单中列出的金额填写。</w:t>
            </w:r>
          </w:p>
        </w:tc>
        <w:tc>
          <w:tcPr>
            <w:tcW w:w="3067" w:type="dxa"/>
            <w:vAlign w:val="center"/>
          </w:tcPr>
          <w:p w14:paraId="13F46FEE">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7C23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6F2F6139">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11</w:t>
            </w:r>
          </w:p>
        </w:tc>
        <w:tc>
          <w:tcPr>
            <w:tcW w:w="5275" w:type="dxa"/>
            <w:shd w:val="clear" w:color="auto" w:fill="auto"/>
            <w:vAlign w:val="center"/>
          </w:tcPr>
          <w:p w14:paraId="4884B83F">
            <w:pPr>
              <w:spacing w:line="360" w:lineRule="auto"/>
              <w:rPr>
                <w:rFonts w:hint="eastAsia" w:ascii="仿宋" w:hAnsi="仿宋" w:eastAsia="仿宋" w:cs="仿宋"/>
                <w:b w:val="0"/>
                <w:bCs/>
                <w:color w:val="auto"/>
                <w:kern w:val="2"/>
                <w:sz w:val="21"/>
                <w:szCs w:val="22"/>
                <w:highlight w:val="none"/>
                <w:lang w:val="en-US" w:eastAsia="zh-CN" w:bidi="ar-SA"/>
              </w:rPr>
            </w:pPr>
            <w:r>
              <w:rPr>
                <w:rFonts w:hint="eastAsia" w:ascii="仿宋" w:hAnsi="仿宋" w:eastAsia="仿宋" w:cs="仿宋"/>
                <w:b w:val="0"/>
                <w:bCs/>
                <w:color w:val="auto"/>
                <w:szCs w:val="21"/>
                <w:highlight w:val="none"/>
                <w:shd w:val="clear" w:color="auto" w:fill="FFFFFF" w:themeFill="background1"/>
              </w:rPr>
              <w:t>响应文件符合</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全部实质性要求。</w:t>
            </w:r>
          </w:p>
        </w:tc>
        <w:tc>
          <w:tcPr>
            <w:tcW w:w="3067" w:type="dxa"/>
            <w:vAlign w:val="center"/>
          </w:tcPr>
          <w:p w14:paraId="3E1F7F3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0464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8963" w:type="dxa"/>
            <w:gridSpan w:val="3"/>
            <w:vAlign w:val="center"/>
          </w:tcPr>
          <w:p w14:paraId="0A3CA83F">
            <w:pPr>
              <w:spacing w:line="360" w:lineRule="auto"/>
              <w:jc w:val="left"/>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备注：</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中有一项不满足评审标准的，磋商小组将认定该供应商不通过</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，不得进入下一阶段评审。并且不允许供应商通过修改或撤销其不符合要求的差异或保留，使之成为具有响应性的投标。</w:t>
            </w:r>
          </w:p>
        </w:tc>
      </w:tr>
    </w:tbl>
    <w:p w14:paraId="570F79F8">
      <w:pPr>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7EBD2408">
      <w:pPr>
        <w:rPr>
          <w:rFonts w:hint="eastAsia" w:ascii="仿宋" w:hAnsi="仿宋" w:eastAsia="仿宋" w:cs="仿宋"/>
          <w:b w:val="0"/>
          <w:bCs/>
          <w:color w:val="auto"/>
          <w:kern w:val="0"/>
          <w:sz w:val="24"/>
          <w:szCs w:val="24"/>
          <w:highlight w:val="none"/>
        </w:rPr>
      </w:pPr>
    </w:p>
    <w:p w14:paraId="72F82A26">
      <w:pPr>
        <w:jc w:val="center"/>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kern w:val="0"/>
          <w:sz w:val="24"/>
          <w:szCs w:val="24"/>
          <w:highlight w:val="none"/>
        </w:rPr>
        <w:t>《详细评审标准》</w:t>
      </w:r>
    </w:p>
    <w:tbl>
      <w:tblPr>
        <w:tblStyle w:val="48"/>
        <w:tblpPr w:leftFromText="181" w:rightFromText="181" w:vertAnchor="text" w:horzAnchor="page" w:tblpXSpec="center" w:tblpY="1"/>
        <w:tblOverlap w:val="never"/>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6"/>
        <w:gridCol w:w="1330"/>
        <w:gridCol w:w="706"/>
        <w:gridCol w:w="5688"/>
      </w:tblGrid>
      <w:tr w14:paraId="68B5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vAlign w:val="center"/>
          </w:tcPr>
          <w:p w14:paraId="4F5AACD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bookmarkStart w:id="34" w:name="_Toc25752"/>
            <w:r>
              <w:rPr>
                <w:rFonts w:hint="eastAsia" w:ascii="仿宋" w:hAnsi="仿宋" w:eastAsia="仿宋" w:cs="仿宋"/>
                <w:b w:val="0"/>
                <w:bCs/>
                <w:color w:val="auto"/>
                <w:kern w:val="0"/>
                <w:szCs w:val="21"/>
                <w:highlight w:val="none"/>
                <w:shd w:val="clear" w:color="auto" w:fill="FFFFFF" w:themeFill="background1"/>
              </w:rPr>
              <w:t>序号</w:t>
            </w:r>
          </w:p>
        </w:tc>
        <w:tc>
          <w:tcPr>
            <w:tcW w:w="790" w:type="pct"/>
            <w:vAlign w:val="center"/>
          </w:tcPr>
          <w:p w14:paraId="503E544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评审项目</w:t>
            </w:r>
          </w:p>
        </w:tc>
        <w:tc>
          <w:tcPr>
            <w:tcW w:w="419" w:type="pct"/>
            <w:vAlign w:val="center"/>
          </w:tcPr>
          <w:p w14:paraId="3F7781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lang w:val="en-US" w:eastAsia="zh-CN"/>
              </w:rPr>
            </w:pPr>
            <w:r>
              <w:rPr>
                <w:rFonts w:hint="eastAsia" w:ascii="仿宋" w:hAnsi="仿宋" w:eastAsia="仿宋" w:cs="仿宋"/>
                <w:b w:val="0"/>
                <w:bCs/>
                <w:color w:val="auto"/>
                <w:kern w:val="0"/>
                <w:szCs w:val="21"/>
                <w:highlight w:val="none"/>
                <w:shd w:val="clear" w:color="auto" w:fill="FFFFFF" w:themeFill="background1"/>
              </w:rPr>
              <w:t>标准分</w:t>
            </w:r>
          </w:p>
        </w:tc>
        <w:tc>
          <w:tcPr>
            <w:tcW w:w="3381" w:type="pct"/>
            <w:vAlign w:val="center"/>
          </w:tcPr>
          <w:p w14:paraId="23B8C791">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评审标准</w:t>
            </w:r>
          </w:p>
        </w:tc>
      </w:tr>
      <w:tr w14:paraId="6744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F4C69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w:t>
            </w:r>
          </w:p>
        </w:tc>
        <w:tc>
          <w:tcPr>
            <w:tcW w:w="1330" w:type="dxa"/>
            <w:shd w:val="clear" w:color="auto" w:fill="auto"/>
            <w:vAlign w:val="center"/>
          </w:tcPr>
          <w:p w14:paraId="46EBEB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项目概况及特点</w:t>
            </w:r>
          </w:p>
        </w:tc>
        <w:tc>
          <w:tcPr>
            <w:tcW w:w="706" w:type="dxa"/>
            <w:shd w:val="clear" w:color="auto" w:fill="auto"/>
            <w:vAlign w:val="center"/>
          </w:tcPr>
          <w:p w14:paraId="664515DB">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5688" w:type="dxa"/>
            <w:shd w:val="clear" w:color="auto" w:fill="auto"/>
            <w:vAlign w:val="center"/>
          </w:tcPr>
          <w:p w14:paraId="737FD4A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工程概况及特点包括但不限于：①项目概况、②工程施工特点；2部分要素。</w:t>
            </w:r>
          </w:p>
          <w:p w14:paraId="34C2CBC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所有要素齐全且完全满足项目要求得2分，每缺一个要素扣1分，每个要素里每有一处内容缺陷扣0.5分（扣完为止）。</w:t>
            </w:r>
          </w:p>
        </w:tc>
      </w:tr>
      <w:tr w14:paraId="3F24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3502AB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1330" w:type="dxa"/>
            <w:shd w:val="clear" w:color="auto" w:fill="auto"/>
            <w:vAlign w:val="center"/>
          </w:tcPr>
          <w:p w14:paraId="1A33820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lang w:val="en-US" w:eastAsia="zh-CN"/>
              </w:rPr>
              <w:t>施工准备计划</w:t>
            </w:r>
          </w:p>
        </w:tc>
        <w:tc>
          <w:tcPr>
            <w:tcW w:w="706" w:type="dxa"/>
            <w:shd w:val="clear" w:color="auto" w:fill="auto"/>
            <w:vAlign w:val="center"/>
          </w:tcPr>
          <w:p w14:paraId="0326BE1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6F5512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lang w:val="en-US" w:eastAsia="zh-CN"/>
              </w:rPr>
              <w:t>施工准备计划</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①施工技术准备、</w:t>
            </w:r>
            <w:r>
              <w:rPr>
                <w:rFonts w:hint="eastAsia" w:ascii="仿宋" w:hAnsi="仿宋" w:eastAsia="仿宋" w:cs="仿宋"/>
                <w:b w:val="0"/>
                <w:bCs/>
                <w:color w:val="auto"/>
                <w:sz w:val="21"/>
                <w:szCs w:val="21"/>
                <w:highlight w:val="none"/>
              </w:rPr>
              <w:t>②</w:t>
            </w:r>
            <w:r>
              <w:rPr>
                <w:rFonts w:hint="eastAsia" w:ascii="仿宋" w:hAnsi="仿宋" w:eastAsia="仿宋" w:cs="仿宋"/>
                <w:b w:val="0"/>
                <w:bCs/>
                <w:color w:val="auto"/>
                <w:sz w:val="21"/>
                <w:szCs w:val="21"/>
                <w:highlight w:val="none"/>
                <w:lang w:val="en-US" w:eastAsia="zh-CN"/>
              </w:rPr>
              <w:t>现场准备、</w:t>
            </w:r>
            <w:r>
              <w:rPr>
                <w:rFonts w:hint="eastAsia" w:ascii="仿宋" w:hAnsi="仿宋" w:eastAsia="仿宋" w:cs="仿宋"/>
                <w:b w:val="0"/>
                <w:bCs/>
                <w:color w:val="auto"/>
                <w:sz w:val="21"/>
                <w:szCs w:val="21"/>
                <w:highlight w:val="none"/>
              </w:rPr>
              <w:t>③</w:t>
            </w:r>
            <w:r>
              <w:rPr>
                <w:rFonts w:hint="eastAsia" w:ascii="仿宋" w:hAnsi="仿宋" w:eastAsia="仿宋" w:cs="仿宋"/>
                <w:b w:val="0"/>
                <w:bCs/>
                <w:color w:val="auto"/>
                <w:sz w:val="21"/>
                <w:szCs w:val="21"/>
                <w:highlight w:val="none"/>
                <w:lang w:val="en-US" w:eastAsia="zh-CN"/>
              </w:rPr>
              <w:t>物资与机械准备、</w:t>
            </w:r>
            <w:r>
              <w:rPr>
                <w:rFonts w:hint="eastAsia" w:ascii="仿宋" w:hAnsi="仿宋" w:eastAsia="仿宋" w:cs="仿宋"/>
                <w:b w:val="0"/>
                <w:bCs/>
                <w:color w:val="auto"/>
                <w:sz w:val="21"/>
                <w:szCs w:val="21"/>
                <w:highlight w:val="none"/>
              </w:rPr>
              <w:t>④</w:t>
            </w:r>
            <w:r>
              <w:rPr>
                <w:rFonts w:hint="eastAsia" w:ascii="仿宋" w:hAnsi="仿宋" w:eastAsia="仿宋" w:cs="仿宋"/>
                <w:b w:val="0"/>
                <w:bCs/>
                <w:color w:val="auto"/>
                <w:sz w:val="21"/>
                <w:szCs w:val="21"/>
                <w:highlight w:val="none"/>
                <w:lang w:val="en-US" w:eastAsia="zh-CN"/>
              </w:rPr>
              <w:t>队伍准备</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31F4189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2CA7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D94D0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3</w:t>
            </w:r>
          </w:p>
        </w:tc>
        <w:tc>
          <w:tcPr>
            <w:tcW w:w="1330" w:type="dxa"/>
            <w:shd w:val="clear" w:color="auto" w:fill="auto"/>
            <w:vAlign w:val="center"/>
          </w:tcPr>
          <w:p w14:paraId="0F7A443D">
            <w:pPr>
              <w:spacing w:line="240" w:lineRule="auto"/>
              <w:jc w:val="center"/>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rPr>
              <w:t>施工方案</w:t>
            </w:r>
          </w:p>
        </w:tc>
        <w:tc>
          <w:tcPr>
            <w:tcW w:w="706" w:type="dxa"/>
            <w:shd w:val="clear" w:color="auto" w:fill="auto"/>
            <w:vAlign w:val="center"/>
          </w:tcPr>
          <w:p w14:paraId="3898F6C4">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12</w:t>
            </w:r>
          </w:p>
        </w:tc>
        <w:tc>
          <w:tcPr>
            <w:tcW w:w="5688" w:type="dxa"/>
            <w:shd w:val="clear" w:color="auto" w:fill="auto"/>
            <w:vAlign w:val="center"/>
          </w:tcPr>
          <w:p w14:paraId="7D1ABC9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rPr>
              <w:t>施工方案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rPr>
              <w:t>提高生产率</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②缩短工期</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③提高质量</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④降低消耗</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61FEBB3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12</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1D4B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16B7077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4</w:t>
            </w:r>
          </w:p>
        </w:tc>
        <w:tc>
          <w:tcPr>
            <w:tcW w:w="1330" w:type="dxa"/>
            <w:shd w:val="clear" w:color="auto" w:fill="auto"/>
            <w:vAlign w:val="center"/>
          </w:tcPr>
          <w:p w14:paraId="41DC0AF9">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施工进度计划</w:t>
            </w:r>
          </w:p>
        </w:tc>
        <w:tc>
          <w:tcPr>
            <w:tcW w:w="706" w:type="dxa"/>
            <w:shd w:val="clear" w:color="auto" w:fill="auto"/>
            <w:vAlign w:val="center"/>
          </w:tcPr>
          <w:p w14:paraId="4B812B40">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5688" w:type="dxa"/>
            <w:shd w:val="clear" w:color="auto" w:fill="auto"/>
            <w:vAlign w:val="center"/>
          </w:tcPr>
          <w:p w14:paraId="21564C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施工进度计划</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w:t>
            </w:r>
            <w:r>
              <w:rPr>
                <w:rFonts w:hint="eastAsia" w:ascii="仿宋" w:hAnsi="仿宋" w:eastAsia="仿宋" w:cs="仿宋"/>
                <w:color w:val="auto"/>
                <w:sz w:val="21"/>
                <w:szCs w:val="21"/>
                <w:highlight w:val="none"/>
              </w:rPr>
              <w:t>空间计划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②时间计划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DFA5B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分（扣完为止）。</w:t>
            </w:r>
          </w:p>
        </w:tc>
      </w:tr>
      <w:tr w14:paraId="5801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49BB66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5</w:t>
            </w:r>
          </w:p>
        </w:tc>
        <w:tc>
          <w:tcPr>
            <w:tcW w:w="1330" w:type="dxa"/>
            <w:shd w:val="clear" w:color="auto" w:fill="auto"/>
            <w:vAlign w:val="center"/>
          </w:tcPr>
          <w:p w14:paraId="1707E42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需用量计划</w:t>
            </w:r>
          </w:p>
        </w:tc>
        <w:tc>
          <w:tcPr>
            <w:tcW w:w="706" w:type="dxa"/>
            <w:shd w:val="clear" w:color="auto" w:fill="auto"/>
            <w:vAlign w:val="center"/>
          </w:tcPr>
          <w:p w14:paraId="3A30208E">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12</w:t>
            </w:r>
          </w:p>
        </w:tc>
        <w:tc>
          <w:tcPr>
            <w:tcW w:w="5688" w:type="dxa"/>
            <w:shd w:val="clear" w:color="auto" w:fill="auto"/>
            <w:vAlign w:val="center"/>
          </w:tcPr>
          <w:p w14:paraId="5F8B260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需用量计划包括但不限于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劳动力需用量计划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材料需用量计划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③</w:t>
            </w:r>
            <w:r>
              <w:rPr>
                <w:rFonts w:hint="eastAsia" w:ascii="仿宋" w:hAnsi="仿宋" w:eastAsia="仿宋" w:cs="仿宋"/>
                <w:color w:val="auto"/>
                <w:szCs w:val="21"/>
                <w:highlight w:val="none"/>
              </w:rPr>
              <w:t>机械设备需用量计划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26A1B68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7D25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095645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1330" w:type="dxa"/>
            <w:shd w:val="clear" w:color="auto" w:fill="auto"/>
            <w:vAlign w:val="center"/>
          </w:tcPr>
          <w:p w14:paraId="7C9F2E67">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质量保证措施和体系 </w:t>
            </w:r>
          </w:p>
        </w:tc>
        <w:tc>
          <w:tcPr>
            <w:tcW w:w="706" w:type="dxa"/>
            <w:shd w:val="clear" w:color="auto" w:fill="auto"/>
            <w:vAlign w:val="center"/>
          </w:tcPr>
          <w:p w14:paraId="7B60DE56">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400C9A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质量保证措施和体系包括但不限于：①技术组织措施、②保证体系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604065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5581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DC80D9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7</w:t>
            </w:r>
          </w:p>
        </w:tc>
        <w:tc>
          <w:tcPr>
            <w:tcW w:w="1330" w:type="dxa"/>
            <w:shd w:val="clear" w:color="auto" w:fill="auto"/>
            <w:vAlign w:val="center"/>
          </w:tcPr>
          <w:p w14:paraId="1A97CE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工期保证措施和体系</w:t>
            </w:r>
          </w:p>
        </w:tc>
        <w:tc>
          <w:tcPr>
            <w:tcW w:w="706" w:type="dxa"/>
            <w:shd w:val="clear" w:color="auto" w:fill="auto"/>
            <w:vAlign w:val="center"/>
          </w:tcPr>
          <w:p w14:paraId="68C042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D2F4C2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工期保证措施和体系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FFD01C8">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6551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79C7EA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1330" w:type="dxa"/>
            <w:shd w:val="clear" w:color="auto" w:fill="auto"/>
            <w:vAlign w:val="center"/>
          </w:tcPr>
          <w:p w14:paraId="6642E7EF">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p>
        </w:tc>
        <w:tc>
          <w:tcPr>
            <w:tcW w:w="706" w:type="dxa"/>
            <w:shd w:val="clear" w:color="auto" w:fill="auto"/>
            <w:vAlign w:val="center"/>
          </w:tcPr>
          <w:p w14:paraId="5BEC268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6094F3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5D42A7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293A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2CEF49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9</w:t>
            </w:r>
          </w:p>
        </w:tc>
        <w:tc>
          <w:tcPr>
            <w:tcW w:w="1330" w:type="dxa"/>
            <w:shd w:val="clear" w:color="auto" w:fill="auto"/>
            <w:vAlign w:val="center"/>
          </w:tcPr>
          <w:p w14:paraId="025A2ADA">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文明施工措施</w:t>
            </w:r>
          </w:p>
        </w:tc>
        <w:tc>
          <w:tcPr>
            <w:tcW w:w="706" w:type="dxa"/>
            <w:shd w:val="clear" w:color="auto" w:fill="auto"/>
            <w:vAlign w:val="center"/>
          </w:tcPr>
          <w:p w14:paraId="2CCE7B28">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w:t>
            </w:r>
          </w:p>
        </w:tc>
        <w:tc>
          <w:tcPr>
            <w:tcW w:w="5688" w:type="dxa"/>
            <w:shd w:val="clear" w:color="auto" w:fill="auto"/>
            <w:vAlign w:val="center"/>
          </w:tcPr>
          <w:p w14:paraId="52BD005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w:t>
            </w:r>
            <w:r>
              <w:rPr>
                <w:rFonts w:hint="eastAsia" w:ascii="仿宋" w:hAnsi="仿宋" w:eastAsia="仿宋" w:cs="仿宋"/>
                <w:color w:val="auto"/>
                <w:szCs w:val="21"/>
                <w:highlight w:val="none"/>
                <w:lang w:val="en-US" w:eastAsia="zh-CN"/>
              </w:rPr>
              <w:t>措施</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目标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要点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3D0E8F8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76B4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A7A803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 w:val="21"/>
                <w:szCs w:val="21"/>
                <w:highlight w:val="none"/>
                <w:shd w:val="clear" w:color="auto" w:fill="FFFFFF" w:themeFill="background1"/>
                <w:lang w:val="en-US" w:eastAsia="zh-CN" w:bidi="ar-SA"/>
              </w:rPr>
              <w:t>10</w:t>
            </w:r>
          </w:p>
        </w:tc>
        <w:tc>
          <w:tcPr>
            <w:tcW w:w="1330" w:type="dxa"/>
            <w:shd w:val="clear" w:color="auto" w:fill="auto"/>
            <w:vAlign w:val="center"/>
          </w:tcPr>
          <w:p w14:paraId="5E32F95C">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施工现场扬尘防治方案</w:t>
            </w:r>
          </w:p>
        </w:tc>
        <w:tc>
          <w:tcPr>
            <w:tcW w:w="706" w:type="dxa"/>
            <w:shd w:val="clear" w:color="auto" w:fill="auto"/>
            <w:vAlign w:val="center"/>
          </w:tcPr>
          <w:p w14:paraId="4D1FEF13">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p>
        </w:tc>
        <w:tc>
          <w:tcPr>
            <w:tcW w:w="5688" w:type="dxa"/>
            <w:shd w:val="clear" w:color="auto" w:fill="auto"/>
            <w:vAlign w:val="center"/>
          </w:tcPr>
          <w:p w14:paraId="3ACBEE5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施工现场扬尘防治方案</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①垃圾存放及运输措施、②材料堆放及覆盖措施、③扬尘监测措施</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624B2E8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4A7F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1198" w:type="pct"/>
            <w:gridSpan w:val="2"/>
            <w:tcMar>
              <w:top w:w="0" w:type="dxa"/>
              <w:left w:w="108" w:type="dxa"/>
              <w:bottom w:w="0" w:type="dxa"/>
              <w:right w:w="108" w:type="dxa"/>
            </w:tcMar>
            <w:vAlign w:val="center"/>
          </w:tcPr>
          <w:p w14:paraId="1B086C92">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合计</w:t>
            </w:r>
          </w:p>
        </w:tc>
        <w:tc>
          <w:tcPr>
            <w:tcW w:w="419" w:type="pct"/>
            <w:tcMar>
              <w:top w:w="0" w:type="dxa"/>
              <w:left w:w="108" w:type="dxa"/>
              <w:bottom w:w="0" w:type="dxa"/>
              <w:right w:w="108" w:type="dxa"/>
            </w:tcMar>
            <w:vAlign w:val="center"/>
          </w:tcPr>
          <w:p w14:paraId="059651D6">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0</w:t>
            </w:r>
          </w:p>
        </w:tc>
        <w:tc>
          <w:tcPr>
            <w:tcW w:w="3381" w:type="pct"/>
            <w:tcMar>
              <w:top w:w="0" w:type="dxa"/>
              <w:left w:w="108" w:type="dxa"/>
              <w:bottom w:w="0" w:type="dxa"/>
              <w:right w:w="108" w:type="dxa"/>
            </w:tcMar>
            <w:vAlign w:val="center"/>
          </w:tcPr>
          <w:p w14:paraId="03B86A88">
            <w:pPr>
              <w:spacing w:line="240" w:lineRule="auto"/>
              <w:jc w:val="center"/>
              <w:rPr>
                <w:rFonts w:hint="eastAsia" w:ascii="仿宋" w:hAnsi="仿宋" w:eastAsia="仿宋" w:cs="仿宋"/>
                <w:color w:val="auto"/>
                <w:sz w:val="21"/>
                <w:szCs w:val="21"/>
                <w:highlight w:val="none"/>
              </w:rPr>
            </w:pPr>
          </w:p>
        </w:tc>
      </w:tr>
      <w:tr w14:paraId="2359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5000" w:type="pct"/>
            <w:gridSpan w:val="4"/>
            <w:tcMar>
              <w:top w:w="0" w:type="dxa"/>
              <w:left w:w="108" w:type="dxa"/>
              <w:bottom w:w="0" w:type="dxa"/>
              <w:right w:w="108" w:type="dxa"/>
            </w:tcMar>
            <w:vAlign w:val="center"/>
          </w:tcPr>
          <w:p w14:paraId="19949E43">
            <w:pPr>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23C999BC">
      <w:pPr>
        <w:rPr>
          <w:rFonts w:hint="eastAsia" w:ascii="仿宋" w:hAnsi="仿宋" w:eastAsia="仿宋" w:cs="仿宋"/>
          <w:b w:val="0"/>
          <w:bCs/>
          <w:color w:val="auto"/>
          <w:sz w:val="24"/>
          <w:szCs w:val="24"/>
          <w:highlight w:val="none"/>
          <w:shd w:val="clear" w:color="auto" w:fill="FFFFFF" w:themeFill="background1"/>
          <w:lang w:val="en-US" w:eastAsia="zh-CN"/>
        </w:rPr>
      </w:pPr>
    </w:p>
    <w:p w14:paraId="15D8BFEA">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5" w:name="_Toc28240"/>
      <w:r>
        <w:rPr>
          <w:rFonts w:hint="eastAsia" w:ascii="仿宋" w:hAnsi="仿宋" w:eastAsia="仿宋" w:cs="仿宋"/>
          <w:b w:val="0"/>
          <w:bCs/>
          <w:color w:val="auto"/>
          <w:sz w:val="24"/>
          <w:szCs w:val="24"/>
          <w:highlight w:val="none"/>
          <w:shd w:val="clear" w:color="auto" w:fill="FFFFFF" w:themeFill="background1"/>
          <w:lang w:val="en-US" w:eastAsia="zh-CN"/>
        </w:rPr>
        <w:t>一、</w:t>
      </w:r>
      <w:r>
        <w:rPr>
          <w:rFonts w:hint="eastAsia" w:ascii="仿宋" w:hAnsi="仿宋" w:eastAsia="仿宋" w:cs="仿宋"/>
          <w:b w:val="0"/>
          <w:bCs/>
          <w:color w:val="auto"/>
          <w:sz w:val="24"/>
          <w:szCs w:val="24"/>
          <w:highlight w:val="none"/>
          <w:shd w:val="clear" w:color="auto" w:fill="FFFFFF" w:themeFill="background1"/>
        </w:rPr>
        <w:t>评审方法</w:t>
      </w:r>
      <w:bookmarkEnd w:id="34"/>
      <w:bookmarkEnd w:id="35"/>
    </w:p>
    <w:p w14:paraId="043E243A">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本次评审采用综合评分法。磋商小组对满足</w:t>
      </w:r>
      <w:r>
        <w:rPr>
          <w:rFonts w:hint="eastAsia" w:ascii="仿宋" w:hAnsi="仿宋" w:eastAsia="仿宋" w:cs="仿宋"/>
          <w:b w:val="0"/>
          <w:bCs/>
          <w:color w:val="auto"/>
          <w:kern w:val="0"/>
          <w:sz w:val="24"/>
          <w:szCs w:val="24"/>
          <w:highlight w:val="none"/>
          <w:shd w:val="clear" w:color="auto" w:fill="FFFFFF" w:themeFill="background1"/>
          <w:lang w:eastAsia="zh-CN"/>
        </w:rPr>
        <w:t>采购文件</w:t>
      </w:r>
      <w:r>
        <w:rPr>
          <w:rFonts w:hint="eastAsia" w:ascii="仿宋" w:hAnsi="仿宋" w:eastAsia="仿宋" w:cs="仿宋"/>
          <w:b w:val="0"/>
          <w:bCs/>
          <w:color w:val="auto"/>
          <w:kern w:val="0"/>
          <w:sz w:val="24"/>
          <w:szCs w:val="24"/>
          <w:highlight w:val="none"/>
          <w:shd w:val="clear" w:color="auto" w:fill="FFFFFF" w:themeFill="background1"/>
        </w:rPr>
        <w:t>实质性要求的响应文件，按照本节规定的评审标准进行评审。评审中各评审专家若发生意见分歧，以少数服从多数原则确定。</w:t>
      </w:r>
    </w:p>
    <w:p w14:paraId="55443636">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6" w:name="_Toc18662"/>
      <w:bookmarkStart w:id="37" w:name="_Toc20127"/>
      <w:r>
        <w:rPr>
          <w:rFonts w:hint="eastAsia" w:ascii="仿宋" w:hAnsi="仿宋" w:eastAsia="仿宋" w:cs="仿宋"/>
          <w:b w:val="0"/>
          <w:bCs/>
          <w:color w:val="auto"/>
          <w:sz w:val="24"/>
          <w:szCs w:val="24"/>
          <w:highlight w:val="none"/>
          <w:shd w:val="clear" w:color="auto" w:fill="FFFFFF" w:themeFill="background1"/>
          <w:lang w:val="en-US" w:eastAsia="zh-CN"/>
        </w:rPr>
        <w:t>二、</w:t>
      </w:r>
      <w:r>
        <w:rPr>
          <w:rFonts w:hint="eastAsia" w:ascii="仿宋" w:hAnsi="仿宋" w:eastAsia="仿宋" w:cs="仿宋"/>
          <w:b w:val="0"/>
          <w:bCs/>
          <w:color w:val="auto"/>
          <w:sz w:val="24"/>
          <w:szCs w:val="24"/>
          <w:highlight w:val="none"/>
          <w:shd w:val="clear" w:color="auto" w:fill="FFFFFF" w:themeFill="background1"/>
        </w:rPr>
        <w:t>评审标准</w:t>
      </w:r>
      <w:bookmarkEnd w:id="36"/>
      <w:bookmarkEnd w:id="37"/>
    </w:p>
    <w:p w14:paraId="20FFAD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2.1 资格审查：评审因素和评审标准见《资格审查标准》。</w:t>
      </w:r>
    </w:p>
    <w:p w14:paraId="15C5E6FB">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2.2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：评审因素和评审标准见《</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p>
    <w:p w14:paraId="70A85E1D">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2.3详细评审：</w:t>
      </w:r>
    </w:p>
    <w:p w14:paraId="108B2949">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2.3.1详细评审：评审因素和评审标准见《详细评审标准》及本节第3.6款。</w:t>
      </w:r>
    </w:p>
    <w:p w14:paraId="3F1C8CA7">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2.3.2 </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评分标准：</w:t>
      </w:r>
    </w:p>
    <w:p w14:paraId="0C755802">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（1）分值构成及权重：见评审办法前附表。</w:t>
      </w:r>
    </w:p>
    <w:p w14:paraId="335FF1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w:t>
      </w:r>
      <w:r>
        <w:rPr>
          <w:rFonts w:hint="eastAsia" w:ascii="仿宋" w:hAnsi="仿宋" w:eastAsia="仿宋" w:cs="仿宋"/>
          <w:b w:val="0"/>
          <w:bCs/>
          <w:color w:val="auto"/>
          <w:kern w:val="0"/>
          <w:sz w:val="24"/>
          <w:szCs w:val="24"/>
          <w:highlight w:val="none"/>
          <w:shd w:val="clear" w:color="auto" w:fill="FFFFFF" w:themeFill="background1"/>
          <w:lang w:eastAsia="zh-CN"/>
        </w:rPr>
        <w:t>基准价</w:t>
      </w:r>
      <w:r>
        <w:rPr>
          <w:rFonts w:hint="eastAsia" w:ascii="仿宋" w:hAnsi="仿宋" w:eastAsia="仿宋" w:cs="仿宋"/>
          <w:b w:val="0"/>
          <w:bCs/>
          <w:color w:val="auto"/>
          <w:kern w:val="0"/>
          <w:sz w:val="24"/>
          <w:szCs w:val="24"/>
          <w:highlight w:val="none"/>
          <w:shd w:val="clear" w:color="auto" w:fill="FFFFFF" w:themeFill="background1"/>
        </w:rPr>
        <w:t>计算：见评审办法前附表。</w:t>
      </w:r>
    </w:p>
    <w:p w14:paraId="1C16EE62">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得分的计算：见评审办法前附表。</w:t>
      </w:r>
    </w:p>
    <w:p w14:paraId="7CD0EC33">
      <w:pPr>
        <w:widowControl/>
        <w:shd w:val="clear" w:color="auto" w:fill="FFFFFF"/>
        <w:snapToGrid w:val="0"/>
        <w:spacing w:line="360" w:lineRule="auto"/>
        <w:ind w:firstLine="480" w:firstLineChars="200"/>
        <w:outlineLvl w:val="1"/>
        <w:rPr>
          <w:rFonts w:hint="eastAsia" w:ascii="仿宋" w:hAnsi="仿宋" w:eastAsia="仿宋" w:cs="仿宋"/>
          <w:b w:val="0"/>
          <w:bCs/>
          <w:color w:val="auto"/>
          <w:kern w:val="0"/>
          <w:sz w:val="24"/>
          <w:szCs w:val="24"/>
          <w:highlight w:val="none"/>
          <w:shd w:val="clear" w:color="auto" w:fill="FFFFFF" w:themeFill="background1"/>
        </w:rPr>
      </w:pPr>
      <w:bookmarkStart w:id="38" w:name="_Toc19925"/>
      <w:bookmarkStart w:id="39" w:name="_Toc13315"/>
      <w:r>
        <w:rPr>
          <w:rFonts w:hint="eastAsia" w:ascii="仿宋" w:hAnsi="仿宋" w:eastAsia="仿宋" w:cs="仿宋"/>
          <w:b w:val="0"/>
          <w:bCs/>
          <w:color w:val="auto"/>
          <w:kern w:val="0"/>
          <w:sz w:val="24"/>
          <w:szCs w:val="24"/>
          <w:highlight w:val="none"/>
          <w:shd w:val="clear" w:color="auto" w:fill="FFFFFF" w:themeFill="background1"/>
          <w:lang w:val="en-US" w:eastAsia="zh-CN"/>
        </w:rPr>
        <w:t>三、</w:t>
      </w:r>
      <w:r>
        <w:rPr>
          <w:rFonts w:hint="eastAsia" w:ascii="仿宋" w:hAnsi="仿宋" w:eastAsia="仿宋" w:cs="仿宋"/>
          <w:b w:val="0"/>
          <w:bCs/>
          <w:color w:val="auto"/>
          <w:kern w:val="0"/>
          <w:sz w:val="24"/>
          <w:szCs w:val="24"/>
          <w:highlight w:val="none"/>
          <w:shd w:val="clear" w:color="auto" w:fill="FFFFFF" w:themeFill="background1"/>
        </w:rPr>
        <w:t>评审程序</w:t>
      </w:r>
      <w:bookmarkEnd w:id="38"/>
      <w:bookmarkEnd w:id="39"/>
    </w:p>
    <w:p w14:paraId="3ED8D66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3.1 基本程序</w:t>
      </w:r>
    </w:p>
    <w:p w14:paraId="73BB7DF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评审活动将按以下步骤进行：</w:t>
      </w:r>
    </w:p>
    <w:p w14:paraId="2D299D8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val="en-US" w:eastAsia="zh-CN"/>
        </w:rPr>
        <w:t>1</w:t>
      </w:r>
      <w:r>
        <w:rPr>
          <w:rFonts w:hint="eastAsia" w:ascii="仿宋" w:hAnsi="仿宋" w:eastAsia="仿宋" w:cs="仿宋"/>
          <w:b w:val="0"/>
          <w:bCs/>
          <w:color w:val="auto"/>
          <w:kern w:val="0"/>
          <w:sz w:val="24"/>
          <w:szCs w:val="24"/>
          <w:highlight w:val="none"/>
          <w:shd w:val="clear" w:color="auto" w:fill="FFFFFF" w:themeFill="background1"/>
        </w:rPr>
        <w:t>） 评审准备</w:t>
      </w:r>
    </w:p>
    <w:p w14:paraId="64E294B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 资格审查</w:t>
      </w:r>
    </w:p>
    <w:p w14:paraId="60608B6B">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lang w:eastAsia="zh-CN"/>
        </w:rPr>
      </w:pPr>
      <w:r>
        <w:rPr>
          <w:rFonts w:hint="eastAsia" w:ascii="仿宋" w:hAnsi="仿宋" w:eastAsia="仿宋" w:cs="仿宋"/>
          <w:b w:val="0"/>
          <w:bCs/>
          <w:color w:val="auto"/>
          <w:kern w:val="0"/>
          <w:sz w:val="24"/>
          <w:szCs w:val="24"/>
          <w:highlight w:val="none"/>
          <w:shd w:val="clear" w:color="auto" w:fill="FFFFFF" w:themeFill="background1"/>
        </w:rPr>
        <w:t xml:space="preserve">（3）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p>
    <w:p w14:paraId="2C03CD87">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（4） 第二轮报价</w:t>
      </w:r>
    </w:p>
    <w:p w14:paraId="16AAC1AD">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（5） 详细评审</w:t>
      </w:r>
    </w:p>
    <w:p w14:paraId="3D8D413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（6） 澄清、说明或补正</w:t>
      </w:r>
    </w:p>
    <w:p w14:paraId="271EC76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（7） 推荐成交候选人及提交评审报告</w:t>
      </w:r>
    </w:p>
    <w:p w14:paraId="5C3B53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bookmarkStart w:id="40" w:name="_Toc485312286"/>
      <w:r>
        <w:rPr>
          <w:rFonts w:hint="eastAsia" w:ascii="仿宋" w:hAnsi="仿宋" w:eastAsia="仿宋" w:cs="仿宋"/>
          <w:color w:val="auto"/>
          <w:kern w:val="0"/>
          <w:sz w:val="24"/>
          <w:szCs w:val="24"/>
          <w:highlight w:val="none"/>
          <w:shd w:val="clear" w:color="auto" w:fill="FFFFFF" w:themeFill="background1"/>
        </w:rPr>
        <w:t>3.2 评审准备</w:t>
      </w:r>
    </w:p>
    <w:p w14:paraId="2164CE0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3.2.1磋商小组成员签到</w:t>
      </w:r>
    </w:p>
    <w:p w14:paraId="088486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磋商小组成员到达评审现场时应当在签到表上签到以证明其出席。</w:t>
      </w:r>
    </w:p>
    <w:p w14:paraId="6998D7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 磋商小组的分工</w:t>
      </w:r>
    </w:p>
    <w:p w14:paraId="31C64C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3.2.2.1磋商小组首先推选一名磋商小组组长。磋商小组组长负责评审活动的组织领导工作。磋商小组组长与磋商小组其他成员具有同等的评审权力。</w:t>
      </w:r>
    </w:p>
    <w:p w14:paraId="31ED69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 磋商小组组长除履行自己作为磋商小组成员独立评审的职责外，主要负责以下工作： </w:t>
      </w:r>
    </w:p>
    <w:p w14:paraId="7B9B9D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（1）组织磋商小组成员学习</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w:t>
      </w:r>
    </w:p>
    <w:p w14:paraId="572BF51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（2）汇总各磋商小组成员认为需要供应商澄清、说明或者补正的问题；</w:t>
      </w:r>
    </w:p>
    <w:p w14:paraId="636FB4E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（3）组织磋商小组对供应商质询并对供应商的答复进行评审；</w:t>
      </w:r>
    </w:p>
    <w:p w14:paraId="3348F55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28FA915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06FA8E0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5F60C8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6149CE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 熟悉文件资料</w:t>
      </w:r>
    </w:p>
    <w:p w14:paraId="678117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 磋商小组组长应当组织磋商小组成员认真研究</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，了解和熟悉</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目的、采购范围、主要合同条件、技术标准、质量标准和要求，掌握评审标准和方法，熟悉本章及附件中包括的评审表格的使用，如果本章及附件所附的表格不能满足评审所需时，磋商小组应当补充编制评审所需的表格。</w:t>
      </w:r>
    </w:p>
    <w:p w14:paraId="70F4F29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 采购人或采购代理机构应当向磋商小组提供评审所需的信息和数据，包括：</w:t>
      </w:r>
    </w:p>
    <w:p w14:paraId="570310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及其澄清修改等</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补充；</w:t>
      </w:r>
    </w:p>
    <w:p w14:paraId="7CE72EF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会上当场拒绝的各响应文件；</w:t>
      </w:r>
    </w:p>
    <w:p w14:paraId="09D6CD1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会记录；</w:t>
      </w:r>
    </w:p>
    <w:p w14:paraId="33D9046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71557C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2D4461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13A2645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28E6ECE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3.4</w:t>
      </w:r>
      <w:r>
        <w:rPr>
          <w:rFonts w:hint="eastAsia" w:ascii="仿宋" w:hAnsi="仿宋" w:eastAsia="仿宋" w:cs="仿宋"/>
          <w:color w:val="auto"/>
          <w:kern w:val="0"/>
          <w:sz w:val="24"/>
          <w:szCs w:val="24"/>
          <w:highlight w:val="none"/>
          <w:shd w:val="clear" w:color="auto" w:fill="FFFFFF" w:themeFill="background1"/>
          <w:lang w:eastAsia="zh-CN"/>
        </w:rPr>
        <w:t>符合性审查</w:t>
      </w:r>
    </w:p>
    <w:p w14:paraId="478B1A0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磋商小组依据本章规定的评审因素和评审标准，对供应商的响应文件进行</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有一项未通过评审标准，磋商小组将认定整个响应文件不响应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4934CAB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3.5第二轮报价</w:t>
      </w:r>
    </w:p>
    <w:p w14:paraId="365F383E">
      <w:pPr>
        <w:keepLines w:val="0"/>
        <w:pageBreakBefore w:val="0"/>
        <w:widowControl/>
        <w:shd w:val="clear" w:color="auto" w:fill="FFFFFF"/>
        <w:kinsoku/>
        <w:overflowPunct/>
        <w:topLinePunct w:val="0"/>
        <w:bidi w:val="0"/>
        <w:snapToGrid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3.5.1、按照供应商递交响应文件的逆顺序，由磋商小组与</w:t>
      </w:r>
      <w:r>
        <w:rPr>
          <w:rFonts w:hint="eastAsia" w:ascii="仿宋" w:hAnsi="仿宋" w:eastAsia="仿宋" w:cs="仿宋"/>
          <w:color w:val="auto"/>
          <w:kern w:val="0"/>
          <w:sz w:val="24"/>
          <w:szCs w:val="24"/>
          <w:highlight w:val="none"/>
          <w:shd w:val="clear" w:color="auto" w:fill="FFFFFF" w:themeFill="background1"/>
          <w:lang w:val="en-US" w:eastAsia="zh-CN"/>
        </w:rPr>
        <w:t>各供应商</w:t>
      </w:r>
      <w:r>
        <w:rPr>
          <w:rFonts w:hint="eastAsia" w:ascii="仿宋" w:hAnsi="仿宋" w:eastAsia="仿宋" w:cs="仿宋"/>
          <w:color w:val="auto"/>
          <w:kern w:val="0"/>
          <w:sz w:val="24"/>
          <w:szCs w:val="24"/>
          <w:highlight w:val="none"/>
          <w:shd w:val="clear" w:color="auto" w:fill="FFFFFF" w:themeFill="background1"/>
        </w:rPr>
        <w:t>进行磋商</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lang w:val="en-US" w:eastAsia="zh-CN"/>
        </w:rPr>
        <w:t>如需要</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，对响应文件中的漏项、错误等问题进行统一补充和修正并告知供应商，在此基础上进行第二轮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w:t>
      </w:r>
    </w:p>
    <w:p w14:paraId="1AEBB2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3.5.2、供应商分别进行各自第二轮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，作为最终</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的依据。</w:t>
      </w:r>
      <w:r>
        <w:rPr>
          <w:rFonts w:hint="eastAsia" w:ascii="仿宋" w:hAnsi="仿宋" w:eastAsia="仿宋" w:cs="仿宋"/>
          <w:color w:val="auto"/>
          <w:kern w:val="0"/>
          <w:sz w:val="24"/>
          <w:szCs w:val="24"/>
          <w:highlight w:val="none"/>
          <w:shd w:val="clear" w:color="auto" w:fill="FFFFFF" w:themeFill="background1"/>
          <w:lang w:eastAsia="zh-CN"/>
        </w:rPr>
        <w:t>若供应商未进行第二轮报价，视为放弃响应资格；其响应无效；不在参与后续评审</w:t>
      </w:r>
      <w:r>
        <w:rPr>
          <w:rFonts w:hint="eastAsia" w:ascii="仿宋" w:hAnsi="仿宋" w:eastAsia="仿宋" w:cs="仿宋"/>
          <w:color w:val="auto"/>
          <w:kern w:val="0"/>
          <w:sz w:val="24"/>
          <w:szCs w:val="24"/>
          <w:highlight w:val="none"/>
          <w:shd w:val="clear" w:color="auto" w:fill="FFFFFF" w:themeFill="background1"/>
          <w:lang w:val="en-US" w:eastAsia="zh-CN"/>
        </w:rPr>
        <w:t>进行修正</w:t>
      </w:r>
      <w:r>
        <w:rPr>
          <w:rFonts w:hint="eastAsia" w:ascii="仿宋" w:hAnsi="仿宋" w:eastAsia="仿宋" w:cs="仿宋"/>
          <w:color w:val="auto"/>
          <w:kern w:val="0"/>
          <w:sz w:val="24"/>
          <w:szCs w:val="24"/>
          <w:highlight w:val="none"/>
          <w:shd w:val="clear" w:color="auto" w:fill="FFFFFF" w:themeFill="background1"/>
        </w:rPr>
        <w:t>。</w:t>
      </w:r>
    </w:p>
    <w:p w14:paraId="76A79C1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3.6、详细评审</w:t>
      </w:r>
    </w:p>
    <w:p w14:paraId="20F858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3.6.1.澄清、说明和补正</w:t>
      </w:r>
    </w:p>
    <w:p w14:paraId="6641B4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3.6.1.1在不改变供应商响应文件实质性内容的前提下，磋商小组应当对响应文件进行基础性数据分析和整理，从而发现并提取其中可能存在的对采购范围理解的偏差、技术响应偏离、</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的算术性错误、错漏项、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构成不合理、不平衡报价等存在明显异常的问题。</w:t>
      </w:r>
    </w:p>
    <w:p w14:paraId="543AF6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3.6.1.2澄清、说明和补正内容不得改变响应文件的实质性内容（算术性错误修正的除外）。供应商的书面澄清、说明和补正属于响应文件的组成部分。</w:t>
      </w:r>
    </w:p>
    <w:p w14:paraId="112243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3.6.1.3磋商小组针对需要供应商对所提交响应文件中不明确的内容进行书面澄清、说明或补正。澄清通知不得向供应商提出带有暗示性或诱导性问题，或向其明确响应文件中的遗漏和错误。供应商接到磋商小组发出的书面澄清通知后，应按磋商小组的要求提供书面澄清资料，并在规定的时间递交到指定地点。磋商小组不接受供应商主动提出的澄清、说明或补正。</w:t>
      </w:r>
    </w:p>
    <w:p w14:paraId="3D3CA4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3.6.1.4磋商小组对供应商提交的澄清、说明或补正有疑问的，可以要求供应商进一步澄清、说明或补正，直至满足磋商小组的要求。</w:t>
      </w:r>
    </w:p>
    <w:p w14:paraId="23FD142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3.6.2评审专家评分：评审专家按照《详细评审标准》评分，供应商详细评审得分等于全部评审专家评分的算术平均值。</w:t>
      </w:r>
    </w:p>
    <w:p w14:paraId="1A50F5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 xml:space="preserve"> 算术错误修正：</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磋商小组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进行修正：</w:t>
      </w:r>
    </w:p>
    <w:p w14:paraId="169F64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（1）电子交易平台中报价与响应文件相应内容不一致的，以响应文件为准；</w:t>
      </w:r>
    </w:p>
    <w:p w14:paraId="1DA36C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与响应文件中相应内容不一致的，以</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为准；</w:t>
      </w:r>
    </w:p>
    <w:p w14:paraId="44BDCC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688CADD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w:t>
      </w:r>
      <w:r>
        <w:rPr>
          <w:rFonts w:hint="eastAsia" w:ascii="仿宋" w:hAnsi="仿宋" w:eastAsia="仿宋" w:cs="仿宋"/>
          <w:color w:val="auto"/>
          <w:kern w:val="0"/>
          <w:sz w:val="24"/>
          <w:szCs w:val="24"/>
          <w:highlight w:val="none"/>
          <w:lang w:eastAsia="zh-CN"/>
        </w:rPr>
        <w:t>响应函</w:t>
      </w:r>
      <w:r>
        <w:rPr>
          <w:rFonts w:hint="eastAsia" w:ascii="仿宋" w:hAnsi="仿宋" w:eastAsia="仿宋" w:cs="仿宋"/>
          <w:color w:val="auto"/>
          <w:kern w:val="0"/>
          <w:sz w:val="24"/>
          <w:szCs w:val="24"/>
          <w:highlight w:val="none"/>
        </w:rPr>
        <w:t>的总价为准，并修改单价；</w:t>
      </w:r>
    </w:p>
    <w:p w14:paraId="70264A6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6CD5B7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确认后产生约束力，</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不确认或不接受的，其</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无效。</w:t>
      </w:r>
    </w:p>
    <w:p w14:paraId="706F60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政府采购评审中出现下列情形之一的，评审委员会应当启动异常低价</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审查程序：</w:t>
      </w:r>
    </w:p>
    <w:p w14:paraId="353B72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w:t>
      </w:r>
    </w:p>
    <w:p w14:paraId="3980C6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w:t>
      </w:r>
    </w:p>
    <w:p w14:paraId="080958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报价低于采购项目最高限价45%的，即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报价&lt;采购项目最高限价×45%；</w:t>
      </w:r>
    </w:p>
    <w:p w14:paraId="7F09DE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（4）评审委员会基于专业判断，认为供应商报价过低，有可能影响产品质量或者不能诚信履约的其他情形。</w:t>
      </w:r>
    </w:p>
    <w:p w14:paraId="3EAC53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3.6.5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6D5319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xml:space="preserve"> 磋商小组认为供应商的报价明显低于其他</w:t>
      </w:r>
      <w:r>
        <w:rPr>
          <w:rFonts w:hint="eastAsia" w:ascii="仿宋" w:hAnsi="仿宋" w:eastAsia="仿宋" w:cs="仿宋"/>
          <w:color w:val="auto"/>
          <w:kern w:val="0"/>
          <w:sz w:val="24"/>
          <w:szCs w:val="24"/>
          <w:highlight w:val="none"/>
          <w:shd w:val="clear" w:color="auto" w:fill="FFFFFF" w:themeFill="background1"/>
        </w:rPr>
        <w:t>通过符合性审查供应商的报价，有可能影响产品质量或者不能诚信履约的，应当要求其在</w:t>
      </w:r>
      <w:r>
        <w:rPr>
          <w:rFonts w:hint="eastAsia" w:ascii="仿宋" w:hAnsi="仿宋" w:eastAsia="仿宋" w:cs="仿宋"/>
          <w:color w:val="auto"/>
          <w:kern w:val="0"/>
          <w:sz w:val="24"/>
          <w:szCs w:val="24"/>
          <w:highlight w:val="none"/>
          <w:shd w:val="clear" w:color="auto" w:fill="FFFFFF" w:themeFill="background1"/>
          <w:lang w:eastAsia="zh-CN"/>
        </w:rPr>
        <w:t>评审现场</w:t>
      </w:r>
      <w:r>
        <w:rPr>
          <w:rFonts w:hint="eastAsia" w:ascii="仿宋" w:hAnsi="仿宋" w:eastAsia="仿宋" w:cs="仿宋"/>
          <w:color w:val="auto"/>
          <w:kern w:val="0"/>
          <w:sz w:val="24"/>
          <w:szCs w:val="24"/>
          <w:highlight w:val="none"/>
          <w:shd w:val="clear" w:color="auto" w:fill="FFFFFF" w:themeFill="background1"/>
        </w:rPr>
        <w:t>合理的时间内提供书面说明，必要时提交相关证明材料；供应商不能证明其报价合理性的，磋商小组应当将其作为无效</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处理。</w:t>
      </w:r>
    </w:p>
    <w:p w14:paraId="51FC52D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评分：对</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进行</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得分计算，计算方法详见评审办法前附表。</w:t>
      </w:r>
    </w:p>
    <w:p w14:paraId="35D5CCA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 xml:space="preserve">8 </w:t>
      </w:r>
      <w:r>
        <w:rPr>
          <w:rFonts w:hint="eastAsia" w:ascii="仿宋" w:hAnsi="仿宋" w:eastAsia="仿宋" w:cs="仿宋"/>
          <w:color w:val="auto"/>
          <w:kern w:val="0"/>
          <w:sz w:val="24"/>
          <w:szCs w:val="24"/>
          <w:highlight w:val="none"/>
          <w:shd w:val="clear" w:color="auto" w:fill="FFFFFF" w:themeFill="background1"/>
        </w:rPr>
        <w:t>汇总评分结果，评分分值计算保留小数点后两位，小数点后第三位“四舍五入”。</w:t>
      </w:r>
    </w:p>
    <w:p w14:paraId="03D4FB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 xml:space="preserve"> 详细评审工作全部结束后，供应商总得分排序按照以下原则进行。</w:t>
      </w:r>
    </w:p>
    <w:p w14:paraId="127B9E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.1按照总得分由高到低顺序对供应商进行排序；</w:t>
      </w:r>
    </w:p>
    <w:p w14:paraId="20766C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.2总得分相同时报价低的供应商排序靠前；</w:t>
      </w:r>
    </w:p>
    <w:p w14:paraId="2994DF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3</w:t>
      </w:r>
      <w:r>
        <w:rPr>
          <w:rFonts w:hint="eastAsia" w:ascii="仿宋" w:hAnsi="仿宋" w:eastAsia="仿宋" w:cs="仿宋"/>
          <w:color w:val="auto"/>
          <w:kern w:val="0"/>
          <w:sz w:val="24"/>
          <w:szCs w:val="24"/>
          <w:highlight w:val="none"/>
          <w:shd w:val="clear" w:color="auto" w:fill="FFFFFF" w:themeFill="background1"/>
        </w:rPr>
        <w:t>总得分相同</w:t>
      </w:r>
      <w:r>
        <w:rPr>
          <w:rFonts w:hint="eastAsia" w:ascii="仿宋" w:hAnsi="仿宋" w:eastAsia="仿宋" w:cs="仿宋"/>
          <w:color w:val="auto"/>
          <w:kern w:val="0"/>
          <w:sz w:val="24"/>
          <w:szCs w:val="24"/>
          <w:highlight w:val="none"/>
          <w:shd w:val="clear" w:color="auto" w:fill="FFFFFF" w:themeFill="background1"/>
          <w:lang w:val="en-US" w:eastAsia="zh-CN"/>
        </w:rPr>
        <w:t>且</w:t>
      </w:r>
      <w:r>
        <w:rPr>
          <w:rFonts w:hint="eastAsia" w:ascii="仿宋" w:hAnsi="仿宋" w:eastAsia="仿宋" w:cs="仿宋"/>
          <w:color w:val="auto"/>
          <w:kern w:val="0"/>
          <w:sz w:val="24"/>
          <w:szCs w:val="24"/>
          <w:highlight w:val="none"/>
          <w:shd w:val="clear" w:color="auto" w:fill="FFFFFF" w:themeFill="background1"/>
        </w:rPr>
        <w:t>报价相同</w:t>
      </w:r>
      <w:r>
        <w:rPr>
          <w:rFonts w:hint="eastAsia" w:ascii="仿宋" w:hAnsi="仿宋" w:eastAsia="仿宋" w:cs="仿宋"/>
          <w:color w:val="auto"/>
          <w:kern w:val="0"/>
          <w:sz w:val="24"/>
          <w:szCs w:val="24"/>
          <w:highlight w:val="none"/>
          <w:shd w:val="clear" w:color="auto" w:fill="FFFFFF" w:themeFill="background1"/>
          <w:lang w:val="en-US" w:eastAsia="zh-CN"/>
        </w:rPr>
        <w:t>时，由采购人确定</w:t>
      </w:r>
      <w:r>
        <w:rPr>
          <w:rFonts w:hint="eastAsia" w:ascii="仿宋" w:hAnsi="仿宋" w:eastAsia="仿宋" w:cs="仿宋"/>
          <w:color w:val="auto"/>
          <w:kern w:val="0"/>
          <w:sz w:val="24"/>
          <w:szCs w:val="24"/>
          <w:highlight w:val="none"/>
          <w:shd w:val="clear" w:color="auto" w:fill="FFFFFF" w:themeFill="background1"/>
        </w:rPr>
        <w:t>供应商排序；</w:t>
      </w:r>
    </w:p>
    <w:p w14:paraId="07F5983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 xml:space="preserve"> 推荐成交候选人及提交评审报告</w:t>
      </w:r>
    </w:p>
    <w:p w14:paraId="1A5758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.1磋商小组推荐成交候选人，总得分排序第一的供应商将被确定为第一成交候选人，以此类推确定出规定数量的的成交候选人。</w:t>
      </w:r>
    </w:p>
    <w:p w14:paraId="4FC136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.2当通过了资格审查、</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后，供应商少于3个时，采购人应当依法重新</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w:t>
      </w:r>
    </w:p>
    <w:p w14:paraId="45E97D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.3 磋商小组完成评审后，应当向采购人提交书面评审报告。</w:t>
      </w:r>
    </w:p>
    <w:p w14:paraId="64CA52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 xml:space="preserve"> 特殊情况的处置程序</w:t>
      </w:r>
    </w:p>
    <w:p w14:paraId="4B4011A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.1 关于评审活动暂停</w:t>
      </w:r>
    </w:p>
    <w:p w14:paraId="14973F0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磋商小组继续评审。</w:t>
      </w:r>
    </w:p>
    <w:p w14:paraId="680113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.2关于评审中途更换评审专家</w:t>
      </w:r>
    </w:p>
    <w:p w14:paraId="0E3B452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.2.1 除非发生下列情况之一，磋商小组成员不得在评审中途更换：</w:t>
      </w:r>
    </w:p>
    <w:p w14:paraId="20FB5B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39FA62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（2）根据法律法规规定，某个或某几个磋商小组成员需要回避。</w:t>
      </w:r>
    </w:p>
    <w:p w14:paraId="79AC3D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.2.2 退出评审的磋商小组成员，其已完成的评审行为无效，由更换的评审专家进行评审。</w:t>
      </w:r>
    </w:p>
    <w:p w14:paraId="54C513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.3 在评审环节中，需磋商小组就某项定性的评审结论做出表决的，由磋商小组全体成员按照少数服从多数的原则确定。</w:t>
      </w:r>
    </w:p>
    <w:p w14:paraId="18B6AC9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B3FC676">
      <w:pPr>
        <w:widowControl/>
        <w:shd w:val="clear" w:color="auto" w:fill="FFFFFF"/>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问题澄清通知</w:t>
      </w:r>
    </w:p>
    <w:p w14:paraId="5F59280E">
      <w:pPr>
        <w:rPr>
          <w:rFonts w:hint="eastAsia" w:ascii="仿宋" w:hAnsi="仿宋" w:eastAsia="仿宋" w:cs="仿宋"/>
          <w:color w:val="auto"/>
          <w:sz w:val="24"/>
          <w:szCs w:val="24"/>
          <w:highlight w:val="none"/>
        </w:rPr>
      </w:pPr>
    </w:p>
    <w:p w14:paraId="2209054D">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（供应商名称）：</w:t>
      </w:r>
    </w:p>
    <w:p w14:paraId="6B0A8BE1">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（采购项目名称）的磋商小组，对你方的响应文件进行了仔细的审查，现需你方对本通知所附质疑问卷中的问题以书面形式予以澄清、说明或者补正。</w:t>
      </w:r>
    </w:p>
    <w:p w14:paraId="58034C6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质疑问题：</w:t>
      </w:r>
    </w:p>
    <w:p w14:paraId="29164FE4">
      <w:pPr>
        <w:rPr>
          <w:rFonts w:hint="eastAsia" w:ascii="仿宋" w:hAnsi="仿宋" w:eastAsia="仿宋" w:cs="仿宋"/>
          <w:color w:val="auto"/>
          <w:kern w:val="0"/>
          <w:sz w:val="24"/>
          <w:szCs w:val="24"/>
          <w:highlight w:val="none"/>
        </w:rPr>
      </w:pPr>
    </w:p>
    <w:p w14:paraId="41FCF210">
      <w:pPr>
        <w:rPr>
          <w:rFonts w:hint="eastAsia" w:ascii="仿宋" w:hAnsi="仿宋" w:eastAsia="仿宋" w:cs="仿宋"/>
          <w:color w:val="auto"/>
          <w:kern w:val="0"/>
          <w:sz w:val="24"/>
          <w:szCs w:val="24"/>
          <w:highlight w:val="none"/>
        </w:rPr>
      </w:pPr>
    </w:p>
    <w:p w14:paraId="3C8E4F4B">
      <w:pPr>
        <w:rPr>
          <w:rFonts w:hint="eastAsia" w:ascii="仿宋" w:hAnsi="仿宋" w:eastAsia="仿宋" w:cs="仿宋"/>
          <w:color w:val="auto"/>
          <w:kern w:val="0"/>
          <w:sz w:val="24"/>
          <w:szCs w:val="24"/>
          <w:highlight w:val="none"/>
        </w:rPr>
      </w:pPr>
    </w:p>
    <w:p w14:paraId="7360E54D">
      <w:pPr>
        <w:rPr>
          <w:rFonts w:hint="eastAsia" w:ascii="仿宋" w:hAnsi="仿宋" w:eastAsia="仿宋" w:cs="仿宋"/>
          <w:color w:val="auto"/>
          <w:kern w:val="0"/>
          <w:sz w:val="24"/>
          <w:szCs w:val="24"/>
          <w:highlight w:val="none"/>
        </w:rPr>
      </w:pPr>
    </w:p>
    <w:p w14:paraId="5D0C6BDD">
      <w:pPr>
        <w:rPr>
          <w:rFonts w:hint="eastAsia" w:ascii="仿宋" w:hAnsi="仿宋" w:eastAsia="仿宋" w:cs="仿宋"/>
          <w:color w:val="auto"/>
          <w:kern w:val="0"/>
          <w:sz w:val="24"/>
          <w:szCs w:val="24"/>
          <w:highlight w:val="none"/>
        </w:rPr>
      </w:pPr>
    </w:p>
    <w:p w14:paraId="2D18CA79">
      <w:pPr>
        <w:rPr>
          <w:rFonts w:hint="eastAsia" w:ascii="仿宋" w:hAnsi="仿宋" w:eastAsia="仿宋" w:cs="仿宋"/>
          <w:color w:val="auto"/>
          <w:kern w:val="0"/>
          <w:sz w:val="24"/>
          <w:szCs w:val="24"/>
          <w:highlight w:val="none"/>
        </w:rPr>
      </w:pPr>
    </w:p>
    <w:p w14:paraId="3B4BC083">
      <w:pPr>
        <w:rPr>
          <w:rFonts w:hint="eastAsia" w:ascii="仿宋" w:hAnsi="仿宋" w:eastAsia="仿宋" w:cs="仿宋"/>
          <w:color w:val="auto"/>
          <w:kern w:val="0"/>
          <w:sz w:val="24"/>
          <w:szCs w:val="24"/>
          <w:highlight w:val="none"/>
        </w:rPr>
      </w:pPr>
    </w:p>
    <w:p w14:paraId="5463772B">
      <w:pPr>
        <w:rPr>
          <w:rFonts w:hint="eastAsia" w:ascii="仿宋" w:hAnsi="仿宋" w:eastAsia="仿宋" w:cs="仿宋"/>
          <w:color w:val="auto"/>
          <w:kern w:val="0"/>
          <w:sz w:val="24"/>
          <w:szCs w:val="24"/>
          <w:highlight w:val="none"/>
        </w:rPr>
      </w:pPr>
    </w:p>
    <w:p w14:paraId="740288CD">
      <w:pPr>
        <w:rPr>
          <w:rFonts w:hint="eastAsia" w:ascii="仿宋" w:hAnsi="仿宋" w:eastAsia="仿宋" w:cs="仿宋"/>
          <w:color w:val="auto"/>
          <w:kern w:val="0"/>
          <w:sz w:val="24"/>
          <w:szCs w:val="24"/>
          <w:highlight w:val="none"/>
        </w:rPr>
      </w:pPr>
    </w:p>
    <w:p w14:paraId="69E01ACA">
      <w:pPr>
        <w:rPr>
          <w:rFonts w:hint="eastAsia" w:ascii="仿宋" w:hAnsi="仿宋" w:eastAsia="仿宋" w:cs="仿宋"/>
          <w:color w:val="auto"/>
          <w:kern w:val="0"/>
          <w:sz w:val="24"/>
          <w:szCs w:val="24"/>
          <w:highlight w:val="none"/>
        </w:rPr>
      </w:pPr>
    </w:p>
    <w:p w14:paraId="13CD722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磋商小组成员：</w:t>
      </w:r>
    </w:p>
    <w:p w14:paraId="1B503C68">
      <w:pPr>
        <w:rPr>
          <w:rFonts w:hint="eastAsia" w:ascii="仿宋" w:hAnsi="仿宋" w:eastAsia="仿宋" w:cs="仿宋"/>
          <w:color w:val="auto"/>
          <w:kern w:val="0"/>
          <w:sz w:val="24"/>
          <w:szCs w:val="24"/>
          <w:highlight w:val="none"/>
        </w:rPr>
      </w:pPr>
    </w:p>
    <w:p w14:paraId="3C84708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86C6D9B">
      <w:pPr>
        <w:jc w:val="center"/>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r>
        <w:rPr>
          <w:rFonts w:hint="eastAsia" w:ascii="仿宋" w:hAnsi="仿宋" w:eastAsia="仿宋" w:cs="仿宋"/>
          <w:b/>
          <w:color w:val="auto"/>
          <w:sz w:val="24"/>
          <w:szCs w:val="24"/>
          <w:highlight w:val="none"/>
        </w:rPr>
        <w:t>问题的澄清、说明或补正</w:t>
      </w:r>
    </w:p>
    <w:p w14:paraId="2F009587">
      <w:pPr>
        <w:rPr>
          <w:rFonts w:hint="eastAsia" w:ascii="仿宋" w:hAnsi="仿宋" w:eastAsia="仿宋" w:cs="仿宋"/>
          <w:color w:val="auto"/>
          <w:kern w:val="0"/>
          <w:sz w:val="24"/>
          <w:szCs w:val="24"/>
          <w:highlight w:val="none"/>
        </w:rPr>
      </w:pPr>
    </w:p>
    <w:p w14:paraId="1CA98E3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w:t>
      </w:r>
    </w:p>
    <w:p w14:paraId="509842E8">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（采购项目名称）的问题澄清通知已收悉，现澄清、说明或者补正如下：</w:t>
      </w:r>
    </w:p>
    <w:p w14:paraId="45D9E46F">
      <w:pPr>
        <w:rPr>
          <w:rFonts w:hint="eastAsia" w:ascii="仿宋" w:hAnsi="仿宋" w:eastAsia="仿宋" w:cs="仿宋"/>
          <w:color w:val="auto"/>
          <w:kern w:val="0"/>
          <w:sz w:val="24"/>
          <w:szCs w:val="24"/>
          <w:highlight w:val="none"/>
        </w:rPr>
      </w:pPr>
    </w:p>
    <w:p w14:paraId="0BBBA70F">
      <w:pPr>
        <w:rPr>
          <w:rFonts w:hint="eastAsia" w:ascii="仿宋" w:hAnsi="仿宋" w:eastAsia="仿宋" w:cs="仿宋"/>
          <w:color w:val="auto"/>
          <w:kern w:val="0"/>
          <w:sz w:val="24"/>
          <w:szCs w:val="24"/>
          <w:highlight w:val="none"/>
        </w:rPr>
      </w:pPr>
    </w:p>
    <w:p w14:paraId="568190B6">
      <w:pPr>
        <w:rPr>
          <w:rFonts w:hint="eastAsia" w:ascii="仿宋" w:hAnsi="仿宋" w:eastAsia="仿宋" w:cs="仿宋"/>
          <w:color w:val="auto"/>
          <w:kern w:val="0"/>
          <w:sz w:val="24"/>
          <w:szCs w:val="24"/>
          <w:highlight w:val="none"/>
        </w:rPr>
      </w:pPr>
    </w:p>
    <w:p w14:paraId="6EC07BF8">
      <w:pPr>
        <w:rPr>
          <w:rFonts w:hint="eastAsia" w:ascii="仿宋" w:hAnsi="仿宋" w:eastAsia="仿宋" w:cs="仿宋"/>
          <w:color w:val="auto"/>
          <w:kern w:val="0"/>
          <w:sz w:val="24"/>
          <w:szCs w:val="24"/>
          <w:highlight w:val="none"/>
        </w:rPr>
      </w:pPr>
    </w:p>
    <w:p w14:paraId="3945377F">
      <w:pPr>
        <w:rPr>
          <w:rFonts w:hint="eastAsia" w:ascii="仿宋" w:hAnsi="仿宋" w:eastAsia="仿宋" w:cs="仿宋"/>
          <w:color w:val="auto"/>
          <w:kern w:val="0"/>
          <w:sz w:val="24"/>
          <w:szCs w:val="24"/>
          <w:highlight w:val="none"/>
        </w:rPr>
      </w:pPr>
    </w:p>
    <w:p w14:paraId="7DE246F2">
      <w:pPr>
        <w:rPr>
          <w:rFonts w:hint="eastAsia" w:ascii="仿宋" w:hAnsi="仿宋" w:eastAsia="仿宋" w:cs="仿宋"/>
          <w:color w:val="auto"/>
          <w:kern w:val="0"/>
          <w:sz w:val="24"/>
          <w:szCs w:val="24"/>
          <w:highlight w:val="none"/>
        </w:rPr>
      </w:pPr>
    </w:p>
    <w:p w14:paraId="245D2113">
      <w:pPr>
        <w:rPr>
          <w:rFonts w:hint="eastAsia" w:ascii="仿宋" w:hAnsi="仿宋" w:eastAsia="仿宋" w:cs="仿宋"/>
          <w:color w:val="auto"/>
          <w:kern w:val="0"/>
          <w:sz w:val="24"/>
          <w:szCs w:val="24"/>
          <w:highlight w:val="none"/>
        </w:rPr>
      </w:pPr>
    </w:p>
    <w:p w14:paraId="69D5B153">
      <w:pPr>
        <w:rPr>
          <w:rFonts w:hint="eastAsia" w:ascii="仿宋" w:hAnsi="仿宋" w:eastAsia="仿宋" w:cs="仿宋"/>
          <w:color w:val="auto"/>
          <w:kern w:val="0"/>
          <w:sz w:val="24"/>
          <w:szCs w:val="24"/>
          <w:highlight w:val="none"/>
        </w:rPr>
      </w:pPr>
    </w:p>
    <w:p w14:paraId="57520206">
      <w:pPr>
        <w:rPr>
          <w:rFonts w:hint="eastAsia" w:ascii="仿宋" w:hAnsi="仿宋" w:eastAsia="仿宋" w:cs="仿宋"/>
          <w:color w:val="auto"/>
          <w:kern w:val="0"/>
          <w:sz w:val="24"/>
          <w:szCs w:val="24"/>
          <w:highlight w:val="none"/>
        </w:rPr>
      </w:pPr>
    </w:p>
    <w:p w14:paraId="0FAB9F1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法定代表人或其授权委托人（签字）：</w:t>
      </w:r>
    </w:p>
    <w:p w14:paraId="20B387B2">
      <w:pPr>
        <w:rPr>
          <w:rFonts w:hint="eastAsia" w:ascii="仿宋" w:hAnsi="仿宋" w:eastAsia="仿宋" w:cs="仿宋"/>
          <w:color w:val="auto"/>
          <w:kern w:val="0"/>
          <w:sz w:val="24"/>
          <w:szCs w:val="24"/>
          <w:highlight w:val="none"/>
        </w:rPr>
      </w:pPr>
    </w:p>
    <w:p w14:paraId="1D00BA7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D36FD51">
      <w:pPr>
        <w:widowControl/>
        <w:jc w:val="center"/>
        <w:outlineLvl w:val="0"/>
        <w:rPr>
          <w:rFonts w:hint="eastAsia" w:ascii="仿宋" w:hAnsi="仿宋" w:eastAsia="仿宋" w:cs="仿宋"/>
          <w:b/>
          <w:color w:val="auto"/>
          <w:sz w:val="24"/>
          <w:szCs w:val="24"/>
          <w:highlight w:val="none"/>
          <w:lang w:eastAsia="zh-CN"/>
        </w:rPr>
      </w:pPr>
      <w:r>
        <w:rPr>
          <w:rFonts w:hint="eastAsia" w:ascii="仿宋" w:hAnsi="仿宋" w:eastAsia="仿宋" w:cs="仿宋"/>
          <w:color w:val="auto"/>
          <w:kern w:val="0"/>
          <w:sz w:val="24"/>
          <w:szCs w:val="24"/>
          <w:highlight w:val="none"/>
        </w:rPr>
        <w:br w:type="page"/>
      </w:r>
      <w:bookmarkEnd w:id="40"/>
      <w:bookmarkStart w:id="41" w:name="_Toc38446459"/>
      <w:bookmarkStart w:id="42" w:name="_Toc507586162"/>
      <w:bookmarkStart w:id="43" w:name="_Toc32635"/>
      <w:r>
        <w:rPr>
          <w:rFonts w:hint="eastAsia" w:ascii="仿宋" w:hAnsi="仿宋" w:eastAsia="仿宋" w:cs="仿宋"/>
          <w:b/>
          <w:color w:val="auto"/>
          <w:sz w:val="24"/>
          <w:szCs w:val="24"/>
          <w:highlight w:val="none"/>
        </w:rPr>
        <w:t xml:space="preserve">第三章 </w:t>
      </w:r>
      <w:bookmarkEnd w:id="41"/>
      <w:bookmarkEnd w:id="42"/>
      <w:r>
        <w:rPr>
          <w:rFonts w:hint="eastAsia" w:ascii="仿宋" w:hAnsi="仿宋" w:eastAsia="仿宋" w:cs="仿宋"/>
          <w:b/>
          <w:color w:val="auto"/>
          <w:sz w:val="24"/>
          <w:szCs w:val="24"/>
          <w:highlight w:val="none"/>
          <w:lang w:eastAsia="zh-CN"/>
        </w:rPr>
        <w:t>合同文本</w:t>
      </w:r>
      <w:bookmarkEnd w:id="43"/>
    </w:p>
    <w:p w14:paraId="29FACB2A">
      <w:pPr>
        <w:pageBreakBefore w:val="0"/>
        <w:kinsoku/>
        <w:wordWrap/>
        <w:overflowPunct/>
        <w:topLinePunct w:val="0"/>
        <w:autoSpaceDE w:val="0"/>
        <w:autoSpaceDN w:val="0"/>
        <w:bidi w:val="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highlight w:val="none"/>
        </w:rPr>
        <w:t>注：本合同文本供参考，具体内容以双方签订的为准。</w:t>
      </w:r>
    </w:p>
    <w:p w14:paraId="46336DDE">
      <w:pPr>
        <w:pageBreakBefore w:val="0"/>
        <w:kinsoku/>
        <w:wordWrap/>
        <w:overflowPunct/>
        <w:topLinePunct w:val="0"/>
        <w:autoSpaceDE w:val="0"/>
        <w:autoSpaceDN w:val="0"/>
        <w:bidi w:val="0"/>
        <w:snapToGrid/>
        <w:textAlignment w:val="auto"/>
        <w:outlineLvl w:val="9"/>
        <w:rPr>
          <w:rFonts w:hint="eastAsia" w:ascii="仿宋" w:hAnsi="仿宋" w:eastAsia="仿宋" w:cs="仿宋"/>
          <w:color w:val="auto"/>
          <w:sz w:val="24"/>
          <w:szCs w:val="24"/>
          <w:highlight w:val="none"/>
        </w:rPr>
      </w:pPr>
    </w:p>
    <w:p w14:paraId="482DF792">
      <w:pPr>
        <w:pageBreakBefore w:val="0"/>
        <w:kinsoku/>
        <w:wordWrap/>
        <w:overflowPunct/>
        <w:topLinePunct w:val="0"/>
        <w:bidi w:val="0"/>
        <w:snapToGrid/>
        <w:textAlignment w:val="auto"/>
        <w:outlineLvl w:val="9"/>
        <w:rPr>
          <w:rFonts w:hint="eastAsia" w:ascii="仿宋" w:hAnsi="仿宋" w:eastAsia="仿宋" w:cs="仿宋"/>
          <w:color w:val="auto"/>
          <w:sz w:val="24"/>
          <w:szCs w:val="24"/>
          <w:highlight w:val="none"/>
        </w:rPr>
      </w:pPr>
    </w:p>
    <w:p w14:paraId="47A46191">
      <w:pPr>
        <w:pageBreakBefore w:val="0"/>
        <w:kinsoku/>
        <w:wordWrap/>
        <w:overflowPunct/>
        <w:topLinePunct w:val="0"/>
        <w:bidi w:val="0"/>
        <w:spacing w:line="413" w:lineRule="auto"/>
        <w:jc w:val="center"/>
        <w:textAlignment w:val="auto"/>
        <w:outlineLvl w:val="9"/>
        <w:rPr>
          <w:rFonts w:hint="eastAsia" w:ascii="仿宋" w:hAnsi="仿宋" w:eastAsia="仿宋" w:cs="仿宋"/>
          <w:b w:val="0"/>
          <w:color w:val="auto"/>
          <w:sz w:val="28"/>
          <w:szCs w:val="28"/>
          <w:highlight w:val="none"/>
        </w:rPr>
      </w:pPr>
      <w:bookmarkStart w:id="44" w:name="_Toc2496"/>
      <w:r>
        <w:rPr>
          <w:rFonts w:hint="eastAsia" w:ascii="仿宋" w:hAnsi="仿宋" w:eastAsia="仿宋" w:cs="仿宋"/>
          <w:color w:val="auto"/>
          <w:sz w:val="28"/>
          <w:szCs w:val="28"/>
          <w:highlight w:val="none"/>
        </w:rPr>
        <w:t>第一部分 合同协议书</w:t>
      </w:r>
      <w:bookmarkEnd w:id="44"/>
    </w:p>
    <w:p w14:paraId="1B74FBBD">
      <w:pPr>
        <w:pageBreakBefore w:val="0"/>
        <w:kinsoku/>
        <w:wordWrap/>
        <w:overflowPunct/>
        <w:topLinePunct w:val="0"/>
        <w:bidi w:val="0"/>
        <w:spacing w:line="360" w:lineRule="auto"/>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发包人（全称）：</w:t>
      </w:r>
      <w:r>
        <w:rPr>
          <w:rFonts w:hint="eastAsia" w:ascii="仿宋" w:hAnsi="仿宋" w:eastAsia="仿宋" w:cs="仿宋"/>
          <w:b/>
          <w:color w:val="auto"/>
          <w:sz w:val="24"/>
          <w:szCs w:val="24"/>
          <w:highlight w:val="none"/>
          <w:u w:val="single"/>
        </w:rPr>
        <w:t xml:space="preserve">           新疆农业大学                 </w:t>
      </w:r>
    </w:p>
    <w:p w14:paraId="25E0D737">
      <w:pPr>
        <w:pageBreakBefore w:val="0"/>
        <w:kinsoku/>
        <w:wordWrap/>
        <w:overflowPunct/>
        <w:topLinePunct w:val="0"/>
        <w:bidi w:val="0"/>
        <w:spacing w:line="360" w:lineRule="auto"/>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承包人（全称）：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eastAsia="zh-CN"/>
        </w:rPr>
        <w:t xml:space="preserve">    </w:t>
      </w:r>
      <w:r>
        <w:rPr>
          <w:rFonts w:hint="eastAsia" w:ascii="仿宋" w:hAnsi="仿宋" w:eastAsia="仿宋" w:cs="仿宋"/>
          <w:b/>
          <w:color w:val="auto"/>
          <w:sz w:val="24"/>
          <w:szCs w:val="24"/>
          <w:highlight w:val="none"/>
          <w:u w:val="single"/>
        </w:rPr>
        <w:t xml:space="preserve">         </w:t>
      </w:r>
    </w:p>
    <w:p w14:paraId="4F6E47B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工程施工及有关事项协商一致，共同达成如下协议：</w:t>
      </w:r>
    </w:p>
    <w:p w14:paraId="049DB21B">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5" w:name="_Toc19207"/>
      <w:r>
        <w:rPr>
          <w:rFonts w:hint="eastAsia" w:ascii="仿宋" w:hAnsi="仿宋" w:eastAsia="仿宋" w:cs="仿宋"/>
          <w:b w:val="0"/>
          <w:color w:val="auto"/>
          <w:sz w:val="24"/>
          <w:szCs w:val="24"/>
          <w:highlight w:val="none"/>
        </w:rPr>
        <w:t>一、工程概况</w:t>
      </w:r>
      <w:bookmarkEnd w:id="45"/>
    </w:p>
    <w:p w14:paraId="591DD59B">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1.工程名称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AB3AA">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A086031">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E13566B">
      <w:pPr>
        <w:pageBreakBefore w:val="0"/>
        <w:tabs>
          <w:tab w:val="left" w:pos="7340"/>
        </w:tabs>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4.资金来源：</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rPr>
        <w:tab/>
      </w:r>
    </w:p>
    <w:p w14:paraId="59209373">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5.工程内容：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5A99786E">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125414E2">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46DC9F74">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46" w:name="_Toc16720"/>
      <w:r>
        <w:rPr>
          <w:rFonts w:hint="eastAsia" w:ascii="仿宋" w:hAnsi="仿宋" w:eastAsia="仿宋" w:cs="仿宋"/>
          <w:b w:val="0"/>
          <w:color w:val="auto"/>
          <w:sz w:val="24"/>
          <w:szCs w:val="24"/>
          <w:highlight w:val="none"/>
        </w:rPr>
        <w:t>二、合同工期</w:t>
      </w:r>
      <w:bookmarkEnd w:id="46"/>
    </w:p>
    <w:p w14:paraId="05946911">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12233EA">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975B6F0">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68C564F0">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47" w:name="_Toc27014"/>
      <w:r>
        <w:rPr>
          <w:rFonts w:hint="eastAsia" w:ascii="仿宋" w:hAnsi="仿宋" w:eastAsia="仿宋" w:cs="仿宋"/>
          <w:b w:val="0"/>
          <w:color w:val="auto"/>
          <w:sz w:val="24"/>
          <w:szCs w:val="24"/>
          <w:highlight w:val="none"/>
        </w:rPr>
        <w:t>三、质量标准</w:t>
      </w:r>
      <w:bookmarkEnd w:id="47"/>
    </w:p>
    <w:p w14:paraId="7E868835">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标准。必须满足一次性交验合格，如达不到交验标准，产生的费用由承包人自行承担。</w:t>
      </w:r>
    </w:p>
    <w:p w14:paraId="493EC657">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8" w:name="_Toc25443"/>
      <w:r>
        <w:rPr>
          <w:rFonts w:hint="eastAsia" w:ascii="仿宋" w:hAnsi="仿宋" w:eastAsia="仿宋" w:cs="仿宋"/>
          <w:b w:val="0"/>
          <w:color w:val="auto"/>
          <w:sz w:val="24"/>
          <w:szCs w:val="24"/>
          <w:highlight w:val="none"/>
        </w:rPr>
        <w:t>四、签约合同价与合同价格形式</w:t>
      </w:r>
      <w:bookmarkEnd w:id="48"/>
      <w:r>
        <w:rPr>
          <w:rFonts w:hint="eastAsia" w:ascii="仿宋" w:hAnsi="仿宋" w:eastAsia="仿宋" w:cs="仿宋"/>
          <w:b w:val="0"/>
          <w:color w:val="auto"/>
          <w:sz w:val="24"/>
          <w:szCs w:val="24"/>
          <w:highlight w:val="none"/>
        </w:rPr>
        <w:tab/>
      </w:r>
    </w:p>
    <w:p w14:paraId="176792E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09E0EB4B">
      <w:pPr>
        <w:pageBreakBefore w:val="0"/>
        <w:kinsoku/>
        <w:wordWrap/>
        <w:overflowPunct/>
        <w:topLinePunct w:val="0"/>
        <w:bidi w:val="0"/>
        <w:spacing w:line="440" w:lineRule="exact"/>
        <w:ind w:firstLine="600" w:firstLineChars="2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w:t>
      </w:r>
    </w:p>
    <w:p w14:paraId="6383E2A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C25AA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（1）安全文明施工费：</w:t>
      </w:r>
    </w:p>
    <w:p w14:paraId="41832BBF">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3CF34A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（2）材料和工程设备暂估价金额：</w:t>
      </w:r>
    </w:p>
    <w:p w14:paraId="7EECD602">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E3672B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（3）专业工程暂估价金额：</w:t>
      </w:r>
    </w:p>
    <w:p w14:paraId="574E5EEB">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64DEE7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（4）暂列金额：</w:t>
      </w:r>
    </w:p>
    <w:p w14:paraId="471071DD">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1A92CC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rPr>
        <w:t xml:space="preserve">     单价合同        </w:t>
      </w:r>
      <w:r>
        <w:rPr>
          <w:rFonts w:hint="eastAsia" w:ascii="仿宋" w:hAnsi="仿宋" w:eastAsia="仿宋" w:cs="仿宋"/>
          <w:color w:val="auto"/>
          <w:sz w:val="24"/>
          <w:szCs w:val="24"/>
          <w:highlight w:val="none"/>
        </w:rPr>
        <w:t>。</w:t>
      </w:r>
    </w:p>
    <w:p w14:paraId="6D95E60F">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9" w:name="_Toc9030"/>
      <w:r>
        <w:rPr>
          <w:rFonts w:hint="eastAsia" w:ascii="仿宋" w:hAnsi="仿宋" w:eastAsia="仿宋" w:cs="仿宋"/>
          <w:b w:val="0"/>
          <w:color w:val="auto"/>
          <w:sz w:val="24"/>
          <w:szCs w:val="24"/>
          <w:highlight w:val="none"/>
        </w:rPr>
        <w:t>五、项目经理</w:t>
      </w:r>
      <w:bookmarkEnd w:id="49"/>
    </w:p>
    <w:p w14:paraId="26DDA3F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922106">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0" w:name="_Toc3165"/>
      <w:r>
        <w:rPr>
          <w:rFonts w:hint="eastAsia" w:ascii="仿宋" w:hAnsi="仿宋" w:eastAsia="仿宋" w:cs="仿宋"/>
          <w:b w:val="0"/>
          <w:color w:val="auto"/>
          <w:sz w:val="24"/>
          <w:szCs w:val="24"/>
          <w:highlight w:val="none"/>
        </w:rPr>
        <w:t>六、合同文件构成</w:t>
      </w:r>
      <w:bookmarkEnd w:id="50"/>
    </w:p>
    <w:p w14:paraId="41AEAE7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2A3F98D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5DB3359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D1309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59AD568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3194C402">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01294BB2">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4047A80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13B5E0B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7348E7B8">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52ECB4">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88CC758">
      <w:pPr>
        <w:pageBreakBefore w:val="0"/>
        <w:kinsoku/>
        <w:wordWrap/>
        <w:overflowPunct/>
        <w:topLinePunct w:val="0"/>
        <w:bidi w:val="0"/>
        <w:spacing w:before="0" w:after="0" w:line="440" w:lineRule="exac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1" w:name="_Toc839"/>
      <w:r>
        <w:rPr>
          <w:rFonts w:hint="eastAsia" w:ascii="仿宋" w:hAnsi="仿宋" w:eastAsia="仿宋" w:cs="仿宋"/>
          <w:b w:val="0"/>
          <w:color w:val="auto"/>
          <w:sz w:val="24"/>
          <w:szCs w:val="24"/>
          <w:highlight w:val="none"/>
        </w:rPr>
        <w:t>七、承诺</w:t>
      </w:r>
      <w:bookmarkEnd w:id="51"/>
    </w:p>
    <w:p w14:paraId="702AB8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1.发包人承诺按照法律规定履行项目审批手续、筹集工程建设资金并按照合同约定的期限和方式支付合同价款。</w:t>
      </w:r>
    </w:p>
    <w:p w14:paraId="40096F6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C9FD5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3.发包人和承包人通过招投标形式签订合同的，双方理解并承诺不再就同一工程另行签订与合同实质性内容相背离的协议。</w:t>
      </w:r>
    </w:p>
    <w:p w14:paraId="37E8E86A">
      <w:pPr>
        <w:pageBreakBefore w:val="0"/>
        <w:kinsoku/>
        <w:wordWrap/>
        <w:overflowPunct/>
        <w:topLinePunct w:val="0"/>
        <w:bidi w:val="0"/>
        <w:spacing w:line="44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    八、词语含义</w:t>
      </w:r>
    </w:p>
    <w:p w14:paraId="762703D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本协议书中词语含义与第二部分通用合同条款中赋予的含义相同。</w:t>
      </w:r>
    </w:p>
    <w:p w14:paraId="54214977">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2" w:name="_Toc17068"/>
      <w:r>
        <w:rPr>
          <w:rFonts w:hint="eastAsia" w:ascii="仿宋" w:hAnsi="仿宋" w:eastAsia="仿宋" w:cs="仿宋"/>
          <w:b w:val="0"/>
          <w:color w:val="auto"/>
          <w:sz w:val="24"/>
          <w:szCs w:val="24"/>
          <w:highlight w:val="none"/>
        </w:rPr>
        <w:t>九、签订时间</w:t>
      </w:r>
      <w:bookmarkEnd w:id="52"/>
    </w:p>
    <w:p w14:paraId="6A7098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6F6CE55D">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3" w:name="_Toc10242"/>
      <w:r>
        <w:rPr>
          <w:rFonts w:hint="eastAsia" w:ascii="仿宋" w:hAnsi="仿宋" w:eastAsia="仿宋" w:cs="仿宋"/>
          <w:b w:val="0"/>
          <w:color w:val="auto"/>
          <w:sz w:val="24"/>
          <w:szCs w:val="24"/>
          <w:highlight w:val="none"/>
        </w:rPr>
        <w:t>十、签订地点</w:t>
      </w:r>
      <w:bookmarkEnd w:id="53"/>
    </w:p>
    <w:p w14:paraId="5394E87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新疆农业大学     </w:t>
      </w:r>
      <w:r>
        <w:rPr>
          <w:rFonts w:hint="eastAsia" w:ascii="仿宋" w:hAnsi="仿宋" w:eastAsia="仿宋" w:cs="仿宋"/>
          <w:bCs/>
          <w:color w:val="auto"/>
          <w:sz w:val="24"/>
          <w:szCs w:val="24"/>
          <w:highlight w:val="none"/>
        </w:rPr>
        <w:t>签订。</w:t>
      </w:r>
    </w:p>
    <w:p w14:paraId="487CD864">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4" w:name="_Toc7583"/>
      <w:r>
        <w:rPr>
          <w:rFonts w:hint="eastAsia" w:ascii="仿宋" w:hAnsi="仿宋" w:eastAsia="仿宋" w:cs="仿宋"/>
          <w:b w:val="0"/>
          <w:color w:val="auto"/>
          <w:sz w:val="24"/>
          <w:szCs w:val="24"/>
          <w:highlight w:val="none"/>
        </w:rPr>
        <w:t>十一、补充协议</w:t>
      </w:r>
      <w:bookmarkEnd w:id="54"/>
    </w:p>
    <w:p w14:paraId="1880161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6816EFFA">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5" w:name="_Toc23391"/>
      <w:r>
        <w:rPr>
          <w:rFonts w:hint="eastAsia" w:ascii="仿宋" w:hAnsi="仿宋" w:eastAsia="仿宋" w:cs="仿宋"/>
          <w:b w:val="0"/>
          <w:color w:val="auto"/>
          <w:sz w:val="24"/>
          <w:szCs w:val="24"/>
          <w:highlight w:val="none"/>
        </w:rPr>
        <w:t>十二、合同生效</w:t>
      </w:r>
      <w:bookmarkEnd w:id="55"/>
    </w:p>
    <w:p w14:paraId="558B30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双方法定代表人或其授权代理人签字（盖章）并加盖本单位公章（合同专用章） </w:t>
      </w:r>
      <w:r>
        <w:rPr>
          <w:rFonts w:hint="eastAsia" w:ascii="仿宋" w:hAnsi="仿宋" w:eastAsia="仿宋" w:cs="仿宋"/>
          <w:bCs/>
          <w:color w:val="auto"/>
          <w:sz w:val="24"/>
          <w:szCs w:val="24"/>
          <w:highlight w:val="none"/>
        </w:rPr>
        <w:t>生效。</w:t>
      </w:r>
    </w:p>
    <w:p w14:paraId="630A3323">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6" w:name="_Toc22533"/>
      <w:r>
        <w:rPr>
          <w:rFonts w:hint="eastAsia" w:ascii="仿宋" w:hAnsi="仿宋" w:eastAsia="仿宋" w:cs="仿宋"/>
          <w:b w:val="0"/>
          <w:color w:val="auto"/>
          <w:sz w:val="24"/>
          <w:szCs w:val="24"/>
          <w:highlight w:val="none"/>
        </w:rPr>
        <w:t>十三、合同份数</w:t>
      </w:r>
      <w:bookmarkEnd w:id="56"/>
    </w:p>
    <w:p w14:paraId="726B0BB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rPr>
        <w:t xml:space="preserve">  捌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w:t>
      </w: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61F170CD">
        <w:tblPrEx>
          <w:tblCellMar>
            <w:top w:w="0" w:type="dxa"/>
            <w:left w:w="108" w:type="dxa"/>
            <w:bottom w:w="0" w:type="dxa"/>
            <w:right w:w="108" w:type="dxa"/>
          </w:tblCellMar>
        </w:tblPrEx>
        <w:trPr>
          <w:trHeight w:val="1013" w:hRule="exact"/>
        </w:trPr>
        <w:tc>
          <w:tcPr>
            <w:tcW w:w="4530" w:type="dxa"/>
            <w:noWrap w:val="0"/>
            <w:vAlign w:val="top"/>
          </w:tcPr>
          <w:p w14:paraId="1A40A24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69F0709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ACB2DA2">
        <w:tblPrEx>
          <w:tblCellMar>
            <w:top w:w="0" w:type="dxa"/>
            <w:left w:w="108" w:type="dxa"/>
            <w:bottom w:w="0" w:type="dxa"/>
            <w:right w:w="108" w:type="dxa"/>
          </w:tblCellMar>
        </w:tblPrEx>
        <w:trPr>
          <w:trHeight w:val="473" w:hRule="exact"/>
        </w:trPr>
        <w:tc>
          <w:tcPr>
            <w:tcW w:w="4530" w:type="dxa"/>
            <w:noWrap w:val="0"/>
            <w:vAlign w:val="top"/>
          </w:tcPr>
          <w:p w14:paraId="614BC29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0801E69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2AF63003">
        <w:tblPrEx>
          <w:tblCellMar>
            <w:top w:w="0" w:type="dxa"/>
            <w:left w:w="108" w:type="dxa"/>
            <w:bottom w:w="0" w:type="dxa"/>
            <w:right w:w="108" w:type="dxa"/>
          </w:tblCellMar>
        </w:tblPrEx>
        <w:trPr>
          <w:trHeight w:val="524" w:hRule="exact"/>
        </w:trPr>
        <w:tc>
          <w:tcPr>
            <w:tcW w:w="4530" w:type="dxa"/>
            <w:noWrap w:val="0"/>
            <w:vAlign w:val="top"/>
          </w:tcPr>
          <w:p w14:paraId="2529624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7F16C87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07D58C88">
        <w:tblPrEx>
          <w:tblCellMar>
            <w:top w:w="0" w:type="dxa"/>
            <w:left w:w="108" w:type="dxa"/>
            <w:bottom w:w="0" w:type="dxa"/>
            <w:right w:w="108" w:type="dxa"/>
          </w:tblCellMar>
        </w:tblPrEx>
        <w:trPr>
          <w:trHeight w:val="654" w:hRule="exact"/>
        </w:trPr>
        <w:tc>
          <w:tcPr>
            <w:tcW w:w="4530" w:type="dxa"/>
            <w:noWrap w:val="0"/>
            <w:vAlign w:val="top"/>
          </w:tcPr>
          <w:p w14:paraId="32A52BE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B12A85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AB8A533">
        <w:tblPrEx>
          <w:tblCellMar>
            <w:top w:w="0" w:type="dxa"/>
            <w:left w:w="108" w:type="dxa"/>
            <w:bottom w:w="0" w:type="dxa"/>
            <w:right w:w="108" w:type="dxa"/>
          </w:tblCellMar>
        </w:tblPrEx>
        <w:trPr>
          <w:trHeight w:val="1070" w:hRule="exact"/>
        </w:trPr>
        <w:tc>
          <w:tcPr>
            <w:tcW w:w="4530" w:type="dxa"/>
            <w:noWrap w:val="0"/>
            <w:vAlign w:val="top"/>
          </w:tcPr>
          <w:p w14:paraId="5931A49D">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B220EDA">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p>
        </w:tc>
      </w:tr>
      <w:tr w14:paraId="5719E190">
        <w:tblPrEx>
          <w:tblCellMar>
            <w:top w:w="0" w:type="dxa"/>
            <w:left w:w="108" w:type="dxa"/>
            <w:bottom w:w="0" w:type="dxa"/>
            <w:right w:w="108" w:type="dxa"/>
          </w:tblCellMar>
        </w:tblPrEx>
        <w:trPr>
          <w:trHeight w:val="542" w:hRule="exact"/>
        </w:trPr>
        <w:tc>
          <w:tcPr>
            <w:tcW w:w="4530" w:type="dxa"/>
            <w:noWrap w:val="0"/>
            <w:vAlign w:val="top"/>
          </w:tcPr>
          <w:p w14:paraId="41151F23">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6B817CD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8BECF85">
        <w:tblPrEx>
          <w:tblCellMar>
            <w:top w:w="0" w:type="dxa"/>
            <w:left w:w="108" w:type="dxa"/>
            <w:bottom w:w="0" w:type="dxa"/>
            <w:right w:w="108" w:type="dxa"/>
          </w:tblCellMar>
        </w:tblPrEx>
        <w:trPr>
          <w:trHeight w:val="1128" w:hRule="exact"/>
        </w:trPr>
        <w:tc>
          <w:tcPr>
            <w:tcW w:w="4530" w:type="dxa"/>
            <w:noWrap w:val="0"/>
            <w:vAlign w:val="top"/>
          </w:tcPr>
          <w:p w14:paraId="726E274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BA7145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1BCCA6C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3D9F834">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22C23D9">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439107D">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1D77C265">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007BFD6B">
        <w:tblPrEx>
          <w:tblCellMar>
            <w:top w:w="0" w:type="dxa"/>
            <w:left w:w="108" w:type="dxa"/>
            <w:bottom w:w="0" w:type="dxa"/>
            <w:right w:w="108" w:type="dxa"/>
          </w:tblCellMar>
        </w:tblPrEx>
        <w:trPr>
          <w:trHeight w:val="564" w:hRule="exact"/>
        </w:trPr>
        <w:tc>
          <w:tcPr>
            <w:tcW w:w="4530" w:type="dxa"/>
            <w:noWrap w:val="0"/>
            <w:vAlign w:val="top"/>
          </w:tcPr>
          <w:p w14:paraId="29FF33A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E71B370">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9D68209">
        <w:tblPrEx>
          <w:tblCellMar>
            <w:top w:w="0" w:type="dxa"/>
            <w:left w:w="108" w:type="dxa"/>
            <w:bottom w:w="0" w:type="dxa"/>
            <w:right w:w="108" w:type="dxa"/>
          </w:tblCellMar>
        </w:tblPrEx>
        <w:trPr>
          <w:trHeight w:val="595" w:hRule="exact"/>
        </w:trPr>
        <w:tc>
          <w:tcPr>
            <w:tcW w:w="4530" w:type="dxa"/>
            <w:noWrap w:val="0"/>
            <w:vAlign w:val="top"/>
          </w:tcPr>
          <w:p w14:paraId="38F6B0C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1376C1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1E301BC4">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p>
        </w:tc>
      </w:tr>
      <w:tr w14:paraId="2A8B258D">
        <w:tblPrEx>
          <w:tblCellMar>
            <w:top w:w="0" w:type="dxa"/>
            <w:left w:w="108" w:type="dxa"/>
            <w:bottom w:w="0" w:type="dxa"/>
            <w:right w:w="108" w:type="dxa"/>
          </w:tblCellMar>
        </w:tblPrEx>
        <w:trPr>
          <w:trHeight w:val="549" w:hRule="exact"/>
        </w:trPr>
        <w:tc>
          <w:tcPr>
            <w:tcW w:w="4530" w:type="dxa"/>
            <w:noWrap w:val="0"/>
            <w:vAlign w:val="top"/>
          </w:tcPr>
          <w:p w14:paraId="286C27E4">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AA5032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r>
      <w:tr w14:paraId="315447DF">
        <w:tblPrEx>
          <w:tblCellMar>
            <w:top w:w="0" w:type="dxa"/>
            <w:left w:w="108" w:type="dxa"/>
            <w:bottom w:w="0" w:type="dxa"/>
            <w:right w:w="108" w:type="dxa"/>
          </w:tblCellMar>
        </w:tblPrEx>
        <w:trPr>
          <w:trHeight w:val="741" w:hRule="exact"/>
        </w:trPr>
        <w:tc>
          <w:tcPr>
            <w:tcW w:w="4530" w:type="dxa"/>
            <w:noWrap w:val="0"/>
            <w:vAlign w:val="top"/>
          </w:tcPr>
          <w:p w14:paraId="41A88548">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13D319F5">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r>
      <w:tr w14:paraId="3BF90310">
        <w:tblPrEx>
          <w:tblCellMar>
            <w:top w:w="0" w:type="dxa"/>
            <w:left w:w="108" w:type="dxa"/>
            <w:bottom w:w="0" w:type="dxa"/>
            <w:right w:w="108" w:type="dxa"/>
          </w:tblCellMar>
        </w:tblPrEx>
        <w:trPr>
          <w:trHeight w:val="611" w:hRule="exact"/>
        </w:trPr>
        <w:tc>
          <w:tcPr>
            <w:tcW w:w="4530" w:type="dxa"/>
            <w:noWrap w:val="0"/>
            <w:vAlign w:val="top"/>
          </w:tcPr>
          <w:p w14:paraId="29B1B198">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56D234D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p>
        </w:tc>
      </w:tr>
    </w:tbl>
    <w:p w14:paraId="0DAE49C3">
      <w:pPr>
        <w:pageBreakBefore w:val="0"/>
        <w:kinsoku/>
        <w:wordWrap/>
        <w:overflowPunct/>
        <w:topLinePunct w:val="0"/>
        <w:bidi w:val="0"/>
        <w:textAlignment w:val="auto"/>
        <w:outlineLvl w:val="9"/>
        <w:rPr>
          <w:rFonts w:hint="eastAsia" w:ascii="仿宋" w:hAnsi="仿宋" w:eastAsia="仿宋" w:cs="仿宋"/>
          <w:color w:val="auto"/>
          <w:sz w:val="24"/>
          <w:szCs w:val="24"/>
          <w:highlight w:val="none"/>
        </w:rPr>
        <w:sectPr>
          <w:footerReference r:id="rId6" w:type="first"/>
          <w:footerReference r:id="rId5" w:type="default"/>
          <w:pgSz w:w="11906" w:h="16838"/>
          <w:pgMar w:top="1418" w:right="1555" w:bottom="1418" w:left="1531" w:header="851" w:footer="992" w:gutter="0"/>
          <w:pgNumType w:fmt="decimal" w:start="1"/>
          <w:cols w:space="720" w:num="1"/>
          <w:titlePg/>
          <w:docGrid w:type="lines" w:linePitch="312" w:charSpace="0"/>
        </w:sectPr>
      </w:pPr>
      <w:bookmarkStart w:id="57" w:name="_Toc19281"/>
    </w:p>
    <w:bookmarkEnd w:id="57"/>
    <w:p w14:paraId="63A185C3">
      <w:pPr>
        <w:pageBreakBefore w:val="0"/>
        <w:kinsoku/>
        <w:wordWrap/>
        <w:overflowPunct/>
        <w:topLinePunct w:val="0"/>
        <w:bidi w:val="0"/>
        <w:spacing w:line="413" w:lineRule="auto"/>
        <w:jc w:val="center"/>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第二部分 通用合同条款</w:t>
      </w:r>
      <w:bookmarkStart w:id="58" w:name="_Toc337558727"/>
    </w:p>
    <w:bookmarkEnd w:id="58"/>
    <w:p w14:paraId="7D358BEB">
      <w:pPr>
        <w:pageBreakBefore w:val="0"/>
        <w:kinsoku/>
        <w:wordWrap/>
        <w:overflowPunct/>
        <w:topLinePunct w:val="0"/>
        <w:bidi w:val="0"/>
        <w:spacing w:line="40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执行《建设工程施工合同（示范文本）》（GF-2017-0201）通用合同条款，此处略。</w:t>
      </w:r>
    </w:p>
    <w:p w14:paraId="1E97A66D">
      <w:pPr>
        <w:pageBreakBefore w:val="0"/>
        <w:kinsoku/>
        <w:wordWrap/>
        <w:overflowPunct/>
        <w:topLinePunct w:val="0"/>
        <w:bidi w:val="0"/>
        <w:spacing w:line="413" w:lineRule="auto"/>
        <w:jc w:val="center"/>
        <w:textAlignment w:val="auto"/>
        <w:outlineLvl w:val="9"/>
        <w:rPr>
          <w:rFonts w:hint="eastAsia" w:ascii="仿宋" w:hAnsi="仿宋" w:eastAsia="仿宋" w:cs="仿宋"/>
          <w:color w:val="auto"/>
          <w:sz w:val="28"/>
          <w:szCs w:val="28"/>
          <w:highlight w:val="none"/>
        </w:rPr>
      </w:pPr>
      <w:bookmarkStart w:id="59" w:name="_Toc7008"/>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rPr>
        <w:t>第三部分 专用合同条款</w:t>
      </w:r>
      <w:bookmarkEnd w:id="59"/>
    </w:p>
    <w:p w14:paraId="1E972B8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0" w:name="_Toc18040"/>
      <w:r>
        <w:rPr>
          <w:rFonts w:hint="eastAsia" w:ascii="仿宋" w:hAnsi="仿宋" w:eastAsia="仿宋" w:cs="仿宋"/>
          <w:b w:val="0"/>
          <w:color w:val="auto"/>
          <w:sz w:val="24"/>
          <w:szCs w:val="24"/>
          <w:highlight w:val="none"/>
        </w:rPr>
        <w:t>1</w:t>
      </w:r>
      <w:bookmarkStart w:id="61" w:name="_Toc296503156"/>
      <w:bookmarkStart w:id="62" w:name="_Toc296944495"/>
      <w:bookmarkStart w:id="63" w:name="_Toc296891196"/>
      <w:bookmarkStart w:id="64" w:name="_Toc296346657"/>
      <w:bookmarkStart w:id="65" w:name="_Toc292559361"/>
      <w:bookmarkStart w:id="66" w:name="_Toc297048342"/>
      <w:bookmarkStart w:id="67" w:name="_Toc296890984"/>
      <w:bookmarkStart w:id="68" w:name="_Toc297120456"/>
      <w:bookmarkStart w:id="69" w:name="_Toc296347155"/>
      <w:bookmarkStart w:id="70" w:name="_Toc292559866"/>
      <w:r>
        <w:rPr>
          <w:rFonts w:hint="eastAsia" w:ascii="仿宋" w:hAnsi="仿宋" w:eastAsia="仿宋" w:cs="仿宋"/>
          <w:b w:val="0"/>
          <w:color w:val="auto"/>
          <w:sz w:val="24"/>
          <w:szCs w:val="24"/>
          <w:highlight w:val="none"/>
        </w:rPr>
        <w:t>. 一般约定</w:t>
      </w:r>
      <w:bookmarkEnd w:id="60"/>
    </w:p>
    <w:bookmarkEnd w:id="61"/>
    <w:bookmarkEnd w:id="62"/>
    <w:bookmarkEnd w:id="63"/>
    <w:bookmarkEnd w:id="64"/>
    <w:bookmarkEnd w:id="65"/>
    <w:bookmarkEnd w:id="66"/>
    <w:bookmarkEnd w:id="67"/>
    <w:bookmarkEnd w:id="68"/>
    <w:bookmarkEnd w:id="69"/>
    <w:bookmarkEnd w:id="70"/>
    <w:p w14:paraId="68D9FBD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1" w:name="_Toc26967"/>
      <w:r>
        <w:rPr>
          <w:rFonts w:hint="eastAsia" w:ascii="仿宋" w:hAnsi="仿宋" w:eastAsia="仿宋" w:cs="仿宋"/>
          <w:color w:val="auto"/>
          <w:sz w:val="24"/>
          <w:szCs w:val="24"/>
          <w:highlight w:val="none"/>
        </w:rPr>
        <w:t>1.1 词语定义</w:t>
      </w:r>
      <w:bookmarkEnd w:id="71"/>
    </w:p>
    <w:p w14:paraId="7802DEC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053F4B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 xml:space="preserve">施工组织设计、招标文件（含澄清文件、暂列金、暂估价）、洽谈记录、图纸会审记录、发包人相关制度、廉政协议等文件 </w:t>
      </w:r>
      <w:r>
        <w:rPr>
          <w:rFonts w:hint="eastAsia" w:ascii="仿宋" w:hAnsi="仿宋" w:eastAsia="仿宋" w:cs="仿宋"/>
          <w:color w:val="auto"/>
          <w:sz w:val="24"/>
          <w:szCs w:val="24"/>
          <w:highlight w:val="none"/>
        </w:rPr>
        <w:t>。</w:t>
      </w:r>
    </w:p>
    <w:p w14:paraId="6BA192F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28AA8EB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3652869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17A158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7D305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BCA1E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D68F01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84A94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2A7B95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4025CA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76461A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CC067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81E8FF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D3AED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3009D25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574C32E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04A853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为实施合同工程而需要的一切临时占用的土地，包括施工所用的临时便道等的临时出入道，以及材料加工堆放、生产（办公）、生活等临时设施用地等。专业分承包单位的临时占地，应按照总承包单位的管理和要求实施。临时用地手续由承包人办理，费用包含在签约合同价 </w:t>
      </w:r>
      <w:r>
        <w:rPr>
          <w:rFonts w:hint="eastAsia" w:ascii="仿宋" w:hAnsi="仿宋" w:eastAsia="仿宋" w:cs="仿宋"/>
          <w:color w:val="auto"/>
          <w:kern w:val="0"/>
          <w:sz w:val="24"/>
          <w:szCs w:val="24"/>
          <w:highlight w:val="none"/>
        </w:rPr>
        <w:t>。</w:t>
      </w:r>
    </w:p>
    <w:p w14:paraId="25CB45C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2" w:name="_Toc24697"/>
      <w:r>
        <w:rPr>
          <w:rFonts w:hint="eastAsia" w:ascii="仿宋" w:hAnsi="仿宋" w:eastAsia="仿宋" w:cs="仿宋"/>
          <w:color w:val="auto"/>
          <w:sz w:val="24"/>
          <w:szCs w:val="24"/>
          <w:highlight w:val="none"/>
        </w:rPr>
        <w:t>1.3法律</w:t>
      </w:r>
      <w:bookmarkEnd w:id="72"/>
      <w:r>
        <w:rPr>
          <w:rFonts w:hint="eastAsia" w:ascii="仿宋" w:hAnsi="仿宋" w:eastAsia="仿宋" w:cs="仿宋"/>
          <w:color w:val="auto"/>
          <w:sz w:val="24"/>
          <w:szCs w:val="24"/>
          <w:highlight w:val="none"/>
        </w:rPr>
        <w:t xml:space="preserve"> </w:t>
      </w:r>
    </w:p>
    <w:p w14:paraId="457BD194">
      <w:pPr>
        <w:pageBreakBefore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人防工程质量管理规定》、《安全生产法》、《建筑工程质量管理体系》、《建筑工程安全生产管理条例》等国家现行法律及新疆维吾尔自治区现行地方法规及适用于合同的其他规范性文件：《建设工程工程量 清单计价规范》GB50500-2013 、《建筑工程文件归档规范》（GB/T50328-2014）、国家重大建设项目文件归档要求与档案整理规范（DA/T28-2002），国家施工质量验收规范、规程、施工技术标准、设计图纸及其他设计文件；现行的施工规范和技术标准等 </w:t>
      </w:r>
      <w:r>
        <w:rPr>
          <w:rFonts w:hint="eastAsia" w:ascii="仿宋" w:hAnsi="仿宋" w:eastAsia="仿宋" w:cs="仿宋"/>
          <w:color w:val="auto"/>
          <w:sz w:val="24"/>
          <w:szCs w:val="24"/>
          <w:highlight w:val="none"/>
        </w:rPr>
        <w:t>。</w:t>
      </w:r>
    </w:p>
    <w:p w14:paraId="730957B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3" w:name="_Toc14147"/>
      <w:r>
        <w:rPr>
          <w:rFonts w:hint="eastAsia" w:ascii="仿宋" w:hAnsi="仿宋" w:eastAsia="仿宋" w:cs="仿宋"/>
          <w:color w:val="auto"/>
          <w:sz w:val="24"/>
          <w:szCs w:val="24"/>
          <w:highlight w:val="none"/>
        </w:rPr>
        <w:t>1.4 标准和规范</w:t>
      </w:r>
      <w:bookmarkEnd w:id="73"/>
    </w:p>
    <w:p w14:paraId="74CD999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执行施工图内明确的各项技术标准，按国家现行的《建筑工程质量验收统一标准》，以及国家现行有效施工验收规范、质量标准及操作规定等相关要求验收、《建设工程工程量清单计价规范》 GB50500-2013及相关设计规范、施工规范</w:t>
      </w:r>
      <w:r>
        <w:rPr>
          <w:rFonts w:hint="eastAsia" w:ascii="仿宋" w:hAnsi="仿宋" w:eastAsia="仿宋" w:cs="仿宋"/>
          <w:color w:val="auto"/>
          <w:sz w:val="24"/>
          <w:szCs w:val="24"/>
          <w:highlight w:val="none"/>
        </w:rPr>
        <w:t>。</w:t>
      </w:r>
    </w:p>
    <w:p w14:paraId="2A40A6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1.4.2 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0E7B84C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7F8B6B5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2D03ADDD">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p>
    <w:p w14:paraId="5BC08F92">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详见图纸                                   </w:t>
      </w:r>
      <w:r>
        <w:rPr>
          <w:rFonts w:hint="eastAsia" w:ascii="仿宋" w:hAnsi="仿宋" w:eastAsia="仿宋" w:cs="仿宋"/>
          <w:color w:val="auto"/>
          <w:sz w:val="24"/>
          <w:szCs w:val="24"/>
          <w:highlight w:val="none"/>
        </w:rPr>
        <w:t>。</w:t>
      </w:r>
    </w:p>
    <w:p w14:paraId="40F697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4" w:name="_Toc11271"/>
      <w:r>
        <w:rPr>
          <w:rFonts w:hint="eastAsia" w:ascii="仿宋" w:hAnsi="仿宋" w:eastAsia="仿宋" w:cs="仿宋"/>
          <w:color w:val="auto"/>
          <w:sz w:val="24"/>
          <w:szCs w:val="24"/>
          <w:highlight w:val="none"/>
        </w:rPr>
        <w:t>1.5 合同文件的优先顺序</w:t>
      </w:r>
      <w:bookmarkEnd w:id="74"/>
    </w:p>
    <w:p w14:paraId="72F07BD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 xml:space="preserve">（l）合同协议书（2）中标通知书（3）投标函及投标函附录（4）专用合同条款及其附件（5）招标文件、通用合同条款以《建设工程施工合同（示范文本）》（GF-2017-0201）为准（6）技术标准和要求（7）图纸（8）中标价及工程量清单（9）其他合同文件 </w:t>
      </w:r>
      <w:r>
        <w:rPr>
          <w:rFonts w:hint="eastAsia" w:ascii="仿宋" w:hAnsi="仿宋" w:eastAsia="仿宋" w:cs="仿宋"/>
          <w:color w:val="auto"/>
          <w:sz w:val="24"/>
          <w:szCs w:val="24"/>
          <w:highlight w:val="none"/>
        </w:rPr>
        <w:t>。</w:t>
      </w:r>
    </w:p>
    <w:p w14:paraId="66F50D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双方有关工程的洽谈、变更等书面协议或文件均视为本合同的组成部分。图纸与技术标准、要求有矛盾或不一致时，以其中要求较严格的标准为准。</w:t>
      </w:r>
    </w:p>
    <w:p w14:paraId="70B901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合同双方在合同履行过程中，签订的补充协议亦构成合同文件的组成部分，其解释顺序视其内容与其他合同文件的相互关系而定。</w:t>
      </w:r>
    </w:p>
    <w:p w14:paraId="4D688D3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5" w:name="_Toc6470"/>
      <w:r>
        <w:rPr>
          <w:rFonts w:hint="eastAsia" w:ascii="仿宋" w:hAnsi="仿宋" w:eastAsia="仿宋" w:cs="仿宋"/>
          <w:color w:val="auto"/>
          <w:sz w:val="24"/>
          <w:szCs w:val="24"/>
          <w:highlight w:val="none"/>
        </w:rPr>
        <w:t>1.6 图纸和承包人文件</w:t>
      </w:r>
      <w:bookmarkEnd w:id="75"/>
      <w:r>
        <w:rPr>
          <w:rFonts w:hint="eastAsia" w:ascii="仿宋" w:hAnsi="仿宋" w:eastAsia="仿宋" w:cs="仿宋"/>
          <w:color w:val="auto"/>
          <w:sz w:val="24"/>
          <w:szCs w:val="24"/>
          <w:highlight w:val="none"/>
        </w:rPr>
        <w:tab/>
      </w:r>
    </w:p>
    <w:p w14:paraId="421808F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3E3C24D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D3990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 xml:space="preserve">叁套         </w:t>
      </w:r>
      <w:r>
        <w:rPr>
          <w:rFonts w:hint="eastAsia" w:ascii="仿宋" w:hAnsi="仿宋" w:eastAsia="仿宋" w:cs="仿宋"/>
          <w:color w:val="auto"/>
          <w:sz w:val="24"/>
          <w:szCs w:val="24"/>
          <w:highlight w:val="none"/>
        </w:rPr>
        <w:t>；</w:t>
      </w:r>
    </w:p>
    <w:p w14:paraId="4B659D6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 xml:space="preserve">全套施工图   </w:t>
      </w:r>
      <w:r>
        <w:rPr>
          <w:rFonts w:hint="eastAsia" w:ascii="仿宋" w:hAnsi="仿宋" w:eastAsia="仿宋" w:cs="仿宋"/>
          <w:color w:val="auto"/>
          <w:sz w:val="24"/>
          <w:szCs w:val="24"/>
          <w:highlight w:val="none"/>
        </w:rPr>
        <w:t>。</w:t>
      </w:r>
    </w:p>
    <w:p w14:paraId="4A6485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6257C61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开工前 7 日内应提供完善的施工组织设计和安全专项方案，项目专用账户资料及资金总体使用计划。具体施工工序的施工方案，应当具体施工实施前 3 天完成内部审核和上报，以及竣工资料、质量保证资料和安全资料。每月 25 日前提供下月拟计划完成工程量报表、本月工程进度报表、当月资金支付计划报表等 </w:t>
      </w:r>
      <w:r>
        <w:rPr>
          <w:rFonts w:hint="eastAsia" w:ascii="仿宋" w:hAnsi="仿宋" w:eastAsia="仿宋" w:cs="仿宋"/>
          <w:color w:val="auto"/>
          <w:sz w:val="24"/>
          <w:szCs w:val="24"/>
          <w:highlight w:val="none"/>
        </w:rPr>
        <w:t>。</w:t>
      </w:r>
    </w:p>
    <w:p w14:paraId="1C8897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 xml:space="preserve">开工前 7 日内，向监理人、发包人提交经优化完善的施工组织设计和工程总体进度计划及当年年度施工进度计划。进度计划安排必须符合发包人对本工程总体进度计划的安排。专项施工方案应在专项施工3日前通过审查（含专家论证）。施工组织设计和专项施工方案经监理人审批同意后执行。承包人应接受监理人、发包人对其提交的施工组织设计和专项施工方案中不合理的工期安排及技术措施、方案的修改意见，并修改完善后重新报批，直至获得批准。承包人提供工程项目专用账户即为发包人支付工程款账户（代付除外）。进度申报资料在每月25日-28日 </w:t>
      </w:r>
      <w:r>
        <w:rPr>
          <w:rFonts w:hint="eastAsia" w:ascii="仿宋" w:hAnsi="仿宋" w:eastAsia="仿宋" w:cs="仿宋"/>
          <w:color w:val="auto"/>
          <w:sz w:val="24"/>
          <w:szCs w:val="24"/>
          <w:highlight w:val="none"/>
        </w:rPr>
        <w:t>；</w:t>
      </w:r>
    </w:p>
    <w:p w14:paraId="19503EC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 xml:space="preserve">按甲方要求执行   </w:t>
      </w:r>
      <w:r>
        <w:rPr>
          <w:rFonts w:hint="eastAsia" w:ascii="仿宋" w:hAnsi="仿宋" w:eastAsia="仿宋" w:cs="仿宋"/>
          <w:color w:val="auto"/>
          <w:sz w:val="24"/>
          <w:szCs w:val="24"/>
          <w:highlight w:val="none"/>
        </w:rPr>
        <w:t>；</w:t>
      </w:r>
    </w:p>
    <w:p w14:paraId="43619BB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xml:space="preserve">纸质版及电子版   </w:t>
      </w:r>
      <w:r>
        <w:rPr>
          <w:rFonts w:hint="eastAsia" w:ascii="仿宋" w:hAnsi="仿宋" w:eastAsia="仿宋" w:cs="仿宋"/>
          <w:color w:val="auto"/>
          <w:sz w:val="24"/>
          <w:szCs w:val="24"/>
          <w:highlight w:val="none"/>
        </w:rPr>
        <w:t>；</w:t>
      </w:r>
    </w:p>
    <w:p w14:paraId="149EA2E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收到承包人文件 7 日内审查完毕</w:t>
      </w:r>
      <w:r>
        <w:rPr>
          <w:rFonts w:hint="eastAsia" w:ascii="仿宋" w:hAnsi="仿宋" w:eastAsia="仿宋" w:cs="仿宋"/>
          <w:color w:val="auto"/>
          <w:sz w:val="24"/>
          <w:szCs w:val="24"/>
          <w:highlight w:val="none"/>
        </w:rPr>
        <w:t>。</w:t>
      </w:r>
    </w:p>
    <w:p w14:paraId="2EBCD8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656D980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 xml:space="preserve">商定于开工后三日内进行图纸会审、施工现场保留一套完整图纸、合同、承包人文件、变更以及其他根据合同收发的往来信函。发包人和监理人有权在任何合理的时间查阅和使用上述所有文件 </w:t>
      </w:r>
      <w:r>
        <w:rPr>
          <w:rFonts w:hint="eastAsia" w:ascii="仿宋" w:hAnsi="仿宋" w:eastAsia="仿宋" w:cs="仿宋"/>
          <w:color w:val="auto"/>
          <w:sz w:val="24"/>
          <w:szCs w:val="24"/>
          <w:highlight w:val="none"/>
        </w:rPr>
        <w:t>。</w:t>
      </w:r>
    </w:p>
    <w:p w14:paraId="66231B2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6" w:name="_Toc2577"/>
      <w:r>
        <w:rPr>
          <w:rFonts w:hint="eastAsia" w:ascii="仿宋" w:hAnsi="仿宋" w:eastAsia="仿宋" w:cs="仿宋"/>
          <w:color w:val="auto"/>
          <w:sz w:val="24"/>
          <w:szCs w:val="24"/>
          <w:highlight w:val="none"/>
        </w:rPr>
        <w:t>1.7 联络</w:t>
      </w:r>
      <w:bookmarkEnd w:id="76"/>
    </w:p>
    <w:p w14:paraId="51BCCFC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2B50B75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 xml:space="preserve">项目所在地发包人办公室              </w:t>
      </w:r>
      <w:r>
        <w:rPr>
          <w:rFonts w:hint="eastAsia" w:ascii="仿宋" w:hAnsi="仿宋" w:eastAsia="仿宋" w:cs="仿宋"/>
          <w:color w:val="auto"/>
          <w:kern w:val="0"/>
          <w:sz w:val="24"/>
          <w:szCs w:val="24"/>
          <w:highlight w:val="none"/>
        </w:rPr>
        <w:t>；</w:t>
      </w:r>
    </w:p>
    <w:p w14:paraId="4CBD9B8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6500C3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 xml:space="preserve">施工现场       </w:t>
      </w:r>
      <w:r>
        <w:rPr>
          <w:rFonts w:hint="eastAsia" w:ascii="仿宋" w:hAnsi="仿宋" w:eastAsia="仿宋" w:cs="仿宋"/>
          <w:color w:val="auto"/>
          <w:kern w:val="0"/>
          <w:sz w:val="24"/>
          <w:szCs w:val="24"/>
          <w:highlight w:val="none"/>
        </w:rPr>
        <w:t>；</w:t>
      </w:r>
    </w:p>
    <w:p w14:paraId="626EFD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xml:space="preserve">项目负责人     </w:t>
      </w:r>
      <w:r>
        <w:rPr>
          <w:rFonts w:hint="eastAsia" w:ascii="仿宋" w:hAnsi="仿宋" w:eastAsia="仿宋" w:cs="仿宋"/>
          <w:color w:val="auto"/>
          <w:kern w:val="0"/>
          <w:sz w:val="24"/>
          <w:szCs w:val="24"/>
          <w:highlight w:val="none"/>
        </w:rPr>
        <w:t>。</w:t>
      </w:r>
    </w:p>
    <w:p w14:paraId="1F4C466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 xml:space="preserve">  施工现场     </w:t>
      </w:r>
      <w:r>
        <w:rPr>
          <w:rFonts w:hint="eastAsia" w:ascii="仿宋" w:hAnsi="仿宋" w:eastAsia="仿宋" w:cs="仿宋"/>
          <w:color w:val="auto"/>
          <w:kern w:val="0"/>
          <w:sz w:val="24"/>
          <w:szCs w:val="24"/>
          <w:highlight w:val="none"/>
        </w:rPr>
        <w:t>；</w:t>
      </w:r>
    </w:p>
    <w:p w14:paraId="1BE31B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kern w:val="0"/>
          <w:sz w:val="24"/>
          <w:szCs w:val="24"/>
          <w:highlight w:val="none"/>
        </w:rPr>
        <w:t>。</w:t>
      </w:r>
    </w:p>
    <w:p w14:paraId="08204F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7" w:name="_Toc31879"/>
      <w:r>
        <w:rPr>
          <w:rFonts w:hint="eastAsia" w:ascii="仿宋" w:hAnsi="仿宋" w:eastAsia="仿宋" w:cs="仿宋"/>
          <w:color w:val="auto"/>
          <w:sz w:val="24"/>
          <w:szCs w:val="24"/>
          <w:highlight w:val="none"/>
        </w:rPr>
        <w:t>1.10 交通运输</w:t>
      </w:r>
      <w:bookmarkEnd w:id="77"/>
    </w:p>
    <w:p w14:paraId="6664AD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78" w:name="_Toc300934943"/>
      <w:bookmarkStart w:id="79" w:name="_Toc304295521"/>
      <w:bookmarkStart w:id="80" w:name="_Toc303539100"/>
      <w:bookmarkStart w:id="81" w:name="_Toc318581155"/>
      <w:bookmarkStart w:id="82" w:name="_Toc312677986"/>
      <w:r>
        <w:rPr>
          <w:rFonts w:hint="eastAsia" w:ascii="仿宋" w:hAnsi="仿宋" w:eastAsia="仿宋" w:cs="仿宋"/>
          <w:color w:val="auto"/>
          <w:sz w:val="24"/>
          <w:szCs w:val="24"/>
          <w:highlight w:val="none"/>
        </w:rPr>
        <w:t>.10.1 出入现场的权利</w:t>
      </w:r>
    </w:p>
    <w:p w14:paraId="4D707F0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由承包人按发包人需要，取得出入施工现场所需的批准手续和全部权利，以及取得因施工所需修建道路、桥梁以及其他基础设施的权利，并承担相关手续费用和建设费用。该项费用由承包人承担</w:t>
      </w:r>
      <w:r>
        <w:rPr>
          <w:rFonts w:hint="eastAsia" w:ascii="仿宋" w:hAnsi="仿宋" w:eastAsia="仿宋" w:cs="仿宋"/>
          <w:color w:val="auto"/>
          <w:sz w:val="24"/>
          <w:szCs w:val="24"/>
          <w:highlight w:val="none"/>
        </w:rPr>
        <w:t>。</w:t>
      </w:r>
    </w:p>
    <w:bookmarkEnd w:id="78"/>
    <w:bookmarkEnd w:id="79"/>
    <w:bookmarkEnd w:id="80"/>
    <w:bookmarkEnd w:id="81"/>
    <w:bookmarkEnd w:id="82"/>
    <w:p w14:paraId="75998D6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83" w:name="_Toc300934944"/>
      <w:bookmarkStart w:id="84" w:name="_Toc303539101"/>
      <w:bookmarkStart w:id="85" w:name="_Toc304295522"/>
      <w:bookmarkStart w:id="86" w:name="_Toc312677987"/>
      <w:bookmarkStart w:id="87" w:name="_Toc318581156"/>
      <w:r>
        <w:rPr>
          <w:rFonts w:hint="eastAsia" w:ascii="仿宋" w:hAnsi="仿宋" w:eastAsia="仿宋" w:cs="仿宋"/>
          <w:color w:val="auto"/>
          <w:sz w:val="24"/>
          <w:szCs w:val="24"/>
          <w:highlight w:val="none"/>
        </w:rPr>
        <w:t>.10.3 场内交通</w:t>
      </w:r>
    </w:p>
    <w:p w14:paraId="3AB435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关于场外交通和场内交通的边界的约定：</w:t>
      </w:r>
      <w:r>
        <w:rPr>
          <w:rFonts w:hint="eastAsia" w:ascii="仿宋" w:hAnsi="仿宋" w:eastAsia="仿宋" w:cs="仿宋"/>
          <w:color w:val="auto"/>
          <w:sz w:val="24"/>
          <w:szCs w:val="24"/>
          <w:highlight w:val="none"/>
          <w:u w:val="single"/>
        </w:rPr>
        <w:t>发包人协助，承包人负责办理施工通道的相关手续；负责建设为满足施工需求的施工便道和临时设施，并承担相关所有费用，以满足施工的运输要求</w:t>
      </w:r>
      <w:r>
        <w:rPr>
          <w:rFonts w:hint="eastAsia" w:ascii="仿宋" w:hAnsi="仿宋" w:eastAsia="仿宋" w:cs="仿宋"/>
          <w:color w:val="auto"/>
          <w:sz w:val="24"/>
          <w:szCs w:val="24"/>
          <w:highlight w:val="none"/>
        </w:rPr>
        <w:t>。</w:t>
      </w:r>
    </w:p>
    <w:p w14:paraId="5F630F4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发包方协助，承包方办理并承担所有费用 </w:t>
      </w:r>
      <w:r>
        <w:rPr>
          <w:rFonts w:hint="eastAsia" w:ascii="仿宋" w:hAnsi="仿宋" w:eastAsia="仿宋" w:cs="仿宋"/>
          <w:color w:val="auto"/>
          <w:sz w:val="24"/>
          <w:szCs w:val="24"/>
          <w:highlight w:val="none"/>
        </w:rPr>
        <w:t>。</w:t>
      </w:r>
      <w:bookmarkEnd w:id="83"/>
      <w:bookmarkEnd w:id="84"/>
      <w:bookmarkEnd w:id="85"/>
      <w:bookmarkEnd w:id="86"/>
      <w:bookmarkEnd w:id="87"/>
      <w:r>
        <w:rPr>
          <w:rFonts w:hint="eastAsia" w:ascii="仿宋" w:hAnsi="仿宋" w:eastAsia="仿宋" w:cs="仿宋"/>
          <w:color w:val="auto"/>
          <w:sz w:val="24"/>
          <w:szCs w:val="24"/>
          <w:highlight w:val="none"/>
        </w:rPr>
        <w:t xml:space="preserve">  </w:t>
      </w:r>
      <w:bookmarkStart w:id="88" w:name="_Toc318581157"/>
    </w:p>
    <w:p w14:paraId="17BB24F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28BAE9F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承担。</w:t>
      </w:r>
    </w:p>
    <w:bookmarkEnd w:id="88"/>
    <w:p w14:paraId="55C54F1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89" w:name="_Toc19285"/>
      <w:r>
        <w:rPr>
          <w:rFonts w:hint="eastAsia" w:ascii="仿宋" w:hAnsi="仿宋" w:eastAsia="仿宋" w:cs="仿宋"/>
          <w:color w:val="auto"/>
          <w:sz w:val="24"/>
          <w:szCs w:val="24"/>
          <w:highlight w:val="none"/>
        </w:rPr>
        <w:t>1.11 知识产权</w:t>
      </w:r>
      <w:bookmarkEnd w:id="89"/>
    </w:p>
    <w:p w14:paraId="2A36208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w:t>
      </w:r>
    </w:p>
    <w:p w14:paraId="0087C5DC">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35041367">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发包人  </w:t>
      </w:r>
      <w:r>
        <w:rPr>
          <w:rFonts w:hint="eastAsia" w:ascii="仿宋" w:hAnsi="仿宋" w:eastAsia="仿宋" w:cs="仿宋"/>
          <w:color w:val="auto"/>
          <w:sz w:val="24"/>
          <w:szCs w:val="24"/>
          <w:highlight w:val="none"/>
        </w:rPr>
        <w:t>。</w:t>
      </w:r>
    </w:p>
    <w:p w14:paraId="7AD64411">
      <w:pPr>
        <w:pageBreakBefore w:val="0"/>
        <w:kinsoku/>
        <w:wordWrap/>
        <w:overflowPunct/>
        <w:topLinePunct w:val="0"/>
        <w:bidi w:val="0"/>
        <w:spacing w:line="440" w:lineRule="exact"/>
        <w:ind w:left="660" w:leftChars="200" w:hanging="240" w:hangingChars="1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02BDCF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包含在签约合同价中       </w:t>
      </w:r>
      <w:r>
        <w:rPr>
          <w:rFonts w:hint="eastAsia" w:ascii="仿宋" w:hAnsi="仿宋" w:eastAsia="仿宋" w:cs="仿宋"/>
          <w:color w:val="auto"/>
          <w:kern w:val="0"/>
          <w:sz w:val="24"/>
          <w:szCs w:val="24"/>
          <w:highlight w:val="none"/>
        </w:rPr>
        <w:t>。</w:t>
      </w:r>
    </w:p>
    <w:p w14:paraId="77E59E5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75EC25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kern w:val="0"/>
          <w:sz w:val="24"/>
          <w:szCs w:val="24"/>
          <w:highlight w:val="none"/>
        </w:rPr>
        <w:t>。</w:t>
      </w:r>
    </w:p>
    <w:p w14:paraId="7E47E77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 xml:space="preserve"> 当工程量清单项目工程量的变化幅度在±15%（含15%）以内时，其综合单价不做调整；当工程量清单项目工程量的变化幅度在±15%以外时，其综合单价进行调整。调整方法为：超出+15%时，超出部分原综合单价下浮10%进行结算；超出-15%时，剩余部分原综合单价上浮10%进行结算。</w:t>
      </w:r>
    </w:p>
    <w:p w14:paraId="6421645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当清单出现漏项时，漏项部分以经济签证的形式确认，与工程量清单中有相同项目的，按照相同项目单价认定；与工程量清单中无相同项目，但有类似项目的，参照类似项目的单价认定；对于没有类似项目的，由承包人根据工程资料、套用现行定额和估价表、费率中管理费及利润按照相应工程类别下限计取、工程造价管理机构发布的工程实施当期信息（参考）价格，综合以上因素计取。</w:t>
      </w:r>
    </w:p>
    <w:p w14:paraId="5A44156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当确认变更的费用发生争议时，施工方不得以该争议作为怠工、停工等的理由，必须正常施工 </w:t>
      </w:r>
      <w:r>
        <w:rPr>
          <w:rFonts w:hint="eastAsia" w:ascii="仿宋" w:hAnsi="仿宋" w:eastAsia="仿宋" w:cs="仿宋"/>
          <w:color w:val="auto"/>
          <w:sz w:val="24"/>
          <w:szCs w:val="24"/>
          <w:highlight w:val="none"/>
        </w:rPr>
        <w:t>。</w:t>
      </w:r>
    </w:p>
    <w:p w14:paraId="3F26CE15">
      <w:pPr>
        <w:pageBreakBefore w:val="0"/>
        <w:kinsoku/>
        <w:wordWrap/>
        <w:overflowPunct/>
        <w:topLinePunct w:val="0"/>
        <w:bidi w:val="0"/>
        <w:spacing w:line="440" w:lineRule="exact"/>
        <w:ind w:firstLine="482" w:firstLineChars="200"/>
        <w:textAlignment w:val="auto"/>
        <w:outlineLvl w:val="9"/>
        <w:rPr>
          <w:rFonts w:hint="eastAsia" w:ascii="仿宋" w:hAnsi="仿宋" w:eastAsia="仿宋" w:cs="仿宋"/>
          <w:b/>
          <w:color w:val="auto"/>
          <w:sz w:val="24"/>
          <w:szCs w:val="24"/>
          <w:highlight w:val="none"/>
        </w:rPr>
      </w:pPr>
      <w:bookmarkStart w:id="90" w:name="_Toc20044"/>
      <w:r>
        <w:rPr>
          <w:rFonts w:hint="eastAsia" w:ascii="仿宋" w:hAnsi="仿宋" w:eastAsia="仿宋" w:cs="仿宋"/>
          <w:b/>
          <w:color w:val="auto"/>
          <w:sz w:val="24"/>
          <w:szCs w:val="24"/>
          <w:highlight w:val="none"/>
        </w:rPr>
        <w:t>2</w:t>
      </w:r>
      <w:bookmarkStart w:id="91" w:name="_Toc296944496"/>
      <w:bookmarkStart w:id="92" w:name="_Toc297048343"/>
      <w:bookmarkStart w:id="93" w:name="_Toc296891197"/>
      <w:bookmarkStart w:id="94" w:name="_Toc296346658"/>
      <w:bookmarkStart w:id="95" w:name="_Toc292559867"/>
      <w:bookmarkStart w:id="96" w:name="_Toc296347156"/>
      <w:bookmarkStart w:id="97" w:name="_Toc297120457"/>
      <w:bookmarkStart w:id="98" w:name="_Toc296503157"/>
      <w:bookmarkStart w:id="99" w:name="_Toc296890985"/>
      <w:bookmarkStart w:id="100" w:name="_Toc292559362"/>
      <w:r>
        <w:rPr>
          <w:rFonts w:hint="eastAsia" w:ascii="仿宋" w:hAnsi="仿宋" w:eastAsia="仿宋" w:cs="仿宋"/>
          <w:b/>
          <w:color w:val="auto"/>
          <w:sz w:val="24"/>
          <w:szCs w:val="24"/>
          <w:highlight w:val="none"/>
        </w:rPr>
        <w:t>. 发包人</w:t>
      </w:r>
      <w:bookmarkEnd w:id="90"/>
    </w:p>
    <w:bookmarkEnd w:id="91"/>
    <w:bookmarkEnd w:id="92"/>
    <w:bookmarkEnd w:id="93"/>
    <w:bookmarkEnd w:id="94"/>
    <w:bookmarkEnd w:id="95"/>
    <w:bookmarkEnd w:id="96"/>
    <w:bookmarkEnd w:id="97"/>
    <w:bookmarkEnd w:id="98"/>
    <w:bookmarkEnd w:id="99"/>
    <w:bookmarkEnd w:id="100"/>
    <w:p w14:paraId="0AE3738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01" w:name="_Toc4468"/>
      <w:r>
        <w:rPr>
          <w:rFonts w:hint="eastAsia" w:ascii="仿宋" w:hAnsi="仿宋" w:eastAsia="仿宋" w:cs="仿宋"/>
          <w:color w:val="auto"/>
          <w:sz w:val="24"/>
          <w:szCs w:val="24"/>
          <w:highlight w:val="none"/>
        </w:rPr>
        <w:t>2.2 发包人代表</w:t>
      </w:r>
      <w:bookmarkEnd w:id="101"/>
    </w:p>
    <w:p w14:paraId="59E91C0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33A3A3C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DA9B1B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07DA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D91A4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A804E4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33745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81D3F7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 xml:space="preserve">督促指导监理工程师行使职权，协调施工现场各方面的关系，协调工程质量、进度和安全文明施工中存在的问题，审核工程进度报表等，涉及到工程质量、合同变更、经济签证、设计变更、工程结算、竣工验收的相关文件，由发包人代表和监理工程师签字后报发包人审核 </w:t>
      </w:r>
      <w:r>
        <w:rPr>
          <w:rFonts w:hint="eastAsia" w:ascii="仿宋" w:hAnsi="仿宋" w:eastAsia="仿宋" w:cs="仿宋"/>
          <w:color w:val="auto"/>
          <w:sz w:val="24"/>
          <w:szCs w:val="24"/>
          <w:highlight w:val="none"/>
        </w:rPr>
        <w:t>。</w:t>
      </w:r>
    </w:p>
    <w:p w14:paraId="19F4065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102" w:name="_Toc21826"/>
      <w:r>
        <w:rPr>
          <w:rFonts w:hint="eastAsia" w:ascii="仿宋" w:hAnsi="仿宋" w:eastAsia="仿宋" w:cs="仿宋"/>
          <w:color w:val="auto"/>
          <w:sz w:val="24"/>
          <w:szCs w:val="24"/>
          <w:highlight w:val="none"/>
        </w:rPr>
        <w:t>2.4 施工现场、施工条件和基础资料的提供</w:t>
      </w:r>
      <w:bookmarkEnd w:id="102"/>
    </w:p>
    <w:p w14:paraId="082A3F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88C37D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 xml:space="preserve">发包人不组织现场踏勘。开工前三日内，承包人接受施工场地，以及施工场地内地下管线和地下设施等有关资料后，自行对施工现场以及相关资料进行复核，在3日内未提出书面异议的，视为施工场地完全符合施工条件，并对以下几点完全清楚并在费用和时间方面进行了综合考虑后满足施工需求：（1）现场的地形、地质条件；（2）水文和气候的条件；（3）施工场地内地下管线和地下设施；（4）为工程施工和完工以及修补其任何缺陷所需的工作和材料的范围与性质；（5）进入现场的手段以及承包人可能需要的生产和生活条件；（6）其他与施工现场有关的不利条件。由此产生任何问题均由承包人自行解决并承担费用 </w:t>
      </w:r>
      <w:r>
        <w:rPr>
          <w:rFonts w:hint="eastAsia" w:ascii="仿宋" w:hAnsi="仿宋" w:eastAsia="仿宋" w:cs="仿宋"/>
          <w:color w:val="auto"/>
          <w:sz w:val="24"/>
          <w:szCs w:val="24"/>
          <w:highlight w:val="none"/>
        </w:rPr>
        <w:t>。</w:t>
      </w:r>
    </w:p>
    <w:p w14:paraId="122F5CB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BE76C5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 xml:space="preserve"> 发包人协调，承包人完成，费用包含在合同价内 </w:t>
      </w:r>
      <w:r>
        <w:rPr>
          <w:rFonts w:hint="eastAsia" w:ascii="仿宋" w:hAnsi="仿宋" w:eastAsia="仿宋" w:cs="仿宋"/>
          <w:color w:val="auto"/>
          <w:sz w:val="24"/>
          <w:szCs w:val="24"/>
          <w:highlight w:val="none"/>
        </w:rPr>
        <w:t>。</w:t>
      </w:r>
    </w:p>
    <w:p w14:paraId="122E5E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03" w:name="_Toc19891"/>
      <w:r>
        <w:rPr>
          <w:rFonts w:hint="eastAsia" w:ascii="仿宋" w:hAnsi="仿宋" w:eastAsia="仿宋" w:cs="仿宋"/>
          <w:color w:val="auto"/>
          <w:sz w:val="24"/>
          <w:szCs w:val="24"/>
          <w:highlight w:val="none"/>
        </w:rPr>
        <w:t>2.5 资金来源证明及支付担保</w:t>
      </w:r>
      <w:bookmarkEnd w:id="103"/>
    </w:p>
    <w:p w14:paraId="28F4CDD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1CB4E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5FD43E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C9F45ED">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04" w:name="_Toc5569"/>
      <w:r>
        <w:rPr>
          <w:rFonts w:hint="eastAsia" w:ascii="仿宋" w:hAnsi="仿宋" w:eastAsia="仿宋" w:cs="仿宋"/>
          <w:b w:val="0"/>
          <w:color w:val="auto"/>
          <w:sz w:val="24"/>
          <w:szCs w:val="24"/>
          <w:highlight w:val="none"/>
        </w:rPr>
        <w:t>3</w:t>
      </w:r>
      <w:bookmarkStart w:id="105" w:name="_Toc297120458"/>
      <w:bookmarkStart w:id="106" w:name="_Toc296503158"/>
      <w:bookmarkStart w:id="107" w:name="_Toc296346659"/>
      <w:bookmarkStart w:id="108" w:name="_Toc297048344"/>
      <w:bookmarkStart w:id="109" w:name="_Toc292559363"/>
      <w:bookmarkStart w:id="110" w:name="_Toc296347157"/>
      <w:bookmarkStart w:id="111" w:name="_Toc292559868"/>
      <w:bookmarkStart w:id="112" w:name="_Toc296890986"/>
      <w:bookmarkStart w:id="113" w:name="_Toc296944497"/>
      <w:bookmarkStart w:id="114" w:name="_Toc296891198"/>
      <w:r>
        <w:rPr>
          <w:rFonts w:hint="eastAsia" w:ascii="仿宋" w:hAnsi="仿宋" w:eastAsia="仿宋" w:cs="仿宋"/>
          <w:b w:val="0"/>
          <w:color w:val="auto"/>
          <w:sz w:val="24"/>
          <w:szCs w:val="24"/>
          <w:highlight w:val="none"/>
        </w:rPr>
        <w:t>. 承包人</w:t>
      </w:r>
      <w:bookmarkEnd w:id="104"/>
    </w:p>
    <w:bookmarkEnd w:id="105"/>
    <w:bookmarkEnd w:id="106"/>
    <w:bookmarkEnd w:id="107"/>
    <w:bookmarkEnd w:id="108"/>
    <w:bookmarkEnd w:id="109"/>
    <w:bookmarkEnd w:id="110"/>
    <w:bookmarkEnd w:id="111"/>
    <w:bookmarkEnd w:id="112"/>
    <w:bookmarkEnd w:id="113"/>
    <w:bookmarkEnd w:id="114"/>
    <w:p w14:paraId="536A9E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5" w:name="_Toc29350"/>
      <w:r>
        <w:rPr>
          <w:rFonts w:hint="eastAsia" w:ascii="仿宋" w:hAnsi="仿宋" w:eastAsia="仿宋" w:cs="仿宋"/>
          <w:color w:val="auto"/>
          <w:sz w:val="24"/>
          <w:szCs w:val="24"/>
          <w:highlight w:val="none"/>
        </w:rPr>
        <w:t>3.1 承包人的一般义务</w:t>
      </w:r>
      <w:bookmarkEnd w:id="115"/>
    </w:p>
    <w:p w14:paraId="01B7E5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1）承包人须按照《房屋建筑和市政基础设施工程竣工验收规定》及国家建设工程文件归档规范提交完整的技术档案和施工管理资料；2）单项工程竣工后，承包人应在提交竣工验收报告的同时，向发包人递交竣工结算报告及完整的结算资料；</w:t>
      </w: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纸质版2套，电子版扫描后刻录光盘一套 </w:t>
      </w:r>
      <w:r>
        <w:rPr>
          <w:rFonts w:hint="eastAsia" w:ascii="仿宋" w:hAnsi="仿宋" w:eastAsia="仿宋" w:cs="仿宋"/>
          <w:color w:val="auto"/>
          <w:sz w:val="24"/>
          <w:szCs w:val="24"/>
          <w:highlight w:val="none"/>
        </w:rPr>
        <w:t>。</w:t>
      </w:r>
    </w:p>
    <w:p w14:paraId="26200F8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承包人自行承担   </w:t>
      </w:r>
      <w:r>
        <w:rPr>
          <w:rFonts w:hint="eastAsia" w:ascii="仿宋" w:hAnsi="仿宋" w:eastAsia="仿宋" w:cs="仿宋"/>
          <w:color w:val="auto"/>
          <w:sz w:val="24"/>
          <w:szCs w:val="24"/>
          <w:highlight w:val="none"/>
        </w:rPr>
        <w:t>。</w:t>
      </w:r>
    </w:p>
    <w:p w14:paraId="1877872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 工程验收合格后，承包方应 3个月内将合格的竣工资料交当地城建档案 </w:t>
      </w:r>
      <w:r>
        <w:rPr>
          <w:rFonts w:hint="eastAsia" w:ascii="仿宋" w:hAnsi="仿宋" w:eastAsia="仿宋" w:cs="仿宋"/>
          <w:color w:val="auto"/>
          <w:sz w:val="24"/>
          <w:szCs w:val="24"/>
          <w:highlight w:val="none"/>
        </w:rPr>
        <w:t>。</w:t>
      </w:r>
    </w:p>
    <w:p w14:paraId="4F6E3577">
      <w:pPr>
        <w:pageBreakBefore w:val="0"/>
        <w:kinsoku/>
        <w:wordWrap/>
        <w:overflowPunct/>
        <w:topLinePunct w:val="0"/>
        <w:bidi w:val="0"/>
        <w:spacing w:line="440" w:lineRule="exact"/>
        <w:ind w:left="239" w:leftChars="114" w:firstLine="240" w:firstLineChars="1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书面按档案规范要求提供纸质版和电子文档 </w:t>
      </w:r>
      <w:r>
        <w:rPr>
          <w:rFonts w:hint="eastAsia" w:ascii="仿宋" w:hAnsi="仿宋" w:eastAsia="仿宋" w:cs="仿宋"/>
          <w:color w:val="auto"/>
          <w:sz w:val="24"/>
          <w:szCs w:val="24"/>
          <w:highlight w:val="none"/>
        </w:rPr>
        <w:t>。</w:t>
      </w:r>
    </w:p>
    <w:p w14:paraId="19069593">
      <w:pPr>
        <w:pageBreakBefore w:val="0"/>
        <w:kinsoku/>
        <w:wordWrap/>
        <w:overflowPunct/>
        <w:topLinePunct w:val="0"/>
        <w:bidi w:val="0"/>
        <w:spacing w:line="440" w:lineRule="exact"/>
        <w:ind w:firstLine="960" w:firstLineChars="4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52E6C86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1）承包人配合建设单位办理开工前的所有施工手续</w:t>
      </w:r>
      <w:r>
        <w:rPr>
          <w:rFonts w:hint="eastAsia" w:ascii="仿宋" w:hAnsi="仿宋" w:eastAsia="仿宋" w:cs="仿宋"/>
          <w:color w:val="auto"/>
          <w:sz w:val="24"/>
          <w:szCs w:val="24"/>
          <w:highlight w:val="none"/>
        </w:rPr>
        <w:t>。</w:t>
      </w:r>
    </w:p>
    <w:p w14:paraId="206D0EF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2）负责协助办理项目前期手续、办理施工过程中所需手续、办理竣工验收手续、办理其他相关手续、完善施工管理、检查、试验、报验的工作，工程施工涉及的外环境要求完善的工程，执行相关文件要求</w:t>
      </w:r>
      <w:r>
        <w:rPr>
          <w:rFonts w:hint="eastAsia" w:ascii="仿宋" w:hAnsi="仿宋" w:eastAsia="仿宋" w:cs="仿宋"/>
          <w:color w:val="auto"/>
          <w:sz w:val="24"/>
          <w:szCs w:val="24"/>
          <w:highlight w:val="none"/>
        </w:rPr>
        <w:t>。</w:t>
      </w:r>
    </w:p>
    <w:p w14:paraId="5C52A46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3）遵守政府有关主管部门对施工场地安全生产、文明施工、环境保护、扬尘治理等的管理规定，按规定办理有关手续，并以书面形式通知发包人，由此发生的费用包括在投标总报价中</w:t>
      </w:r>
      <w:r>
        <w:rPr>
          <w:rFonts w:hint="eastAsia" w:ascii="仿宋" w:hAnsi="仿宋" w:eastAsia="仿宋" w:cs="仿宋"/>
          <w:color w:val="auto"/>
          <w:sz w:val="24"/>
          <w:szCs w:val="24"/>
          <w:highlight w:val="none"/>
        </w:rPr>
        <w:t>。</w:t>
      </w:r>
    </w:p>
    <w:p w14:paraId="21CEDAD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4）承包人应在签订合同协议书后，向监理工程师提交 2 份其格式和内容符合监理工程师规定的工程进度计划，以及为完成该计划而建议采用的实施性的施工安排和施工方案的说明。工程进度计划应按照关键线路网络图编绘，并应包括每月预计完成的工作量和形象进度</w:t>
      </w:r>
      <w:r>
        <w:rPr>
          <w:rFonts w:hint="eastAsia" w:ascii="仿宋" w:hAnsi="仿宋" w:eastAsia="仿宋" w:cs="仿宋"/>
          <w:color w:val="auto"/>
          <w:sz w:val="24"/>
          <w:szCs w:val="24"/>
          <w:highlight w:val="none"/>
        </w:rPr>
        <w:t>；</w:t>
      </w:r>
    </w:p>
    <w:p w14:paraId="73C3C9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5）承包人应按发包人要求免费提供投标文件，承包人在签订施工合同的同时向监理单位提交投标清单计价文件；每月 25 日前向发包人报下月工程进度计划，每月 20 日前向发包人报工程量验工报告</w:t>
      </w:r>
      <w:r>
        <w:rPr>
          <w:rFonts w:hint="eastAsia" w:ascii="仿宋" w:hAnsi="仿宋" w:eastAsia="仿宋" w:cs="仿宋"/>
          <w:color w:val="auto"/>
          <w:sz w:val="24"/>
          <w:szCs w:val="24"/>
          <w:highlight w:val="none"/>
        </w:rPr>
        <w:t>。</w:t>
      </w:r>
    </w:p>
    <w:p w14:paraId="50B3138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6）参加各类施工协调、交通配合例会,做好施工现场的交通管理工作</w:t>
      </w:r>
      <w:r>
        <w:rPr>
          <w:rFonts w:hint="eastAsia" w:ascii="仿宋" w:hAnsi="仿宋" w:eastAsia="仿宋" w:cs="仿宋"/>
          <w:color w:val="auto"/>
          <w:sz w:val="24"/>
          <w:szCs w:val="24"/>
          <w:highlight w:val="none"/>
        </w:rPr>
        <w:t>。</w:t>
      </w:r>
    </w:p>
    <w:p w14:paraId="37DD3D0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7）按时向发包人提交开竣工报告,隐蔽工程验收报告,质量自检记录,交工验收报告及工程事故报告等资料</w:t>
      </w:r>
      <w:r>
        <w:rPr>
          <w:rFonts w:hint="eastAsia" w:ascii="仿宋" w:hAnsi="仿宋" w:eastAsia="仿宋" w:cs="仿宋"/>
          <w:color w:val="auto"/>
          <w:sz w:val="24"/>
          <w:szCs w:val="24"/>
          <w:highlight w:val="none"/>
        </w:rPr>
        <w:t>；</w:t>
      </w:r>
    </w:p>
    <w:p w14:paraId="2CAC66D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8）本工程实施前承包人应根据招标时或交底时提供的工程地质、地下管线、设施等资料对工程影响范围内地下管线、道路和周围建筑物、构筑物进行周密的勘察与调查,在施工前应采取必要的加固措施, 确保在施工过程中各类管线和临近建（构）筑物的安全，避免在施工期间造成损坏；施工过程中应采取必要措施对变形进行控制，发现损坏时应及时抢修，施工结束后及缺陷责任期进行必要的维修，确保沿线影响范围内地下管线、地面道路、下水道和周围建筑物、构筑物的安全与正常使用；因承包商的责任导致索赔、赔偿、及诉讼费用和其它开支时，由承包人承担一切责任及费用。</w:t>
      </w:r>
    </w:p>
    <w:p w14:paraId="58493A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9）文明施工按照乌鲁木齐市有关职能部门的要求执行，施工时不影响校园交通道路的正常运行和保证给排水畅通，施工区域范围内必须采取封闭措施，搞好工地现场环境卫生，并接受有关部门和发包人的检查</w:t>
      </w:r>
      <w:r>
        <w:rPr>
          <w:rFonts w:hint="eastAsia" w:ascii="仿宋" w:hAnsi="仿宋" w:eastAsia="仿宋" w:cs="仿宋"/>
          <w:color w:val="auto"/>
          <w:sz w:val="24"/>
          <w:szCs w:val="24"/>
          <w:highlight w:val="none"/>
        </w:rPr>
        <w:t>。</w:t>
      </w:r>
    </w:p>
    <w:p w14:paraId="1688CEC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10）必须接受发包人及其委托的监理工程师的监理，并为其开展工作和生活提供方便，按照要求提供完整的原始记录，检测记录等技术、经济资料</w:t>
      </w:r>
      <w:r>
        <w:rPr>
          <w:rFonts w:hint="eastAsia" w:ascii="仿宋" w:hAnsi="仿宋" w:eastAsia="仿宋" w:cs="仿宋"/>
          <w:color w:val="auto"/>
          <w:sz w:val="24"/>
          <w:szCs w:val="24"/>
          <w:highlight w:val="none"/>
        </w:rPr>
        <w:t>。</w:t>
      </w:r>
    </w:p>
    <w:p w14:paraId="4EE3AAC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11）承包人需自行完成施工用水、用电接入及通信线路接入的施工及办理用水接表、用电报装等有关事宜，费用由承包人自行承担，发包人做好协调工作</w:t>
      </w:r>
      <w:r>
        <w:rPr>
          <w:rFonts w:hint="eastAsia" w:ascii="仿宋" w:hAnsi="仿宋" w:eastAsia="仿宋" w:cs="仿宋"/>
          <w:color w:val="auto"/>
          <w:sz w:val="24"/>
          <w:szCs w:val="24"/>
          <w:highlight w:val="none"/>
        </w:rPr>
        <w:t>。</w:t>
      </w:r>
    </w:p>
    <w:p w14:paraId="19C9A3B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对于承包人或其分包人所雇用的工人发生意外事故或伤害和赔偿，应由承包人自行承担。对于此类事故或损害和赔偿，发包人均不予承担任何责任，且发包人不承担涉及此类事故或损害与赔偿或与此有关的索赔、诉讼、损害赔偿、诉讼费、赔偿费及其它所有费用</w:t>
      </w:r>
      <w:r>
        <w:rPr>
          <w:rFonts w:hint="eastAsia" w:ascii="仿宋" w:hAnsi="仿宋" w:eastAsia="仿宋" w:cs="仿宋"/>
          <w:color w:val="auto"/>
          <w:sz w:val="24"/>
          <w:szCs w:val="24"/>
          <w:highlight w:val="none"/>
        </w:rPr>
        <w:t>。</w:t>
      </w:r>
    </w:p>
    <w:p w14:paraId="263CD6C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13）承包人应当加强工程款管理，做到专款专用，不得拖欠材料、设备货款、农民工和工人工资等费用。监理工程师或发包人对工程款使用情况进行监督检查时，承包人应当积极配合，不得阻扰和拒绝。如承包人发生本款所述拖欠行为，一经查实，发包人责令承包人自行组织资金迅速偿还欠款。对恶意拖欠和拒不按计划偿付时，发包人可以代扣工程款（或保证金），并将有关情况报相关主管部门调查处理必要时有权单方解除合同并依法追究承包人的责任</w:t>
      </w:r>
      <w:r>
        <w:rPr>
          <w:rFonts w:hint="eastAsia" w:ascii="仿宋" w:hAnsi="仿宋" w:eastAsia="仿宋" w:cs="仿宋"/>
          <w:color w:val="auto"/>
          <w:sz w:val="24"/>
          <w:szCs w:val="24"/>
          <w:highlight w:val="none"/>
        </w:rPr>
        <w:t>。</w:t>
      </w:r>
    </w:p>
    <w:p w14:paraId="6DFE641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14）施工防护工作：施工期间承包人须对本工程的及其不能影响到的其他专业工程和现场采取必要的措施进行加固、维护、安全防护和损毁修复，并承担由此发生的一切费用</w:t>
      </w:r>
      <w:r>
        <w:rPr>
          <w:rFonts w:hint="eastAsia" w:ascii="仿宋" w:hAnsi="仿宋" w:eastAsia="仿宋" w:cs="仿宋"/>
          <w:color w:val="auto"/>
          <w:sz w:val="24"/>
          <w:szCs w:val="24"/>
          <w:highlight w:val="none"/>
        </w:rPr>
        <w:t>。</w:t>
      </w:r>
    </w:p>
    <w:p w14:paraId="1826C2B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15）工地作业和施工方法：承包人应对工地所有作业和施工方法的适当性、可靠性及安全性负责。同时根据施工现场的实际情况建立健全的质量保证体系、环境保证体系和职业健康与安全保证体系</w:t>
      </w:r>
      <w:r>
        <w:rPr>
          <w:rFonts w:hint="eastAsia" w:ascii="仿宋" w:hAnsi="仿宋" w:eastAsia="仿宋" w:cs="仿宋"/>
          <w:color w:val="auto"/>
          <w:sz w:val="24"/>
          <w:szCs w:val="24"/>
          <w:highlight w:val="none"/>
        </w:rPr>
        <w:t>。</w:t>
      </w:r>
    </w:p>
    <w:p w14:paraId="56082E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16）文明施工措施费用，包含在合同价格内，全部由承包人自行承担。如因承包人未及时采取措施，或采取措施不当，给发包人造成损失或增加费用的，均由承包人承担，发包人有权从应付工程款中直接扣除</w:t>
      </w:r>
      <w:r>
        <w:rPr>
          <w:rFonts w:hint="eastAsia" w:ascii="仿宋" w:hAnsi="仿宋" w:eastAsia="仿宋" w:cs="仿宋"/>
          <w:color w:val="auto"/>
          <w:sz w:val="24"/>
          <w:szCs w:val="24"/>
          <w:highlight w:val="none"/>
        </w:rPr>
        <w:t>。</w:t>
      </w:r>
    </w:p>
    <w:p w14:paraId="1DAD2F5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17）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p>
    <w:p w14:paraId="77ACF38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18）要求承包人开设农民工资专用账户，并在提交的工程量清单中将人工费与其他费用分开组价，与其他费用分开支付 </w:t>
      </w:r>
      <w:r>
        <w:rPr>
          <w:rFonts w:hint="eastAsia" w:ascii="仿宋" w:hAnsi="仿宋" w:eastAsia="仿宋" w:cs="仿宋"/>
          <w:color w:val="auto"/>
          <w:sz w:val="24"/>
          <w:szCs w:val="24"/>
          <w:highlight w:val="none"/>
        </w:rPr>
        <w:t>。</w:t>
      </w:r>
    </w:p>
    <w:p w14:paraId="13486E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19）申请进度款时，需提供监理人对支付计划审核意见及上一批次进度款的实际支付凭证（含发票）。否则发包人有权拒绝支付当期进度款，并按本合同约定追究承包人违约责任</w:t>
      </w:r>
      <w:r>
        <w:rPr>
          <w:rFonts w:hint="eastAsia" w:ascii="仿宋" w:hAnsi="仿宋" w:eastAsia="仿宋" w:cs="仿宋"/>
          <w:color w:val="auto"/>
          <w:sz w:val="24"/>
          <w:szCs w:val="24"/>
          <w:highlight w:val="none"/>
        </w:rPr>
        <w:t>。</w:t>
      </w:r>
    </w:p>
    <w:p w14:paraId="6A9B744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6" w:name="_Toc8508"/>
      <w:r>
        <w:rPr>
          <w:rFonts w:hint="eastAsia" w:ascii="仿宋" w:hAnsi="仿宋" w:eastAsia="仿宋" w:cs="仿宋"/>
          <w:color w:val="auto"/>
          <w:sz w:val="24"/>
          <w:szCs w:val="24"/>
          <w:highlight w:val="none"/>
        </w:rPr>
        <w:t>3.2 项目经理</w:t>
      </w:r>
      <w:bookmarkEnd w:id="116"/>
    </w:p>
    <w:p w14:paraId="6BF2D03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6FB907F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5C0A3F5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2EB8E85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61975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4CE304D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建造师执业印章号：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7C3424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2C588C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69D6255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电子信箱：</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13EF00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通信地址：</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7ABE3F2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按合同的约定组织工程施工，项目经理代表承包人行使本合同约定的权利，履行本合同约定的义务，项目经理的行为后果由承包人承担</w:t>
      </w:r>
      <w:r>
        <w:rPr>
          <w:rFonts w:hint="eastAsia" w:ascii="仿宋" w:hAnsi="仿宋" w:eastAsia="仿宋" w:cs="仿宋"/>
          <w:color w:val="auto"/>
          <w:sz w:val="24"/>
          <w:szCs w:val="24"/>
          <w:highlight w:val="none"/>
        </w:rPr>
        <w:t>。</w:t>
      </w:r>
    </w:p>
    <w:p w14:paraId="5A54AC2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项目经理、项目副经理（如有）及项目技术负责人每月到位必须不少于28天 </w:t>
      </w:r>
      <w:r>
        <w:rPr>
          <w:rFonts w:hint="eastAsia" w:ascii="仿宋" w:hAnsi="仿宋" w:eastAsia="仿宋" w:cs="仿宋"/>
          <w:color w:val="auto"/>
          <w:sz w:val="24"/>
          <w:szCs w:val="24"/>
          <w:highlight w:val="none"/>
        </w:rPr>
        <w:t>。</w:t>
      </w:r>
    </w:p>
    <w:p w14:paraId="2CFE29F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 由承包人自行承担责任，责令限期提交劳动合同并补交社会保险证明，并向发包人支付违约金2万元。限期内不能补齐的，承包人必须更换项目经理，并承担一切损失 </w:t>
      </w:r>
      <w:r>
        <w:rPr>
          <w:rFonts w:hint="eastAsia" w:ascii="仿宋" w:hAnsi="仿宋" w:eastAsia="仿宋" w:cs="仿宋"/>
          <w:color w:val="auto"/>
          <w:sz w:val="24"/>
          <w:szCs w:val="24"/>
          <w:highlight w:val="none"/>
        </w:rPr>
        <w:t>。</w:t>
      </w:r>
    </w:p>
    <w:p w14:paraId="13230D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sz w:val="24"/>
          <w:szCs w:val="24"/>
          <w:highlight w:val="none"/>
          <w:u w:val="single"/>
        </w:rPr>
        <w:t xml:space="preserve"> 每离开1天扣除2万元违约金，离开时间超过 5 日后，发包人有权要求更换项目经理，承包人承担上述违约给发包人造成的一切损失 </w:t>
      </w:r>
      <w:r>
        <w:rPr>
          <w:rFonts w:hint="eastAsia" w:ascii="仿宋" w:hAnsi="仿宋" w:eastAsia="仿宋" w:cs="仿宋"/>
          <w:color w:val="auto"/>
          <w:sz w:val="24"/>
          <w:szCs w:val="24"/>
          <w:highlight w:val="none"/>
        </w:rPr>
        <w:t>。</w:t>
      </w:r>
    </w:p>
    <w:p w14:paraId="3DD7A0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原项目经理如能继续履行职责，发包人应责令承包人撤销其更换决定，承包人向发包人支付10万元违约金；如原项目经理无法继续履行职责，发包人有权要求审核确认承包人更换的项目经理，承包人承担上述违约给发包人造成的一切损失 </w:t>
      </w:r>
      <w:r>
        <w:rPr>
          <w:rFonts w:hint="eastAsia" w:ascii="仿宋" w:hAnsi="仿宋" w:eastAsia="仿宋" w:cs="仿宋"/>
          <w:color w:val="auto"/>
          <w:sz w:val="24"/>
          <w:szCs w:val="24"/>
          <w:highlight w:val="none"/>
        </w:rPr>
        <w:t>。</w:t>
      </w:r>
    </w:p>
    <w:p w14:paraId="13F84C7D">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3.2.4 承包人无正当理由拒绝更换项目经理的违约责任：</w:t>
      </w:r>
      <w:r>
        <w:rPr>
          <w:rFonts w:hint="eastAsia" w:ascii="仿宋" w:hAnsi="仿宋" w:eastAsia="仿宋" w:cs="仿宋"/>
          <w:color w:val="auto"/>
          <w:sz w:val="24"/>
          <w:szCs w:val="24"/>
          <w:highlight w:val="none"/>
          <w:u w:val="single"/>
        </w:rPr>
        <w:t xml:space="preserve"> 发包人有权书面要求限期更换，拒不更换的按承包人原因暂停施工直至撤换相关人员，如不在限期撤换承包人向发包人支付10万违约金，在合同价中扣除，停工损失由承包方承担 </w:t>
      </w:r>
      <w:r>
        <w:rPr>
          <w:rFonts w:hint="eastAsia" w:ascii="仿宋" w:hAnsi="仿宋" w:eastAsia="仿宋" w:cs="仿宋"/>
          <w:color w:val="auto"/>
          <w:sz w:val="24"/>
          <w:szCs w:val="24"/>
          <w:highlight w:val="none"/>
        </w:rPr>
        <w:t>。</w:t>
      </w:r>
    </w:p>
    <w:p w14:paraId="00E58C7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7" w:name="_Toc22618"/>
      <w:r>
        <w:rPr>
          <w:rFonts w:hint="eastAsia" w:ascii="仿宋" w:hAnsi="仿宋" w:eastAsia="仿宋" w:cs="仿宋"/>
          <w:color w:val="auto"/>
          <w:sz w:val="24"/>
          <w:szCs w:val="24"/>
          <w:highlight w:val="none"/>
        </w:rPr>
        <w:t>3.3 承包人人员</w:t>
      </w:r>
      <w:bookmarkEnd w:id="117"/>
    </w:p>
    <w:p w14:paraId="5097BC7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接到开工通知3日内 </w:t>
      </w:r>
      <w:r>
        <w:rPr>
          <w:rFonts w:hint="eastAsia" w:ascii="仿宋" w:hAnsi="仿宋" w:eastAsia="仿宋" w:cs="仿宋"/>
          <w:color w:val="auto"/>
          <w:sz w:val="24"/>
          <w:szCs w:val="24"/>
          <w:highlight w:val="none"/>
        </w:rPr>
        <w:t>。</w:t>
      </w:r>
    </w:p>
    <w:p w14:paraId="01D9793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承包人应对其项目组织机构人员进行有效管理，发包人要求撤换不胜任本职工作、行为不端或玩忽职守的项目组织机构人员及其他人员的，承包人须在接到通知 3 天内无条件予以撤换，且每发生一次，向发包人支付 5 万元的违约金，同时承包人该行为造成的责任和损失由承包人自行承担。如承包人在接到第二次通知 3 天内仍拒绝更换的，发包人应书面通知该施工管理人员停止工作，并指示暂时停止施工，由此造成的责任和损失由承包人自行承担。发包人认为必要时，可以没收履约保证金，单方解除合同，另行发包 </w:t>
      </w:r>
      <w:r>
        <w:rPr>
          <w:rFonts w:hint="eastAsia" w:ascii="仿宋" w:hAnsi="仿宋" w:eastAsia="仿宋" w:cs="仿宋"/>
          <w:color w:val="auto"/>
          <w:sz w:val="24"/>
          <w:szCs w:val="24"/>
          <w:highlight w:val="none"/>
        </w:rPr>
        <w:t>。</w:t>
      </w:r>
    </w:p>
    <w:p w14:paraId="33A38EA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由总监理工程师批准并发包人认可后方可离开 </w:t>
      </w:r>
      <w:r>
        <w:rPr>
          <w:rFonts w:hint="eastAsia" w:ascii="仿宋" w:hAnsi="仿宋" w:eastAsia="仿宋" w:cs="仿宋"/>
          <w:color w:val="auto"/>
          <w:sz w:val="24"/>
          <w:szCs w:val="24"/>
          <w:highlight w:val="none"/>
        </w:rPr>
        <w:t>。</w:t>
      </w:r>
    </w:p>
    <w:p w14:paraId="52A3397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承包人在项目实施过程中的项目组织机构人员应为投标文件中所报的项目组织机构人员并满足本工程建设需要。承包人应拟派强有力的现场管理班子，提供的项目技术负责人、施工员、质量员、安全员、材料员、机械员、资料员、劳务员等人员名单，须有相应的资格证或上岗证。投标所报的主要施工管理人员必须与中标后实际施工时人员名单相一致。现场管理人员原则上不得变更，承包人不得随意擅自更换项目组织机构人员，承包人确需更换项目组织机构人员时，必须征得发包人同意，并应在更换前 14 日通知发包人和监理人。擅自更换本项目技术负责人、安全员、质检员，承包人应向发包人支付5万元/人次的违约金；擅自更换本项目其他管理人员，承包人应向发包人支付5万元/人次的违约金。如能继续履行职责，发包人应责令承包人撤销其更换决定；如原施工管理人员无法继续履行职责，发包人有权要求审核确认承包人更换的各岗位人员，其中更换项目技术负责人并另外承担违约金 2 万元/人次，更换施工员、质量员、安全员、材料员、机械员、资料员、劳务员并另外承担违约金 1 万元/人次，由此导致的一切责任由承包人承担；发包人认为必要时，可没收履约保证金，单方解除合同，另行发包 </w:t>
      </w:r>
      <w:r>
        <w:rPr>
          <w:rFonts w:hint="eastAsia" w:ascii="仿宋" w:hAnsi="仿宋" w:eastAsia="仿宋" w:cs="仿宋"/>
          <w:color w:val="auto"/>
          <w:sz w:val="24"/>
          <w:szCs w:val="24"/>
          <w:highlight w:val="none"/>
        </w:rPr>
        <w:t>。</w:t>
      </w:r>
    </w:p>
    <w:p w14:paraId="1348C5B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 xml:space="preserve"> 擅自离场≤3 日的，每发生一次，承包人向发包人支付违约金2万元，并无条件予以纠正；擅自离场＞3 日的，发包人有权要求承包人更换该项目技术负责人，承包人向发包人支付违约金5万元，由此造成的责任和损失由承包人自行承担</w:t>
      </w:r>
      <w:r>
        <w:rPr>
          <w:rFonts w:hint="eastAsia" w:ascii="仿宋" w:hAnsi="仿宋" w:eastAsia="仿宋" w:cs="仿宋"/>
          <w:color w:val="auto"/>
          <w:sz w:val="24"/>
          <w:szCs w:val="24"/>
          <w:highlight w:val="none"/>
        </w:rPr>
        <w:t>。</w:t>
      </w:r>
    </w:p>
    <w:p w14:paraId="1319FA6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还应执行：</w:t>
      </w:r>
      <w:r>
        <w:rPr>
          <w:rFonts w:hint="eastAsia" w:ascii="仿宋" w:hAnsi="仿宋" w:eastAsia="仿宋" w:cs="仿宋"/>
          <w:color w:val="auto"/>
          <w:sz w:val="24"/>
          <w:szCs w:val="24"/>
          <w:highlight w:val="none"/>
          <w:u w:val="single"/>
        </w:rPr>
        <w:t>①承包人配置在本工程的造价人员必须根据工程建设进度随时跟踪、收集工程变更及各项经济签证资料，在合同规定的时间内编制出预算书，并与洽商、签证、变更资料一同报送监理人和发包人审核，以确认变更价款。承包人未在规定时间内提供相应资料的，发包人有权不予确认且每发生一次向发包人支付违约金2万元。并无条件予以纠正，由此造成的一切责任和损失均由承包人承担。②承包人配备在本工程项目的专职的安全员必须满足国家相关法律法规要求。 ③尽管承包人已按投标文件中所列的数量派遣了施工管理各类人员，但若监理人或发包人认为这些人员仍不足以适应现场施工的需要并不能保证工程进度时，监理人或发包人有权要求承包人继续增派或雇用这类人员并书面通知承包人。承包人在接到通知七日内应立即执行监理人或发包人的指示，不得无故拖延，且每发生一次，向发包人支付违约金2万元，并无条件予以纠正。④特殊工种（电工、电梯工、起重工、电焊工、驾驶员、爆破工等）必须经过专业培训，并持有效合格证或上岗证上岗。监理人或发包人有权随时检查承包人派驻现场人员的上岗资格证明情况。如发现无证上岗人员，每发生一次，向发包人支付1万元的违约金。并无条件予以纠正。由此造成的责任和损失由承包人自行承担</w:t>
      </w:r>
      <w:r>
        <w:rPr>
          <w:rFonts w:hint="eastAsia" w:ascii="仿宋" w:hAnsi="仿宋" w:eastAsia="仿宋" w:cs="仿宋"/>
          <w:color w:val="auto"/>
          <w:sz w:val="24"/>
          <w:szCs w:val="24"/>
          <w:highlight w:val="none"/>
        </w:rPr>
        <w:t>。</w:t>
      </w:r>
    </w:p>
    <w:p w14:paraId="1B0FE8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8" w:name="_Toc29261"/>
      <w:r>
        <w:rPr>
          <w:rFonts w:hint="eastAsia" w:ascii="仿宋" w:hAnsi="仿宋" w:eastAsia="仿宋" w:cs="仿宋"/>
          <w:color w:val="auto"/>
          <w:sz w:val="24"/>
          <w:szCs w:val="24"/>
          <w:highlight w:val="none"/>
        </w:rPr>
        <w:t>3</w:t>
      </w:r>
      <w:bookmarkStart w:id="119" w:name="_Toc292559364"/>
      <w:bookmarkStart w:id="120" w:name="_Toc296503159"/>
      <w:bookmarkStart w:id="121" w:name="_Toc312677988"/>
      <w:bookmarkStart w:id="122" w:name="_Toc296890987"/>
      <w:bookmarkStart w:id="123" w:name="_Toc297216151"/>
      <w:bookmarkStart w:id="124" w:name="_Toc297123492"/>
      <w:bookmarkStart w:id="125" w:name="_Toc296346660"/>
      <w:bookmarkStart w:id="126" w:name="_Toc304295523"/>
      <w:bookmarkStart w:id="127" w:name="_Toc297120459"/>
      <w:bookmarkStart w:id="128" w:name="_Toc296944498"/>
      <w:bookmarkStart w:id="129" w:name="_Toc296891199"/>
      <w:bookmarkStart w:id="130" w:name="_Toc297048345"/>
      <w:bookmarkStart w:id="131" w:name="_Toc292559869"/>
      <w:bookmarkStart w:id="132" w:name="_Toc300934945"/>
      <w:bookmarkStart w:id="133" w:name="_Toc296347158"/>
      <w:bookmarkStart w:id="134" w:name="_Toc303539102"/>
      <w:r>
        <w:rPr>
          <w:rFonts w:hint="eastAsia" w:ascii="仿宋" w:hAnsi="仿宋" w:eastAsia="仿宋" w:cs="仿宋"/>
          <w:color w:val="auto"/>
          <w:sz w:val="24"/>
          <w:szCs w:val="24"/>
          <w:highlight w:val="none"/>
        </w:rPr>
        <w:t>.5 分包</w:t>
      </w:r>
      <w:bookmarkEnd w:id="118"/>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14:paraId="2C95538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35" w:name="_Toc318581158"/>
      <w:bookmarkStart w:id="136" w:name="_Toc296346661"/>
      <w:bookmarkStart w:id="137" w:name="_Toc297216152"/>
      <w:bookmarkStart w:id="138" w:name="_Toc297123493"/>
      <w:bookmarkStart w:id="139" w:name="_Toc296891200"/>
      <w:bookmarkStart w:id="140" w:name="_Toc297048346"/>
      <w:bookmarkStart w:id="141" w:name="_Toc296944499"/>
      <w:bookmarkStart w:id="142" w:name="_Toc292559365"/>
      <w:bookmarkStart w:id="143" w:name="_Toc304295524"/>
      <w:bookmarkStart w:id="144" w:name="_Toc312677989"/>
      <w:bookmarkStart w:id="145" w:name="_Toc296347159"/>
      <w:bookmarkStart w:id="146" w:name="_Toc292559870"/>
      <w:bookmarkStart w:id="147" w:name="_Toc296890988"/>
      <w:bookmarkStart w:id="148" w:name="_Toc297120460"/>
      <w:bookmarkStart w:id="149" w:name="_Toc296503160"/>
      <w:bookmarkStart w:id="150" w:name="_Toc303539103"/>
      <w:bookmarkStart w:id="151" w:name="_Toc300934946"/>
      <w:r>
        <w:rPr>
          <w:rFonts w:hint="eastAsia" w:ascii="仿宋" w:hAnsi="仿宋" w:eastAsia="仿宋" w:cs="仿宋"/>
          <w:color w:val="auto"/>
          <w:sz w:val="24"/>
          <w:szCs w:val="24"/>
          <w:highlight w:val="none"/>
        </w:rPr>
        <w:t>.5.1 分包的一般约定</w:t>
      </w:r>
    </w:p>
    <w:p w14:paraId="419B44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rPr>
        <w:t xml:space="preserve">主体结构、关键性工作   </w:t>
      </w:r>
      <w:r>
        <w:rPr>
          <w:rFonts w:hint="eastAsia" w:ascii="仿宋" w:hAnsi="仿宋" w:eastAsia="仿宋" w:cs="仿宋"/>
          <w:color w:val="auto"/>
          <w:sz w:val="24"/>
          <w:szCs w:val="24"/>
          <w:highlight w:val="none"/>
        </w:rPr>
        <w:t>。</w:t>
      </w:r>
    </w:p>
    <w:p w14:paraId="4CAF49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主体结构、关键性工作的范围：</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hint="eastAsia" w:ascii="仿宋" w:hAnsi="仿宋" w:eastAsia="仿宋" w:cs="仿宋"/>
          <w:color w:val="auto"/>
          <w:sz w:val="24"/>
          <w:szCs w:val="24"/>
          <w:highlight w:val="none"/>
          <w:u w:val="single"/>
        </w:rPr>
        <w:t xml:space="preserve"> 按国家有关规定执行    </w:t>
      </w:r>
      <w:r>
        <w:rPr>
          <w:rFonts w:hint="eastAsia" w:ascii="仿宋" w:hAnsi="仿宋" w:eastAsia="仿宋" w:cs="仿宋"/>
          <w:color w:val="auto"/>
          <w:sz w:val="24"/>
          <w:szCs w:val="24"/>
          <w:highlight w:val="none"/>
        </w:rPr>
        <w:t>。</w:t>
      </w:r>
    </w:p>
    <w:p w14:paraId="1E6ACCA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52" w:name="_Toc318581159"/>
      <w:bookmarkStart w:id="153" w:name="_Toc312677990"/>
      <w:r>
        <w:rPr>
          <w:rFonts w:hint="eastAsia" w:ascii="仿宋" w:hAnsi="仿宋" w:eastAsia="仿宋" w:cs="仿宋"/>
          <w:color w:val="auto"/>
          <w:sz w:val="24"/>
          <w:szCs w:val="24"/>
          <w:highlight w:val="none"/>
        </w:rPr>
        <w:t>.5.2分包的确定</w:t>
      </w:r>
    </w:p>
    <w:p w14:paraId="07963A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w:t>
      </w:r>
    </w:p>
    <w:p w14:paraId="7A2964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中标单位不得将工程转包或违法分包，否则发包人有权终止施工合同，承包人向发包人支付违约金，金额为合同额的20% </w:t>
      </w:r>
      <w:r>
        <w:rPr>
          <w:rFonts w:hint="eastAsia" w:ascii="仿宋" w:hAnsi="仿宋" w:eastAsia="仿宋" w:cs="仿宋"/>
          <w:color w:val="auto"/>
          <w:sz w:val="24"/>
          <w:szCs w:val="24"/>
          <w:highlight w:val="none"/>
        </w:rPr>
        <w:t>。</w:t>
      </w:r>
    </w:p>
    <w:p w14:paraId="133C841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2FCC0E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152"/>
    <w:bookmarkEnd w:id="153"/>
    <w:p w14:paraId="7645E5A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54" w:name="_Toc3776"/>
      <w:r>
        <w:rPr>
          <w:rFonts w:hint="eastAsia" w:ascii="仿宋" w:hAnsi="仿宋" w:eastAsia="仿宋" w:cs="仿宋"/>
          <w:color w:val="auto"/>
          <w:sz w:val="24"/>
          <w:szCs w:val="24"/>
          <w:highlight w:val="none"/>
        </w:rPr>
        <w:t>3.6 工程照管与成品、半成品保护</w:t>
      </w:r>
      <w:bookmarkEnd w:id="154"/>
    </w:p>
    <w:p w14:paraId="6B441C8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设备、人员进场至竣工验收并交付使用前由承包人负责保修，费用由承包人承担 </w:t>
      </w:r>
      <w:r>
        <w:rPr>
          <w:rFonts w:hint="eastAsia" w:ascii="仿宋" w:hAnsi="仿宋" w:eastAsia="仿宋" w:cs="仿宋"/>
          <w:color w:val="auto"/>
          <w:kern w:val="0"/>
          <w:sz w:val="24"/>
          <w:szCs w:val="24"/>
          <w:highlight w:val="none"/>
        </w:rPr>
        <w:t>。</w:t>
      </w:r>
    </w:p>
    <w:p w14:paraId="6C5B46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55" w:name="_Toc16884"/>
      <w:r>
        <w:rPr>
          <w:rFonts w:hint="eastAsia" w:ascii="仿宋" w:hAnsi="仿宋" w:eastAsia="仿宋" w:cs="仿宋"/>
          <w:color w:val="auto"/>
          <w:sz w:val="24"/>
          <w:szCs w:val="24"/>
          <w:highlight w:val="none"/>
        </w:rPr>
        <w:t>3.7 履约担保</w:t>
      </w:r>
      <w:bookmarkEnd w:id="155"/>
    </w:p>
    <w:p w14:paraId="50F0078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bookmarkStart w:id="156" w:name="_Toc30813"/>
      <w:r>
        <w:rPr>
          <w:rFonts w:hint="eastAsia" w:ascii="仿宋" w:hAnsi="仿宋" w:eastAsia="仿宋" w:cs="仿宋"/>
          <w:color w:val="auto"/>
          <w:kern w:val="0"/>
          <w:sz w:val="24"/>
          <w:szCs w:val="24"/>
          <w:highlight w:val="none"/>
        </w:rPr>
        <w:t>承包人是否提供履约担保：发包人与承包人协商确定  。</w:t>
      </w:r>
    </w:p>
    <w:p w14:paraId="08254E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承包人提供履约担保的形式、金额及期限的：发包人与承包人协商确定 。</w:t>
      </w:r>
    </w:p>
    <w:p w14:paraId="5A5F38A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4</w:t>
      </w:r>
      <w:bookmarkStart w:id="157" w:name="_Toc267251413"/>
      <w:bookmarkStart w:id="158" w:name="_Toc296503162"/>
      <w:bookmarkStart w:id="159" w:name="_Toc296890990"/>
      <w:bookmarkStart w:id="160" w:name="_Toc297048348"/>
      <w:bookmarkStart w:id="161" w:name="_Toc296347161"/>
      <w:bookmarkStart w:id="162" w:name="_Toc292559871"/>
      <w:bookmarkStart w:id="163" w:name="_Toc296891202"/>
      <w:bookmarkStart w:id="164" w:name="_Toc292559366"/>
      <w:bookmarkStart w:id="165" w:name="_Toc297120462"/>
      <w:bookmarkStart w:id="166" w:name="_Toc296346663"/>
      <w:bookmarkStart w:id="167" w:name="_Toc296944501"/>
      <w:r>
        <w:rPr>
          <w:rFonts w:hint="eastAsia" w:ascii="仿宋" w:hAnsi="仿宋" w:eastAsia="仿宋" w:cs="仿宋"/>
          <w:b w:val="0"/>
          <w:color w:val="auto"/>
          <w:sz w:val="24"/>
          <w:szCs w:val="24"/>
          <w:highlight w:val="none"/>
        </w:rPr>
        <w:t>. 监</w:t>
      </w:r>
      <w:bookmarkEnd w:id="157"/>
      <w:bookmarkEnd w:id="158"/>
      <w:bookmarkEnd w:id="159"/>
      <w:bookmarkEnd w:id="160"/>
      <w:bookmarkEnd w:id="161"/>
      <w:bookmarkEnd w:id="162"/>
      <w:bookmarkEnd w:id="163"/>
      <w:bookmarkEnd w:id="164"/>
      <w:bookmarkEnd w:id="165"/>
      <w:bookmarkEnd w:id="166"/>
      <w:bookmarkEnd w:id="167"/>
      <w:r>
        <w:rPr>
          <w:rFonts w:hint="eastAsia" w:ascii="仿宋" w:hAnsi="仿宋" w:eastAsia="仿宋" w:cs="仿宋"/>
          <w:b w:val="0"/>
          <w:color w:val="auto"/>
          <w:sz w:val="24"/>
          <w:szCs w:val="24"/>
          <w:highlight w:val="none"/>
        </w:rPr>
        <w:t>理人</w:t>
      </w:r>
      <w:bookmarkEnd w:id="156"/>
    </w:p>
    <w:p w14:paraId="3CDA10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68" w:name="_Toc26631"/>
      <w:r>
        <w:rPr>
          <w:rFonts w:hint="eastAsia" w:ascii="仿宋" w:hAnsi="仿宋" w:eastAsia="仿宋" w:cs="仿宋"/>
          <w:color w:val="auto"/>
          <w:sz w:val="24"/>
          <w:szCs w:val="24"/>
          <w:highlight w:val="none"/>
        </w:rPr>
        <w:t>4.1监理人的一般规定</w:t>
      </w:r>
      <w:bookmarkEnd w:id="168"/>
    </w:p>
    <w:p w14:paraId="4C9917D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w:t>
      </w:r>
    </w:p>
    <w:p w14:paraId="2A51D4D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 xml:space="preserve">。 </w:t>
      </w:r>
    </w:p>
    <w:p w14:paraId="79AA6DE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监理人在施工现场的办公场所、生活场所由监理人自行解决，费用包含在监理报酬中 </w:t>
      </w:r>
      <w:r>
        <w:rPr>
          <w:rFonts w:hint="eastAsia" w:ascii="仿宋" w:hAnsi="仿宋" w:eastAsia="仿宋" w:cs="仿宋"/>
          <w:color w:val="auto"/>
          <w:sz w:val="24"/>
          <w:szCs w:val="24"/>
          <w:highlight w:val="none"/>
        </w:rPr>
        <w:t>。</w:t>
      </w:r>
    </w:p>
    <w:p w14:paraId="156976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69" w:name="_Toc6027"/>
      <w:r>
        <w:rPr>
          <w:rFonts w:hint="eastAsia" w:ascii="仿宋" w:hAnsi="仿宋" w:eastAsia="仿宋" w:cs="仿宋"/>
          <w:color w:val="auto"/>
          <w:sz w:val="24"/>
          <w:szCs w:val="24"/>
          <w:highlight w:val="none"/>
        </w:rPr>
        <w:t>4.2 监理人员</w:t>
      </w:r>
      <w:bookmarkEnd w:id="169"/>
    </w:p>
    <w:p w14:paraId="6B175AC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77F42F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21224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E05A6F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D4D22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F6A7F1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F10363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F62368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开工令、停工令、工程变更、经济签证须取得发包人同意。现场签证及工程进度款报表等由监理工程师先行核实后，再交发包人审核</w:t>
      </w:r>
      <w:r>
        <w:rPr>
          <w:rFonts w:hint="eastAsia" w:ascii="仿宋" w:hAnsi="仿宋" w:eastAsia="仿宋" w:cs="仿宋"/>
          <w:color w:val="auto"/>
          <w:sz w:val="24"/>
          <w:szCs w:val="24"/>
          <w:highlight w:val="none"/>
        </w:rPr>
        <w:t>。</w:t>
      </w:r>
    </w:p>
    <w:p w14:paraId="6BB2537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上述监理工程师的一切指令、决定、确认和承诺如涉及工程成本费用增加、工期延长、工程的使用功能或质量标准发生变化、材料设备标准的提高或降低等均须经发包人书面签字并盖章确认，才产生效力。监理工程师擅自发布指令、决定、确认和承诺，引起合同价款变更、工期顺延、工程的使用功能发生变化、以及变更质量标准、材料设备使用的，由此产生的后果由擅自发布指令、决定、确认和承诺的工程师自行承担，与发包人无关 </w:t>
      </w:r>
      <w:r>
        <w:rPr>
          <w:rFonts w:hint="eastAsia" w:ascii="仿宋" w:hAnsi="仿宋" w:eastAsia="仿宋" w:cs="仿宋"/>
          <w:color w:val="auto"/>
          <w:sz w:val="24"/>
          <w:szCs w:val="24"/>
          <w:highlight w:val="none"/>
        </w:rPr>
        <w:t>。</w:t>
      </w:r>
    </w:p>
    <w:p w14:paraId="678DB57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无论通用合同条款第4.1项如何约定，监理人履行须经发包人批准行使的权力时，应当向承包人出示其行使该权力已经取得发包人批准的文件或者其他合法有效的证明 </w:t>
      </w:r>
      <w:r>
        <w:rPr>
          <w:rFonts w:hint="eastAsia" w:ascii="仿宋" w:hAnsi="仿宋" w:eastAsia="仿宋" w:cs="仿宋"/>
          <w:color w:val="auto"/>
          <w:sz w:val="24"/>
          <w:szCs w:val="24"/>
          <w:highlight w:val="none"/>
        </w:rPr>
        <w:t>。</w:t>
      </w:r>
    </w:p>
    <w:p w14:paraId="0A8787F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70" w:name="_Toc10212"/>
      <w:r>
        <w:rPr>
          <w:rFonts w:hint="eastAsia" w:ascii="仿宋" w:hAnsi="仿宋" w:eastAsia="仿宋" w:cs="仿宋"/>
          <w:color w:val="auto"/>
          <w:sz w:val="24"/>
          <w:szCs w:val="24"/>
          <w:highlight w:val="none"/>
        </w:rPr>
        <w:t>4.4 商定或确定</w:t>
      </w:r>
      <w:bookmarkEnd w:id="170"/>
    </w:p>
    <w:p w14:paraId="1A5A56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71" w:name="_Toc267251418"/>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6A57137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合同当事人进行商定或确定时，总监理工程师应当会同合同当事人尽量通过协议达成一致，不能达成一致的，由监理工程师按照合同约定审慎做出公正的决定  </w:t>
      </w:r>
      <w:r>
        <w:rPr>
          <w:rFonts w:hint="eastAsia" w:ascii="仿宋" w:hAnsi="仿宋" w:eastAsia="仿宋" w:cs="仿宋"/>
          <w:color w:val="auto"/>
          <w:sz w:val="24"/>
          <w:szCs w:val="24"/>
          <w:highlight w:val="none"/>
        </w:rPr>
        <w:t>；</w:t>
      </w:r>
    </w:p>
    <w:p w14:paraId="02916F07">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总监理工程师应将确定以书面形式通知发包人和承包人，并附详细依据   </w:t>
      </w:r>
      <w:r>
        <w:rPr>
          <w:rFonts w:hint="eastAsia" w:ascii="仿宋" w:hAnsi="仿宋" w:eastAsia="仿宋" w:cs="仿宋"/>
          <w:color w:val="auto"/>
          <w:sz w:val="24"/>
          <w:szCs w:val="24"/>
          <w:highlight w:val="none"/>
        </w:rPr>
        <w:t>；</w:t>
      </w:r>
    </w:p>
    <w:p w14:paraId="279CC23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合同当事人对总监理工程师的确定没有异议的，按照监理总工程师的确定执行，任何一方合同当事人有异议，按照第 20 条（争议解决）约定处理，争议解决前，争议解决的结果与总监理工程师的确定不一致的，按照争议解决的结果执行，由此造成的损失由责任人承担 </w:t>
      </w:r>
      <w:r>
        <w:rPr>
          <w:rFonts w:hint="eastAsia" w:ascii="仿宋" w:hAnsi="仿宋" w:eastAsia="仿宋" w:cs="仿宋"/>
          <w:color w:val="auto"/>
          <w:sz w:val="24"/>
          <w:szCs w:val="24"/>
          <w:highlight w:val="none"/>
        </w:rPr>
        <w:t>。</w:t>
      </w:r>
    </w:p>
    <w:p w14:paraId="13D170B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72" w:name="_Toc2779"/>
      <w:r>
        <w:rPr>
          <w:rFonts w:hint="eastAsia" w:ascii="仿宋" w:hAnsi="仿宋" w:eastAsia="仿宋" w:cs="仿宋"/>
          <w:b w:val="0"/>
          <w:color w:val="auto"/>
          <w:sz w:val="24"/>
          <w:szCs w:val="24"/>
          <w:highlight w:val="none"/>
        </w:rPr>
        <w:t>5</w:t>
      </w:r>
      <w:bookmarkEnd w:id="171"/>
      <w:bookmarkStart w:id="173" w:name="_Toc296890991"/>
      <w:bookmarkStart w:id="174" w:name="_Toc296891203"/>
      <w:bookmarkStart w:id="175" w:name="_Toc296347162"/>
      <w:bookmarkStart w:id="176" w:name="_Toc297120463"/>
      <w:bookmarkStart w:id="177" w:name="_Toc296503163"/>
      <w:bookmarkStart w:id="178" w:name="_Toc296944502"/>
      <w:bookmarkStart w:id="179" w:name="_Toc297048349"/>
      <w:bookmarkStart w:id="180" w:name="_Toc292559872"/>
      <w:bookmarkStart w:id="181" w:name="_Toc292559367"/>
      <w:bookmarkStart w:id="182" w:name="_Toc296346664"/>
      <w:r>
        <w:rPr>
          <w:rFonts w:hint="eastAsia" w:ascii="仿宋" w:hAnsi="仿宋" w:eastAsia="仿宋" w:cs="仿宋"/>
          <w:b w:val="0"/>
          <w:color w:val="auto"/>
          <w:sz w:val="24"/>
          <w:szCs w:val="24"/>
          <w:highlight w:val="none"/>
        </w:rPr>
        <w:t>. 工程质量</w:t>
      </w:r>
      <w:bookmarkEnd w:id="172"/>
    </w:p>
    <w:p w14:paraId="20EC53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83" w:name="_Toc5086"/>
      <w:r>
        <w:rPr>
          <w:rFonts w:hint="eastAsia" w:ascii="仿宋" w:hAnsi="仿宋" w:eastAsia="仿宋" w:cs="仿宋"/>
          <w:color w:val="auto"/>
          <w:sz w:val="24"/>
          <w:szCs w:val="24"/>
          <w:highlight w:val="none"/>
        </w:rPr>
        <w:t>5.1 质量要求</w:t>
      </w:r>
      <w:bookmarkEnd w:id="183"/>
    </w:p>
    <w:p w14:paraId="0BD409B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bookmarkStart w:id="184" w:name="_Toc297123496"/>
      <w:bookmarkStart w:id="185" w:name="_Toc312677997"/>
      <w:bookmarkStart w:id="186" w:name="_Toc303539106"/>
      <w:bookmarkStart w:id="187" w:name="_Toc300934949"/>
      <w:bookmarkStart w:id="188" w:name="_Toc318581164"/>
      <w:bookmarkStart w:id="189" w:name="_Toc297216155"/>
      <w:bookmarkStart w:id="190" w:name="_Toc304295527"/>
      <w:r>
        <w:rPr>
          <w:rFonts w:hint="eastAsia" w:ascii="仿宋" w:hAnsi="仿宋" w:eastAsia="仿宋" w:cs="仿宋"/>
          <w:color w:val="auto"/>
          <w:sz w:val="24"/>
          <w:szCs w:val="24"/>
          <w:highlight w:val="none"/>
        </w:rPr>
        <w:t>.1.1 特殊质量标准和要求：</w:t>
      </w:r>
      <w:r>
        <w:rPr>
          <w:rFonts w:hint="eastAsia" w:ascii="仿宋" w:hAnsi="仿宋" w:eastAsia="仿宋" w:cs="仿宋"/>
          <w:color w:val="auto"/>
          <w:sz w:val="24"/>
          <w:szCs w:val="24"/>
          <w:highlight w:val="none"/>
          <w:u w:val="single"/>
        </w:rPr>
        <w:t xml:space="preserve">工程质量标准必须符合现行国家有关工程施工质量验收规范和标准的要求。必须满足一次性交验合格，如达不到交验标准，产生的费用由承包人自行承担  </w:t>
      </w:r>
      <w:r>
        <w:rPr>
          <w:rFonts w:hint="eastAsia" w:ascii="仿宋" w:hAnsi="仿宋" w:eastAsia="仿宋" w:cs="仿宋"/>
          <w:color w:val="auto"/>
          <w:sz w:val="24"/>
          <w:szCs w:val="24"/>
          <w:highlight w:val="none"/>
        </w:rPr>
        <w:t>。</w:t>
      </w:r>
    </w:p>
    <w:p w14:paraId="19980E9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7F62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隐蔽工程检查</w:t>
      </w:r>
    </w:p>
    <w:p w14:paraId="6B73B66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工程隐蔽部位隐蔽前 48 小时内书面通知。因为承包人未提前通知造成监理人未能对隐蔽工程进行检查的，以及因为隐蔽工程而引发的一切争议的后果均由承包人无条件承担。还应执行：根据工程进度及监理工程师指令及时向监理工程师递交隐蔽工程验收通知、工程质量自检报告、竣工验收申请报告等  </w:t>
      </w:r>
      <w:r>
        <w:rPr>
          <w:rFonts w:hint="eastAsia" w:ascii="仿宋" w:hAnsi="仿宋" w:eastAsia="仿宋" w:cs="仿宋"/>
          <w:color w:val="auto"/>
          <w:sz w:val="24"/>
          <w:szCs w:val="24"/>
          <w:highlight w:val="none"/>
        </w:rPr>
        <w:t>。</w:t>
      </w:r>
    </w:p>
    <w:p w14:paraId="6B4D619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6D353F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0747A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191" w:name="_Toc17670"/>
      <w:r>
        <w:rPr>
          <w:rFonts w:hint="eastAsia" w:ascii="仿宋" w:hAnsi="仿宋" w:eastAsia="仿宋" w:cs="仿宋"/>
          <w:color w:val="auto"/>
          <w:sz w:val="24"/>
          <w:szCs w:val="24"/>
          <w:highlight w:val="none"/>
        </w:rPr>
        <w:t>5.4 不合格工程处理：</w:t>
      </w:r>
      <w:r>
        <w:rPr>
          <w:rFonts w:hint="eastAsia" w:ascii="仿宋" w:hAnsi="仿宋" w:eastAsia="仿宋" w:cs="仿宋"/>
          <w:color w:val="auto"/>
          <w:sz w:val="24"/>
          <w:szCs w:val="24"/>
          <w:highlight w:val="none"/>
          <w:u w:val="single"/>
        </w:rPr>
        <w:t>除执行通用合同条款外，还应执行：①由于承包人使用了不合格材料和工程设备造成了工程损害，监理人和发包人可以随时发出指示，要求承包人立即采取措施进行补救，直至彻底清除工程的不合格部位以及不合格的材料或工程设备，由此增加的费用和工期延误责任由承包人承担。②若承包人无故拖延或拒绝执行监理人或发包人的指示，则发包人有权委托其它承包人执行该项指示，由此增加的费用和工期延误的责任，均由承包人承担。③承包人向发包人支付签约合同价格10％的违约金，造成发包人损失的，承包人应当承担损失的赔偿责任，该损失包括但不限于诉讼费、律师费、公证费、鉴定费、评估费、差旅费等费用。④发包人认为必要时，可以没收履约保证金，单方解除合同，另行发包</w:t>
      </w:r>
      <w:r>
        <w:rPr>
          <w:rFonts w:hint="eastAsia" w:ascii="仿宋" w:hAnsi="仿宋" w:eastAsia="仿宋" w:cs="仿宋"/>
          <w:color w:val="auto"/>
          <w:sz w:val="24"/>
          <w:szCs w:val="24"/>
          <w:highlight w:val="none"/>
        </w:rPr>
        <w:t>。</w:t>
      </w:r>
      <w:bookmarkEnd w:id="191"/>
    </w:p>
    <w:p w14:paraId="4CE741D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92" w:name="_Toc30073"/>
      <w:r>
        <w:rPr>
          <w:rFonts w:hint="eastAsia" w:ascii="仿宋" w:hAnsi="仿宋" w:eastAsia="仿宋" w:cs="仿宋"/>
          <w:b w:val="0"/>
          <w:color w:val="auto"/>
          <w:sz w:val="24"/>
          <w:szCs w:val="24"/>
          <w:highlight w:val="none"/>
        </w:rPr>
        <w:t>6. 安全文明施工与环境保护</w:t>
      </w:r>
      <w:bookmarkEnd w:id="192"/>
    </w:p>
    <w:p w14:paraId="49B1B2F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3" w:name="_Toc21049"/>
      <w:r>
        <w:rPr>
          <w:rFonts w:hint="eastAsia" w:ascii="仿宋" w:hAnsi="仿宋" w:eastAsia="仿宋" w:cs="仿宋"/>
          <w:color w:val="auto"/>
          <w:sz w:val="24"/>
          <w:szCs w:val="24"/>
          <w:highlight w:val="none"/>
        </w:rPr>
        <w:t>6.1安全文明施工</w:t>
      </w:r>
      <w:bookmarkEnd w:id="193"/>
    </w:p>
    <w:p w14:paraId="6646912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承包人必须严格执行《中华人民共和国安全生产法》、《建筑安装施工安全检查标准》（JGJ59-2011）、《中华人民共和国建筑法》、《安全生产许可证条例》和《建筑工程安全生产管理条例》等法律、法规及新疆维吾尔自治区等有关安全文明施工管理的相关规定，施工现场由专职持证上岗的安全员负责安全事宜。开工前承包人与发包人签订《安全生产责任书》，承包人必须按照国家有关规定交纳施工人员的安全保险费用，按规定安装现场安全设施，并严格管理施工人员的工作、生活安全及往来、材料运输路途安全，严禁不规范操作及其它原因造成人员安全事故。如发生，所有责任及费用均由承包人无条件独自承担，发包人不承担任何责任、费用。承包人向发包人支付签约合同价格 5％的赔偿金 </w:t>
      </w:r>
      <w:r>
        <w:rPr>
          <w:rFonts w:hint="eastAsia" w:ascii="仿宋" w:hAnsi="仿宋" w:eastAsia="仿宋" w:cs="仿宋"/>
          <w:color w:val="auto"/>
          <w:sz w:val="24"/>
          <w:szCs w:val="24"/>
          <w:highlight w:val="none"/>
        </w:rPr>
        <w:t>。</w:t>
      </w:r>
    </w:p>
    <w:p w14:paraId="3BB2334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w:t>
      </w:r>
      <w:r>
        <w:rPr>
          <w:rFonts w:hint="eastAsia" w:ascii="仿宋" w:hAnsi="仿宋" w:eastAsia="仿宋" w:cs="仿宋"/>
          <w:color w:val="auto"/>
          <w:sz w:val="24"/>
          <w:szCs w:val="24"/>
          <w:highlight w:val="none"/>
          <w:u w:val="single"/>
        </w:rPr>
        <w:t>承包人应严格管理，确保文明施工，安全施工，杜绝发生任何事故（包括但不限于工伤事故、安全事故、意外事故、管理责任事故、违法违纪事故等），否则，因此产生的经济责任全部由承包人自行承担。发生相关事故的，承包人应自行积极妥善处理，并承担相关费用。否则，因此给发包人造成经济损失的，承包人应双倍赔偿发包人因此受到的全部损失，发包人有权从应给承包人支付的后期费用中优先扣除，不足部分，承包人负责赔偿，承包人不及时赔偿的，每日向发包人承担合同价百分之五的滞纳金</w:t>
      </w:r>
      <w:r>
        <w:rPr>
          <w:rFonts w:hint="eastAsia" w:ascii="仿宋" w:hAnsi="仿宋" w:eastAsia="仿宋" w:cs="仿宋"/>
          <w:color w:val="auto"/>
          <w:sz w:val="24"/>
          <w:szCs w:val="24"/>
          <w:highlight w:val="none"/>
        </w:rPr>
        <w:t>。</w:t>
      </w:r>
    </w:p>
    <w:p w14:paraId="3D79E7F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由承包人负责协调并履行治安保卫职责，承包人制定应对突发治安事件紧急预案，负责统一管理施工场地的治安保卫事项,对因治安事件发生的人身和财产损失，均由承包方负责,发包人不承担任何责任 </w:t>
      </w:r>
      <w:r>
        <w:rPr>
          <w:rFonts w:hint="eastAsia" w:ascii="仿宋" w:hAnsi="仿宋" w:eastAsia="仿宋" w:cs="仿宋"/>
          <w:color w:val="auto"/>
          <w:sz w:val="24"/>
          <w:szCs w:val="24"/>
          <w:highlight w:val="none"/>
        </w:rPr>
        <w:t>。</w:t>
      </w:r>
    </w:p>
    <w:p w14:paraId="60CB4D2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 xml:space="preserve">结合工地所处地段的特殊性、环境，开工前三天提供施工现场治安管理计划，并报监理人和发包人审核。自承包人进入施工现场之日起，因为承包人的施工行为（包括但不限于施工准备行为、安全防护措施、实际施工行为等）、施工现场的施工设施、设备、材料等造成的承包人人员、财产损害、第三方人员、财产的损害均由承包人无条件承担一切责任 </w:t>
      </w:r>
      <w:r>
        <w:rPr>
          <w:rFonts w:hint="eastAsia" w:ascii="仿宋" w:hAnsi="仿宋" w:eastAsia="仿宋" w:cs="仿宋"/>
          <w:color w:val="auto"/>
          <w:sz w:val="24"/>
          <w:szCs w:val="24"/>
          <w:highlight w:val="none"/>
        </w:rPr>
        <w:t>。</w:t>
      </w:r>
    </w:p>
    <w:p w14:paraId="1DE35AB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670CFD9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除执行《建筑施工现场环境与卫生标准》（JGJ146-2004、J375-2004）及执行通用条款外，还应执行： ①承包人应采取有效管理措施，保证施工现场特种作业人员均持有有效证件，经过安全培训合格后持证上岗。 ②承包人必须认真组织实施施工组织设计中制定的安全防护、文明施工措施，严格执行《消防法》、《建设工程施工现场消防安全技术规范》及自治区的相关安全消防管理规定。承包人必须根据现场情况制定严格的用火、用电制度和消防设施管理制度，严禁现场吸烟和违章用水、用电以及其他可能导致火灾事故和人身伤亡事故的行为。 ③承包人在施工过程中，遵守有关环境保护的法律、法规，履行环境保护义务，并对违反法律、法规所造成的环境破坏、人身伤害和财产损失全权负责。承包人应按批准的施工环保措施计划有序地堆放和处理施工废弃物，避免对环境造成的破坏，保持现场清洁，不得出现不必要的障碍。各类设备和材料应妥善存放，并随时将废料、垃圾及不再需要的临时设施清运出指定地点内。当承包人未能按要求完成清理工作，发包人可指定他人完成此项工作，其费用从发包人向承包人支付的任何款项中扣除。 ④承包人加强对噪音、粉尘、废气、废水和废油的控制，降低噪音、控制粉尘和废气浓度，做好废水和废油的治理和排放。 ⑤因承包人任意堆放、排放废水废油或弃置施工废弃物造成妨碍公共交通、影响城镇居民生活、危及居民安全、破坏周边环境等后果，承包人承担一切责任和费用。 ⑥施工场地周围地下管线和邻近建筑物、构筑物（含文物保护建筑）、古树名木的保护要求及费用承担：承包人被认为在送交投标文件之前，已进行了现场 考察，对现场和其周围环境以及可得到的有关资料进行了查看和核查，承包人已取得可能对投标有影响或起作用的风险、意外等必要资料。承包人应采取一切合理的措施保护施工场地内外环境并防止由于其作业方法导致的污 染、噪音或其它原因造成的对周围地下管线和邻近建筑物、构筑物（文物保护建筑）、古树名木等的伤害和受损。 ⑦做好施工现场（包括进出口附近道路）的整洁卫生，搞好文明施工，工程验收一周前应作好清场工作。 ⑧减少夜间噪声：承包人不得在夜间安排噪声很大的机械施工。若承包人违反有关安全文明施工、扬尘治理的有关规定，情节严重的发包人有权终止合同。 由此造成政府相关部门处罚的亦由承包人自行承担。 ⑨安全、文明施工不符合施工要求的，承包人承担一切责任和费用。并向发包人支付合同价款千分之一至千分之五的违约金。违约金可从发包人向承包人支付的任何款项中扣除。同时造成政府相关部门处罚的亦由承包人自行承担 </w:t>
      </w:r>
      <w:r>
        <w:rPr>
          <w:rFonts w:hint="eastAsia" w:ascii="仿宋" w:hAnsi="仿宋" w:eastAsia="仿宋" w:cs="仿宋"/>
          <w:color w:val="auto"/>
          <w:sz w:val="24"/>
          <w:szCs w:val="24"/>
          <w:highlight w:val="none"/>
        </w:rPr>
        <w:t>。</w:t>
      </w:r>
    </w:p>
    <w:p w14:paraId="1C5A767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与工程款同时支付，工程款中包含此项费用 </w:t>
      </w:r>
      <w:r>
        <w:rPr>
          <w:rFonts w:hint="eastAsia" w:ascii="仿宋" w:hAnsi="仿宋" w:eastAsia="仿宋" w:cs="仿宋"/>
          <w:color w:val="auto"/>
          <w:sz w:val="24"/>
          <w:szCs w:val="24"/>
          <w:highlight w:val="none"/>
        </w:rPr>
        <w:t>。</w:t>
      </w:r>
    </w:p>
    <w:p w14:paraId="3981BA8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扬尘污染防治</w:t>
      </w:r>
    </w:p>
    <w:p w14:paraId="174ACD77">
      <w:pPr>
        <w:pStyle w:val="16"/>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6.2.1 项目扬尘污染防治达标目标及相应事项的约定：</w:t>
      </w:r>
      <w:r>
        <w:rPr>
          <w:rFonts w:hint="eastAsia" w:ascii="仿宋" w:hAnsi="仿宋" w:eastAsia="仿宋" w:cs="仿宋"/>
          <w:color w:val="auto"/>
          <w:sz w:val="24"/>
          <w:szCs w:val="24"/>
          <w:highlight w:val="none"/>
          <w:u w:val="single"/>
        </w:rPr>
        <w:t>要求达到《乌鲁木齐建筑工程施工现场扬尘污染防治实施细则》标准，及发包人对安全文明措施项目的标准和要示执行。</w:t>
      </w:r>
    </w:p>
    <w:bookmarkEnd w:id="184"/>
    <w:bookmarkEnd w:id="185"/>
    <w:bookmarkEnd w:id="186"/>
    <w:bookmarkEnd w:id="187"/>
    <w:bookmarkEnd w:id="188"/>
    <w:bookmarkEnd w:id="189"/>
    <w:bookmarkEnd w:id="190"/>
    <w:p w14:paraId="25FC86C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94" w:name="_Toc22243"/>
      <w:r>
        <w:rPr>
          <w:rFonts w:hint="eastAsia" w:ascii="仿宋" w:hAnsi="仿宋" w:eastAsia="仿宋" w:cs="仿宋"/>
          <w:b w:val="0"/>
          <w:color w:val="auto"/>
          <w:sz w:val="24"/>
          <w:szCs w:val="24"/>
          <w:highlight w:val="none"/>
        </w:rPr>
        <w:t>7. 工期和进度</w:t>
      </w:r>
      <w:bookmarkEnd w:id="194"/>
    </w:p>
    <w:p w14:paraId="41B37CC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5" w:name="_Toc2199"/>
      <w:r>
        <w:rPr>
          <w:rFonts w:hint="eastAsia" w:ascii="仿宋" w:hAnsi="仿宋" w:eastAsia="仿宋" w:cs="仿宋"/>
          <w:color w:val="auto"/>
          <w:sz w:val="24"/>
          <w:szCs w:val="24"/>
          <w:highlight w:val="none"/>
        </w:rPr>
        <w:t>7.1 施工组织设计</w:t>
      </w:r>
      <w:bookmarkEnd w:id="195"/>
    </w:p>
    <w:p w14:paraId="3EA3B157">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开工前报送详细的施工进度计划和施工方案，并在每月 20 日提供当月进度报表和次月进度计划 </w:t>
      </w:r>
      <w:r>
        <w:rPr>
          <w:rFonts w:hint="eastAsia" w:ascii="仿宋" w:hAnsi="仿宋" w:eastAsia="仿宋" w:cs="仿宋"/>
          <w:color w:val="auto"/>
          <w:sz w:val="24"/>
          <w:szCs w:val="24"/>
          <w:highlight w:val="none"/>
        </w:rPr>
        <w:t>。</w:t>
      </w:r>
    </w:p>
    <w:p w14:paraId="7C75190E">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0744B3E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 xml:space="preserve">开工前七日内承包人将施工组织设计（方案）和进度计划提交发包人 </w:t>
      </w:r>
      <w:r>
        <w:rPr>
          <w:rFonts w:hint="eastAsia" w:ascii="仿宋" w:hAnsi="仿宋" w:eastAsia="仿宋" w:cs="仿宋"/>
          <w:color w:val="auto"/>
          <w:sz w:val="24"/>
          <w:szCs w:val="24"/>
          <w:highlight w:val="none"/>
        </w:rPr>
        <w:t>。</w:t>
      </w:r>
    </w:p>
    <w:p w14:paraId="5CF3465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CC361A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6" w:name="_Toc17167"/>
      <w:r>
        <w:rPr>
          <w:rFonts w:hint="eastAsia" w:ascii="仿宋" w:hAnsi="仿宋" w:eastAsia="仿宋" w:cs="仿宋"/>
          <w:color w:val="auto"/>
          <w:sz w:val="24"/>
          <w:szCs w:val="24"/>
          <w:highlight w:val="none"/>
        </w:rPr>
        <w:t>7</w:t>
      </w:r>
      <w:bookmarkStart w:id="197" w:name="_Toc304295541"/>
      <w:bookmarkStart w:id="198" w:name="_Toc312677479"/>
      <w:bookmarkStart w:id="199" w:name="_Toc297123514"/>
      <w:bookmarkStart w:id="200" w:name="_Toc297216173"/>
      <w:bookmarkStart w:id="201" w:name="_Toc312678005"/>
      <w:bookmarkStart w:id="202" w:name="_Toc303539123"/>
      <w:bookmarkStart w:id="203" w:name="_Toc300934966"/>
      <w:r>
        <w:rPr>
          <w:rFonts w:hint="eastAsia" w:ascii="仿宋" w:hAnsi="仿宋" w:eastAsia="仿宋" w:cs="仿宋"/>
          <w:color w:val="auto"/>
          <w:sz w:val="24"/>
          <w:szCs w:val="24"/>
          <w:highlight w:val="none"/>
        </w:rPr>
        <w:t>.2 施工进度计划</w:t>
      </w:r>
      <w:bookmarkEnd w:id="196"/>
    </w:p>
    <w:p w14:paraId="160D1D3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3EC6D3E3">
      <w:pPr>
        <w:pageBreakBefore w:val="0"/>
        <w:kinsoku/>
        <w:wordWrap/>
        <w:overflowPunct/>
        <w:topLinePunct w:val="0"/>
        <w:autoSpaceDE w:val="0"/>
        <w:autoSpaceDN w:val="0"/>
        <w:bidi w:val="0"/>
        <w:adjustRightInd w:val="0"/>
        <w:spacing w:line="5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执行通用条款    。</w:t>
      </w:r>
    </w:p>
    <w:p w14:paraId="41C354F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4" w:name="_Toc14554"/>
      <w:r>
        <w:rPr>
          <w:rFonts w:hint="eastAsia" w:ascii="仿宋" w:hAnsi="仿宋" w:eastAsia="仿宋" w:cs="仿宋"/>
          <w:color w:val="auto"/>
          <w:sz w:val="24"/>
          <w:szCs w:val="24"/>
          <w:highlight w:val="none"/>
        </w:rPr>
        <w:t>7.3 开工</w:t>
      </w:r>
      <w:bookmarkEnd w:id="204"/>
    </w:p>
    <w:p w14:paraId="799971B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4E704FED">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AA0B02D">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2C5BC70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63CBDEF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1176216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天内发出开工通知的，承包人有权提出价格调整要求，或者解除合同。</w:t>
      </w:r>
    </w:p>
    <w:bookmarkEnd w:id="197"/>
    <w:bookmarkEnd w:id="198"/>
    <w:bookmarkEnd w:id="199"/>
    <w:bookmarkEnd w:id="200"/>
    <w:bookmarkEnd w:id="201"/>
    <w:bookmarkEnd w:id="202"/>
    <w:bookmarkEnd w:id="203"/>
    <w:p w14:paraId="0B2C70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5" w:name="_Toc27664"/>
      <w:r>
        <w:rPr>
          <w:rFonts w:hint="eastAsia" w:ascii="仿宋" w:hAnsi="仿宋" w:eastAsia="仿宋" w:cs="仿宋"/>
          <w:color w:val="auto"/>
          <w:sz w:val="24"/>
          <w:szCs w:val="24"/>
          <w:highlight w:val="none"/>
        </w:rPr>
        <w:t>7.4 测量放线</w:t>
      </w:r>
      <w:bookmarkEnd w:id="205"/>
    </w:p>
    <w:p w14:paraId="505DF90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95B5D5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6" w:name="_Toc18459"/>
      <w:r>
        <w:rPr>
          <w:rFonts w:hint="eastAsia" w:ascii="仿宋" w:hAnsi="仿宋" w:eastAsia="仿宋" w:cs="仿宋"/>
          <w:color w:val="auto"/>
          <w:sz w:val="24"/>
          <w:szCs w:val="24"/>
          <w:highlight w:val="none"/>
        </w:rPr>
        <w:t>7</w:t>
      </w:r>
      <w:bookmarkStart w:id="207" w:name="_Toc312677484"/>
      <w:bookmarkStart w:id="208" w:name="_Toc297216175"/>
      <w:bookmarkStart w:id="209" w:name="_Toc303539125"/>
      <w:bookmarkStart w:id="210" w:name="_Toc297123516"/>
      <w:bookmarkStart w:id="211" w:name="_Toc312678010"/>
      <w:bookmarkStart w:id="212" w:name="_Toc300934968"/>
      <w:bookmarkStart w:id="213" w:name="_Toc304295546"/>
      <w:r>
        <w:rPr>
          <w:rFonts w:hint="eastAsia" w:ascii="仿宋" w:hAnsi="仿宋" w:eastAsia="仿宋" w:cs="仿宋"/>
          <w:color w:val="auto"/>
          <w:sz w:val="24"/>
          <w:szCs w:val="24"/>
          <w:highlight w:val="none"/>
        </w:rPr>
        <w:t>.5 工期延误</w:t>
      </w:r>
      <w:bookmarkEnd w:id="206"/>
    </w:p>
    <w:bookmarkEnd w:id="207"/>
    <w:bookmarkEnd w:id="208"/>
    <w:bookmarkEnd w:id="209"/>
    <w:bookmarkEnd w:id="210"/>
    <w:bookmarkEnd w:id="211"/>
    <w:bookmarkEnd w:id="212"/>
    <w:bookmarkEnd w:id="213"/>
    <w:p w14:paraId="1E4F205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2BE4C2D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（1）重大设计变更（2）政策问题。</w:t>
      </w:r>
    </w:p>
    <w:p w14:paraId="649D4F1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14" w:name="_Toc312677486"/>
      <w:bookmarkStart w:id="215" w:name="_Toc312678012"/>
      <w:bookmarkStart w:id="216" w:name="_Toc318581169"/>
      <w:bookmarkStart w:id="217" w:name="_Toc304295548"/>
      <w:bookmarkStart w:id="218" w:name="_Toc297123518"/>
      <w:bookmarkStart w:id="219" w:name="_Toc300934970"/>
      <w:bookmarkStart w:id="220" w:name="_Toc297216177"/>
      <w:bookmarkStart w:id="221" w:name="_Toc303539127"/>
      <w:r>
        <w:rPr>
          <w:rFonts w:hint="eastAsia" w:ascii="仿宋" w:hAnsi="仿宋" w:eastAsia="仿宋" w:cs="仿宋"/>
          <w:color w:val="auto"/>
          <w:sz w:val="24"/>
          <w:szCs w:val="24"/>
          <w:highlight w:val="none"/>
        </w:rPr>
        <w:t>.5.2 因承包人原因导致工期延误</w:t>
      </w:r>
    </w:p>
    <w:bookmarkEnd w:id="214"/>
    <w:bookmarkEnd w:id="215"/>
    <w:bookmarkEnd w:id="216"/>
    <w:p w14:paraId="61FF1DC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w:t>
      </w:r>
      <w:bookmarkStart w:id="222" w:name="_Toc312678013"/>
      <w:bookmarkStart w:id="223" w:name="_Toc312677487"/>
      <w:bookmarkStart w:id="224" w:name="_Toc318581170"/>
      <w:r>
        <w:rPr>
          <w:rFonts w:hint="eastAsia" w:ascii="仿宋" w:hAnsi="仿宋" w:eastAsia="仿宋" w:cs="仿宋"/>
          <w:color w:val="auto"/>
          <w:sz w:val="24"/>
          <w:szCs w:val="24"/>
          <w:highlight w:val="none"/>
        </w:rPr>
        <w:t>承包人原因造成工期延误，逾期竣工违约金的计算方法为：</w:t>
      </w:r>
    </w:p>
    <w:p w14:paraId="738315E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按照合同工期，每推延一天，承包人承担一万元经济责任，逾期七天（含本数）甲方有权单方解除合同，停止支付工程款，乙方无条件退场，造成发包人损失的，还应当赔偿。以上措施并不免除承包人对已完成工程修补缺陷的义务</w:t>
      </w:r>
      <w:r>
        <w:rPr>
          <w:rFonts w:hint="eastAsia" w:ascii="仿宋" w:hAnsi="仿宋" w:eastAsia="仿宋" w:cs="仿宋"/>
          <w:color w:val="auto"/>
          <w:sz w:val="24"/>
          <w:szCs w:val="24"/>
          <w:highlight w:val="none"/>
        </w:rPr>
        <w:t>。</w:t>
      </w:r>
      <w:bookmarkEnd w:id="217"/>
      <w:bookmarkEnd w:id="218"/>
      <w:bookmarkEnd w:id="219"/>
      <w:bookmarkEnd w:id="220"/>
      <w:bookmarkEnd w:id="221"/>
      <w:bookmarkEnd w:id="222"/>
      <w:bookmarkEnd w:id="223"/>
    </w:p>
    <w:p w14:paraId="03F6A01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225" w:name="_Toc312678014"/>
      <w:bookmarkStart w:id="226" w:name="_Toc318581171"/>
      <w:r>
        <w:rPr>
          <w:rFonts w:hint="eastAsia" w:ascii="仿宋" w:hAnsi="仿宋" w:eastAsia="仿宋" w:cs="仿宋"/>
          <w:color w:val="auto"/>
          <w:sz w:val="24"/>
          <w:szCs w:val="24"/>
          <w:highlight w:val="none"/>
        </w:rPr>
        <w:t>承包方中途擅自停工或严重违约，明显不能按期履行合同的，发包方有权单方解除合同，将剩余未完成工程承包给第三方。届时，承包方不再向发包方主张任何剩余未付工程款。</w:t>
      </w:r>
    </w:p>
    <w:bookmarkEnd w:id="224"/>
    <w:bookmarkEnd w:id="225"/>
    <w:bookmarkEnd w:id="226"/>
    <w:p w14:paraId="391A333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27" w:name="_Toc30882"/>
      <w:r>
        <w:rPr>
          <w:rFonts w:hint="eastAsia" w:ascii="仿宋" w:hAnsi="仿宋" w:eastAsia="仿宋" w:cs="仿宋"/>
          <w:color w:val="auto"/>
          <w:sz w:val="24"/>
          <w:szCs w:val="24"/>
          <w:highlight w:val="none"/>
        </w:rPr>
        <w:t>7</w:t>
      </w:r>
      <w:bookmarkStart w:id="228" w:name="_Toc312678015"/>
      <w:bookmarkStart w:id="229" w:name="_Toc300934971"/>
      <w:bookmarkStart w:id="230" w:name="_Toc303539128"/>
      <w:bookmarkStart w:id="231" w:name="_Toc297216178"/>
      <w:bookmarkStart w:id="232" w:name="_Toc297123519"/>
      <w:bookmarkStart w:id="233" w:name="_Toc304295549"/>
      <w:r>
        <w:rPr>
          <w:rFonts w:hint="eastAsia" w:ascii="仿宋" w:hAnsi="仿宋" w:eastAsia="仿宋" w:cs="仿宋"/>
          <w:color w:val="auto"/>
          <w:sz w:val="24"/>
          <w:szCs w:val="24"/>
          <w:highlight w:val="none"/>
        </w:rPr>
        <w:t>.6 不</w:t>
      </w:r>
      <w:bookmarkEnd w:id="228"/>
      <w:bookmarkEnd w:id="229"/>
      <w:bookmarkEnd w:id="230"/>
      <w:bookmarkEnd w:id="231"/>
      <w:bookmarkEnd w:id="232"/>
      <w:bookmarkEnd w:id="233"/>
      <w:r>
        <w:rPr>
          <w:rFonts w:hint="eastAsia" w:ascii="仿宋" w:hAnsi="仿宋" w:eastAsia="仿宋" w:cs="仿宋"/>
          <w:color w:val="auto"/>
          <w:sz w:val="24"/>
          <w:szCs w:val="24"/>
          <w:highlight w:val="none"/>
        </w:rPr>
        <w:t>利物质条件</w:t>
      </w:r>
      <w:bookmarkEnd w:id="227"/>
    </w:p>
    <w:p w14:paraId="57C043E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bookmarkStart w:id="234" w:name="_Toc297123520"/>
      <w:bookmarkStart w:id="235" w:name="_Toc297216179"/>
      <w:bookmarkStart w:id="236" w:name="_Toc304295550"/>
      <w:bookmarkStart w:id="237" w:name="_Toc318581172"/>
      <w:bookmarkStart w:id="238" w:name="_Toc300934972"/>
      <w:bookmarkStart w:id="239" w:name="_Toc303539129"/>
      <w:bookmarkStart w:id="240" w:name="_Toc312678016"/>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执行通用条款    。</w:t>
      </w:r>
    </w:p>
    <w:bookmarkEnd w:id="234"/>
    <w:bookmarkEnd w:id="235"/>
    <w:bookmarkEnd w:id="236"/>
    <w:bookmarkEnd w:id="237"/>
    <w:bookmarkEnd w:id="238"/>
    <w:bookmarkEnd w:id="239"/>
    <w:bookmarkEnd w:id="240"/>
    <w:p w14:paraId="089FBEA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41" w:name="_Toc26632"/>
      <w:r>
        <w:rPr>
          <w:rFonts w:hint="eastAsia" w:ascii="仿宋" w:hAnsi="仿宋" w:eastAsia="仿宋" w:cs="仿宋"/>
          <w:color w:val="auto"/>
          <w:sz w:val="24"/>
          <w:szCs w:val="24"/>
          <w:highlight w:val="none"/>
        </w:rPr>
        <w:t>7</w:t>
      </w:r>
      <w:bookmarkStart w:id="242" w:name="_Toc297216180"/>
      <w:bookmarkStart w:id="243" w:name="_Toc300934973"/>
      <w:bookmarkStart w:id="244" w:name="_Toc303539130"/>
      <w:bookmarkStart w:id="245" w:name="_Toc312678017"/>
      <w:bookmarkStart w:id="246" w:name="_Toc297123521"/>
      <w:bookmarkStart w:id="247" w:name="_Toc304295551"/>
      <w:r>
        <w:rPr>
          <w:rFonts w:hint="eastAsia" w:ascii="仿宋" w:hAnsi="仿宋" w:eastAsia="仿宋" w:cs="仿宋"/>
          <w:color w:val="auto"/>
          <w:sz w:val="24"/>
          <w:szCs w:val="24"/>
          <w:highlight w:val="none"/>
        </w:rPr>
        <w:t>.7异常恶劣的气候条件</w:t>
      </w:r>
      <w:bookmarkEnd w:id="241"/>
    </w:p>
    <w:bookmarkEnd w:id="242"/>
    <w:bookmarkEnd w:id="243"/>
    <w:bookmarkEnd w:id="244"/>
    <w:bookmarkEnd w:id="245"/>
    <w:bookmarkEnd w:id="246"/>
    <w:bookmarkEnd w:id="247"/>
    <w:p w14:paraId="14173F8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2754F0A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以当地政府或建设管理部门发布的要求停工通知为准  </w:t>
      </w:r>
      <w:r>
        <w:rPr>
          <w:rFonts w:hint="eastAsia" w:ascii="仿宋" w:hAnsi="仿宋" w:eastAsia="仿宋" w:cs="仿宋"/>
          <w:color w:val="auto"/>
          <w:sz w:val="24"/>
          <w:szCs w:val="24"/>
          <w:highlight w:val="none"/>
        </w:rPr>
        <w:t>。</w:t>
      </w:r>
    </w:p>
    <w:p w14:paraId="7D3AFE7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48" w:name="_Toc27157"/>
      <w:r>
        <w:rPr>
          <w:rFonts w:hint="eastAsia" w:ascii="仿宋" w:hAnsi="仿宋" w:eastAsia="仿宋" w:cs="仿宋"/>
          <w:color w:val="auto"/>
          <w:sz w:val="24"/>
          <w:szCs w:val="24"/>
          <w:highlight w:val="none"/>
        </w:rPr>
        <w:t>7.9 提前竣工的奖励</w:t>
      </w:r>
      <w:bookmarkEnd w:id="248"/>
    </w:p>
    <w:p w14:paraId="464BFC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6DD9FFF">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249" w:name="_Toc14753"/>
      <w:r>
        <w:rPr>
          <w:rFonts w:hint="eastAsia" w:ascii="仿宋" w:hAnsi="仿宋" w:eastAsia="仿宋" w:cs="仿宋"/>
          <w:b w:val="0"/>
          <w:color w:val="auto"/>
          <w:sz w:val="24"/>
          <w:szCs w:val="24"/>
          <w:highlight w:val="none"/>
        </w:rPr>
        <w:t>8. 材料与设备</w:t>
      </w:r>
      <w:bookmarkEnd w:id="249"/>
    </w:p>
    <w:bookmarkEnd w:id="173"/>
    <w:bookmarkEnd w:id="174"/>
    <w:bookmarkEnd w:id="175"/>
    <w:bookmarkEnd w:id="176"/>
    <w:bookmarkEnd w:id="177"/>
    <w:bookmarkEnd w:id="178"/>
    <w:bookmarkEnd w:id="179"/>
    <w:bookmarkEnd w:id="180"/>
    <w:bookmarkEnd w:id="181"/>
    <w:bookmarkEnd w:id="182"/>
    <w:p w14:paraId="36AAC50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50" w:name="_Toc13971"/>
      <w:r>
        <w:rPr>
          <w:rFonts w:hint="eastAsia" w:ascii="仿宋" w:hAnsi="仿宋" w:eastAsia="仿宋" w:cs="仿宋"/>
          <w:color w:val="auto"/>
          <w:sz w:val="24"/>
          <w:szCs w:val="24"/>
          <w:highlight w:val="none"/>
        </w:rPr>
        <w:t>8</w:t>
      </w:r>
      <w:bookmarkStart w:id="251" w:name="_Toc312678019"/>
      <w:bookmarkStart w:id="252" w:name="_Toc296890995"/>
      <w:bookmarkStart w:id="253" w:name="_Toc297048353"/>
      <w:bookmarkStart w:id="254" w:name="_Toc292559372"/>
      <w:bookmarkStart w:id="255" w:name="_Toc303539136"/>
      <w:bookmarkStart w:id="256" w:name="_Toc296944506"/>
      <w:bookmarkStart w:id="257" w:name="_Toc297216186"/>
      <w:bookmarkStart w:id="258" w:name="_Toc296347166"/>
      <w:bookmarkStart w:id="259" w:name="_Toc312677493"/>
      <w:bookmarkStart w:id="260" w:name="_Toc300934979"/>
      <w:bookmarkStart w:id="261" w:name="_Toc292559877"/>
      <w:bookmarkStart w:id="262" w:name="_Toc297120467"/>
      <w:bookmarkStart w:id="263" w:name="_Toc297123527"/>
      <w:bookmarkStart w:id="264" w:name="_Toc296503167"/>
      <w:bookmarkStart w:id="265" w:name="_Toc280868654"/>
      <w:bookmarkStart w:id="266" w:name="_Toc304295556"/>
      <w:bookmarkStart w:id="267" w:name="_Toc296346668"/>
      <w:bookmarkStart w:id="268" w:name="_Toc296891207"/>
      <w:bookmarkStart w:id="269" w:name="_Toc280868655"/>
      <w:bookmarkStart w:id="270" w:name="_Toc267251424"/>
      <w:bookmarkStart w:id="271" w:name="_Toc280868656"/>
      <w:r>
        <w:rPr>
          <w:rFonts w:hint="eastAsia" w:ascii="仿宋" w:hAnsi="仿宋" w:eastAsia="仿宋" w:cs="仿宋"/>
          <w:color w:val="auto"/>
          <w:sz w:val="24"/>
          <w:szCs w:val="24"/>
          <w:highlight w:val="none"/>
        </w:rPr>
        <w:t>.2材料与工程设备的保管与使用</w:t>
      </w:r>
      <w:bookmarkEnd w:id="250"/>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109CAE1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bookmarkStart w:id="272" w:name="_Toc292559878"/>
      <w:bookmarkStart w:id="273" w:name="_Toc292559373"/>
      <w:bookmarkStart w:id="274" w:name="_Toc303539137"/>
      <w:bookmarkStart w:id="275" w:name="_Toc312677494"/>
      <w:bookmarkStart w:id="276" w:name="_Toc297216187"/>
      <w:bookmarkStart w:id="277" w:name="_Toc297123528"/>
      <w:bookmarkStart w:id="278" w:name="_Toc318581173"/>
      <w:bookmarkStart w:id="279" w:name="_Toc312678020"/>
      <w:bookmarkStart w:id="280" w:name="_Toc296890996"/>
      <w:bookmarkStart w:id="281" w:name="_Toc296891208"/>
      <w:bookmarkStart w:id="282" w:name="_Toc296503168"/>
      <w:bookmarkStart w:id="283" w:name="_Toc296346669"/>
      <w:bookmarkStart w:id="284" w:name="_Toc297048354"/>
      <w:bookmarkStart w:id="285" w:name="_Toc296944507"/>
      <w:bookmarkStart w:id="286" w:name="_Toc300934980"/>
      <w:bookmarkStart w:id="287" w:name="_Toc297120468"/>
      <w:bookmarkStart w:id="288" w:name="_Toc304295557"/>
      <w:bookmarkStart w:id="289" w:name="_Toc296347167"/>
      <w:r>
        <w:rPr>
          <w:rFonts w:hint="eastAsia" w:ascii="仿宋" w:hAnsi="仿宋" w:eastAsia="仿宋" w:cs="仿宋"/>
          <w:color w:val="auto"/>
          <w:sz w:val="24"/>
          <w:szCs w:val="24"/>
          <w:highlight w:val="none"/>
        </w:rPr>
        <w:t>.2.1发包人供应的材料设备的保管费用的承担：</w:t>
      </w:r>
      <w:r>
        <w:rPr>
          <w:rFonts w:hint="eastAsia" w:ascii="仿宋" w:hAnsi="仿宋" w:eastAsia="仿宋" w:cs="仿宋"/>
          <w:color w:val="auto"/>
          <w:sz w:val="24"/>
          <w:szCs w:val="24"/>
          <w:highlight w:val="none"/>
          <w:u w:val="single"/>
        </w:rPr>
        <w:t xml:space="preserve"> 由承包人承担，费用含在合同价中  </w:t>
      </w:r>
      <w:r>
        <w:rPr>
          <w:rFonts w:hint="eastAsia" w:ascii="仿宋" w:hAnsi="仿宋" w:eastAsia="仿宋" w:cs="仿宋"/>
          <w:color w:val="auto"/>
          <w:sz w:val="24"/>
          <w:szCs w:val="24"/>
          <w:highlight w:val="none"/>
        </w:rPr>
        <w:t>。</w:t>
      </w:r>
      <w:bookmarkEnd w:id="272"/>
      <w:bookmarkEnd w:id="273"/>
    </w:p>
    <w:p w14:paraId="094DFFB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90" w:name="_Toc30445"/>
      <w:r>
        <w:rPr>
          <w:rFonts w:hint="eastAsia" w:ascii="仿宋" w:hAnsi="仿宋" w:eastAsia="仿宋" w:cs="仿宋"/>
          <w:color w:val="auto"/>
          <w:sz w:val="24"/>
          <w:szCs w:val="24"/>
          <w:highlight w:val="none"/>
        </w:rPr>
        <w:t>8.3 样品</w:t>
      </w:r>
      <w:bookmarkEnd w:id="290"/>
    </w:p>
    <w:p w14:paraId="273A195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样品的报送与封存</w:t>
      </w:r>
    </w:p>
    <w:p w14:paraId="57C6ACA6">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需要承包人报送样品的材料或工程设备，样品的种类、名称、规格、数量要求：</w:t>
      </w:r>
      <w:r>
        <w:rPr>
          <w:rFonts w:hint="eastAsia" w:ascii="仿宋" w:hAnsi="仿宋" w:eastAsia="仿宋" w:cs="仿宋"/>
          <w:color w:val="auto"/>
          <w:sz w:val="24"/>
          <w:szCs w:val="24"/>
          <w:highlight w:val="none"/>
          <w:u w:val="single"/>
        </w:rPr>
        <w:t xml:space="preserve">                                          </w:t>
      </w:r>
    </w:p>
    <w:p w14:paraId="43AA31DE">
      <w:pPr>
        <w:pageBreakBefore w:val="0"/>
        <w:kinsoku/>
        <w:wordWrap/>
        <w:overflowPunct/>
        <w:topLinePunct w:val="0"/>
        <w:autoSpaceDE w:val="0"/>
        <w:autoSpaceDN w:val="0"/>
        <w:bidi w:val="0"/>
        <w:adjustRightInd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均由承包方自行采购，所有进场材料必须“三证”齐全，并应向项目管理单位提供有资质的检测机构出具的检验报告，上述设备材料在进场时，需由建设单位、监理单位、使用单位共同验收合格后方可使用  </w:t>
      </w:r>
      <w:r>
        <w:rPr>
          <w:rFonts w:hint="eastAsia" w:ascii="仿宋" w:hAnsi="仿宋" w:eastAsia="仿宋" w:cs="仿宋"/>
          <w:color w:val="auto"/>
          <w:sz w:val="24"/>
          <w:szCs w:val="24"/>
          <w:highlight w:val="none"/>
        </w:rPr>
        <w:t>。</w:t>
      </w:r>
    </w:p>
    <w:p w14:paraId="20C42A9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91" w:name="_Toc25218"/>
      <w:r>
        <w:rPr>
          <w:rFonts w:hint="eastAsia" w:ascii="仿宋" w:hAnsi="仿宋" w:eastAsia="仿宋" w:cs="仿宋"/>
          <w:color w:val="auto"/>
          <w:sz w:val="24"/>
          <w:szCs w:val="24"/>
          <w:highlight w:val="none"/>
        </w:rPr>
        <w:t>8.4 施工设备和临时设施</w:t>
      </w:r>
      <w:bookmarkEnd w:id="291"/>
    </w:p>
    <w:p w14:paraId="37136F1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 承包人提供的施工设备和临时设施</w:t>
      </w:r>
    </w:p>
    <w:p w14:paraId="063DC79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承包人自行承担修建临时设施的费用，需要临时占红线范围内用地的，经发包人同意办理相关手续，承包人承担相应费用 </w:t>
      </w:r>
      <w:r>
        <w:rPr>
          <w:rFonts w:hint="eastAsia" w:ascii="仿宋" w:hAnsi="仿宋" w:eastAsia="仿宋" w:cs="仿宋"/>
          <w:color w:val="auto"/>
          <w:sz w:val="24"/>
          <w:szCs w:val="24"/>
          <w:highlight w:val="none"/>
        </w:rPr>
        <w:t>。</w:t>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14:paraId="3CDFE47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292" w:name="_Toc25416"/>
      <w:r>
        <w:rPr>
          <w:rFonts w:hint="eastAsia" w:ascii="仿宋" w:hAnsi="仿宋" w:eastAsia="仿宋" w:cs="仿宋"/>
          <w:b w:val="0"/>
          <w:color w:val="auto"/>
          <w:sz w:val="24"/>
          <w:szCs w:val="24"/>
          <w:highlight w:val="none"/>
        </w:rPr>
        <w:t>9</w:t>
      </w:r>
      <w:bookmarkEnd w:id="269"/>
      <w:bookmarkEnd w:id="270"/>
      <w:bookmarkEnd w:id="271"/>
      <w:bookmarkStart w:id="293" w:name="_Toc303539139"/>
      <w:bookmarkStart w:id="294" w:name="_Toc312677495"/>
      <w:bookmarkStart w:id="295" w:name="_Toc297216192"/>
      <w:bookmarkStart w:id="296" w:name="_Toc304295559"/>
      <w:bookmarkStart w:id="297" w:name="_Toc312678021"/>
      <w:bookmarkStart w:id="298" w:name="_Toc297123533"/>
      <w:bookmarkStart w:id="299" w:name="_Toc300934982"/>
      <w:bookmarkStart w:id="300" w:name="_Toc296346674"/>
      <w:bookmarkStart w:id="301" w:name="_Toc292559883"/>
      <w:bookmarkStart w:id="302" w:name="_Toc296891001"/>
      <w:bookmarkStart w:id="303" w:name="_Toc267251427"/>
      <w:bookmarkStart w:id="304" w:name="_Toc267251428"/>
      <w:bookmarkStart w:id="305" w:name="_Toc296944512"/>
      <w:bookmarkStart w:id="306" w:name="_Toc292559378"/>
      <w:bookmarkStart w:id="307" w:name="_Toc296891213"/>
      <w:bookmarkStart w:id="308" w:name="_Toc296347172"/>
      <w:bookmarkStart w:id="309" w:name="_Toc296503173"/>
      <w:bookmarkStart w:id="310" w:name="_Toc297048359"/>
      <w:bookmarkStart w:id="311" w:name="_Toc297120473"/>
      <w:r>
        <w:rPr>
          <w:rFonts w:hint="eastAsia" w:ascii="仿宋" w:hAnsi="仿宋" w:eastAsia="仿宋" w:cs="仿宋"/>
          <w:b w:val="0"/>
          <w:color w:val="auto"/>
          <w:sz w:val="24"/>
          <w:szCs w:val="24"/>
          <w:highlight w:val="none"/>
        </w:rPr>
        <w:t>. 试验与检验</w:t>
      </w:r>
      <w:bookmarkEnd w:id="292"/>
    </w:p>
    <w:bookmarkEnd w:id="293"/>
    <w:bookmarkEnd w:id="294"/>
    <w:bookmarkEnd w:id="295"/>
    <w:bookmarkEnd w:id="296"/>
    <w:bookmarkEnd w:id="297"/>
    <w:bookmarkEnd w:id="298"/>
    <w:bookmarkEnd w:id="299"/>
    <w:p w14:paraId="2717D52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12" w:name="_Toc31253"/>
      <w:r>
        <w:rPr>
          <w:rFonts w:hint="eastAsia" w:ascii="仿宋" w:hAnsi="仿宋" w:eastAsia="仿宋" w:cs="仿宋"/>
          <w:color w:val="auto"/>
          <w:sz w:val="24"/>
          <w:szCs w:val="24"/>
          <w:highlight w:val="none"/>
        </w:rPr>
        <w:t>9</w:t>
      </w:r>
      <w:bookmarkStart w:id="313" w:name="_Toc312677496"/>
      <w:bookmarkStart w:id="314" w:name="_Toc297123534"/>
      <w:bookmarkStart w:id="315" w:name="_Toc300934983"/>
      <w:bookmarkStart w:id="316" w:name="_Toc312678022"/>
      <w:bookmarkStart w:id="317" w:name="_Toc303539140"/>
      <w:bookmarkStart w:id="318" w:name="_Toc297216193"/>
      <w:bookmarkStart w:id="319" w:name="_Toc304295560"/>
      <w:r>
        <w:rPr>
          <w:rFonts w:hint="eastAsia" w:ascii="仿宋" w:hAnsi="仿宋" w:eastAsia="仿宋" w:cs="仿宋"/>
          <w:color w:val="auto"/>
          <w:sz w:val="24"/>
          <w:szCs w:val="24"/>
          <w:highlight w:val="none"/>
        </w:rPr>
        <w:t>.1试验设备与试验人员</w:t>
      </w:r>
      <w:bookmarkEnd w:id="312"/>
    </w:p>
    <w:bookmarkEnd w:id="313"/>
    <w:bookmarkEnd w:id="314"/>
    <w:bookmarkEnd w:id="315"/>
    <w:bookmarkEnd w:id="316"/>
    <w:bookmarkEnd w:id="317"/>
    <w:bookmarkEnd w:id="318"/>
    <w:bookmarkEnd w:id="319"/>
    <w:p w14:paraId="72C579D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bookmarkStart w:id="320" w:name="_Toc312678023"/>
      <w:bookmarkStart w:id="321" w:name="_Toc297123535"/>
      <w:bookmarkStart w:id="322" w:name="_Toc312677497"/>
      <w:bookmarkStart w:id="323" w:name="_Toc297216194"/>
      <w:bookmarkStart w:id="324" w:name="_Toc300934984"/>
      <w:bookmarkStart w:id="325" w:name="_Toc303539141"/>
      <w:bookmarkStart w:id="326" w:name="_Toc304295561"/>
      <w:bookmarkStart w:id="327" w:name="_Toc318581174"/>
      <w:r>
        <w:rPr>
          <w:rFonts w:hint="eastAsia" w:ascii="仿宋" w:hAnsi="仿宋" w:eastAsia="仿宋" w:cs="仿宋"/>
          <w:color w:val="auto"/>
          <w:sz w:val="24"/>
          <w:szCs w:val="24"/>
          <w:highlight w:val="none"/>
        </w:rPr>
        <w:t>.1.2 试验设备</w:t>
      </w:r>
    </w:p>
    <w:p w14:paraId="65D012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bookmarkEnd w:id="320"/>
      <w:bookmarkEnd w:id="321"/>
      <w:bookmarkEnd w:id="322"/>
      <w:bookmarkEnd w:id="323"/>
      <w:bookmarkEnd w:id="324"/>
      <w:bookmarkEnd w:id="325"/>
      <w:bookmarkEnd w:id="326"/>
      <w:bookmarkStart w:id="328" w:name="_Toc304295562"/>
      <w:bookmarkStart w:id="329" w:name="_Toc312677498"/>
      <w:bookmarkStart w:id="330" w:name="_Toc312678024"/>
      <w:bookmarkStart w:id="331" w:name="_Toc297123536"/>
      <w:bookmarkStart w:id="332" w:name="_Toc297216195"/>
      <w:bookmarkStart w:id="333" w:name="_Toc303539142"/>
      <w:bookmarkStart w:id="334" w:name="_Toc300934985"/>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 xml:space="preserve">。 </w:t>
      </w:r>
    </w:p>
    <w:p w14:paraId="06D3642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CD38B9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81746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35" w:name="_Toc32573"/>
      <w:r>
        <w:rPr>
          <w:rFonts w:hint="eastAsia" w:ascii="仿宋" w:hAnsi="仿宋" w:eastAsia="仿宋" w:cs="仿宋"/>
          <w:color w:val="auto"/>
          <w:sz w:val="24"/>
          <w:szCs w:val="24"/>
          <w:highlight w:val="none"/>
        </w:rPr>
        <w:t>9.4 现场工艺试验</w:t>
      </w:r>
      <w:bookmarkEnd w:id="335"/>
      <w:r>
        <w:rPr>
          <w:rFonts w:hint="eastAsia" w:ascii="仿宋" w:hAnsi="仿宋" w:eastAsia="仿宋" w:cs="仿宋"/>
          <w:color w:val="auto"/>
          <w:sz w:val="24"/>
          <w:szCs w:val="24"/>
          <w:highlight w:val="none"/>
        </w:rPr>
        <w:t xml:space="preserve"> </w:t>
      </w:r>
    </w:p>
    <w:p w14:paraId="0465D45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327"/>
    <w:bookmarkEnd w:id="328"/>
    <w:bookmarkEnd w:id="329"/>
    <w:bookmarkEnd w:id="330"/>
    <w:bookmarkEnd w:id="331"/>
    <w:bookmarkEnd w:id="332"/>
    <w:bookmarkEnd w:id="333"/>
    <w:bookmarkEnd w:id="334"/>
    <w:p w14:paraId="0D73B747">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336" w:name="_Toc5195"/>
      <w:r>
        <w:rPr>
          <w:rFonts w:hint="eastAsia" w:ascii="仿宋" w:hAnsi="仿宋" w:eastAsia="仿宋" w:cs="仿宋"/>
          <w:b w:val="0"/>
          <w:color w:val="auto"/>
          <w:sz w:val="24"/>
          <w:szCs w:val="24"/>
          <w:highlight w:val="none"/>
        </w:rPr>
        <w:t>1</w:t>
      </w:r>
      <w:bookmarkEnd w:id="300"/>
      <w:bookmarkEnd w:id="301"/>
      <w:bookmarkEnd w:id="302"/>
      <w:bookmarkEnd w:id="303"/>
      <w:bookmarkEnd w:id="304"/>
      <w:bookmarkEnd w:id="305"/>
      <w:bookmarkEnd w:id="306"/>
      <w:bookmarkEnd w:id="307"/>
      <w:bookmarkEnd w:id="308"/>
      <w:bookmarkEnd w:id="309"/>
      <w:bookmarkEnd w:id="310"/>
      <w:bookmarkEnd w:id="311"/>
      <w:bookmarkStart w:id="337" w:name="_Toc303539146"/>
      <w:bookmarkStart w:id="338" w:name="_Toc296347192"/>
      <w:bookmarkStart w:id="339" w:name="_Toc296944532"/>
      <w:bookmarkStart w:id="340" w:name="_Toc300934989"/>
      <w:bookmarkStart w:id="341" w:name="_Toc297120493"/>
      <w:bookmarkStart w:id="342" w:name="_Toc297216199"/>
      <w:bookmarkStart w:id="343" w:name="_Toc296891233"/>
      <w:bookmarkStart w:id="344" w:name="_Toc296503193"/>
      <w:bookmarkStart w:id="345" w:name="_Toc297048379"/>
      <w:bookmarkStart w:id="346" w:name="_Toc304295566"/>
      <w:bookmarkStart w:id="347" w:name="_Toc296346694"/>
      <w:bookmarkStart w:id="348" w:name="_Toc297123540"/>
      <w:bookmarkStart w:id="349" w:name="_Toc292559903"/>
      <w:bookmarkStart w:id="350" w:name="_Toc292559398"/>
      <w:bookmarkStart w:id="351" w:name="_Toc296891021"/>
      <w:bookmarkStart w:id="352" w:name="_Toc312677499"/>
      <w:bookmarkStart w:id="353" w:name="_Toc312678025"/>
      <w:bookmarkStart w:id="354" w:name="_Toc267251435"/>
      <w:bookmarkStart w:id="355" w:name="_Toc267251437"/>
      <w:bookmarkStart w:id="356" w:name="_Toc267251440"/>
      <w:bookmarkStart w:id="357" w:name="_Toc267251439"/>
      <w:bookmarkStart w:id="358" w:name="_Toc267251441"/>
      <w:bookmarkStart w:id="359" w:name="_Toc267251433"/>
      <w:bookmarkStart w:id="360" w:name="_Toc267251442"/>
      <w:r>
        <w:rPr>
          <w:rFonts w:hint="eastAsia" w:ascii="仿宋" w:hAnsi="仿宋" w:eastAsia="仿宋" w:cs="仿宋"/>
          <w:b w:val="0"/>
          <w:color w:val="auto"/>
          <w:sz w:val="24"/>
          <w:szCs w:val="24"/>
          <w:highlight w:val="none"/>
        </w:rPr>
        <w:t>0. 变更</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bookmarkEnd w:id="352"/>
    <w:bookmarkEnd w:id="353"/>
    <w:p w14:paraId="5FD052D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61" w:name="_Toc9218"/>
      <w:r>
        <w:rPr>
          <w:rFonts w:hint="eastAsia" w:ascii="仿宋" w:hAnsi="仿宋" w:eastAsia="仿宋" w:cs="仿宋"/>
          <w:color w:val="auto"/>
          <w:sz w:val="24"/>
          <w:szCs w:val="24"/>
          <w:highlight w:val="none"/>
        </w:rPr>
        <w:t>1</w:t>
      </w:r>
      <w:bookmarkStart w:id="362" w:name="_Toc297123541"/>
      <w:bookmarkStart w:id="363" w:name="_Toc296503194"/>
      <w:bookmarkStart w:id="364" w:name="_Toc304295567"/>
      <w:bookmarkStart w:id="365" w:name="_Toc297216200"/>
      <w:bookmarkStart w:id="366" w:name="_Toc312677500"/>
      <w:bookmarkStart w:id="367" w:name="_Toc296944533"/>
      <w:bookmarkStart w:id="368" w:name="_Toc296346695"/>
      <w:bookmarkStart w:id="369" w:name="_Toc312678026"/>
      <w:bookmarkStart w:id="370" w:name="_Toc297048380"/>
      <w:bookmarkStart w:id="371" w:name="_Toc303539147"/>
      <w:bookmarkStart w:id="372" w:name="_Toc297120494"/>
      <w:bookmarkStart w:id="373" w:name="_Toc296347193"/>
      <w:bookmarkStart w:id="374" w:name="_Toc300934990"/>
      <w:bookmarkStart w:id="375" w:name="_Toc296891022"/>
      <w:bookmarkStart w:id="376" w:name="_Toc292559904"/>
      <w:bookmarkStart w:id="377" w:name="_Toc292559399"/>
      <w:bookmarkStart w:id="378" w:name="_Toc296891234"/>
      <w:r>
        <w:rPr>
          <w:rFonts w:hint="eastAsia" w:ascii="仿宋" w:hAnsi="仿宋" w:eastAsia="仿宋" w:cs="仿宋"/>
          <w:color w:val="auto"/>
          <w:sz w:val="24"/>
          <w:szCs w:val="24"/>
          <w:highlight w:val="none"/>
        </w:rPr>
        <w:t>0.1变更的范围</w:t>
      </w:r>
      <w:bookmarkEnd w:id="361"/>
    </w:p>
    <w:p w14:paraId="2147D64F">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 xml:space="preserve"> 因工程变更引起已标价工程量清单项目或其工程数量发生变化时，应按照下列规定调整</w:t>
      </w:r>
      <w:r>
        <w:rPr>
          <w:rFonts w:hint="eastAsia" w:ascii="仿宋" w:hAnsi="仿宋" w:eastAsia="仿宋" w:cs="仿宋"/>
          <w:color w:val="auto"/>
          <w:sz w:val="30"/>
          <w:szCs w:val="32"/>
          <w:highlight w:val="none"/>
          <w:u w:val="single"/>
        </w:rPr>
        <w:t>：</w:t>
      </w:r>
      <w:r>
        <w:rPr>
          <w:rFonts w:hint="eastAsia" w:ascii="仿宋" w:hAnsi="仿宋" w:eastAsia="仿宋" w:cs="仿宋"/>
          <w:color w:val="auto"/>
          <w:sz w:val="24"/>
          <w:szCs w:val="24"/>
          <w:highlight w:val="none"/>
          <w:u w:val="single"/>
        </w:rPr>
        <w:t>1、已标价工程量清单中有适用于变更工程项目的，应采用该项目的单价；当工程量清单项目工程量的变化幅度在±15%（含15%）以内时，其综合单价不做调整；当工程量清单项目工程量的变化幅度在±15%以外时，其综合单价进行调整。调整方法为：超出+15%时，超出部分原综合单价下浮10%进行结算；超出-15%时，减少后剩余部分原综合单价上浮10%进行结算</w:t>
      </w:r>
      <w:r>
        <w:rPr>
          <w:rFonts w:hint="eastAsia" w:ascii="仿宋" w:hAnsi="仿宋" w:eastAsia="仿宋" w:cs="仿宋"/>
          <w:color w:val="auto"/>
          <w:sz w:val="24"/>
          <w:szCs w:val="24"/>
          <w:highlight w:val="none"/>
        </w:rPr>
        <w:t>。</w:t>
      </w:r>
    </w:p>
    <w:p w14:paraId="539CFC0C">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2、已标价工程量清单中没有适用但有类似于变更工程项目的，可在合理范围内参照类似项目的单价</w:t>
      </w:r>
      <w:r>
        <w:rPr>
          <w:rFonts w:hint="eastAsia" w:ascii="仿宋" w:hAnsi="仿宋" w:eastAsia="仿宋" w:cs="仿宋"/>
          <w:color w:val="auto"/>
          <w:sz w:val="24"/>
          <w:szCs w:val="24"/>
          <w:highlight w:val="none"/>
        </w:rPr>
        <w:t>。</w:t>
      </w:r>
    </w:p>
    <w:p w14:paraId="6A63A213">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已标价工程量清单中没有适用也没有类似于变更工程项目的，由承包人根据变更工程资料、套用现行定额和估价表、费率中管理费及利润按照相应工程类别下限计取、工程造价管理机构发布的工程实施当期信息（参考）价格，综合以上因素计取。</w:t>
      </w:r>
    </w:p>
    <w:p w14:paraId="35EEE961">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发包人认为有必要的，有权牵头组织询价小组进行市场询价，经市场调研询价后形成询价报告（询价报告须询价小组全体成员签字），取询价结果与施工单位报价的较低值作为单项新增材料的最高限价，但最终仍由发包人对此单项新增材料进行价格确认工作</w:t>
      </w:r>
      <w:r>
        <w:rPr>
          <w:rFonts w:hint="eastAsia" w:ascii="仿宋" w:hAnsi="仿宋" w:eastAsia="仿宋" w:cs="仿宋"/>
          <w:color w:val="auto"/>
          <w:sz w:val="24"/>
          <w:szCs w:val="24"/>
          <w:highlight w:val="none"/>
        </w:rPr>
        <w:t>。</w:t>
      </w:r>
    </w:p>
    <w:p w14:paraId="696122F7">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hint="eastAsia" w:ascii="仿宋" w:hAnsi="仿宋" w:eastAsia="仿宋" w:cs="仿宋"/>
          <w:color w:val="auto"/>
          <w:sz w:val="24"/>
          <w:szCs w:val="24"/>
          <w:highlight w:val="none"/>
          <w:u w:val="single"/>
        </w:rPr>
        <w:c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１、安全文明施工费应按照实际发生变化的措施项目依据《建设工程工程量清单计价规范》GB50500-2013 第 3.1.5 条的规定计算 </w:t>
      </w:r>
      <w:r>
        <w:rPr>
          <w:rFonts w:hint="eastAsia" w:ascii="仿宋" w:hAnsi="仿宋" w:eastAsia="仿宋" w:cs="仿宋"/>
          <w:color w:val="auto"/>
          <w:sz w:val="24"/>
          <w:szCs w:val="24"/>
          <w:highlight w:val="none"/>
        </w:rPr>
        <w:t>。</w:t>
      </w:r>
    </w:p>
    <w:p w14:paraId="2C8BE01F">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、采用单价计算的措施项目费，应按照实际发生变化的措施项目，按《建设工程工程量清单计价规范》GB50500-2013 第 9.3.1 条的规定确定单价 </w:t>
      </w:r>
      <w:r>
        <w:rPr>
          <w:rFonts w:hint="eastAsia" w:ascii="仿宋" w:hAnsi="仿宋" w:eastAsia="仿宋" w:cs="仿宋"/>
          <w:color w:val="auto"/>
          <w:sz w:val="24"/>
          <w:szCs w:val="24"/>
          <w:highlight w:val="none"/>
        </w:rPr>
        <w:t>。</w:t>
      </w:r>
    </w:p>
    <w:p w14:paraId="00BF7E7D">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3、按总价（或系数）计算的措施项目费，按照实际发生变化的措施项目调整，但应考虑承包人报价浮动因素，即调整金额按照实际调整金额乘以《建设工程工程量清单计价规范》GB50500-2013 第 9.3.1 条规定的承包人报价浮动率计算。如果承包人未事先将拟实施的方案提交给发包人确认，则应视为工程变更不引起措施项目费的调整或承包人放弃调整措施项目费的权利 </w:t>
      </w:r>
      <w:r>
        <w:rPr>
          <w:rFonts w:hint="eastAsia" w:ascii="仿宋" w:hAnsi="仿宋" w:eastAsia="仿宋" w:cs="仿宋"/>
          <w:color w:val="auto"/>
          <w:sz w:val="24"/>
          <w:szCs w:val="24"/>
          <w:highlight w:val="none"/>
        </w:rPr>
        <w:t>。</w:t>
      </w:r>
    </w:p>
    <w:p w14:paraId="7EBEF987">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当发包人提出的工程变更因非承包人原因删减了合同中的某项原定工作或工程，致使承包人发生的费用和得到的收益不能被包括在其他已支付或应支付的项目中，也未被包含在任何替代的工作或工程中时，承包人无权要求应得到合理的费用及利润补偿 </w:t>
      </w:r>
      <w:r>
        <w:rPr>
          <w:rFonts w:hint="eastAsia" w:ascii="仿宋" w:hAnsi="仿宋" w:eastAsia="仿宋" w:cs="仿宋"/>
          <w:color w:val="auto"/>
          <w:sz w:val="24"/>
          <w:szCs w:val="24"/>
          <w:highlight w:val="none"/>
        </w:rPr>
        <w:t>。</w:t>
      </w:r>
    </w:p>
    <w:p w14:paraId="396382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79" w:name="_Toc4836"/>
      <w:r>
        <w:rPr>
          <w:rFonts w:hint="eastAsia" w:ascii="仿宋" w:hAnsi="仿宋" w:eastAsia="仿宋" w:cs="仿宋"/>
          <w:color w:val="auto"/>
          <w:sz w:val="24"/>
          <w:szCs w:val="24"/>
          <w:highlight w:val="none"/>
        </w:rPr>
        <w:t>10.3 变更估价</w:t>
      </w:r>
      <w:bookmarkEnd w:id="379"/>
    </w:p>
    <w:p w14:paraId="2B9FA6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10.3.1 变更估价原则</w:t>
      </w:r>
    </w:p>
    <w:p w14:paraId="6DAD91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关于变更估价的约定:</w:t>
      </w:r>
      <w:r>
        <w:rPr>
          <w:rFonts w:hint="eastAsia" w:ascii="仿宋" w:hAnsi="仿宋" w:eastAsia="仿宋" w:cs="仿宋"/>
          <w:color w:val="auto"/>
          <w:sz w:val="24"/>
          <w:szCs w:val="24"/>
          <w:highlight w:val="none"/>
          <w:u w:val="single"/>
        </w:rPr>
        <w:t xml:space="preserve">  ①合同中有相同或类似工程项目单价的，可以参照合同中相同或类似项目的综合单价计算确认。②原合同中不包含的工程项目，由承包人根据变更工程资料、套用现行定额和估价表、费率中管理费及利润按照相应工程类别下限计取、工程造价管理机构发布的工程实施当期信息（参考）价格，综合以上因素计取。</w:t>
      </w:r>
    </w:p>
    <w:p w14:paraId="5956F66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80" w:name="_Toc3096"/>
      <w:r>
        <w:rPr>
          <w:rFonts w:hint="eastAsia" w:ascii="仿宋" w:hAnsi="仿宋" w:eastAsia="仿宋" w:cs="仿宋"/>
          <w:color w:val="auto"/>
          <w:sz w:val="24"/>
          <w:szCs w:val="24"/>
          <w:highlight w:val="none"/>
        </w:rPr>
        <w:t>1</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Start w:id="381" w:name="_Toc296891237"/>
      <w:bookmarkStart w:id="382" w:name="_Toc297120497"/>
      <w:bookmarkStart w:id="383" w:name="_Toc296503197"/>
      <w:bookmarkStart w:id="384" w:name="_Toc297216203"/>
      <w:bookmarkStart w:id="385" w:name="_Toc297123544"/>
      <w:bookmarkStart w:id="386" w:name="_Toc297048383"/>
      <w:bookmarkStart w:id="387" w:name="_Toc300934993"/>
      <w:bookmarkStart w:id="388" w:name="_Toc292559907"/>
      <w:bookmarkStart w:id="389" w:name="_Toc292559402"/>
      <w:bookmarkStart w:id="390" w:name="_Toc296944536"/>
      <w:bookmarkStart w:id="391" w:name="_Toc296347196"/>
      <w:bookmarkStart w:id="392" w:name="_Toc296891025"/>
      <w:bookmarkStart w:id="393" w:name="_Toc296346698"/>
      <w:bookmarkStart w:id="394" w:name="_Toc303539150"/>
      <w:bookmarkStart w:id="395" w:name="_Toc304295570"/>
      <w:bookmarkStart w:id="396" w:name="_Toc312678029"/>
      <w:bookmarkStart w:id="397" w:name="_Toc312677503"/>
      <w:r>
        <w:rPr>
          <w:rFonts w:hint="eastAsia" w:ascii="仿宋" w:hAnsi="仿宋" w:eastAsia="仿宋" w:cs="仿宋"/>
          <w:color w:val="auto"/>
          <w:sz w:val="24"/>
          <w:szCs w:val="24"/>
          <w:highlight w:val="none"/>
        </w:rPr>
        <w:t>0.4承</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8" w:name="_Toc303539151"/>
      <w:bookmarkStart w:id="399" w:name="_Toc296891243"/>
      <w:bookmarkStart w:id="400" w:name="_Toc297216204"/>
      <w:bookmarkStart w:id="401" w:name="_Toc296891031"/>
      <w:bookmarkStart w:id="402" w:name="_Toc296503203"/>
      <w:bookmarkStart w:id="403" w:name="_Toc296346704"/>
      <w:bookmarkStart w:id="404" w:name="_Toc296347202"/>
      <w:bookmarkStart w:id="405" w:name="_Toc296944542"/>
      <w:bookmarkStart w:id="406" w:name="_Toc297120503"/>
      <w:bookmarkStart w:id="407" w:name="_Toc300934994"/>
      <w:bookmarkStart w:id="408" w:name="_Toc292559913"/>
      <w:bookmarkStart w:id="409" w:name="_Toc297048389"/>
      <w:bookmarkStart w:id="410" w:name="_Toc297123545"/>
      <w:bookmarkStart w:id="411" w:name="_Toc292559408"/>
      <w:r>
        <w:rPr>
          <w:rFonts w:hint="eastAsia" w:ascii="仿宋" w:hAnsi="仿宋" w:eastAsia="仿宋" w:cs="仿宋"/>
          <w:color w:val="auto"/>
          <w:sz w:val="24"/>
          <w:szCs w:val="24"/>
          <w:highlight w:val="none"/>
        </w:rPr>
        <w:t>包人的合理化建议</w:t>
      </w:r>
      <w:bookmarkEnd w:id="380"/>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1DE7F8F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执行通用条款    。</w:t>
      </w:r>
    </w:p>
    <w:p w14:paraId="61E7FC6D">
      <w:pPr>
        <w:pageBreakBefore w:val="0"/>
        <w:kinsoku/>
        <w:wordWrap/>
        <w:overflowPunct/>
        <w:topLinePunct w:val="0"/>
        <w:autoSpaceDE w:val="0"/>
        <w:autoSpaceDN w:val="0"/>
        <w:bidi w:val="0"/>
        <w:adjustRightInd w:val="0"/>
        <w:spacing w:line="5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执行通用条款 </w:t>
      </w:r>
    </w:p>
    <w:p w14:paraId="0D76B69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w:t>
      </w:r>
      <w:bookmarkStart w:id="412" w:name="_Toc297120504"/>
      <w:bookmarkStart w:id="413" w:name="_Toc296503204"/>
      <w:bookmarkStart w:id="414" w:name="_Toc297216205"/>
      <w:bookmarkStart w:id="415" w:name="_Toc312678030"/>
      <w:bookmarkStart w:id="416" w:name="_Toc292559409"/>
      <w:bookmarkStart w:id="417" w:name="_Toc296346705"/>
      <w:bookmarkStart w:id="418" w:name="_Toc318581175"/>
      <w:bookmarkStart w:id="419" w:name="_Toc296944543"/>
      <w:bookmarkStart w:id="420" w:name="_Toc292559914"/>
      <w:bookmarkStart w:id="421" w:name="_Toc297048390"/>
      <w:bookmarkStart w:id="422" w:name="_Toc312677504"/>
      <w:bookmarkStart w:id="423" w:name="_Toc303539152"/>
      <w:bookmarkStart w:id="424" w:name="_Toc296891244"/>
      <w:bookmarkStart w:id="425" w:name="_Toc304295571"/>
      <w:bookmarkStart w:id="426" w:name="_Toc296347203"/>
      <w:bookmarkStart w:id="427" w:name="_Toc300934995"/>
      <w:bookmarkStart w:id="428" w:name="_Toc296891032"/>
      <w:bookmarkStart w:id="429" w:name="_Toc297123546"/>
      <w:r>
        <w:rPr>
          <w:rFonts w:hint="eastAsia" w:ascii="仿宋" w:hAnsi="仿宋" w:eastAsia="仿宋" w:cs="仿宋"/>
          <w:color w:val="auto"/>
          <w:sz w:val="24"/>
          <w:szCs w:val="24"/>
          <w:highlight w:val="none"/>
        </w:rPr>
        <w:t>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4CEEA41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430" w:name="_Toc12062"/>
      <w:r>
        <w:rPr>
          <w:rFonts w:hint="eastAsia" w:ascii="仿宋" w:hAnsi="仿宋" w:eastAsia="仿宋" w:cs="仿宋"/>
          <w:color w:val="auto"/>
          <w:sz w:val="24"/>
          <w:szCs w:val="24"/>
          <w:highlight w:val="none"/>
        </w:rPr>
        <w:t>1</w:t>
      </w:r>
      <w:bookmarkStart w:id="431" w:name="_Toc297120499"/>
      <w:bookmarkStart w:id="432" w:name="_Toc296944538"/>
      <w:bookmarkStart w:id="433" w:name="_Toc312677507"/>
      <w:bookmarkStart w:id="434" w:name="_Toc296891027"/>
      <w:bookmarkStart w:id="435" w:name="_Toc296347198"/>
      <w:bookmarkStart w:id="436" w:name="_Toc296346700"/>
      <w:bookmarkStart w:id="437" w:name="_Toc303539154"/>
      <w:bookmarkStart w:id="438" w:name="_Toc304295574"/>
      <w:bookmarkStart w:id="439" w:name="_Toc300934997"/>
      <w:bookmarkStart w:id="440" w:name="_Toc297048385"/>
      <w:bookmarkStart w:id="441" w:name="_Toc297216207"/>
      <w:bookmarkStart w:id="442" w:name="_Toc296503199"/>
      <w:bookmarkStart w:id="443" w:name="_Toc312678033"/>
      <w:bookmarkStart w:id="444" w:name="_Toc296891239"/>
      <w:bookmarkStart w:id="445" w:name="_Toc292559909"/>
      <w:bookmarkStart w:id="446" w:name="_Toc292559404"/>
      <w:bookmarkStart w:id="447" w:name="_Toc297123548"/>
      <w:r>
        <w:rPr>
          <w:rFonts w:hint="eastAsia" w:ascii="仿宋" w:hAnsi="仿宋" w:eastAsia="仿宋" w:cs="仿宋"/>
          <w:color w:val="auto"/>
          <w:sz w:val="24"/>
          <w:szCs w:val="24"/>
          <w:highlight w:val="none"/>
        </w:rPr>
        <w:t>0.5 暂估价</w:t>
      </w:r>
      <w:bookmarkEnd w:id="430"/>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109628E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w:t>
      </w:r>
      <w:bookmarkStart w:id="448" w:name="_Toc318581176"/>
      <w:bookmarkStart w:id="449" w:name="_Toc312677508"/>
      <w:bookmarkStart w:id="450" w:name="_Toc312678034"/>
      <w:r>
        <w:rPr>
          <w:rFonts w:hint="eastAsia" w:ascii="仿宋" w:hAnsi="仿宋" w:eastAsia="仿宋" w:cs="仿宋"/>
          <w:color w:val="auto"/>
          <w:sz w:val="24"/>
          <w:szCs w:val="24"/>
          <w:highlight w:val="none"/>
        </w:rPr>
        <w:t>估价材料和工程设备的明细详见附件11：《暂估价一览表》。</w:t>
      </w:r>
    </w:p>
    <w:bookmarkEnd w:id="448"/>
    <w:bookmarkEnd w:id="449"/>
    <w:bookmarkEnd w:id="450"/>
    <w:p w14:paraId="5BF7304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451" w:name="_Toc312678035"/>
      <w:bookmarkStart w:id="452" w:name="_Toc318581177"/>
      <w:bookmarkStart w:id="453" w:name="_Toc312677509"/>
      <w:r>
        <w:rPr>
          <w:rFonts w:hint="eastAsia" w:ascii="仿宋" w:hAnsi="仿宋" w:eastAsia="仿宋" w:cs="仿宋"/>
          <w:color w:val="auto"/>
          <w:sz w:val="24"/>
          <w:szCs w:val="24"/>
          <w:highlight w:val="none"/>
        </w:rPr>
        <w:t>0.5.1 依法必须招标的暂估价项目</w:t>
      </w:r>
    </w:p>
    <w:bookmarkEnd w:id="451"/>
    <w:bookmarkEnd w:id="452"/>
    <w:bookmarkEnd w:id="453"/>
    <w:p w14:paraId="25BFECB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  1  种方式确定。</w:t>
      </w:r>
    </w:p>
    <w:p w14:paraId="01468C3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10.5.2 不属于依法必须招标的暂估价项目</w:t>
      </w:r>
    </w:p>
    <w:p w14:paraId="72749C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w:t>
      </w:r>
      <w:r>
        <w:rPr>
          <w:rFonts w:hint="eastAsia" w:ascii="仿宋" w:hAnsi="仿宋" w:eastAsia="仿宋" w:cs="仿宋"/>
          <w:color w:val="auto"/>
          <w:sz w:val="24"/>
          <w:szCs w:val="24"/>
          <w:highlight w:val="none"/>
          <w:u w:val="single"/>
        </w:rPr>
        <w:t>承包人经监理单位审核后，上报发包人签字确认后实施</w:t>
      </w:r>
      <w:r>
        <w:rPr>
          <w:rFonts w:hint="eastAsia" w:ascii="仿宋" w:hAnsi="仿宋" w:eastAsia="仿宋" w:cs="仿宋"/>
          <w:color w:val="auto"/>
          <w:sz w:val="24"/>
          <w:szCs w:val="24"/>
          <w:highlight w:val="none"/>
        </w:rPr>
        <w:t>。</w:t>
      </w:r>
    </w:p>
    <w:p w14:paraId="1C98761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456F10E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承包人直接实施的暂估价项目的约定：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922F03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bookmarkStart w:id="454" w:name="_Toc14744"/>
      <w:r>
        <w:rPr>
          <w:rFonts w:hint="eastAsia" w:ascii="仿宋" w:hAnsi="仿宋" w:eastAsia="仿宋" w:cs="仿宋"/>
          <w:color w:val="auto"/>
          <w:kern w:val="0"/>
          <w:sz w:val="24"/>
          <w:szCs w:val="24"/>
          <w:highlight w:val="none"/>
        </w:rPr>
        <w:t>10.6 暂列金额</w:t>
      </w:r>
      <w:bookmarkEnd w:id="454"/>
    </w:p>
    <w:p w14:paraId="64A24990">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合同当事人关于暂列金额使用的约定：</w:t>
      </w:r>
      <w:r>
        <w:rPr>
          <w:rFonts w:hint="eastAsia" w:ascii="仿宋" w:hAnsi="仿宋" w:eastAsia="仿宋" w:cs="仿宋"/>
          <w:color w:val="auto"/>
          <w:sz w:val="24"/>
          <w:szCs w:val="24"/>
          <w:highlight w:val="none"/>
          <w:u w:val="single"/>
        </w:rPr>
        <w:t xml:space="preserve"> 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 </w:t>
      </w:r>
      <w:r>
        <w:rPr>
          <w:rFonts w:hint="eastAsia" w:ascii="仿宋" w:hAnsi="仿宋" w:eastAsia="仿宋" w:cs="仿宋"/>
          <w:color w:val="auto"/>
          <w:kern w:val="0"/>
          <w:sz w:val="24"/>
          <w:szCs w:val="24"/>
          <w:highlight w:val="none"/>
        </w:rPr>
        <w:t>。</w:t>
      </w:r>
    </w:p>
    <w:p w14:paraId="6F2E44BA">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455" w:name="_Toc8501"/>
      <w:r>
        <w:rPr>
          <w:rFonts w:hint="eastAsia" w:ascii="仿宋" w:hAnsi="仿宋" w:eastAsia="仿宋" w:cs="仿宋"/>
          <w:b w:val="0"/>
          <w:color w:val="auto"/>
          <w:sz w:val="24"/>
          <w:szCs w:val="24"/>
          <w:highlight w:val="none"/>
        </w:rPr>
        <w:t>11. 价格调整</w:t>
      </w:r>
      <w:bookmarkEnd w:id="455"/>
    </w:p>
    <w:p w14:paraId="1F6A6E7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456" w:name="_Toc28722"/>
      <w:bookmarkStart w:id="457" w:name="_Toc304295577"/>
      <w:bookmarkStart w:id="458" w:name="_Toc297216209"/>
      <w:bookmarkStart w:id="459" w:name="_Toc297048387"/>
      <w:bookmarkStart w:id="460" w:name="_Toc312678039"/>
      <w:bookmarkStart w:id="461" w:name="_Toc296346702"/>
      <w:bookmarkStart w:id="462" w:name="_Toc296503201"/>
      <w:bookmarkStart w:id="463" w:name="_Toc296891241"/>
      <w:bookmarkStart w:id="464" w:name="_Toc296347200"/>
      <w:bookmarkStart w:id="465" w:name="_Toc297123550"/>
      <w:bookmarkStart w:id="466" w:name="_Toc296944540"/>
      <w:bookmarkStart w:id="467" w:name="_Toc297120501"/>
      <w:bookmarkStart w:id="468" w:name="_Toc303539157"/>
      <w:bookmarkStart w:id="469" w:name="_Toc292559406"/>
      <w:bookmarkStart w:id="470" w:name="_Toc296891029"/>
      <w:bookmarkStart w:id="471" w:name="_Toc300935000"/>
      <w:bookmarkStart w:id="472" w:name="_Toc292559911"/>
      <w:r>
        <w:rPr>
          <w:rFonts w:hint="eastAsia" w:ascii="仿宋" w:hAnsi="仿宋" w:eastAsia="仿宋" w:cs="仿宋"/>
          <w:color w:val="auto"/>
          <w:sz w:val="24"/>
          <w:szCs w:val="24"/>
          <w:highlight w:val="none"/>
        </w:rPr>
        <w:t>11.1 市场价格波动引起的调整</w:t>
      </w:r>
      <w:bookmarkEnd w:id="456"/>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40B6986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种方式对合同价格进行调整：</w:t>
      </w:r>
    </w:p>
    <w:p w14:paraId="437EF66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3891E83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37EDF48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2DD0292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乌鲁木齐地区     建设工程综合价格信息</w:t>
      </w:r>
      <w:r>
        <w:rPr>
          <w:rFonts w:hint="eastAsia" w:ascii="仿宋" w:hAnsi="仿宋" w:eastAsia="仿宋" w:cs="仿宋"/>
          <w:color w:val="auto"/>
          <w:sz w:val="24"/>
          <w:szCs w:val="24"/>
          <w:highlight w:val="none"/>
        </w:rPr>
        <w:t>。</w:t>
      </w:r>
    </w:p>
    <w:p w14:paraId="761E053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5E5715C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025CC584">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7AB19D38">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④人工单价按照施工同期省级或行业建设主管部门发布的调整文件进行调整。</w:t>
      </w:r>
    </w:p>
    <w:p w14:paraId="198569C4">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54"/>
    <w:bookmarkEnd w:id="355"/>
    <w:bookmarkEnd w:id="356"/>
    <w:bookmarkEnd w:id="357"/>
    <w:bookmarkEnd w:id="358"/>
    <w:bookmarkEnd w:id="359"/>
    <w:p w14:paraId="3846DCFE">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473" w:name="_Toc297120505"/>
      <w:bookmarkStart w:id="474" w:name="_Toc292559915"/>
      <w:bookmarkStart w:id="475" w:name="_Toc296891033"/>
      <w:bookmarkStart w:id="476" w:name="_Toc292559410"/>
      <w:bookmarkStart w:id="477" w:name="_Toc296346706"/>
      <w:bookmarkStart w:id="478" w:name="_Toc296891245"/>
      <w:bookmarkStart w:id="479" w:name="_Toc296503205"/>
      <w:bookmarkStart w:id="480" w:name="_Toc296347204"/>
      <w:bookmarkStart w:id="481" w:name="_Toc296944544"/>
      <w:bookmarkStart w:id="482" w:name="_Toc297048391"/>
      <w:bookmarkStart w:id="483" w:name="_Toc24820"/>
      <w:bookmarkStart w:id="484" w:name="_Toc300935002"/>
      <w:bookmarkStart w:id="485" w:name="_Toc312678040"/>
      <w:bookmarkStart w:id="486" w:name="_Toc304295579"/>
      <w:bookmarkStart w:id="487" w:name="_Toc303539159"/>
      <w:bookmarkStart w:id="488" w:name="_Toc297123552"/>
      <w:bookmarkStart w:id="489" w:name="_Toc297216211"/>
      <w:r>
        <w:rPr>
          <w:rFonts w:hint="eastAsia" w:ascii="仿宋" w:hAnsi="仿宋" w:eastAsia="仿宋" w:cs="仿宋"/>
          <w:b w:val="0"/>
          <w:color w:val="auto"/>
          <w:sz w:val="24"/>
          <w:szCs w:val="24"/>
          <w:highlight w:val="none"/>
        </w:rPr>
        <w:t xml:space="preserve">12. </w:t>
      </w:r>
      <w:bookmarkEnd w:id="473"/>
      <w:bookmarkEnd w:id="474"/>
      <w:bookmarkEnd w:id="475"/>
      <w:bookmarkEnd w:id="476"/>
      <w:bookmarkEnd w:id="477"/>
      <w:bookmarkEnd w:id="478"/>
      <w:bookmarkEnd w:id="479"/>
      <w:bookmarkEnd w:id="480"/>
      <w:bookmarkEnd w:id="481"/>
      <w:bookmarkEnd w:id="482"/>
      <w:r>
        <w:rPr>
          <w:rFonts w:hint="eastAsia" w:ascii="仿宋" w:hAnsi="仿宋" w:eastAsia="仿宋" w:cs="仿宋"/>
          <w:b w:val="0"/>
          <w:color w:val="auto"/>
          <w:sz w:val="24"/>
          <w:szCs w:val="24"/>
          <w:highlight w:val="none"/>
        </w:rPr>
        <w:t>合同价格、计量与支付</w:t>
      </w:r>
      <w:bookmarkEnd w:id="483"/>
    </w:p>
    <w:bookmarkEnd w:id="484"/>
    <w:bookmarkEnd w:id="485"/>
    <w:bookmarkEnd w:id="486"/>
    <w:bookmarkEnd w:id="487"/>
    <w:bookmarkEnd w:id="488"/>
    <w:bookmarkEnd w:id="489"/>
    <w:p w14:paraId="67DC922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490" w:name="_Toc267251461"/>
      <w:bookmarkStart w:id="491" w:name="_Toc292559916"/>
      <w:bookmarkStart w:id="492" w:name="_Toc292559411"/>
      <w:bookmarkStart w:id="493" w:name="_Toc296503206"/>
      <w:bookmarkStart w:id="494" w:name="_Toc296346707"/>
      <w:bookmarkStart w:id="495" w:name="_Toc296891034"/>
      <w:bookmarkStart w:id="496" w:name="_Toc296944545"/>
      <w:bookmarkStart w:id="497" w:name="_Toc296891246"/>
      <w:bookmarkStart w:id="498" w:name="_Toc297120506"/>
      <w:bookmarkStart w:id="499" w:name="_Toc297048392"/>
      <w:bookmarkStart w:id="500" w:name="_Toc296347205"/>
      <w:bookmarkStart w:id="501" w:name="_Toc26607"/>
      <w:bookmarkStart w:id="502" w:name="_Toc312678041"/>
      <w:bookmarkStart w:id="503" w:name="_Toc297216212"/>
      <w:bookmarkStart w:id="504" w:name="_Toc297123553"/>
      <w:bookmarkStart w:id="505" w:name="_Toc300935003"/>
      <w:bookmarkStart w:id="506" w:name="_Toc303539160"/>
      <w:bookmarkStart w:id="507" w:name="_Toc304295580"/>
      <w:r>
        <w:rPr>
          <w:rFonts w:hint="eastAsia" w:ascii="仿宋" w:hAnsi="仿宋" w:eastAsia="仿宋" w:cs="仿宋"/>
          <w:color w:val="auto"/>
          <w:sz w:val="24"/>
          <w:szCs w:val="24"/>
          <w:highlight w:val="none"/>
        </w:rPr>
        <w:t>12.1 合</w:t>
      </w:r>
      <w:bookmarkEnd w:id="490"/>
      <w:bookmarkEnd w:id="491"/>
      <w:bookmarkEnd w:id="492"/>
      <w:r>
        <w:rPr>
          <w:rFonts w:hint="eastAsia" w:ascii="仿宋" w:hAnsi="仿宋" w:eastAsia="仿宋" w:cs="仿宋"/>
          <w:color w:val="auto"/>
          <w:sz w:val="24"/>
          <w:szCs w:val="24"/>
          <w:highlight w:val="none"/>
        </w:rPr>
        <w:t>同价</w:t>
      </w:r>
      <w:bookmarkEnd w:id="493"/>
      <w:bookmarkEnd w:id="494"/>
      <w:bookmarkEnd w:id="495"/>
      <w:bookmarkEnd w:id="496"/>
      <w:bookmarkEnd w:id="497"/>
      <w:bookmarkEnd w:id="498"/>
      <w:bookmarkEnd w:id="499"/>
      <w:bookmarkEnd w:id="500"/>
      <w:r>
        <w:rPr>
          <w:rFonts w:hint="eastAsia" w:ascii="仿宋" w:hAnsi="仿宋" w:eastAsia="仿宋" w:cs="仿宋"/>
          <w:color w:val="auto"/>
          <w:sz w:val="24"/>
          <w:szCs w:val="24"/>
          <w:highlight w:val="none"/>
        </w:rPr>
        <w:t>格形式</w:t>
      </w:r>
      <w:bookmarkEnd w:id="501"/>
    </w:p>
    <w:bookmarkEnd w:id="502"/>
    <w:bookmarkEnd w:id="503"/>
    <w:bookmarkEnd w:id="504"/>
    <w:bookmarkEnd w:id="505"/>
    <w:bookmarkEnd w:id="506"/>
    <w:bookmarkEnd w:id="507"/>
    <w:p w14:paraId="421DB1D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420E01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 xml:space="preserve"> ①因综合单价未按特征描述的内容进行组价的，应视为承包人的风险；②因天气、地形、地质等自热条件的变化，采取的临时措施费用，由承包人自行承担；③按合同工期完成所采取的赶工措施费，由承包人自行承担；④由于承包人的原因，冬季发生的施工费用由承包人自行承担；⑤设备、材料等的保管费及场内外运输费，由承包人自行承担；⑥合同范围内开槽、开洞及修复封堵等费用，由承包人自行承担；⑦按照新疆自治区建设主管部门或其授权的工程造价管理机构发布的材料信息价中钢材、水泥、商品混凝土、砌块价格变化幅度超出 6%或减少 3%以内不予调整，施工机械变化幅度超出 6%或减少3%以内不予调整。除合同约定的可调整的风险费除外，本承包工程内容范围内的约定的风险，已包含在投标报价的综合单价中，无需再计算  </w:t>
      </w:r>
      <w:r>
        <w:rPr>
          <w:rFonts w:hint="eastAsia" w:ascii="仿宋" w:hAnsi="仿宋" w:eastAsia="仿宋" w:cs="仿宋"/>
          <w:color w:val="auto"/>
          <w:sz w:val="24"/>
          <w:szCs w:val="24"/>
          <w:highlight w:val="none"/>
        </w:rPr>
        <w:t>。</w:t>
      </w:r>
    </w:p>
    <w:p w14:paraId="41CE9AA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1、对于主要由市场价格波动导致的价格风险及人工、材料费用上涨风险，人工单价按照施工同期省级或行业建设主管部门发布的调整文件进行调整。如工程造价中的建筑材料价格风险，承包人承担超出6%或减少3%以内（信息价变化）的主要材料（仅指钢材、水泥、商品混凝土、砌块）价格风险，其它材料不调整；2、对于承包人根据自身技术水平、管理、经营状况能够自主控制的风险，如承包人的管理费、利润的风险，承包人应结合市场情况，根据企业自身实际合理确定、自主报价，该部分风险由承包人全部承担  </w:t>
      </w:r>
      <w:r>
        <w:rPr>
          <w:rFonts w:hint="eastAsia" w:ascii="仿宋" w:hAnsi="仿宋" w:eastAsia="仿宋" w:cs="仿宋"/>
          <w:color w:val="auto"/>
          <w:sz w:val="24"/>
          <w:szCs w:val="24"/>
          <w:highlight w:val="none"/>
        </w:rPr>
        <w:t>。</w:t>
      </w:r>
    </w:p>
    <w:p w14:paraId="436F120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（1）重大设计变更（变更标准、改变使用功能及结构类型）或设计变更主要材料钢材、水泥、商品混凝土、砌块超出6%或减少 3%时调整，除主要材料（钢材、水泥、商品混凝土、砌块）以外的其它材料不作调整。（2）材料暂估价以发包人提供工程量清单单价为准，结算时，若发生变动按发包人签字确认的单价给予找差，差价部分只计取税金。（3）承包人提供的暂估材料（包括单价、规格型号、 品牌、材料质量）必须经发包人确认后方可进入结算。（4）如施工期间政府部门新出台的需发包人代为承包人交纳的税、费，此类税、费由承包人自行承担，发包人将不再另行支付。（5）暂列金额结算时按实际发生的计取，发生多少计取多少，不发生不计取，结算时扣回。（6）清单中列示的清单项，在实际施工过程中没有发生该项目清单，结算时将其清单项扣除。（7）实际发生清单没有的项目，按实计量  </w:t>
      </w:r>
      <w:r>
        <w:rPr>
          <w:rFonts w:hint="eastAsia" w:ascii="仿宋" w:hAnsi="仿宋" w:eastAsia="仿宋" w:cs="仿宋"/>
          <w:color w:val="auto"/>
          <w:sz w:val="24"/>
          <w:szCs w:val="24"/>
          <w:highlight w:val="none"/>
        </w:rPr>
        <w:t>。</w:t>
      </w:r>
    </w:p>
    <w:p w14:paraId="0DEE006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12A2460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82EA39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66FCC9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960D8D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2026E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08" w:name="_Toc12264"/>
      <w:bookmarkStart w:id="509" w:name="_Toc297216213"/>
      <w:bookmarkStart w:id="510" w:name="_Toc300935004"/>
      <w:bookmarkStart w:id="511" w:name="_Toc312678042"/>
      <w:bookmarkStart w:id="512" w:name="_Toc304295581"/>
      <w:bookmarkStart w:id="513" w:name="_Toc303539161"/>
      <w:bookmarkStart w:id="514" w:name="_Toc297123554"/>
      <w:bookmarkStart w:id="515" w:name="_Toc297048393"/>
      <w:bookmarkStart w:id="516" w:name="_Toc296346708"/>
      <w:bookmarkStart w:id="517" w:name="_Toc296347206"/>
      <w:bookmarkStart w:id="518" w:name="_Toc296503207"/>
      <w:bookmarkStart w:id="519" w:name="_Toc292559412"/>
      <w:bookmarkStart w:id="520" w:name="_Toc296891247"/>
      <w:bookmarkStart w:id="521" w:name="_Toc296891035"/>
      <w:bookmarkStart w:id="522" w:name="_Toc296944546"/>
      <w:bookmarkStart w:id="523" w:name="_Toc297120507"/>
      <w:bookmarkStart w:id="524" w:name="_Toc292559917"/>
      <w:r>
        <w:rPr>
          <w:rFonts w:hint="eastAsia" w:ascii="仿宋" w:hAnsi="仿宋" w:eastAsia="仿宋" w:cs="仿宋"/>
          <w:color w:val="auto"/>
          <w:sz w:val="24"/>
          <w:szCs w:val="24"/>
          <w:highlight w:val="none"/>
        </w:rPr>
        <w:t>12.2 预付款</w:t>
      </w:r>
      <w:bookmarkEnd w:id="508"/>
    </w:p>
    <w:bookmarkEnd w:id="509"/>
    <w:bookmarkEnd w:id="510"/>
    <w:bookmarkEnd w:id="511"/>
    <w:bookmarkEnd w:id="512"/>
    <w:bookmarkEnd w:id="513"/>
    <w:bookmarkEnd w:id="514"/>
    <w:p w14:paraId="1A674DF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6FC947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预付款的额度为合同价扣除暂列金的 30%（预付款中已包含安全文明施工费及扬尘污染防治费用）</w:t>
      </w:r>
      <w:r>
        <w:rPr>
          <w:rFonts w:hint="eastAsia" w:ascii="仿宋" w:hAnsi="仿宋" w:eastAsia="仿宋" w:cs="仿宋"/>
          <w:color w:val="auto"/>
          <w:sz w:val="24"/>
          <w:szCs w:val="24"/>
          <w:highlight w:val="none"/>
        </w:rPr>
        <w:t>。</w:t>
      </w:r>
    </w:p>
    <w:p w14:paraId="77C1C48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95F734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E04E8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7758B54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C72FF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15"/>
    <w:bookmarkEnd w:id="516"/>
    <w:bookmarkEnd w:id="517"/>
    <w:bookmarkEnd w:id="518"/>
    <w:bookmarkEnd w:id="519"/>
    <w:bookmarkEnd w:id="520"/>
    <w:bookmarkEnd w:id="521"/>
    <w:bookmarkEnd w:id="522"/>
    <w:bookmarkEnd w:id="523"/>
    <w:bookmarkEnd w:id="524"/>
    <w:p w14:paraId="7F54DA1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25" w:name="_Toc18225"/>
      <w:r>
        <w:rPr>
          <w:rFonts w:hint="eastAsia" w:ascii="仿宋" w:hAnsi="仿宋" w:eastAsia="仿宋" w:cs="仿宋"/>
          <w:color w:val="auto"/>
          <w:sz w:val="24"/>
          <w:szCs w:val="24"/>
          <w:highlight w:val="none"/>
        </w:rPr>
        <w:t>12.3 计量</w:t>
      </w:r>
      <w:bookmarkEnd w:id="525"/>
    </w:p>
    <w:p w14:paraId="489BDA9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07876E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 xml:space="preserve"> 工程量按《工程量清单计算规范》及自治区有关规定，依据施工图纸、设计变更、现行技术规范及图集、经审核批准的施工组织设计、施工方案、图纸会审、技术核定单、经济签证、洽商记录，实际验收合格的工程量为准（工程量最终确认由发包方、承包方、现场监理等相关单位进行现场测量并共同认可的实际完成工程量为准）   </w:t>
      </w:r>
      <w:r>
        <w:rPr>
          <w:rFonts w:hint="eastAsia" w:ascii="仿宋" w:hAnsi="仿宋" w:eastAsia="仿宋" w:cs="仿宋"/>
          <w:color w:val="auto"/>
          <w:sz w:val="24"/>
          <w:szCs w:val="24"/>
          <w:highlight w:val="none"/>
        </w:rPr>
        <w:t>。</w:t>
      </w:r>
    </w:p>
    <w:p w14:paraId="5E53D13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77CE8DF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按月计量            </w:t>
      </w:r>
      <w:r>
        <w:rPr>
          <w:rFonts w:hint="eastAsia" w:ascii="仿宋" w:hAnsi="仿宋" w:eastAsia="仿宋" w:cs="仿宋"/>
          <w:color w:val="auto"/>
          <w:sz w:val="24"/>
          <w:szCs w:val="24"/>
          <w:highlight w:val="none"/>
        </w:rPr>
        <w:t>。</w:t>
      </w:r>
    </w:p>
    <w:p w14:paraId="5118E1C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66DDD40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由承包人、监理人、发包人认可的为准 </w:t>
      </w:r>
      <w:r>
        <w:rPr>
          <w:rFonts w:hint="eastAsia" w:ascii="仿宋" w:hAnsi="仿宋" w:eastAsia="仿宋" w:cs="仿宋"/>
          <w:color w:val="auto"/>
          <w:sz w:val="24"/>
          <w:szCs w:val="24"/>
          <w:highlight w:val="none"/>
        </w:rPr>
        <w:t>。</w:t>
      </w:r>
    </w:p>
    <w:p w14:paraId="257C8CA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822BC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F02445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844BC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3AF57B8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228B69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26" w:name="_Toc25063"/>
      <w:r>
        <w:rPr>
          <w:rFonts w:hint="eastAsia" w:ascii="仿宋" w:hAnsi="仿宋" w:eastAsia="仿宋" w:cs="仿宋"/>
          <w:color w:val="auto"/>
          <w:sz w:val="24"/>
          <w:szCs w:val="24"/>
          <w:highlight w:val="none"/>
        </w:rPr>
        <w:t>12.4 工程进度款支付</w:t>
      </w:r>
      <w:bookmarkEnd w:id="526"/>
    </w:p>
    <w:p w14:paraId="63C50DE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527" w:name="_Toc296346712"/>
      <w:bookmarkStart w:id="528" w:name="_Toc296944550"/>
      <w:bookmarkStart w:id="529" w:name="_Toc292559921"/>
      <w:bookmarkStart w:id="530" w:name="_Toc303539163"/>
      <w:bookmarkStart w:id="531" w:name="_Toc296891251"/>
      <w:bookmarkStart w:id="532" w:name="_Toc297216215"/>
      <w:bookmarkStart w:id="533" w:name="_Toc292559416"/>
      <w:bookmarkStart w:id="534" w:name="_Toc296503211"/>
      <w:bookmarkStart w:id="535" w:name="_Toc297120511"/>
      <w:bookmarkStart w:id="536" w:name="_Toc297048397"/>
      <w:bookmarkStart w:id="537" w:name="_Toc296347210"/>
      <w:bookmarkStart w:id="538" w:name="_Toc296891039"/>
      <w:bookmarkStart w:id="539" w:name="_Toc300935006"/>
      <w:bookmarkStart w:id="540" w:name="_Toc297123556"/>
      <w:r>
        <w:rPr>
          <w:rFonts w:hint="eastAsia" w:ascii="仿宋" w:hAnsi="仿宋" w:eastAsia="仿宋" w:cs="仿宋"/>
          <w:color w:val="auto"/>
          <w:sz w:val="24"/>
          <w:szCs w:val="24"/>
          <w:highlight w:val="none"/>
        </w:rPr>
        <w:t>12.4.1 付款周期</w:t>
      </w:r>
    </w:p>
    <w:p w14:paraId="655684F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Fonts w:hint="eastAsia" w:ascii="仿宋" w:hAnsi="仿宋" w:eastAsia="仿宋" w:cs="仿宋"/>
          <w:color w:val="auto"/>
          <w:sz w:val="24"/>
          <w:szCs w:val="24"/>
          <w:highlight w:val="none"/>
          <w:u w:val="single"/>
        </w:rPr>
        <w:t xml:space="preserve">  按工程形象进度支付工程款   </w:t>
      </w:r>
      <w:r>
        <w:rPr>
          <w:rFonts w:hint="eastAsia" w:ascii="仿宋" w:hAnsi="仿宋" w:eastAsia="仿宋" w:cs="仿宋"/>
          <w:color w:val="auto"/>
          <w:sz w:val="24"/>
          <w:szCs w:val="24"/>
          <w:highlight w:val="none"/>
        </w:rPr>
        <w:t>。</w:t>
      </w:r>
    </w:p>
    <w:p w14:paraId="20BD8360">
      <w:pPr>
        <w:pageBreakBefore w:val="0"/>
        <w:kinsoku/>
        <w:wordWrap/>
        <w:overflowPunct/>
        <w:topLinePunct w:val="0"/>
        <w:bidi w:val="0"/>
        <w:spacing w:line="360" w:lineRule="auto"/>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开工支付预付款30%（不含暂列金），进度款根据工程进度支付至合同价的70%（不含暂列金），工程竣工验收合格后甲方支付至合同价的80%（不含暂列金），工程结算审核后支付到审核价的97%，留结算价的3%，在工程完工，经甲方竣工验收合格质保期满后无质量问题一次性无息付清</w:t>
      </w:r>
      <w:r>
        <w:rPr>
          <w:rFonts w:hint="eastAsia" w:ascii="仿宋" w:hAnsi="仿宋" w:eastAsia="仿宋" w:cs="仿宋"/>
          <w:color w:val="auto"/>
          <w:sz w:val="24"/>
          <w:szCs w:val="24"/>
          <w:highlight w:val="none"/>
        </w:rPr>
        <w:t>。</w:t>
      </w:r>
    </w:p>
    <w:p w14:paraId="54069834">
      <w:pPr>
        <w:pageBreakBefore w:val="0"/>
        <w:kinsoku/>
        <w:wordWrap/>
        <w:overflowPunct/>
        <w:topLinePunct w:val="0"/>
        <w:bidi w:val="0"/>
        <w:spacing w:line="440" w:lineRule="exact"/>
        <w:ind w:firstLine="482"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工程款支付监督特别约定：</w:t>
      </w:r>
    </w:p>
    <w:p w14:paraId="7C9948A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鉴于本工程系国家投资项目，承包人承诺接受发包人对支付工程款进行监督。故承包人应当在本合同签订后设立工程款支付专用账户（非农民工工资专用账户）并向发包人提交《专户承诺书》及开户信息。申请进度款时，需提供监理人对支付计划审核意见及上一批次进度款的实际支付凭证（含发票）。每发生一次承包人挪用工程款情形，承包人应当立即向发包人提供资金使用的书面说明，立即返还挪用工程款， 承包人应向发包人支付10万元/次的违约金。否则发包人有权拒绝支付当期进度款，并</w:t>
      </w:r>
      <w:r>
        <w:rPr>
          <w:rFonts w:hint="eastAsia" w:ascii="仿宋" w:hAnsi="仿宋" w:eastAsia="仿宋" w:cs="仿宋"/>
          <w:b/>
          <w:bCs/>
          <w:color w:val="auto"/>
          <w:sz w:val="24"/>
          <w:szCs w:val="24"/>
          <w:highlight w:val="none"/>
          <w:u w:val="single"/>
        </w:rPr>
        <w:t>有权解除合同</w:t>
      </w:r>
      <w:r>
        <w:rPr>
          <w:rFonts w:hint="eastAsia" w:ascii="仿宋" w:hAnsi="仿宋" w:eastAsia="仿宋" w:cs="仿宋"/>
          <w:color w:val="auto"/>
          <w:sz w:val="24"/>
          <w:szCs w:val="24"/>
          <w:highlight w:val="none"/>
          <w:u w:val="single"/>
        </w:rPr>
        <w:t>。同时不免除承包人按期履行合同义务并承担对应的违约责任</w:t>
      </w:r>
      <w:r>
        <w:rPr>
          <w:rFonts w:hint="eastAsia" w:ascii="仿宋" w:hAnsi="仿宋" w:eastAsia="仿宋" w:cs="仿宋"/>
          <w:color w:val="auto"/>
          <w:sz w:val="24"/>
          <w:szCs w:val="24"/>
          <w:highlight w:val="none"/>
        </w:rPr>
        <w:t>。</w:t>
      </w:r>
    </w:p>
    <w:p w14:paraId="1856837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每一次发包人付款前，承包人应当向发包人提交付款申请和足额工程款增值税发票，否则甲方有权拒绝支付</w:t>
      </w:r>
      <w:r>
        <w:rPr>
          <w:rFonts w:hint="eastAsia" w:ascii="仿宋" w:hAnsi="仿宋" w:eastAsia="仿宋" w:cs="仿宋"/>
          <w:color w:val="auto"/>
          <w:sz w:val="24"/>
          <w:szCs w:val="24"/>
          <w:highlight w:val="none"/>
        </w:rPr>
        <w:t>。</w:t>
      </w:r>
    </w:p>
    <w:p w14:paraId="46FE62F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工程施工过程中按施工进度支付工程款，在工程款暂不到位的情况下，承包人也应按计划组织施工，不得因此停工并延误竣工日期。发包人不承担逾期支利息及其他衍生费用</w:t>
      </w:r>
      <w:r>
        <w:rPr>
          <w:rFonts w:hint="eastAsia" w:ascii="仿宋" w:hAnsi="仿宋" w:eastAsia="仿宋" w:cs="仿宋"/>
          <w:color w:val="auto"/>
          <w:sz w:val="24"/>
          <w:szCs w:val="24"/>
          <w:highlight w:val="none"/>
        </w:rPr>
        <w:t>。</w:t>
      </w:r>
    </w:p>
    <w:p w14:paraId="6F4469B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留结算价的 3%作为质保金，在质保期满后无质量问题一次性无息付清</w:t>
      </w:r>
      <w:r>
        <w:rPr>
          <w:rFonts w:hint="eastAsia" w:ascii="仿宋" w:hAnsi="仿宋" w:eastAsia="仿宋" w:cs="仿宋"/>
          <w:color w:val="auto"/>
          <w:sz w:val="24"/>
          <w:szCs w:val="24"/>
          <w:highlight w:val="none"/>
        </w:rPr>
        <w:t>。</w:t>
      </w:r>
    </w:p>
    <w:p w14:paraId="00D1328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承包人承诺严格依法承包本项目。如发包人发现承包人存在出借资质、违法分包、转包等违法行为时，发包人有权停止一切付款，在承包人纠正其违法行为前，均不视为发包人欠付承包人工程款</w:t>
      </w:r>
      <w:r>
        <w:rPr>
          <w:rFonts w:hint="eastAsia" w:ascii="仿宋" w:hAnsi="仿宋" w:eastAsia="仿宋" w:cs="仿宋"/>
          <w:color w:val="auto"/>
          <w:sz w:val="24"/>
          <w:szCs w:val="24"/>
          <w:highlight w:val="none"/>
        </w:rPr>
        <w:t>。</w:t>
      </w:r>
    </w:p>
    <w:p w14:paraId="37B8CE0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648D210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进度付款申请单一式 3份  </w:t>
      </w:r>
      <w:r>
        <w:rPr>
          <w:rFonts w:hint="eastAsia" w:ascii="仿宋" w:hAnsi="仿宋" w:eastAsia="仿宋" w:cs="仿宋"/>
          <w:color w:val="auto"/>
          <w:sz w:val="24"/>
          <w:szCs w:val="24"/>
          <w:highlight w:val="none"/>
        </w:rPr>
        <w:t>。</w:t>
      </w:r>
    </w:p>
    <w:p w14:paraId="53E2FE9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Fonts w:hint="eastAsia" w:ascii="仿宋" w:hAnsi="仿宋" w:eastAsia="仿宋" w:cs="仿宋"/>
          <w:color w:val="auto"/>
          <w:sz w:val="24"/>
          <w:szCs w:val="24"/>
          <w:highlight w:val="none"/>
        </w:rPr>
        <w:t>2.4.3 进度付款申请单的提交</w:t>
      </w:r>
    </w:p>
    <w:p w14:paraId="1EE1934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26FACF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75BC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C0E1D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4B7A22F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46BDB3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3241B4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DCA818">
      <w:pPr>
        <w:pageBreakBefore w:val="0"/>
        <w:kinsoku/>
        <w:wordWrap/>
        <w:overflowPunct/>
        <w:topLinePunct w:val="0"/>
        <w:bidi w:val="0"/>
        <w:spacing w:line="440" w:lineRule="exact"/>
        <w:ind w:firstLine="600" w:firstLineChars="2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6B28F">
      <w:pPr>
        <w:pageBreakBefore w:val="0"/>
        <w:kinsoku/>
        <w:wordWrap/>
        <w:overflowPunct/>
        <w:topLinePunct w:val="0"/>
        <w:bidi w:val="0"/>
        <w:spacing w:line="440" w:lineRule="exact"/>
        <w:ind w:firstLine="600" w:firstLineChars="2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00AA813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E95C96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60"/>
    <w:p w14:paraId="69620A76">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41" w:name="_Toc9609"/>
      <w:bookmarkStart w:id="542" w:name="_Toc297123564"/>
      <w:bookmarkStart w:id="543" w:name="_Toc296891047"/>
      <w:bookmarkStart w:id="544" w:name="_Toc296944558"/>
      <w:bookmarkStart w:id="545" w:name="_Toc296347218"/>
      <w:bookmarkStart w:id="546" w:name="_Toc297216223"/>
      <w:bookmarkStart w:id="547" w:name="_Toc296891259"/>
      <w:bookmarkStart w:id="548" w:name="_Toc312678053"/>
      <w:bookmarkStart w:id="549" w:name="_Toc296346720"/>
      <w:bookmarkStart w:id="550" w:name="_Toc304295593"/>
      <w:bookmarkStart w:id="551" w:name="_Toc292559929"/>
      <w:bookmarkStart w:id="552" w:name="_Toc300935015"/>
      <w:bookmarkStart w:id="553" w:name="_Toc297048405"/>
      <w:bookmarkStart w:id="554" w:name="_Toc296503219"/>
      <w:bookmarkStart w:id="555" w:name="_Toc297120519"/>
      <w:bookmarkStart w:id="556" w:name="_Toc303539172"/>
      <w:bookmarkStart w:id="557" w:name="_Toc292559424"/>
      <w:r>
        <w:rPr>
          <w:rFonts w:hint="eastAsia" w:ascii="仿宋" w:hAnsi="仿宋" w:eastAsia="仿宋" w:cs="仿宋"/>
          <w:b w:val="0"/>
          <w:color w:val="auto"/>
          <w:sz w:val="24"/>
          <w:szCs w:val="24"/>
          <w:highlight w:val="none"/>
        </w:rPr>
        <w:t>13. 验收和工程试车</w:t>
      </w:r>
      <w:bookmarkEnd w:id="541"/>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650AB9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58" w:name="_Toc16133"/>
      <w:r>
        <w:rPr>
          <w:rFonts w:hint="eastAsia" w:ascii="仿宋" w:hAnsi="仿宋" w:eastAsia="仿宋" w:cs="仿宋"/>
          <w:color w:val="auto"/>
          <w:sz w:val="24"/>
          <w:szCs w:val="24"/>
          <w:highlight w:val="none"/>
        </w:rPr>
        <w:t>13.1 分部分项工程验收</w:t>
      </w:r>
      <w:bookmarkEnd w:id="558"/>
    </w:p>
    <w:p w14:paraId="7879708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06A839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777D3B8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59" w:name="_Toc9814"/>
      <w:bookmarkStart w:id="560" w:name="_Toc292559933"/>
      <w:bookmarkStart w:id="561" w:name="_Toc296891263"/>
      <w:bookmarkStart w:id="562" w:name="_Toc297120523"/>
      <w:bookmarkStart w:id="563" w:name="_Toc300935016"/>
      <w:bookmarkStart w:id="564" w:name="_Toc297048409"/>
      <w:bookmarkStart w:id="565" w:name="_Toc297216224"/>
      <w:bookmarkStart w:id="566" w:name="_Toc296891051"/>
      <w:bookmarkStart w:id="567" w:name="_Toc292559428"/>
      <w:bookmarkStart w:id="568" w:name="_Toc296346724"/>
      <w:bookmarkStart w:id="569" w:name="_Toc312678056"/>
      <w:bookmarkStart w:id="570" w:name="_Toc296503223"/>
      <w:bookmarkStart w:id="571" w:name="_Toc304295596"/>
      <w:bookmarkStart w:id="572" w:name="_Toc296944562"/>
      <w:bookmarkStart w:id="573" w:name="_Toc303539173"/>
      <w:bookmarkStart w:id="574" w:name="_Toc297123565"/>
      <w:bookmarkStart w:id="575" w:name="_Toc296347222"/>
      <w:bookmarkStart w:id="576" w:name="_Toc267251474"/>
      <w:bookmarkStart w:id="577" w:name="_Toc267251471"/>
      <w:bookmarkStart w:id="578" w:name="_Toc267251475"/>
      <w:bookmarkStart w:id="579" w:name="_Toc267251470"/>
      <w:bookmarkStart w:id="580" w:name="_Toc267251476"/>
      <w:bookmarkStart w:id="581" w:name="_Toc267251473"/>
      <w:bookmarkStart w:id="582" w:name="_Toc267251472"/>
      <w:r>
        <w:rPr>
          <w:rFonts w:hint="eastAsia" w:ascii="仿宋" w:hAnsi="仿宋" w:eastAsia="仿宋" w:cs="仿宋"/>
          <w:color w:val="auto"/>
          <w:sz w:val="24"/>
          <w:szCs w:val="24"/>
          <w:highlight w:val="none"/>
        </w:rPr>
        <w:t>13.2 竣工验收</w:t>
      </w:r>
      <w:bookmarkEnd w:id="559"/>
    </w:p>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7F3EA02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583" w:name="_Toc280868704"/>
      <w:bookmarkStart w:id="584" w:name="_Toc280868705"/>
      <w:bookmarkStart w:id="585" w:name="_Toc280868706"/>
      <w:bookmarkStart w:id="586" w:name="_Toc280868707"/>
      <w:bookmarkStart w:id="587" w:name="_Toc280868708"/>
      <w:bookmarkStart w:id="588" w:name="_Toc280868709"/>
      <w:r>
        <w:rPr>
          <w:rFonts w:hint="eastAsia" w:ascii="仿宋" w:hAnsi="仿宋" w:eastAsia="仿宋" w:cs="仿宋"/>
          <w:color w:val="auto"/>
          <w:sz w:val="24"/>
          <w:szCs w:val="24"/>
          <w:highlight w:val="none"/>
        </w:rPr>
        <w:t>13.2.2竣工验收程序</w:t>
      </w:r>
    </w:p>
    <w:bookmarkEnd w:id="583"/>
    <w:p w14:paraId="1DC5141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9EEEFC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w:t>
      </w:r>
    </w:p>
    <w:p w14:paraId="054C35D2">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584"/>
    <w:p w14:paraId="51E722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bookmarkEnd w:id="585"/>
    <w:p w14:paraId="47212ED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 xml:space="preserve"> 工程竣工验收完成7天内 </w:t>
      </w:r>
      <w:r>
        <w:rPr>
          <w:rFonts w:hint="eastAsia" w:ascii="仿宋" w:hAnsi="仿宋" w:eastAsia="仿宋" w:cs="仿宋"/>
          <w:color w:val="auto"/>
          <w:sz w:val="24"/>
          <w:szCs w:val="24"/>
          <w:highlight w:val="none"/>
        </w:rPr>
        <w:t>。</w:t>
      </w:r>
    </w:p>
    <w:p w14:paraId="0C8CF53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sz w:val="24"/>
          <w:szCs w:val="24"/>
          <w:highlight w:val="none"/>
        </w:rPr>
        <w:t>。</w:t>
      </w:r>
    </w:p>
    <w:bookmarkEnd w:id="586"/>
    <w:p w14:paraId="3EBFF5E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89" w:name="_Toc29251"/>
      <w:r>
        <w:rPr>
          <w:rFonts w:hint="eastAsia" w:ascii="仿宋" w:hAnsi="仿宋" w:eastAsia="仿宋" w:cs="仿宋"/>
          <w:color w:val="auto"/>
          <w:sz w:val="24"/>
          <w:szCs w:val="24"/>
          <w:highlight w:val="none"/>
        </w:rPr>
        <w:t>13.3 工程试车</w:t>
      </w:r>
      <w:bookmarkEnd w:id="589"/>
    </w:p>
    <w:bookmarkEnd w:id="587"/>
    <w:p w14:paraId="61B24FE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079CA29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B23D77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2EB86F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172D9C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B0CBD2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68555D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0" w:name="_Toc29006"/>
      <w:r>
        <w:rPr>
          <w:rFonts w:hint="eastAsia" w:ascii="仿宋" w:hAnsi="仿宋" w:eastAsia="仿宋" w:cs="仿宋"/>
          <w:color w:val="auto"/>
          <w:sz w:val="24"/>
          <w:szCs w:val="24"/>
          <w:highlight w:val="none"/>
        </w:rPr>
        <w:t>13.6 竣工退场</w:t>
      </w:r>
      <w:bookmarkEnd w:id="590"/>
    </w:p>
    <w:p w14:paraId="34A43B6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0961909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工程竣工验收完成7天内或发包人解除合同之日起三日内  。</w:t>
      </w:r>
    </w:p>
    <w:p w14:paraId="374BBB3A">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91" w:name="_Toc21094"/>
      <w:r>
        <w:rPr>
          <w:rFonts w:hint="eastAsia" w:ascii="仿宋" w:hAnsi="仿宋" w:eastAsia="仿宋" w:cs="仿宋"/>
          <w:b w:val="0"/>
          <w:color w:val="auto"/>
          <w:sz w:val="24"/>
          <w:szCs w:val="24"/>
          <w:highlight w:val="none"/>
        </w:rPr>
        <w:t>14. 竣工结算</w:t>
      </w:r>
      <w:bookmarkEnd w:id="591"/>
    </w:p>
    <w:p w14:paraId="3184A05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2" w:name="_Toc16480"/>
      <w:r>
        <w:rPr>
          <w:rFonts w:hint="eastAsia" w:ascii="仿宋" w:hAnsi="仿宋" w:eastAsia="仿宋" w:cs="仿宋"/>
          <w:color w:val="auto"/>
          <w:sz w:val="24"/>
          <w:szCs w:val="24"/>
          <w:highlight w:val="none"/>
        </w:rPr>
        <w:t>14.1 竣工结算申请</w:t>
      </w:r>
      <w:bookmarkEnd w:id="592"/>
    </w:p>
    <w:p w14:paraId="3866AB6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工程竣工验收合格后三个月内 </w:t>
      </w:r>
      <w:r>
        <w:rPr>
          <w:rFonts w:hint="eastAsia" w:ascii="仿宋" w:hAnsi="仿宋" w:eastAsia="仿宋" w:cs="仿宋"/>
          <w:color w:val="auto"/>
          <w:sz w:val="24"/>
          <w:szCs w:val="24"/>
          <w:highlight w:val="none"/>
        </w:rPr>
        <w:t>。</w:t>
      </w:r>
    </w:p>
    <w:p w14:paraId="63215CBD">
      <w:pPr>
        <w:pageBreakBefore w:val="0"/>
        <w:kinsoku/>
        <w:wordWrap/>
        <w:overflowPunct/>
        <w:topLinePunct w:val="0"/>
        <w:bidi w:val="0"/>
        <w:spacing w:line="440" w:lineRule="exact"/>
        <w:ind w:firstLine="42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u w:val="single"/>
        </w:rPr>
        <w:t>除执行通用合同条款外，还应执行：①承包人应当保留为完成甩尾工作和保修工作的必要人员、工程设备和设施，发包人应为承包人履行上述义务、进出和占用现场提供方便和协助。②承包人逾期退场，承包人遗留在现场的物品，发包人应事先通知承包人自行处理，承包人在发包人规定的合理期限内仍不处理的，发包人有权出售或另行处理，包括进行拍卖等；③若质保期内承包人不能按发包人要求及时进行维修，发包人有权自行处理，所产生的一切费用从承包人的质保金中扣除，处理费用大于质保金的部分，由承包人另行承担</w:t>
      </w:r>
      <w:r>
        <w:rPr>
          <w:rFonts w:hint="eastAsia" w:ascii="仿宋" w:hAnsi="仿宋" w:eastAsia="仿宋" w:cs="仿宋"/>
          <w:color w:val="auto"/>
          <w:sz w:val="24"/>
          <w:szCs w:val="24"/>
          <w:highlight w:val="none"/>
        </w:rPr>
        <w:t>。超出合同维修范围的，承包人有权申请结算。</w:t>
      </w:r>
    </w:p>
    <w:p w14:paraId="5694AA9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施工对报送的工程结算资料作以下承诺：</w:t>
      </w:r>
    </w:p>
    <w:p w14:paraId="37B7DCB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报送资料真实、完整、准确，审计过程中不再补充资料，因漏报、少报及不规范编制结算资料所造成的经济损失，由我单位自行承担。如发现虚假、伪造的送审资料，愿按照相关法律法规的规定，承担所引起的全部法律责任及学校的全部直接、间接经济损失。</w:t>
      </w:r>
    </w:p>
    <w:p w14:paraId="1E429F2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2.同意按学校规定的委托社会中介机构进行审计。审计过程中积极配合审计工作，收到审计结果后，十五日内以书面形式反馈意见，逾期不反馈意见视为同意审计结果；</w:t>
      </w:r>
    </w:p>
    <w:p w14:paraId="04D4658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3.若所报工程结算审减率超过10%（含10%），则由承包人承担全部审计费用；审减率在5%（含5%）～10%之间，则由承包人承担全部审计费用的50%；审计核减率在5%以下，则审计费用不再由承包人承担。</w:t>
      </w:r>
    </w:p>
    <w:p w14:paraId="41AC8AB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4.承包人承诺：根据审减率情况如需我单位支付审计费用，则在社会中介机构出具工程结算审核报告前，及时支付相应审计费。</w:t>
      </w:r>
    </w:p>
    <w:p w14:paraId="44E022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5.若违反以上承诺，学校有权在应付款中直接予以扣减相关损失及审计费用。</w:t>
      </w:r>
    </w:p>
    <w:p w14:paraId="3480E05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本合同约定价款为含税价，承包人应在发包人付款前提供符合发包人财务做账需求的等额发票，否则发包人有权拒付款项且不承担违约责任</w:t>
      </w:r>
      <w:r>
        <w:rPr>
          <w:rFonts w:hint="eastAsia" w:ascii="仿宋" w:hAnsi="仿宋" w:eastAsia="仿宋" w:cs="仿宋"/>
          <w:color w:val="auto"/>
          <w:sz w:val="24"/>
          <w:szCs w:val="24"/>
          <w:highlight w:val="none"/>
        </w:rPr>
        <w:t>。</w:t>
      </w:r>
    </w:p>
    <w:p w14:paraId="4015C7A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w:t>
      </w:r>
    </w:p>
    <w:p w14:paraId="0E440D6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3" w:name="_Toc32479"/>
      <w:r>
        <w:rPr>
          <w:rFonts w:hint="eastAsia" w:ascii="仿宋" w:hAnsi="仿宋" w:eastAsia="仿宋" w:cs="仿宋"/>
          <w:color w:val="auto"/>
          <w:sz w:val="24"/>
          <w:szCs w:val="24"/>
          <w:highlight w:val="none"/>
        </w:rPr>
        <w:t>14.2 竣工结算审核</w:t>
      </w:r>
      <w:bookmarkEnd w:id="593"/>
    </w:p>
    <w:p w14:paraId="3904E60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01586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B47DC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r>
        <w:rPr>
          <w:rFonts w:hint="eastAsia" w:ascii="仿宋" w:hAnsi="仿宋" w:eastAsia="仿宋" w:cs="仿宋"/>
          <w:color w:val="auto"/>
          <w:sz w:val="24"/>
          <w:szCs w:val="24"/>
          <w:highlight w:val="none"/>
          <w:u w:val="single"/>
        </w:rPr>
        <w:t xml:space="preserve"> 执行通用合同条款  </w:t>
      </w:r>
      <w:r>
        <w:rPr>
          <w:rFonts w:hint="eastAsia" w:ascii="仿宋" w:hAnsi="仿宋" w:eastAsia="仿宋" w:cs="仿宋"/>
          <w:color w:val="auto"/>
          <w:sz w:val="24"/>
          <w:szCs w:val="24"/>
          <w:highlight w:val="none"/>
        </w:rPr>
        <w:t>。</w:t>
      </w:r>
    </w:p>
    <w:p w14:paraId="2EB5A9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4" w:name="_Toc13709"/>
      <w:r>
        <w:rPr>
          <w:rFonts w:hint="eastAsia" w:ascii="仿宋" w:hAnsi="仿宋" w:eastAsia="仿宋" w:cs="仿宋"/>
          <w:color w:val="auto"/>
          <w:sz w:val="24"/>
          <w:szCs w:val="24"/>
          <w:highlight w:val="none"/>
        </w:rPr>
        <w:t>14.4 最终结清</w:t>
      </w:r>
      <w:bookmarkEnd w:id="594"/>
    </w:p>
    <w:p w14:paraId="3447CF6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37D2844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3份     </w:t>
      </w:r>
      <w:r>
        <w:rPr>
          <w:rFonts w:hint="eastAsia" w:ascii="仿宋" w:hAnsi="仿宋" w:eastAsia="仿宋" w:cs="仿宋"/>
          <w:color w:val="auto"/>
          <w:sz w:val="24"/>
          <w:szCs w:val="24"/>
          <w:highlight w:val="none"/>
        </w:rPr>
        <w:t>。</w:t>
      </w:r>
    </w:p>
    <w:p w14:paraId="674B41F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p>
    <w:p w14:paraId="5F72786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2B9810A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0370BA9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76"/>
    <w:bookmarkEnd w:id="577"/>
    <w:bookmarkEnd w:id="578"/>
    <w:bookmarkEnd w:id="579"/>
    <w:bookmarkEnd w:id="580"/>
    <w:bookmarkEnd w:id="581"/>
    <w:bookmarkEnd w:id="582"/>
    <w:bookmarkEnd w:id="588"/>
    <w:p w14:paraId="09EA4659">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95" w:name="_Toc22705"/>
      <w:bookmarkStart w:id="596" w:name="_Toc267251483"/>
      <w:bookmarkStart w:id="597" w:name="_Toc267251484"/>
      <w:bookmarkStart w:id="598" w:name="_Toc267251482"/>
      <w:bookmarkStart w:id="599" w:name="_Toc267251485"/>
      <w:bookmarkStart w:id="600" w:name="_Toc267251486"/>
      <w:bookmarkStart w:id="601" w:name="_Toc267251489"/>
      <w:bookmarkStart w:id="602" w:name="_Toc267251490"/>
      <w:bookmarkStart w:id="603" w:name="_Toc267251488"/>
      <w:bookmarkStart w:id="604" w:name="_Toc267251494"/>
      <w:bookmarkStart w:id="605" w:name="_Toc267251491"/>
      <w:bookmarkStart w:id="606" w:name="_Toc267251495"/>
      <w:bookmarkStart w:id="607" w:name="_Toc267251492"/>
      <w:bookmarkStart w:id="608" w:name="_Toc267251499"/>
      <w:bookmarkStart w:id="609" w:name="_Toc267251501"/>
      <w:bookmarkStart w:id="610" w:name="_Toc267251498"/>
      <w:bookmarkStart w:id="611" w:name="_Toc267251503"/>
      <w:bookmarkStart w:id="612" w:name="_Toc267251493"/>
      <w:bookmarkStart w:id="613" w:name="_Toc267251497"/>
      <w:bookmarkStart w:id="614" w:name="_Toc267251502"/>
      <w:bookmarkStart w:id="615" w:name="_Toc267251496"/>
      <w:bookmarkStart w:id="616" w:name="_Toc267251504"/>
      <w:bookmarkStart w:id="617" w:name="_Toc267251506"/>
      <w:bookmarkStart w:id="618" w:name="_Toc267251507"/>
      <w:bookmarkStart w:id="619" w:name="_Toc267251508"/>
      <w:bookmarkStart w:id="620" w:name="_Toc267251514"/>
      <w:bookmarkStart w:id="621" w:name="_Toc267251511"/>
      <w:bookmarkStart w:id="622" w:name="_Toc267251515"/>
      <w:bookmarkStart w:id="623" w:name="_Toc267251509"/>
      <w:bookmarkStart w:id="624" w:name="_Toc267251510"/>
      <w:bookmarkStart w:id="625" w:name="_Toc267251513"/>
      <w:r>
        <w:rPr>
          <w:rFonts w:hint="eastAsia" w:ascii="仿宋" w:hAnsi="仿宋" w:eastAsia="仿宋" w:cs="仿宋"/>
          <w:b w:val="0"/>
          <w:color w:val="auto"/>
          <w:sz w:val="24"/>
          <w:szCs w:val="24"/>
          <w:highlight w:val="none"/>
        </w:rPr>
        <w:t>15. 缺陷责任期与保修</w:t>
      </w:r>
      <w:bookmarkEnd w:id="595"/>
    </w:p>
    <w:p w14:paraId="3E5972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6" w:name="_Toc173"/>
      <w:r>
        <w:rPr>
          <w:rFonts w:hint="eastAsia" w:ascii="仿宋" w:hAnsi="仿宋" w:eastAsia="仿宋" w:cs="仿宋"/>
          <w:color w:val="auto"/>
          <w:sz w:val="24"/>
          <w:szCs w:val="24"/>
          <w:highlight w:val="none"/>
        </w:rPr>
        <w:t>15.2缺陷责任期</w:t>
      </w:r>
      <w:bookmarkEnd w:id="596"/>
      <w:bookmarkEnd w:id="626"/>
    </w:p>
    <w:p w14:paraId="4A7ED8A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竣工验收合格之日起计24个月 </w:t>
      </w:r>
      <w:r>
        <w:rPr>
          <w:rFonts w:hint="eastAsia" w:ascii="仿宋" w:hAnsi="仿宋" w:eastAsia="仿宋" w:cs="仿宋"/>
          <w:color w:val="auto"/>
          <w:sz w:val="24"/>
          <w:szCs w:val="24"/>
          <w:highlight w:val="none"/>
        </w:rPr>
        <w:t>。</w:t>
      </w:r>
    </w:p>
    <w:p w14:paraId="6753F6F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7" w:name="_Toc24494"/>
      <w:r>
        <w:rPr>
          <w:rFonts w:hint="eastAsia" w:ascii="仿宋" w:hAnsi="仿宋" w:eastAsia="仿宋" w:cs="仿宋"/>
          <w:color w:val="auto"/>
          <w:sz w:val="24"/>
          <w:szCs w:val="24"/>
          <w:highlight w:val="none"/>
        </w:rPr>
        <w:t>15.3 质量保证金</w:t>
      </w:r>
      <w:bookmarkEnd w:id="627"/>
    </w:p>
    <w:p w14:paraId="3DF216A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w:t>
      </w:r>
    </w:p>
    <w:p w14:paraId="63A7849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CF08C4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006AA7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 xml:space="preserve">； </w:t>
      </w:r>
    </w:p>
    <w:p w14:paraId="5EBF425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竣工结算价 3 </w:t>
      </w:r>
      <w:r>
        <w:rPr>
          <w:rFonts w:hint="eastAsia" w:ascii="仿宋" w:hAnsi="仿宋" w:eastAsia="仿宋" w:cs="仿宋"/>
          <w:color w:val="auto"/>
          <w:kern w:val="0"/>
          <w:sz w:val="24"/>
          <w:szCs w:val="24"/>
          <w:highlight w:val="none"/>
        </w:rPr>
        <w:t>%的工程款；</w:t>
      </w:r>
    </w:p>
    <w:p w14:paraId="55A9450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4AD93ED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7D51B79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047B0CE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7844F9C4">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0D404ABB">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53C883C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bookmarkEnd w:id="597"/>
    <w:bookmarkEnd w:id="598"/>
    <w:p w14:paraId="2BB408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8" w:name="_Toc23614"/>
      <w:r>
        <w:rPr>
          <w:rFonts w:hint="eastAsia" w:ascii="仿宋" w:hAnsi="仿宋" w:eastAsia="仿宋" w:cs="仿宋"/>
          <w:color w:val="auto"/>
          <w:sz w:val="24"/>
          <w:szCs w:val="24"/>
          <w:highlight w:val="none"/>
        </w:rPr>
        <w:t>15.4保修</w:t>
      </w:r>
      <w:bookmarkEnd w:id="628"/>
    </w:p>
    <w:bookmarkEnd w:id="599"/>
    <w:p w14:paraId="4C1C2EE3">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15.4.1 保修责任</w:t>
      </w:r>
    </w:p>
    <w:p w14:paraId="539D55BE">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工程保修期为：</w:t>
      </w:r>
      <w:r>
        <w:rPr>
          <w:rFonts w:hint="eastAsia" w:ascii="仿宋" w:hAnsi="仿宋" w:eastAsia="仿宋" w:cs="仿宋"/>
          <w:color w:val="auto"/>
          <w:sz w:val="24"/>
          <w:szCs w:val="24"/>
          <w:highlight w:val="none"/>
          <w:u w:val="single"/>
        </w:rPr>
        <w:t xml:space="preserve">  按附件“工程质量保修书”的规定执行  </w:t>
      </w:r>
      <w:r>
        <w:rPr>
          <w:rFonts w:hint="eastAsia" w:ascii="仿宋" w:hAnsi="仿宋" w:eastAsia="仿宋" w:cs="仿宋"/>
          <w:color w:val="auto"/>
          <w:kern w:val="0"/>
          <w:sz w:val="24"/>
          <w:szCs w:val="24"/>
          <w:highlight w:val="none"/>
        </w:rPr>
        <w:t>。</w:t>
      </w:r>
    </w:p>
    <w:p w14:paraId="32A28536">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5D316C8F">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sz w:val="24"/>
          <w:szCs w:val="24"/>
          <w:highlight w:val="none"/>
          <w:u w:val="single"/>
        </w:rPr>
        <w:t xml:space="preserve"> 收到通知后 24 小时，紧急抢修事故应在收到通知后 2 小时内。若承包人在上述时限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 </w:t>
      </w:r>
      <w:r>
        <w:rPr>
          <w:rFonts w:hint="eastAsia" w:ascii="仿宋" w:hAnsi="仿宋" w:eastAsia="仿宋" w:cs="仿宋"/>
          <w:color w:val="auto"/>
          <w:kern w:val="0"/>
          <w:sz w:val="24"/>
          <w:szCs w:val="24"/>
          <w:highlight w:val="none"/>
        </w:rPr>
        <w:t>。</w:t>
      </w:r>
    </w:p>
    <w:bookmarkEnd w:id="600"/>
    <w:bookmarkEnd w:id="601"/>
    <w:bookmarkEnd w:id="602"/>
    <w:bookmarkEnd w:id="603"/>
    <w:p w14:paraId="7E62A47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29" w:name="_Toc32394"/>
      <w:bookmarkStart w:id="630" w:name="_Toc280868717"/>
      <w:bookmarkStart w:id="631" w:name="_Toc280868718"/>
      <w:r>
        <w:rPr>
          <w:rFonts w:hint="eastAsia" w:ascii="仿宋" w:hAnsi="仿宋" w:eastAsia="仿宋" w:cs="仿宋"/>
          <w:b w:val="0"/>
          <w:color w:val="auto"/>
          <w:sz w:val="24"/>
          <w:szCs w:val="24"/>
          <w:highlight w:val="none"/>
        </w:rPr>
        <w:t>16. 违约</w:t>
      </w:r>
      <w:bookmarkEnd w:id="629"/>
    </w:p>
    <w:p w14:paraId="098E6F1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2" w:name="_Toc24995"/>
      <w:r>
        <w:rPr>
          <w:rFonts w:hint="eastAsia" w:ascii="仿宋" w:hAnsi="仿宋" w:eastAsia="仿宋" w:cs="仿宋"/>
          <w:color w:val="auto"/>
          <w:sz w:val="24"/>
          <w:szCs w:val="24"/>
          <w:highlight w:val="none"/>
        </w:rPr>
        <w:t>16.1 发包人违约</w:t>
      </w:r>
      <w:bookmarkEnd w:id="632"/>
    </w:p>
    <w:p w14:paraId="3CF1BC7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06AE8EE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A5463B5">
      <w:pPr>
        <w:pageBreakBefore w:val="0"/>
        <w:kinsoku/>
        <w:wordWrap/>
        <w:overflowPunct/>
        <w:topLinePunct w:val="0"/>
        <w:bidi w:val="0"/>
        <w:spacing w:line="440" w:lineRule="exact"/>
        <w:ind w:left="1200" w:hanging="1200" w:hangingChars="5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16.1.2 发包人违约的责任</w:t>
      </w:r>
    </w:p>
    <w:p w14:paraId="3D5FE6D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682C006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执行通用条款</w:t>
      </w:r>
      <w:r>
        <w:rPr>
          <w:rFonts w:hint="eastAsia" w:ascii="仿宋" w:hAnsi="仿宋" w:eastAsia="仿宋" w:cs="仿宋"/>
          <w:color w:val="auto"/>
          <w:kern w:val="0"/>
          <w:sz w:val="24"/>
          <w:szCs w:val="24"/>
          <w:highlight w:val="none"/>
        </w:rPr>
        <w:t>。</w:t>
      </w:r>
    </w:p>
    <w:p w14:paraId="7C8C9BC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2555F3D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p w14:paraId="7176805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5256E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4C04C1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BE958E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（7）其他：</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7F74F84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14140F60">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34DA3A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3" w:name="_Toc25745"/>
      <w:r>
        <w:rPr>
          <w:rFonts w:hint="eastAsia" w:ascii="仿宋" w:hAnsi="仿宋" w:eastAsia="仿宋" w:cs="仿宋"/>
          <w:color w:val="auto"/>
          <w:sz w:val="24"/>
          <w:szCs w:val="24"/>
          <w:highlight w:val="none"/>
        </w:rPr>
        <w:t>16.2 承包人违约</w:t>
      </w:r>
      <w:bookmarkEnd w:id="633"/>
    </w:p>
    <w:p w14:paraId="3FF2A0A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1624C7CD">
      <w:pPr>
        <w:pageBreakBefore w:val="0"/>
        <w:kinsoku/>
        <w:wordWrap/>
        <w:overflowPunct/>
        <w:topLinePunct w:val="0"/>
        <w:bidi w:val="0"/>
        <w:spacing w:line="360" w:lineRule="auto"/>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承包人违约的其他情形：承包人应保证按时足额向施工人员发放工资，双方明确，如因在收到发包人款项后，未按时足额给工人支付工资的，发包人有权按相关费用的2倍，要求承包人承担违约金，并从后期应付费用中直接扣除。如因此发生任何施工人员举报、信访、围堵政府相关部门等事件的，甲方有权解除本合同，没收履约保证金，停止支付工程款，涉及刑事犯罪的，发包人将依法向有关部门进行举报。</w:t>
      </w:r>
    </w:p>
    <w:p w14:paraId="4AB4654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03D69A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①按照提供竣工验收资料时间、清场时间，每推延一天，扣除一万元违约金。②发现承包人在本工程中使用不合格材料，承包方无条件将相关材料清理出场每次承担一万元违约金且工期不予顺延。③承包人在施工期间不得拖欠工人工资及材料供应款，不得造成工人集体上访，否则，发包人有权自主将工程进度款用于支付被拖欠的工人工资及材料款。④承包人在缺陷责任期及保修期内，未能在合理期限对工程缺陷进行修复，或拒绝按发包人要求进行修复的，发包方有权要求第三方维修，费用从工程尾款中扣除；⑤承包方违约，还应赔偿守约方因此遭受的其他损失，包括为主张权益所支付的诉讼费、交通费等全部费用。承包人违约的，发包方有权将相应违约金从应给承包方支付的货款、质保金中直接予以扣除。⑥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eq \o\ac(</w:instrText>
      </w:r>
      <w:r>
        <w:rPr>
          <w:rFonts w:hint="eastAsia" w:ascii="仿宋" w:hAnsi="仿宋" w:eastAsia="仿宋" w:cs="仿宋"/>
          <w:color w:val="auto"/>
          <w:position w:val="-4"/>
          <w:sz w:val="36"/>
          <w:szCs w:val="24"/>
          <w:highlight w:val="none"/>
          <w:u w:val="single"/>
        </w:rPr>
        <w:instrText xml:space="preserve">○</w:instrText>
      </w:r>
      <w:r>
        <w:rPr>
          <w:rFonts w:hint="eastAsia" w:ascii="仿宋" w:hAnsi="仿宋" w:eastAsia="仿宋" w:cs="仿宋"/>
          <w:color w:val="auto"/>
          <w:sz w:val="24"/>
          <w:szCs w:val="24"/>
          <w:highlight w:val="none"/>
          <w:u w:val="single"/>
        </w:rPr>
        <w:instrText xml:space="preserve">,7)</w:instrTex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承包人出现下列根本违约行为之一的，发包人有权直接主张以下部分或全部权利：有权单方解除合同，有权根据承包人实际违约情况要求承包人返还已支付的部分或全部款项（如有），有权要求承包人赔偿合同总价20%的违约金并赔偿发包人损失：（1）擅自停工或明确表示无法继续履行合同；（2）施工质量不符合国家或合同约定标准，经整改仍不合格；（3）未经发包人同意擅自扩大或缩减工程量；（4）提供虚假资料或弄虚作假骗取工程款；（5）承包人原因导致治安、火灾或人身伤亡、财产损失事故；（6）其他严重违反合同约定致使合同目的无法实现的行为。</w:t>
      </w:r>
    </w:p>
    <w:p w14:paraId="73FBA09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违约，发包人可发出整改通知要求承包人限期进行整改，如承包人在规定时间内仍不纠正违约行为的，发包人有权单方解除合同。合同解除后，发包人可另行组织人员或委托其他承包人施工。发包人因继续完成该工程需要，有权扣留使用承包人在现场的材料、设备和临时设施。但发包人的这一行为不免除或减轻承包人应承担的违约责任，也不影响发包人根据合同约定享有的索赔权利。</w:t>
      </w:r>
    </w:p>
    <w:p w14:paraId="210A1F8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承包人根据本合同约定支付的任何违约金、赔偿金，均不能免除其继续履行合同的义务。违约金不足以弥补损失的部分，发包人有权向承包人追偿。承包人违约给发包人造成的损失，包括但不限于：行政罚款、第三方赔偿款、发包人为解决争议所支付的律师费、保全费、保全保险费、鉴定费、公证费、差旅费等全部费用。发包人有权从任何一期应支付给承包人的款项中直接扣除上述违约金及损失赔偿金，不足部分发包人有权继续追偿。</w:t>
      </w:r>
    </w:p>
    <w:p w14:paraId="3CD2C9C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6BB8B5D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r>
        <w:rPr>
          <w:rFonts w:hint="eastAsia" w:ascii="仿宋" w:hAnsi="仿宋" w:eastAsia="仿宋" w:cs="仿宋"/>
          <w:color w:val="auto"/>
          <w:sz w:val="24"/>
          <w:szCs w:val="24"/>
          <w:highlight w:val="none"/>
          <w:u w:val="single"/>
        </w:rPr>
        <w:t xml:space="preserve"> 除执行通用条款外，承包人应承担的责任还包括：（1）立即停止施工；（2）必须在七日内移交所有工程资料；（3）遣散工人离开现场；（4）必须配合发包人进行结算；（5）须承担相应的违约责任。</w:t>
      </w:r>
      <w:r>
        <w:rPr>
          <w:rFonts w:hint="eastAsia" w:ascii="仿宋" w:hAnsi="仿宋" w:eastAsia="仿宋" w:cs="仿宋"/>
          <w:color w:val="auto"/>
          <w:kern w:val="0"/>
          <w:sz w:val="24"/>
          <w:szCs w:val="24"/>
          <w:highlight w:val="none"/>
          <w:u w:val="single"/>
        </w:rPr>
        <w:t>如承包人未按上述期限配合办理退场及结算，承诺人同意以本工程的全过程跟踪审计单位单方面测量结果作为结算依据，发包人在审计单位完成测量后可直接另外委托第三方施工。承包人无权就其不配合退场导致的施工现场灭失向发包人主张任何权利</w:t>
      </w:r>
      <w:r>
        <w:rPr>
          <w:rFonts w:hint="eastAsia" w:ascii="仿宋" w:hAnsi="仿宋" w:eastAsia="仿宋" w:cs="仿宋"/>
          <w:color w:val="auto"/>
          <w:kern w:val="0"/>
          <w:sz w:val="24"/>
          <w:szCs w:val="24"/>
          <w:highlight w:val="none"/>
        </w:rPr>
        <w:t>。</w:t>
      </w:r>
    </w:p>
    <w:p w14:paraId="0654B9F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发包人根据合同约定发出解除合同通知10日内，承包人必须同发包人签署解除合同协议，如不按期签署，视为合同解除。上述情形下合同解除后，发包人验收符合合同要求的已完工程，承包人仍应提供验收合格已完工程竣工资料，并仍应当按本合同约定承担承包人施工范围内质保、修补缺陷的义务。未承担相应义务的，发包人有权自结算款中扣除。</w:t>
      </w:r>
    </w:p>
    <w:p w14:paraId="040A3560">
      <w:pPr>
        <w:pageBreakBefore w:val="0"/>
        <w:kinsoku/>
        <w:wordWrap/>
        <w:overflowPunct/>
        <w:topLinePunct w:val="0"/>
        <w:bidi w:val="0"/>
        <w:spacing w:before="120" w:after="120" w:line="440" w:lineRule="exact"/>
        <w:ind w:firstLine="480" w:firstLineChars="200"/>
        <w:textAlignment w:val="auto"/>
        <w:outlineLvl w:val="9"/>
        <w:rPr>
          <w:rFonts w:hint="eastAsia" w:ascii="仿宋" w:hAnsi="仿宋" w:eastAsia="仿宋" w:cs="仿宋"/>
          <w:color w:val="auto"/>
          <w:kern w:val="0"/>
          <w:sz w:val="30"/>
          <w:szCs w:val="32"/>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 xml:space="preserve">承包人自收到发包人解除通知之日未按期清理、移交的，视为承包人放弃全部权利，发包人无偿使用 </w:t>
      </w:r>
      <w:r>
        <w:rPr>
          <w:rFonts w:hint="eastAsia" w:ascii="仿宋" w:hAnsi="仿宋" w:eastAsia="仿宋" w:cs="仿宋"/>
          <w:color w:val="auto"/>
          <w:kern w:val="0"/>
          <w:sz w:val="30"/>
          <w:szCs w:val="32"/>
          <w:highlight w:val="none"/>
        </w:rPr>
        <w:t>。</w:t>
      </w:r>
    </w:p>
    <w:p w14:paraId="401BCCBC">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34" w:name="_Toc30858"/>
      <w:r>
        <w:rPr>
          <w:rFonts w:hint="eastAsia" w:ascii="仿宋" w:hAnsi="仿宋" w:eastAsia="仿宋" w:cs="仿宋"/>
          <w:b w:val="0"/>
          <w:color w:val="auto"/>
          <w:sz w:val="24"/>
          <w:szCs w:val="24"/>
          <w:highlight w:val="none"/>
        </w:rPr>
        <w:t>17. 不可抗力</w:t>
      </w:r>
      <w:bookmarkEnd w:id="634"/>
      <w:r>
        <w:rPr>
          <w:rFonts w:hint="eastAsia" w:ascii="仿宋" w:hAnsi="仿宋" w:eastAsia="仿宋" w:cs="仿宋"/>
          <w:b w:val="0"/>
          <w:color w:val="auto"/>
          <w:sz w:val="24"/>
          <w:szCs w:val="24"/>
          <w:highlight w:val="none"/>
        </w:rPr>
        <w:t xml:space="preserve"> </w:t>
      </w:r>
      <w:bookmarkEnd w:id="630"/>
    </w:p>
    <w:p w14:paraId="44E2CCB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5" w:name="_Toc16902"/>
      <w:r>
        <w:rPr>
          <w:rFonts w:hint="eastAsia" w:ascii="仿宋" w:hAnsi="仿宋" w:eastAsia="仿宋" w:cs="仿宋"/>
          <w:color w:val="auto"/>
          <w:sz w:val="24"/>
          <w:szCs w:val="24"/>
          <w:highlight w:val="none"/>
        </w:rPr>
        <w:t>17.1 不可抗力的确认</w:t>
      </w:r>
      <w:bookmarkEnd w:id="635"/>
    </w:p>
    <w:p w14:paraId="339FF6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AD7E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6" w:name="_Toc590"/>
      <w:r>
        <w:rPr>
          <w:rFonts w:hint="eastAsia" w:ascii="仿宋" w:hAnsi="仿宋" w:eastAsia="仿宋" w:cs="仿宋"/>
          <w:color w:val="auto"/>
          <w:sz w:val="24"/>
          <w:szCs w:val="24"/>
          <w:highlight w:val="none"/>
        </w:rPr>
        <w:t>17.4 因不可抗力解除合同</w:t>
      </w:r>
      <w:bookmarkEnd w:id="636"/>
    </w:p>
    <w:p w14:paraId="78FF6D1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天内完成款项的支付。</w:t>
      </w:r>
    </w:p>
    <w:p w14:paraId="30F5221B">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37" w:name="_Toc9327"/>
      <w:r>
        <w:rPr>
          <w:rFonts w:hint="eastAsia" w:ascii="仿宋" w:hAnsi="仿宋" w:eastAsia="仿宋" w:cs="仿宋"/>
          <w:b w:val="0"/>
          <w:color w:val="auto"/>
          <w:sz w:val="24"/>
          <w:szCs w:val="24"/>
          <w:highlight w:val="none"/>
        </w:rPr>
        <w:t>18. 保险</w:t>
      </w:r>
      <w:bookmarkEnd w:id="637"/>
    </w:p>
    <w:bookmarkEnd w:id="631"/>
    <w:p w14:paraId="793BAB4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35E6A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D330B2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8" w:name="_Toc23138"/>
      <w:r>
        <w:rPr>
          <w:rFonts w:hint="eastAsia" w:ascii="仿宋" w:hAnsi="仿宋" w:eastAsia="仿宋" w:cs="仿宋"/>
          <w:color w:val="auto"/>
          <w:sz w:val="24"/>
          <w:szCs w:val="24"/>
          <w:highlight w:val="none"/>
        </w:rPr>
        <w:t>18.3 其他保险</w:t>
      </w:r>
      <w:bookmarkEnd w:id="638"/>
    </w:p>
    <w:p w14:paraId="1736F64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 xml:space="preserve">包人负责为承包人在施工现场全部人员办理意外伤害保险并支付保险费。 </w:t>
      </w:r>
    </w:p>
    <w:p w14:paraId="5CE0BE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由承包人自行考虑 </w:t>
      </w:r>
      <w:r>
        <w:rPr>
          <w:rFonts w:hint="eastAsia" w:ascii="仿宋" w:hAnsi="仿宋" w:eastAsia="仿宋" w:cs="仿宋"/>
          <w:color w:val="auto"/>
          <w:sz w:val="24"/>
          <w:szCs w:val="24"/>
          <w:highlight w:val="none"/>
        </w:rPr>
        <w:t>。</w:t>
      </w:r>
    </w:p>
    <w:p w14:paraId="4F15B2D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9" w:name="_Toc16202"/>
      <w:r>
        <w:rPr>
          <w:rFonts w:hint="eastAsia" w:ascii="仿宋" w:hAnsi="仿宋" w:eastAsia="仿宋" w:cs="仿宋"/>
          <w:color w:val="auto"/>
          <w:sz w:val="24"/>
          <w:szCs w:val="24"/>
          <w:highlight w:val="none"/>
        </w:rPr>
        <w:t>18.7 通知义务</w:t>
      </w:r>
      <w:bookmarkEnd w:id="639"/>
    </w:p>
    <w:p w14:paraId="755061B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604"/>
    <w:bookmarkEnd w:id="605"/>
    <w:bookmarkEnd w:id="606"/>
    <w:bookmarkEnd w:id="607"/>
    <w:bookmarkEnd w:id="608"/>
    <w:bookmarkEnd w:id="609"/>
    <w:bookmarkEnd w:id="610"/>
    <w:bookmarkEnd w:id="611"/>
    <w:bookmarkEnd w:id="612"/>
    <w:bookmarkEnd w:id="613"/>
    <w:bookmarkEnd w:id="614"/>
    <w:bookmarkEnd w:id="615"/>
    <w:p w14:paraId="50A54CED">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40" w:name="_Toc17032"/>
      <w:r>
        <w:rPr>
          <w:rFonts w:hint="eastAsia" w:ascii="仿宋" w:hAnsi="仿宋" w:eastAsia="仿宋" w:cs="仿宋"/>
          <w:b w:val="0"/>
          <w:color w:val="auto"/>
          <w:sz w:val="24"/>
          <w:szCs w:val="24"/>
          <w:highlight w:val="none"/>
        </w:rPr>
        <w:t>20. 争议解决</w:t>
      </w:r>
      <w:bookmarkEnd w:id="640"/>
    </w:p>
    <w:bookmarkEnd w:id="616"/>
    <w:bookmarkEnd w:id="617"/>
    <w:p w14:paraId="515ACA3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1" w:name="_Toc6746"/>
      <w:r>
        <w:rPr>
          <w:rFonts w:hint="eastAsia" w:ascii="仿宋" w:hAnsi="仿宋" w:eastAsia="仿宋" w:cs="仿宋"/>
          <w:color w:val="auto"/>
          <w:sz w:val="24"/>
          <w:szCs w:val="24"/>
          <w:highlight w:val="none"/>
        </w:rPr>
        <w:t>20.3 争</w:t>
      </w:r>
      <w:bookmarkEnd w:id="618"/>
      <w:r>
        <w:rPr>
          <w:rFonts w:hint="eastAsia" w:ascii="仿宋" w:hAnsi="仿宋" w:eastAsia="仿宋" w:cs="仿宋"/>
          <w:color w:val="auto"/>
          <w:sz w:val="24"/>
          <w:szCs w:val="24"/>
          <w:highlight w:val="none"/>
        </w:rPr>
        <w:t>议评审</w:t>
      </w:r>
      <w:bookmarkEnd w:id="641"/>
    </w:p>
    <w:p w14:paraId="01463BBD">
      <w:pPr>
        <w:pageBreakBefore w:val="0"/>
        <w:kinsoku/>
        <w:wordWrap/>
        <w:overflowPunct/>
        <w:topLinePunct w:val="0"/>
        <w:bidi w:val="0"/>
        <w:spacing w:line="440" w:lineRule="exact"/>
        <w:ind w:left="149" w:leftChars="71" w:firstLine="360" w:firstLineChars="1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7DE8DC5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54EDD7E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72042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3604B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74E27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0C38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20.3.2 争议评审小组的决定</w:t>
      </w:r>
    </w:p>
    <w:p w14:paraId="256A083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2D7E9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2" w:name="_Toc18421"/>
      <w:r>
        <w:rPr>
          <w:rFonts w:hint="eastAsia" w:ascii="仿宋" w:hAnsi="仿宋" w:eastAsia="仿宋" w:cs="仿宋"/>
          <w:color w:val="auto"/>
          <w:sz w:val="24"/>
          <w:szCs w:val="24"/>
          <w:highlight w:val="none"/>
        </w:rPr>
        <w:t>20.4仲裁或诉讼</w:t>
      </w:r>
      <w:bookmarkEnd w:id="619"/>
      <w:bookmarkEnd w:id="642"/>
    </w:p>
    <w:p w14:paraId="43A8E71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12EA495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仲裁委员会申请仲裁；</w:t>
      </w:r>
    </w:p>
    <w:p w14:paraId="2F55551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发包人所在地 </w:t>
      </w:r>
      <w:r>
        <w:rPr>
          <w:rFonts w:hint="eastAsia" w:ascii="仿宋" w:hAnsi="仿宋" w:eastAsia="仿宋" w:cs="仿宋"/>
          <w:color w:val="auto"/>
          <w:sz w:val="24"/>
          <w:szCs w:val="24"/>
          <w:highlight w:val="none"/>
        </w:rPr>
        <w:t>人民法院起诉。</w:t>
      </w:r>
      <w:bookmarkEnd w:id="620"/>
      <w:bookmarkEnd w:id="621"/>
      <w:bookmarkEnd w:id="622"/>
      <w:bookmarkEnd w:id="623"/>
      <w:bookmarkEnd w:id="624"/>
      <w:bookmarkEnd w:id="625"/>
    </w:p>
    <w:p w14:paraId="09F35F0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3" w:name="_Toc21220"/>
      <w:r>
        <w:rPr>
          <w:rFonts w:hint="eastAsia" w:ascii="仿宋" w:hAnsi="仿宋" w:eastAsia="仿宋" w:cs="仿宋"/>
          <w:color w:val="auto"/>
          <w:sz w:val="24"/>
          <w:szCs w:val="24"/>
          <w:highlight w:val="none"/>
        </w:rPr>
        <w:t>20.5送达方式</w:t>
      </w:r>
      <w:bookmarkEnd w:id="643"/>
    </w:p>
    <w:p w14:paraId="693169D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尾部载明的双方地址、电话等信息，系双方有效联系方式及合法司法送达地址，如发生变更，应提前书面通知其他各方，否则依该联系方式送达相关文书的，视为送达成功。本协议中所载的书面通知方式仅指当事人亲自送达、挂号信、EMS方式。一方采取当事人亲自送达方式的，各方有积极配合签收的义务。如一方拒绝签收而使另一方变更送达方式的，由此产生的费用应当由违约方承担；如以EMS或快递方式寄送的，如无相反证据证明，自寄送之日起的第三日为送达之日。</w:t>
      </w:r>
    </w:p>
    <w:p w14:paraId="7FA402A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4" w:name="_Toc7686"/>
      <w:r>
        <w:rPr>
          <w:rFonts w:hint="eastAsia" w:ascii="仿宋" w:hAnsi="仿宋" w:eastAsia="仿宋" w:cs="仿宋"/>
          <w:color w:val="auto"/>
          <w:sz w:val="24"/>
          <w:szCs w:val="24"/>
          <w:highlight w:val="none"/>
        </w:rPr>
        <w:t>21. 关于设立专项账户</w:t>
      </w:r>
      <w:bookmarkEnd w:id="644"/>
    </w:p>
    <w:p w14:paraId="493F079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确保该项目顺利实施，提出如下意见：（1）承包人应当加强工程款管理，本项目资金承包人应开设专项账户，做到专款专用，不得挪作他用，不得拖欠材料、设备货款、专业分包工程款等费用；（2）按照相关规定承包人开设农民工资专用账户，并在提交的进度款中将人工费与其他费用分开组价，与其他费用分开支付，不得拖欠农民工和工人工资。为保证项目资金正常运转，并接受发包人监督检查。</w:t>
      </w:r>
    </w:p>
    <w:p w14:paraId="6A47343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21.补充条款</w:t>
      </w:r>
    </w:p>
    <w:p w14:paraId="24E677E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承包人同意接受甲方工程结算审计原则。</w:t>
      </w:r>
    </w:p>
    <w:p w14:paraId="4F4FD8E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竣工后，承包方要在规定的时间内报送完整、规范的竣工材料，工程竣工验收单（记录）须加盖承包方、监理方、工程管理部门、使用单位公章并由单位负责人或项目负责人签字，否则视为工程未通过验收。并对报送材料的全面、准确、真实性负责。</w:t>
      </w:r>
    </w:p>
    <w:p w14:paraId="7A81EE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方须在竣工验收合格之日起三个月内报送工程结算及全部工程资料，承包方送审的工程竣工材料要恪守承诺和质量要求，工程施工内容与结算内容相一致，符合招标和投标文件及合同内容，不得违反合同约定。承包方如未在规定的时间内提供完整、真实、合法的资料、包括工程中涉及变更项目及增加的项目，由此产生的不良后果由承包方负责，发包方不承担责任，也不予受理；工程管理部门拖延者，将按学校的相关规定进行问责。工程结算报甲方审计处进行审计，最终以甲方审计处审定结算价为准。</w:t>
      </w:r>
    </w:p>
    <w:p w14:paraId="13AAA4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4.“项目管理人员及主要人员明细表”与投标文件保持一致，“主要材料表”与投标文件保持一致。</w:t>
      </w:r>
    </w:p>
    <w:p w14:paraId="25091B28">
      <w:pPr>
        <w:pageBreakBefore w:val="0"/>
        <w:kinsoku/>
        <w:wordWrap/>
        <w:overflowPunct/>
        <w:topLinePunct w:val="0"/>
        <w:bidi w:val="0"/>
        <w:spacing w:line="360" w:lineRule="auto"/>
        <w:jc w:val="left"/>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rPr>
        <w:t>附件</w:t>
      </w:r>
    </w:p>
    <w:p w14:paraId="0D2AC185">
      <w:pPr>
        <w:pageBreakBefore w:val="0"/>
        <w:kinsoku/>
        <w:wordWrap/>
        <w:overflowPunct/>
        <w:topLinePunct w:val="0"/>
        <w:bidi w:val="0"/>
        <w:spacing w:line="360" w:lineRule="auto"/>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附件1：工程质量保修书</w:t>
      </w:r>
    </w:p>
    <w:p w14:paraId="6890FE5D">
      <w:pPr>
        <w:pageBreakBefore w:val="0"/>
        <w:kinsoku/>
        <w:wordWrap/>
        <w:overflowPunct/>
        <w:topLinePunct w:val="0"/>
        <w:bidi w:val="0"/>
        <w:spacing w:line="360" w:lineRule="auto"/>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附件2：建设工程廉政责任书</w:t>
      </w:r>
    </w:p>
    <w:p w14:paraId="2713D10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AC6972B">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E284CE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05A63C0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F278E8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4CE63F0">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403CFFA">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5B2852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1C367A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993E3B5">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F6A83C1">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82BFC7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D0FCBE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2515A5B3">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009C10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202CA65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E05608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FC49448">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2DD51BF">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18B271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CA4FBA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803A2C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EF90021">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F22DA27">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B36282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B8C7B2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648EDD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58F55454">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附件1：</w:t>
      </w:r>
      <w:r>
        <w:rPr>
          <w:rFonts w:hint="eastAsia" w:ascii="仿宋" w:hAnsi="仿宋" w:eastAsia="仿宋" w:cs="仿宋"/>
          <w:color w:val="auto"/>
          <w:sz w:val="24"/>
          <w:szCs w:val="24"/>
          <w:highlight w:val="none"/>
        </w:rPr>
        <w:t xml:space="preserve"> </w:t>
      </w:r>
    </w:p>
    <w:p w14:paraId="0BF25990">
      <w:pPr>
        <w:pageBreakBefore w:val="0"/>
        <w:kinsoku/>
        <w:wordWrap/>
        <w:overflowPunct/>
        <w:topLinePunct w:val="0"/>
        <w:bidi w:val="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工程质量保修书</w:t>
      </w:r>
    </w:p>
    <w:p w14:paraId="30DBF1F0">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p>
    <w:p w14:paraId="32B87075">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新疆农业大学                </w:t>
      </w:r>
    </w:p>
    <w:p w14:paraId="64EFC2C3">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承包人（全称）：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p>
    <w:p w14:paraId="5BAD0A91">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发包人和承包人根据《中华人民共和国建筑法》和《建设工程质量管理条例》，经协商一致就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签订工程质量保修书。</w:t>
      </w:r>
    </w:p>
    <w:p w14:paraId="28958450">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一、工程质量保修范围和内容</w:t>
      </w:r>
    </w:p>
    <w:p w14:paraId="73671563">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承包人在质量保修期内，按照有关法律规定和合同约定，承担工程质量保修责任。</w:t>
      </w:r>
    </w:p>
    <w:p w14:paraId="692D7A34">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3C5E469">
      <w:pPr>
        <w:pageBreakBefore w:val="0"/>
        <w:kinsoku/>
        <w:wordWrap/>
        <w:overflowPunct/>
        <w:topLinePunct w:val="0"/>
        <w:bidi w:val="0"/>
        <w:spacing w:line="5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工程承包范围内的全部事项</w:t>
      </w:r>
      <w:r>
        <w:rPr>
          <w:rFonts w:hint="eastAsia" w:ascii="仿宋" w:hAnsi="仿宋" w:eastAsia="仿宋" w:cs="仿宋"/>
          <w:color w:val="auto"/>
          <w:sz w:val="24"/>
          <w:szCs w:val="24"/>
          <w:highlight w:val="none"/>
        </w:rPr>
        <w:t>。</w:t>
      </w:r>
    </w:p>
    <w:p w14:paraId="2F8AF0D7">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w:t>
      </w:r>
      <w:r>
        <w:rPr>
          <w:rFonts w:hint="eastAsia" w:ascii="仿宋" w:hAnsi="仿宋" w:eastAsia="仿宋" w:cs="仿宋"/>
          <w:color w:val="auto"/>
          <w:sz w:val="24"/>
          <w:szCs w:val="24"/>
          <w:highlight w:val="none"/>
        </w:rPr>
        <w:t>二、质量保修期</w:t>
      </w:r>
    </w:p>
    <w:p w14:paraId="704F5F7C">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0ECB79D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5944EE0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74698EED">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591BF3E">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379AC849">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个采暖期、供冷期；</w:t>
      </w:r>
    </w:p>
    <w:p w14:paraId="227CB11B">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FA77D50">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w:t>
      </w:r>
    </w:p>
    <w:p w14:paraId="2D879FF6">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2984E6B5">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三、缺陷责任期</w:t>
      </w:r>
    </w:p>
    <w:p w14:paraId="632665F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24</w:t>
      </w:r>
      <w:r>
        <w:rPr>
          <w:rFonts w:hint="eastAsia" w:ascii="仿宋" w:hAnsi="仿宋" w:eastAsia="仿宋" w:cs="仿宋"/>
          <w:color w:val="auto"/>
          <w:sz w:val="24"/>
          <w:szCs w:val="24"/>
          <w:highlight w:val="none"/>
        </w:rPr>
        <w:t>个月，缺陷责任期自工程实际竣工之日起计算。单位工程先于全部工程进行验收，单位工程缺陷责任期自单位工程验收合格之日起算。</w:t>
      </w:r>
    </w:p>
    <w:p w14:paraId="5C6207DD">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四、质量保修责任</w:t>
      </w:r>
    </w:p>
    <w:p w14:paraId="2EDAEC6C">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1．属于保修范围、内容的项目，承包人应当在接到保修通知之日起7天内派人保修。承包人不在约定期限内派人保修的，发包人可以委托他人修理，修理费用从质量保修金内扣除。</w:t>
      </w:r>
    </w:p>
    <w:p w14:paraId="41E45EA7">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5AC6FB8">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3B8D666">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1F38FB54">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五、保修费用</w:t>
      </w:r>
    </w:p>
    <w:p w14:paraId="64940482">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保修费用由造成质量缺陷的责任方承担。</w:t>
      </w:r>
    </w:p>
    <w:p w14:paraId="0FDB64F2">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六、质量保修金的支付</w:t>
      </w:r>
    </w:p>
    <w:p w14:paraId="1D41CF3A">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发包人和承包人约定预留质量保证金比例为结算价的3%，在工程竣工结算时一次性预留保证金。</w:t>
      </w:r>
    </w:p>
    <w:p w14:paraId="2DF29607">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七、质量保修金的返还</w:t>
      </w:r>
    </w:p>
    <w:p w14:paraId="09E74671">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缺陷责任期满后经甲方再次验收无任何质量问题后无息给予付清。</w:t>
      </w:r>
    </w:p>
    <w:p w14:paraId="7EC7A5AE">
      <w:pPr>
        <w:pageBreakBefore w:val="0"/>
        <w:kinsoku/>
        <w:wordWrap/>
        <w:overflowPunct/>
        <w:topLinePunct w:val="0"/>
        <w:bidi w:val="0"/>
        <w:spacing w:line="5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八、双方约定的其他工程质量保修事项：</w:t>
      </w:r>
    </w:p>
    <w:p w14:paraId="45614B17">
      <w:pPr>
        <w:pageBreakBefore w:val="0"/>
        <w:kinsoku/>
        <w:wordWrap/>
        <w:overflowPunct/>
        <w:topLinePunct w:val="0"/>
        <w:bidi w:val="0"/>
        <w:spacing w:line="5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保修期内承包人保证随叫随到，若出现问题承包人在24小时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w:t>
      </w:r>
    </w:p>
    <w:p w14:paraId="0F1E2157">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43260E3B">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3223FC83">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5385CFB6">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63C9E360">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19AD9D20">
        <w:tblPrEx>
          <w:tblCellMar>
            <w:top w:w="0" w:type="dxa"/>
            <w:left w:w="108" w:type="dxa"/>
            <w:bottom w:w="0" w:type="dxa"/>
            <w:right w:w="108" w:type="dxa"/>
          </w:tblCellMar>
        </w:tblPrEx>
        <w:trPr>
          <w:trHeight w:val="1013" w:hRule="exact"/>
        </w:trPr>
        <w:tc>
          <w:tcPr>
            <w:tcW w:w="4530" w:type="dxa"/>
            <w:noWrap w:val="0"/>
            <w:vAlign w:val="top"/>
          </w:tcPr>
          <w:p w14:paraId="17279F9B">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2DE25990">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540CCDCF">
        <w:tblPrEx>
          <w:tblCellMar>
            <w:top w:w="0" w:type="dxa"/>
            <w:left w:w="108" w:type="dxa"/>
            <w:bottom w:w="0" w:type="dxa"/>
            <w:right w:w="108" w:type="dxa"/>
          </w:tblCellMar>
        </w:tblPrEx>
        <w:trPr>
          <w:trHeight w:val="473" w:hRule="exact"/>
        </w:trPr>
        <w:tc>
          <w:tcPr>
            <w:tcW w:w="4530" w:type="dxa"/>
            <w:noWrap w:val="0"/>
            <w:vAlign w:val="top"/>
          </w:tcPr>
          <w:p w14:paraId="3F554A56">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67908E1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1127D726">
        <w:tblPrEx>
          <w:tblCellMar>
            <w:top w:w="0" w:type="dxa"/>
            <w:left w:w="108" w:type="dxa"/>
            <w:bottom w:w="0" w:type="dxa"/>
            <w:right w:w="108" w:type="dxa"/>
          </w:tblCellMar>
        </w:tblPrEx>
        <w:trPr>
          <w:trHeight w:val="524" w:hRule="exact"/>
        </w:trPr>
        <w:tc>
          <w:tcPr>
            <w:tcW w:w="4530" w:type="dxa"/>
            <w:noWrap w:val="0"/>
            <w:vAlign w:val="top"/>
          </w:tcPr>
          <w:p w14:paraId="4DE94DC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121136E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3DF0D583">
        <w:tblPrEx>
          <w:tblCellMar>
            <w:top w:w="0" w:type="dxa"/>
            <w:left w:w="108" w:type="dxa"/>
            <w:bottom w:w="0" w:type="dxa"/>
            <w:right w:w="108" w:type="dxa"/>
          </w:tblCellMar>
        </w:tblPrEx>
        <w:trPr>
          <w:trHeight w:val="654" w:hRule="exact"/>
        </w:trPr>
        <w:tc>
          <w:tcPr>
            <w:tcW w:w="4530" w:type="dxa"/>
            <w:noWrap w:val="0"/>
            <w:vAlign w:val="top"/>
          </w:tcPr>
          <w:p w14:paraId="2071268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10C5B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E8725EF">
        <w:tblPrEx>
          <w:tblCellMar>
            <w:top w:w="0" w:type="dxa"/>
            <w:left w:w="108" w:type="dxa"/>
            <w:bottom w:w="0" w:type="dxa"/>
            <w:right w:w="108" w:type="dxa"/>
          </w:tblCellMar>
        </w:tblPrEx>
        <w:trPr>
          <w:trHeight w:val="1070" w:hRule="exact"/>
        </w:trPr>
        <w:tc>
          <w:tcPr>
            <w:tcW w:w="4530" w:type="dxa"/>
            <w:noWrap w:val="0"/>
            <w:vAlign w:val="top"/>
          </w:tcPr>
          <w:p w14:paraId="74854E0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1263C9F">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6E4B76B">
        <w:tblPrEx>
          <w:tblCellMar>
            <w:top w:w="0" w:type="dxa"/>
            <w:left w:w="108" w:type="dxa"/>
            <w:bottom w:w="0" w:type="dxa"/>
            <w:right w:w="108" w:type="dxa"/>
          </w:tblCellMar>
        </w:tblPrEx>
        <w:trPr>
          <w:trHeight w:val="542" w:hRule="exact"/>
        </w:trPr>
        <w:tc>
          <w:tcPr>
            <w:tcW w:w="4530" w:type="dxa"/>
            <w:noWrap w:val="0"/>
            <w:vAlign w:val="top"/>
          </w:tcPr>
          <w:p w14:paraId="4326D2D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1E0001D0">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748EB5E6">
        <w:tblPrEx>
          <w:tblCellMar>
            <w:top w:w="0" w:type="dxa"/>
            <w:left w:w="108" w:type="dxa"/>
            <w:bottom w:w="0" w:type="dxa"/>
            <w:right w:w="108" w:type="dxa"/>
          </w:tblCellMar>
        </w:tblPrEx>
        <w:trPr>
          <w:trHeight w:val="1128" w:hRule="exact"/>
        </w:trPr>
        <w:tc>
          <w:tcPr>
            <w:tcW w:w="4530" w:type="dxa"/>
            <w:noWrap w:val="0"/>
            <w:vAlign w:val="top"/>
          </w:tcPr>
          <w:p w14:paraId="60FBBA2E">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4792683A">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49392B1">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9B9BB77">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6152410">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3C518CCE">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1B590114">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2CA8C50B">
        <w:tblPrEx>
          <w:tblCellMar>
            <w:top w:w="0" w:type="dxa"/>
            <w:left w:w="108" w:type="dxa"/>
            <w:bottom w:w="0" w:type="dxa"/>
            <w:right w:w="108" w:type="dxa"/>
          </w:tblCellMar>
        </w:tblPrEx>
        <w:trPr>
          <w:trHeight w:val="564" w:hRule="exact"/>
        </w:trPr>
        <w:tc>
          <w:tcPr>
            <w:tcW w:w="4530" w:type="dxa"/>
            <w:noWrap w:val="0"/>
            <w:vAlign w:val="top"/>
          </w:tcPr>
          <w:p w14:paraId="6A47A4E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3927708">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1EF2A1">
        <w:tblPrEx>
          <w:tblCellMar>
            <w:top w:w="0" w:type="dxa"/>
            <w:left w:w="108" w:type="dxa"/>
            <w:bottom w:w="0" w:type="dxa"/>
            <w:right w:w="108" w:type="dxa"/>
          </w:tblCellMar>
        </w:tblPrEx>
        <w:trPr>
          <w:trHeight w:val="595" w:hRule="exact"/>
        </w:trPr>
        <w:tc>
          <w:tcPr>
            <w:tcW w:w="4530" w:type="dxa"/>
            <w:noWrap w:val="0"/>
            <w:vAlign w:val="top"/>
          </w:tcPr>
          <w:p w14:paraId="3E9DF01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23039DD7">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00A0179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A0EA189">
        <w:tblPrEx>
          <w:tblCellMar>
            <w:top w:w="0" w:type="dxa"/>
            <w:left w:w="108" w:type="dxa"/>
            <w:bottom w:w="0" w:type="dxa"/>
            <w:right w:w="108" w:type="dxa"/>
          </w:tblCellMar>
        </w:tblPrEx>
        <w:trPr>
          <w:trHeight w:val="549" w:hRule="exact"/>
        </w:trPr>
        <w:tc>
          <w:tcPr>
            <w:tcW w:w="4530" w:type="dxa"/>
            <w:noWrap w:val="0"/>
            <w:vAlign w:val="top"/>
          </w:tcPr>
          <w:p w14:paraId="03F61FD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8C42DF1">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50B4F8C">
        <w:tblPrEx>
          <w:tblCellMar>
            <w:top w:w="0" w:type="dxa"/>
            <w:left w:w="108" w:type="dxa"/>
            <w:bottom w:w="0" w:type="dxa"/>
            <w:right w:w="108" w:type="dxa"/>
          </w:tblCellMar>
        </w:tblPrEx>
        <w:trPr>
          <w:trHeight w:val="741" w:hRule="exact"/>
        </w:trPr>
        <w:tc>
          <w:tcPr>
            <w:tcW w:w="4530" w:type="dxa"/>
            <w:noWrap w:val="0"/>
            <w:vAlign w:val="top"/>
          </w:tcPr>
          <w:p w14:paraId="0CA2222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7773FEB3">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64193728">
        <w:tblPrEx>
          <w:tblCellMar>
            <w:top w:w="0" w:type="dxa"/>
            <w:left w:w="108" w:type="dxa"/>
            <w:bottom w:w="0" w:type="dxa"/>
            <w:right w:w="108" w:type="dxa"/>
          </w:tblCellMar>
        </w:tblPrEx>
        <w:trPr>
          <w:trHeight w:val="611" w:hRule="exact"/>
        </w:trPr>
        <w:tc>
          <w:tcPr>
            <w:tcW w:w="4530" w:type="dxa"/>
            <w:noWrap w:val="0"/>
            <w:vAlign w:val="top"/>
          </w:tcPr>
          <w:p w14:paraId="54F0E1B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248BF96A">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5EFECA09">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213ECD12">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4E438A09">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686AB5A7">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7CB743D1">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DE39301">
      <w:pPr>
        <w:pageBreakBefore w:val="0"/>
        <w:kinsoku/>
        <w:wordWrap/>
        <w:overflowPunct/>
        <w:topLinePunct w:val="0"/>
        <w:bidi w:val="0"/>
        <w:spacing w:line="600" w:lineRule="exact"/>
        <w:ind w:firstLine="480" w:firstLineChars="20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建设工程廉政责任书</w:t>
      </w:r>
    </w:p>
    <w:p w14:paraId="0FA17B7B">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p>
    <w:p w14:paraId="0C8556EC">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w:t>
      </w:r>
      <w:r>
        <w:rPr>
          <w:rFonts w:hint="eastAsia" w:ascii="仿宋" w:hAnsi="仿宋" w:eastAsia="仿宋" w:cs="仿宋"/>
          <w:color w:val="auto"/>
          <w:sz w:val="24"/>
          <w:szCs w:val="24"/>
          <w:highlight w:val="none"/>
          <w:u w:val="single"/>
        </w:rPr>
        <w:t xml:space="preserve">新疆农业大学                       </w:t>
      </w:r>
    </w:p>
    <w:p w14:paraId="08979F4D">
      <w:pPr>
        <w:pageBreakBefore w:val="0"/>
        <w:kinsoku/>
        <w:wordWrap/>
        <w:overflowPunct/>
        <w:topLinePunct w:val="0"/>
        <w:bidi w:val="0"/>
        <w:spacing w:line="56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445BB99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506BE6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一、双方的责任</w:t>
      </w:r>
    </w:p>
    <w:p w14:paraId="1308B3C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1.1应严格遵守国家关于建设工程的有关法律、法规，相关政策，以及廉政建设的各项规定。</w:t>
      </w:r>
    </w:p>
    <w:p w14:paraId="4A7DE31B">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1.2严格执行建设工程合同文件，自觉按合同办事。</w:t>
      </w:r>
    </w:p>
    <w:p w14:paraId="0E535579">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1.3各项活动必须坚持公开、公平、公正、诚信、透明的原则(除法律法规另有规定者外)，不得为获取不正当的利益，损害国家、集体和对方利益，不得违反建设工程管理的规章制度。</w:t>
      </w:r>
    </w:p>
    <w:p w14:paraId="79B6C841">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1.4发现对方在业务活动中有违规、违纪、违法行为的，应及时提醒对方，情节严重的，应向其上级主管部门或纪检监察、司法等有关机关举报。</w:t>
      </w:r>
    </w:p>
    <w:p w14:paraId="7A720B5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二、发包人责任</w:t>
      </w:r>
    </w:p>
    <w:p w14:paraId="78138854">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发包人的领导和从事该建设工程项目的工作人员，在工程建设的事前、事中、事后应遵守以下规定：</w:t>
      </w:r>
    </w:p>
    <w:p w14:paraId="5E62107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2.1不得向承包人和相关单位索要或接受回扣、礼金、有价证券、贵重物品和好处费、感谢费等。</w:t>
      </w:r>
    </w:p>
    <w:p w14:paraId="426A6900">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2.2不得在承包人和相关单位报销任何应由发包人或个人支付的费用。</w:t>
      </w:r>
    </w:p>
    <w:p w14:paraId="7C58BB9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2.3不得要求、暗示或接受承包人和相关单位为个人装修住房、婚丧嫁娶、配偶子女的工作安排以及出国(境)、旅游等提供方便。</w:t>
      </w:r>
    </w:p>
    <w:p w14:paraId="3CB64262">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2.4不得参加有可能影响公正执行公务的承包人和相关单位的宴请、健身、娱乐等活动。</w:t>
      </w:r>
    </w:p>
    <w:p w14:paraId="2FD0F64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2.5不得向承包人和相关单位介绍或为配偶、子女、亲属参与同发包人工程建设管理合同有关的业务活动；不得以任何理由要求承包人和相关单位使用某种产品、材料和设备。</w:t>
      </w:r>
    </w:p>
    <w:p w14:paraId="63AEB5C5">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三、承包人责任</w:t>
      </w:r>
    </w:p>
    <w:p w14:paraId="35E012A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应与发包人保持正常的业务交往，按照有关法律法规和程序开展业务工作，严格执行工程建设的有关方针、政策，执行工程建设强制性标准，并遵守以下规定：</w:t>
      </w:r>
    </w:p>
    <w:p w14:paraId="11F3E9C7">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3.1不得以任何理由向发包人及其工作人员索要、接受或赠送礼金、有价证券、贵重物品及回扣、好处费、感谢费等。</w:t>
      </w:r>
    </w:p>
    <w:p w14:paraId="2F811C1B">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3.2不得以任何理由为发包人和相关单位报销应由对方或个人支付的费用。</w:t>
      </w:r>
    </w:p>
    <w:p w14:paraId="56E807C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3.3不得接受或暗示为发包人、相关单位或个人装修住房、婚丧嫁娶、配偶子女的工作安排以及出国(境)、旅游等提供方便。</w:t>
      </w:r>
    </w:p>
    <w:p w14:paraId="000FE5A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3.4不得以任何理由为发包人、相关单位或个人组织有可能影响公正执行公务的宴请、健身、娱乐等活动。</w:t>
      </w:r>
    </w:p>
    <w:p w14:paraId="20E35D7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四、违约责任</w:t>
      </w:r>
    </w:p>
    <w:p w14:paraId="4011E77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4.1发包人工作人员有违反本责任书第一、二条责任行为的，依据有关法律、法规给予处理；涉嫌犯罪的，移交司法机关追究刑事责任；给承包人单位造成经济损失的，应予以赔偿。</w:t>
      </w:r>
    </w:p>
    <w:p w14:paraId="2EFA399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4.2承包人工作人员有违反本责任书第一、三条责任行为的，依据有关法律法规处理；涉嫌犯罪的，移交司法机关追究刑事责任；给发包人单位造成经济损失的，应予以赔偿。</w:t>
      </w:r>
    </w:p>
    <w:p w14:paraId="011D0567">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4.3本责任书作为建设工程合同的组成部分，与建设工程合同具有同等法律效力。经双方签署后立即生效。</w:t>
      </w:r>
    </w:p>
    <w:p w14:paraId="07D4530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五、责任书有效期</w:t>
      </w:r>
    </w:p>
    <w:p w14:paraId="2AAF2DFF">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本责任书的有效期为双方签署之日起至该工程项目竣工验收合格时止。</w:t>
      </w:r>
    </w:p>
    <w:p w14:paraId="68EA0F6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六、责任书份数</w:t>
      </w:r>
    </w:p>
    <w:p w14:paraId="33257E0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本责任书一式贰份，发包人承包人各执壹份，具有同等效力。</w:t>
      </w:r>
    </w:p>
    <w:p w14:paraId="400FF6B3">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0141DB37">
        <w:tblPrEx>
          <w:tblCellMar>
            <w:top w:w="0" w:type="dxa"/>
            <w:left w:w="108" w:type="dxa"/>
            <w:bottom w:w="0" w:type="dxa"/>
            <w:right w:w="108" w:type="dxa"/>
          </w:tblCellMar>
        </w:tblPrEx>
        <w:trPr>
          <w:trHeight w:val="1013" w:hRule="exact"/>
        </w:trPr>
        <w:tc>
          <w:tcPr>
            <w:tcW w:w="4530" w:type="dxa"/>
            <w:noWrap w:val="0"/>
            <w:vAlign w:val="top"/>
          </w:tcPr>
          <w:p w14:paraId="3DFD55DA">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5AA9F12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BA7D6F7">
        <w:tblPrEx>
          <w:tblCellMar>
            <w:top w:w="0" w:type="dxa"/>
            <w:left w:w="108" w:type="dxa"/>
            <w:bottom w:w="0" w:type="dxa"/>
            <w:right w:w="108" w:type="dxa"/>
          </w:tblCellMar>
        </w:tblPrEx>
        <w:trPr>
          <w:trHeight w:val="473" w:hRule="exact"/>
        </w:trPr>
        <w:tc>
          <w:tcPr>
            <w:tcW w:w="4530" w:type="dxa"/>
            <w:noWrap w:val="0"/>
            <w:vAlign w:val="top"/>
          </w:tcPr>
          <w:p w14:paraId="2A4C95D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570811F2">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754205A9">
        <w:tblPrEx>
          <w:tblCellMar>
            <w:top w:w="0" w:type="dxa"/>
            <w:left w:w="108" w:type="dxa"/>
            <w:bottom w:w="0" w:type="dxa"/>
            <w:right w:w="108" w:type="dxa"/>
          </w:tblCellMar>
        </w:tblPrEx>
        <w:trPr>
          <w:trHeight w:val="524" w:hRule="exact"/>
        </w:trPr>
        <w:tc>
          <w:tcPr>
            <w:tcW w:w="4530" w:type="dxa"/>
            <w:noWrap w:val="0"/>
            <w:vAlign w:val="top"/>
          </w:tcPr>
          <w:p w14:paraId="2734E840">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5B265AC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42E7C591">
        <w:tblPrEx>
          <w:tblCellMar>
            <w:top w:w="0" w:type="dxa"/>
            <w:left w:w="108" w:type="dxa"/>
            <w:bottom w:w="0" w:type="dxa"/>
            <w:right w:w="108" w:type="dxa"/>
          </w:tblCellMar>
        </w:tblPrEx>
        <w:trPr>
          <w:trHeight w:val="654" w:hRule="exact"/>
        </w:trPr>
        <w:tc>
          <w:tcPr>
            <w:tcW w:w="4530" w:type="dxa"/>
            <w:noWrap w:val="0"/>
            <w:vAlign w:val="top"/>
          </w:tcPr>
          <w:p w14:paraId="11EEC3C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F5D2D3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C74A66D">
        <w:tblPrEx>
          <w:tblCellMar>
            <w:top w:w="0" w:type="dxa"/>
            <w:left w:w="108" w:type="dxa"/>
            <w:bottom w:w="0" w:type="dxa"/>
            <w:right w:w="108" w:type="dxa"/>
          </w:tblCellMar>
        </w:tblPrEx>
        <w:trPr>
          <w:trHeight w:val="1070" w:hRule="exact"/>
        </w:trPr>
        <w:tc>
          <w:tcPr>
            <w:tcW w:w="4530" w:type="dxa"/>
            <w:noWrap w:val="0"/>
            <w:vAlign w:val="top"/>
          </w:tcPr>
          <w:p w14:paraId="4765808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6669D1">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0F5CCB6E">
        <w:tblPrEx>
          <w:tblCellMar>
            <w:top w:w="0" w:type="dxa"/>
            <w:left w:w="108" w:type="dxa"/>
            <w:bottom w:w="0" w:type="dxa"/>
            <w:right w:w="108" w:type="dxa"/>
          </w:tblCellMar>
        </w:tblPrEx>
        <w:trPr>
          <w:trHeight w:val="542" w:hRule="exact"/>
        </w:trPr>
        <w:tc>
          <w:tcPr>
            <w:tcW w:w="4530" w:type="dxa"/>
            <w:noWrap w:val="0"/>
            <w:vAlign w:val="top"/>
          </w:tcPr>
          <w:p w14:paraId="293083A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4F92759F">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7318D8">
        <w:tblPrEx>
          <w:tblCellMar>
            <w:top w:w="0" w:type="dxa"/>
            <w:left w:w="108" w:type="dxa"/>
            <w:bottom w:w="0" w:type="dxa"/>
            <w:right w:w="108" w:type="dxa"/>
          </w:tblCellMar>
        </w:tblPrEx>
        <w:trPr>
          <w:trHeight w:val="1128" w:hRule="exact"/>
        </w:trPr>
        <w:tc>
          <w:tcPr>
            <w:tcW w:w="4530" w:type="dxa"/>
            <w:noWrap w:val="0"/>
            <w:vAlign w:val="top"/>
          </w:tcPr>
          <w:p w14:paraId="3DB2D7EF">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42A8C8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1A08027">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061DF3DA">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70758D1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68BD799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64AEE95D">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0DCBFDEC">
        <w:tblPrEx>
          <w:tblCellMar>
            <w:top w:w="0" w:type="dxa"/>
            <w:left w:w="108" w:type="dxa"/>
            <w:bottom w:w="0" w:type="dxa"/>
            <w:right w:w="108" w:type="dxa"/>
          </w:tblCellMar>
        </w:tblPrEx>
        <w:trPr>
          <w:trHeight w:val="564" w:hRule="exact"/>
        </w:trPr>
        <w:tc>
          <w:tcPr>
            <w:tcW w:w="4530" w:type="dxa"/>
            <w:noWrap w:val="0"/>
            <w:vAlign w:val="top"/>
          </w:tcPr>
          <w:p w14:paraId="6C040ECA">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7CB82FC">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5428A31">
        <w:tblPrEx>
          <w:tblCellMar>
            <w:top w:w="0" w:type="dxa"/>
            <w:left w:w="108" w:type="dxa"/>
            <w:bottom w:w="0" w:type="dxa"/>
            <w:right w:w="108" w:type="dxa"/>
          </w:tblCellMar>
        </w:tblPrEx>
        <w:trPr>
          <w:trHeight w:val="595" w:hRule="exact"/>
        </w:trPr>
        <w:tc>
          <w:tcPr>
            <w:tcW w:w="4530" w:type="dxa"/>
            <w:noWrap w:val="0"/>
            <w:vAlign w:val="top"/>
          </w:tcPr>
          <w:p w14:paraId="7F65DC3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7497820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35115A0B">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B26FFBA">
        <w:tblPrEx>
          <w:tblCellMar>
            <w:top w:w="0" w:type="dxa"/>
            <w:left w:w="108" w:type="dxa"/>
            <w:bottom w:w="0" w:type="dxa"/>
            <w:right w:w="108" w:type="dxa"/>
          </w:tblCellMar>
        </w:tblPrEx>
        <w:trPr>
          <w:trHeight w:val="549" w:hRule="exact"/>
        </w:trPr>
        <w:tc>
          <w:tcPr>
            <w:tcW w:w="4530" w:type="dxa"/>
            <w:noWrap w:val="0"/>
            <w:vAlign w:val="top"/>
          </w:tcPr>
          <w:p w14:paraId="5A4B9C2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1E73A9A">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3447EE02">
        <w:tblPrEx>
          <w:tblCellMar>
            <w:top w:w="0" w:type="dxa"/>
            <w:left w:w="108" w:type="dxa"/>
            <w:bottom w:w="0" w:type="dxa"/>
            <w:right w:w="108" w:type="dxa"/>
          </w:tblCellMar>
        </w:tblPrEx>
        <w:trPr>
          <w:trHeight w:val="741" w:hRule="exact"/>
        </w:trPr>
        <w:tc>
          <w:tcPr>
            <w:tcW w:w="4530" w:type="dxa"/>
            <w:noWrap w:val="0"/>
            <w:vAlign w:val="top"/>
          </w:tcPr>
          <w:p w14:paraId="04919DA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59E551D">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8459ACD">
        <w:tblPrEx>
          <w:tblCellMar>
            <w:top w:w="0" w:type="dxa"/>
            <w:left w:w="108" w:type="dxa"/>
            <w:bottom w:w="0" w:type="dxa"/>
            <w:right w:w="108" w:type="dxa"/>
          </w:tblCellMar>
        </w:tblPrEx>
        <w:trPr>
          <w:trHeight w:val="611" w:hRule="exact"/>
        </w:trPr>
        <w:tc>
          <w:tcPr>
            <w:tcW w:w="4530" w:type="dxa"/>
            <w:noWrap w:val="0"/>
            <w:vAlign w:val="top"/>
          </w:tcPr>
          <w:p w14:paraId="2A2ACABB">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76856EC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1B7E156E">
      <w:pPr>
        <w:pStyle w:val="13"/>
        <w:pageBreakBefore w:val="0"/>
        <w:kinsoku/>
        <w:wordWrap/>
        <w:overflowPunct/>
        <w:topLinePunct w:val="0"/>
        <w:bidi w:val="0"/>
        <w:ind w:firstLine="0"/>
        <w:textAlignment w:val="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5F406AE2">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w:t>
      </w:r>
    </w:p>
    <w:p w14:paraId="2796C243">
      <w:pPr>
        <w:pageBreakBefore w:val="0"/>
        <w:widowControl/>
        <w:kinsoku/>
        <w:wordWrap/>
        <w:overflowPunct/>
        <w:topLinePunct w:val="0"/>
        <w:bidi w:val="0"/>
        <w:snapToGrid/>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AB01B4F">
      <w:pPr>
        <w:spacing w:line="440" w:lineRule="exact"/>
        <w:jc w:val="center"/>
        <w:outlineLvl w:val="0"/>
        <w:rPr>
          <w:rFonts w:hint="eastAsia" w:ascii="仿宋" w:hAnsi="仿宋" w:eastAsia="仿宋" w:cs="仿宋"/>
          <w:b/>
          <w:color w:val="auto"/>
          <w:sz w:val="24"/>
          <w:szCs w:val="24"/>
          <w:highlight w:val="none"/>
        </w:rPr>
      </w:pPr>
      <w:bookmarkStart w:id="645" w:name="_Toc15960"/>
      <w:r>
        <w:rPr>
          <w:rFonts w:hint="eastAsia" w:ascii="仿宋" w:hAnsi="仿宋" w:eastAsia="仿宋" w:cs="仿宋"/>
          <w:b/>
          <w:color w:val="auto"/>
          <w:sz w:val="24"/>
          <w:szCs w:val="24"/>
          <w:highlight w:val="none"/>
        </w:rPr>
        <w:t>第四章 技术标准和要求</w:t>
      </w:r>
      <w:bookmarkEnd w:id="645"/>
    </w:p>
    <w:p w14:paraId="5DAC3E05">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1FAE7124">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1.1、本工程完成必须符合国家和地方现行相关质量评定标准和施工技术规范、施工图设计要求。</w:t>
      </w:r>
    </w:p>
    <w:p w14:paraId="61B3E88C">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1.2、本工程的材料检验和质量、工艺试验按国家、地方现行相关规定执行。</w:t>
      </w:r>
    </w:p>
    <w:p w14:paraId="391CFABD">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1.3、工程量清单及</w:t>
      </w:r>
      <w:r>
        <w:rPr>
          <w:rFonts w:hint="eastAsia" w:ascii="仿宋" w:hAnsi="仿宋" w:eastAsia="仿宋" w:cs="仿宋"/>
          <w:color w:val="auto"/>
          <w:sz w:val="24"/>
          <w:szCs w:val="24"/>
          <w:highlight w:val="none"/>
          <w:lang w:eastAsia="zh-CN" w:bidi="ar"/>
        </w:rPr>
        <w:t>已标价工程量清单</w:t>
      </w:r>
      <w:r>
        <w:rPr>
          <w:rFonts w:hint="eastAsia" w:ascii="仿宋" w:hAnsi="仿宋" w:eastAsia="仿宋" w:cs="仿宋"/>
          <w:color w:val="auto"/>
          <w:sz w:val="24"/>
          <w:szCs w:val="24"/>
          <w:highlight w:val="none"/>
          <w:lang w:bidi="ar"/>
        </w:rPr>
        <w:t>应当按照《建设工程工程量清单计价规范》（GB50500-2013）有关规定编制。</w:t>
      </w:r>
    </w:p>
    <w:p w14:paraId="65394F4A">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1.4、供应商编制已标价工程量清单须严格按照本采购文件附件（工程量清单）提供的表格填列。</w:t>
      </w:r>
    </w:p>
    <w:p w14:paraId="1FCABF26">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p>
    <w:p w14:paraId="1992F4BA">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54935EB1">
      <w:pPr>
        <w:adjustRightInd w:val="0"/>
        <w:snapToGrid w:val="0"/>
        <w:spacing w:line="312" w:lineRule="auto"/>
        <w:ind w:firstLine="420" w:firstLineChars="200"/>
        <w:rPr>
          <w:rFonts w:hint="eastAsia" w:ascii="仿宋" w:hAnsi="仿宋" w:eastAsia="仿宋" w:cs="仿宋"/>
          <w:color w:val="auto"/>
          <w:highlight w:val="none"/>
        </w:rPr>
      </w:pPr>
    </w:p>
    <w:p w14:paraId="015D1C84">
      <w:pPr>
        <w:snapToGrid w:val="0"/>
        <w:spacing w:line="312" w:lineRule="auto"/>
        <w:rPr>
          <w:rFonts w:hint="eastAsia" w:ascii="仿宋" w:hAnsi="仿宋" w:eastAsia="仿宋" w:cs="仿宋"/>
          <w:b/>
          <w:bCs/>
          <w:color w:val="auto"/>
          <w:sz w:val="24"/>
          <w:szCs w:val="24"/>
          <w:highlight w:val="none"/>
        </w:rPr>
        <w:sectPr>
          <w:headerReference r:id="rId7" w:type="default"/>
          <w:footerReference r:id="rId8" w:type="default"/>
          <w:pgSz w:w="11905" w:h="16838"/>
          <w:pgMar w:top="1440" w:right="1080" w:bottom="1440" w:left="1080" w:header="850" w:footer="992" w:gutter="0"/>
          <w:pgNumType w:fmt="decimal"/>
          <w:cols w:space="0" w:num="1"/>
          <w:docGrid w:type="linesAndChars" w:linePitch="312" w:charSpace="0"/>
        </w:sectPr>
      </w:pPr>
    </w:p>
    <w:p w14:paraId="1B566C53">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646" w:name="_Toc4127"/>
      <w:bookmarkStart w:id="647" w:name="_Toc1761"/>
      <w:r>
        <w:rPr>
          <w:rFonts w:hint="eastAsia" w:ascii="仿宋" w:hAnsi="仿宋" w:eastAsia="仿宋" w:cs="仿宋"/>
          <w:b/>
          <w:color w:val="auto"/>
          <w:sz w:val="24"/>
          <w:szCs w:val="24"/>
          <w:highlight w:val="none"/>
          <w:shd w:val="clear" w:color="auto" w:fill="FFFFFF" w:themeFill="background1"/>
        </w:rPr>
        <w:t>第五章 响应文件格式</w:t>
      </w:r>
      <w:bookmarkEnd w:id="646"/>
      <w:bookmarkEnd w:id="647"/>
    </w:p>
    <w:p w14:paraId="1ACB4099">
      <w:pPr>
        <w:spacing w:line="360" w:lineRule="auto"/>
        <w:rPr>
          <w:rFonts w:ascii="仿宋" w:hAnsi="仿宋" w:eastAsia="仿宋" w:cs="仿宋"/>
          <w:b/>
          <w:color w:val="auto"/>
          <w:sz w:val="24"/>
          <w:szCs w:val="24"/>
          <w:highlight w:val="none"/>
          <w:shd w:val="clear" w:color="auto" w:fill="FFFFFF" w:themeFill="background1"/>
        </w:rPr>
      </w:pPr>
    </w:p>
    <w:p w14:paraId="78037508">
      <w:pPr>
        <w:spacing w:line="360" w:lineRule="auto"/>
        <w:rPr>
          <w:rFonts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3DBC4862">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CEE6D3C">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377DDED">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6FA505FA">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0E70F1BB">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1780A3BC">
      <w:pPr>
        <w:spacing w:line="360" w:lineRule="auto"/>
        <w:jc w:val="center"/>
        <w:rPr>
          <w:rFonts w:ascii="仿宋" w:hAnsi="仿宋" w:eastAsia="仿宋" w:cs="仿宋"/>
          <w:b/>
          <w:bCs/>
          <w:color w:val="auto"/>
          <w:sz w:val="24"/>
          <w:szCs w:val="24"/>
          <w:highlight w:val="none"/>
          <w:shd w:val="clear" w:color="auto" w:fill="FFFFFF" w:themeFill="background1"/>
        </w:rPr>
      </w:pPr>
    </w:p>
    <w:p w14:paraId="3FA06A38">
      <w:pPr>
        <w:spacing w:line="360" w:lineRule="auto"/>
        <w:jc w:val="center"/>
        <w:rPr>
          <w:rFonts w:ascii="仿宋" w:hAnsi="仿宋" w:eastAsia="仿宋" w:cs="仿宋"/>
          <w:b/>
          <w:bCs/>
          <w:color w:val="auto"/>
          <w:sz w:val="24"/>
          <w:szCs w:val="24"/>
          <w:highlight w:val="none"/>
          <w:shd w:val="clear" w:color="auto" w:fill="FFFFFF" w:themeFill="background1"/>
        </w:rPr>
      </w:pPr>
    </w:p>
    <w:p w14:paraId="007DFBC9">
      <w:pPr>
        <w:spacing w:line="360" w:lineRule="auto"/>
        <w:jc w:val="center"/>
        <w:rPr>
          <w:rFonts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1DDCDB2B">
      <w:pPr>
        <w:spacing w:line="360" w:lineRule="auto"/>
        <w:rPr>
          <w:rFonts w:ascii="仿宋" w:hAnsi="仿宋" w:eastAsia="仿宋" w:cs="仿宋"/>
          <w:color w:val="auto"/>
          <w:sz w:val="24"/>
          <w:szCs w:val="24"/>
          <w:highlight w:val="none"/>
          <w:shd w:val="clear" w:color="auto" w:fill="FFFFFF" w:themeFill="background1"/>
        </w:rPr>
      </w:pPr>
    </w:p>
    <w:p w14:paraId="349E3978">
      <w:pPr>
        <w:spacing w:line="360" w:lineRule="auto"/>
        <w:rPr>
          <w:rFonts w:ascii="仿宋" w:hAnsi="仿宋" w:eastAsia="仿宋" w:cs="仿宋"/>
          <w:color w:val="auto"/>
          <w:sz w:val="24"/>
          <w:szCs w:val="24"/>
          <w:highlight w:val="none"/>
          <w:shd w:val="clear" w:color="auto" w:fill="FFFFFF" w:themeFill="background1"/>
        </w:rPr>
      </w:pPr>
    </w:p>
    <w:p w14:paraId="1800F5A9">
      <w:pPr>
        <w:spacing w:line="360" w:lineRule="auto"/>
        <w:rPr>
          <w:rFonts w:ascii="仿宋" w:hAnsi="仿宋" w:eastAsia="仿宋" w:cs="仿宋"/>
          <w:color w:val="auto"/>
          <w:sz w:val="24"/>
          <w:szCs w:val="24"/>
          <w:highlight w:val="none"/>
          <w:shd w:val="clear" w:color="auto" w:fill="FFFFFF" w:themeFill="background1"/>
        </w:rPr>
      </w:pPr>
    </w:p>
    <w:p w14:paraId="15660F9F">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7761DE5F">
      <w:pPr>
        <w:spacing w:line="360" w:lineRule="auto"/>
        <w:rPr>
          <w:rFonts w:ascii="仿宋" w:hAnsi="仿宋" w:eastAsia="仿宋" w:cs="仿宋"/>
          <w:color w:val="auto"/>
          <w:sz w:val="24"/>
          <w:szCs w:val="24"/>
          <w:highlight w:val="none"/>
          <w:shd w:val="clear" w:color="auto" w:fill="FFFFFF" w:themeFill="background1"/>
        </w:rPr>
      </w:pPr>
    </w:p>
    <w:p w14:paraId="5FE3A48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FD14D6A">
      <w:pPr>
        <w:spacing w:line="360" w:lineRule="auto"/>
        <w:rPr>
          <w:rFonts w:ascii="仿宋" w:hAnsi="仿宋" w:eastAsia="仿宋" w:cs="仿宋"/>
          <w:color w:val="auto"/>
          <w:sz w:val="24"/>
          <w:szCs w:val="24"/>
          <w:highlight w:val="none"/>
          <w:shd w:val="clear" w:color="auto" w:fill="FFFFFF" w:themeFill="background1"/>
        </w:rPr>
      </w:pPr>
    </w:p>
    <w:p w14:paraId="7711C1C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01B29B6D">
      <w:pPr>
        <w:spacing w:line="360" w:lineRule="auto"/>
        <w:rPr>
          <w:rFonts w:ascii="仿宋" w:hAnsi="仿宋" w:eastAsia="仿宋" w:cs="仿宋"/>
          <w:color w:val="auto"/>
          <w:sz w:val="24"/>
          <w:szCs w:val="24"/>
          <w:highlight w:val="none"/>
          <w:shd w:val="clear" w:color="auto" w:fill="FFFFFF" w:themeFill="background1"/>
        </w:rPr>
      </w:pPr>
    </w:p>
    <w:p w14:paraId="1DDE1C8A">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4AC7E8F4">
      <w:pPr>
        <w:spacing w:line="360" w:lineRule="auto"/>
        <w:rPr>
          <w:rFonts w:ascii="仿宋" w:hAnsi="仿宋" w:eastAsia="仿宋" w:cs="仿宋"/>
          <w:color w:val="auto"/>
          <w:sz w:val="24"/>
          <w:szCs w:val="24"/>
          <w:highlight w:val="none"/>
          <w:shd w:val="clear" w:color="auto" w:fill="FFFFFF" w:themeFill="background1"/>
        </w:rPr>
      </w:pPr>
    </w:p>
    <w:p w14:paraId="370AA6A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13A0A830">
      <w:pPr>
        <w:spacing w:line="360" w:lineRule="auto"/>
        <w:rPr>
          <w:rFonts w:ascii="仿宋" w:hAnsi="仿宋" w:eastAsia="仿宋" w:cs="仿宋"/>
          <w:color w:val="auto"/>
          <w:sz w:val="24"/>
          <w:szCs w:val="24"/>
          <w:highlight w:val="none"/>
          <w:shd w:val="clear" w:color="auto" w:fill="FFFFFF" w:themeFill="background1"/>
        </w:rPr>
      </w:pPr>
    </w:p>
    <w:p w14:paraId="596F60F3">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077F19D2">
      <w:pPr>
        <w:spacing w:line="360" w:lineRule="auto"/>
        <w:rPr>
          <w:rFonts w:ascii="仿宋" w:hAnsi="仿宋" w:eastAsia="仿宋" w:cs="仿宋"/>
          <w:color w:val="auto"/>
          <w:sz w:val="24"/>
          <w:szCs w:val="24"/>
          <w:highlight w:val="none"/>
          <w:shd w:val="clear" w:color="auto" w:fill="FFFFFF" w:themeFill="background1"/>
        </w:rPr>
      </w:pPr>
    </w:p>
    <w:p w14:paraId="39E06089">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383F6E7D">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p>
    <w:p w14:paraId="43A33B7D">
      <w:pPr>
        <w:spacing w:line="360" w:lineRule="auto"/>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648" w:name="_Toc38446469"/>
      <w:bookmarkStart w:id="649" w:name="_Toc38910521"/>
      <w:r>
        <w:rPr>
          <w:rFonts w:hint="eastAsia" w:ascii="仿宋" w:hAnsi="仿宋" w:eastAsia="仿宋" w:cs="仿宋"/>
          <w:color w:val="auto"/>
          <w:sz w:val="24"/>
          <w:szCs w:val="24"/>
          <w:highlight w:val="none"/>
          <w:shd w:val="clear" w:color="auto" w:fill="FFFFFF" w:themeFill="background1"/>
        </w:rPr>
        <w:t>目录</w:t>
      </w:r>
      <w:bookmarkEnd w:id="648"/>
      <w:bookmarkEnd w:id="649"/>
    </w:p>
    <w:p w14:paraId="1D157A26">
      <w:pPr>
        <w:spacing w:line="360" w:lineRule="auto"/>
        <w:rPr>
          <w:rFonts w:ascii="仿宋" w:hAnsi="仿宋" w:eastAsia="仿宋" w:cs="仿宋"/>
          <w:bCs/>
          <w:color w:val="auto"/>
          <w:sz w:val="24"/>
          <w:szCs w:val="24"/>
          <w:highlight w:val="none"/>
          <w:shd w:val="clear" w:color="auto" w:fill="FFFFFF" w:themeFill="background1"/>
        </w:rPr>
      </w:pPr>
    </w:p>
    <w:p w14:paraId="28F6829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178FD79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558DE7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D5FD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59C4865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1934B3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6F142DD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58F4ED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0A323D8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652030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42497A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900780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4F6960C0">
      <w:pPr>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rPr>
        <w:t>保证金缴纳证明材料</w:t>
      </w:r>
    </w:p>
    <w:p w14:paraId="4BFCC1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其它需要</w:t>
      </w:r>
      <w:r>
        <w:rPr>
          <w:rFonts w:hint="eastAsia" w:ascii="仿宋" w:hAnsi="仿宋" w:eastAsia="仿宋" w:cs="仿宋"/>
          <w:b w:val="0"/>
          <w:bCs w:val="0"/>
          <w:color w:val="auto"/>
          <w:sz w:val="24"/>
          <w:szCs w:val="24"/>
          <w:highlight w:val="none"/>
        </w:rPr>
        <w:t>提交的资料</w:t>
      </w:r>
    </w:p>
    <w:p w14:paraId="14FB34E5">
      <w:pPr>
        <w:spacing w:line="360" w:lineRule="auto"/>
        <w:rPr>
          <w:rFonts w:ascii="仿宋" w:hAnsi="仿宋" w:eastAsia="仿宋" w:cs="仿宋"/>
          <w:bCs/>
          <w:color w:val="auto"/>
          <w:sz w:val="24"/>
          <w:szCs w:val="24"/>
          <w:highlight w:val="none"/>
          <w:shd w:val="clear" w:color="auto" w:fill="FFFFFF" w:themeFill="background1"/>
        </w:rPr>
      </w:pPr>
    </w:p>
    <w:p w14:paraId="55CC241A">
      <w:pPr>
        <w:spacing w:line="360" w:lineRule="auto"/>
        <w:rPr>
          <w:rFonts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w:t>
      </w:r>
      <w:r>
        <w:rPr>
          <w:rFonts w:hint="eastAsia" w:ascii="仿宋" w:hAnsi="仿宋" w:eastAsia="仿宋" w:cs="仿宋"/>
          <w:bCs/>
          <w:color w:val="auto"/>
          <w:sz w:val="24"/>
          <w:szCs w:val="24"/>
          <w:highlight w:val="none"/>
          <w:shd w:val="clear" w:color="auto" w:fill="FFFFFF" w:themeFill="background1"/>
          <w:lang w:eastAsia="zh-CN"/>
        </w:rPr>
        <w:t>成交</w:t>
      </w:r>
      <w:r>
        <w:rPr>
          <w:rFonts w:hint="eastAsia" w:ascii="仿宋" w:hAnsi="仿宋" w:eastAsia="仿宋" w:cs="仿宋"/>
          <w:bCs/>
          <w:color w:val="auto"/>
          <w:sz w:val="24"/>
          <w:szCs w:val="24"/>
          <w:highlight w:val="none"/>
          <w:shd w:val="clear" w:color="auto" w:fill="FFFFFF" w:themeFill="background1"/>
        </w:rPr>
        <w:t>明每项内容的起始页码。</w:t>
      </w:r>
    </w:p>
    <w:p w14:paraId="7EA029E8">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r>
        <w:rPr>
          <w:rFonts w:hint="eastAsia" w:ascii="仿宋" w:hAnsi="仿宋" w:eastAsia="仿宋" w:cs="仿宋"/>
          <w:b/>
          <w:color w:val="auto"/>
          <w:sz w:val="24"/>
          <w:szCs w:val="24"/>
          <w:highlight w:val="none"/>
          <w:shd w:val="clear" w:color="auto" w:fill="FFFFFF" w:themeFill="background1"/>
        </w:rPr>
        <w:br w:type="page"/>
      </w:r>
      <w:bookmarkStart w:id="650" w:name="_Toc533503181"/>
      <w:bookmarkStart w:id="651" w:name="_Toc38446470"/>
      <w:bookmarkStart w:id="652" w:name="_Toc507586166"/>
      <w:bookmarkStart w:id="653" w:name="_Toc8529"/>
      <w:bookmarkStart w:id="654" w:name="_Toc8983"/>
      <w:r>
        <w:rPr>
          <w:rFonts w:hint="eastAsia" w:ascii="仿宋" w:hAnsi="仿宋" w:eastAsia="仿宋" w:cs="仿宋"/>
          <w:b/>
          <w:color w:val="auto"/>
          <w:sz w:val="24"/>
          <w:szCs w:val="24"/>
          <w:highlight w:val="none"/>
          <w:shd w:val="clear" w:color="auto" w:fill="FFFFFF" w:themeFill="background1"/>
        </w:rPr>
        <w:t>一、</w:t>
      </w:r>
      <w:bookmarkEnd w:id="650"/>
      <w:bookmarkEnd w:id="651"/>
      <w:bookmarkEnd w:id="652"/>
      <w:bookmarkEnd w:id="653"/>
      <w:r>
        <w:rPr>
          <w:rFonts w:hint="eastAsia" w:ascii="仿宋" w:hAnsi="仿宋" w:eastAsia="仿宋" w:cs="仿宋"/>
          <w:b/>
          <w:color w:val="auto"/>
          <w:sz w:val="24"/>
          <w:szCs w:val="24"/>
          <w:highlight w:val="none"/>
          <w:shd w:val="clear" w:color="auto" w:fill="FFFFFF" w:themeFill="background1"/>
          <w:lang w:eastAsia="zh-CN"/>
        </w:rPr>
        <w:t>开启一览表</w:t>
      </w:r>
      <w:bookmarkEnd w:id="654"/>
    </w:p>
    <w:p w14:paraId="056FFF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4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0"/>
        <w:gridCol w:w="6251"/>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lang w:val="en-US" w:eastAsia="zh-CN"/>
              </w:rPr>
              <w:t>项目</w:t>
            </w:r>
            <w:r>
              <w:rPr>
                <w:rFonts w:hint="eastAsia" w:ascii="仿宋" w:hAnsi="仿宋" w:eastAsia="仿宋" w:cs="仿宋"/>
                <w:b w:val="0"/>
                <w:bCs/>
                <w:i w:val="0"/>
                <w:iCs w:val="0"/>
                <w:color w:val="auto"/>
                <w:kern w:val="2"/>
                <w:sz w:val="24"/>
                <w:szCs w:val="24"/>
                <w:highlight w:val="none"/>
              </w:rPr>
              <w:t>名称</w:t>
            </w:r>
          </w:p>
        </w:tc>
        <w:tc>
          <w:tcPr>
            <w:tcW w:w="3499" w:type="pct"/>
            <w:tcBorders>
              <w:left w:val="single" w:color="auto" w:sz="4" w:space="0"/>
            </w:tcBorders>
            <w:vAlign w:val="center"/>
          </w:tcPr>
          <w:p w14:paraId="37CB85C6">
            <w:pPr>
              <w:spacing w:line="240" w:lineRule="auto"/>
              <w:jc w:val="both"/>
              <w:rPr>
                <w:rFonts w:hint="default" w:ascii="仿宋" w:hAnsi="仿宋" w:eastAsia="仿宋" w:cs="仿宋"/>
                <w:b w:val="0"/>
                <w:bCs/>
                <w:i w:val="0"/>
                <w:iCs w:val="0"/>
                <w:color w:val="auto"/>
                <w:kern w:val="2"/>
                <w:sz w:val="24"/>
                <w:szCs w:val="24"/>
                <w:highlight w:val="none"/>
                <w:lang w:val="en-US" w:eastAsia="zh-CN"/>
              </w:rPr>
            </w:pPr>
          </w:p>
        </w:tc>
      </w:tr>
      <w:tr w14:paraId="1E66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64C55037">
            <w:pPr>
              <w:spacing w:line="240" w:lineRule="auto"/>
              <w:jc w:val="center"/>
              <w:rPr>
                <w:rFonts w:hint="eastAsia" w:ascii="仿宋" w:hAnsi="仿宋" w:eastAsia="仿宋" w:cs="仿宋"/>
                <w:b w:val="0"/>
                <w:bCs/>
                <w:i w:val="0"/>
                <w:iCs w:val="0"/>
                <w:color w:val="auto"/>
                <w:kern w:val="2"/>
                <w:sz w:val="24"/>
                <w:szCs w:val="24"/>
                <w:highlight w:val="none"/>
                <w:lang w:val="en-US" w:eastAsia="zh-CN"/>
              </w:rPr>
            </w:pPr>
            <w:r>
              <w:rPr>
                <w:rFonts w:hint="eastAsia" w:ascii="仿宋" w:hAnsi="仿宋" w:eastAsia="仿宋" w:cs="仿宋"/>
                <w:b w:val="0"/>
                <w:bCs/>
                <w:i w:val="0"/>
                <w:iCs w:val="0"/>
                <w:color w:val="auto"/>
                <w:kern w:val="2"/>
                <w:sz w:val="24"/>
                <w:szCs w:val="24"/>
                <w:highlight w:val="none"/>
                <w:lang w:val="en-US" w:eastAsia="zh-CN"/>
              </w:rPr>
              <w:t>项目编号</w:t>
            </w:r>
          </w:p>
        </w:tc>
        <w:tc>
          <w:tcPr>
            <w:tcW w:w="3499" w:type="pct"/>
            <w:tcBorders>
              <w:left w:val="single" w:color="auto" w:sz="4" w:space="0"/>
            </w:tcBorders>
            <w:vAlign w:val="center"/>
          </w:tcPr>
          <w:p w14:paraId="5642448B">
            <w:pPr>
              <w:spacing w:line="240" w:lineRule="auto"/>
              <w:jc w:val="both"/>
              <w:rPr>
                <w:rFonts w:hint="eastAsia" w:ascii="仿宋" w:hAnsi="仿宋" w:eastAsia="仿宋" w:cs="仿宋"/>
                <w:b w:val="0"/>
                <w:bCs/>
                <w:i w:val="0"/>
                <w:iCs w:val="0"/>
                <w:color w:val="auto"/>
                <w:kern w:val="2"/>
                <w:sz w:val="24"/>
                <w:szCs w:val="24"/>
                <w:highlight w:val="none"/>
              </w:rPr>
            </w:pP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5F388EDB">
            <w:pPr>
              <w:spacing w:line="240" w:lineRule="auto"/>
              <w:jc w:val="center"/>
              <w:rPr>
                <w:rFonts w:hint="eastAsia" w:ascii="仿宋" w:hAnsi="仿宋" w:eastAsia="仿宋" w:cs="仿宋"/>
                <w:b w:val="0"/>
                <w:bCs/>
                <w:i w:val="0"/>
                <w:iCs w:val="0"/>
                <w:color w:val="auto"/>
                <w:kern w:val="2"/>
                <w:sz w:val="24"/>
                <w:szCs w:val="24"/>
                <w:highlight w:val="none"/>
                <w:lang w:eastAsia="zh-CN"/>
              </w:rPr>
            </w:pPr>
            <w:r>
              <w:rPr>
                <w:rFonts w:hint="eastAsia" w:ascii="仿宋" w:hAnsi="仿宋" w:eastAsia="仿宋" w:cs="仿宋"/>
                <w:b w:val="0"/>
                <w:bCs/>
                <w:i w:val="0"/>
                <w:iCs w:val="0"/>
                <w:color w:val="auto"/>
                <w:kern w:val="2"/>
                <w:sz w:val="24"/>
                <w:szCs w:val="24"/>
                <w:highlight w:val="none"/>
                <w:lang w:val="en-US" w:eastAsia="zh-CN"/>
              </w:rPr>
              <w:t>响应价格</w:t>
            </w:r>
            <w:r>
              <w:rPr>
                <w:rFonts w:hint="eastAsia" w:ascii="仿宋" w:hAnsi="仿宋" w:eastAsia="仿宋" w:cs="仿宋"/>
                <w:b w:val="0"/>
                <w:bCs/>
                <w:i w:val="0"/>
                <w:iCs w:val="0"/>
                <w:color w:val="auto"/>
                <w:kern w:val="2"/>
                <w:sz w:val="24"/>
                <w:szCs w:val="24"/>
                <w:highlight w:val="none"/>
                <w:lang w:eastAsia="zh-CN"/>
              </w:rPr>
              <w:t>（</w:t>
            </w:r>
            <w:r>
              <w:rPr>
                <w:rFonts w:hint="eastAsia" w:ascii="仿宋" w:hAnsi="仿宋" w:eastAsia="仿宋" w:cs="仿宋"/>
                <w:b w:val="0"/>
                <w:bCs/>
                <w:i w:val="0"/>
                <w:iCs w:val="0"/>
                <w:color w:val="auto"/>
                <w:kern w:val="2"/>
                <w:sz w:val="24"/>
                <w:szCs w:val="24"/>
                <w:highlight w:val="none"/>
                <w:lang w:val="en-US" w:eastAsia="zh-CN"/>
              </w:rPr>
              <w:t>元</w:t>
            </w:r>
            <w:r>
              <w:rPr>
                <w:rFonts w:hint="eastAsia" w:ascii="仿宋" w:hAnsi="仿宋" w:eastAsia="仿宋" w:cs="仿宋"/>
                <w:b w:val="0"/>
                <w:bCs/>
                <w:i w:val="0"/>
                <w:iCs w:val="0"/>
                <w:color w:val="auto"/>
                <w:kern w:val="2"/>
                <w:sz w:val="24"/>
                <w:szCs w:val="24"/>
                <w:highlight w:val="none"/>
                <w:lang w:eastAsia="zh-CN"/>
              </w:rPr>
              <w:t>）</w:t>
            </w:r>
          </w:p>
        </w:tc>
        <w:tc>
          <w:tcPr>
            <w:tcW w:w="3499" w:type="pct"/>
            <w:vAlign w:val="center"/>
          </w:tcPr>
          <w:p w14:paraId="3D4F3E9E">
            <w:pPr>
              <w:snapToGrid w:val="0"/>
              <w:spacing w:line="240" w:lineRule="auto"/>
              <w:jc w:val="both"/>
              <w:rPr>
                <w:rFonts w:hint="eastAsia" w:ascii="仿宋" w:hAnsi="仿宋" w:eastAsia="仿宋" w:cs="仿宋"/>
                <w:b w:val="0"/>
                <w:bCs/>
                <w:i w:val="0"/>
                <w:iCs w:val="0"/>
                <w:color w:val="auto"/>
                <w:sz w:val="24"/>
                <w:szCs w:val="24"/>
                <w:highlight w:val="none"/>
                <w:u w:val="single"/>
              </w:rPr>
            </w:pPr>
            <w:r>
              <w:rPr>
                <w:rFonts w:hint="eastAsia" w:ascii="仿宋" w:hAnsi="仿宋" w:eastAsia="仿宋" w:cs="仿宋"/>
                <w:b w:val="0"/>
                <w:bCs/>
                <w:i w:val="0"/>
                <w:iCs w:val="0"/>
                <w:color w:val="auto"/>
                <w:sz w:val="24"/>
                <w:szCs w:val="24"/>
                <w:highlight w:val="none"/>
              </w:rPr>
              <w:t>大写：</w:t>
            </w:r>
            <w:r>
              <w:rPr>
                <w:rFonts w:hint="eastAsia" w:ascii="仿宋" w:hAnsi="仿宋" w:eastAsia="仿宋" w:cs="仿宋"/>
                <w:b w:val="0"/>
                <w:bCs/>
                <w:i w:val="0"/>
                <w:iCs w:val="0"/>
                <w:color w:val="auto"/>
                <w:sz w:val="24"/>
                <w:szCs w:val="24"/>
                <w:highlight w:val="none"/>
                <w:u w:val="single"/>
              </w:rPr>
              <w:t xml:space="preserve">                     </w:t>
            </w:r>
          </w:p>
          <w:p w14:paraId="075AE9A8">
            <w:pPr>
              <w:snapToGrid w:val="0"/>
              <w:spacing w:line="240" w:lineRule="auto"/>
              <w:jc w:val="both"/>
              <w:rPr>
                <w:rFonts w:hint="eastAsia" w:ascii="仿宋" w:hAnsi="仿宋" w:eastAsia="仿宋" w:cs="仿宋"/>
                <w:b w:val="0"/>
                <w:bCs/>
                <w:i w:val="0"/>
                <w:iCs w:val="0"/>
                <w:color w:val="auto"/>
                <w:sz w:val="24"/>
                <w:szCs w:val="24"/>
                <w:highlight w:val="none"/>
                <w:u w:val="single"/>
              </w:rPr>
            </w:pPr>
          </w:p>
          <w:p w14:paraId="3A1569B3">
            <w:pPr>
              <w:spacing w:line="240" w:lineRule="auto"/>
              <w:ind w:right="-670"/>
              <w:jc w:val="both"/>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sz w:val="24"/>
                <w:szCs w:val="24"/>
                <w:highlight w:val="none"/>
              </w:rPr>
              <w:t>小写：</w:t>
            </w:r>
            <w:r>
              <w:rPr>
                <w:rFonts w:hint="eastAsia" w:ascii="仿宋" w:hAnsi="仿宋" w:eastAsia="仿宋" w:cs="仿宋"/>
                <w:b w:val="0"/>
                <w:bCs/>
                <w:i w:val="0"/>
                <w:iCs w:val="0"/>
                <w:color w:val="auto"/>
                <w:sz w:val="24"/>
                <w:szCs w:val="24"/>
                <w:highlight w:val="none"/>
                <w:u w:val="single"/>
              </w:rPr>
              <w:t xml:space="preserve">                     </w:t>
            </w: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179A7373">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质量标准</w:t>
            </w:r>
          </w:p>
        </w:tc>
        <w:tc>
          <w:tcPr>
            <w:tcW w:w="3499" w:type="pct"/>
            <w:vAlign w:val="center"/>
          </w:tcPr>
          <w:p w14:paraId="1E5D469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4E204255">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工    期</w:t>
            </w:r>
          </w:p>
        </w:tc>
        <w:tc>
          <w:tcPr>
            <w:tcW w:w="3499" w:type="pct"/>
            <w:vAlign w:val="center"/>
          </w:tcPr>
          <w:p w14:paraId="78146B7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4A6D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20B01FB6">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color w:val="auto"/>
                <w:kern w:val="0"/>
                <w:sz w:val="24"/>
                <w:szCs w:val="24"/>
                <w:highlight w:val="none"/>
                <w:lang w:val="en-US" w:eastAsia="zh-CN"/>
              </w:rPr>
              <w:t>项目负责人</w:t>
            </w:r>
          </w:p>
        </w:tc>
        <w:tc>
          <w:tcPr>
            <w:tcW w:w="3499" w:type="pct"/>
            <w:vAlign w:val="center"/>
          </w:tcPr>
          <w:p w14:paraId="7B357AB1">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姓名：</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1BEA839A">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证书名称：</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04AA15FF">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证书编号：</w:t>
            </w:r>
            <w:r>
              <w:rPr>
                <w:rFonts w:hint="eastAsia" w:ascii="仿宋" w:hAnsi="仿宋" w:eastAsia="仿宋" w:cs="仿宋"/>
                <w:b w:val="0"/>
                <w:bCs/>
                <w:i w:val="0"/>
                <w:iCs w:val="0"/>
                <w:color w:val="auto"/>
                <w:kern w:val="2"/>
                <w:sz w:val="24"/>
                <w:szCs w:val="24"/>
                <w:highlight w:val="none"/>
                <w:u w:val="single"/>
                <w:lang w:val="en-US" w:eastAsia="zh-CN"/>
              </w:rPr>
              <w:t xml:space="preserve">           </w:t>
            </w: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vAlign w:val="center"/>
          </w:tcPr>
          <w:p w14:paraId="71B51A75">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备注</w:t>
            </w:r>
          </w:p>
        </w:tc>
        <w:tc>
          <w:tcPr>
            <w:tcW w:w="3499" w:type="pct"/>
            <w:vAlign w:val="center"/>
          </w:tcPr>
          <w:p w14:paraId="73BFA4FB">
            <w:pPr>
              <w:spacing w:line="240" w:lineRule="auto"/>
              <w:jc w:val="both"/>
              <w:rPr>
                <w:rFonts w:hint="eastAsia" w:ascii="仿宋" w:hAnsi="仿宋" w:eastAsia="仿宋" w:cs="仿宋"/>
                <w:b w:val="0"/>
                <w:bCs/>
                <w:i w:val="0"/>
                <w:iCs w:val="0"/>
                <w:color w:val="auto"/>
                <w:kern w:val="2"/>
                <w:sz w:val="24"/>
                <w:szCs w:val="24"/>
                <w:highlight w:val="none"/>
              </w:rPr>
            </w:pPr>
          </w:p>
        </w:tc>
      </w:tr>
    </w:tbl>
    <w:p w14:paraId="6870FF01">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471007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E1C224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CCB92B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34F93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2FA1727B">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58AAF73F">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br w:type="page"/>
      </w:r>
    </w:p>
    <w:p w14:paraId="4FF0C393">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655" w:name="_Toc7538"/>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响应函</w:t>
      </w:r>
      <w:bookmarkEnd w:id="655"/>
    </w:p>
    <w:p w14:paraId="021EEEB0">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p>
    <w:p w14:paraId="130319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62E9ED98">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根据已收到的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，遵照《中华人民共和国政府采购法》等有关法律法规的规定，经考察现场和充分研究贵方的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的全部内容后，我方郑重承诺如下：</w:t>
      </w:r>
    </w:p>
    <w:p w14:paraId="67754A59">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eastAsia="zh-CN"/>
        </w:rPr>
        <w:t xml:space="preserve">、不向项目有关人员及部门赠送礼金礼物、有价证券、回扣以及中介费、介绍费、咨询费等好处费；不为项目有关人员及部门报销应由你方单位或个人支付的费用。 </w:t>
      </w:r>
    </w:p>
    <w:p w14:paraId="29B9F72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eastAsia="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502561A1">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val="zh-CN" w:eastAsia="zh-CN"/>
        </w:rPr>
        <w:t xml:space="preserve">、严格遵守《中华人民共和国政府采购法》、《中华人民共和国民法典》等法律法规，诚实守信，合法经营，坚决抵制各种违法违纪行为。 </w:t>
      </w:r>
    </w:p>
    <w:p w14:paraId="39BF2FF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4、我方所递交的响应文件及有关资料内容完整、真实和准确，且不存在供应商须知前附表规定的供应商不得存在的任何一种情形。</w:t>
      </w:r>
    </w:p>
    <w:p w14:paraId="7F8B25B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5、</w:t>
      </w:r>
      <w:r>
        <w:rPr>
          <w:rFonts w:hint="eastAsia" w:ascii="仿宋" w:hAnsi="仿宋" w:eastAsia="仿宋" w:cs="仿宋"/>
          <w:color w:val="auto"/>
          <w:kern w:val="0"/>
          <w:sz w:val="24"/>
          <w:szCs w:val="24"/>
          <w:highlight w:val="none"/>
          <w:shd w:val="clear" w:color="auto" w:fill="FFFFFF" w:themeFill="background1"/>
        </w:rPr>
        <w:t>本</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有效期内对我方具有约束力，如果我方在</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有效期内撤销</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，其</w:t>
      </w:r>
      <w:r>
        <w:rPr>
          <w:rFonts w:hint="eastAsia" w:ascii="仿宋" w:hAnsi="仿宋" w:eastAsia="仿宋" w:cs="仿宋"/>
          <w:color w:val="auto"/>
          <w:kern w:val="0"/>
          <w:sz w:val="24"/>
          <w:szCs w:val="24"/>
          <w:highlight w:val="none"/>
          <w:shd w:val="clear" w:color="auto" w:fill="FFFFFF" w:themeFill="background1"/>
          <w:lang w:eastAsia="zh-CN"/>
        </w:rPr>
        <w:t>响应担保</w:t>
      </w:r>
      <w:r>
        <w:rPr>
          <w:rFonts w:hint="eastAsia" w:ascii="仿宋" w:hAnsi="仿宋" w:eastAsia="仿宋" w:cs="仿宋"/>
          <w:color w:val="auto"/>
          <w:kern w:val="0"/>
          <w:sz w:val="24"/>
          <w:szCs w:val="24"/>
          <w:highlight w:val="none"/>
          <w:shd w:val="clear" w:color="auto" w:fill="FFFFFF" w:themeFill="background1"/>
        </w:rPr>
        <w:t>将被贵方没收。</w:t>
      </w:r>
    </w:p>
    <w:p w14:paraId="4757CF3F">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shd w:val="clear" w:color="auto" w:fill="FFFFFF" w:themeFill="background1"/>
          <w:lang w:val="en-US" w:eastAsia="zh-CN"/>
        </w:rPr>
        <w:t>6、</w:t>
      </w:r>
      <w:r>
        <w:rPr>
          <w:rFonts w:hint="eastAsia" w:ascii="仿宋" w:hAnsi="仿宋" w:eastAsia="仿宋" w:cs="仿宋"/>
          <w:color w:val="auto"/>
          <w:kern w:val="0"/>
          <w:sz w:val="24"/>
          <w:szCs w:val="24"/>
          <w:highlight w:val="none"/>
        </w:rPr>
        <w:t>我方已完全理解</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的全部内容，并无异议</w:t>
      </w:r>
      <w:r>
        <w:rPr>
          <w:rFonts w:hint="eastAsia" w:ascii="仿宋" w:hAnsi="仿宋" w:eastAsia="仿宋" w:cs="仿宋"/>
          <w:color w:val="auto"/>
          <w:kern w:val="0"/>
          <w:sz w:val="24"/>
          <w:szCs w:val="24"/>
          <w:highlight w:val="none"/>
          <w:lang w:eastAsia="zh-CN"/>
        </w:rPr>
        <w:t>。</w:t>
      </w:r>
    </w:p>
    <w:p w14:paraId="7B2E3C0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我方愿意提供贵方可能要求的与</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有关的一切数据或资料，完全理解贵方不一定接受最低</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或收到的任何</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w:t>
      </w:r>
    </w:p>
    <w:p w14:paraId="0EBD575E">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8</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如我方成交，我方自愿向采购代理机构支付咨询费，并在合同签订后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4EB8863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lang w:val="zh-CN"/>
        </w:rPr>
      </w:pPr>
      <w:r>
        <w:rPr>
          <w:rFonts w:hint="eastAsia" w:ascii="仿宋" w:hAnsi="仿宋" w:eastAsia="仿宋" w:cs="仿宋"/>
          <w:color w:val="auto"/>
          <w:kern w:val="0"/>
          <w:sz w:val="24"/>
          <w:szCs w:val="24"/>
          <w:highlight w:val="none"/>
          <w:shd w:val="clear" w:color="auto" w:fill="FFFFFF" w:themeFill="background1"/>
          <w:lang w:val="zh-CN"/>
        </w:rPr>
        <w:t>如违反上述承诺，你单位有权立即取消我单位</w:t>
      </w:r>
      <w:r>
        <w:rPr>
          <w:rFonts w:hint="eastAsia" w:ascii="仿宋" w:hAnsi="仿宋" w:eastAsia="仿宋" w:cs="仿宋"/>
          <w:color w:val="auto"/>
          <w:kern w:val="0"/>
          <w:sz w:val="24"/>
          <w:szCs w:val="24"/>
          <w:highlight w:val="none"/>
          <w:shd w:val="clear" w:color="auto" w:fill="FFFFFF" w:themeFill="background1"/>
          <w:lang w:val="zh-CN" w:eastAsia="zh-CN"/>
        </w:rPr>
        <w:t>磋商响应</w:t>
      </w:r>
      <w:r>
        <w:rPr>
          <w:rFonts w:hint="eastAsia" w:ascii="仿宋" w:hAnsi="仿宋" w:eastAsia="仿宋" w:cs="仿宋"/>
          <w:color w:val="auto"/>
          <w:kern w:val="0"/>
          <w:sz w:val="24"/>
          <w:szCs w:val="24"/>
          <w:highlight w:val="none"/>
          <w:shd w:val="clear" w:color="auto" w:fill="FFFFFF" w:themeFill="background1"/>
          <w:lang w:val="en-US" w:eastAsia="zh-CN"/>
        </w:rPr>
        <w:t>或</w:t>
      </w:r>
      <w:r>
        <w:rPr>
          <w:rFonts w:hint="eastAsia" w:ascii="仿宋" w:hAnsi="仿宋" w:eastAsia="仿宋" w:cs="仿宋"/>
          <w:color w:val="auto"/>
          <w:kern w:val="0"/>
          <w:sz w:val="24"/>
          <w:szCs w:val="24"/>
          <w:highlight w:val="none"/>
          <w:shd w:val="clear" w:color="auto" w:fill="FFFFFF" w:themeFill="background1"/>
          <w:lang w:val="zh-CN" w:eastAsia="zh-CN"/>
        </w:rPr>
        <w:t>成交</w:t>
      </w:r>
      <w:r>
        <w:rPr>
          <w:rFonts w:hint="eastAsia" w:ascii="仿宋" w:hAnsi="仿宋" w:eastAsia="仿宋" w:cs="仿宋"/>
          <w:color w:val="auto"/>
          <w:kern w:val="0"/>
          <w:sz w:val="24"/>
          <w:szCs w:val="24"/>
          <w:highlight w:val="none"/>
          <w:shd w:val="clear" w:color="auto" w:fill="FFFFFF" w:themeFill="background1"/>
          <w:lang w:val="zh-CN"/>
        </w:rPr>
        <w:t>资格，并通报</w:t>
      </w:r>
      <w:r>
        <w:rPr>
          <w:rFonts w:hint="eastAsia" w:ascii="仿宋" w:hAnsi="仿宋" w:eastAsia="仿宋" w:cs="仿宋"/>
          <w:color w:val="auto"/>
          <w:kern w:val="0"/>
          <w:sz w:val="24"/>
          <w:szCs w:val="24"/>
          <w:highlight w:val="none"/>
          <w:shd w:val="clear" w:color="auto" w:fill="FFFFFF" w:themeFill="background1"/>
          <w:lang w:val="en-US" w:eastAsia="zh-CN"/>
        </w:rPr>
        <w:t>财政监管部门</w:t>
      </w:r>
      <w:r>
        <w:rPr>
          <w:rFonts w:hint="eastAsia" w:ascii="仿宋" w:hAnsi="仿宋" w:eastAsia="仿宋" w:cs="仿宋"/>
          <w:color w:val="auto"/>
          <w:kern w:val="0"/>
          <w:sz w:val="24"/>
          <w:szCs w:val="24"/>
          <w:highlight w:val="none"/>
          <w:shd w:val="clear" w:color="auto" w:fill="FFFFFF" w:themeFill="background1"/>
          <w:lang w:val="zh-CN"/>
        </w:rPr>
        <w:t>。由此引起的相应损失均由我单位承担。</w:t>
      </w:r>
    </w:p>
    <w:p w14:paraId="0E80F03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6F934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6B935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DF5F61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433DF6DF">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41BF2494">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656" w:name="_Toc507586169"/>
      <w:bookmarkStart w:id="657" w:name="_Toc38446474"/>
      <w:bookmarkStart w:id="658" w:name="_Toc533503184"/>
    </w:p>
    <w:p w14:paraId="3885A2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754B1494">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59" w:name="_Toc28702"/>
      <w:bookmarkStart w:id="660" w:name="_Toc24021"/>
      <w:r>
        <w:rPr>
          <w:rFonts w:hint="eastAsia" w:ascii="仿宋" w:hAnsi="仿宋" w:eastAsia="仿宋" w:cs="仿宋"/>
          <w:b/>
          <w:color w:val="auto"/>
          <w:sz w:val="24"/>
          <w:szCs w:val="24"/>
          <w:highlight w:val="none"/>
          <w:shd w:val="clear" w:color="auto" w:fill="FFFFFF" w:themeFill="background1"/>
          <w:lang w:val="en-US" w:eastAsia="zh-CN"/>
        </w:rPr>
        <w:t>三</w:t>
      </w:r>
      <w:r>
        <w:rPr>
          <w:rFonts w:hint="eastAsia" w:ascii="仿宋" w:hAnsi="仿宋" w:eastAsia="仿宋" w:cs="仿宋"/>
          <w:b/>
          <w:color w:val="auto"/>
          <w:sz w:val="24"/>
          <w:szCs w:val="24"/>
          <w:highlight w:val="none"/>
          <w:shd w:val="clear" w:color="auto" w:fill="FFFFFF" w:themeFill="background1"/>
        </w:rPr>
        <w:t>、商务条款偏离表</w:t>
      </w:r>
      <w:bookmarkEnd w:id="656"/>
      <w:bookmarkEnd w:id="657"/>
      <w:bookmarkEnd w:id="658"/>
      <w:bookmarkEnd w:id="659"/>
      <w:bookmarkEnd w:id="660"/>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67568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014DFC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5C1C5ED7">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36572255">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的商务条款</w:t>
            </w:r>
          </w:p>
        </w:tc>
        <w:tc>
          <w:tcPr>
            <w:tcW w:w="2182" w:type="dxa"/>
            <w:vAlign w:val="center"/>
          </w:tcPr>
          <w:p w14:paraId="21F3E9A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75BB446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6B55028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00618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E2034BE">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5142A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DA5E194">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677B6AFA">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A903957">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7436736">
            <w:pPr>
              <w:spacing w:line="360" w:lineRule="auto"/>
              <w:jc w:val="center"/>
              <w:rPr>
                <w:rFonts w:ascii="仿宋" w:hAnsi="仿宋" w:eastAsia="仿宋" w:cs="仿宋"/>
                <w:b/>
                <w:bCs/>
                <w:color w:val="auto"/>
                <w:szCs w:val="21"/>
                <w:highlight w:val="none"/>
                <w:shd w:val="clear" w:color="auto" w:fill="FFFFFF" w:themeFill="background1"/>
              </w:rPr>
            </w:pPr>
          </w:p>
        </w:tc>
      </w:tr>
      <w:tr w14:paraId="5305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0555442">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2A72774">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5E3668F">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724AAD3B">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22E86F4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8AA293D">
            <w:pPr>
              <w:spacing w:line="360" w:lineRule="auto"/>
              <w:jc w:val="center"/>
              <w:rPr>
                <w:rFonts w:ascii="仿宋" w:hAnsi="仿宋" w:eastAsia="仿宋" w:cs="仿宋"/>
                <w:b/>
                <w:bCs/>
                <w:color w:val="auto"/>
                <w:szCs w:val="21"/>
                <w:highlight w:val="none"/>
                <w:shd w:val="clear" w:color="auto" w:fill="FFFFFF" w:themeFill="background1"/>
              </w:rPr>
            </w:pPr>
          </w:p>
        </w:tc>
      </w:tr>
      <w:tr w14:paraId="47897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F27E9A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7DEC3F0">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E4B88C7">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2C0E9D">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BFAF00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785BA0BC">
            <w:pPr>
              <w:spacing w:line="360" w:lineRule="auto"/>
              <w:jc w:val="center"/>
              <w:rPr>
                <w:rFonts w:ascii="仿宋" w:hAnsi="仿宋" w:eastAsia="仿宋" w:cs="仿宋"/>
                <w:b/>
                <w:bCs/>
                <w:color w:val="auto"/>
                <w:szCs w:val="21"/>
                <w:highlight w:val="none"/>
                <w:shd w:val="clear" w:color="auto" w:fill="FFFFFF" w:themeFill="background1"/>
              </w:rPr>
            </w:pPr>
          </w:p>
        </w:tc>
      </w:tr>
      <w:tr w14:paraId="7F7EB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238B4E9">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B573A59">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5165202">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E80AA2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7FD6158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2CCD7BA9">
            <w:pPr>
              <w:spacing w:line="360" w:lineRule="auto"/>
              <w:jc w:val="center"/>
              <w:rPr>
                <w:rFonts w:ascii="仿宋" w:hAnsi="仿宋" w:eastAsia="仿宋" w:cs="仿宋"/>
                <w:b/>
                <w:bCs/>
                <w:color w:val="auto"/>
                <w:szCs w:val="21"/>
                <w:highlight w:val="none"/>
                <w:shd w:val="clear" w:color="auto" w:fill="FFFFFF" w:themeFill="background1"/>
              </w:rPr>
            </w:pPr>
          </w:p>
        </w:tc>
      </w:tr>
      <w:tr w14:paraId="0A2BB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9BC8106">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29FE78C">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7BB7CC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8BF059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1F4EF1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335ED7D8">
            <w:pPr>
              <w:spacing w:line="360" w:lineRule="auto"/>
              <w:jc w:val="center"/>
              <w:rPr>
                <w:rFonts w:ascii="仿宋" w:hAnsi="仿宋" w:eastAsia="仿宋" w:cs="仿宋"/>
                <w:b/>
                <w:bCs/>
                <w:color w:val="auto"/>
                <w:szCs w:val="21"/>
                <w:highlight w:val="none"/>
                <w:shd w:val="clear" w:color="auto" w:fill="FFFFFF" w:themeFill="background1"/>
              </w:rPr>
            </w:pPr>
          </w:p>
        </w:tc>
      </w:tr>
    </w:tbl>
    <w:p w14:paraId="52D9A4F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color w:val="auto"/>
          <w:szCs w:val="24"/>
          <w:highlight w:val="none"/>
          <w:shd w:val="clear" w:color="auto" w:fill="FFFFFF" w:themeFill="background1"/>
        </w:rPr>
        <w:t>商务条款有偏离的，应在此表中列明实际响应的内容并加以说明，以便查对。请在此偏离表“偏离”中填写无偏离或正偏离或负偏离。</w:t>
      </w:r>
    </w:p>
    <w:p w14:paraId="70B502B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3311A33A">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07D64D3">
      <w:pPr>
        <w:spacing w:line="360" w:lineRule="auto"/>
        <w:jc w:val="left"/>
        <w:rPr>
          <w:rFonts w:ascii="仿宋" w:hAnsi="仿宋" w:eastAsia="仿宋" w:cs="仿宋"/>
          <w:color w:val="auto"/>
          <w:sz w:val="24"/>
          <w:szCs w:val="24"/>
          <w:highlight w:val="none"/>
          <w:shd w:val="clear" w:color="auto" w:fill="FFFFFF" w:themeFill="background1"/>
        </w:rPr>
      </w:pPr>
    </w:p>
    <w:p w14:paraId="7D220D97">
      <w:pPr>
        <w:spacing w:line="360" w:lineRule="auto"/>
        <w:jc w:val="left"/>
        <w:rPr>
          <w:rFonts w:ascii="仿宋" w:hAnsi="仿宋" w:eastAsia="仿宋" w:cs="仿宋"/>
          <w:color w:val="auto"/>
          <w:sz w:val="24"/>
          <w:szCs w:val="24"/>
          <w:highlight w:val="none"/>
          <w:shd w:val="clear" w:color="auto" w:fill="FFFFFF" w:themeFill="background1"/>
        </w:rPr>
      </w:pPr>
    </w:p>
    <w:p w14:paraId="0F1023B7">
      <w:pPr>
        <w:spacing w:line="360" w:lineRule="auto"/>
        <w:jc w:val="left"/>
        <w:rPr>
          <w:rFonts w:ascii="仿宋" w:hAnsi="仿宋" w:eastAsia="仿宋" w:cs="仿宋"/>
          <w:color w:val="auto"/>
          <w:sz w:val="24"/>
          <w:szCs w:val="24"/>
          <w:highlight w:val="none"/>
          <w:shd w:val="clear" w:color="auto" w:fill="FFFFFF" w:themeFill="background1"/>
        </w:rPr>
      </w:pPr>
    </w:p>
    <w:p w14:paraId="3BA1F12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A2ACA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5EEDF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33338E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AEFA1B2">
      <w:pPr>
        <w:widowControl/>
        <w:spacing w:line="360" w:lineRule="auto"/>
        <w:jc w:val="left"/>
        <w:rPr>
          <w:rFonts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6B3E58A6">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61" w:name="_Toc24936"/>
      <w:bookmarkStart w:id="662" w:name="_Toc26323"/>
      <w:r>
        <w:rPr>
          <w:rFonts w:hint="eastAsia" w:ascii="仿宋" w:hAnsi="仿宋" w:eastAsia="仿宋" w:cs="仿宋"/>
          <w:b/>
          <w:color w:val="auto"/>
          <w:sz w:val="24"/>
          <w:szCs w:val="24"/>
          <w:highlight w:val="none"/>
          <w:shd w:val="clear" w:color="auto" w:fill="FFFFFF" w:themeFill="background1"/>
          <w:lang w:val="en-US" w:eastAsia="zh-CN"/>
        </w:rPr>
        <w:t>四</w:t>
      </w:r>
      <w:r>
        <w:rPr>
          <w:rFonts w:hint="eastAsia" w:ascii="仿宋" w:hAnsi="仿宋" w:eastAsia="仿宋" w:cs="仿宋"/>
          <w:b/>
          <w:color w:val="auto"/>
          <w:sz w:val="24"/>
          <w:szCs w:val="24"/>
          <w:highlight w:val="none"/>
          <w:shd w:val="clear" w:color="auto" w:fill="FFFFFF" w:themeFill="background1"/>
        </w:rPr>
        <w:t>、技术条款偏离表</w:t>
      </w:r>
      <w:bookmarkEnd w:id="661"/>
      <w:bookmarkEnd w:id="662"/>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28EB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C935FD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290C52A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7CEDBEA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的技术条款</w:t>
            </w:r>
          </w:p>
        </w:tc>
        <w:tc>
          <w:tcPr>
            <w:tcW w:w="2182" w:type="dxa"/>
            <w:vAlign w:val="center"/>
          </w:tcPr>
          <w:p w14:paraId="67AB22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0941261A">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35D400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36A44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F17E37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852FCA1">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DACA4AA">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3DA3861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302E6BFE">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EACDF5D">
            <w:pPr>
              <w:spacing w:line="360" w:lineRule="auto"/>
              <w:jc w:val="center"/>
              <w:rPr>
                <w:rFonts w:ascii="仿宋" w:hAnsi="仿宋" w:eastAsia="仿宋" w:cs="仿宋"/>
                <w:b/>
                <w:bCs/>
                <w:color w:val="auto"/>
                <w:szCs w:val="21"/>
                <w:highlight w:val="none"/>
                <w:shd w:val="clear" w:color="auto" w:fill="FFFFFF" w:themeFill="background1"/>
              </w:rPr>
            </w:pPr>
          </w:p>
        </w:tc>
      </w:tr>
      <w:tr w14:paraId="0F16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ABCFDAA">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5AEA835">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283F42ED">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783FC5">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36E9BCF">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2954489">
            <w:pPr>
              <w:spacing w:line="360" w:lineRule="auto"/>
              <w:jc w:val="center"/>
              <w:rPr>
                <w:rFonts w:ascii="仿宋" w:hAnsi="仿宋" w:eastAsia="仿宋" w:cs="仿宋"/>
                <w:b/>
                <w:bCs/>
                <w:color w:val="auto"/>
                <w:szCs w:val="21"/>
                <w:highlight w:val="none"/>
                <w:shd w:val="clear" w:color="auto" w:fill="FFFFFF" w:themeFill="background1"/>
              </w:rPr>
            </w:pPr>
          </w:p>
        </w:tc>
      </w:tr>
      <w:tr w14:paraId="2635F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B4BB4C3">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DABA54F">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683AE3E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B9A446">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1A0C8B24">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6D6F1023">
            <w:pPr>
              <w:spacing w:line="360" w:lineRule="auto"/>
              <w:jc w:val="center"/>
              <w:rPr>
                <w:rFonts w:ascii="仿宋" w:hAnsi="仿宋" w:eastAsia="仿宋" w:cs="仿宋"/>
                <w:b/>
                <w:bCs/>
                <w:color w:val="auto"/>
                <w:szCs w:val="21"/>
                <w:highlight w:val="none"/>
                <w:shd w:val="clear" w:color="auto" w:fill="FFFFFF" w:themeFill="background1"/>
              </w:rPr>
            </w:pPr>
          </w:p>
        </w:tc>
      </w:tr>
      <w:tr w14:paraId="194CF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833" w:type="dxa"/>
            <w:vAlign w:val="center"/>
          </w:tcPr>
          <w:p w14:paraId="045A1897">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0428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9050BC8">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FC064F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CB3FB91">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12511F4">
            <w:pPr>
              <w:spacing w:line="360" w:lineRule="auto"/>
              <w:jc w:val="center"/>
              <w:rPr>
                <w:rFonts w:ascii="仿宋" w:hAnsi="仿宋" w:eastAsia="仿宋" w:cs="仿宋"/>
                <w:b/>
                <w:bCs/>
                <w:color w:val="auto"/>
                <w:szCs w:val="21"/>
                <w:highlight w:val="none"/>
                <w:shd w:val="clear" w:color="auto" w:fill="FFFFFF" w:themeFill="background1"/>
              </w:rPr>
            </w:pPr>
          </w:p>
        </w:tc>
      </w:tr>
      <w:tr w14:paraId="7CDD5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E974094">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536EA66">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0802A39">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214ECC61">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B5382B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87A5F67">
            <w:pPr>
              <w:spacing w:line="360" w:lineRule="auto"/>
              <w:jc w:val="center"/>
              <w:rPr>
                <w:rFonts w:ascii="仿宋" w:hAnsi="仿宋" w:eastAsia="仿宋" w:cs="仿宋"/>
                <w:b/>
                <w:bCs/>
                <w:color w:val="auto"/>
                <w:szCs w:val="21"/>
                <w:highlight w:val="none"/>
                <w:shd w:val="clear" w:color="auto" w:fill="FFFFFF" w:themeFill="background1"/>
              </w:rPr>
            </w:pPr>
          </w:p>
        </w:tc>
      </w:tr>
    </w:tbl>
    <w:p w14:paraId="61B61A62">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669ED6E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63AF9FC">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0593F900">
      <w:pPr>
        <w:spacing w:line="360" w:lineRule="auto"/>
        <w:jc w:val="left"/>
        <w:rPr>
          <w:rFonts w:ascii="仿宋" w:hAnsi="仿宋" w:eastAsia="仿宋" w:cs="仿宋"/>
          <w:color w:val="auto"/>
          <w:sz w:val="24"/>
          <w:szCs w:val="24"/>
          <w:highlight w:val="none"/>
          <w:shd w:val="clear" w:color="auto" w:fill="FFFFFF" w:themeFill="background1"/>
        </w:rPr>
      </w:pPr>
    </w:p>
    <w:p w14:paraId="1519E959">
      <w:pPr>
        <w:spacing w:line="360" w:lineRule="auto"/>
        <w:jc w:val="left"/>
        <w:rPr>
          <w:rFonts w:ascii="仿宋" w:hAnsi="仿宋" w:eastAsia="仿宋" w:cs="仿宋"/>
          <w:color w:val="auto"/>
          <w:sz w:val="24"/>
          <w:szCs w:val="24"/>
          <w:highlight w:val="none"/>
          <w:shd w:val="clear" w:color="auto" w:fill="FFFFFF" w:themeFill="background1"/>
        </w:rPr>
      </w:pPr>
    </w:p>
    <w:p w14:paraId="4502A128">
      <w:pPr>
        <w:spacing w:line="360" w:lineRule="auto"/>
        <w:jc w:val="left"/>
        <w:rPr>
          <w:rFonts w:ascii="仿宋" w:hAnsi="仿宋" w:eastAsia="仿宋" w:cs="仿宋"/>
          <w:color w:val="auto"/>
          <w:sz w:val="24"/>
          <w:szCs w:val="24"/>
          <w:highlight w:val="none"/>
          <w:shd w:val="clear" w:color="auto" w:fill="FFFFFF" w:themeFill="background1"/>
        </w:rPr>
      </w:pPr>
    </w:p>
    <w:p w14:paraId="6D54050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AA74EC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35C4DE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41CDFCC">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5449785">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663" w:name="_Toc507586170"/>
      <w:bookmarkStart w:id="664" w:name="_Toc23220"/>
      <w:bookmarkStart w:id="665" w:name="_Toc38446475"/>
      <w:bookmarkStart w:id="666" w:name="_Toc533503185"/>
      <w:bookmarkStart w:id="667" w:name="_Toc8007"/>
      <w:r>
        <w:rPr>
          <w:rFonts w:hint="eastAsia" w:ascii="仿宋" w:hAnsi="仿宋" w:eastAsia="仿宋" w:cs="仿宋"/>
          <w:b/>
          <w:color w:val="auto"/>
          <w:sz w:val="24"/>
          <w:szCs w:val="24"/>
          <w:highlight w:val="none"/>
          <w:shd w:val="clear" w:color="auto" w:fill="FFFFFF" w:themeFill="background1"/>
          <w:lang w:val="en-US" w:eastAsia="zh-CN"/>
        </w:rPr>
        <w:t>五</w:t>
      </w:r>
      <w:r>
        <w:rPr>
          <w:rFonts w:hint="eastAsia" w:ascii="仿宋" w:hAnsi="仿宋" w:eastAsia="仿宋" w:cs="仿宋"/>
          <w:b/>
          <w:color w:val="auto"/>
          <w:sz w:val="24"/>
          <w:szCs w:val="24"/>
          <w:highlight w:val="none"/>
          <w:shd w:val="clear" w:color="auto" w:fill="FFFFFF" w:themeFill="background1"/>
        </w:rPr>
        <w:t>、法定代表人身份证明书</w:t>
      </w:r>
      <w:bookmarkEnd w:id="663"/>
      <w:bookmarkEnd w:id="664"/>
      <w:bookmarkEnd w:id="665"/>
      <w:bookmarkEnd w:id="666"/>
      <w:bookmarkEnd w:id="667"/>
    </w:p>
    <w:p w14:paraId="0E282E6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76DF89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供 应 商</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76A5D02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0E53115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3128C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56D8F874">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DA81B58">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AB09707">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6E4A9D63">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0C1818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6517DBE">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6CF6DB8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CF1F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CBC334A">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法定代表人身份证复印件（正面）</w:t>
            </w:r>
          </w:p>
        </w:tc>
      </w:tr>
    </w:tbl>
    <w:p w14:paraId="5830E3E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403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357E970C">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法定代表人身份证复印件（反面）</w:t>
            </w:r>
          </w:p>
        </w:tc>
      </w:tr>
    </w:tbl>
    <w:p w14:paraId="2DCD11A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172D06B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E7FFEB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0C18E5D">
      <w:pPr>
        <w:widowControl/>
        <w:shd w:val="clear" w:color="auto" w:fill="FFFFFF"/>
        <w:wordWrap w:val="0"/>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7B8D7234">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BF65405">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8C80E8D">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5100ECB4">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668" w:name="_Toc533503186"/>
      <w:bookmarkStart w:id="669" w:name="_Toc38446476"/>
      <w:bookmarkStart w:id="670" w:name="_Toc507586171"/>
      <w:bookmarkStart w:id="671" w:name="_Toc19078"/>
      <w:bookmarkStart w:id="672" w:name="_Toc24919"/>
      <w:r>
        <w:rPr>
          <w:rFonts w:hint="eastAsia" w:ascii="仿宋" w:hAnsi="仿宋" w:eastAsia="仿宋" w:cs="仿宋"/>
          <w:b/>
          <w:color w:val="auto"/>
          <w:sz w:val="24"/>
          <w:szCs w:val="24"/>
          <w:highlight w:val="none"/>
          <w:shd w:val="clear" w:color="auto" w:fill="FFFFFF" w:themeFill="background1"/>
          <w:lang w:val="en-US" w:eastAsia="zh-CN"/>
        </w:rPr>
        <w:t>六</w:t>
      </w:r>
      <w:r>
        <w:rPr>
          <w:rFonts w:hint="eastAsia" w:ascii="仿宋" w:hAnsi="仿宋" w:eastAsia="仿宋" w:cs="仿宋"/>
          <w:b/>
          <w:color w:val="auto"/>
          <w:sz w:val="24"/>
          <w:szCs w:val="24"/>
          <w:highlight w:val="none"/>
          <w:shd w:val="clear" w:color="auto" w:fill="FFFFFF" w:themeFill="background1"/>
        </w:rPr>
        <w:t>、法定代表人授权委托书</w:t>
      </w:r>
      <w:bookmarkEnd w:id="668"/>
      <w:bookmarkEnd w:id="669"/>
      <w:bookmarkEnd w:id="670"/>
      <w:bookmarkEnd w:id="671"/>
      <w:bookmarkEnd w:id="672"/>
    </w:p>
    <w:p w14:paraId="58819A5D">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7D24BDB">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项目名称）的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，以本公司名义处理一切与之有关的事务，其法律后果由我方承担。</w:t>
      </w:r>
    </w:p>
    <w:p w14:paraId="147EF7EA">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C0C9AD4">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D992511">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7840A0A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44A32EE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106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BCB21FB">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委托代理人身份证复印件（正面）</w:t>
            </w:r>
          </w:p>
        </w:tc>
      </w:tr>
    </w:tbl>
    <w:p w14:paraId="2E298E8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95C7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76FC611">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委托代理人身份证复印件（反面）</w:t>
            </w:r>
          </w:p>
        </w:tc>
      </w:tr>
    </w:tbl>
    <w:p w14:paraId="21DEAC9B">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ABEC16F">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3BCC2D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ECA6E4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E93C5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D5966C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427545CA">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1B7E85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33E1F6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005A9600">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73" w:name="_Toc507586173"/>
      <w:r>
        <w:rPr>
          <w:rFonts w:hint="eastAsia" w:ascii="仿宋" w:hAnsi="仿宋" w:eastAsia="仿宋" w:cs="仿宋"/>
          <w:b/>
          <w:color w:val="auto"/>
          <w:sz w:val="24"/>
          <w:szCs w:val="24"/>
          <w:highlight w:val="none"/>
          <w:shd w:val="clear" w:color="auto" w:fill="FFFFFF" w:themeFill="background1"/>
        </w:rPr>
        <w:br w:type="page"/>
      </w:r>
      <w:bookmarkStart w:id="674" w:name="_Toc24159"/>
      <w:bookmarkStart w:id="675" w:name="_Toc533503189"/>
      <w:bookmarkStart w:id="676" w:name="_Toc26579"/>
      <w:bookmarkStart w:id="677" w:name="_Toc38446478"/>
      <w:r>
        <w:rPr>
          <w:rFonts w:hint="eastAsia" w:ascii="仿宋" w:hAnsi="仿宋" w:eastAsia="仿宋" w:cs="仿宋"/>
          <w:b/>
          <w:color w:val="auto"/>
          <w:sz w:val="24"/>
          <w:szCs w:val="24"/>
          <w:highlight w:val="none"/>
          <w:shd w:val="clear" w:color="auto" w:fill="FFFFFF" w:themeFill="background1"/>
          <w:lang w:val="en-US" w:eastAsia="zh-CN"/>
        </w:rPr>
        <w:t>七</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lang w:eastAsia="zh-CN"/>
        </w:rPr>
        <w:t>供应商资格要求</w:t>
      </w:r>
      <w:r>
        <w:rPr>
          <w:rFonts w:hint="eastAsia" w:ascii="仿宋" w:hAnsi="仿宋" w:eastAsia="仿宋" w:cs="仿宋"/>
          <w:b/>
          <w:bCs/>
          <w:color w:val="auto"/>
          <w:sz w:val="24"/>
          <w:szCs w:val="24"/>
          <w:highlight w:val="none"/>
          <w:shd w:val="clear" w:color="auto" w:fill="FFFFFF" w:themeFill="background1"/>
        </w:rPr>
        <w:t>证明材料</w:t>
      </w:r>
      <w:bookmarkEnd w:id="673"/>
      <w:bookmarkEnd w:id="674"/>
      <w:bookmarkEnd w:id="675"/>
      <w:bookmarkEnd w:id="676"/>
      <w:bookmarkEnd w:id="677"/>
    </w:p>
    <w:p w14:paraId="0F504377">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26A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B8D0EE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0D49CE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r>
      <w:tr w14:paraId="501F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77EAC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417712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EF1D32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34C7F910">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3D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617F03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6819EF9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5299DE2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32275427">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28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2F7BB01">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732D30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B9460C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2CAB37F">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7EF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8B903F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02C1332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A47723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4852C658">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004D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C707D4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19C9EC0F">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0646B4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5D7D612">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A4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D9534A3">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3BDDAC6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194998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C71EEEA">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2DD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0D9DC8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22DEB63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3ABEA57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4C1C7C4">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8BB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1E3ACF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54C0629C">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9B5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7CFA20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087ED125">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5CAB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CCB4668">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40B5120D">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如有</w:t>
            </w:r>
            <w:r>
              <w:rPr>
                <w:rFonts w:hint="eastAsia" w:ascii="仿宋" w:hAnsi="仿宋" w:eastAsia="仿宋" w:cs="仿宋"/>
                <w:color w:val="auto"/>
                <w:kern w:val="0"/>
                <w:sz w:val="24"/>
                <w:szCs w:val="24"/>
                <w:highlight w:val="none"/>
                <w:lang w:eastAsia="zh-CN"/>
              </w:rPr>
              <w:t>）</w:t>
            </w:r>
          </w:p>
        </w:tc>
        <w:tc>
          <w:tcPr>
            <w:tcW w:w="7300" w:type="dxa"/>
            <w:gridSpan w:val="3"/>
            <w:vAlign w:val="center"/>
          </w:tcPr>
          <w:p w14:paraId="35D51774">
            <w:pPr>
              <w:autoSpaceDE w:val="0"/>
              <w:autoSpaceDN w:val="0"/>
              <w:adjustRightInd w:val="0"/>
              <w:snapToGrid w:val="0"/>
              <w:spacing w:line="520" w:lineRule="exact"/>
              <w:jc w:val="both"/>
              <w:rPr>
                <w:rFonts w:hint="eastAsia" w:ascii="仿宋" w:hAnsi="仿宋" w:eastAsia="仿宋" w:cs="仿宋"/>
                <w:color w:val="auto"/>
                <w:kern w:val="0"/>
                <w:sz w:val="24"/>
                <w:szCs w:val="24"/>
                <w:highlight w:val="none"/>
                <w:lang w:val="en-US" w:eastAsia="zh-CN"/>
              </w:rPr>
            </w:pPr>
          </w:p>
          <w:p w14:paraId="7CD2DC87">
            <w:pPr>
              <w:autoSpaceDE w:val="0"/>
              <w:autoSpaceDN w:val="0"/>
              <w:adjustRightInd w:val="0"/>
              <w:snapToGrid w:val="0"/>
              <w:spacing w:line="520" w:lineRule="exact"/>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1"/>
                <w:szCs w:val="21"/>
                <w:highlight w:val="none"/>
                <w:lang w:val="en-US" w:eastAsia="zh-CN"/>
              </w:rPr>
              <w:t>注：此处</w:t>
            </w:r>
            <w:r>
              <w:rPr>
                <w:rFonts w:hint="eastAsia" w:ascii="仿宋" w:hAnsi="仿宋" w:eastAsia="仿宋" w:cs="仿宋"/>
                <w:color w:val="auto"/>
                <w:kern w:val="0"/>
                <w:sz w:val="21"/>
                <w:szCs w:val="21"/>
                <w:highlight w:val="none"/>
              </w:rPr>
              <w:t>关联单位</w:t>
            </w:r>
            <w:r>
              <w:rPr>
                <w:rFonts w:hint="eastAsia" w:ascii="仿宋" w:hAnsi="仿宋" w:eastAsia="仿宋" w:cs="仿宋"/>
                <w:color w:val="auto"/>
                <w:kern w:val="0"/>
                <w:sz w:val="21"/>
                <w:szCs w:val="21"/>
                <w:highlight w:val="none"/>
                <w:lang w:val="en-US" w:eastAsia="zh-CN"/>
              </w:rPr>
              <w:t>指单位负责人为同一人或者存在直接控股、管理关系的不同</w:t>
            </w:r>
            <w:r>
              <w:rPr>
                <w:rFonts w:hint="eastAsia" w:ascii="仿宋" w:hAnsi="仿宋" w:eastAsia="仿宋" w:cs="仿宋"/>
                <w:color w:val="auto"/>
                <w:kern w:val="0"/>
                <w:sz w:val="21"/>
                <w:szCs w:val="21"/>
                <w:highlight w:val="none"/>
              </w:rPr>
              <w:t>单位</w:t>
            </w:r>
            <w:r>
              <w:rPr>
                <w:rFonts w:hint="eastAsia" w:ascii="仿宋" w:hAnsi="仿宋" w:eastAsia="仿宋" w:cs="仿宋"/>
                <w:color w:val="auto"/>
                <w:kern w:val="0"/>
                <w:sz w:val="21"/>
                <w:szCs w:val="21"/>
                <w:highlight w:val="none"/>
                <w:lang w:eastAsia="zh-CN"/>
              </w:rPr>
              <w:t>。</w:t>
            </w:r>
          </w:p>
        </w:tc>
      </w:tr>
    </w:tbl>
    <w:p w14:paraId="423567D4">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6B70DA9A">
      <w:pPr>
        <w:widowControl/>
        <w:jc w:val="left"/>
        <w:rPr>
          <w:rFonts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3B71AF0F">
      <w:pPr>
        <w:rPr>
          <w:rFonts w:ascii="仿宋" w:hAnsi="仿宋" w:eastAsia="仿宋" w:cs="仿宋"/>
          <w:color w:val="auto"/>
          <w:highlight w:val="none"/>
          <w:shd w:val="clear" w:color="auto" w:fill="FFFFFF" w:themeFill="background1"/>
        </w:rPr>
      </w:pPr>
      <w:bookmarkStart w:id="678" w:name="_Toc109143671"/>
      <w:bookmarkStart w:id="679" w:name="_Toc32366"/>
      <w:bookmarkStart w:id="680" w:name="_Toc107422184"/>
      <w:bookmarkStart w:id="681" w:name="_Toc11207"/>
      <w:bookmarkStart w:id="682" w:name="_Toc111556487"/>
    </w:p>
    <w:p w14:paraId="22AB6765">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83" w:name="_Toc23342"/>
      <w:bookmarkStart w:id="684" w:name="_Toc31889"/>
      <w:bookmarkStart w:id="685" w:name="_Toc211"/>
      <w:bookmarkStart w:id="686" w:name="_Toc26949"/>
      <w:bookmarkStart w:id="687" w:name="_Toc22963"/>
      <w:bookmarkStart w:id="688" w:name="_Toc13020"/>
      <w:bookmarkStart w:id="689" w:name="_Toc28492"/>
      <w:bookmarkStart w:id="690" w:name="_Toc20683"/>
      <w:bookmarkStart w:id="691" w:name="_Toc18811"/>
      <w:bookmarkStart w:id="692" w:name="_Toc15547"/>
      <w:bookmarkStart w:id="693" w:name="_Toc128476878"/>
      <w:bookmarkStart w:id="694" w:name="_Toc13075"/>
      <w:bookmarkStart w:id="695" w:name="_Toc8668"/>
      <w:bookmarkStart w:id="696" w:name="_Toc4934"/>
      <w:bookmarkStart w:id="697" w:name="_Toc113901849"/>
      <w:bookmarkStart w:id="698" w:name="_Toc26584"/>
      <w:bookmarkStart w:id="699" w:name="_Toc18936"/>
      <w:bookmarkStart w:id="700" w:name="_Toc25322"/>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1、</w:t>
      </w:r>
      <w:bookmarkEnd w:id="678"/>
      <w:bookmarkEnd w:id="679"/>
      <w:bookmarkEnd w:id="680"/>
      <w:bookmarkEnd w:id="681"/>
      <w:r>
        <w:rPr>
          <w:rFonts w:hint="eastAsia" w:ascii="仿宋" w:hAnsi="仿宋" w:eastAsia="仿宋" w:cs="仿宋"/>
          <w:b/>
          <w:color w:val="auto"/>
          <w:sz w:val="24"/>
          <w:szCs w:val="24"/>
          <w:highlight w:val="none"/>
          <w:shd w:val="clear" w:color="auto" w:fill="FFFFFF" w:themeFill="background1"/>
        </w:rPr>
        <w:t>法人或者其他组织的营业执照等证明文件，自然人的身份证明</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21F8DA96">
      <w:pPr>
        <w:spacing w:line="360" w:lineRule="auto"/>
        <w:rPr>
          <w:rFonts w:ascii="仿宋" w:hAnsi="仿宋" w:eastAsia="仿宋" w:cs="仿宋"/>
          <w:color w:val="auto"/>
          <w:sz w:val="24"/>
          <w:szCs w:val="24"/>
          <w:highlight w:val="none"/>
          <w:shd w:val="clear" w:color="auto" w:fill="FFFFFF" w:themeFill="background1"/>
        </w:rPr>
      </w:pPr>
    </w:p>
    <w:p w14:paraId="003F5A0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一、如供应商是企业（包括合伙企业)，应提供在工商部门注册的有效“企业法人营业执照”或“营业执照”;</w:t>
      </w:r>
    </w:p>
    <w:p w14:paraId="4A6695C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p>
    <w:p w14:paraId="48CA18B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p>
    <w:p w14:paraId="62D8B93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p>
    <w:p w14:paraId="0695905F">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77D43201">
      <w:pPr>
        <w:spacing w:line="360" w:lineRule="auto"/>
        <w:rPr>
          <w:rFonts w:ascii="仿宋" w:hAnsi="仿宋" w:eastAsia="仿宋" w:cs="仿宋"/>
          <w:color w:val="auto"/>
          <w:sz w:val="24"/>
          <w:szCs w:val="24"/>
          <w:highlight w:val="none"/>
          <w:shd w:val="clear" w:color="auto" w:fill="FFFFFF" w:themeFill="background1"/>
        </w:rPr>
      </w:pPr>
    </w:p>
    <w:p w14:paraId="0F3D4842">
      <w:pPr>
        <w:spacing w:line="360" w:lineRule="auto"/>
        <w:rPr>
          <w:rFonts w:ascii="仿宋" w:hAnsi="仿宋" w:eastAsia="仿宋" w:cs="仿宋"/>
          <w:color w:val="auto"/>
          <w:sz w:val="24"/>
          <w:szCs w:val="24"/>
          <w:highlight w:val="none"/>
          <w:shd w:val="clear" w:color="auto" w:fill="FFFFFF" w:themeFill="background1"/>
        </w:rPr>
      </w:pPr>
    </w:p>
    <w:p w14:paraId="460CAB90">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1BBCD3A4">
      <w:pPr>
        <w:rPr>
          <w:rFonts w:ascii="仿宋" w:hAnsi="仿宋" w:eastAsia="仿宋" w:cs="仿宋"/>
          <w:color w:val="auto"/>
          <w:highlight w:val="none"/>
          <w:shd w:val="clear" w:color="auto" w:fill="FFFFFF" w:themeFill="background1"/>
        </w:rPr>
      </w:pPr>
    </w:p>
    <w:p w14:paraId="504F0974">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01" w:name="_Toc17734"/>
      <w:bookmarkStart w:id="702" w:name="_Toc18676"/>
      <w:bookmarkStart w:id="703" w:name="_Toc113901850"/>
      <w:bookmarkStart w:id="704" w:name="_Toc12356"/>
      <w:bookmarkStart w:id="705" w:name="_Toc17385"/>
      <w:bookmarkStart w:id="706" w:name="_Toc6482"/>
      <w:bookmarkStart w:id="707" w:name="_Toc17680"/>
      <w:bookmarkStart w:id="708" w:name="_Toc28562"/>
      <w:bookmarkStart w:id="709" w:name="_Toc14049"/>
      <w:bookmarkStart w:id="710" w:name="_Toc10010"/>
      <w:bookmarkStart w:id="711" w:name="_Toc22376"/>
      <w:bookmarkStart w:id="712" w:name="_Toc15658"/>
      <w:bookmarkStart w:id="713" w:name="_Toc27333"/>
      <w:bookmarkStart w:id="714" w:name="_Toc24497"/>
      <w:bookmarkStart w:id="715" w:name="_Toc13041"/>
      <w:bookmarkStart w:id="716" w:name="_Toc128476879"/>
      <w:bookmarkStart w:id="717" w:name="_Toc481"/>
      <w:bookmarkStart w:id="718" w:name="_Toc15083"/>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.2、</w:t>
      </w:r>
      <w:bookmarkEnd w:id="682"/>
      <w:r>
        <w:rPr>
          <w:rFonts w:hint="eastAsia" w:ascii="仿宋" w:hAnsi="仿宋" w:eastAsia="仿宋" w:cs="仿宋"/>
          <w:b/>
          <w:color w:val="auto"/>
          <w:sz w:val="24"/>
          <w:szCs w:val="24"/>
          <w:highlight w:val="none"/>
          <w:shd w:val="clear" w:color="auto" w:fill="FFFFFF" w:themeFill="background1"/>
        </w:rPr>
        <w:t>财务状况报告，依法缴纳税收和社会保障资金的相关材料</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7AEAF3F1">
      <w:pPr>
        <w:pStyle w:val="18"/>
        <w:spacing w:line="360" w:lineRule="auto"/>
        <w:rPr>
          <w:rFonts w:ascii="仿宋" w:hAnsi="仿宋" w:eastAsia="仿宋" w:cs="仿宋"/>
          <w:color w:val="auto"/>
          <w:spacing w:val="10"/>
          <w:szCs w:val="24"/>
          <w:highlight w:val="none"/>
          <w:shd w:val="clear" w:color="auto" w:fill="FFFFFF" w:themeFill="background1"/>
        </w:rPr>
      </w:pPr>
    </w:p>
    <w:p w14:paraId="2335A46B">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w:t>
      </w:r>
      <w:r>
        <w:rPr>
          <w:rFonts w:hint="eastAsia" w:ascii="仿宋" w:hAnsi="仿宋" w:eastAsia="仿宋" w:cs="仿宋"/>
          <w:color w:val="auto"/>
          <w:szCs w:val="24"/>
          <w:highlight w:val="none"/>
          <w:shd w:val="clear" w:color="auto" w:fill="FFFFFF" w:themeFill="background1"/>
        </w:rPr>
        <w:t>满足下述一条要求即可</w:t>
      </w:r>
      <w:r>
        <w:rPr>
          <w:rFonts w:hint="eastAsia" w:ascii="仿宋" w:hAnsi="仿宋" w:eastAsia="仿宋" w:cs="仿宋"/>
          <w:color w:val="auto"/>
          <w:spacing w:val="10"/>
          <w:szCs w:val="24"/>
          <w:highlight w:val="none"/>
          <w:shd w:val="clear" w:color="auto" w:fill="FFFFFF" w:themeFill="background1"/>
        </w:rPr>
        <w:t>）：</w:t>
      </w:r>
    </w:p>
    <w:p w14:paraId="003B3272">
      <w:pPr>
        <w:pStyle w:val="18"/>
        <w:spacing w:line="360" w:lineRule="auto"/>
        <w:ind w:firstLine="480" w:firstLineChars="200"/>
        <w:rPr>
          <w:rFonts w:hint="eastAsia" w:ascii="仿宋" w:hAnsi="仿宋" w:eastAsia="仿宋" w:cs="仿宋"/>
          <w:color w:val="auto"/>
          <w:spacing w:val="10"/>
          <w:kern w:val="0"/>
          <w:sz w:val="24"/>
          <w:szCs w:val="24"/>
          <w:highlight w:val="none"/>
        </w:rPr>
      </w:pPr>
      <w:r>
        <w:rPr>
          <w:rFonts w:hint="eastAsia" w:ascii="仿宋" w:hAnsi="仿宋" w:eastAsia="仿宋" w:cs="仿宋"/>
          <w:color w:val="auto"/>
          <w:szCs w:val="24"/>
          <w:highlight w:val="none"/>
          <w:shd w:val="clear" w:color="auto" w:fill="FFFFFF" w:themeFill="background1"/>
        </w:rPr>
        <w:t>要求1、经审计的财务报告（202</w:t>
      </w:r>
      <w:r>
        <w:rPr>
          <w:rFonts w:hint="eastAsia" w:ascii="仿宋" w:hAnsi="仿宋" w:eastAsia="仿宋" w:cs="仿宋"/>
          <w:color w:val="auto"/>
          <w:szCs w:val="24"/>
          <w:highlight w:val="none"/>
          <w:shd w:val="clear" w:color="auto" w:fill="FFFFFF" w:themeFill="background1"/>
          <w:lang w:val="en-US" w:eastAsia="zh-CN"/>
        </w:rPr>
        <w:t>4</w:t>
      </w:r>
      <w:r>
        <w:rPr>
          <w:rFonts w:hint="eastAsia" w:ascii="仿宋" w:hAnsi="仿宋" w:eastAsia="仿宋" w:cs="仿宋"/>
          <w:color w:val="auto"/>
          <w:szCs w:val="24"/>
          <w:highlight w:val="none"/>
          <w:shd w:val="clear" w:color="auto" w:fill="FFFFFF" w:themeFill="background1"/>
        </w:rPr>
        <w:t>年度</w:t>
      </w:r>
      <w:r>
        <w:rPr>
          <w:rFonts w:hint="eastAsia" w:ascii="仿宋" w:hAnsi="仿宋" w:eastAsia="仿宋" w:cs="仿宋"/>
          <w:color w:val="auto"/>
          <w:szCs w:val="24"/>
          <w:highlight w:val="none"/>
          <w:shd w:val="clear" w:color="auto" w:fill="FFFFFF" w:themeFill="background1"/>
          <w:lang w:val="en-US" w:eastAsia="zh-CN"/>
        </w:rPr>
        <w:t>或2025年度</w:t>
      </w:r>
      <w:r>
        <w:rPr>
          <w:rFonts w:hint="eastAsia" w:ascii="仿宋" w:hAnsi="仿宋" w:eastAsia="仿宋" w:cs="仿宋"/>
          <w:color w:val="auto"/>
          <w:szCs w:val="24"/>
          <w:highlight w:val="none"/>
          <w:shd w:val="clear" w:color="auto" w:fill="FFFFFF" w:themeFill="background1"/>
        </w:rPr>
        <w:t>，包括“四表-注”，即资产负债表、利润表、现金流量表、所有者权益变动表及其附注）或银行出具的资信证明</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rPr>
        <w:t>文件递交截止之日前六个月内</w:t>
      </w:r>
      <w:r>
        <w:rPr>
          <w:rFonts w:hint="eastAsia" w:ascii="仿宋" w:hAnsi="仿宋" w:eastAsia="仿宋" w:cs="仿宋"/>
          <w:color w:val="auto"/>
          <w:kern w:val="0"/>
          <w:sz w:val="24"/>
          <w:szCs w:val="24"/>
          <w:highlight w:val="none"/>
          <w:lang w:val="en-US" w:eastAsia="zh-CN"/>
        </w:rPr>
        <w:t>任意</w:t>
      </w:r>
      <w:r>
        <w:rPr>
          <w:rFonts w:hint="eastAsia" w:ascii="仿宋" w:hAnsi="仿宋" w:eastAsia="仿宋" w:cs="仿宋"/>
          <w:color w:val="auto"/>
          <w:kern w:val="0"/>
          <w:sz w:val="24"/>
          <w:szCs w:val="24"/>
          <w:highlight w:val="none"/>
        </w:rPr>
        <w:t>一个月）</w:t>
      </w:r>
      <w:r>
        <w:rPr>
          <w:rFonts w:hint="eastAsia" w:ascii="仿宋" w:hAnsi="仿宋" w:eastAsia="仿宋" w:cs="仿宋"/>
          <w:color w:val="auto"/>
          <w:spacing w:val="10"/>
          <w:kern w:val="0"/>
          <w:sz w:val="24"/>
          <w:szCs w:val="24"/>
          <w:highlight w:val="none"/>
        </w:rPr>
        <w:t>。</w:t>
      </w:r>
    </w:p>
    <w:p w14:paraId="353FCA14">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要求</w:t>
      </w:r>
      <w:r>
        <w:rPr>
          <w:rFonts w:hint="eastAsia" w:ascii="仿宋" w:hAnsi="仿宋" w:eastAsia="仿宋" w:cs="仿宋"/>
          <w:color w:val="auto"/>
          <w:szCs w:val="24"/>
          <w:highlight w:val="none"/>
          <w:shd w:val="clear" w:color="auto" w:fill="FFFFFF" w:themeFill="background1"/>
          <w:lang w:val="en-US" w:eastAsia="zh-CN"/>
        </w:rPr>
        <w:t>2</w:t>
      </w:r>
      <w:r>
        <w:rPr>
          <w:rFonts w:hint="eastAsia" w:ascii="仿宋" w:hAnsi="仿宋" w:eastAsia="仿宋" w:cs="仿宋"/>
          <w:color w:val="auto"/>
          <w:spacing w:val="10"/>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rPr>
        <w:t>成立不足一个月（</w:t>
      </w:r>
      <w:r>
        <w:rPr>
          <w:rFonts w:hint="eastAsia" w:ascii="仿宋" w:hAnsi="仿宋" w:eastAsia="仿宋" w:cs="仿宋"/>
          <w:color w:val="auto"/>
          <w:spacing w:val="10"/>
          <w:szCs w:val="24"/>
          <w:highlight w:val="none"/>
          <w:shd w:val="clear" w:color="auto" w:fill="FFFFFF" w:themeFill="background1"/>
        </w:rPr>
        <w:t>以响应文件递交截止之日为期限</w:t>
      </w:r>
      <w:r>
        <w:rPr>
          <w:rFonts w:hint="eastAsia" w:ascii="仿宋" w:hAnsi="仿宋" w:eastAsia="仿宋" w:cs="仿宋"/>
          <w:color w:val="auto"/>
          <w:szCs w:val="24"/>
          <w:highlight w:val="none"/>
          <w:shd w:val="clear" w:color="auto" w:fill="FFFFFF" w:themeFill="background1"/>
        </w:rPr>
        <w:t>）的供应商无需提供。</w:t>
      </w:r>
    </w:p>
    <w:p w14:paraId="348C9C40">
      <w:pPr>
        <w:pStyle w:val="18"/>
        <w:spacing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04599BC1">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7EC2B1C0">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5C7FFC22">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p>
    <w:p w14:paraId="456B13EC">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548F097B">
      <w:pPr>
        <w:pStyle w:val="18"/>
        <w:spacing w:line="360" w:lineRule="auto"/>
        <w:ind w:right="516"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1C3EF9D4">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2.3、依法免税或不需要缴纳社会保障资金的供应商，应提供相应文件证明其依法免税或不需要缴纳社会保障资金。</w:t>
      </w:r>
    </w:p>
    <w:p w14:paraId="1405CAF2">
      <w:pPr>
        <w:pStyle w:val="18"/>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p>
    <w:p w14:paraId="461CA062">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54835218">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127A9451">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3.2、如供应商所在地有关主管部门反馈的证明材料与本文中要求不一致时，以当地要求为准，但须供应商提供文字说明。</w:t>
      </w:r>
    </w:p>
    <w:p w14:paraId="5519E9EF">
      <w:pPr>
        <w:rPr>
          <w:rFonts w:ascii="仿宋" w:hAnsi="仿宋" w:eastAsia="仿宋" w:cs="仿宋"/>
          <w:b/>
          <w:color w:val="auto"/>
          <w:sz w:val="24"/>
          <w:szCs w:val="24"/>
          <w:highlight w:val="none"/>
          <w:shd w:val="clear" w:color="auto" w:fill="FFFFFF" w:themeFill="background1"/>
        </w:rPr>
      </w:pPr>
      <w:bookmarkStart w:id="719" w:name="_Toc113901851"/>
      <w:bookmarkStart w:id="720" w:name="_Toc30348"/>
      <w:bookmarkStart w:id="721" w:name="_Toc128476880"/>
      <w:bookmarkStart w:id="722" w:name="_Toc7014"/>
      <w:bookmarkStart w:id="723" w:name="_Toc23152"/>
      <w:bookmarkStart w:id="724" w:name="_Toc111556488"/>
      <w:r>
        <w:rPr>
          <w:rFonts w:hint="eastAsia" w:ascii="仿宋" w:hAnsi="仿宋" w:eastAsia="仿宋" w:cs="仿宋"/>
          <w:b/>
          <w:color w:val="auto"/>
          <w:sz w:val="24"/>
          <w:szCs w:val="24"/>
          <w:highlight w:val="none"/>
          <w:shd w:val="clear" w:color="auto" w:fill="FFFFFF" w:themeFill="background1"/>
        </w:rPr>
        <w:br w:type="page"/>
      </w:r>
    </w:p>
    <w:p w14:paraId="4F7E8582">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25" w:name="_Toc19397"/>
      <w:bookmarkStart w:id="726" w:name="_Toc7344"/>
      <w:bookmarkStart w:id="727" w:name="_Toc26103"/>
      <w:bookmarkStart w:id="728" w:name="_Toc17714"/>
      <w:bookmarkStart w:id="729" w:name="_Toc21089"/>
      <w:bookmarkStart w:id="730" w:name="_Toc20131"/>
      <w:bookmarkStart w:id="731" w:name="_Toc14528"/>
      <w:bookmarkStart w:id="732" w:name="_Toc32630"/>
      <w:bookmarkStart w:id="733" w:name="_Toc7221"/>
      <w:bookmarkStart w:id="734" w:name="_Toc11810"/>
      <w:bookmarkStart w:id="735" w:name="_Toc7058"/>
      <w:bookmarkStart w:id="736" w:name="_Toc1683"/>
      <w:bookmarkStart w:id="737" w:name="_Toc1335"/>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.3、具备履行合同所必需的设备和专业技术能力的证明材料</w:t>
      </w:r>
      <w:bookmarkEnd w:id="719"/>
      <w:bookmarkEnd w:id="720"/>
      <w:bookmarkEnd w:id="721"/>
      <w:bookmarkEnd w:id="722"/>
      <w:bookmarkEnd w:id="723"/>
      <w:bookmarkEnd w:id="725"/>
      <w:bookmarkEnd w:id="726"/>
      <w:bookmarkEnd w:id="727"/>
      <w:bookmarkEnd w:id="728"/>
      <w:bookmarkEnd w:id="729"/>
      <w:bookmarkEnd w:id="730"/>
      <w:bookmarkEnd w:id="731"/>
      <w:bookmarkEnd w:id="732"/>
      <w:bookmarkEnd w:id="733"/>
      <w:bookmarkEnd w:id="734"/>
      <w:bookmarkEnd w:id="735"/>
      <w:bookmarkEnd w:id="736"/>
      <w:bookmarkEnd w:id="737"/>
    </w:p>
    <w:p w14:paraId="1DD51139">
      <w:pPr>
        <w:spacing w:line="360" w:lineRule="auto"/>
        <w:rPr>
          <w:rFonts w:ascii="仿宋" w:hAnsi="仿宋" w:eastAsia="仿宋" w:cs="仿宋"/>
          <w:color w:val="auto"/>
          <w:sz w:val="24"/>
          <w:szCs w:val="24"/>
          <w:highlight w:val="none"/>
          <w:shd w:val="clear" w:color="auto" w:fill="FFFFFF" w:themeFill="background1"/>
        </w:rPr>
      </w:pPr>
    </w:p>
    <w:p w14:paraId="7B0EB2AB">
      <w:pPr>
        <w:spacing w:line="360" w:lineRule="auto"/>
        <w:rPr>
          <w:rFonts w:ascii="仿宋" w:hAnsi="仿宋" w:eastAsia="仿宋" w:cs="仿宋"/>
          <w:color w:val="auto"/>
          <w:sz w:val="24"/>
          <w:szCs w:val="24"/>
          <w:highlight w:val="none"/>
          <w:shd w:val="clear" w:color="auto" w:fill="FFFFFF" w:themeFill="background1"/>
        </w:rPr>
      </w:pPr>
    </w:p>
    <w:p w14:paraId="300E7401">
      <w:pPr>
        <w:spacing w:line="360" w:lineRule="auto"/>
        <w:jc w:val="center"/>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724"/>
      <w:r>
        <w:rPr>
          <w:rFonts w:hint="eastAsia" w:ascii="仿宋" w:hAnsi="仿宋" w:eastAsia="仿宋" w:cs="仿宋"/>
          <w:b/>
          <w:color w:val="auto"/>
          <w:sz w:val="24"/>
          <w:szCs w:val="24"/>
          <w:highlight w:val="none"/>
          <w:shd w:val="clear" w:color="auto" w:fill="FFFFFF" w:themeFill="background1"/>
        </w:rPr>
        <w:t>函</w:t>
      </w:r>
    </w:p>
    <w:p w14:paraId="5784E59A">
      <w:pPr>
        <w:adjustRightInd w:val="0"/>
        <w:snapToGrid w:val="0"/>
        <w:spacing w:line="360" w:lineRule="auto"/>
        <w:ind w:firstLine="480" w:firstLineChars="200"/>
        <w:jc w:val="center"/>
        <w:rPr>
          <w:rFonts w:ascii="仿宋" w:hAnsi="仿宋" w:eastAsia="仿宋" w:cs="仿宋"/>
          <w:color w:val="auto"/>
          <w:sz w:val="24"/>
          <w:szCs w:val="24"/>
          <w:highlight w:val="none"/>
          <w:shd w:val="clear" w:color="auto" w:fill="FFFFFF" w:themeFill="background1"/>
        </w:rPr>
      </w:pPr>
    </w:p>
    <w:p w14:paraId="19DB9156">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270041C9">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p>
    <w:p w14:paraId="0C67305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088C99F7">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（项目名称）合同所必需的设备和专业技术能力；</w:t>
      </w:r>
    </w:p>
    <w:p w14:paraId="1E0A84BB">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2DF137E3">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623D4E2F">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B235C6D">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ADBAFA7">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3995F7B0">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60F6EC2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AABA8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A26D581">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112CC93C">
      <w:pPr>
        <w:adjustRightInd w:val="0"/>
        <w:snapToGrid w:val="0"/>
        <w:spacing w:line="360" w:lineRule="auto"/>
        <w:rPr>
          <w:rFonts w:ascii="仿宋" w:hAnsi="仿宋" w:eastAsia="仿宋" w:cs="仿宋"/>
          <w:bCs/>
          <w:color w:val="auto"/>
          <w:sz w:val="24"/>
          <w:szCs w:val="24"/>
          <w:highlight w:val="none"/>
          <w:shd w:val="clear" w:color="auto" w:fill="FFFFFF" w:themeFill="background1"/>
        </w:rPr>
      </w:pPr>
    </w:p>
    <w:p w14:paraId="658C2B0B">
      <w:pPr>
        <w:spacing w:line="360" w:lineRule="auto"/>
        <w:rPr>
          <w:rFonts w:ascii="仿宋" w:hAnsi="仿宋" w:eastAsia="仿宋" w:cs="仿宋"/>
          <w:color w:val="auto"/>
          <w:sz w:val="24"/>
          <w:szCs w:val="24"/>
          <w:highlight w:val="none"/>
          <w:shd w:val="clear" w:color="auto" w:fill="FFFFFF" w:themeFill="background1"/>
        </w:rPr>
      </w:pPr>
    </w:p>
    <w:p w14:paraId="14F05B91">
      <w:pPr>
        <w:spacing w:line="360" w:lineRule="auto"/>
        <w:rPr>
          <w:rFonts w:ascii="仿宋" w:hAnsi="仿宋" w:eastAsia="仿宋" w:cs="仿宋"/>
          <w:color w:val="auto"/>
          <w:sz w:val="24"/>
          <w:szCs w:val="24"/>
          <w:highlight w:val="none"/>
          <w:shd w:val="clear" w:color="auto" w:fill="FFFFFF" w:themeFill="background1"/>
        </w:rPr>
      </w:pPr>
    </w:p>
    <w:p w14:paraId="1314A3EA">
      <w:pPr>
        <w:spacing w:line="360" w:lineRule="auto"/>
        <w:rPr>
          <w:rFonts w:ascii="仿宋" w:hAnsi="仿宋" w:eastAsia="仿宋" w:cs="仿宋"/>
          <w:color w:val="auto"/>
          <w:sz w:val="24"/>
          <w:szCs w:val="24"/>
          <w:highlight w:val="none"/>
          <w:shd w:val="clear" w:color="auto" w:fill="FFFFFF" w:themeFill="background1"/>
        </w:rPr>
      </w:pPr>
    </w:p>
    <w:p w14:paraId="4E6C9F78">
      <w:pPr>
        <w:spacing w:line="360" w:lineRule="auto"/>
        <w:rPr>
          <w:rFonts w:ascii="仿宋" w:hAnsi="仿宋" w:eastAsia="仿宋" w:cs="仿宋"/>
          <w:color w:val="auto"/>
          <w:sz w:val="24"/>
          <w:szCs w:val="24"/>
          <w:highlight w:val="none"/>
          <w:shd w:val="clear" w:color="auto" w:fill="FFFFFF" w:themeFill="background1"/>
        </w:rPr>
      </w:pPr>
    </w:p>
    <w:p w14:paraId="7C07B243">
      <w:pPr>
        <w:spacing w:line="360" w:lineRule="auto"/>
        <w:rPr>
          <w:rFonts w:ascii="仿宋" w:hAnsi="仿宋" w:eastAsia="仿宋" w:cs="仿宋"/>
          <w:color w:val="auto"/>
          <w:sz w:val="24"/>
          <w:szCs w:val="24"/>
          <w:highlight w:val="none"/>
          <w:shd w:val="clear" w:color="auto" w:fill="FFFFFF" w:themeFill="background1"/>
        </w:rPr>
      </w:pPr>
    </w:p>
    <w:p w14:paraId="291C132D">
      <w:pPr>
        <w:spacing w:line="360" w:lineRule="auto"/>
        <w:rPr>
          <w:rFonts w:ascii="仿宋" w:hAnsi="仿宋" w:eastAsia="仿宋" w:cs="仿宋"/>
          <w:color w:val="auto"/>
          <w:sz w:val="24"/>
          <w:szCs w:val="24"/>
          <w:highlight w:val="none"/>
          <w:shd w:val="clear" w:color="auto" w:fill="FFFFFF" w:themeFill="background1"/>
        </w:rPr>
      </w:pPr>
    </w:p>
    <w:p w14:paraId="6FD282B1">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3FA8CD2">
      <w:pPr>
        <w:spacing w:line="360" w:lineRule="auto"/>
        <w:rPr>
          <w:rFonts w:ascii="仿宋" w:hAnsi="仿宋" w:eastAsia="仿宋" w:cs="仿宋"/>
          <w:color w:val="auto"/>
          <w:sz w:val="24"/>
          <w:szCs w:val="24"/>
          <w:highlight w:val="none"/>
          <w:shd w:val="clear" w:color="auto" w:fill="FFFFFF" w:themeFill="background1"/>
        </w:rPr>
      </w:pPr>
    </w:p>
    <w:p w14:paraId="6EE43988">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38" w:name="_Toc31646"/>
      <w:bookmarkStart w:id="739" w:name="_Toc27308"/>
      <w:bookmarkStart w:id="740" w:name="_Toc24374"/>
      <w:bookmarkStart w:id="741" w:name="_Toc7500"/>
      <w:bookmarkStart w:id="742" w:name="_Toc18610"/>
      <w:bookmarkStart w:id="743" w:name="_Toc19387"/>
      <w:bookmarkStart w:id="744" w:name="_Toc128476881"/>
      <w:bookmarkStart w:id="745" w:name="_Toc113901852"/>
      <w:bookmarkStart w:id="746" w:name="_Toc29504"/>
      <w:bookmarkStart w:id="747" w:name="_Toc16561"/>
      <w:bookmarkStart w:id="748" w:name="_Toc27598"/>
      <w:bookmarkStart w:id="749" w:name="_Toc5703"/>
      <w:bookmarkStart w:id="750" w:name="_Toc8111"/>
      <w:bookmarkStart w:id="751" w:name="_Toc10000"/>
      <w:bookmarkStart w:id="752" w:name="_Toc11746"/>
      <w:bookmarkStart w:id="753" w:name="_Toc5252"/>
      <w:bookmarkStart w:id="754" w:name="_Toc12542"/>
      <w:bookmarkStart w:id="755" w:name="_Toc3358"/>
      <w:bookmarkStart w:id="756" w:name="_Toc111556490"/>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.4、参加政府采购活动前3年内在经营活动中没有重大违法记录的书面声明</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bookmarkEnd w:id="756"/>
    <w:p w14:paraId="7CBB7EE1">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6D2D247E">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483BDCAF">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03BDCCE">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77A70069">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sz w:val="24"/>
          <w:szCs w:val="24"/>
          <w:highlight w:val="none"/>
          <w:shd w:val="clear" w:color="auto" w:fill="FFFFFF" w:themeFill="background1"/>
          <w:lang w:eastAsia="zh-CN"/>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33689241">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4F566CE2">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4DA0BD6">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5852F0BA">
      <w:pPr>
        <w:adjustRightInd w:val="0"/>
        <w:snapToGrid w:val="0"/>
        <w:spacing w:line="360" w:lineRule="auto"/>
        <w:ind w:firstLine="420" w:firstLineChars="200"/>
        <w:rPr>
          <w:rFonts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p>
    <w:p w14:paraId="005A8030">
      <w:pPr>
        <w:adjustRightInd w:val="0"/>
        <w:snapToGrid w:val="0"/>
        <w:spacing w:line="360" w:lineRule="auto"/>
        <w:ind w:firstLine="42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3C1D2031">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p>
    <w:p w14:paraId="2C5C2153">
      <w:pPr>
        <w:adjustRightInd w:val="0"/>
        <w:snapToGrid w:val="0"/>
        <w:spacing w:line="360" w:lineRule="auto"/>
        <w:ind w:firstLine="3112" w:firstLineChars="1297"/>
        <w:rPr>
          <w:rFonts w:ascii="仿宋" w:hAnsi="仿宋" w:eastAsia="仿宋" w:cs="仿宋"/>
          <w:color w:val="auto"/>
          <w:sz w:val="24"/>
          <w:szCs w:val="24"/>
          <w:highlight w:val="none"/>
          <w:shd w:val="clear" w:color="auto" w:fill="FFFFFF" w:themeFill="background1"/>
        </w:rPr>
      </w:pPr>
    </w:p>
    <w:p w14:paraId="5912FB2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B79A2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11F21A05">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02774916">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7BC5A12">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EA5DEA2">
      <w:pPr>
        <w:widowControl/>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3243DA24">
      <w:pPr>
        <w:spacing w:line="360" w:lineRule="auto"/>
        <w:rPr>
          <w:rFonts w:ascii="仿宋" w:hAnsi="仿宋" w:eastAsia="仿宋" w:cs="仿宋"/>
          <w:color w:val="auto"/>
          <w:sz w:val="24"/>
          <w:szCs w:val="24"/>
          <w:highlight w:val="none"/>
          <w:shd w:val="clear" w:color="auto" w:fill="FFFFFF" w:themeFill="background1"/>
        </w:rPr>
      </w:pPr>
    </w:p>
    <w:p w14:paraId="7480C1B9">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57" w:name="_Toc9076"/>
      <w:bookmarkStart w:id="758" w:name="_Toc13660"/>
      <w:bookmarkStart w:id="759" w:name="_Toc9405"/>
      <w:bookmarkStart w:id="760" w:name="_Toc31056"/>
      <w:bookmarkStart w:id="761" w:name="_Toc16712"/>
      <w:bookmarkStart w:id="762" w:name="_Toc25153"/>
      <w:bookmarkStart w:id="763" w:name="_Toc27347"/>
      <w:bookmarkStart w:id="764" w:name="_Toc15699"/>
      <w:bookmarkStart w:id="765" w:name="_Toc5985"/>
      <w:bookmarkStart w:id="766" w:name="_Toc10637"/>
      <w:bookmarkStart w:id="767" w:name="_Toc128476882"/>
      <w:bookmarkStart w:id="768" w:name="_Toc6658"/>
      <w:bookmarkStart w:id="769" w:name="_Toc113901853"/>
      <w:bookmarkStart w:id="770" w:name="_Toc5962"/>
      <w:bookmarkStart w:id="771" w:name="_Toc3900"/>
      <w:bookmarkStart w:id="772" w:name="_Toc7301"/>
      <w:bookmarkStart w:id="773" w:name="_Toc2473"/>
      <w:bookmarkStart w:id="774" w:name="_Toc2371"/>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.5、具备法律、行政法规规定的其他条件的证明材料</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4EB6A566">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594CE736">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一、</w:t>
      </w:r>
      <w:r>
        <w:rPr>
          <w:rFonts w:hint="eastAsia" w:ascii="仿宋" w:hAnsi="仿宋" w:eastAsia="仿宋" w:cs="仿宋"/>
          <w:color w:val="auto"/>
          <w:sz w:val="24"/>
          <w:szCs w:val="24"/>
          <w:highlight w:val="none"/>
          <w:shd w:val="clear" w:color="auto" w:fill="FFFFFF" w:themeFill="background1"/>
        </w:rPr>
        <w:t>国家有关主管部门的行政许可（如有时）。</w:t>
      </w:r>
    </w:p>
    <w:p w14:paraId="09D73695">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二</w:t>
      </w:r>
      <w:r>
        <w:rPr>
          <w:rFonts w:hint="eastAsia" w:ascii="仿宋" w:hAnsi="仿宋" w:eastAsia="仿宋" w:cs="仿宋"/>
          <w:color w:val="auto"/>
          <w:sz w:val="24"/>
          <w:szCs w:val="24"/>
          <w:highlight w:val="none"/>
          <w:shd w:val="clear" w:color="auto" w:fill="FFFFFF" w:themeFill="background1"/>
        </w:rPr>
        <w:t>、中小企业声明函/残疾人福利性单位声明函/监狱企业证明文件（如有时）。</w:t>
      </w:r>
    </w:p>
    <w:p w14:paraId="59462BEB">
      <w:pPr>
        <w:widowControl/>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6AC7F6C">
      <w:pPr>
        <w:pStyle w:val="44"/>
        <w:spacing w:line="360" w:lineRule="auto"/>
        <w:rPr>
          <w:rStyle w:val="51"/>
          <w:rFonts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 xml:space="preserve"> </w:t>
      </w:r>
      <w:r>
        <w:rPr>
          <w:rStyle w:val="51"/>
          <w:rFonts w:hint="eastAsia" w:ascii="仿宋" w:hAnsi="仿宋" w:eastAsia="仿宋" w:cs="仿宋"/>
          <w:color w:val="auto"/>
          <w:highlight w:val="none"/>
          <w:shd w:val="clear" w:color="auto" w:fill="FFFFFF" w:themeFill="background1"/>
        </w:rPr>
        <w:t xml:space="preserve">附表一、                  </w:t>
      </w:r>
    </w:p>
    <w:p w14:paraId="3C23891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1A01F5C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07A2E7E2">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0E09ED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4BBA2011">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C9BC3D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1AF11BE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742B25D9">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1ABE044">
      <w:pPr>
        <w:keepLines w:val="0"/>
        <w:pageBreakBefore w:val="0"/>
        <w:kinsoku/>
        <w:overflowPunct/>
        <w:topLinePunct w:val="0"/>
        <w:bidi w:val="0"/>
        <w:spacing w:beforeAutospacing="0" w:afterAutospacing="0" w:line="360" w:lineRule="auto"/>
        <w:ind w:firstLine="480" w:firstLineChars="200"/>
        <w:jc w:val="right"/>
        <w:textAlignment w:val="auto"/>
        <w:rPr>
          <w:rFonts w:hint="eastAsia" w:ascii="仿宋" w:hAnsi="仿宋" w:eastAsia="仿宋" w:cs="仿宋"/>
          <w:color w:val="auto"/>
          <w:kern w:val="0"/>
          <w:sz w:val="24"/>
          <w:szCs w:val="24"/>
          <w:highlight w:val="none"/>
          <w:shd w:val="clear" w:color="auto" w:fill="FFFFFF" w:themeFill="background1"/>
        </w:rPr>
      </w:pPr>
    </w:p>
    <w:p w14:paraId="7DFF115E">
      <w:pPr>
        <w:keepLines w:val="0"/>
        <w:pageBreakBefore w:val="0"/>
        <w:kinsoku/>
        <w:overflowPunct/>
        <w:topLinePunct w:val="0"/>
        <w:bidi w:val="0"/>
        <w:spacing w:beforeAutospacing="0" w:afterAutospacing="0" w:line="360" w:lineRule="auto"/>
        <w:ind w:firstLine="480" w:firstLineChars="200"/>
        <w:jc w:val="center"/>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企业名称（盖章）：</w:t>
      </w:r>
    </w:p>
    <w:p w14:paraId="20C312E2">
      <w:pPr>
        <w:keepLines w:val="0"/>
        <w:pageBreakBefore w:val="0"/>
        <w:kinsoku/>
        <w:overflowPunct/>
        <w:topLinePunct w:val="0"/>
        <w:bidi w:val="0"/>
        <w:spacing w:beforeAutospacing="0" w:afterAutospacing="0" w:line="360" w:lineRule="auto"/>
        <w:ind w:right="480" w:firstLine="480" w:firstLineChars="200"/>
        <w:jc w:val="center"/>
        <w:textAlignment w:val="auto"/>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日期：</w:t>
      </w:r>
    </w:p>
    <w:p w14:paraId="6295B58C">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kern w:val="0"/>
          <w:sz w:val="24"/>
          <w:szCs w:val="24"/>
          <w:highlight w:val="none"/>
          <w:shd w:val="clear" w:color="auto" w:fill="FFFFFF" w:themeFill="background1"/>
        </w:rPr>
      </w:pPr>
    </w:p>
    <w:p w14:paraId="7D5190C0">
      <w:pPr>
        <w:keepLines w:val="0"/>
        <w:pageBreakBefore w:val="0"/>
        <w:kinsoku/>
        <w:overflowPunct/>
        <w:topLinePunct w:val="0"/>
        <w:bidi w:val="0"/>
        <w:spacing w:beforeAutospacing="0" w:afterAutospacing="0" w:line="360" w:lineRule="auto"/>
        <w:textAlignment w:val="auto"/>
        <w:rPr>
          <w:rStyle w:val="51"/>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1F491522">
      <w:pPr>
        <w:spacing w:line="360" w:lineRule="auto"/>
        <w:rPr>
          <w:rStyle w:val="51"/>
          <w:rFonts w:ascii="仿宋" w:hAnsi="仿宋" w:eastAsia="仿宋" w:cs="仿宋"/>
          <w:color w:val="auto"/>
          <w:kern w:val="0"/>
          <w:sz w:val="24"/>
          <w:szCs w:val="24"/>
          <w:highlight w:val="none"/>
          <w:shd w:val="clear" w:color="auto" w:fill="FFFFFF" w:themeFill="background1"/>
        </w:rPr>
      </w:pPr>
    </w:p>
    <w:p w14:paraId="6B9D81F9">
      <w:pPr>
        <w:widowControl/>
        <w:spacing w:line="360" w:lineRule="auto"/>
        <w:jc w:val="left"/>
        <w:rPr>
          <w:rStyle w:val="51"/>
          <w:rFonts w:ascii="仿宋" w:hAnsi="仿宋" w:eastAsia="仿宋" w:cs="仿宋"/>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br w:type="page"/>
      </w:r>
    </w:p>
    <w:p w14:paraId="260F46F6">
      <w:pPr>
        <w:keepLines w:val="0"/>
        <w:pageBreakBefore w:val="0"/>
        <w:widowControl/>
        <w:kinsoku/>
        <w:overflowPunct/>
        <w:topLinePunct w:val="0"/>
        <w:bidi w:val="0"/>
        <w:spacing w:beforeAutospacing="0" w:afterAutospacing="0" w:line="360" w:lineRule="auto"/>
        <w:jc w:val="left"/>
        <w:textAlignment w:val="auto"/>
        <w:rPr>
          <w:rFonts w:hint="eastAsia" w:ascii="仿宋" w:hAnsi="仿宋" w:eastAsia="仿宋" w:cs="仿宋"/>
          <w:color w:val="auto"/>
          <w:spacing w:val="6"/>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附表二、</w:t>
      </w:r>
    </w:p>
    <w:p w14:paraId="06944F8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残疾人福利性单位声明函</w:t>
      </w:r>
    </w:p>
    <w:p w14:paraId="733D7F29">
      <w:pPr>
        <w:keepLines w:val="0"/>
        <w:pageBreakBefore w:val="0"/>
        <w:kinsoku/>
        <w:overflowPunct/>
        <w:topLinePunct w:val="0"/>
        <w:bidi w:val="0"/>
        <w:spacing w:beforeAutospacing="0" w:afterAutospacing="0" w:line="360" w:lineRule="auto"/>
        <w:textAlignment w:val="auto"/>
        <w:rPr>
          <w:rFonts w:hint="eastAsia" w:ascii="仿宋" w:hAnsi="仿宋" w:eastAsia="仿宋" w:cs="仿宋"/>
          <w:b/>
          <w:color w:val="auto"/>
          <w:spacing w:val="6"/>
          <w:sz w:val="24"/>
          <w:szCs w:val="24"/>
          <w:highlight w:val="none"/>
          <w:shd w:val="clear" w:color="auto" w:fill="FFFFFF" w:themeFill="background1"/>
        </w:rPr>
      </w:pPr>
    </w:p>
    <w:p w14:paraId="766D551E">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shd w:val="clear" w:color="auto" w:fill="FFFFFF" w:themeFill="background1"/>
        </w:rPr>
        <w:t>〔2017〕 141</w:t>
      </w:r>
      <w:r>
        <w:rPr>
          <w:rFonts w:hint="eastAsia" w:ascii="仿宋" w:hAnsi="仿宋" w:eastAsia="仿宋" w:cs="仿宋"/>
          <w:color w:val="auto"/>
          <w:spacing w:val="6"/>
          <w:sz w:val="24"/>
          <w:szCs w:val="24"/>
          <w:highlight w:val="none"/>
          <w:shd w:val="clear" w:color="auto" w:fill="FFFFFF" w:themeFill="background1"/>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682E2E90">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16513C4D">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0144CAD3">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5D530EE1">
      <w:pPr>
        <w:keepLines w:val="0"/>
        <w:pageBreakBefore w:val="0"/>
        <w:tabs>
          <w:tab w:val="left" w:pos="4860"/>
        </w:tabs>
        <w:kinsoku/>
        <w:overflowPunct/>
        <w:topLinePunct w:val="0"/>
        <w:bidi w:val="0"/>
        <w:spacing w:beforeAutospacing="0" w:afterAutospacing="0" w:line="360" w:lineRule="auto"/>
        <w:ind w:right="1560"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67F068F5">
      <w:pPr>
        <w:keepLines w:val="0"/>
        <w:pageBreakBefore w:val="0"/>
        <w:tabs>
          <w:tab w:val="left" w:pos="4860"/>
        </w:tabs>
        <w:kinsoku/>
        <w:overflowPunct/>
        <w:topLinePunct w:val="0"/>
        <w:bidi w:val="0"/>
        <w:spacing w:beforeAutospacing="0" w:afterAutospacing="0" w:line="360" w:lineRule="auto"/>
        <w:ind w:right="1560" w:firstLine="504" w:firstLineChars="200"/>
        <w:jc w:val="center"/>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266712F0">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0BDD7EAA">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3D835BE4">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5833483C">
      <w:pPr>
        <w:keepLines w:val="0"/>
        <w:pageBreakBefore w:val="0"/>
        <w:widowControl/>
        <w:kinsoku/>
        <w:overflowPunct/>
        <w:topLinePunct w:val="0"/>
        <w:bidi w:val="0"/>
        <w:spacing w:beforeAutospacing="0" w:afterAutospacing="0" w:line="360" w:lineRule="auto"/>
        <w:jc w:val="left"/>
        <w:textAlignment w:val="auto"/>
        <w:rPr>
          <w:rStyle w:val="51"/>
          <w:rFonts w:hint="eastAsia" w:ascii="仿宋" w:hAnsi="仿宋" w:eastAsia="仿宋" w:cs="仿宋"/>
          <w:b w:val="0"/>
          <w:color w:val="auto"/>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附表三、</w:t>
      </w:r>
    </w:p>
    <w:p w14:paraId="7FAA2313">
      <w:pPr>
        <w:keepLines w:val="0"/>
        <w:pageBreakBefore w:val="0"/>
        <w:kinsoku/>
        <w:overflowPunct/>
        <w:topLinePunct w:val="0"/>
        <w:bidi w:val="0"/>
        <w:spacing w:beforeAutospacing="0" w:afterAutospacing="0" w:line="360" w:lineRule="auto"/>
        <w:jc w:val="center"/>
        <w:textAlignment w:val="auto"/>
        <w:rPr>
          <w:rStyle w:val="51"/>
          <w:rFonts w:hint="eastAsia" w:ascii="仿宋" w:hAnsi="仿宋" w:eastAsia="仿宋" w:cs="仿宋"/>
          <w:b w:val="0"/>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监狱企业证明文件</w:t>
      </w:r>
    </w:p>
    <w:p w14:paraId="0A2F6C17">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38A1F61C">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2C85882D">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382BD7DB">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3D7925A">
      <w:pPr>
        <w:widowControl/>
        <w:spacing w:line="360" w:lineRule="auto"/>
        <w:jc w:val="left"/>
        <w:rPr>
          <w:rFonts w:ascii="仿宋" w:hAnsi="仿宋" w:eastAsia="仿宋" w:cs="仿宋"/>
          <w:color w:val="auto"/>
          <w:sz w:val="24"/>
          <w:szCs w:val="24"/>
          <w:highlight w:val="none"/>
          <w:shd w:val="clear" w:color="auto" w:fill="FFFFFF" w:themeFill="background1"/>
        </w:rPr>
      </w:pPr>
    </w:p>
    <w:p w14:paraId="12068DC6">
      <w:pPr>
        <w:widowControl/>
        <w:spacing w:line="360" w:lineRule="auto"/>
        <w:jc w:val="left"/>
        <w:rPr>
          <w:rFonts w:ascii="仿宋" w:hAnsi="仿宋" w:eastAsia="仿宋" w:cs="仿宋"/>
          <w:b/>
          <w:color w:val="auto"/>
          <w:sz w:val="24"/>
          <w:szCs w:val="24"/>
          <w:highlight w:val="none"/>
          <w:shd w:val="clear" w:color="auto" w:fill="FFFFFF" w:themeFill="background1"/>
        </w:rPr>
      </w:pPr>
    </w:p>
    <w:p w14:paraId="02F3B6E4">
      <w:pPr>
        <w:widowControl/>
        <w:spacing w:line="360" w:lineRule="auto"/>
        <w:jc w:val="left"/>
        <w:rPr>
          <w:rFonts w:ascii="仿宋" w:hAnsi="仿宋" w:eastAsia="仿宋" w:cs="仿宋"/>
          <w:b/>
          <w:color w:val="auto"/>
          <w:sz w:val="24"/>
          <w:szCs w:val="24"/>
          <w:highlight w:val="none"/>
          <w:shd w:val="clear" w:color="auto" w:fill="FFFFFF" w:themeFill="background1"/>
        </w:rPr>
      </w:pPr>
    </w:p>
    <w:p w14:paraId="4D859335">
      <w:pPr>
        <w:widowControl/>
        <w:spacing w:line="360" w:lineRule="auto"/>
        <w:jc w:val="left"/>
        <w:rPr>
          <w:rFonts w:ascii="仿宋" w:hAnsi="仿宋" w:eastAsia="仿宋" w:cs="仿宋"/>
          <w:b/>
          <w:color w:val="auto"/>
          <w:sz w:val="24"/>
          <w:szCs w:val="24"/>
          <w:highlight w:val="none"/>
          <w:shd w:val="clear" w:color="auto" w:fill="FFFFFF" w:themeFill="background1"/>
        </w:rPr>
      </w:pPr>
    </w:p>
    <w:p w14:paraId="6EC6A9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4934247C">
      <w:pPr>
        <w:widowControl/>
        <w:spacing w:line="360" w:lineRule="auto"/>
        <w:jc w:val="left"/>
        <w:rPr>
          <w:rFonts w:ascii="仿宋" w:hAnsi="仿宋" w:eastAsia="仿宋" w:cs="仿宋"/>
          <w:b/>
          <w:color w:val="auto"/>
          <w:sz w:val="24"/>
          <w:szCs w:val="24"/>
          <w:highlight w:val="none"/>
          <w:shd w:val="clear" w:color="auto" w:fill="FFFFFF" w:themeFill="background1"/>
        </w:rPr>
      </w:pPr>
    </w:p>
    <w:p w14:paraId="27C1C452">
      <w:pPr>
        <w:widowControl/>
        <w:spacing w:line="360" w:lineRule="auto"/>
        <w:jc w:val="left"/>
        <w:rPr>
          <w:rFonts w:ascii="仿宋" w:hAnsi="仿宋" w:eastAsia="仿宋" w:cs="仿宋"/>
          <w:b/>
          <w:color w:val="auto"/>
          <w:sz w:val="24"/>
          <w:szCs w:val="24"/>
          <w:highlight w:val="none"/>
          <w:shd w:val="clear" w:color="auto" w:fill="FFFFFF" w:themeFill="background1"/>
        </w:rPr>
      </w:pPr>
    </w:p>
    <w:p w14:paraId="365FFFBD">
      <w:pPr>
        <w:widowControl/>
        <w:jc w:val="left"/>
        <w:rPr>
          <w:rFonts w:ascii="仿宋" w:hAnsi="仿宋" w:eastAsia="仿宋" w:cs="仿宋"/>
          <w:b/>
          <w:color w:val="auto"/>
          <w:sz w:val="24"/>
          <w:szCs w:val="24"/>
          <w:highlight w:val="none"/>
          <w:shd w:val="clear" w:color="auto" w:fill="FFFFFF" w:themeFill="background1"/>
        </w:rPr>
      </w:pPr>
      <w:bookmarkStart w:id="775" w:name="_Toc533503190"/>
      <w:bookmarkStart w:id="776" w:name="_Toc38446479"/>
      <w:bookmarkStart w:id="777" w:name="_Toc507586174"/>
      <w:r>
        <w:rPr>
          <w:rFonts w:hint="eastAsia" w:ascii="仿宋" w:hAnsi="仿宋" w:eastAsia="仿宋" w:cs="仿宋"/>
          <w:b/>
          <w:color w:val="auto"/>
          <w:sz w:val="24"/>
          <w:szCs w:val="24"/>
          <w:highlight w:val="none"/>
          <w:shd w:val="clear" w:color="auto" w:fill="FFFFFF" w:themeFill="background1"/>
        </w:rPr>
        <w:br w:type="page"/>
      </w:r>
    </w:p>
    <w:p w14:paraId="4C313285">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78" w:name="_Toc5096"/>
      <w:bookmarkStart w:id="779" w:name="_Toc19513"/>
      <w:bookmarkStart w:id="780" w:name="_Toc2557"/>
      <w:r>
        <w:rPr>
          <w:rFonts w:hint="eastAsia" w:ascii="仿宋" w:hAnsi="仿宋" w:eastAsia="仿宋" w:cs="仿宋"/>
          <w:b/>
          <w:color w:val="auto"/>
          <w:sz w:val="24"/>
          <w:szCs w:val="24"/>
          <w:highlight w:val="none"/>
          <w:shd w:val="clear" w:color="auto" w:fill="FFFFFF" w:themeFill="background1"/>
          <w:lang w:val="en-US" w:eastAsia="zh-CN"/>
        </w:rPr>
        <w:t>八</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供应商</w:t>
      </w:r>
      <w:r>
        <w:rPr>
          <w:rFonts w:hint="eastAsia" w:ascii="仿宋" w:hAnsi="仿宋" w:eastAsia="仿宋" w:cs="仿宋"/>
          <w:b/>
          <w:bCs/>
          <w:color w:val="auto"/>
          <w:sz w:val="24"/>
          <w:szCs w:val="24"/>
          <w:highlight w:val="none"/>
          <w:shd w:val="clear" w:color="auto" w:fill="FFFFFF" w:themeFill="background1"/>
        </w:rPr>
        <w:t>类似项目业绩表</w:t>
      </w:r>
      <w:bookmarkEnd w:id="775"/>
      <w:bookmarkEnd w:id="776"/>
      <w:bookmarkEnd w:id="777"/>
      <w:bookmarkEnd w:id="778"/>
      <w:bookmarkEnd w:id="779"/>
      <w:bookmarkEnd w:id="780"/>
    </w:p>
    <w:p w14:paraId="68D67FCF">
      <w:pPr>
        <w:spacing w:line="360" w:lineRule="auto"/>
        <w:jc w:val="left"/>
        <w:rPr>
          <w:rFonts w:ascii="仿宋" w:hAnsi="仿宋" w:eastAsia="仿宋" w:cs="仿宋"/>
          <w:color w:val="auto"/>
          <w:sz w:val="24"/>
          <w:szCs w:val="24"/>
          <w:highlight w:val="none"/>
          <w:shd w:val="clear" w:color="auto" w:fill="FFFFFF" w:themeFill="background1"/>
        </w:rPr>
      </w:pPr>
    </w:p>
    <w:tbl>
      <w:tblPr>
        <w:tblStyle w:val="49"/>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1549"/>
        <w:gridCol w:w="1134"/>
        <w:gridCol w:w="1369"/>
        <w:gridCol w:w="1194"/>
        <w:gridCol w:w="1213"/>
        <w:gridCol w:w="1213"/>
        <w:gridCol w:w="787"/>
      </w:tblGrid>
      <w:tr w14:paraId="4395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58EE3BB">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547EF9E7">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530CC87D">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3129526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71E96973">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283593AA">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5C6B73E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32E3C5B9">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02B7A9A2">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7182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2F3739F">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4AE7B18">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3AA5401">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364F79C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16E86E90">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07D26F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1C96AFA">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95E4412">
            <w:pPr>
              <w:jc w:val="center"/>
              <w:rPr>
                <w:rFonts w:ascii="仿宋" w:hAnsi="仿宋" w:eastAsia="仿宋" w:cs="仿宋"/>
                <w:color w:val="auto"/>
                <w:kern w:val="0"/>
                <w:sz w:val="24"/>
                <w:szCs w:val="24"/>
                <w:highlight w:val="none"/>
                <w:shd w:val="clear" w:color="auto" w:fill="FFFFFF" w:themeFill="background1"/>
              </w:rPr>
            </w:pPr>
          </w:p>
        </w:tc>
      </w:tr>
      <w:tr w14:paraId="0D9CD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327DE8C">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9B12FE4">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B56D52C">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72A4718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2FF80D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CF76D8A">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324AD37">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E8BBB32">
            <w:pPr>
              <w:jc w:val="center"/>
              <w:rPr>
                <w:rFonts w:ascii="仿宋" w:hAnsi="仿宋" w:eastAsia="仿宋" w:cs="仿宋"/>
                <w:color w:val="auto"/>
                <w:kern w:val="0"/>
                <w:sz w:val="24"/>
                <w:szCs w:val="24"/>
                <w:highlight w:val="none"/>
                <w:shd w:val="clear" w:color="auto" w:fill="FFFFFF" w:themeFill="background1"/>
              </w:rPr>
            </w:pPr>
          </w:p>
        </w:tc>
      </w:tr>
      <w:tr w14:paraId="2E4CC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2B6F6B5">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5644093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F609E47">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476C3C5">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2D2F925C">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1581F9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C1AD435">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3713C28">
            <w:pPr>
              <w:jc w:val="center"/>
              <w:rPr>
                <w:rFonts w:ascii="仿宋" w:hAnsi="仿宋" w:eastAsia="仿宋" w:cs="仿宋"/>
                <w:color w:val="auto"/>
                <w:kern w:val="0"/>
                <w:sz w:val="24"/>
                <w:szCs w:val="24"/>
                <w:highlight w:val="none"/>
                <w:shd w:val="clear" w:color="auto" w:fill="FFFFFF" w:themeFill="background1"/>
              </w:rPr>
            </w:pPr>
          </w:p>
        </w:tc>
      </w:tr>
      <w:tr w14:paraId="21949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EEFC9DB">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727DD4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F99D6F6">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4C66242">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4DE834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E5C5E6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4BAE7DF">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78202A73">
            <w:pPr>
              <w:jc w:val="center"/>
              <w:rPr>
                <w:rFonts w:ascii="仿宋" w:hAnsi="仿宋" w:eastAsia="仿宋" w:cs="仿宋"/>
                <w:color w:val="auto"/>
                <w:kern w:val="0"/>
                <w:sz w:val="24"/>
                <w:szCs w:val="24"/>
                <w:highlight w:val="none"/>
                <w:shd w:val="clear" w:color="auto" w:fill="FFFFFF" w:themeFill="background1"/>
              </w:rPr>
            </w:pPr>
          </w:p>
        </w:tc>
      </w:tr>
      <w:tr w14:paraId="7DE2A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8F98246">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D5552AC">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DF1B153">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0E7EA5D6">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9FC2415">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5BB25D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A37427B">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FCD6FC3">
            <w:pPr>
              <w:jc w:val="center"/>
              <w:rPr>
                <w:rFonts w:ascii="仿宋" w:hAnsi="仿宋" w:eastAsia="仿宋" w:cs="仿宋"/>
                <w:color w:val="auto"/>
                <w:kern w:val="0"/>
                <w:sz w:val="24"/>
                <w:szCs w:val="24"/>
                <w:highlight w:val="none"/>
                <w:shd w:val="clear" w:color="auto" w:fill="FFFFFF" w:themeFill="background1"/>
              </w:rPr>
            </w:pPr>
          </w:p>
        </w:tc>
      </w:tr>
    </w:tbl>
    <w:p w14:paraId="0A93489C">
      <w:pPr>
        <w:spacing w:line="360" w:lineRule="auto"/>
        <w:ind w:firstLine="420" w:firstLineChars="200"/>
        <w:rPr>
          <w:rFonts w:ascii="仿宋" w:hAnsi="仿宋" w:eastAsia="仿宋" w:cs="仿宋"/>
          <w:color w:val="auto"/>
          <w:szCs w:val="24"/>
          <w:highlight w:val="none"/>
          <w:u w:val="single"/>
          <w:shd w:val="clear" w:color="auto" w:fill="FFFFFF" w:themeFill="background1"/>
        </w:rPr>
      </w:pPr>
    </w:p>
    <w:p w14:paraId="4D3F73E4">
      <w:pPr>
        <w:spacing w:line="360" w:lineRule="auto"/>
        <w:ind w:firstLine="480" w:firstLineChars="200"/>
        <w:rPr>
          <w:rFonts w:ascii="仿宋" w:hAnsi="仿宋" w:eastAsia="仿宋" w:cs="仿宋"/>
          <w:color w:val="auto"/>
          <w:sz w:val="24"/>
          <w:szCs w:val="24"/>
          <w:highlight w:val="none"/>
          <w:u w:val="single"/>
          <w:shd w:val="clear" w:color="auto" w:fill="FFFFFF" w:themeFill="background1"/>
        </w:rPr>
      </w:pPr>
    </w:p>
    <w:p w14:paraId="6CCB0F16">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DD01E9C">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1" w:name="_Toc507586175"/>
      <w:bookmarkStart w:id="782" w:name="_Toc31457"/>
      <w:bookmarkStart w:id="783" w:name="_Toc38446480"/>
      <w:bookmarkStart w:id="784" w:name="_Toc533503191"/>
      <w:bookmarkStart w:id="785" w:name="_Toc4152"/>
      <w:r>
        <w:rPr>
          <w:rFonts w:hint="eastAsia" w:ascii="仿宋" w:hAnsi="仿宋" w:eastAsia="仿宋" w:cs="仿宋"/>
          <w:b/>
          <w:color w:val="auto"/>
          <w:sz w:val="24"/>
          <w:szCs w:val="24"/>
          <w:highlight w:val="none"/>
          <w:shd w:val="clear" w:color="auto" w:fill="FFFFFF" w:themeFill="background1"/>
          <w:lang w:val="en-US" w:eastAsia="zh-CN"/>
        </w:rPr>
        <w:t>九</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rPr>
        <w:t>项目负责人简历表</w:t>
      </w:r>
      <w:bookmarkEnd w:id="781"/>
      <w:bookmarkEnd w:id="782"/>
      <w:bookmarkEnd w:id="783"/>
      <w:bookmarkEnd w:id="784"/>
      <w:bookmarkEnd w:id="785"/>
    </w:p>
    <w:p w14:paraId="5D73877F">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2FFF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C7A1F6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081A12B1">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4C486D6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6C7F85B9">
            <w:pPr>
              <w:spacing w:line="360" w:lineRule="auto"/>
              <w:jc w:val="center"/>
              <w:rPr>
                <w:rFonts w:ascii="仿宋" w:hAnsi="仿宋" w:eastAsia="仿宋" w:cs="仿宋"/>
                <w:color w:val="auto"/>
                <w:szCs w:val="21"/>
                <w:highlight w:val="none"/>
                <w:shd w:val="clear" w:color="auto" w:fill="FFFFFF" w:themeFill="background1"/>
              </w:rPr>
            </w:pPr>
          </w:p>
        </w:tc>
      </w:tr>
      <w:tr w14:paraId="5D30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ECAADE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101EB04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B9220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5B2F70AA">
            <w:pPr>
              <w:spacing w:line="360" w:lineRule="auto"/>
              <w:jc w:val="center"/>
              <w:rPr>
                <w:rFonts w:ascii="仿宋" w:hAnsi="仿宋" w:eastAsia="仿宋" w:cs="仿宋"/>
                <w:color w:val="auto"/>
                <w:szCs w:val="21"/>
                <w:highlight w:val="none"/>
                <w:shd w:val="clear" w:color="auto" w:fill="FFFFFF" w:themeFill="background1"/>
              </w:rPr>
            </w:pPr>
          </w:p>
        </w:tc>
      </w:tr>
      <w:tr w14:paraId="1D00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7F3B68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3B95059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AE93A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3060F5D2">
            <w:pPr>
              <w:spacing w:line="360" w:lineRule="auto"/>
              <w:jc w:val="center"/>
              <w:rPr>
                <w:rFonts w:ascii="仿宋" w:hAnsi="仿宋" w:eastAsia="仿宋" w:cs="仿宋"/>
                <w:color w:val="auto"/>
                <w:szCs w:val="21"/>
                <w:highlight w:val="none"/>
                <w:shd w:val="clear" w:color="auto" w:fill="FFFFFF" w:themeFill="background1"/>
              </w:rPr>
            </w:pPr>
          </w:p>
        </w:tc>
      </w:tr>
      <w:tr w14:paraId="04C1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052D16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78B95426">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6EFB482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2639" w:type="dxa"/>
            <w:gridSpan w:val="2"/>
            <w:vAlign w:val="center"/>
          </w:tcPr>
          <w:p w14:paraId="3AA2D9AE">
            <w:pPr>
              <w:spacing w:line="360" w:lineRule="auto"/>
              <w:jc w:val="center"/>
              <w:rPr>
                <w:rFonts w:ascii="仿宋" w:hAnsi="仿宋" w:eastAsia="仿宋" w:cs="仿宋"/>
                <w:color w:val="auto"/>
                <w:szCs w:val="21"/>
                <w:highlight w:val="none"/>
                <w:shd w:val="clear" w:color="auto" w:fill="FFFFFF" w:themeFill="background1"/>
              </w:rPr>
            </w:pPr>
          </w:p>
        </w:tc>
      </w:tr>
      <w:tr w14:paraId="5DED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5BB8C2B">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57271D22">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2FF8931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0AE05928">
            <w:pPr>
              <w:spacing w:line="360" w:lineRule="auto"/>
              <w:jc w:val="center"/>
              <w:rPr>
                <w:rFonts w:ascii="仿宋" w:hAnsi="仿宋" w:eastAsia="仿宋" w:cs="仿宋"/>
                <w:color w:val="auto"/>
                <w:szCs w:val="21"/>
                <w:highlight w:val="none"/>
                <w:shd w:val="clear" w:color="auto" w:fill="FFFFFF" w:themeFill="background1"/>
              </w:rPr>
            </w:pPr>
          </w:p>
        </w:tc>
      </w:tr>
      <w:tr w14:paraId="09FE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1B4AF1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1699046C">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5A0245D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0BA93F0A">
            <w:pPr>
              <w:spacing w:line="360" w:lineRule="auto"/>
              <w:jc w:val="center"/>
              <w:rPr>
                <w:rFonts w:ascii="仿宋" w:hAnsi="仿宋" w:eastAsia="仿宋" w:cs="仿宋"/>
                <w:color w:val="auto"/>
                <w:szCs w:val="21"/>
                <w:highlight w:val="none"/>
                <w:shd w:val="clear" w:color="auto" w:fill="FFFFFF" w:themeFill="background1"/>
              </w:rPr>
            </w:pPr>
          </w:p>
        </w:tc>
      </w:tr>
      <w:tr w14:paraId="1763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024E2C5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B24243A">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163F17E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7DE1CFD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20CB92C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3555389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6A37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454CBBFC">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022C59BA">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2BD7C41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1A2895C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01910166">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F00F5A">
            <w:pPr>
              <w:spacing w:line="360" w:lineRule="auto"/>
              <w:jc w:val="center"/>
              <w:rPr>
                <w:rFonts w:ascii="仿宋" w:hAnsi="仿宋" w:eastAsia="仿宋" w:cs="仿宋"/>
                <w:color w:val="auto"/>
                <w:szCs w:val="21"/>
                <w:highlight w:val="none"/>
                <w:shd w:val="clear" w:color="auto" w:fill="FFFFFF" w:themeFill="background1"/>
              </w:rPr>
            </w:pPr>
          </w:p>
        </w:tc>
      </w:tr>
      <w:tr w14:paraId="54BD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C1ABDE1">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B8F750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49F9F2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65178033">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69406311">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375020">
            <w:pPr>
              <w:spacing w:line="360" w:lineRule="auto"/>
              <w:jc w:val="center"/>
              <w:rPr>
                <w:rFonts w:ascii="仿宋" w:hAnsi="仿宋" w:eastAsia="仿宋" w:cs="仿宋"/>
                <w:color w:val="auto"/>
                <w:szCs w:val="21"/>
                <w:highlight w:val="none"/>
                <w:shd w:val="clear" w:color="auto" w:fill="FFFFFF" w:themeFill="background1"/>
              </w:rPr>
            </w:pPr>
          </w:p>
        </w:tc>
      </w:tr>
      <w:tr w14:paraId="22EC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647DA58">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DBB821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2FC4A3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8699A0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E33C288">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154FE">
            <w:pPr>
              <w:spacing w:line="360" w:lineRule="auto"/>
              <w:jc w:val="center"/>
              <w:rPr>
                <w:rFonts w:ascii="仿宋" w:hAnsi="仿宋" w:eastAsia="仿宋" w:cs="仿宋"/>
                <w:color w:val="auto"/>
                <w:szCs w:val="21"/>
                <w:highlight w:val="none"/>
                <w:shd w:val="clear" w:color="auto" w:fill="FFFFFF" w:themeFill="background1"/>
              </w:rPr>
            </w:pPr>
          </w:p>
        </w:tc>
      </w:tr>
      <w:tr w14:paraId="008F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DE93552">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365D6879">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09F700D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B315BCC">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4D353D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B839E54">
            <w:pPr>
              <w:spacing w:line="360" w:lineRule="auto"/>
              <w:jc w:val="center"/>
              <w:rPr>
                <w:rFonts w:ascii="仿宋" w:hAnsi="仿宋" w:eastAsia="仿宋" w:cs="仿宋"/>
                <w:color w:val="auto"/>
                <w:szCs w:val="21"/>
                <w:highlight w:val="none"/>
                <w:shd w:val="clear" w:color="auto" w:fill="FFFFFF" w:themeFill="background1"/>
              </w:rPr>
            </w:pPr>
          </w:p>
        </w:tc>
      </w:tr>
      <w:tr w14:paraId="180A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5E7903A">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44C5DBB7">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4B005197">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4CFD6B79">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388F6E0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9D28A">
            <w:pPr>
              <w:spacing w:line="360" w:lineRule="auto"/>
              <w:jc w:val="center"/>
              <w:rPr>
                <w:rFonts w:ascii="仿宋" w:hAnsi="仿宋" w:eastAsia="仿宋" w:cs="仿宋"/>
                <w:color w:val="auto"/>
                <w:szCs w:val="21"/>
                <w:highlight w:val="none"/>
                <w:shd w:val="clear" w:color="auto" w:fill="FFFFFF" w:themeFill="background1"/>
              </w:rPr>
            </w:pPr>
          </w:p>
        </w:tc>
      </w:tr>
    </w:tbl>
    <w:p w14:paraId="3EF8710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备注：附身份证、注册证等其它相关材料。</w:t>
      </w:r>
    </w:p>
    <w:p w14:paraId="4E585E1D">
      <w:pPr>
        <w:spacing w:line="360" w:lineRule="auto"/>
        <w:rPr>
          <w:rFonts w:ascii="仿宋" w:hAnsi="仿宋" w:eastAsia="仿宋" w:cs="仿宋"/>
          <w:color w:val="auto"/>
          <w:sz w:val="24"/>
          <w:szCs w:val="24"/>
          <w:highlight w:val="none"/>
          <w:shd w:val="clear" w:color="auto" w:fill="FFFFFF" w:themeFill="background1"/>
        </w:rPr>
      </w:pPr>
    </w:p>
    <w:p w14:paraId="20942407">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6" w:name="_Toc507586176"/>
      <w:r>
        <w:rPr>
          <w:rFonts w:hint="eastAsia" w:ascii="仿宋" w:hAnsi="仿宋" w:eastAsia="仿宋" w:cs="仿宋"/>
          <w:b/>
          <w:bCs/>
          <w:color w:val="auto"/>
          <w:sz w:val="24"/>
          <w:szCs w:val="24"/>
          <w:highlight w:val="none"/>
          <w:shd w:val="clear" w:color="auto" w:fill="FFFFFF" w:themeFill="background1"/>
        </w:rPr>
        <w:br w:type="page"/>
      </w:r>
      <w:bookmarkStart w:id="787" w:name="_Toc38446481"/>
      <w:bookmarkStart w:id="788" w:name="_Toc533503192"/>
      <w:bookmarkStart w:id="789" w:name="_Toc3242"/>
      <w:bookmarkStart w:id="790" w:name="_Toc3333"/>
      <w:r>
        <w:rPr>
          <w:rFonts w:hint="eastAsia" w:ascii="仿宋" w:hAnsi="仿宋" w:eastAsia="仿宋" w:cs="仿宋"/>
          <w:b/>
          <w:bCs/>
          <w:color w:val="auto"/>
          <w:sz w:val="24"/>
          <w:szCs w:val="24"/>
          <w:highlight w:val="none"/>
          <w:shd w:val="clear" w:color="auto" w:fill="FFFFFF" w:themeFill="background1"/>
          <w:lang w:val="en-US" w:eastAsia="zh-CN"/>
        </w:rPr>
        <w:t>十</w:t>
      </w:r>
      <w:r>
        <w:rPr>
          <w:rFonts w:hint="eastAsia" w:ascii="仿宋" w:hAnsi="仿宋" w:eastAsia="仿宋" w:cs="仿宋"/>
          <w:b/>
          <w:bCs/>
          <w:color w:val="auto"/>
          <w:sz w:val="24"/>
          <w:szCs w:val="24"/>
          <w:highlight w:val="none"/>
          <w:shd w:val="clear" w:color="auto" w:fill="FFFFFF" w:themeFill="background1"/>
        </w:rPr>
        <w:t>、</w:t>
      </w:r>
      <w:bookmarkEnd w:id="786"/>
      <w:bookmarkEnd w:id="787"/>
      <w:bookmarkEnd w:id="788"/>
      <w:r>
        <w:rPr>
          <w:rFonts w:hint="eastAsia" w:ascii="仿宋" w:hAnsi="仿宋" w:eastAsia="仿宋" w:cs="仿宋"/>
          <w:b/>
          <w:bCs/>
          <w:color w:val="auto"/>
          <w:sz w:val="24"/>
          <w:szCs w:val="24"/>
          <w:highlight w:val="none"/>
          <w:shd w:val="clear" w:color="auto" w:fill="FFFFFF" w:themeFill="background1"/>
        </w:rPr>
        <w:t>主要项目管理人员表</w:t>
      </w:r>
      <w:bookmarkEnd w:id="789"/>
      <w:bookmarkEnd w:id="790"/>
    </w:p>
    <w:tbl>
      <w:tblPr>
        <w:tblStyle w:val="48"/>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270"/>
        <w:gridCol w:w="1321"/>
        <w:gridCol w:w="1140"/>
        <w:gridCol w:w="1168"/>
        <w:gridCol w:w="1168"/>
        <w:gridCol w:w="1168"/>
        <w:gridCol w:w="1136"/>
      </w:tblGrid>
      <w:tr w14:paraId="5230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6" w:type="dxa"/>
            <w:vAlign w:val="center"/>
          </w:tcPr>
          <w:p w14:paraId="77417CE7">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270" w:type="dxa"/>
            <w:vAlign w:val="center"/>
          </w:tcPr>
          <w:p w14:paraId="24ADC3FF">
            <w:pPr>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21" w:type="dxa"/>
            <w:vAlign w:val="center"/>
          </w:tcPr>
          <w:p w14:paraId="36EB6E35">
            <w:pPr>
              <w:jc w:val="center"/>
              <w:rPr>
                <w:rFonts w:ascii="仿宋" w:hAnsi="仿宋" w:eastAsia="仿宋" w:cs="仿宋"/>
                <w:color w:val="auto"/>
                <w:highlight w:val="none"/>
              </w:rPr>
            </w:pPr>
            <w:r>
              <w:rPr>
                <w:rFonts w:hint="eastAsia" w:ascii="仿宋" w:hAnsi="仿宋" w:eastAsia="仿宋" w:cs="仿宋"/>
                <w:color w:val="auto"/>
                <w:highlight w:val="none"/>
              </w:rPr>
              <w:t>身份证号码</w:t>
            </w:r>
          </w:p>
        </w:tc>
        <w:tc>
          <w:tcPr>
            <w:tcW w:w="1140" w:type="dxa"/>
            <w:vAlign w:val="center"/>
          </w:tcPr>
          <w:p w14:paraId="3D8E6E1F">
            <w:pPr>
              <w:jc w:val="center"/>
              <w:rPr>
                <w:rFonts w:ascii="仿宋" w:hAnsi="仿宋" w:eastAsia="仿宋" w:cs="仿宋"/>
                <w:color w:val="auto"/>
                <w:highlight w:val="none"/>
              </w:rPr>
            </w:pPr>
            <w:r>
              <w:rPr>
                <w:rFonts w:hint="eastAsia" w:ascii="仿宋" w:hAnsi="仿宋" w:eastAsia="仿宋" w:cs="仿宋"/>
                <w:color w:val="auto"/>
                <w:highlight w:val="none"/>
              </w:rPr>
              <w:t>性别</w:t>
            </w:r>
          </w:p>
        </w:tc>
        <w:tc>
          <w:tcPr>
            <w:tcW w:w="1168" w:type="dxa"/>
            <w:vAlign w:val="center"/>
          </w:tcPr>
          <w:p w14:paraId="717CE2A3">
            <w:pPr>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168" w:type="dxa"/>
            <w:vAlign w:val="center"/>
          </w:tcPr>
          <w:p w14:paraId="7E6EDB56">
            <w:pPr>
              <w:jc w:val="center"/>
              <w:rPr>
                <w:rFonts w:ascii="仿宋" w:hAnsi="仿宋" w:eastAsia="仿宋" w:cs="仿宋"/>
                <w:color w:val="auto"/>
                <w:highlight w:val="none"/>
              </w:rPr>
            </w:pPr>
            <w:r>
              <w:rPr>
                <w:rFonts w:hint="eastAsia" w:ascii="仿宋" w:hAnsi="仿宋" w:eastAsia="仿宋" w:cs="仿宋"/>
                <w:color w:val="auto"/>
                <w:highlight w:val="none"/>
              </w:rPr>
              <w:t>学历</w:t>
            </w:r>
          </w:p>
        </w:tc>
        <w:tc>
          <w:tcPr>
            <w:tcW w:w="1168" w:type="dxa"/>
            <w:vAlign w:val="center"/>
          </w:tcPr>
          <w:p w14:paraId="668EB364">
            <w:pPr>
              <w:jc w:val="center"/>
              <w:rPr>
                <w:rFonts w:ascii="仿宋" w:hAnsi="仿宋" w:eastAsia="仿宋" w:cs="仿宋"/>
                <w:color w:val="auto"/>
                <w:highlight w:val="none"/>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1136" w:type="dxa"/>
            <w:vAlign w:val="center"/>
          </w:tcPr>
          <w:p w14:paraId="42CD49A5">
            <w:pPr>
              <w:jc w:val="center"/>
              <w:rPr>
                <w:rFonts w:ascii="仿宋" w:hAnsi="仿宋" w:eastAsia="仿宋" w:cs="仿宋"/>
                <w:color w:val="auto"/>
                <w:highlight w:val="none"/>
              </w:rPr>
            </w:pPr>
            <w:r>
              <w:rPr>
                <w:rFonts w:hint="eastAsia" w:ascii="仿宋" w:hAnsi="仿宋" w:eastAsia="仿宋" w:cs="仿宋"/>
                <w:color w:val="auto"/>
                <w:highlight w:val="none"/>
              </w:rPr>
              <w:t>备注</w:t>
            </w:r>
          </w:p>
        </w:tc>
      </w:tr>
      <w:tr w14:paraId="5595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E2AE8BB">
            <w:pPr>
              <w:rPr>
                <w:rFonts w:ascii="仿宋" w:hAnsi="仿宋" w:eastAsia="仿宋" w:cs="仿宋"/>
                <w:color w:val="auto"/>
                <w:highlight w:val="none"/>
              </w:rPr>
            </w:pPr>
          </w:p>
        </w:tc>
        <w:tc>
          <w:tcPr>
            <w:tcW w:w="1270" w:type="dxa"/>
          </w:tcPr>
          <w:p w14:paraId="165FF4FF">
            <w:pPr>
              <w:rPr>
                <w:rFonts w:ascii="仿宋" w:hAnsi="仿宋" w:eastAsia="仿宋" w:cs="仿宋"/>
                <w:color w:val="auto"/>
                <w:highlight w:val="none"/>
              </w:rPr>
            </w:pPr>
          </w:p>
        </w:tc>
        <w:tc>
          <w:tcPr>
            <w:tcW w:w="1321" w:type="dxa"/>
          </w:tcPr>
          <w:p w14:paraId="78020309">
            <w:pPr>
              <w:rPr>
                <w:rFonts w:ascii="仿宋" w:hAnsi="仿宋" w:eastAsia="仿宋" w:cs="仿宋"/>
                <w:color w:val="auto"/>
                <w:highlight w:val="none"/>
              </w:rPr>
            </w:pPr>
          </w:p>
        </w:tc>
        <w:tc>
          <w:tcPr>
            <w:tcW w:w="1140" w:type="dxa"/>
          </w:tcPr>
          <w:p w14:paraId="2BD80518">
            <w:pPr>
              <w:rPr>
                <w:rFonts w:ascii="仿宋" w:hAnsi="仿宋" w:eastAsia="仿宋" w:cs="仿宋"/>
                <w:color w:val="auto"/>
                <w:highlight w:val="none"/>
              </w:rPr>
            </w:pPr>
          </w:p>
        </w:tc>
        <w:tc>
          <w:tcPr>
            <w:tcW w:w="1168" w:type="dxa"/>
          </w:tcPr>
          <w:p w14:paraId="4C58DF38">
            <w:pPr>
              <w:rPr>
                <w:rFonts w:ascii="仿宋" w:hAnsi="仿宋" w:eastAsia="仿宋" w:cs="仿宋"/>
                <w:color w:val="auto"/>
                <w:highlight w:val="none"/>
              </w:rPr>
            </w:pPr>
          </w:p>
        </w:tc>
        <w:tc>
          <w:tcPr>
            <w:tcW w:w="1168" w:type="dxa"/>
          </w:tcPr>
          <w:p w14:paraId="41DA37D5">
            <w:pPr>
              <w:rPr>
                <w:rFonts w:ascii="仿宋" w:hAnsi="仿宋" w:eastAsia="仿宋" w:cs="仿宋"/>
                <w:color w:val="auto"/>
                <w:highlight w:val="none"/>
              </w:rPr>
            </w:pPr>
          </w:p>
        </w:tc>
        <w:tc>
          <w:tcPr>
            <w:tcW w:w="1168" w:type="dxa"/>
          </w:tcPr>
          <w:p w14:paraId="73C5533F">
            <w:pPr>
              <w:rPr>
                <w:rFonts w:ascii="仿宋" w:hAnsi="仿宋" w:eastAsia="仿宋" w:cs="仿宋"/>
                <w:color w:val="auto"/>
                <w:highlight w:val="none"/>
              </w:rPr>
            </w:pPr>
          </w:p>
        </w:tc>
        <w:tc>
          <w:tcPr>
            <w:tcW w:w="1136" w:type="dxa"/>
          </w:tcPr>
          <w:p w14:paraId="658C95D4">
            <w:pPr>
              <w:rPr>
                <w:rFonts w:ascii="仿宋" w:hAnsi="仿宋" w:eastAsia="仿宋" w:cs="仿宋"/>
                <w:color w:val="auto"/>
                <w:highlight w:val="none"/>
              </w:rPr>
            </w:pPr>
          </w:p>
        </w:tc>
      </w:tr>
      <w:tr w14:paraId="1F0A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41794342">
            <w:pPr>
              <w:rPr>
                <w:rFonts w:ascii="仿宋" w:hAnsi="仿宋" w:eastAsia="仿宋" w:cs="仿宋"/>
                <w:color w:val="auto"/>
                <w:highlight w:val="none"/>
              </w:rPr>
            </w:pPr>
          </w:p>
        </w:tc>
        <w:tc>
          <w:tcPr>
            <w:tcW w:w="1270" w:type="dxa"/>
          </w:tcPr>
          <w:p w14:paraId="1C8213BB">
            <w:pPr>
              <w:rPr>
                <w:rFonts w:ascii="仿宋" w:hAnsi="仿宋" w:eastAsia="仿宋" w:cs="仿宋"/>
                <w:color w:val="auto"/>
                <w:highlight w:val="none"/>
              </w:rPr>
            </w:pPr>
          </w:p>
        </w:tc>
        <w:tc>
          <w:tcPr>
            <w:tcW w:w="1321" w:type="dxa"/>
          </w:tcPr>
          <w:p w14:paraId="5E64707C">
            <w:pPr>
              <w:rPr>
                <w:rFonts w:ascii="仿宋" w:hAnsi="仿宋" w:eastAsia="仿宋" w:cs="仿宋"/>
                <w:color w:val="auto"/>
                <w:highlight w:val="none"/>
              </w:rPr>
            </w:pPr>
          </w:p>
        </w:tc>
        <w:tc>
          <w:tcPr>
            <w:tcW w:w="1140" w:type="dxa"/>
          </w:tcPr>
          <w:p w14:paraId="7DF72AAE">
            <w:pPr>
              <w:rPr>
                <w:rFonts w:ascii="仿宋" w:hAnsi="仿宋" w:eastAsia="仿宋" w:cs="仿宋"/>
                <w:color w:val="auto"/>
                <w:highlight w:val="none"/>
              </w:rPr>
            </w:pPr>
          </w:p>
        </w:tc>
        <w:tc>
          <w:tcPr>
            <w:tcW w:w="1168" w:type="dxa"/>
          </w:tcPr>
          <w:p w14:paraId="41FB1865">
            <w:pPr>
              <w:rPr>
                <w:rFonts w:ascii="仿宋" w:hAnsi="仿宋" w:eastAsia="仿宋" w:cs="仿宋"/>
                <w:color w:val="auto"/>
                <w:highlight w:val="none"/>
              </w:rPr>
            </w:pPr>
          </w:p>
        </w:tc>
        <w:tc>
          <w:tcPr>
            <w:tcW w:w="1168" w:type="dxa"/>
          </w:tcPr>
          <w:p w14:paraId="76D3EA83">
            <w:pPr>
              <w:rPr>
                <w:rFonts w:ascii="仿宋" w:hAnsi="仿宋" w:eastAsia="仿宋" w:cs="仿宋"/>
                <w:color w:val="auto"/>
                <w:highlight w:val="none"/>
              </w:rPr>
            </w:pPr>
          </w:p>
        </w:tc>
        <w:tc>
          <w:tcPr>
            <w:tcW w:w="1168" w:type="dxa"/>
          </w:tcPr>
          <w:p w14:paraId="4C6A89C2">
            <w:pPr>
              <w:rPr>
                <w:rFonts w:ascii="仿宋" w:hAnsi="仿宋" w:eastAsia="仿宋" w:cs="仿宋"/>
                <w:color w:val="auto"/>
                <w:highlight w:val="none"/>
              </w:rPr>
            </w:pPr>
          </w:p>
        </w:tc>
        <w:tc>
          <w:tcPr>
            <w:tcW w:w="1136" w:type="dxa"/>
          </w:tcPr>
          <w:p w14:paraId="79677E46">
            <w:pPr>
              <w:rPr>
                <w:rFonts w:ascii="仿宋" w:hAnsi="仿宋" w:eastAsia="仿宋" w:cs="仿宋"/>
                <w:color w:val="auto"/>
                <w:highlight w:val="none"/>
              </w:rPr>
            </w:pPr>
          </w:p>
        </w:tc>
      </w:tr>
      <w:tr w14:paraId="1761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023FFC5A">
            <w:pPr>
              <w:rPr>
                <w:rFonts w:ascii="仿宋" w:hAnsi="仿宋" w:eastAsia="仿宋" w:cs="仿宋"/>
                <w:color w:val="auto"/>
                <w:highlight w:val="none"/>
              </w:rPr>
            </w:pPr>
          </w:p>
        </w:tc>
        <w:tc>
          <w:tcPr>
            <w:tcW w:w="1270" w:type="dxa"/>
          </w:tcPr>
          <w:p w14:paraId="17634813">
            <w:pPr>
              <w:rPr>
                <w:rFonts w:ascii="仿宋" w:hAnsi="仿宋" w:eastAsia="仿宋" w:cs="仿宋"/>
                <w:color w:val="auto"/>
                <w:highlight w:val="none"/>
              </w:rPr>
            </w:pPr>
          </w:p>
        </w:tc>
        <w:tc>
          <w:tcPr>
            <w:tcW w:w="1321" w:type="dxa"/>
          </w:tcPr>
          <w:p w14:paraId="5B55EB41">
            <w:pPr>
              <w:rPr>
                <w:rFonts w:ascii="仿宋" w:hAnsi="仿宋" w:eastAsia="仿宋" w:cs="仿宋"/>
                <w:color w:val="auto"/>
                <w:highlight w:val="none"/>
              </w:rPr>
            </w:pPr>
          </w:p>
        </w:tc>
        <w:tc>
          <w:tcPr>
            <w:tcW w:w="1140" w:type="dxa"/>
          </w:tcPr>
          <w:p w14:paraId="6B9A6BE4">
            <w:pPr>
              <w:rPr>
                <w:rFonts w:ascii="仿宋" w:hAnsi="仿宋" w:eastAsia="仿宋" w:cs="仿宋"/>
                <w:color w:val="auto"/>
                <w:highlight w:val="none"/>
              </w:rPr>
            </w:pPr>
          </w:p>
        </w:tc>
        <w:tc>
          <w:tcPr>
            <w:tcW w:w="1168" w:type="dxa"/>
          </w:tcPr>
          <w:p w14:paraId="18D3FF09">
            <w:pPr>
              <w:rPr>
                <w:rFonts w:ascii="仿宋" w:hAnsi="仿宋" w:eastAsia="仿宋" w:cs="仿宋"/>
                <w:color w:val="auto"/>
                <w:highlight w:val="none"/>
              </w:rPr>
            </w:pPr>
          </w:p>
        </w:tc>
        <w:tc>
          <w:tcPr>
            <w:tcW w:w="1168" w:type="dxa"/>
          </w:tcPr>
          <w:p w14:paraId="1478B0BD">
            <w:pPr>
              <w:rPr>
                <w:rFonts w:ascii="仿宋" w:hAnsi="仿宋" w:eastAsia="仿宋" w:cs="仿宋"/>
                <w:color w:val="auto"/>
                <w:highlight w:val="none"/>
              </w:rPr>
            </w:pPr>
          </w:p>
        </w:tc>
        <w:tc>
          <w:tcPr>
            <w:tcW w:w="1168" w:type="dxa"/>
          </w:tcPr>
          <w:p w14:paraId="23DA0A03">
            <w:pPr>
              <w:rPr>
                <w:rFonts w:ascii="仿宋" w:hAnsi="仿宋" w:eastAsia="仿宋" w:cs="仿宋"/>
                <w:color w:val="auto"/>
                <w:highlight w:val="none"/>
              </w:rPr>
            </w:pPr>
          </w:p>
        </w:tc>
        <w:tc>
          <w:tcPr>
            <w:tcW w:w="1136" w:type="dxa"/>
          </w:tcPr>
          <w:p w14:paraId="02594443">
            <w:pPr>
              <w:rPr>
                <w:rFonts w:ascii="仿宋" w:hAnsi="仿宋" w:eastAsia="仿宋" w:cs="仿宋"/>
                <w:color w:val="auto"/>
                <w:highlight w:val="none"/>
              </w:rPr>
            </w:pPr>
          </w:p>
        </w:tc>
      </w:tr>
      <w:tr w14:paraId="4570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13DF0879">
            <w:pPr>
              <w:rPr>
                <w:rFonts w:ascii="仿宋" w:hAnsi="仿宋" w:eastAsia="仿宋" w:cs="仿宋"/>
                <w:color w:val="auto"/>
                <w:highlight w:val="none"/>
              </w:rPr>
            </w:pPr>
          </w:p>
        </w:tc>
        <w:tc>
          <w:tcPr>
            <w:tcW w:w="1270" w:type="dxa"/>
          </w:tcPr>
          <w:p w14:paraId="3D999CF8">
            <w:pPr>
              <w:rPr>
                <w:rFonts w:ascii="仿宋" w:hAnsi="仿宋" w:eastAsia="仿宋" w:cs="仿宋"/>
                <w:color w:val="auto"/>
                <w:highlight w:val="none"/>
              </w:rPr>
            </w:pPr>
          </w:p>
        </w:tc>
        <w:tc>
          <w:tcPr>
            <w:tcW w:w="1321" w:type="dxa"/>
          </w:tcPr>
          <w:p w14:paraId="6C0FD2AB">
            <w:pPr>
              <w:rPr>
                <w:rFonts w:ascii="仿宋" w:hAnsi="仿宋" w:eastAsia="仿宋" w:cs="仿宋"/>
                <w:color w:val="auto"/>
                <w:highlight w:val="none"/>
              </w:rPr>
            </w:pPr>
          </w:p>
        </w:tc>
        <w:tc>
          <w:tcPr>
            <w:tcW w:w="1140" w:type="dxa"/>
          </w:tcPr>
          <w:p w14:paraId="1598596C">
            <w:pPr>
              <w:rPr>
                <w:rFonts w:ascii="仿宋" w:hAnsi="仿宋" w:eastAsia="仿宋" w:cs="仿宋"/>
                <w:color w:val="auto"/>
                <w:highlight w:val="none"/>
              </w:rPr>
            </w:pPr>
          </w:p>
        </w:tc>
        <w:tc>
          <w:tcPr>
            <w:tcW w:w="1168" w:type="dxa"/>
          </w:tcPr>
          <w:p w14:paraId="2510AAE0">
            <w:pPr>
              <w:rPr>
                <w:rFonts w:ascii="仿宋" w:hAnsi="仿宋" w:eastAsia="仿宋" w:cs="仿宋"/>
                <w:color w:val="auto"/>
                <w:highlight w:val="none"/>
              </w:rPr>
            </w:pPr>
          </w:p>
        </w:tc>
        <w:tc>
          <w:tcPr>
            <w:tcW w:w="1168" w:type="dxa"/>
          </w:tcPr>
          <w:p w14:paraId="385885C0">
            <w:pPr>
              <w:rPr>
                <w:rFonts w:ascii="仿宋" w:hAnsi="仿宋" w:eastAsia="仿宋" w:cs="仿宋"/>
                <w:color w:val="auto"/>
                <w:highlight w:val="none"/>
              </w:rPr>
            </w:pPr>
          </w:p>
        </w:tc>
        <w:tc>
          <w:tcPr>
            <w:tcW w:w="1168" w:type="dxa"/>
          </w:tcPr>
          <w:p w14:paraId="3FE0B84F">
            <w:pPr>
              <w:rPr>
                <w:rFonts w:ascii="仿宋" w:hAnsi="仿宋" w:eastAsia="仿宋" w:cs="仿宋"/>
                <w:color w:val="auto"/>
                <w:highlight w:val="none"/>
              </w:rPr>
            </w:pPr>
          </w:p>
        </w:tc>
        <w:tc>
          <w:tcPr>
            <w:tcW w:w="1136" w:type="dxa"/>
          </w:tcPr>
          <w:p w14:paraId="38C3B829">
            <w:pPr>
              <w:rPr>
                <w:rFonts w:ascii="仿宋" w:hAnsi="仿宋" w:eastAsia="仿宋" w:cs="仿宋"/>
                <w:color w:val="auto"/>
                <w:highlight w:val="none"/>
              </w:rPr>
            </w:pPr>
          </w:p>
        </w:tc>
      </w:tr>
      <w:tr w14:paraId="3BFC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2625D290">
            <w:pPr>
              <w:rPr>
                <w:rFonts w:ascii="仿宋" w:hAnsi="仿宋" w:eastAsia="仿宋" w:cs="仿宋"/>
                <w:color w:val="auto"/>
                <w:highlight w:val="none"/>
              </w:rPr>
            </w:pPr>
          </w:p>
        </w:tc>
        <w:tc>
          <w:tcPr>
            <w:tcW w:w="1270" w:type="dxa"/>
          </w:tcPr>
          <w:p w14:paraId="4FCF1293">
            <w:pPr>
              <w:rPr>
                <w:rFonts w:ascii="仿宋" w:hAnsi="仿宋" w:eastAsia="仿宋" w:cs="仿宋"/>
                <w:color w:val="auto"/>
                <w:highlight w:val="none"/>
              </w:rPr>
            </w:pPr>
          </w:p>
        </w:tc>
        <w:tc>
          <w:tcPr>
            <w:tcW w:w="1321" w:type="dxa"/>
          </w:tcPr>
          <w:p w14:paraId="26231993">
            <w:pPr>
              <w:rPr>
                <w:rFonts w:ascii="仿宋" w:hAnsi="仿宋" w:eastAsia="仿宋" w:cs="仿宋"/>
                <w:color w:val="auto"/>
                <w:highlight w:val="none"/>
              </w:rPr>
            </w:pPr>
          </w:p>
        </w:tc>
        <w:tc>
          <w:tcPr>
            <w:tcW w:w="1140" w:type="dxa"/>
          </w:tcPr>
          <w:p w14:paraId="541547E8">
            <w:pPr>
              <w:rPr>
                <w:rFonts w:ascii="仿宋" w:hAnsi="仿宋" w:eastAsia="仿宋" w:cs="仿宋"/>
                <w:color w:val="auto"/>
                <w:highlight w:val="none"/>
              </w:rPr>
            </w:pPr>
          </w:p>
        </w:tc>
        <w:tc>
          <w:tcPr>
            <w:tcW w:w="1168" w:type="dxa"/>
          </w:tcPr>
          <w:p w14:paraId="4B8EC4D5">
            <w:pPr>
              <w:rPr>
                <w:rFonts w:ascii="仿宋" w:hAnsi="仿宋" w:eastAsia="仿宋" w:cs="仿宋"/>
                <w:color w:val="auto"/>
                <w:highlight w:val="none"/>
              </w:rPr>
            </w:pPr>
          </w:p>
        </w:tc>
        <w:tc>
          <w:tcPr>
            <w:tcW w:w="1168" w:type="dxa"/>
          </w:tcPr>
          <w:p w14:paraId="64A1A070">
            <w:pPr>
              <w:rPr>
                <w:rFonts w:ascii="仿宋" w:hAnsi="仿宋" w:eastAsia="仿宋" w:cs="仿宋"/>
                <w:color w:val="auto"/>
                <w:highlight w:val="none"/>
              </w:rPr>
            </w:pPr>
          </w:p>
        </w:tc>
        <w:tc>
          <w:tcPr>
            <w:tcW w:w="1168" w:type="dxa"/>
          </w:tcPr>
          <w:p w14:paraId="2EF263B5">
            <w:pPr>
              <w:rPr>
                <w:rFonts w:ascii="仿宋" w:hAnsi="仿宋" w:eastAsia="仿宋" w:cs="仿宋"/>
                <w:color w:val="auto"/>
                <w:highlight w:val="none"/>
              </w:rPr>
            </w:pPr>
          </w:p>
        </w:tc>
        <w:tc>
          <w:tcPr>
            <w:tcW w:w="1136" w:type="dxa"/>
          </w:tcPr>
          <w:p w14:paraId="26E0D50E">
            <w:pPr>
              <w:rPr>
                <w:rFonts w:ascii="仿宋" w:hAnsi="仿宋" w:eastAsia="仿宋" w:cs="仿宋"/>
                <w:color w:val="auto"/>
                <w:highlight w:val="none"/>
              </w:rPr>
            </w:pPr>
          </w:p>
        </w:tc>
      </w:tr>
      <w:tr w14:paraId="6304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70C0D863">
            <w:pPr>
              <w:rPr>
                <w:rFonts w:ascii="仿宋" w:hAnsi="仿宋" w:eastAsia="仿宋" w:cs="仿宋"/>
                <w:color w:val="auto"/>
                <w:highlight w:val="none"/>
              </w:rPr>
            </w:pPr>
          </w:p>
        </w:tc>
        <w:tc>
          <w:tcPr>
            <w:tcW w:w="1270" w:type="dxa"/>
          </w:tcPr>
          <w:p w14:paraId="22FCB128">
            <w:pPr>
              <w:rPr>
                <w:rFonts w:ascii="仿宋" w:hAnsi="仿宋" w:eastAsia="仿宋" w:cs="仿宋"/>
                <w:color w:val="auto"/>
                <w:highlight w:val="none"/>
              </w:rPr>
            </w:pPr>
          </w:p>
        </w:tc>
        <w:tc>
          <w:tcPr>
            <w:tcW w:w="1321" w:type="dxa"/>
          </w:tcPr>
          <w:p w14:paraId="6B81BA44">
            <w:pPr>
              <w:rPr>
                <w:rFonts w:ascii="仿宋" w:hAnsi="仿宋" w:eastAsia="仿宋" w:cs="仿宋"/>
                <w:color w:val="auto"/>
                <w:highlight w:val="none"/>
              </w:rPr>
            </w:pPr>
          </w:p>
        </w:tc>
        <w:tc>
          <w:tcPr>
            <w:tcW w:w="1140" w:type="dxa"/>
          </w:tcPr>
          <w:p w14:paraId="4191FD3A">
            <w:pPr>
              <w:rPr>
                <w:rFonts w:ascii="仿宋" w:hAnsi="仿宋" w:eastAsia="仿宋" w:cs="仿宋"/>
                <w:color w:val="auto"/>
                <w:highlight w:val="none"/>
              </w:rPr>
            </w:pPr>
          </w:p>
        </w:tc>
        <w:tc>
          <w:tcPr>
            <w:tcW w:w="1168" w:type="dxa"/>
          </w:tcPr>
          <w:p w14:paraId="6DB622A6">
            <w:pPr>
              <w:rPr>
                <w:rFonts w:ascii="仿宋" w:hAnsi="仿宋" w:eastAsia="仿宋" w:cs="仿宋"/>
                <w:color w:val="auto"/>
                <w:highlight w:val="none"/>
              </w:rPr>
            </w:pPr>
          </w:p>
        </w:tc>
        <w:tc>
          <w:tcPr>
            <w:tcW w:w="1168" w:type="dxa"/>
          </w:tcPr>
          <w:p w14:paraId="26EE9120">
            <w:pPr>
              <w:rPr>
                <w:rFonts w:ascii="仿宋" w:hAnsi="仿宋" w:eastAsia="仿宋" w:cs="仿宋"/>
                <w:color w:val="auto"/>
                <w:highlight w:val="none"/>
              </w:rPr>
            </w:pPr>
          </w:p>
        </w:tc>
        <w:tc>
          <w:tcPr>
            <w:tcW w:w="1168" w:type="dxa"/>
          </w:tcPr>
          <w:p w14:paraId="1F9D3B19">
            <w:pPr>
              <w:rPr>
                <w:rFonts w:ascii="仿宋" w:hAnsi="仿宋" w:eastAsia="仿宋" w:cs="仿宋"/>
                <w:color w:val="auto"/>
                <w:highlight w:val="none"/>
              </w:rPr>
            </w:pPr>
          </w:p>
        </w:tc>
        <w:tc>
          <w:tcPr>
            <w:tcW w:w="1136" w:type="dxa"/>
          </w:tcPr>
          <w:p w14:paraId="043185EB">
            <w:pPr>
              <w:rPr>
                <w:rFonts w:ascii="仿宋" w:hAnsi="仿宋" w:eastAsia="仿宋" w:cs="仿宋"/>
                <w:color w:val="auto"/>
                <w:highlight w:val="none"/>
              </w:rPr>
            </w:pPr>
          </w:p>
        </w:tc>
      </w:tr>
      <w:tr w14:paraId="290AA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243F2BE">
            <w:pPr>
              <w:rPr>
                <w:rFonts w:ascii="仿宋" w:hAnsi="仿宋" w:eastAsia="仿宋" w:cs="仿宋"/>
                <w:color w:val="auto"/>
                <w:highlight w:val="none"/>
              </w:rPr>
            </w:pPr>
          </w:p>
        </w:tc>
        <w:tc>
          <w:tcPr>
            <w:tcW w:w="1270" w:type="dxa"/>
          </w:tcPr>
          <w:p w14:paraId="64407055">
            <w:pPr>
              <w:rPr>
                <w:rFonts w:ascii="仿宋" w:hAnsi="仿宋" w:eastAsia="仿宋" w:cs="仿宋"/>
                <w:color w:val="auto"/>
                <w:highlight w:val="none"/>
              </w:rPr>
            </w:pPr>
          </w:p>
        </w:tc>
        <w:tc>
          <w:tcPr>
            <w:tcW w:w="1321" w:type="dxa"/>
          </w:tcPr>
          <w:p w14:paraId="2FF2D820">
            <w:pPr>
              <w:rPr>
                <w:rFonts w:ascii="仿宋" w:hAnsi="仿宋" w:eastAsia="仿宋" w:cs="仿宋"/>
                <w:color w:val="auto"/>
                <w:highlight w:val="none"/>
              </w:rPr>
            </w:pPr>
          </w:p>
        </w:tc>
        <w:tc>
          <w:tcPr>
            <w:tcW w:w="1140" w:type="dxa"/>
          </w:tcPr>
          <w:p w14:paraId="1F40A0D1">
            <w:pPr>
              <w:rPr>
                <w:rFonts w:ascii="仿宋" w:hAnsi="仿宋" w:eastAsia="仿宋" w:cs="仿宋"/>
                <w:color w:val="auto"/>
                <w:highlight w:val="none"/>
              </w:rPr>
            </w:pPr>
          </w:p>
        </w:tc>
        <w:tc>
          <w:tcPr>
            <w:tcW w:w="1168" w:type="dxa"/>
          </w:tcPr>
          <w:p w14:paraId="1EB06F99">
            <w:pPr>
              <w:rPr>
                <w:rFonts w:ascii="仿宋" w:hAnsi="仿宋" w:eastAsia="仿宋" w:cs="仿宋"/>
                <w:color w:val="auto"/>
                <w:highlight w:val="none"/>
              </w:rPr>
            </w:pPr>
          </w:p>
        </w:tc>
        <w:tc>
          <w:tcPr>
            <w:tcW w:w="1168" w:type="dxa"/>
          </w:tcPr>
          <w:p w14:paraId="0FA59EFB">
            <w:pPr>
              <w:rPr>
                <w:rFonts w:ascii="仿宋" w:hAnsi="仿宋" w:eastAsia="仿宋" w:cs="仿宋"/>
                <w:color w:val="auto"/>
                <w:highlight w:val="none"/>
              </w:rPr>
            </w:pPr>
          </w:p>
        </w:tc>
        <w:tc>
          <w:tcPr>
            <w:tcW w:w="1168" w:type="dxa"/>
          </w:tcPr>
          <w:p w14:paraId="2314CA9A">
            <w:pPr>
              <w:rPr>
                <w:rFonts w:ascii="仿宋" w:hAnsi="仿宋" w:eastAsia="仿宋" w:cs="仿宋"/>
                <w:color w:val="auto"/>
                <w:highlight w:val="none"/>
              </w:rPr>
            </w:pPr>
          </w:p>
        </w:tc>
        <w:tc>
          <w:tcPr>
            <w:tcW w:w="1136" w:type="dxa"/>
          </w:tcPr>
          <w:p w14:paraId="519CE2AF">
            <w:pPr>
              <w:rPr>
                <w:rFonts w:ascii="仿宋" w:hAnsi="仿宋" w:eastAsia="仿宋" w:cs="仿宋"/>
                <w:color w:val="auto"/>
                <w:highlight w:val="none"/>
              </w:rPr>
            </w:pPr>
          </w:p>
        </w:tc>
      </w:tr>
    </w:tbl>
    <w:p w14:paraId="386F4787">
      <w:pPr>
        <w:spacing w:line="360" w:lineRule="auto"/>
        <w:ind w:firstLine="420" w:firstLineChars="200"/>
        <w:jc w:val="left"/>
        <w:rPr>
          <w:rFonts w:ascii="仿宋" w:hAnsi="仿宋" w:eastAsia="仿宋" w:cs="仿宋"/>
          <w:color w:val="auto"/>
          <w:szCs w:val="24"/>
          <w:highlight w:val="none"/>
          <w:shd w:val="clear" w:color="auto" w:fill="FFFFFF" w:themeFill="background1"/>
        </w:rPr>
      </w:pPr>
    </w:p>
    <w:p w14:paraId="2D42A5C7">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r>
        <w:rPr>
          <w:rFonts w:hint="eastAsia" w:ascii="仿宋" w:hAnsi="仿宋" w:eastAsia="仿宋" w:cs="仿宋"/>
          <w:color w:val="auto"/>
          <w:szCs w:val="24"/>
          <w:highlight w:val="none"/>
          <w:shd w:val="clear" w:color="auto" w:fill="FFFFFF" w:themeFill="background1"/>
          <w:lang w:val="en-US" w:eastAsia="zh-CN"/>
        </w:rPr>
        <w:t>需配备</w:t>
      </w:r>
      <w:r>
        <w:rPr>
          <w:rFonts w:hint="eastAsia" w:ascii="仿宋" w:hAnsi="仿宋" w:eastAsia="仿宋" w:cs="仿宋"/>
          <w:color w:val="auto"/>
          <w:szCs w:val="24"/>
          <w:highlight w:val="none"/>
          <w:shd w:val="clear" w:color="auto" w:fill="FFFFFF" w:themeFill="background1"/>
        </w:rPr>
        <w:t>施工员、材料员、预算员、质检员、安全员、资料员及项目负责人需要配备的其他关键人员；应附相应证书、身份证，专职安全生产管理人员应附有效的安全生产考核合格证书。</w:t>
      </w:r>
    </w:p>
    <w:p w14:paraId="08C132C2">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p>
    <w:p w14:paraId="73269CA9">
      <w:pPr>
        <w:spacing w:line="360" w:lineRule="auto"/>
        <w:rPr>
          <w:rFonts w:ascii="仿宋" w:hAnsi="仿宋" w:eastAsia="仿宋" w:cs="仿宋"/>
          <w:color w:val="auto"/>
          <w:sz w:val="24"/>
          <w:szCs w:val="24"/>
          <w:highlight w:val="none"/>
          <w:shd w:val="clear" w:color="auto" w:fill="FFFFFF" w:themeFill="background1"/>
        </w:rPr>
      </w:pPr>
    </w:p>
    <w:p w14:paraId="0CBFAAB3">
      <w:pPr>
        <w:rPr>
          <w:rFonts w:ascii="仿宋" w:hAnsi="仿宋" w:eastAsia="仿宋" w:cs="仿宋"/>
          <w:bCs/>
          <w:color w:val="auto"/>
          <w:szCs w:val="24"/>
          <w:highlight w:val="none"/>
          <w:shd w:val="clear" w:color="auto" w:fill="FFFFFF" w:themeFill="background1"/>
        </w:rPr>
      </w:pPr>
      <w:r>
        <w:rPr>
          <w:rFonts w:hint="eastAsia" w:ascii="仿宋" w:hAnsi="仿宋" w:eastAsia="仿宋" w:cs="仿宋"/>
          <w:bCs/>
          <w:color w:val="auto"/>
          <w:szCs w:val="24"/>
          <w:highlight w:val="none"/>
          <w:shd w:val="clear" w:color="auto" w:fill="FFFFFF" w:themeFill="background1"/>
        </w:rPr>
        <w:br w:type="page"/>
      </w:r>
    </w:p>
    <w:p w14:paraId="4DA4445B">
      <w:pPr>
        <w:tabs>
          <w:tab w:val="center" w:pos="4832"/>
          <w:tab w:val="left" w:pos="7140"/>
        </w:tabs>
        <w:spacing w:line="360" w:lineRule="auto"/>
        <w:ind w:firstLine="482" w:firstLineChars="200"/>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1" w:name="_Toc38446482"/>
      <w:bookmarkStart w:id="792" w:name="_Toc507586177"/>
      <w:bookmarkStart w:id="793" w:name="_Toc533503193"/>
      <w:bookmarkStart w:id="794" w:name="_Toc25270"/>
      <w:bookmarkStart w:id="795" w:name="_Toc28979"/>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一</w:t>
      </w:r>
      <w:r>
        <w:rPr>
          <w:rFonts w:hint="eastAsia" w:ascii="仿宋" w:hAnsi="仿宋" w:eastAsia="仿宋" w:cs="仿宋"/>
          <w:b/>
          <w:color w:val="auto"/>
          <w:sz w:val="24"/>
          <w:szCs w:val="24"/>
          <w:highlight w:val="none"/>
          <w:shd w:val="clear" w:color="auto" w:fill="FFFFFF" w:themeFill="background1"/>
        </w:rPr>
        <w:t>、</w:t>
      </w:r>
      <w:bookmarkEnd w:id="791"/>
      <w:bookmarkEnd w:id="792"/>
      <w:bookmarkEnd w:id="793"/>
      <w:bookmarkEnd w:id="794"/>
      <w:r>
        <w:rPr>
          <w:rFonts w:hint="eastAsia" w:ascii="仿宋" w:hAnsi="仿宋" w:eastAsia="仿宋" w:cs="仿宋"/>
          <w:b/>
          <w:bCs/>
          <w:color w:val="auto"/>
          <w:sz w:val="24"/>
          <w:szCs w:val="24"/>
          <w:highlight w:val="none"/>
          <w:shd w:val="clear" w:color="auto" w:fill="FFFFFF" w:themeFill="background1"/>
          <w:lang w:eastAsia="zh-CN"/>
        </w:rPr>
        <w:t>施工组织设计</w:t>
      </w:r>
      <w:bookmarkEnd w:id="795"/>
    </w:p>
    <w:p w14:paraId="322F70F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40A9D179">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 xml:space="preserve">一、供应商应根据项目的具体情况，编制相应的施工组织设计。 </w:t>
      </w:r>
    </w:p>
    <w:p w14:paraId="4ED31304">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二、施工组织设计包括</w:t>
      </w:r>
      <w:r>
        <w:rPr>
          <w:rFonts w:hint="eastAsia" w:ascii="仿宋" w:hAnsi="仿宋" w:eastAsia="仿宋" w:cs="仿宋"/>
          <w:color w:val="auto"/>
          <w:sz w:val="24"/>
          <w:szCs w:val="24"/>
          <w:highlight w:val="none"/>
          <w:shd w:val="clear" w:color="auto" w:fill="FFFFFF" w:themeFill="background1"/>
        </w:rPr>
        <w:t>但不限于</w:t>
      </w:r>
      <w:r>
        <w:rPr>
          <w:rFonts w:hint="eastAsia" w:ascii="仿宋" w:hAnsi="仿宋" w:eastAsia="仿宋" w:cs="仿宋"/>
          <w:color w:val="auto"/>
          <w:sz w:val="24"/>
          <w:szCs w:val="24"/>
          <w:highlight w:val="none"/>
          <w:shd w:val="clear" w:color="auto" w:fill="FFFFFF" w:themeFill="background1"/>
          <w:lang w:val="en-US" w:eastAsia="zh-CN"/>
        </w:rPr>
        <w:t>下列内容：</w:t>
      </w:r>
    </w:p>
    <w:p w14:paraId="4D206D5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1、工程概况及特点</w:t>
      </w:r>
    </w:p>
    <w:p w14:paraId="5D204C4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（1）工程建设概况</w:t>
      </w:r>
    </w:p>
    <w:p w14:paraId="12D11D8C">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（2）建筑设计特点</w:t>
      </w:r>
    </w:p>
    <w:p w14:paraId="4F43581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（3）结构设计特点</w:t>
      </w:r>
    </w:p>
    <w:p w14:paraId="710DB5C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（4）设备安装设计特点</w:t>
      </w:r>
    </w:p>
    <w:p w14:paraId="4755B2D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（5）工程施工特点</w:t>
      </w:r>
    </w:p>
    <w:p w14:paraId="21AFDAEB">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（6）建设地点特征</w:t>
      </w:r>
    </w:p>
    <w:p w14:paraId="526AD22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2、施工准备工作计划</w:t>
      </w:r>
    </w:p>
    <w:p w14:paraId="01262A3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3、施工方案</w:t>
      </w:r>
    </w:p>
    <w:p w14:paraId="113E809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4、工程施工进度计划</w:t>
      </w:r>
    </w:p>
    <w:p w14:paraId="425B937D">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（1）施工流水作业横道图</w:t>
      </w:r>
    </w:p>
    <w:p w14:paraId="54B095F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（2）施工进度计划网络图</w:t>
      </w:r>
    </w:p>
    <w:p w14:paraId="17A2A97A">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上述两种图表，可选任意一种，但推荐做（2）的图表形式</w:t>
      </w:r>
    </w:p>
    <w:p w14:paraId="235281B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5、劳动力、材料、施工机械设备等需要量计划</w:t>
      </w:r>
    </w:p>
    <w:p w14:paraId="4690B071">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6、施工平面图</w:t>
      </w:r>
    </w:p>
    <w:p w14:paraId="1CB534F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7、质量保证技术组织措施和保证体系</w:t>
      </w:r>
    </w:p>
    <w:p w14:paraId="3718044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8、安全保证技术组织措施和保证体系</w:t>
      </w:r>
    </w:p>
    <w:p w14:paraId="07751D9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9、进度保证技术组织措施和保证体系</w:t>
      </w:r>
    </w:p>
    <w:p w14:paraId="421C0C9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10、现场文明施工措施</w:t>
      </w:r>
    </w:p>
    <w:p w14:paraId="65EF8CC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11、施工现场扬尘防治方案</w:t>
      </w:r>
    </w:p>
    <w:p w14:paraId="46337FE1">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26050568">
      <w:pPr>
        <w:spacing w:line="360" w:lineRule="auto"/>
        <w:ind w:firstLine="480" w:firstLineChars="200"/>
        <w:rPr>
          <w:rFonts w:ascii="仿宋" w:hAnsi="仿宋" w:eastAsia="仿宋" w:cs="仿宋"/>
          <w:bCs/>
          <w:color w:val="auto"/>
          <w:sz w:val="24"/>
          <w:szCs w:val="24"/>
          <w:highlight w:val="none"/>
          <w:shd w:val="clear" w:color="auto" w:fill="FFFFFF" w:themeFill="background1"/>
        </w:rPr>
      </w:pPr>
    </w:p>
    <w:p w14:paraId="1A288B2D">
      <w:pPr>
        <w:widowControl/>
        <w:jc w:val="left"/>
        <w:rPr>
          <w:rFonts w:ascii="仿宋" w:hAnsi="仿宋" w:eastAsia="仿宋" w:cs="仿宋"/>
          <w:bCs/>
          <w:color w:val="auto"/>
          <w:sz w:val="24"/>
          <w:szCs w:val="24"/>
          <w:highlight w:val="none"/>
          <w:shd w:val="clear" w:color="auto" w:fill="FFFFFF" w:themeFill="background1"/>
        </w:rPr>
      </w:pPr>
      <w:bookmarkStart w:id="796" w:name="_Toc507586178"/>
      <w:bookmarkStart w:id="797" w:name="_Toc533503194"/>
      <w:bookmarkStart w:id="798" w:name="_Toc38446484"/>
      <w:r>
        <w:rPr>
          <w:rFonts w:hint="eastAsia" w:ascii="仿宋" w:hAnsi="仿宋" w:eastAsia="仿宋" w:cs="仿宋"/>
          <w:bCs/>
          <w:color w:val="auto"/>
          <w:sz w:val="24"/>
          <w:szCs w:val="24"/>
          <w:highlight w:val="none"/>
          <w:shd w:val="clear" w:color="auto" w:fill="FFFFFF" w:themeFill="background1"/>
        </w:rPr>
        <w:br w:type="page"/>
      </w:r>
    </w:p>
    <w:p w14:paraId="2BA28FCA">
      <w:pPr>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9" w:name="_Toc12340"/>
      <w:bookmarkStart w:id="800" w:name="_Toc22039"/>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bookmarkEnd w:id="796"/>
      <w:bookmarkEnd w:id="797"/>
      <w:bookmarkEnd w:id="798"/>
      <w:bookmarkEnd w:id="799"/>
      <w:r>
        <w:rPr>
          <w:rFonts w:hint="eastAsia" w:ascii="仿宋" w:hAnsi="仿宋" w:eastAsia="仿宋" w:cs="仿宋"/>
          <w:b/>
          <w:color w:val="auto"/>
          <w:sz w:val="24"/>
          <w:szCs w:val="24"/>
          <w:highlight w:val="none"/>
          <w:shd w:val="clear" w:color="auto" w:fill="FFFFFF" w:themeFill="background1"/>
          <w:lang w:eastAsia="zh-CN"/>
        </w:rPr>
        <w:t>已标价工程量清单</w:t>
      </w:r>
      <w:bookmarkEnd w:id="800"/>
    </w:p>
    <w:p w14:paraId="328E6CD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B73039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供应商编制</w:t>
      </w:r>
      <w:r>
        <w:rPr>
          <w:rFonts w:hint="eastAsia" w:ascii="仿宋" w:hAnsi="仿宋" w:eastAsia="仿宋" w:cs="仿宋"/>
          <w:color w:val="auto"/>
          <w:sz w:val="24"/>
          <w:szCs w:val="24"/>
          <w:highlight w:val="none"/>
          <w:shd w:val="clear" w:color="auto" w:fill="FFFFFF" w:themeFill="background1"/>
          <w:lang w:eastAsia="zh-CN"/>
        </w:rPr>
        <w:t>已标价工程量清单</w:t>
      </w:r>
      <w:r>
        <w:rPr>
          <w:rFonts w:hint="eastAsia" w:ascii="仿宋" w:hAnsi="仿宋" w:eastAsia="仿宋" w:cs="仿宋"/>
          <w:color w:val="auto"/>
          <w:sz w:val="24"/>
          <w:szCs w:val="24"/>
          <w:highlight w:val="none"/>
          <w:shd w:val="clear" w:color="auto" w:fill="FFFFFF" w:themeFill="background1"/>
        </w:rPr>
        <w:t>须严格按照本</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sz w:val="24"/>
          <w:szCs w:val="24"/>
          <w:highlight w:val="none"/>
          <w:shd w:val="clear" w:color="auto" w:fill="FFFFFF" w:themeFill="background1"/>
        </w:rPr>
        <w:t>附件（工程量清单）提供的表格填列。</w:t>
      </w:r>
    </w:p>
    <w:p w14:paraId="0E7B4D3D">
      <w:pP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6E063EDE">
      <w:pPr>
        <w:tabs>
          <w:tab w:val="center" w:pos="4832"/>
          <w:tab w:val="left" w:pos="7140"/>
        </w:tabs>
        <w:jc w:val="center"/>
        <w:outlineLvl w:val="1"/>
        <w:rPr>
          <w:rFonts w:hint="eastAsia" w:ascii="仿宋" w:hAnsi="仿宋" w:eastAsia="仿宋" w:cs="仿宋"/>
          <w:b/>
          <w:color w:val="auto"/>
          <w:sz w:val="24"/>
          <w:szCs w:val="24"/>
          <w:highlight w:val="none"/>
        </w:rPr>
      </w:pPr>
      <w:bookmarkStart w:id="801" w:name="_Toc20373"/>
      <w:bookmarkStart w:id="802" w:name="_Toc22861"/>
      <w:bookmarkStart w:id="803" w:name="_Toc12468"/>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801"/>
      <w:bookmarkEnd w:id="802"/>
      <w:bookmarkEnd w:id="803"/>
    </w:p>
    <w:p w14:paraId="7436713F">
      <w:pPr>
        <w:spacing w:line="360" w:lineRule="auto"/>
        <w:ind w:firstLine="480" w:firstLineChars="200"/>
        <w:rPr>
          <w:rFonts w:hint="eastAsia" w:ascii="仿宋" w:hAnsi="仿宋" w:eastAsia="仿宋" w:cs="仿宋"/>
          <w:color w:val="auto"/>
          <w:sz w:val="24"/>
          <w:szCs w:val="24"/>
          <w:highlight w:val="none"/>
        </w:rPr>
      </w:pPr>
    </w:p>
    <w:p w14:paraId="0C9AF771">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4DD5FCB">
      <w:pPr>
        <w:spacing w:line="360" w:lineRule="auto"/>
        <w:ind w:firstLine="480" w:firstLineChars="200"/>
        <w:rPr>
          <w:rFonts w:hint="eastAsia" w:ascii="仿宋" w:hAnsi="仿宋" w:eastAsia="仿宋" w:cs="仿宋"/>
          <w:color w:val="auto"/>
          <w:sz w:val="24"/>
          <w:szCs w:val="24"/>
          <w:highlight w:val="none"/>
        </w:rPr>
      </w:pPr>
    </w:p>
    <w:p w14:paraId="42D04846">
      <w:pPr>
        <w:spacing w:line="360" w:lineRule="auto"/>
        <w:ind w:firstLine="480" w:firstLineChars="200"/>
        <w:rPr>
          <w:rFonts w:hint="eastAsia" w:ascii="仿宋" w:hAnsi="仿宋" w:eastAsia="仿宋" w:cs="仿宋"/>
          <w:color w:val="auto"/>
          <w:sz w:val="24"/>
          <w:szCs w:val="24"/>
          <w:highlight w:val="none"/>
        </w:rPr>
      </w:pPr>
    </w:p>
    <w:p w14:paraId="510D2977">
      <w:pPr>
        <w:spacing w:line="360" w:lineRule="auto"/>
        <w:ind w:firstLine="480" w:firstLineChars="200"/>
        <w:rPr>
          <w:rFonts w:hint="eastAsia" w:ascii="仿宋" w:hAnsi="仿宋" w:eastAsia="仿宋" w:cs="仿宋"/>
          <w:color w:val="auto"/>
          <w:sz w:val="24"/>
          <w:szCs w:val="24"/>
          <w:highlight w:val="none"/>
        </w:rPr>
      </w:pPr>
    </w:p>
    <w:p w14:paraId="387049A4">
      <w:pPr>
        <w:spacing w:line="360" w:lineRule="auto"/>
        <w:ind w:firstLine="480" w:firstLineChars="200"/>
        <w:rPr>
          <w:rFonts w:hint="eastAsia" w:ascii="仿宋" w:hAnsi="仿宋" w:eastAsia="仿宋" w:cs="仿宋"/>
          <w:color w:val="auto"/>
          <w:sz w:val="24"/>
          <w:szCs w:val="24"/>
          <w:highlight w:val="none"/>
        </w:rPr>
      </w:pPr>
    </w:p>
    <w:p w14:paraId="4F5A64C4">
      <w:pPr>
        <w:rPr>
          <w:rFonts w:hint="eastAsia" w:ascii="仿宋" w:hAnsi="仿宋" w:eastAsia="仿宋" w:cs="仿宋"/>
          <w:b/>
          <w:color w:val="auto"/>
          <w:sz w:val="24"/>
          <w:szCs w:val="24"/>
          <w:highlight w:val="none"/>
        </w:rPr>
      </w:pPr>
      <w:bookmarkStart w:id="804" w:name="_Toc109921168"/>
      <w:bookmarkStart w:id="805" w:name="_Toc109941775"/>
      <w:bookmarkStart w:id="806" w:name="_Toc110707975"/>
      <w:bookmarkStart w:id="807" w:name="_Toc130252630"/>
      <w:bookmarkStart w:id="808" w:name="_Toc24108"/>
      <w:bookmarkStart w:id="809" w:name="_Toc14156"/>
      <w:r>
        <w:rPr>
          <w:rFonts w:hint="eastAsia" w:ascii="仿宋" w:hAnsi="仿宋" w:eastAsia="仿宋" w:cs="仿宋"/>
          <w:b/>
          <w:color w:val="auto"/>
          <w:sz w:val="24"/>
          <w:szCs w:val="24"/>
          <w:highlight w:val="none"/>
        </w:rPr>
        <w:br w:type="page"/>
      </w:r>
    </w:p>
    <w:p w14:paraId="62B4EBB1">
      <w:pPr>
        <w:tabs>
          <w:tab w:val="center" w:pos="4832"/>
          <w:tab w:val="left" w:pos="7140"/>
        </w:tabs>
        <w:jc w:val="center"/>
        <w:outlineLvl w:val="1"/>
        <w:rPr>
          <w:rFonts w:hint="eastAsia" w:ascii="仿宋" w:hAnsi="仿宋" w:eastAsia="仿宋" w:cs="仿宋"/>
          <w:b/>
          <w:color w:val="auto"/>
          <w:sz w:val="24"/>
          <w:szCs w:val="24"/>
          <w:highlight w:val="none"/>
        </w:rPr>
      </w:pPr>
      <w:bookmarkStart w:id="810" w:name="_Toc29087"/>
      <w:bookmarkStart w:id="811" w:name="_Toc5450"/>
      <w:bookmarkStart w:id="812" w:name="_Toc22247"/>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804"/>
      <w:bookmarkEnd w:id="805"/>
      <w:bookmarkEnd w:id="806"/>
      <w:bookmarkEnd w:id="807"/>
      <w:bookmarkEnd w:id="808"/>
      <w:bookmarkEnd w:id="809"/>
      <w:bookmarkEnd w:id="810"/>
      <w:bookmarkEnd w:id="811"/>
      <w:bookmarkEnd w:id="812"/>
    </w:p>
    <w:p w14:paraId="1EFD0F99">
      <w:pPr>
        <w:spacing w:line="360" w:lineRule="auto"/>
        <w:ind w:firstLine="480" w:firstLineChars="200"/>
        <w:rPr>
          <w:rFonts w:hint="eastAsia" w:ascii="仿宋" w:hAnsi="仿宋" w:eastAsia="仿宋" w:cs="仿宋"/>
          <w:color w:val="auto"/>
          <w:sz w:val="24"/>
          <w:szCs w:val="24"/>
          <w:highlight w:val="none"/>
        </w:rPr>
      </w:pPr>
    </w:p>
    <w:p w14:paraId="419941D8">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文件的要求和供应商认为需要提供的资料。</w:t>
      </w:r>
    </w:p>
    <w:p w14:paraId="04FE9590">
      <w:pP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37FA8E1">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813" w:name="_Toc77455658"/>
      <w:bookmarkStart w:id="814" w:name="_Toc9085"/>
      <w:bookmarkStart w:id="815" w:name="_Toc60925660"/>
      <w:bookmarkStart w:id="816" w:name="_Toc28044"/>
      <w:r>
        <w:rPr>
          <w:rFonts w:hint="eastAsia" w:ascii="仿宋" w:hAnsi="仿宋" w:eastAsia="仿宋" w:cs="仿宋"/>
          <w:b/>
          <w:color w:val="auto"/>
          <w:sz w:val="24"/>
          <w:szCs w:val="24"/>
          <w:highlight w:val="none"/>
          <w:shd w:val="clear" w:color="auto" w:fill="FFFFFF" w:themeFill="background1"/>
        </w:rPr>
        <w:t>第六章 补充条款</w:t>
      </w:r>
      <w:bookmarkEnd w:id="813"/>
      <w:bookmarkEnd w:id="814"/>
      <w:bookmarkEnd w:id="815"/>
      <w:bookmarkEnd w:id="816"/>
    </w:p>
    <w:p w14:paraId="54CBE0F5">
      <w:pPr>
        <w:spacing w:line="360" w:lineRule="auto"/>
        <w:outlineLvl w:val="1"/>
        <w:rPr>
          <w:rFonts w:hint="eastAsia" w:ascii="仿宋" w:hAnsi="仿宋" w:eastAsia="仿宋" w:cs="仿宋"/>
          <w:color w:val="auto"/>
          <w:spacing w:val="6"/>
          <w:sz w:val="24"/>
          <w:szCs w:val="24"/>
          <w:highlight w:val="none"/>
        </w:rPr>
      </w:pPr>
      <w:bookmarkStart w:id="817" w:name="_Toc5592"/>
      <w:bookmarkStart w:id="818" w:name="_Toc15921"/>
      <w:bookmarkStart w:id="819" w:name="_Toc29127"/>
      <w:bookmarkStart w:id="820" w:name="_Toc26832"/>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817"/>
      <w:bookmarkEnd w:id="818"/>
      <w:bookmarkEnd w:id="819"/>
      <w:bookmarkEnd w:id="820"/>
    </w:p>
    <w:p w14:paraId="66E3D5D5">
      <w:pPr>
        <w:spacing w:line="360" w:lineRule="auto"/>
        <w:jc w:val="center"/>
        <w:rPr>
          <w:rFonts w:hint="eastAsia" w:ascii="仿宋" w:hAnsi="仿宋" w:eastAsia="仿宋" w:cs="仿宋"/>
          <w:color w:val="auto"/>
          <w:spacing w:val="6"/>
          <w:sz w:val="24"/>
          <w:szCs w:val="24"/>
          <w:highlight w:val="none"/>
        </w:rPr>
      </w:pPr>
    </w:p>
    <w:p w14:paraId="148010D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3C705406">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276095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3FDDC89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8BDD1D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06950004">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4455EC35">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58521107">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79CA05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1DDD656E">
      <w:pPr>
        <w:spacing w:line="360" w:lineRule="auto"/>
        <w:ind w:firstLine="504" w:firstLineChars="200"/>
        <w:rPr>
          <w:rFonts w:hint="eastAsia" w:ascii="仿宋" w:hAnsi="仿宋" w:eastAsia="仿宋" w:cs="仿宋"/>
          <w:color w:val="auto"/>
          <w:spacing w:val="6"/>
          <w:sz w:val="24"/>
          <w:szCs w:val="24"/>
          <w:highlight w:val="none"/>
        </w:rPr>
      </w:pPr>
    </w:p>
    <w:p w14:paraId="1EB147B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6C5BC2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7BB75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14E0EDC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293C1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906DA6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67E32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274D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0135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BCCF6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18D97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4881E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A4D28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37C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270F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3AC33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686EC0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0CB22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07456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64B0F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445B7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03D57A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6630774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208720C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DE3234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35DAB4B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1604C05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5F1EB11">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1DAF3BFD">
      <w:pPr>
        <w:spacing w:line="360" w:lineRule="auto"/>
        <w:outlineLvl w:val="1"/>
        <w:rPr>
          <w:rFonts w:hint="eastAsia" w:ascii="仿宋" w:hAnsi="仿宋" w:eastAsia="仿宋" w:cs="仿宋"/>
          <w:color w:val="auto"/>
          <w:spacing w:val="6"/>
          <w:sz w:val="24"/>
          <w:szCs w:val="24"/>
          <w:highlight w:val="none"/>
          <w:lang w:val="en-US" w:eastAsia="zh-CN"/>
        </w:rPr>
      </w:pPr>
      <w:bookmarkStart w:id="821" w:name="_Toc24250"/>
      <w:bookmarkStart w:id="822" w:name="_Toc372"/>
      <w:bookmarkStart w:id="823" w:name="_Toc10842"/>
      <w:bookmarkStart w:id="824" w:name="_Toc20667"/>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821"/>
      <w:bookmarkEnd w:id="822"/>
      <w:bookmarkEnd w:id="823"/>
      <w:bookmarkEnd w:id="824"/>
    </w:p>
    <w:p w14:paraId="691F0BAB">
      <w:pPr>
        <w:spacing w:line="360" w:lineRule="auto"/>
        <w:jc w:val="center"/>
        <w:rPr>
          <w:rFonts w:hint="eastAsia" w:ascii="仿宋" w:hAnsi="仿宋" w:eastAsia="仿宋" w:cs="仿宋"/>
          <w:color w:val="auto"/>
          <w:spacing w:val="6"/>
          <w:sz w:val="24"/>
          <w:szCs w:val="24"/>
          <w:highlight w:val="none"/>
        </w:rPr>
      </w:pPr>
    </w:p>
    <w:p w14:paraId="462725D7">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0ABF69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42AD0D7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730DF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646BCB6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2CE4ADB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54B5842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956FB6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F878A2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2D96946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E2E69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682F3D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w:t>
      </w: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2F0474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提供的《残疾人福利性单位声明函》与事实不符的，依照《政府采购法》第七十七条第一款的规定追究法律责任。</w:t>
      </w:r>
    </w:p>
    <w:p w14:paraId="65F96FD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528782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16A064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63F1123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C497C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34A2E7AB">
      <w:pPr>
        <w:pStyle w:val="13"/>
        <w:rPr>
          <w:rFonts w:hint="eastAsia" w:ascii="仿宋" w:hAnsi="仿宋" w:eastAsia="仿宋" w:cs="仿宋"/>
          <w:color w:val="auto"/>
          <w:highlight w:val="none"/>
        </w:rPr>
      </w:pPr>
    </w:p>
    <w:p w14:paraId="58C0FA81">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7275990B">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4AC875F">
      <w:pPr>
        <w:spacing w:line="360" w:lineRule="auto"/>
        <w:outlineLvl w:val="1"/>
        <w:rPr>
          <w:rFonts w:hint="eastAsia" w:ascii="仿宋" w:hAnsi="仿宋" w:eastAsia="仿宋" w:cs="仿宋"/>
          <w:color w:val="auto"/>
          <w:spacing w:val="6"/>
          <w:sz w:val="24"/>
          <w:szCs w:val="24"/>
          <w:highlight w:val="none"/>
        </w:rPr>
      </w:pPr>
      <w:bookmarkStart w:id="825" w:name="_Toc244"/>
      <w:bookmarkStart w:id="826" w:name="_Toc29837"/>
      <w:bookmarkStart w:id="827" w:name="_Toc19822"/>
      <w:bookmarkStart w:id="828" w:name="_Toc11453"/>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825"/>
      <w:bookmarkEnd w:id="826"/>
      <w:bookmarkEnd w:id="827"/>
      <w:bookmarkEnd w:id="828"/>
    </w:p>
    <w:p w14:paraId="57B5C2F9">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16997E4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10CFA68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3390E7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D1DFF0F">
      <w:pPr>
        <w:pStyle w:val="13"/>
        <w:rPr>
          <w:rFonts w:hint="eastAsia" w:ascii="仿宋" w:hAnsi="仿宋" w:eastAsia="仿宋" w:cs="仿宋"/>
          <w:color w:val="auto"/>
          <w:highlight w:val="none"/>
        </w:rPr>
      </w:pPr>
    </w:p>
    <w:p w14:paraId="51E4F28D">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2BC03D3E">
      <w:pPr>
        <w:spacing w:line="480" w:lineRule="auto"/>
        <w:jc w:val="center"/>
        <w:rPr>
          <w:rFonts w:hint="eastAsia" w:ascii="仿宋" w:hAnsi="仿宋" w:eastAsia="仿宋" w:cs="仿宋"/>
          <w:color w:val="auto"/>
          <w:highlight w:val="none"/>
        </w:rPr>
      </w:pPr>
    </w:p>
    <w:sectPr>
      <w:headerReference r:id="rId9" w:type="default"/>
      <w:footerReference r:id="rId10" w:type="default"/>
      <w:pgSz w:w="11906" w:h="16838"/>
      <w:pgMar w:top="1134" w:right="1418" w:bottom="1134" w:left="1418" w:header="851" w:footer="850"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方正仿宋简体">
    <w:altName w:val="Arial Unicode MS"/>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B7B6">
    <w:pPr>
      <w:pStyle w:val="29"/>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68</w:t>
    </w:r>
    <w:r>
      <w:rPr>
        <w:rStyle w:val="52"/>
      </w:rPr>
      <w:fldChar w:fldCharType="end"/>
    </w:r>
  </w:p>
  <w:p w14:paraId="54409792">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9092">
    <w:pPr>
      <w:pStyle w:val="29"/>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EF77">
    <w:pP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D0DF0">
    <w:pPr>
      <w:pStyle w:val="29"/>
      <w:jc w:val="center"/>
      <w:rPr>
        <w:rFonts w:asciiTheme="minorEastAsia" w:hAnsiTheme="minorEastAsia" w:eastAsiaTheme="minorEastAsia"/>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A52F">
    <w:pPr>
      <w:pStyle w:val="29"/>
      <w:ind w:right="360"/>
      <w:jc w:val="center"/>
      <w:rPr>
        <w:rFonts w:asciiTheme="minorEastAsia" w:hAnsiTheme="minorEastAsia" w:eastAsiaTheme="minorEastAsia"/>
        <w:sz w:val="30"/>
        <w:szCs w:val="30"/>
      </w:rPr>
    </w:pPr>
    <w:r>
      <w:rPr>
        <w:sz w:val="3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E2EE4">
    <w:pPr>
      <w:pStyle w:val="3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8F50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873A0">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25"/>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1MTY3ZDMzMzVlNGIwZmQxOGU2NWJmM2MyMmZiOTEifQ=="/>
  </w:docVars>
  <w:rsids>
    <w:rsidRoot w:val="00172A27"/>
    <w:rsid w:val="00001340"/>
    <w:rsid w:val="00004DAA"/>
    <w:rsid w:val="0000568A"/>
    <w:rsid w:val="00006BD9"/>
    <w:rsid w:val="00007144"/>
    <w:rsid w:val="00007BA8"/>
    <w:rsid w:val="000149FB"/>
    <w:rsid w:val="00014F7D"/>
    <w:rsid w:val="000162FE"/>
    <w:rsid w:val="00017270"/>
    <w:rsid w:val="00017E5C"/>
    <w:rsid w:val="00020B17"/>
    <w:rsid w:val="000244CA"/>
    <w:rsid w:val="00026F71"/>
    <w:rsid w:val="00030171"/>
    <w:rsid w:val="000304C4"/>
    <w:rsid w:val="00033566"/>
    <w:rsid w:val="00036B12"/>
    <w:rsid w:val="000400E8"/>
    <w:rsid w:val="00046152"/>
    <w:rsid w:val="0005003E"/>
    <w:rsid w:val="000536BB"/>
    <w:rsid w:val="000604DE"/>
    <w:rsid w:val="000641A9"/>
    <w:rsid w:val="00070AF5"/>
    <w:rsid w:val="00071140"/>
    <w:rsid w:val="00071D00"/>
    <w:rsid w:val="000726EA"/>
    <w:rsid w:val="00073D96"/>
    <w:rsid w:val="000762D4"/>
    <w:rsid w:val="0007797D"/>
    <w:rsid w:val="0008025F"/>
    <w:rsid w:val="0008034C"/>
    <w:rsid w:val="00080E16"/>
    <w:rsid w:val="00082FC4"/>
    <w:rsid w:val="00083B64"/>
    <w:rsid w:val="00085BB6"/>
    <w:rsid w:val="000904A3"/>
    <w:rsid w:val="000916AB"/>
    <w:rsid w:val="000923E8"/>
    <w:rsid w:val="000941A8"/>
    <w:rsid w:val="00094989"/>
    <w:rsid w:val="000A0263"/>
    <w:rsid w:val="000A02F9"/>
    <w:rsid w:val="000A1822"/>
    <w:rsid w:val="000A1C64"/>
    <w:rsid w:val="000A32B9"/>
    <w:rsid w:val="000A3552"/>
    <w:rsid w:val="000B210F"/>
    <w:rsid w:val="000B331B"/>
    <w:rsid w:val="000B581D"/>
    <w:rsid w:val="000B74E1"/>
    <w:rsid w:val="000C62C3"/>
    <w:rsid w:val="000D171A"/>
    <w:rsid w:val="000D37C8"/>
    <w:rsid w:val="000D3B49"/>
    <w:rsid w:val="000D7CE7"/>
    <w:rsid w:val="000E20F2"/>
    <w:rsid w:val="000E5B9C"/>
    <w:rsid w:val="000E7461"/>
    <w:rsid w:val="000E7AF9"/>
    <w:rsid w:val="00101AA4"/>
    <w:rsid w:val="001063D0"/>
    <w:rsid w:val="0010650C"/>
    <w:rsid w:val="001079FC"/>
    <w:rsid w:val="00107FE2"/>
    <w:rsid w:val="001100D5"/>
    <w:rsid w:val="00112251"/>
    <w:rsid w:val="00117093"/>
    <w:rsid w:val="00117660"/>
    <w:rsid w:val="0012205E"/>
    <w:rsid w:val="001227D5"/>
    <w:rsid w:val="00123259"/>
    <w:rsid w:val="0012668B"/>
    <w:rsid w:val="00127B38"/>
    <w:rsid w:val="0013312B"/>
    <w:rsid w:val="00133C36"/>
    <w:rsid w:val="00134F82"/>
    <w:rsid w:val="00135714"/>
    <w:rsid w:val="001378D2"/>
    <w:rsid w:val="001411D9"/>
    <w:rsid w:val="00141AF5"/>
    <w:rsid w:val="001431D9"/>
    <w:rsid w:val="00144E0F"/>
    <w:rsid w:val="00146E26"/>
    <w:rsid w:val="001511BA"/>
    <w:rsid w:val="00151E56"/>
    <w:rsid w:val="0015472C"/>
    <w:rsid w:val="00154A10"/>
    <w:rsid w:val="0015794E"/>
    <w:rsid w:val="00160C84"/>
    <w:rsid w:val="00162304"/>
    <w:rsid w:val="00162D5F"/>
    <w:rsid w:val="001676DD"/>
    <w:rsid w:val="00171B8B"/>
    <w:rsid w:val="001733AF"/>
    <w:rsid w:val="00173CD5"/>
    <w:rsid w:val="00176FAD"/>
    <w:rsid w:val="00177BFE"/>
    <w:rsid w:val="00180CA5"/>
    <w:rsid w:val="0018101E"/>
    <w:rsid w:val="001846CD"/>
    <w:rsid w:val="00192531"/>
    <w:rsid w:val="00193A7C"/>
    <w:rsid w:val="001970FB"/>
    <w:rsid w:val="001A148C"/>
    <w:rsid w:val="001A2117"/>
    <w:rsid w:val="001A2D5E"/>
    <w:rsid w:val="001A3274"/>
    <w:rsid w:val="001A33AD"/>
    <w:rsid w:val="001A377B"/>
    <w:rsid w:val="001A45DD"/>
    <w:rsid w:val="001A4E5A"/>
    <w:rsid w:val="001A5AD8"/>
    <w:rsid w:val="001B1748"/>
    <w:rsid w:val="001B1AD8"/>
    <w:rsid w:val="001B36D6"/>
    <w:rsid w:val="001D50A5"/>
    <w:rsid w:val="001D53FB"/>
    <w:rsid w:val="001D79E8"/>
    <w:rsid w:val="001E1D3C"/>
    <w:rsid w:val="001E2FC3"/>
    <w:rsid w:val="001E33A7"/>
    <w:rsid w:val="001E3D69"/>
    <w:rsid w:val="001E4755"/>
    <w:rsid w:val="001E5AAE"/>
    <w:rsid w:val="001E6E8F"/>
    <w:rsid w:val="001E700D"/>
    <w:rsid w:val="001F22E9"/>
    <w:rsid w:val="001F3A08"/>
    <w:rsid w:val="001F610A"/>
    <w:rsid w:val="0020058C"/>
    <w:rsid w:val="00200BA8"/>
    <w:rsid w:val="0020210D"/>
    <w:rsid w:val="002055DD"/>
    <w:rsid w:val="00205DF6"/>
    <w:rsid w:val="002115F3"/>
    <w:rsid w:val="00213B45"/>
    <w:rsid w:val="0022177D"/>
    <w:rsid w:val="0022315A"/>
    <w:rsid w:val="002233BB"/>
    <w:rsid w:val="00225083"/>
    <w:rsid w:val="002250F4"/>
    <w:rsid w:val="00226DEC"/>
    <w:rsid w:val="002271B7"/>
    <w:rsid w:val="00231BFB"/>
    <w:rsid w:val="00236D43"/>
    <w:rsid w:val="002443C9"/>
    <w:rsid w:val="00245F22"/>
    <w:rsid w:val="002472C0"/>
    <w:rsid w:val="00247F47"/>
    <w:rsid w:val="002508FA"/>
    <w:rsid w:val="00253DC3"/>
    <w:rsid w:val="002541CE"/>
    <w:rsid w:val="002545CB"/>
    <w:rsid w:val="00257F22"/>
    <w:rsid w:val="002604A7"/>
    <w:rsid w:val="00260910"/>
    <w:rsid w:val="00262839"/>
    <w:rsid w:val="00263CA6"/>
    <w:rsid w:val="00266F04"/>
    <w:rsid w:val="0028101B"/>
    <w:rsid w:val="00283F2B"/>
    <w:rsid w:val="0029280E"/>
    <w:rsid w:val="00294684"/>
    <w:rsid w:val="002967DA"/>
    <w:rsid w:val="00297672"/>
    <w:rsid w:val="002A6A08"/>
    <w:rsid w:val="002A76F7"/>
    <w:rsid w:val="002B0041"/>
    <w:rsid w:val="002B0C40"/>
    <w:rsid w:val="002C2DD2"/>
    <w:rsid w:val="002C33A1"/>
    <w:rsid w:val="002C3AB5"/>
    <w:rsid w:val="002D1BE8"/>
    <w:rsid w:val="002D2A64"/>
    <w:rsid w:val="002D3439"/>
    <w:rsid w:val="002D6CF2"/>
    <w:rsid w:val="002E15A3"/>
    <w:rsid w:val="002E1D0A"/>
    <w:rsid w:val="002E5AAD"/>
    <w:rsid w:val="002E6176"/>
    <w:rsid w:val="002E7D55"/>
    <w:rsid w:val="002F10F5"/>
    <w:rsid w:val="002F2283"/>
    <w:rsid w:val="002F54A1"/>
    <w:rsid w:val="002F66E8"/>
    <w:rsid w:val="00300C92"/>
    <w:rsid w:val="00301B47"/>
    <w:rsid w:val="00301F82"/>
    <w:rsid w:val="00304D2D"/>
    <w:rsid w:val="0031063C"/>
    <w:rsid w:val="00313F13"/>
    <w:rsid w:val="00315623"/>
    <w:rsid w:val="00315D4B"/>
    <w:rsid w:val="00315D59"/>
    <w:rsid w:val="00316DBA"/>
    <w:rsid w:val="00316E96"/>
    <w:rsid w:val="0032116D"/>
    <w:rsid w:val="00321D81"/>
    <w:rsid w:val="00324A7B"/>
    <w:rsid w:val="003264F1"/>
    <w:rsid w:val="00326D40"/>
    <w:rsid w:val="0033094D"/>
    <w:rsid w:val="00331C14"/>
    <w:rsid w:val="0033356A"/>
    <w:rsid w:val="0033409B"/>
    <w:rsid w:val="003344D9"/>
    <w:rsid w:val="00336E0F"/>
    <w:rsid w:val="00336F54"/>
    <w:rsid w:val="003458F7"/>
    <w:rsid w:val="00345FE0"/>
    <w:rsid w:val="0035279D"/>
    <w:rsid w:val="00353142"/>
    <w:rsid w:val="0035341D"/>
    <w:rsid w:val="00360623"/>
    <w:rsid w:val="00360D30"/>
    <w:rsid w:val="00361C9D"/>
    <w:rsid w:val="00361CD5"/>
    <w:rsid w:val="00363991"/>
    <w:rsid w:val="00364473"/>
    <w:rsid w:val="003659B8"/>
    <w:rsid w:val="00365DA6"/>
    <w:rsid w:val="00370482"/>
    <w:rsid w:val="00370F25"/>
    <w:rsid w:val="003738A8"/>
    <w:rsid w:val="00373CAA"/>
    <w:rsid w:val="00376E83"/>
    <w:rsid w:val="00381492"/>
    <w:rsid w:val="00382C56"/>
    <w:rsid w:val="003846FA"/>
    <w:rsid w:val="003923EF"/>
    <w:rsid w:val="0039269B"/>
    <w:rsid w:val="003A0914"/>
    <w:rsid w:val="003A5B50"/>
    <w:rsid w:val="003B375E"/>
    <w:rsid w:val="003B508E"/>
    <w:rsid w:val="003B70AD"/>
    <w:rsid w:val="003B72EC"/>
    <w:rsid w:val="003C0B9E"/>
    <w:rsid w:val="003C2CBB"/>
    <w:rsid w:val="003D01BB"/>
    <w:rsid w:val="003D05EA"/>
    <w:rsid w:val="003D4211"/>
    <w:rsid w:val="003E476A"/>
    <w:rsid w:val="003E4A7A"/>
    <w:rsid w:val="003E612D"/>
    <w:rsid w:val="003F2B4D"/>
    <w:rsid w:val="003F5C6B"/>
    <w:rsid w:val="00400C51"/>
    <w:rsid w:val="00401654"/>
    <w:rsid w:val="00401A88"/>
    <w:rsid w:val="0040310D"/>
    <w:rsid w:val="00403C31"/>
    <w:rsid w:val="004101D4"/>
    <w:rsid w:val="00411DC0"/>
    <w:rsid w:val="004220B6"/>
    <w:rsid w:val="00423D2D"/>
    <w:rsid w:val="004269F5"/>
    <w:rsid w:val="00427988"/>
    <w:rsid w:val="0043107A"/>
    <w:rsid w:val="00432C0C"/>
    <w:rsid w:val="00433AA5"/>
    <w:rsid w:val="00433EED"/>
    <w:rsid w:val="00434DA2"/>
    <w:rsid w:val="00437914"/>
    <w:rsid w:val="00444EE1"/>
    <w:rsid w:val="0044799D"/>
    <w:rsid w:val="0045091A"/>
    <w:rsid w:val="00450A93"/>
    <w:rsid w:val="00450B61"/>
    <w:rsid w:val="00452BB8"/>
    <w:rsid w:val="00456097"/>
    <w:rsid w:val="00456452"/>
    <w:rsid w:val="004640C1"/>
    <w:rsid w:val="00464441"/>
    <w:rsid w:val="004653B9"/>
    <w:rsid w:val="00473EA4"/>
    <w:rsid w:val="00483315"/>
    <w:rsid w:val="004948A3"/>
    <w:rsid w:val="004A010F"/>
    <w:rsid w:val="004A1E94"/>
    <w:rsid w:val="004A383A"/>
    <w:rsid w:val="004A4981"/>
    <w:rsid w:val="004A5376"/>
    <w:rsid w:val="004A6517"/>
    <w:rsid w:val="004A68AF"/>
    <w:rsid w:val="004A7D7E"/>
    <w:rsid w:val="004B0537"/>
    <w:rsid w:val="004B1F18"/>
    <w:rsid w:val="004B3DA3"/>
    <w:rsid w:val="004B7605"/>
    <w:rsid w:val="004C380F"/>
    <w:rsid w:val="004C55B6"/>
    <w:rsid w:val="004D11B3"/>
    <w:rsid w:val="004D65F4"/>
    <w:rsid w:val="004D75D5"/>
    <w:rsid w:val="004E1539"/>
    <w:rsid w:val="004E1E11"/>
    <w:rsid w:val="004E2088"/>
    <w:rsid w:val="004E3318"/>
    <w:rsid w:val="004E419C"/>
    <w:rsid w:val="004E4876"/>
    <w:rsid w:val="004E6506"/>
    <w:rsid w:val="004E7786"/>
    <w:rsid w:val="004F0D23"/>
    <w:rsid w:val="00501303"/>
    <w:rsid w:val="00507DCF"/>
    <w:rsid w:val="00511747"/>
    <w:rsid w:val="00512B3E"/>
    <w:rsid w:val="00513F5F"/>
    <w:rsid w:val="00520FE8"/>
    <w:rsid w:val="00521B49"/>
    <w:rsid w:val="005230D2"/>
    <w:rsid w:val="00523E02"/>
    <w:rsid w:val="00526F0E"/>
    <w:rsid w:val="005307A5"/>
    <w:rsid w:val="0053132A"/>
    <w:rsid w:val="005315B6"/>
    <w:rsid w:val="0053703C"/>
    <w:rsid w:val="00540929"/>
    <w:rsid w:val="0054181E"/>
    <w:rsid w:val="005431E4"/>
    <w:rsid w:val="00545C11"/>
    <w:rsid w:val="00547C3A"/>
    <w:rsid w:val="0055435D"/>
    <w:rsid w:val="0055693E"/>
    <w:rsid w:val="0056149F"/>
    <w:rsid w:val="00561E3A"/>
    <w:rsid w:val="00563383"/>
    <w:rsid w:val="00566F28"/>
    <w:rsid w:val="00573463"/>
    <w:rsid w:val="00575869"/>
    <w:rsid w:val="00577ECB"/>
    <w:rsid w:val="00577FFA"/>
    <w:rsid w:val="005809DA"/>
    <w:rsid w:val="0058149C"/>
    <w:rsid w:val="00582395"/>
    <w:rsid w:val="00582F95"/>
    <w:rsid w:val="0058332C"/>
    <w:rsid w:val="005879D1"/>
    <w:rsid w:val="0059795A"/>
    <w:rsid w:val="005A215C"/>
    <w:rsid w:val="005A69CA"/>
    <w:rsid w:val="005B0282"/>
    <w:rsid w:val="005B0D2C"/>
    <w:rsid w:val="005B2CB8"/>
    <w:rsid w:val="005B4857"/>
    <w:rsid w:val="005C53A8"/>
    <w:rsid w:val="005D1FF8"/>
    <w:rsid w:val="005D32D6"/>
    <w:rsid w:val="005D3BA9"/>
    <w:rsid w:val="005D651D"/>
    <w:rsid w:val="005E3C18"/>
    <w:rsid w:val="005E5AF5"/>
    <w:rsid w:val="005E617A"/>
    <w:rsid w:val="005F0454"/>
    <w:rsid w:val="005F4907"/>
    <w:rsid w:val="0060072E"/>
    <w:rsid w:val="00600C9C"/>
    <w:rsid w:val="00611669"/>
    <w:rsid w:val="0062230E"/>
    <w:rsid w:val="00622533"/>
    <w:rsid w:val="00622699"/>
    <w:rsid w:val="0062361A"/>
    <w:rsid w:val="00627128"/>
    <w:rsid w:val="00630AAC"/>
    <w:rsid w:val="006314C2"/>
    <w:rsid w:val="00631C5A"/>
    <w:rsid w:val="00633586"/>
    <w:rsid w:val="00635290"/>
    <w:rsid w:val="006360FE"/>
    <w:rsid w:val="0063610A"/>
    <w:rsid w:val="006367D4"/>
    <w:rsid w:val="00643880"/>
    <w:rsid w:val="00644CAA"/>
    <w:rsid w:val="0064722F"/>
    <w:rsid w:val="00647296"/>
    <w:rsid w:val="00647D58"/>
    <w:rsid w:val="00652A1B"/>
    <w:rsid w:val="00652A7E"/>
    <w:rsid w:val="00657AD0"/>
    <w:rsid w:val="00661E10"/>
    <w:rsid w:val="00664C14"/>
    <w:rsid w:val="0066511C"/>
    <w:rsid w:val="00665BBC"/>
    <w:rsid w:val="0066681E"/>
    <w:rsid w:val="00671508"/>
    <w:rsid w:val="006728AB"/>
    <w:rsid w:val="00674A1B"/>
    <w:rsid w:val="006804BB"/>
    <w:rsid w:val="00682D47"/>
    <w:rsid w:val="0068600F"/>
    <w:rsid w:val="0069349B"/>
    <w:rsid w:val="00697DA0"/>
    <w:rsid w:val="006A0C39"/>
    <w:rsid w:val="006A4875"/>
    <w:rsid w:val="006A4AC4"/>
    <w:rsid w:val="006B014A"/>
    <w:rsid w:val="006B2DDD"/>
    <w:rsid w:val="006B36B5"/>
    <w:rsid w:val="006B6739"/>
    <w:rsid w:val="006B76F1"/>
    <w:rsid w:val="006B7BD1"/>
    <w:rsid w:val="006C059C"/>
    <w:rsid w:val="006C06C9"/>
    <w:rsid w:val="006C08F0"/>
    <w:rsid w:val="006C1460"/>
    <w:rsid w:val="006C214D"/>
    <w:rsid w:val="006C4E5B"/>
    <w:rsid w:val="006C551A"/>
    <w:rsid w:val="006C7CC8"/>
    <w:rsid w:val="006D3668"/>
    <w:rsid w:val="006D5AF8"/>
    <w:rsid w:val="006E249F"/>
    <w:rsid w:val="006E344D"/>
    <w:rsid w:val="006E51CF"/>
    <w:rsid w:val="006E5FE5"/>
    <w:rsid w:val="006E65C8"/>
    <w:rsid w:val="006F2A4E"/>
    <w:rsid w:val="006F6DB0"/>
    <w:rsid w:val="006F7BBE"/>
    <w:rsid w:val="00704AEC"/>
    <w:rsid w:val="00711806"/>
    <w:rsid w:val="00711DFE"/>
    <w:rsid w:val="007137F1"/>
    <w:rsid w:val="007156D2"/>
    <w:rsid w:val="00715CB4"/>
    <w:rsid w:val="0072037A"/>
    <w:rsid w:val="00721DA0"/>
    <w:rsid w:val="0072662D"/>
    <w:rsid w:val="0073306F"/>
    <w:rsid w:val="0074166A"/>
    <w:rsid w:val="0074370A"/>
    <w:rsid w:val="00746398"/>
    <w:rsid w:val="00750156"/>
    <w:rsid w:val="0075151D"/>
    <w:rsid w:val="00754C0A"/>
    <w:rsid w:val="00757B07"/>
    <w:rsid w:val="00757C4E"/>
    <w:rsid w:val="00760768"/>
    <w:rsid w:val="00761370"/>
    <w:rsid w:val="0076202B"/>
    <w:rsid w:val="00767044"/>
    <w:rsid w:val="0076772C"/>
    <w:rsid w:val="007729C6"/>
    <w:rsid w:val="00773822"/>
    <w:rsid w:val="00784173"/>
    <w:rsid w:val="00787D19"/>
    <w:rsid w:val="00787E03"/>
    <w:rsid w:val="00793FDF"/>
    <w:rsid w:val="00796034"/>
    <w:rsid w:val="007A0E43"/>
    <w:rsid w:val="007A2460"/>
    <w:rsid w:val="007A5319"/>
    <w:rsid w:val="007A7EF1"/>
    <w:rsid w:val="007B23B1"/>
    <w:rsid w:val="007B2A84"/>
    <w:rsid w:val="007C5ABC"/>
    <w:rsid w:val="007C66D2"/>
    <w:rsid w:val="007D68A5"/>
    <w:rsid w:val="007D78E8"/>
    <w:rsid w:val="007E2464"/>
    <w:rsid w:val="007E2857"/>
    <w:rsid w:val="007E5766"/>
    <w:rsid w:val="007E66CA"/>
    <w:rsid w:val="007F2614"/>
    <w:rsid w:val="007F4A6C"/>
    <w:rsid w:val="007F5620"/>
    <w:rsid w:val="007F6C55"/>
    <w:rsid w:val="00800372"/>
    <w:rsid w:val="008029D1"/>
    <w:rsid w:val="00803C6A"/>
    <w:rsid w:val="00804E94"/>
    <w:rsid w:val="008060F8"/>
    <w:rsid w:val="0080672E"/>
    <w:rsid w:val="008068DA"/>
    <w:rsid w:val="008068EC"/>
    <w:rsid w:val="00806F37"/>
    <w:rsid w:val="008104C1"/>
    <w:rsid w:val="00813D04"/>
    <w:rsid w:val="0081414C"/>
    <w:rsid w:val="00815488"/>
    <w:rsid w:val="00820914"/>
    <w:rsid w:val="008247D9"/>
    <w:rsid w:val="00826C3A"/>
    <w:rsid w:val="00834286"/>
    <w:rsid w:val="00837F36"/>
    <w:rsid w:val="00837F86"/>
    <w:rsid w:val="00840834"/>
    <w:rsid w:val="00843C8F"/>
    <w:rsid w:val="00846F1B"/>
    <w:rsid w:val="00851279"/>
    <w:rsid w:val="00854756"/>
    <w:rsid w:val="00857654"/>
    <w:rsid w:val="00857B62"/>
    <w:rsid w:val="008606B9"/>
    <w:rsid w:val="00860FFC"/>
    <w:rsid w:val="00861D9E"/>
    <w:rsid w:val="00862EBB"/>
    <w:rsid w:val="008631DD"/>
    <w:rsid w:val="00865FCD"/>
    <w:rsid w:val="008675CD"/>
    <w:rsid w:val="008703DB"/>
    <w:rsid w:val="008729A4"/>
    <w:rsid w:val="00872CE4"/>
    <w:rsid w:val="00874C29"/>
    <w:rsid w:val="00875212"/>
    <w:rsid w:val="00877E4D"/>
    <w:rsid w:val="0088119D"/>
    <w:rsid w:val="00881663"/>
    <w:rsid w:val="008836C9"/>
    <w:rsid w:val="00884BA6"/>
    <w:rsid w:val="008858F6"/>
    <w:rsid w:val="00890A9E"/>
    <w:rsid w:val="00892DE8"/>
    <w:rsid w:val="008946FE"/>
    <w:rsid w:val="008953BF"/>
    <w:rsid w:val="008959F0"/>
    <w:rsid w:val="00896271"/>
    <w:rsid w:val="008A6628"/>
    <w:rsid w:val="008B1C0E"/>
    <w:rsid w:val="008B1D39"/>
    <w:rsid w:val="008B2BE1"/>
    <w:rsid w:val="008B3F0E"/>
    <w:rsid w:val="008B5573"/>
    <w:rsid w:val="008C35FD"/>
    <w:rsid w:val="008C3A97"/>
    <w:rsid w:val="008C6135"/>
    <w:rsid w:val="008C7BEB"/>
    <w:rsid w:val="008D0E78"/>
    <w:rsid w:val="008D39FF"/>
    <w:rsid w:val="008D5387"/>
    <w:rsid w:val="008E200B"/>
    <w:rsid w:val="008E2341"/>
    <w:rsid w:val="008E6991"/>
    <w:rsid w:val="008E7014"/>
    <w:rsid w:val="008F0DC2"/>
    <w:rsid w:val="008F1D6D"/>
    <w:rsid w:val="008F2F5A"/>
    <w:rsid w:val="008F6AA2"/>
    <w:rsid w:val="00900116"/>
    <w:rsid w:val="009015ED"/>
    <w:rsid w:val="00901EC4"/>
    <w:rsid w:val="00907356"/>
    <w:rsid w:val="00907869"/>
    <w:rsid w:val="0090793B"/>
    <w:rsid w:val="00910B36"/>
    <w:rsid w:val="0091635D"/>
    <w:rsid w:val="0091776B"/>
    <w:rsid w:val="00922592"/>
    <w:rsid w:val="00926EE7"/>
    <w:rsid w:val="00930E5F"/>
    <w:rsid w:val="009324FE"/>
    <w:rsid w:val="0094041C"/>
    <w:rsid w:val="0094055B"/>
    <w:rsid w:val="00941545"/>
    <w:rsid w:val="00942729"/>
    <w:rsid w:val="009437A7"/>
    <w:rsid w:val="00946789"/>
    <w:rsid w:val="0094755C"/>
    <w:rsid w:val="00955047"/>
    <w:rsid w:val="009613A3"/>
    <w:rsid w:val="0096147D"/>
    <w:rsid w:val="00965552"/>
    <w:rsid w:val="0096574A"/>
    <w:rsid w:val="0096617A"/>
    <w:rsid w:val="00966E63"/>
    <w:rsid w:val="009700E7"/>
    <w:rsid w:val="00973457"/>
    <w:rsid w:val="00975577"/>
    <w:rsid w:val="009756C5"/>
    <w:rsid w:val="00975775"/>
    <w:rsid w:val="0097728B"/>
    <w:rsid w:val="00980CE0"/>
    <w:rsid w:val="0098149F"/>
    <w:rsid w:val="00981669"/>
    <w:rsid w:val="00981749"/>
    <w:rsid w:val="00982657"/>
    <w:rsid w:val="009840B0"/>
    <w:rsid w:val="009869E5"/>
    <w:rsid w:val="009875C2"/>
    <w:rsid w:val="00990636"/>
    <w:rsid w:val="009930AE"/>
    <w:rsid w:val="00994212"/>
    <w:rsid w:val="0099499D"/>
    <w:rsid w:val="009953B0"/>
    <w:rsid w:val="009A0191"/>
    <w:rsid w:val="009A10FB"/>
    <w:rsid w:val="009A3F97"/>
    <w:rsid w:val="009A456E"/>
    <w:rsid w:val="009A6799"/>
    <w:rsid w:val="009A693B"/>
    <w:rsid w:val="009A7284"/>
    <w:rsid w:val="009A749E"/>
    <w:rsid w:val="009B074B"/>
    <w:rsid w:val="009B090B"/>
    <w:rsid w:val="009B0A3E"/>
    <w:rsid w:val="009B7DCA"/>
    <w:rsid w:val="009C0761"/>
    <w:rsid w:val="009C110A"/>
    <w:rsid w:val="009C5FF2"/>
    <w:rsid w:val="009C747C"/>
    <w:rsid w:val="009C7FD8"/>
    <w:rsid w:val="009D05BF"/>
    <w:rsid w:val="009D19E0"/>
    <w:rsid w:val="009D2432"/>
    <w:rsid w:val="009D5AE6"/>
    <w:rsid w:val="009E4380"/>
    <w:rsid w:val="009E75F9"/>
    <w:rsid w:val="009F064F"/>
    <w:rsid w:val="009F15EF"/>
    <w:rsid w:val="009F24D1"/>
    <w:rsid w:val="009F266C"/>
    <w:rsid w:val="009F31AC"/>
    <w:rsid w:val="009F3D01"/>
    <w:rsid w:val="009F5DA5"/>
    <w:rsid w:val="009F7205"/>
    <w:rsid w:val="00A01EFD"/>
    <w:rsid w:val="00A02E4D"/>
    <w:rsid w:val="00A04B51"/>
    <w:rsid w:val="00A068B7"/>
    <w:rsid w:val="00A106FA"/>
    <w:rsid w:val="00A15172"/>
    <w:rsid w:val="00A15738"/>
    <w:rsid w:val="00A17158"/>
    <w:rsid w:val="00A20856"/>
    <w:rsid w:val="00A2630C"/>
    <w:rsid w:val="00A27445"/>
    <w:rsid w:val="00A320D2"/>
    <w:rsid w:val="00A33300"/>
    <w:rsid w:val="00A35333"/>
    <w:rsid w:val="00A36250"/>
    <w:rsid w:val="00A377F1"/>
    <w:rsid w:val="00A40DD4"/>
    <w:rsid w:val="00A41CA5"/>
    <w:rsid w:val="00A42164"/>
    <w:rsid w:val="00A46BC3"/>
    <w:rsid w:val="00A503F2"/>
    <w:rsid w:val="00A5088A"/>
    <w:rsid w:val="00A5392E"/>
    <w:rsid w:val="00A55AA6"/>
    <w:rsid w:val="00A57C84"/>
    <w:rsid w:val="00A648D2"/>
    <w:rsid w:val="00A648FB"/>
    <w:rsid w:val="00A665B8"/>
    <w:rsid w:val="00A72A06"/>
    <w:rsid w:val="00A73D9B"/>
    <w:rsid w:val="00A766B8"/>
    <w:rsid w:val="00A83CBD"/>
    <w:rsid w:val="00A841E3"/>
    <w:rsid w:val="00A8579A"/>
    <w:rsid w:val="00A867EA"/>
    <w:rsid w:val="00A920ED"/>
    <w:rsid w:val="00A92ACF"/>
    <w:rsid w:val="00A971EB"/>
    <w:rsid w:val="00A97447"/>
    <w:rsid w:val="00A9785F"/>
    <w:rsid w:val="00AA0C7F"/>
    <w:rsid w:val="00AA0E37"/>
    <w:rsid w:val="00AA1E25"/>
    <w:rsid w:val="00AA2BDB"/>
    <w:rsid w:val="00AA65EF"/>
    <w:rsid w:val="00AB07FC"/>
    <w:rsid w:val="00AB0BCB"/>
    <w:rsid w:val="00AB3FD0"/>
    <w:rsid w:val="00AB706C"/>
    <w:rsid w:val="00AB7635"/>
    <w:rsid w:val="00AB7D40"/>
    <w:rsid w:val="00AC169A"/>
    <w:rsid w:val="00AC17BD"/>
    <w:rsid w:val="00AC2B08"/>
    <w:rsid w:val="00AD0858"/>
    <w:rsid w:val="00AD159E"/>
    <w:rsid w:val="00AD3CFB"/>
    <w:rsid w:val="00AD3FA3"/>
    <w:rsid w:val="00AD5B07"/>
    <w:rsid w:val="00AE2804"/>
    <w:rsid w:val="00AE2F7F"/>
    <w:rsid w:val="00AE3488"/>
    <w:rsid w:val="00AE5366"/>
    <w:rsid w:val="00AE6558"/>
    <w:rsid w:val="00AE677E"/>
    <w:rsid w:val="00AF35AE"/>
    <w:rsid w:val="00AF6DA4"/>
    <w:rsid w:val="00AF727F"/>
    <w:rsid w:val="00B00632"/>
    <w:rsid w:val="00B0493F"/>
    <w:rsid w:val="00B14B7E"/>
    <w:rsid w:val="00B20979"/>
    <w:rsid w:val="00B253DA"/>
    <w:rsid w:val="00B25BF9"/>
    <w:rsid w:val="00B26486"/>
    <w:rsid w:val="00B3066F"/>
    <w:rsid w:val="00B32FDE"/>
    <w:rsid w:val="00B3485C"/>
    <w:rsid w:val="00B3551C"/>
    <w:rsid w:val="00B4100F"/>
    <w:rsid w:val="00B41BA7"/>
    <w:rsid w:val="00B42098"/>
    <w:rsid w:val="00B44ADD"/>
    <w:rsid w:val="00B455A2"/>
    <w:rsid w:val="00B52440"/>
    <w:rsid w:val="00B52A5F"/>
    <w:rsid w:val="00B55DD4"/>
    <w:rsid w:val="00B628A3"/>
    <w:rsid w:val="00B650BB"/>
    <w:rsid w:val="00B65DD7"/>
    <w:rsid w:val="00B71045"/>
    <w:rsid w:val="00B716F5"/>
    <w:rsid w:val="00B76B5B"/>
    <w:rsid w:val="00B81EE5"/>
    <w:rsid w:val="00B836E8"/>
    <w:rsid w:val="00B837F7"/>
    <w:rsid w:val="00B841A4"/>
    <w:rsid w:val="00B871DD"/>
    <w:rsid w:val="00B87871"/>
    <w:rsid w:val="00B904BC"/>
    <w:rsid w:val="00B95D06"/>
    <w:rsid w:val="00BA13CF"/>
    <w:rsid w:val="00BA1954"/>
    <w:rsid w:val="00BA3109"/>
    <w:rsid w:val="00BA4ED7"/>
    <w:rsid w:val="00BA5D51"/>
    <w:rsid w:val="00BA6DE7"/>
    <w:rsid w:val="00BA7063"/>
    <w:rsid w:val="00BB33FE"/>
    <w:rsid w:val="00BB5C5F"/>
    <w:rsid w:val="00BB612A"/>
    <w:rsid w:val="00BB7BE1"/>
    <w:rsid w:val="00BC378F"/>
    <w:rsid w:val="00BC6F1B"/>
    <w:rsid w:val="00BC7668"/>
    <w:rsid w:val="00BC7FCC"/>
    <w:rsid w:val="00BD1FA5"/>
    <w:rsid w:val="00BD2812"/>
    <w:rsid w:val="00BD6825"/>
    <w:rsid w:val="00BD6949"/>
    <w:rsid w:val="00BE4B8D"/>
    <w:rsid w:val="00BE5EB9"/>
    <w:rsid w:val="00BE7350"/>
    <w:rsid w:val="00BF07AF"/>
    <w:rsid w:val="00BF28EC"/>
    <w:rsid w:val="00BF4FA6"/>
    <w:rsid w:val="00BF51F6"/>
    <w:rsid w:val="00BF67A4"/>
    <w:rsid w:val="00BF7C79"/>
    <w:rsid w:val="00BF7E00"/>
    <w:rsid w:val="00C024DE"/>
    <w:rsid w:val="00C02D9A"/>
    <w:rsid w:val="00C05A34"/>
    <w:rsid w:val="00C12240"/>
    <w:rsid w:val="00C13F57"/>
    <w:rsid w:val="00C21672"/>
    <w:rsid w:val="00C2434C"/>
    <w:rsid w:val="00C24B25"/>
    <w:rsid w:val="00C24B71"/>
    <w:rsid w:val="00C34FE2"/>
    <w:rsid w:val="00C355E3"/>
    <w:rsid w:val="00C36578"/>
    <w:rsid w:val="00C421E7"/>
    <w:rsid w:val="00C45C27"/>
    <w:rsid w:val="00C466A2"/>
    <w:rsid w:val="00C479FE"/>
    <w:rsid w:val="00C47EB3"/>
    <w:rsid w:val="00C53ADD"/>
    <w:rsid w:val="00C62E07"/>
    <w:rsid w:val="00C630C0"/>
    <w:rsid w:val="00C66A7D"/>
    <w:rsid w:val="00C70F4F"/>
    <w:rsid w:val="00C81A50"/>
    <w:rsid w:val="00C8225B"/>
    <w:rsid w:val="00C840F2"/>
    <w:rsid w:val="00C9122B"/>
    <w:rsid w:val="00C91710"/>
    <w:rsid w:val="00C92046"/>
    <w:rsid w:val="00C93969"/>
    <w:rsid w:val="00C954F2"/>
    <w:rsid w:val="00C9683B"/>
    <w:rsid w:val="00CA03E4"/>
    <w:rsid w:val="00CA0EF6"/>
    <w:rsid w:val="00CA31DB"/>
    <w:rsid w:val="00CB3D54"/>
    <w:rsid w:val="00CB5E73"/>
    <w:rsid w:val="00CB6B10"/>
    <w:rsid w:val="00CC2BDA"/>
    <w:rsid w:val="00CD22B4"/>
    <w:rsid w:val="00CD33AB"/>
    <w:rsid w:val="00CD3CB2"/>
    <w:rsid w:val="00CD5E71"/>
    <w:rsid w:val="00CD7088"/>
    <w:rsid w:val="00CE63BA"/>
    <w:rsid w:val="00CF172B"/>
    <w:rsid w:val="00CF1C70"/>
    <w:rsid w:val="00CF291C"/>
    <w:rsid w:val="00CF4B54"/>
    <w:rsid w:val="00D060F5"/>
    <w:rsid w:val="00D061F7"/>
    <w:rsid w:val="00D06613"/>
    <w:rsid w:val="00D07C47"/>
    <w:rsid w:val="00D119E0"/>
    <w:rsid w:val="00D12679"/>
    <w:rsid w:val="00D13FCC"/>
    <w:rsid w:val="00D15B9A"/>
    <w:rsid w:val="00D15D80"/>
    <w:rsid w:val="00D163C4"/>
    <w:rsid w:val="00D17D8C"/>
    <w:rsid w:val="00D220A1"/>
    <w:rsid w:val="00D22932"/>
    <w:rsid w:val="00D2307C"/>
    <w:rsid w:val="00D23BE8"/>
    <w:rsid w:val="00D24DED"/>
    <w:rsid w:val="00D26793"/>
    <w:rsid w:val="00D273F1"/>
    <w:rsid w:val="00D27953"/>
    <w:rsid w:val="00D307AC"/>
    <w:rsid w:val="00D334C0"/>
    <w:rsid w:val="00D34610"/>
    <w:rsid w:val="00D36619"/>
    <w:rsid w:val="00D366DC"/>
    <w:rsid w:val="00D37380"/>
    <w:rsid w:val="00D403F8"/>
    <w:rsid w:val="00D43478"/>
    <w:rsid w:val="00D440EA"/>
    <w:rsid w:val="00D450F4"/>
    <w:rsid w:val="00D45431"/>
    <w:rsid w:val="00D50E97"/>
    <w:rsid w:val="00D61D2D"/>
    <w:rsid w:val="00D70370"/>
    <w:rsid w:val="00D736C1"/>
    <w:rsid w:val="00D774D6"/>
    <w:rsid w:val="00D8223C"/>
    <w:rsid w:val="00D85475"/>
    <w:rsid w:val="00D87DC8"/>
    <w:rsid w:val="00D9044D"/>
    <w:rsid w:val="00D97792"/>
    <w:rsid w:val="00DA2563"/>
    <w:rsid w:val="00DA3144"/>
    <w:rsid w:val="00DA380B"/>
    <w:rsid w:val="00DB55BF"/>
    <w:rsid w:val="00DB6DE4"/>
    <w:rsid w:val="00DB7459"/>
    <w:rsid w:val="00DC0683"/>
    <w:rsid w:val="00DC2870"/>
    <w:rsid w:val="00DC357F"/>
    <w:rsid w:val="00DC499D"/>
    <w:rsid w:val="00DC7034"/>
    <w:rsid w:val="00DD0935"/>
    <w:rsid w:val="00DD413C"/>
    <w:rsid w:val="00DD5620"/>
    <w:rsid w:val="00DD5A57"/>
    <w:rsid w:val="00DD69FD"/>
    <w:rsid w:val="00DE3D4E"/>
    <w:rsid w:val="00DE499C"/>
    <w:rsid w:val="00DF29E0"/>
    <w:rsid w:val="00E0297A"/>
    <w:rsid w:val="00E05CD7"/>
    <w:rsid w:val="00E121FC"/>
    <w:rsid w:val="00E12AF3"/>
    <w:rsid w:val="00E1692B"/>
    <w:rsid w:val="00E16DE5"/>
    <w:rsid w:val="00E17C56"/>
    <w:rsid w:val="00E2069A"/>
    <w:rsid w:val="00E20CEB"/>
    <w:rsid w:val="00E2623C"/>
    <w:rsid w:val="00E311A1"/>
    <w:rsid w:val="00E31D73"/>
    <w:rsid w:val="00E34833"/>
    <w:rsid w:val="00E34AA5"/>
    <w:rsid w:val="00E34FF9"/>
    <w:rsid w:val="00E40272"/>
    <w:rsid w:val="00E41690"/>
    <w:rsid w:val="00E4229F"/>
    <w:rsid w:val="00E45AB6"/>
    <w:rsid w:val="00E50150"/>
    <w:rsid w:val="00E52F76"/>
    <w:rsid w:val="00E53529"/>
    <w:rsid w:val="00E53FDA"/>
    <w:rsid w:val="00E56210"/>
    <w:rsid w:val="00E56EAE"/>
    <w:rsid w:val="00E5757F"/>
    <w:rsid w:val="00E603D7"/>
    <w:rsid w:val="00E638EA"/>
    <w:rsid w:val="00E656AA"/>
    <w:rsid w:val="00E66C53"/>
    <w:rsid w:val="00E6785B"/>
    <w:rsid w:val="00E67BB4"/>
    <w:rsid w:val="00E705A5"/>
    <w:rsid w:val="00E715AA"/>
    <w:rsid w:val="00E761CC"/>
    <w:rsid w:val="00E76A25"/>
    <w:rsid w:val="00E8351B"/>
    <w:rsid w:val="00E847F7"/>
    <w:rsid w:val="00E86281"/>
    <w:rsid w:val="00E87230"/>
    <w:rsid w:val="00E872AD"/>
    <w:rsid w:val="00E87666"/>
    <w:rsid w:val="00E90187"/>
    <w:rsid w:val="00E9078D"/>
    <w:rsid w:val="00E912E2"/>
    <w:rsid w:val="00E91776"/>
    <w:rsid w:val="00E91F35"/>
    <w:rsid w:val="00E92B97"/>
    <w:rsid w:val="00E92DD2"/>
    <w:rsid w:val="00E9657A"/>
    <w:rsid w:val="00E96D5C"/>
    <w:rsid w:val="00EA1BD1"/>
    <w:rsid w:val="00EB1A1D"/>
    <w:rsid w:val="00EC22AB"/>
    <w:rsid w:val="00ED6C3C"/>
    <w:rsid w:val="00ED7DB6"/>
    <w:rsid w:val="00EE1040"/>
    <w:rsid w:val="00EE2F7B"/>
    <w:rsid w:val="00EE3B90"/>
    <w:rsid w:val="00EE65FD"/>
    <w:rsid w:val="00EE76F2"/>
    <w:rsid w:val="00EE7F58"/>
    <w:rsid w:val="00EF0CEA"/>
    <w:rsid w:val="00EF3B3E"/>
    <w:rsid w:val="00EF4B01"/>
    <w:rsid w:val="00F00A1D"/>
    <w:rsid w:val="00F01475"/>
    <w:rsid w:val="00F06D4E"/>
    <w:rsid w:val="00F10359"/>
    <w:rsid w:val="00F1099B"/>
    <w:rsid w:val="00F1211D"/>
    <w:rsid w:val="00F141A0"/>
    <w:rsid w:val="00F1438C"/>
    <w:rsid w:val="00F15103"/>
    <w:rsid w:val="00F15461"/>
    <w:rsid w:val="00F16187"/>
    <w:rsid w:val="00F16AAE"/>
    <w:rsid w:val="00F2452B"/>
    <w:rsid w:val="00F24FE1"/>
    <w:rsid w:val="00F31B29"/>
    <w:rsid w:val="00F31FED"/>
    <w:rsid w:val="00F3403B"/>
    <w:rsid w:val="00F37DC2"/>
    <w:rsid w:val="00F41097"/>
    <w:rsid w:val="00F42B8A"/>
    <w:rsid w:val="00F5283D"/>
    <w:rsid w:val="00F52CD7"/>
    <w:rsid w:val="00F543FA"/>
    <w:rsid w:val="00F6004B"/>
    <w:rsid w:val="00F61283"/>
    <w:rsid w:val="00F654E8"/>
    <w:rsid w:val="00F65CFD"/>
    <w:rsid w:val="00F806F1"/>
    <w:rsid w:val="00F8450E"/>
    <w:rsid w:val="00F933D8"/>
    <w:rsid w:val="00F94DA0"/>
    <w:rsid w:val="00FA2416"/>
    <w:rsid w:val="00FA386D"/>
    <w:rsid w:val="00FA5E15"/>
    <w:rsid w:val="00FA6BE0"/>
    <w:rsid w:val="00FA72A6"/>
    <w:rsid w:val="00FB0525"/>
    <w:rsid w:val="00FB21A6"/>
    <w:rsid w:val="00FB5939"/>
    <w:rsid w:val="00FB6276"/>
    <w:rsid w:val="00FB7217"/>
    <w:rsid w:val="00FC08E6"/>
    <w:rsid w:val="00FC1561"/>
    <w:rsid w:val="00FC212C"/>
    <w:rsid w:val="00FC2AF7"/>
    <w:rsid w:val="00FD03E2"/>
    <w:rsid w:val="00FD6B4B"/>
    <w:rsid w:val="00FD7E63"/>
    <w:rsid w:val="00FE1245"/>
    <w:rsid w:val="00FE3A21"/>
    <w:rsid w:val="00FF2520"/>
    <w:rsid w:val="00FF4215"/>
    <w:rsid w:val="00FF48D6"/>
    <w:rsid w:val="00FF4C85"/>
    <w:rsid w:val="00FF566C"/>
    <w:rsid w:val="00FF7BA0"/>
    <w:rsid w:val="013C690E"/>
    <w:rsid w:val="014337F8"/>
    <w:rsid w:val="01483505"/>
    <w:rsid w:val="015754F6"/>
    <w:rsid w:val="01A00915"/>
    <w:rsid w:val="021E5274"/>
    <w:rsid w:val="023615AF"/>
    <w:rsid w:val="02753E85"/>
    <w:rsid w:val="028E4F47"/>
    <w:rsid w:val="033249C1"/>
    <w:rsid w:val="03411C7C"/>
    <w:rsid w:val="037C1244"/>
    <w:rsid w:val="042E69E2"/>
    <w:rsid w:val="05065269"/>
    <w:rsid w:val="05115B7E"/>
    <w:rsid w:val="051E670B"/>
    <w:rsid w:val="054E09BE"/>
    <w:rsid w:val="05522D45"/>
    <w:rsid w:val="05856AD5"/>
    <w:rsid w:val="05B5373C"/>
    <w:rsid w:val="05B80C59"/>
    <w:rsid w:val="05DB5450"/>
    <w:rsid w:val="05EF3F4F"/>
    <w:rsid w:val="06007F0A"/>
    <w:rsid w:val="06A57590"/>
    <w:rsid w:val="06CB0518"/>
    <w:rsid w:val="07936966"/>
    <w:rsid w:val="07AB753C"/>
    <w:rsid w:val="07C17B6D"/>
    <w:rsid w:val="07D539C8"/>
    <w:rsid w:val="07FE66CB"/>
    <w:rsid w:val="08030185"/>
    <w:rsid w:val="082500FC"/>
    <w:rsid w:val="08297BEC"/>
    <w:rsid w:val="087846CF"/>
    <w:rsid w:val="08872B64"/>
    <w:rsid w:val="08F301FA"/>
    <w:rsid w:val="090A13E0"/>
    <w:rsid w:val="093540C0"/>
    <w:rsid w:val="09756E61"/>
    <w:rsid w:val="097C1DDB"/>
    <w:rsid w:val="09B2776D"/>
    <w:rsid w:val="0A7F6DC7"/>
    <w:rsid w:val="0ABD0ABF"/>
    <w:rsid w:val="0AC37758"/>
    <w:rsid w:val="0B2360D1"/>
    <w:rsid w:val="0B7153ED"/>
    <w:rsid w:val="0B7A250D"/>
    <w:rsid w:val="0B8659C8"/>
    <w:rsid w:val="0CD751FC"/>
    <w:rsid w:val="0D0A78C0"/>
    <w:rsid w:val="0D1E0466"/>
    <w:rsid w:val="0D4508F8"/>
    <w:rsid w:val="0DBA3094"/>
    <w:rsid w:val="0E5A03D3"/>
    <w:rsid w:val="0E6E1987"/>
    <w:rsid w:val="0E736713"/>
    <w:rsid w:val="0E807A8A"/>
    <w:rsid w:val="0E8B55B0"/>
    <w:rsid w:val="0EA16002"/>
    <w:rsid w:val="0EAF5750"/>
    <w:rsid w:val="0EC817E1"/>
    <w:rsid w:val="0F6F481B"/>
    <w:rsid w:val="0F7F00F1"/>
    <w:rsid w:val="0FD91EF8"/>
    <w:rsid w:val="0FE45393"/>
    <w:rsid w:val="10065F95"/>
    <w:rsid w:val="10720C3C"/>
    <w:rsid w:val="113B44EC"/>
    <w:rsid w:val="115A0E16"/>
    <w:rsid w:val="1178129C"/>
    <w:rsid w:val="118539B9"/>
    <w:rsid w:val="118934A9"/>
    <w:rsid w:val="11DF131B"/>
    <w:rsid w:val="122A4C8C"/>
    <w:rsid w:val="122E12FC"/>
    <w:rsid w:val="12670441"/>
    <w:rsid w:val="12DF6F20"/>
    <w:rsid w:val="13345697"/>
    <w:rsid w:val="13A75E69"/>
    <w:rsid w:val="13EC7D20"/>
    <w:rsid w:val="148E7DB7"/>
    <w:rsid w:val="14D62C44"/>
    <w:rsid w:val="14DE3B0C"/>
    <w:rsid w:val="15215AFD"/>
    <w:rsid w:val="15BA3C05"/>
    <w:rsid w:val="15CA22E2"/>
    <w:rsid w:val="167C0A80"/>
    <w:rsid w:val="167D7355"/>
    <w:rsid w:val="169052DA"/>
    <w:rsid w:val="1756199B"/>
    <w:rsid w:val="17944956"/>
    <w:rsid w:val="179D00F7"/>
    <w:rsid w:val="17A4103D"/>
    <w:rsid w:val="17AF34F3"/>
    <w:rsid w:val="18035267"/>
    <w:rsid w:val="187A4B7B"/>
    <w:rsid w:val="187C4BD8"/>
    <w:rsid w:val="187E0F99"/>
    <w:rsid w:val="1919052D"/>
    <w:rsid w:val="19630A84"/>
    <w:rsid w:val="19BB08C0"/>
    <w:rsid w:val="1A3F504D"/>
    <w:rsid w:val="1A907657"/>
    <w:rsid w:val="1A9A2283"/>
    <w:rsid w:val="1AE96D67"/>
    <w:rsid w:val="1B353771"/>
    <w:rsid w:val="1B754A9E"/>
    <w:rsid w:val="1BC319F5"/>
    <w:rsid w:val="1CB82E95"/>
    <w:rsid w:val="1D4E55A7"/>
    <w:rsid w:val="1D73323A"/>
    <w:rsid w:val="1D772D50"/>
    <w:rsid w:val="1D813BCE"/>
    <w:rsid w:val="1DB401C9"/>
    <w:rsid w:val="1DC046F7"/>
    <w:rsid w:val="1EC37C02"/>
    <w:rsid w:val="1EDB2A39"/>
    <w:rsid w:val="1F85700C"/>
    <w:rsid w:val="1F8B4890"/>
    <w:rsid w:val="1F9C6A9E"/>
    <w:rsid w:val="1FD93E9B"/>
    <w:rsid w:val="1FDA1374"/>
    <w:rsid w:val="208A0FEC"/>
    <w:rsid w:val="21535882"/>
    <w:rsid w:val="21A41C3A"/>
    <w:rsid w:val="21AA36F4"/>
    <w:rsid w:val="22833F45"/>
    <w:rsid w:val="22FF181D"/>
    <w:rsid w:val="23973B7F"/>
    <w:rsid w:val="23E73E4C"/>
    <w:rsid w:val="248F6BD1"/>
    <w:rsid w:val="24BB79C6"/>
    <w:rsid w:val="25643BBA"/>
    <w:rsid w:val="2573204F"/>
    <w:rsid w:val="25E371D4"/>
    <w:rsid w:val="25FF1B34"/>
    <w:rsid w:val="263F0183"/>
    <w:rsid w:val="265B0014"/>
    <w:rsid w:val="26650A79"/>
    <w:rsid w:val="26795443"/>
    <w:rsid w:val="26C2328E"/>
    <w:rsid w:val="26EF1BA9"/>
    <w:rsid w:val="27206206"/>
    <w:rsid w:val="2749750B"/>
    <w:rsid w:val="27514612"/>
    <w:rsid w:val="27787DF0"/>
    <w:rsid w:val="278E2729"/>
    <w:rsid w:val="27FE0D3F"/>
    <w:rsid w:val="283A2A28"/>
    <w:rsid w:val="28562DBC"/>
    <w:rsid w:val="28BE5CD7"/>
    <w:rsid w:val="29422464"/>
    <w:rsid w:val="296F0D7F"/>
    <w:rsid w:val="2A2206F5"/>
    <w:rsid w:val="2A7F3244"/>
    <w:rsid w:val="2C0E467B"/>
    <w:rsid w:val="2C1B0D4A"/>
    <w:rsid w:val="2C275941"/>
    <w:rsid w:val="2C5F50DB"/>
    <w:rsid w:val="2CA376BD"/>
    <w:rsid w:val="2CBE3BB9"/>
    <w:rsid w:val="2CBF201D"/>
    <w:rsid w:val="2CC87124"/>
    <w:rsid w:val="2CD06E90"/>
    <w:rsid w:val="2CDF7FCA"/>
    <w:rsid w:val="2D0A4CE2"/>
    <w:rsid w:val="2DC86CB0"/>
    <w:rsid w:val="2DFE26D1"/>
    <w:rsid w:val="2E1D349F"/>
    <w:rsid w:val="2E352597"/>
    <w:rsid w:val="2E4427DA"/>
    <w:rsid w:val="2E6469D8"/>
    <w:rsid w:val="2EF17DD6"/>
    <w:rsid w:val="2F5A6C0A"/>
    <w:rsid w:val="2F5E2038"/>
    <w:rsid w:val="2FDD7831"/>
    <w:rsid w:val="3003399C"/>
    <w:rsid w:val="301C71BB"/>
    <w:rsid w:val="3076296B"/>
    <w:rsid w:val="307D0225"/>
    <w:rsid w:val="30874C00"/>
    <w:rsid w:val="309F44B6"/>
    <w:rsid w:val="311100D9"/>
    <w:rsid w:val="3159659D"/>
    <w:rsid w:val="31B86F6E"/>
    <w:rsid w:val="31DB16A7"/>
    <w:rsid w:val="322147F9"/>
    <w:rsid w:val="32470AEB"/>
    <w:rsid w:val="324A71CE"/>
    <w:rsid w:val="32B819E9"/>
    <w:rsid w:val="33053668"/>
    <w:rsid w:val="33B421B0"/>
    <w:rsid w:val="33B95A18"/>
    <w:rsid w:val="348E38F6"/>
    <w:rsid w:val="34CB5A03"/>
    <w:rsid w:val="35044A71"/>
    <w:rsid w:val="35154ED0"/>
    <w:rsid w:val="35965B42"/>
    <w:rsid w:val="359A3628"/>
    <w:rsid w:val="35DE52C2"/>
    <w:rsid w:val="35E45E36"/>
    <w:rsid w:val="361C228F"/>
    <w:rsid w:val="37311387"/>
    <w:rsid w:val="375D490D"/>
    <w:rsid w:val="37865A44"/>
    <w:rsid w:val="37B87D95"/>
    <w:rsid w:val="37C404E8"/>
    <w:rsid w:val="38672F66"/>
    <w:rsid w:val="386E19C4"/>
    <w:rsid w:val="38AC2307"/>
    <w:rsid w:val="38D86C14"/>
    <w:rsid w:val="391B293B"/>
    <w:rsid w:val="39412C16"/>
    <w:rsid w:val="399D5494"/>
    <w:rsid w:val="39F257E0"/>
    <w:rsid w:val="39F95A30"/>
    <w:rsid w:val="3A1E0383"/>
    <w:rsid w:val="3A6B702F"/>
    <w:rsid w:val="3AA21149"/>
    <w:rsid w:val="3AB02FA5"/>
    <w:rsid w:val="3BA90120"/>
    <w:rsid w:val="3BFC64A2"/>
    <w:rsid w:val="3C5F63E9"/>
    <w:rsid w:val="3D004570"/>
    <w:rsid w:val="3D033860"/>
    <w:rsid w:val="3D45031D"/>
    <w:rsid w:val="3D9F5C7F"/>
    <w:rsid w:val="3DA62DC5"/>
    <w:rsid w:val="3DE6565C"/>
    <w:rsid w:val="3E183C0D"/>
    <w:rsid w:val="3F3B19D7"/>
    <w:rsid w:val="3F8D77C4"/>
    <w:rsid w:val="3FDB0AC5"/>
    <w:rsid w:val="40472C47"/>
    <w:rsid w:val="40520D87"/>
    <w:rsid w:val="40FC0CF2"/>
    <w:rsid w:val="41055BC9"/>
    <w:rsid w:val="41110C42"/>
    <w:rsid w:val="415723CD"/>
    <w:rsid w:val="416074D3"/>
    <w:rsid w:val="427A2817"/>
    <w:rsid w:val="42903DE8"/>
    <w:rsid w:val="42BB2BD0"/>
    <w:rsid w:val="42E83C16"/>
    <w:rsid w:val="433724B6"/>
    <w:rsid w:val="434F77FF"/>
    <w:rsid w:val="43617533"/>
    <w:rsid w:val="43E42DEE"/>
    <w:rsid w:val="4416031D"/>
    <w:rsid w:val="44366C11"/>
    <w:rsid w:val="44BA72BF"/>
    <w:rsid w:val="44DA759D"/>
    <w:rsid w:val="45252E0C"/>
    <w:rsid w:val="452A22D2"/>
    <w:rsid w:val="45D47330"/>
    <w:rsid w:val="45E05087"/>
    <w:rsid w:val="46B53E1D"/>
    <w:rsid w:val="46C40504"/>
    <w:rsid w:val="4704670B"/>
    <w:rsid w:val="47061F89"/>
    <w:rsid w:val="475950F1"/>
    <w:rsid w:val="47867568"/>
    <w:rsid w:val="47D1608A"/>
    <w:rsid w:val="482109E5"/>
    <w:rsid w:val="48321EE0"/>
    <w:rsid w:val="48653621"/>
    <w:rsid w:val="48763799"/>
    <w:rsid w:val="49B22896"/>
    <w:rsid w:val="49F7474D"/>
    <w:rsid w:val="4A677B24"/>
    <w:rsid w:val="4A71390E"/>
    <w:rsid w:val="4AA77F21"/>
    <w:rsid w:val="4ADA20A4"/>
    <w:rsid w:val="4AE50A49"/>
    <w:rsid w:val="4AF171DF"/>
    <w:rsid w:val="4AF2562C"/>
    <w:rsid w:val="4B0C4228"/>
    <w:rsid w:val="4B9366F7"/>
    <w:rsid w:val="4BB415B9"/>
    <w:rsid w:val="4BCB7C3F"/>
    <w:rsid w:val="4C7E1155"/>
    <w:rsid w:val="4C83051A"/>
    <w:rsid w:val="4C9D5A7F"/>
    <w:rsid w:val="4CAE007B"/>
    <w:rsid w:val="4CAF57B3"/>
    <w:rsid w:val="4CEF5BAF"/>
    <w:rsid w:val="4E9D4E88"/>
    <w:rsid w:val="4FCF51CE"/>
    <w:rsid w:val="50EB5920"/>
    <w:rsid w:val="50F419E6"/>
    <w:rsid w:val="51840FBC"/>
    <w:rsid w:val="51B01DB1"/>
    <w:rsid w:val="524B4A0B"/>
    <w:rsid w:val="54574766"/>
    <w:rsid w:val="5476235F"/>
    <w:rsid w:val="548046A7"/>
    <w:rsid w:val="54FF095A"/>
    <w:rsid w:val="561843C9"/>
    <w:rsid w:val="57041F8C"/>
    <w:rsid w:val="572528F9"/>
    <w:rsid w:val="57D305A7"/>
    <w:rsid w:val="581710D5"/>
    <w:rsid w:val="587D3504"/>
    <w:rsid w:val="58896EB8"/>
    <w:rsid w:val="58A67A6A"/>
    <w:rsid w:val="58AD704A"/>
    <w:rsid w:val="58B303D9"/>
    <w:rsid w:val="58C63C68"/>
    <w:rsid w:val="58F33E9D"/>
    <w:rsid w:val="59103DB8"/>
    <w:rsid w:val="592E180D"/>
    <w:rsid w:val="59513E7A"/>
    <w:rsid w:val="59B60181"/>
    <w:rsid w:val="5A3D151C"/>
    <w:rsid w:val="5A6F32D2"/>
    <w:rsid w:val="5AA12BDF"/>
    <w:rsid w:val="5AC32B55"/>
    <w:rsid w:val="5B167E5B"/>
    <w:rsid w:val="5B2478CB"/>
    <w:rsid w:val="5B4377F2"/>
    <w:rsid w:val="5B6F0673"/>
    <w:rsid w:val="5B81031A"/>
    <w:rsid w:val="5BE014E5"/>
    <w:rsid w:val="5C545A2F"/>
    <w:rsid w:val="5C8207EE"/>
    <w:rsid w:val="5CB36BF9"/>
    <w:rsid w:val="5CBC3D00"/>
    <w:rsid w:val="5CEB1EEF"/>
    <w:rsid w:val="5CFC40FC"/>
    <w:rsid w:val="5D107BA8"/>
    <w:rsid w:val="5D333896"/>
    <w:rsid w:val="5D9A3915"/>
    <w:rsid w:val="5E1436C8"/>
    <w:rsid w:val="5E306909"/>
    <w:rsid w:val="5E35580D"/>
    <w:rsid w:val="5E8B2747"/>
    <w:rsid w:val="5EB153BA"/>
    <w:rsid w:val="5ED370DF"/>
    <w:rsid w:val="5EED44B2"/>
    <w:rsid w:val="5F3961B5"/>
    <w:rsid w:val="5F881C77"/>
    <w:rsid w:val="600B28A8"/>
    <w:rsid w:val="603C0CB4"/>
    <w:rsid w:val="606C77EB"/>
    <w:rsid w:val="607B5C80"/>
    <w:rsid w:val="610A2B60"/>
    <w:rsid w:val="611539DF"/>
    <w:rsid w:val="6118527D"/>
    <w:rsid w:val="61A84853"/>
    <w:rsid w:val="61AE0DF4"/>
    <w:rsid w:val="621255CA"/>
    <w:rsid w:val="631C082F"/>
    <w:rsid w:val="638324AA"/>
    <w:rsid w:val="63952BB5"/>
    <w:rsid w:val="63CD67F3"/>
    <w:rsid w:val="641B6010"/>
    <w:rsid w:val="64416899"/>
    <w:rsid w:val="64D94D23"/>
    <w:rsid w:val="64FE478A"/>
    <w:rsid w:val="65597D62"/>
    <w:rsid w:val="656938CF"/>
    <w:rsid w:val="657F1D6E"/>
    <w:rsid w:val="658729D1"/>
    <w:rsid w:val="660E6C4E"/>
    <w:rsid w:val="66C645F2"/>
    <w:rsid w:val="66D25ECE"/>
    <w:rsid w:val="67024A05"/>
    <w:rsid w:val="67276EA0"/>
    <w:rsid w:val="677376B1"/>
    <w:rsid w:val="67BF5AB8"/>
    <w:rsid w:val="67C24194"/>
    <w:rsid w:val="67E934CF"/>
    <w:rsid w:val="67F14C93"/>
    <w:rsid w:val="68073211"/>
    <w:rsid w:val="683D3DE9"/>
    <w:rsid w:val="6853337F"/>
    <w:rsid w:val="687F5BE1"/>
    <w:rsid w:val="68E85E7D"/>
    <w:rsid w:val="68FC4009"/>
    <w:rsid w:val="692E23BD"/>
    <w:rsid w:val="694C640B"/>
    <w:rsid w:val="695633CB"/>
    <w:rsid w:val="69591DF9"/>
    <w:rsid w:val="69845BA5"/>
    <w:rsid w:val="69EC3B58"/>
    <w:rsid w:val="6A163814"/>
    <w:rsid w:val="6AB525A4"/>
    <w:rsid w:val="6AE14931"/>
    <w:rsid w:val="6B731EAA"/>
    <w:rsid w:val="6B89293E"/>
    <w:rsid w:val="6BA460CD"/>
    <w:rsid w:val="6BCC3834"/>
    <w:rsid w:val="6BE648F5"/>
    <w:rsid w:val="6C225202"/>
    <w:rsid w:val="6CA51D12"/>
    <w:rsid w:val="6D5C1A2D"/>
    <w:rsid w:val="6D8A1731"/>
    <w:rsid w:val="6D965EA7"/>
    <w:rsid w:val="6DCC3677"/>
    <w:rsid w:val="6DEA61F3"/>
    <w:rsid w:val="6E0B2363"/>
    <w:rsid w:val="6E704EB2"/>
    <w:rsid w:val="6EA41C3B"/>
    <w:rsid w:val="6F084B83"/>
    <w:rsid w:val="6F4238DA"/>
    <w:rsid w:val="6F5002D8"/>
    <w:rsid w:val="6FAC3760"/>
    <w:rsid w:val="70163EB7"/>
    <w:rsid w:val="70DC0075"/>
    <w:rsid w:val="715F29EE"/>
    <w:rsid w:val="71B42DA0"/>
    <w:rsid w:val="71D15BC9"/>
    <w:rsid w:val="71ED0060"/>
    <w:rsid w:val="723C0820"/>
    <w:rsid w:val="72402057"/>
    <w:rsid w:val="725E0587"/>
    <w:rsid w:val="729A3083"/>
    <w:rsid w:val="72CE1C3F"/>
    <w:rsid w:val="72F22AC0"/>
    <w:rsid w:val="733E6DC5"/>
    <w:rsid w:val="738C28A7"/>
    <w:rsid w:val="73C2596F"/>
    <w:rsid w:val="73FF70D6"/>
    <w:rsid w:val="74055B35"/>
    <w:rsid w:val="74B53696"/>
    <w:rsid w:val="74BD1F6B"/>
    <w:rsid w:val="74C94E19"/>
    <w:rsid w:val="74E7348C"/>
    <w:rsid w:val="751A73BE"/>
    <w:rsid w:val="752B15CB"/>
    <w:rsid w:val="75484E01"/>
    <w:rsid w:val="75F776FF"/>
    <w:rsid w:val="768E0063"/>
    <w:rsid w:val="76B63116"/>
    <w:rsid w:val="76E70470"/>
    <w:rsid w:val="77043E82"/>
    <w:rsid w:val="779276DF"/>
    <w:rsid w:val="781A1483"/>
    <w:rsid w:val="78232A2D"/>
    <w:rsid w:val="78AE679B"/>
    <w:rsid w:val="78C23FF4"/>
    <w:rsid w:val="78CC09CF"/>
    <w:rsid w:val="791365FE"/>
    <w:rsid w:val="793622EC"/>
    <w:rsid w:val="793F1EFD"/>
    <w:rsid w:val="7A2D36EF"/>
    <w:rsid w:val="7AA65250"/>
    <w:rsid w:val="7BE633BA"/>
    <w:rsid w:val="7BED5F1A"/>
    <w:rsid w:val="7BF46200"/>
    <w:rsid w:val="7BF5289F"/>
    <w:rsid w:val="7C492337"/>
    <w:rsid w:val="7C5238E1"/>
    <w:rsid w:val="7CD82038"/>
    <w:rsid w:val="7D8D120C"/>
    <w:rsid w:val="7DCE6F97"/>
    <w:rsid w:val="7EAA3560"/>
    <w:rsid w:val="7EBB39C0"/>
    <w:rsid w:val="7EE12CFA"/>
    <w:rsid w:val="7EE60311"/>
    <w:rsid w:val="7F1E3786"/>
    <w:rsid w:val="7F3D66EA"/>
    <w:rsid w:val="7FAC1E5E"/>
    <w:rsid w:val="7FDB1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6"/>
    <w:autoRedefine/>
    <w:qFormat/>
    <w:uiPriority w:val="0"/>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7"/>
    <w:autoRedefine/>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8"/>
    <w:autoRedefine/>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link w:val="215"/>
    <w:autoRedefine/>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06"/>
    <w:autoRedefine/>
    <w:qFormat/>
    <w:uiPriority w:val="0"/>
    <w:pPr>
      <w:keepNext/>
      <w:keepLines/>
      <w:widowControl/>
      <w:tabs>
        <w:tab w:val="left" w:pos="1008"/>
      </w:tabs>
      <w:spacing w:before="280" w:after="290" w:line="372" w:lineRule="auto"/>
      <w:ind w:left="1008" w:hanging="1008"/>
      <w:jc w:val="left"/>
      <w:outlineLvl w:val="4"/>
    </w:pPr>
    <w:rPr>
      <w:rFonts w:ascii="Times New Roman" w:hAnsi="Times New Roman" w:eastAsia="Arial Unicode MS" w:cs="Times New Roman"/>
      <w:b/>
      <w:kern w:val="0"/>
      <w:sz w:val="28"/>
      <w:szCs w:val="20"/>
    </w:rPr>
  </w:style>
  <w:style w:type="paragraph" w:styleId="7">
    <w:name w:val="heading 6"/>
    <w:basedOn w:val="1"/>
    <w:next w:val="1"/>
    <w:link w:val="207"/>
    <w:autoRedefine/>
    <w:qFormat/>
    <w:uiPriority w:val="0"/>
    <w:pPr>
      <w:keepNext/>
      <w:keepLines/>
      <w:widowControl/>
      <w:tabs>
        <w:tab w:val="left" w:pos="1152"/>
      </w:tabs>
      <w:spacing w:before="240" w:after="64" w:line="317" w:lineRule="auto"/>
      <w:ind w:left="1152" w:hanging="1152"/>
      <w:jc w:val="left"/>
      <w:outlineLvl w:val="5"/>
    </w:pPr>
    <w:rPr>
      <w:rFonts w:ascii="Arial" w:hAnsi="Arial" w:eastAsia="黑体" w:cs="Times New Roman"/>
      <w:b/>
      <w:kern w:val="0"/>
      <w:sz w:val="24"/>
      <w:szCs w:val="20"/>
    </w:rPr>
  </w:style>
  <w:style w:type="paragraph" w:styleId="8">
    <w:name w:val="heading 7"/>
    <w:basedOn w:val="1"/>
    <w:next w:val="1"/>
    <w:link w:val="208"/>
    <w:autoRedefine/>
    <w:qFormat/>
    <w:uiPriority w:val="0"/>
    <w:pPr>
      <w:keepNext/>
      <w:keepLines/>
      <w:widowControl/>
      <w:tabs>
        <w:tab w:val="left" w:pos="1296"/>
      </w:tabs>
      <w:spacing w:before="240" w:after="64" w:line="317" w:lineRule="auto"/>
      <w:ind w:left="1296" w:hanging="1296"/>
      <w:jc w:val="left"/>
      <w:outlineLvl w:val="6"/>
    </w:pPr>
    <w:rPr>
      <w:rFonts w:ascii="Times New Roman" w:hAnsi="Times New Roman" w:eastAsia="宋体" w:cs="Times New Roman"/>
      <w:b/>
      <w:kern w:val="0"/>
      <w:sz w:val="24"/>
      <w:szCs w:val="20"/>
    </w:rPr>
  </w:style>
  <w:style w:type="paragraph" w:styleId="9">
    <w:name w:val="heading 8"/>
    <w:basedOn w:val="1"/>
    <w:next w:val="1"/>
    <w:link w:val="209"/>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cs="Times New Roman"/>
      <w:kern w:val="0"/>
      <w:sz w:val="24"/>
      <w:szCs w:val="20"/>
    </w:rPr>
  </w:style>
  <w:style w:type="paragraph" w:styleId="10">
    <w:name w:val="heading 9"/>
    <w:basedOn w:val="1"/>
    <w:next w:val="1"/>
    <w:link w:val="210"/>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kern w:val="0"/>
      <w:szCs w:val="20"/>
    </w:rPr>
  </w:style>
  <w:style w:type="character" w:default="1" w:styleId="50">
    <w:name w:val="Default Paragraph Font"/>
    <w:autoRedefine/>
    <w:semiHidden/>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rPr>
      <w:rFonts w:ascii="Times New Roman" w:hAnsi="Times New Roman" w:eastAsia="宋体" w:cs="Times New Roman"/>
      <w:szCs w:val="24"/>
    </w:rPr>
  </w:style>
  <w:style w:type="paragraph" w:styleId="12">
    <w:name w:val="List Number"/>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Normal Indent"/>
    <w:basedOn w:val="1"/>
    <w:next w:val="1"/>
    <w:link w:val="119"/>
    <w:autoRedefine/>
    <w:qFormat/>
    <w:uiPriority w:val="0"/>
    <w:pPr>
      <w:ind w:firstLine="420" w:firstLineChars="200"/>
    </w:pPr>
    <w:rPr>
      <w:rFonts w:ascii="Times New Roman" w:hAnsi="Times New Roman" w:eastAsia="宋体" w:cs="Times New Roman"/>
      <w:kern w:val="0"/>
      <w:sz w:val="24"/>
      <w:szCs w:val="20"/>
    </w:rPr>
  </w:style>
  <w:style w:type="paragraph" w:styleId="14">
    <w:name w:val="caption"/>
    <w:basedOn w:val="1"/>
    <w:next w:val="1"/>
    <w:autoRedefine/>
    <w:qFormat/>
    <w:uiPriority w:val="0"/>
    <w:rPr>
      <w:rFonts w:ascii="Cambria" w:hAnsi="Cambria" w:eastAsia="黑体" w:cs="Times New Roman"/>
      <w:sz w:val="20"/>
      <w:szCs w:val="20"/>
    </w:rPr>
  </w:style>
  <w:style w:type="paragraph" w:styleId="15">
    <w:name w:val="Document Map"/>
    <w:basedOn w:val="1"/>
    <w:link w:val="137"/>
    <w:autoRedefine/>
    <w:qFormat/>
    <w:uiPriority w:val="99"/>
    <w:rPr>
      <w:rFonts w:ascii="宋体" w:hAnsi="Calibri" w:eastAsia="宋体" w:cs="Times New Roman"/>
      <w:kern w:val="0"/>
      <w:sz w:val="18"/>
      <w:szCs w:val="20"/>
    </w:rPr>
  </w:style>
  <w:style w:type="paragraph" w:styleId="16">
    <w:name w:val="annotation text"/>
    <w:basedOn w:val="1"/>
    <w:link w:val="166"/>
    <w:autoRedefine/>
    <w:qFormat/>
    <w:uiPriority w:val="0"/>
    <w:pPr>
      <w:jc w:val="left"/>
    </w:pPr>
  </w:style>
  <w:style w:type="paragraph" w:styleId="17">
    <w:name w:val="Body Text 3"/>
    <w:basedOn w:val="1"/>
    <w:link w:val="211"/>
    <w:autoRedefine/>
    <w:qFormat/>
    <w:uiPriority w:val="0"/>
    <w:pPr>
      <w:spacing w:line="440" w:lineRule="exact"/>
    </w:pPr>
    <w:rPr>
      <w:rFonts w:ascii="Times New Roman" w:hAnsi="Times New Roman" w:eastAsia="宋体" w:cs="Times New Roman"/>
      <w:color w:val="000000"/>
      <w:szCs w:val="20"/>
    </w:rPr>
  </w:style>
  <w:style w:type="paragraph" w:styleId="18">
    <w:name w:val="Body Text"/>
    <w:basedOn w:val="1"/>
    <w:next w:val="19"/>
    <w:link w:val="140"/>
    <w:autoRedefine/>
    <w:qFormat/>
    <w:uiPriority w:val="0"/>
    <w:pPr>
      <w:spacing w:after="120"/>
    </w:pPr>
    <w:rPr>
      <w:rFonts w:ascii="Calibri" w:hAnsi="Calibri" w:eastAsia="宋体" w:cs="Times New Roman"/>
      <w:kern w:val="0"/>
      <w:sz w:val="24"/>
      <w:szCs w:val="20"/>
    </w:rPr>
  </w:style>
  <w:style w:type="paragraph" w:styleId="19">
    <w:name w:val="Body Text First Indent"/>
    <w:basedOn w:val="18"/>
    <w:qFormat/>
    <w:uiPriority w:val="0"/>
    <w:pPr>
      <w:spacing w:line="360" w:lineRule="auto"/>
      <w:ind w:firstLine="200" w:firstLineChars="200"/>
    </w:pPr>
    <w:rPr>
      <w:rFonts w:ascii="仿宋_GB2312" w:eastAsia="仿宋_GB2312"/>
      <w:sz w:val="30"/>
      <w:szCs w:val="30"/>
    </w:rPr>
  </w:style>
  <w:style w:type="paragraph" w:styleId="20">
    <w:name w:val="Body Text Indent"/>
    <w:basedOn w:val="1"/>
    <w:link w:val="71"/>
    <w:autoRedefine/>
    <w:qFormat/>
    <w:uiPriority w:val="0"/>
    <w:pPr>
      <w:widowControl/>
      <w:spacing w:after="120"/>
      <w:ind w:left="420"/>
    </w:pPr>
    <w:rPr>
      <w:rFonts w:ascii="??" w:hAnsi="??" w:eastAsia="宋体" w:cs="Arial"/>
      <w:kern w:val="0"/>
      <w:sz w:val="24"/>
      <w:szCs w:val="24"/>
    </w:rPr>
  </w:style>
  <w:style w:type="paragraph" w:styleId="21">
    <w:name w:val="index 4"/>
    <w:basedOn w:val="1"/>
    <w:next w:val="1"/>
    <w:autoRedefine/>
    <w:qFormat/>
    <w:uiPriority w:val="0"/>
    <w:pPr>
      <w:ind w:left="600" w:leftChars="600"/>
    </w:pPr>
    <w:rPr>
      <w:rFonts w:ascii="Times New Roman" w:hAnsi="Times New Roman" w:eastAsia="宋体" w:cs="Times New Roman"/>
      <w:szCs w:val="24"/>
    </w:rPr>
  </w:style>
  <w:style w:type="paragraph" w:styleId="22">
    <w:name w:val="toc 5"/>
    <w:basedOn w:val="1"/>
    <w:next w:val="1"/>
    <w:autoRedefine/>
    <w:qFormat/>
    <w:uiPriority w:val="39"/>
    <w:pPr>
      <w:ind w:left="1680" w:leftChars="800"/>
    </w:pPr>
    <w:rPr>
      <w:rFonts w:ascii="Times New Roman" w:hAnsi="Times New Roman" w:eastAsia="宋体" w:cs="Times New Roman"/>
      <w:szCs w:val="24"/>
    </w:rPr>
  </w:style>
  <w:style w:type="paragraph" w:styleId="23">
    <w:name w:val="toc 3"/>
    <w:basedOn w:val="1"/>
    <w:next w:val="1"/>
    <w:autoRedefine/>
    <w:qFormat/>
    <w:uiPriority w:val="39"/>
    <w:pPr>
      <w:ind w:left="840" w:leftChars="400"/>
    </w:pPr>
    <w:rPr>
      <w:rFonts w:ascii="Times New Roman" w:hAnsi="Times New Roman" w:eastAsia="宋体" w:cs="Times New Roman"/>
      <w:szCs w:val="24"/>
    </w:rPr>
  </w:style>
  <w:style w:type="paragraph" w:styleId="24">
    <w:name w:val="Plain Text"/>
    <w:basedOn w:val="1"/>
    <w:link w:val="204"/>
    <w:autoRedefine/>
    <w:qFormat/>
    <w:uiPriority w:val="0"/>
    <w:rPr>
      <w:rFonts w:ascii="宋体" w:hAnsi="Courier New" w:eastAsia="宋体" w:cs="宋体"/>
      <w:szCs w:val="21"/>
    </w:rPr>
  </w:style>
  <w:style w:type="paragraph" w:styleId="25">
    <w:name w:val="toc 8"/>
    <w:basedOn w:val="1"/>
    <w:next w:val="1"/>
    <w:autoRedefine/>
    <w:qFormat/>
    <w:uiPriority w:val="39"/>
    <w:pPr>
      <w:ind w:left="2940" w:leftChars="1400"/>
    </w:pPr>
    <w:rPr>
      <w:rFonts w:ascii="Times New Roman" w:hAnsi="Times New Roman" w:eastAsia="宋体" w:cs="Times New Roman"/>
      <w:szCs w:val="24"/>
    </w:rPr>
  </w:style>
  <w:style w:type="paragraph" w:styleId="26">
    <w:name w:val="Date"/>
    <w:basedOn w:val="1"/>
    <w:next w:val="1"/>
    <w:link w:val="161"/>
    <w:autoRedefine/>
    <w:qFormat/>
    <w:uiPriority w:val="0"/>
    <w:rPr>
      <w:szCs w:val="21"/>
    </w:rPr>
  </w:style>
  <w:style w:type="paragraph" w:styleId="27">
    <w:name w:val="Body Text Indent 2"/>
    <w:basedOn w:val="1"/>
    <w:link w:val="133"/>
    <w:autoRedefine/>
    <w:qFormat/>
    <w:uiPriority w:val="0"/>
    <w:pPr>
      <w:spacing w:before="100" w:beforeAutospacing="1" w:after="100" w:afterAutospacing="1" w:line="360" w:lineRule="auto"/>
      <w:ind w:firstLine="420"/>
    </w:pPr>
    <w:rPr>
      <w:rFonts w:ascii="宋体" w:hAnsi="Calibri" w:eastAsia="宋体" w:cs="Times New Roman"/>
      <w:kern w:val="0"/>
      <w:sz w:val="24"/>
      <w:szCs w:val="20"/>
    </w:rPr>
  </w:style>
  <w:style w:type="paragraph" w:styleId="28">
    <w:name w:val="Balloon Text"/>
    <w:basedOn w:val="1"/>
    <w:link w:val="83"/>
    <w:autoRedefine/>
    <w:qFormat/>
    <w:uiPriority w:val="0"/>
    <w:rPr>
      <w:rFonts w:ascii="Calibri" w:hAnsi="Calibri" w:eastAsia="宋体" w:cs="Times New Roman"/>
      <w:sz w:val="18"/>
      <w:szCs w:val="18"/>
    </w:rPr>
  </w:style>
  <w:style w:type="paragraph" w:styleId="29">
    <w:name w:val="footer"/>
    <w:basedOn w:val="1"/>
    <w:link w:val="70"/>
    <w:autoRedefine/>
    <w:qFormat/>
    <w:uiPriority w:val="99"/>
    <w:pPr>
      <w:tabs>
        <w:tab w:val="center" w:pos="4153"/>
        <w:tab w:val="right" w:pos="8306"/>
      </w:tabs>
      <w:snapToGrid w:val="0"/>
      <w:jc w:val="left"/>
    </w:pPr>
    <w:rPr>
      <w:rFonts w:ascii="Calibri" w:hAnsi="Calibri" w:eastAsia="宋体" w:cs="Times New Roman"/>
      <w:sz w:val="18"/>
      <w:szCs w:val="18"/>
    </w:rPr>
  </w:style>
  <w:style w:type="paragraph" w:styleId="30">
    <w:name w:val="header"/>
    <w:basedOn w:val="1"/>
    <w:link w:val="69"/>
    <w:autoRedefine/>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31">
    <w:name w:val="toc 1"/>
    <w:basedOn w:val="1"/>
    <w:next w:val="1"/>
    <w:autoRedefine/>
    <w:qFormat/>
    <w:uiPriority w:val="39"/>
    <w:rPr>
      <w:rFonts w:ascii="Times New Roman" w:hAnsi="Times New Roman" w:eastAsia="宋体" w:cs="Times New Roman"/>
      <w:szCs w:val="24"/>
    </w:rPr>
  </w:style>
  <w:style w:type="paragraph" w:styleId="32">
    <w:name w:val="toc 4"/>
    <w:basedOn w:val="1"/>
    <w:next w:val="1"/>
    <w:autoRedefine/>
    <w:qFormat/>
    <w:uiPriority w:val="39"/>
    <w:pPr>
      <w:ind w:left="1260" w:leftChars="600"/>
    </w:pPr>
    <w:rPr>
      <w:rFonts w:ascii="Times New Roman" w:hAnsi="Times New Roman" w:eastAsia="宋体" w:cs="Times New Roman"/>
      <w:szCs w:val="24"/>
    </w:rPr>
  </w:style>
  <w:style w:type="paragraph" w:styleId="33">
    <w:name w:val="Subtitle"/>
    <w:basedOn w:val="1"/>
    <w:next w:val="1"/>
    <w:link w:val="212"/>
    <w:autoRedefine/>
    <w:qFormat/>
    <w:uiPriority w:val="0"/>
    <w:pPr>
      <w:spacing w:before="240" w:after="60" w:line="312" w:lineRule="auto"/>
      <w:jc w:val="center"/>
      <w:outlineLvl w:val="1"/>
    </w:pPr>
    <w:rPr>
      <w:rFonts w:ascii="Cambria" w:hAnsi="Cambria" w:eastAsia="宋体" w:cs="Times New Roman"/>
      <w:b/>
      <w:bCs/>
      <w:kern w:val="28"/>
      <w:sz w:val="32"/>
      <w:szCs w:val="32"/>
    </w:rPr>
  </w:style>
  <w:style w:type="paragraph" w:styleId="34">
    <w:name w:val="List"/>
    <w:basedOn w:val="1"/>
    <w:autoRedefine/>
    <w:qFormat/>
    <w:uiPriority w:val="0"/>
    <w:pPr>
      <w:autoSpaceDE w:val="0"/>
      <w:autoSpaceDN w:val="0"/>
      <w:adjustRightInd w:val="0"/>
      <w:ind w:left="360" w:hanging="360"/>
      <w:jc w:val="left"/>
      <w:textAlignment w:val="baseline"/>
    </w:pPr>
    <w:rPr>
      <w:rFonts w:ascii="Times New Roman" w:hAnsi="Times New Roman" w:eastAsia="宋体" w:cs="Times New Roman"/>
      <w:kern w:val="0"/>
      <w:sz w:val="20"/>
      <w:szCs w:val="20"/>
    </w:rPr>
  </w:style>
  <w:style w:type="paragraph" w:styleId="35">
    <w:name w:val="footnote text"/>
    <w:basedOn w:val="1"/>
    <w:link w:val="178"/>
    <w:autoRedefine/>
    <w:semiHidden/>
    <w:qFormat/>
    <w:uiPriority w:val="0"/>
    <w:pPr>
      <w:snapToGrid w:val="0"/>
      <w:jc w:val="left"/>
    </w:pPr>
    <w:rPr>
      <w:rFonts w:ascii="Times New Roman" w:hAnsi="Times New Roman" w:eastAsia="宋体" w:cs="Times New Roman"/>
      <w:sz w:val="18"/>
      <w:szCs w:val="18"/>
    </w:rPr>
  </w:style>
  <w:style w:type="paragraph" w:styleId="36">
    <w:name w:val="toc 6"/>
    <w:basedOn w:val="1"/>
    <w:next w:val="1"/>
    <w:autoRedefine/>
    <w:qFormat/>
    <w:uiPriority w:val="39"/>
    <w:pPr>
      <w:ind w:left="2100" w:leftChars="1000"/>
    </w:pPr>
    <w:rPr>
      <w:rFonts w:ascii="Times New Roman" w:hAnsi="Times New Roman" w:eastAsia="宋体" w:cs="Times New Roman"/>
      <w:szCs w:val="24"/>
    </w:rPr>
  </w:style>
  <w:style w:type="paragraph" w:styleId="37">
    <w:name w:val="Body Text Indent 3"/>
    <w:basedOn w:val="1"/>
    <w:link w:val="135"/>
    <w:autoRedefine/>
    <w:qFormat/>
    <w:uiPriority w:val="0"/>
    <w:pPr>
      <w:spacing w:line="440" w:lineRule="exact"/>
      <w:ind w:firstLine="412" w:firstLineChars="200"/>
    </w:pPr>
    <w:rPr>
      <w:rFonts w:ascii="宋体" w:hAnsi="Calibri" w:eastAsia="宋体" w:cs="Times New Roman"/>
      <w:kern w:val="0"/>
      <w:sz w:val="20"/>
      <w:szCs w:val="20"/>
    </w:rPr>
  </w:style>
  <w:style w:type="paragraph" w:styleId="38">
    <w:name w:val="table of figures"/>
    <w:basedOn w:val="1"/>
    <w:next w:val="1"/>
    <w:autoRedefine/>
    <w:qFormat/>
    <w:uiPriority w:val="0"/>
    <w:pPr>
      <w:ind w:left="200" w:leftChars="200" w:hanging="200" w:hangingChars="200"/>
    </w:pPr>
    <w:rPr>
      <w:rFonts w:ascii="Times New Roman" w:hAnsi="Times New Roman" w:eastAsia="宋体" w:cs="Times New Roman"/>
      <w:szCs w:val="20"/>
    </w:rPr>
  </w:style>
  <w:style w:type="paragraph" w:styleId="39">
    <w:name w:val="toc 2"/>
    <w:basedOn w:val="1"/>
    <w:next w:val="1"/>
    <w:autoRedefine/>
    <w:qFormat/>
    <w:uiPriority w:val="39"/>
    <w:pPr>
      <w:ind w:left="420" w:leftChars="200"/>
    </w:pPr>
    <w:rPr>
      <w:rFonts w:ascii="Times New Roman" w:hAnsi="Times New Roman" w:eastAsia="宋体" w:cs="Times New Roman"/>
      <w:szCs w:val="24"/>
    </w:rPr>
  </w:style>
  <w:style w:type="paragraph" w:styleId="40">
    <w:name w:val="toc 9"/>
    <w:basedOn w:val="1"/>
    <w:next w:val="1"/>
    <w:autoRedefine/>
    <w:qFormat/>
    <w:uiPriority w:val="39"/>
    <w:pPr>
      <w:ind w:left="3360" w:leftChars="1600"/>
    </w:pPr>
    <w:rPr>
      <w:rFonts w:ascii="Times New Roman" w:hAnsi="Times New Roman" w:eastAsia="宋体" w:cs="Times New Roman"/>
      <w:szCs w:val="24"/>
    </w:rPr>
  </w:style>
  <w:style w:type="paragraph" w:styleId="41">
    <w:name w:val="Body Text 2"/>
    <w:basedOn w:val="1"/>
    <w:link w:val="213"/>
    <w:autoRedefine/>
    <w:qFormat/>
    <w:uiPriority w:val="0"/>
    <w:rPr>
      <w:rFonts w:ascii="宋体" w:hAnsi="宋体" w:eastAsia="宋体" w:cs="Times New Roman"/>
      <w:sz w:val="18"/>
      <w:szCs w:val="20"/>
    </w:rPr>
  </w:style>
  <w:style w:type="paragraph" w:styleId="42">
    <w:name w:val="List Continue 2"/>
    <w:basedOn w:val="1"/>
    <w:autoRedefine/>
    <w:qFormat/>
    <w:uiPriority w:val="0"/>
    <w:pPr>
      <w:spacing w:after="120"/>
      <w:ind w:left="840" w:leftChars="400"/>
    </w:pPr>
    <w:rPr>
      <w:rFonts w:ascii="Times New Roman" w:hAnsi="Times New Roman" w:eastAsia="宋体" w:cs="Times New Roman"/>
      <w:szCs w:val="24"/>
    </w:rPr>
  </w:style>
  <w:style w:type="paragraph" w:styleId="43">
    <w:name w:val="HTML Preformatted"/>
    <w:basedOn w:val="1"/>
    <w:link w:val="2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44">
    <w:name w:val="Normal (Web)"/>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45">
    <w:name w:val="index 1"/>
    <w:basedOn w:val="1"/>
    <w:next w:val="1"/>
    <w:autoRedefine/>
    <w:semiHidden/>
    <w:qFormat/>
    <w:uiPriority w:val="0"/>
    <w:pPr>
      <w:adjustRightInd w:val="0"/>
      <w:snapToGrid w:val="0"/>
      <w:spacing w:line="300" w:lineRule="exact"/>
    </w:pPr>
    <w:rPr>
      <w:rFonts w:ascii="宋体" w:hAnsi="宋体" w:eastAsia="宋体" w:cs="Times New Roman"/>
      <w:bCs/>
      <w:sz w:val="20"/>
      <w:szCs w:val="21"/>
    </w:rPr>
  </w:style>
  <w:style w:type="paragraph" w:styleId="46">
    <w:name w:val="Title"/>
    <w:basedOn w:val="1"/>
    <w:next w:val="1"/>
    <w:link w:val="164"/>
    <w:autoRedefine/>
    <w:qFormat/>
    <w:uiPriority w:val="0"/>
    <w:pPr>
      <w:spacing w:before="240" w:after="60"/>
      <w:jc w:val="center"/>
      <w:outlineLvl w:val="0"/>
    </w:pPr>
    <w:rPr>
      <w:rFonts w:ascii="Cambria" w:hAnsi="Cambria" w:cs="Times New Roman"/>
      <w:b/>
      <w:bCs/>
      <w:sz w:val="32"/>
      <w:szCs w:val="32"/>
    </w:rPr>
  </w:style>
  <w:style w:type="paragraph" w:styleId="47">
    <w:name w:val="annotation subject"/>
    <w:basedOn w:val="16"/>
    <w:next w:val="16"/>
    <w:link w:val="171"/>
    <w:autoRedefine/>
    <w:qFormat/>
    <w:uiPriority w:val="0"/>
    <w:rPr>
      <w:b/>
      <w:bCs/>
    </w:rPr>
  </w:style>
  <w:style w:type="table" w:styleId="49">
    <w:name w:val="Table Grid"/>
    <w:basedOn w:val="4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basedOn w:val="50"/>
    <w:autoRedefine/>
    <w:qFormat/>
    <w:uiPriority w:val="22"/>
    <w:rPr>
      <w:rFonts w:cs="Times New Roman"/>
      <w:b/>
    </w:rPr>
  </w:style>
  <w:style w:type="character" w:styleId="52">
    <w:name w:val="page number"/>
    <w:basedOn w:val="50"/>
    <w:autoRedefine/>
    <w:qFormat/>
    <w:uiPriority w:val="0"/>
    <w:rPr>
      <w:rFonts w:cs="Times New Roman"/>
    </w:rPr>
  </w:style>
  <w:style w:type="character" w:styleId="53">
    <w:name w:val="FollowedHyperlink"/>
    <w:basedOn w:val="50"/>
    <w:autoRedefine/>
    <w:qFormat/>
    <w:uiPriority w:val="99"/>
    <w:rPr>
      <w:rFonts w:cs="Times New Roman"/>
      <w:color w:val="555555"/>
      <w:u w:val="none"/>
    </w:rPr>
  </w:style>
  <w:style w:type="character" w:styleId="54">
    <w:name w:val="Emphasis"/>
    <w:basedOn w:val="50"/>
    <w:autoRedefine/>
    <w:qFormat/>
    <w:uiPriority w:val="0"/>
    <w:rPr>
      <w:rFonts w:cs="Times New Roman"/>
      <w:i/>
    </w:rPr>
  </w:style>
  <w:style w:type="character" w:styleId="55">
    <w:name w:val="HTML Definition"/>
    <w:basedOn w:val="50"/>
    <w:autoRedefine/>
    <w:qFormat/>
    <w:uiPriority w:val="99"/>
    <w:rPr>
      <w:rFonts w:cs="Times New Roman"/>
    </w:rPr>
  </w:style>
  <w:style w:type="character" w:styleId="56">
    <w:name w:val="HTML Acronym"/>
    <w:basedOn w:val="50"/>
    <w:autoRedefine/>
    <w:qFormat/>
    <w:uiPriority w:val="99"/>
    <w:rPr>
      <w:rFonts w:cs="Times New Roman"/>
    </w:rPr>
  </w:style>
  <w:style w:type="character" w:styleId="57">
    <w:name w:val="HTML Variable"/>
    <w:basedOn w:val="50"/>
    <w:autoRedefine/>
    <w:qFormat/>
    <w:uiPriority w:val="99"/>
    <w:rPr>
      <w:rFonts w:cs="Times New Roman"/>
    </w:rPr>
  </w:style>
  <w:style w:type="character" w:styleId="58">
    <w:name w:val="Hyperlink"/>
    <w:basedOn w:val="50"/>
    <w:autoRedefine/>
    <w:qFormat/>
    <w:uiPriority w:val="99"/>
    <w:rPr>
      <w:rFonts w:cs="Times New Roman"/>
      <w:color w:val="555555"/>
      <w:u w:val="none"/>
    </w:rPr>
  </w:style>
  <w:style w:type="character" w:styleId="59">
    <w:name w:val="HTML Code"/>
    <w:basedOn w:val="50"/>
    <w:autoRedefine/>
    <w:qFormat/>
    <w:uiPriority w:val="99"/>
    <w:rPr>
      <w:rFonts w:ascii="monospace" w:hAnsi="monospace" w:cs="Times New Roman"/>
      <w:sz w:val="24"/>
    </w:rPr>
  </w:style>
  <w:style w:type="character" w:styleId="60">
    <w:name w:val="annotation reference"/>
    <w:autoRedefine/>
    <w:qFormat/>
    <w:uiPriority w:val="99"/>
    <w:rPr>
      <w:sz w:val="21"/>
      <w:szCs w:val="21"/>
    </w:rPr>
  </w:style>
  <w:style w:type="character" w:styleId="61">
    <w:name w:val="HTML Cite"/>
    <w:basedOn w:val="50"/>
    <w:autoRedefine/>
    <w:qFormat/>
    <w:uiPriority w:val="99"/>
    <w:rPr>
      <w:rFonts w:cs="Times New Roman"/>
    </w:rPr>
  </w:style>
  <w:style w:type="character" w:styleId="62">
    <w:name w:val="footnote reference"/>
    <w:autoRedefine/>
    <w:semiHidden/>
    <w:qFormat/>
    <w:uiPriority w:val="0"/>
    <w:rPr>
      <w:vertAlign w:val="superscript"/>
    </w:rPr>
  </w:style>
  <w:style w:type="character" w:styleId="63">
    <w:name w:val="HTML Keyboard"/>
    <w:basedOn w:val="50"/>
    <w:autoRedefine/>
    <w:qFormat/>
    <w:uiPriority w:val="99"/>
    <w:rPr>
      <w:rFonts w:ascii="monospace" w:hAnsi="monospace" w:cs="Times New Roman"/>
      <w:sz w:val="24"/>
    </w:rPr>
  </w:style>
  <w:style w:type="character" w:styleId="64">
    <w:name w:val="HTML Sample"/>
    <w:basedOn w:val="50"/>
    <w:autoRedefine/>
    <w:qFormat/>
    <w:uiPriority w:val="99"/>
    <w:rPr>
      <w:rFonts w:ascii="monospace" w:hAnsi="monospace" w:cs="Times New Roman"/>
      <w:sz w:val="24"/>
    </w:rPr>
  </w:style>
  <w:style w:type="paragraph" w:customStyle="1" w:styleId="65">
    <w:name w:val="BodyText"/>
    <w:basedOn w:val="1"/>
    <w:qFormat/>
    <w:uiPriority w:val="0"/>
    <w:pPr>
      <w:jc w:val="both"/>
      <w:textAlignment w:val="baseline"/>
    </w:pPr>
    <w:rPr>
      <w:rFonts w:eastAsia="黑体"/>
      <w:kern w:val="2"/>
      <w:sz w:val="40"/>
      <w:szCs w:val="24"/>
    </w:rPr>
  </w:style>
  <w:style w:type="character" w:customStyle="1" w:styleId="66">
    <w:name w:val="标题 1 Char"/>
    <w:basedOn w:val="50"/>
    <w:link w:val="2"/>
    <w:autoRedefine/>
    <w:qFormat/>
    <w:uiPriority w:val="0"/>
    <w:rPr>
      <w:rFonts w:ascii="???" w:hAnsi="???" w:eastAsia="宋体" w:cs="Arial"/>
      <w:b/>
      <w:bCs/>
      <w:color w:val="020000"/>
      <w:kern w:val="36"/>
      <w:sz w:val="44"/>
      <w:szCs w:val="44"/>
    </w:rPr>
  </w:style>
  <w:style w:type="character" w:customStyle="1" w:styleId="67">
    <w:name w:val="标题 2 Char"/>
    <w:basedOn w:val="50"/>
    <w:link w:val="3"/>
    <w:autoRedefine/>
    <w:qFormat/>
    <w:uiPriority w:val="0"/>
    <w:rPr>
      <w:rFonts w:ascii="???" w:hAnsi="???" w:eastAsia="宋体" w:cs="Arial"/>
      <w:b/>
      <w:bCs/>
      <w:color w:val="020000"/>
      <w:kern w:val="0"/>
      <w:sz w:val="32"/>
      <w:szCs w:val="32"/>
    </w:rPr>
  </w:style>
  <w:style w:type="character" w:customStyle="1" w:styleId="68">
    <w:name w:val="标题 3 Char"/>
    <w:basedOn w:val="50"/>
    <w:link w:val="4"/>
    <w:autoRedefine/>
    <w:qFormat/>
    <w:uiPriority w:val="0"/>
    <w:rPr>
      <w:rFonts w:ascii="??" w:hAnsi="??" w:eastAsia="宋体" w:cs="Arial"/>
      <w:b/>
      <w:bCs/>
      <w:color w:val="000000"/>
      <w:kern w:val="0"/>
      <w:sz w:val="32"/>
      <w:szCs w:val="32"/>
    </w:rPr>
  </w:style>
  <w:style w:type="character" w:customStyle="1" w:styleId="69">
    <w:name w:val="页眉 Char"/>
    <w:basedOn w:val="50"/>
    <w:link w:val="30"/>
    <w:autoRedefine/>
    <w:qFormat/>
    <w:uiPriority w:val="99"/>
    <w:rPr>
      <w:rFonts w:ascii="Calibri" w:hAnsi="Calibri" w:eastAsia="宋体" w:cs="Times New Roman"/>
      <w:sz w:val="18"/>
      <w:szCs w:val="18"/>
    </w:rPr>
  </w:style>
  <w:style w:type="character" w:customStyle="1" w:styleId="70">
    <w:name w:val="页脚 Char"/>
    <w:basedOn w:val="50"/>
    <w:link w:val="29"/>
    <w:autoRedefine/>
    <w:qFormat/>
    <w:uiPriority w:val="99"/>
    <w:rPr>
      <w:rFonts w:ascii="Calibri" w:hAnsi="Calibri" w:eastAsia="宋体" w:cs="Times New Roman"/>
      <w:sz w:val="18"/>
      <w:szCs w:val="18"/>
    </w:rPr>
  </w:style>
  <w:style w:type="character" w:customStyle="1" w:styleId="71">
    <w:name w:val="正文文本缩进 Char"/>
    <w:basedOn w:val="50"/>
    <w:link w:val="20"/>
    <w:autoRedefine/>
    <w:qFormat/>
    <w:uiPriority w:val="0"/>
    <w:rPr>
      <w:rFonts w:ascii="??" w:hAnsi="??" w:eastAsia="宋体" w:cs="Arial"/>
      <w:kern w:val="0"/>
      <w:sz w:val="24"/>
      <w:szCs w:val="24"/>
    </w:rPr>
  </w:style>
  <w:style w:type="paragraph" w:customStyle="1" w:styleId="72">
    <w:name w:val="列出段落1"/>
    <w:basedOn w:val="1"/>
    <w:autoRedefine/>
    <w:qFormat/>
    <w:uiPriority w:val="0"/>
    <w:pPr>
      <w:ind w:firstLine="420" w:firstLineChars="200"/>
    </w:pPr>
    <w:rPr>
      <w:rFonts w:ascii="Calibri" w:hAnsi="Calibri" w:eastAsia="宋体" w:cs="Times New Roman"/>
    </w:rPr>
  </w:style>
  <w:style w:type="character" w:customStyle="1" w:styleId="73">
    <w:name w:val="标题 2 Char Char"/>
    <w:autoRedefine/>
    <w:qFormat/>
    <w:uiPriority w:val="99"/>
    <w:rPr>
      <w:rFonts w:ascii="Arial" w:hAnsi="Arial" w:eastAsia="黑体"/>
      <w:b/>
      <w:kern w:val="2"/>
      <w:sz w:val="32"/>
      <w:lang w:val="en-US" w:eastAsia="zh-CN"/>
    </w:rPr>
  </w:style>
  <w:style w:type="character" w:customStyle="1" w:styleId="74">
    <w:name w:val="2charchar"/>
    <w:basedOn w:val="50"/>
    <w:autoRedefine/>
    <w:qFormat/>
    <w:uiPriority w:val="99"/>
    <w:rPr>
      <w:rFonts w:cs="Times New Roman"/>
    </w:rPr>
  </w:style>
  <w:style w:type="paragraph" w:customStyle="1" w:styleId="75">
    <w:name w:val="表格文字"/>
    <w:basedOn w:val="1"/>
    <w:autoRedefine/>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76">
    <w:name w:val="z-窗体顶端1"/>
    <w:basedOn w:val="1"/>
    <w:next w:val="1"/>
    <w:link w:val="77"/>
    <w:autoRedefine/>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7">
    <w:name w:val="z-窗体顶端 Char"/>
    <w:basedOn w:val="50"/>
    <w:link w:val="76"/>
    <w:autoRedefine/>
    <w:semiHidden/>
    <w:qFormat/>
    <w:uiPriority w:val="99"/>
    <w:rPr>
      <w:rFonts w:ascii="Arial" w:hAnsi="Arial" w:eastAsia="宋体" w:cs="Arial"/>
      <w:vanish/>
      <w:kern w:val="0"/>
      <w:sz w:val="16"/>
      <w:szCs w:val="16"/>
    </w:rPr>
  </w:style>
  <w:style w:type="paragraph" w:customStyle="1" w:styleId="78">
    <w:name w:val="z-窗体底端1"/>
    <w:basedOn w:val="1"/>
    <w:next w:val="1"/>
    <w:link w:val="79"/>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9">
    <w:name w:val="z-窗体底端 Char"/>
    <w:basedOn w:val="50"/>
    <w:link w:val="78"/>
    <w:autoRedefine/>
    <w:semiHidden/>
    <w:qFormat/>
    <w:uiPriority w:val="99"/>
    <w:rPr>
      <w:rFonts w:ascii="Arial" w:hAnsi="Arial" w:eastAsia="宋体" w:cs="Arial"/>
      <w:vanish/>
      <w:kern w:val="0"/>
      <w:sz w:val="16"/>
      <w:szCs w:val="16"/>
    </w:rPr>
  </w:style>
  <w:style w:type="paragraph" w:customStyle="1" w:styleId="80">
    <w:name w:val="hu正文"/>
    <w:basedOn w:val="1"/>
    <w:link w:val="81"/>
    <w:autoRedefine/>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81">
    <w:name w:val="hu正文 Char"/>
    <w:link w:val="80"/>
    <w:autoRedefine/>
    <w:qFormat/>
    <w:locked/>
    <w:uiPriority w:val="99"/>
    <w:rPr>
      <w:rFonts w:ascii="Times New Roman" w:hAnsi="Times New Roman" w:eastAsia="宋体" w:cs="Times New Roman"/>
      <w:kern w:val="0"/>
      <w:sz w:val="24"/>
      <w:szCs w:val="20"/>
    </w:rPr>
  </w:style>
  <w:style w:type="paragraph" w:customStyle="1" w:styleId="82">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83">
    <w:name w:val="批注框文本 Char"/>
    <w:basedOn w:val="50"/>
    <w:link w:val="28"/>
    <w:autoRedefine/>
    <w:qFormat/>
    <w:uiPriority w:val="0"/>
    <w:rPr>
      <w:rFonts w:ascii="Calibri" w:hAnsi="Calibri" w:eastAsia="宋体" w:cs="Times New Roman"/>
      <w:sz w:val="18"/>
      <w:szCs w:val="18"/>
    </w:rPr>
  </w:style>
  <w:style w:type="character" w:customStyle="1" w:styleId="84">
    <w:name w:val="ui-bz-bg-hover1"/>
    <w:basedOn w:val="50"/>
    <w:autoRedefine/>
    <w:qFormat/>
    <w:uiPriority w:val="99"/>
    <w:rPr>
      <w:rFonts w:cs="Times New Roman"/>
    </w:rPr>
  </w:style>
  <w:style w:type="character" w:customStyle="1" w:styleId="85">
    <w:name w:val="批注框文本 Char1"/>
    <w:autoRedefine/>
    <w:qFormat/>
    <w:uiPriority w:val="0"/>
    <w:rPr>
      <w:rFonts w:ascii="Times New Roman" w:hAnsi="Times New Roman" w:eastAsia="宋体"/>
      <w:sz w:val="18"/>
    </w:rPr>
  </w:style>
  <w:style w:type="character" w:customStyle="1" w:styleId="86">
    <w:name w:val="bds_nopic"/>
    <w:basedOn w:val="50"/>
    <w:autoRedefine/>
    <w:qFormat/>
    <w:uiPriority w:val="99"/>
    <w:rPr>
      <w:rFonts w:cs="Times New Roman"/>
    </w:rPr>
  </w:style>
  <w:style w:type="character" w:customStyle="1" w:styleId="87">
    <w:name w:val="tip12"/>
    <w:autoRedefine/>
    <w:qFormat/>
    <w:uiPriority w:val="99"/>
    <w:rPr>
      <w:vanish/>
      <w:color w:val="FF0000"/>
      <w:sz w:val="18"/>
    </w:rPr>
  </w:style>
  <w:style w:type="character" w:customStyle="1" w:styleId="88">
    <w:name w:val="Body Text Indent 3 Char"/>
    <w:autoRedefine/>
    <w:qFormat/>
    <w:locked/>
    <w:uiPriority w:val="99"/>
    <w:rPr>
      <w:rFonts w:ascii="宋体" w:eastAsia="宋体"/>
    </w:rPr>
  </w:style>
  <w:style w:type="character" w:customStyle="1" w:styleId="89">
    <w:name w:val="HTML Markup"/>
    <w:autoRedefine/>
    <w:qFormat/>
    <w:uiPriority w:val="99"/>
    <w:rPr>
      <w:vanish/>
      <w:color w:val="FF0000"/>
    </w:rPr>
  </w:style>
  <w:style w:type="character" w:customStyle="1" w:styleId="90">
    <w:name w:val="tip7"/>
    <w:autoRedefine/>
    <w:qFormat/>
    <w:uiPriority w:val="99"/>
    <w:rPr>
      <w:vanish/>
      <w:color w:val="FF0000"/>
      <w:sz w:val="18"/>
    </w:rPr>
  </w:style>
  <w:style w:type="character" w:customStyle="1" w:styleId="91">
    <w:name w:val="f-star"/>
    <w:autoRedefine/>
    <w:qFormat/>
    <w:uiPriority w:val="99"/>
    <w:rPr>
      <w:color w:val="999999"/>
      <w:sz w:val="21"/>
    </w:rPr>
  </w:style>
  <w:style w:type="character" w:customStyle="1" w:styleId="92">
    <w:name w:val="Document Map Char1"/>
    <w:autoRedefine/>
    <w:qFormat/>
    <w:uiPriority w:val="99"/>
    <w:rPr>
      <w:rFonts w:ascii="Times New Roman" w:hAnsi="Times New Roman"/>
      <w:kern w:val="2"/>
      <w:sz w:val="2"/>
    </w:rPr>
  </w:style>
  <w:style w:type="character" w:customStyle="1" w:styleId="93">
    <w:name w:val="my-class2"/>
    <w:basedOn w:val="50"/>
    <w:autoRedefine/>
    <w:qFormat/>
    <w:uiPriority w:val="99"/>
    <w:rPr>
      <w:rFonts w:cs="Times New Roman"/>
    </w:rPr>
  </w:style>
  <w:style w:type="character" w:customStyle="1" w:styleId="94">
    <w:name w:val="no52"/>
    <w:basedOn w:val="50"/>
    <w:autoRedefine/>
    <w:qFormat/>
    <w:uiPriority w:val="99"/>
    <w:rPr>
      <w:rFonts w:cs="Times New Roman"/>
    </w:rPr>
  </w:style>
  <w:style w:type="character" w:customStyle="1" w:styleId="95">
    <w:name w:val="no4"/>
    <w:basedOn w:val="50"/>
    <w:autoRedefine/>
    <w:qFormat/>
    <w:uiPriority w:val="99"/>
    <w:rPr>
      <w:rFonts w:cs="Times New Roman"/>
    </w:rPr>
  </w:style>
  <w:style w:type="character" w:customStyle="1" w:styleId="96">
    <w:name w:val="my-notice"/>
    <w:basedOn w:val="50"/>
    <w:autoRedefine/>
    <w:qFormat/>
    <w:uiPriority w:val="99"/>
    <w:rPr>
      <w:rFonts w:cs="Times New Roman"/>
    </w:rPr>
  </w:style>
  <w:style w:type="character" w:customStyle="1" w:styleId="97">
    <w:name w:val="ico-jiang"/>
    <w:basedOn w:val="50"/>
    <w:autoRedefine/>
    <w:qFormat/>
    <w:uiPriority w:val="99"/>
    <w:rPr>
      <w:rFonts w:cs="Times New Roman"/>
    </w:rPr>
  </w:style>
  <w:style w:type="character" w:customStyle="1" w:styleId="98">
    <w:name w:val="ico-jiang2"/>
    <w:basedOn w:val="50"/>
    <w:autoRedefine/>
    <w:qFormat/>
    <w:uiPriority w:val="99"/>
    <w:rPr>
      <w:rFonts w:cs="Times New Roman"/>
    </w:rPr>
  </w:style>
  <w:style w:type="character" w:customStyle="1" w:styleId="99">
    <w:name w:val="bds_more1"/>
    <w:autoRedefine/>
    <w:qFormat/>
    <w:uiPriority w:val="99"/>
    <w:rPr>
      <w:rFonts w:ascii="宋体" w:hAnsi="宋体" w:eastAsia="宋体"/>
    </w:rPr>
  </w:style>
  <w:style w:type="character" w:customStyle="1" w:styleId="100">
    <w:name w:val="Body Text Indent 2 Char"/>
    <w:autoRedefine/>
    <w:qFormat/>
    <w:locked/>
    <w:uiPriority w:val="99"/>
    <w:rPr>
      <w:rFonts w:ascii="宋体" w:eastAsia="宋体"/>
      <w:sz w:val="24"/>
    </w:rPr>
  </w:style>
  <w:style w:type="character" w:customStyle="1" w:styleId="101">
    <w:name w:val="org_name"/>
    <w:basedOn w:val="50"/>
    <w:autoRedefine/>
    <w:qFormat/>
    <w:uiPriority w:val="99"/>
    <w:rPr>
      <w:rFonts w:cs="Times New Roman"/>
    </w:rPr>
  </w:style>
  <w:style w:type="character" w:customStyle="1" w:styleId="102">
    <w:name w:val="org_name2"/>
    <w:basedOn w:val="50"/>
    <w:autoRedefine/>
    <w:qFormat/>
    <w:uiPriority w:val="99"/>
    <w:rPr>
      <w:rFonts w:cs="Times New Roman"/>
    </w:rPr>
  </w:style>
  <w:style w:type="character" w:customStyle="1" w:styleId="103">
    <w:name w:val="tip10"/>
    <w:autoRedefine/>
    <w:qFormat/>
    <w:uiPriority w:val="99"/>
    <w:rPr>
      <w:vanish/>
      <w:color w:val="FF0000"/>
      <w:sz w:val="18"/>
    </w:rPr>
  </w:style>
  <w:style w:type="character" w:customStyle="1" w:styleId="104">
    <w:name w:val="orange"/>
    <w:autoRedefine/>
    <w:qFormat/>
    <w:uiPriority w:val="99"/>
    <w:rPr>
      <w:color w:val="3FB58F"/>
    </w:rPr>
  </w:style>
  <w:style w:type="character" w:customStyle="1" w:styleId="105">
    <w:name w:val="bds_more"/>
    <w:basedOn w:val="50"/>
    <w:autoRedefine/>
    <w:qFormat/>
    <w:uiPriority w:val="99"/>
    <w:rPr>
      <w:rFonts w:cs="Times New Roman"/>
    </w:rPr>
  </w:style>
  <w:style w:type="character" w:customStyle="1" w:styleId="106">
    <w:name w:val="t-tag"/>
    <w:autoRedefine/>
    <w:qFormat/>
    <w:uiPriority w:val="99"/>
    <w:rPr>
      <w:color w:val="FFFFFF"/>
      <w:sz w:val="18"/>
      <w:shd w:val="clear" w:color="auto" w:fill="FE8833"/>
    </w:rPr>
  </w:style>
  <w:style w:type="character" w:customStyle="1" w:styleId="107">
    <w:name w:val="top-icon"/>
    <w:basedOn w:val="50"/>
    <w:autoRedefine/>
    <w:qFormat/>
    <w:uiPriority w:val="99"/>
    <w:rPr>
      <w:rFonts w:cs="Times New Roman"/>
    </w:rPr>
  </w:style>
  <w:style w:type="character" w:customStyle="1" w:styleId="108">
    <w:name w:val="Body Text Char"/>
    <w:autoRedefine/>
    <w:qFormat/>
    <w:locked/>
    <w:uiPriority w:val="99"/>
    <w:rPr>
      <w:sz w:val="24"/>
    </w:rPr>
  </w:style>
  <w:style w:type="character" w:customStyle="1" w:styleId="109">
    <w:name w:val="no72"/>
    <w:basedOn w:val="50"/>
    <w:autoRedefine/>
    <w:qFormat/>
    <w:uiPriority w:val="99"/>
    <w:rPr>
      <w:rFonts w:cs="Times New Roman"/>
    </w:rPr>
  </w:style>
  <w:style w:type="character" w:customStyle="1" w:styleId="110">
    <w:name w:val="bds_nopic2"/>
    <w:basedOn w:val="50"/>
    <w:autoRedefine/>
    <w:qFormat/>
    <w:uiPriority w:val="99"/>
    <w:rPr>
      <w:rFonts w:cs="Times New Roman"/>
    </w:rPr>
  </w:style>
  <w:style w:type="character" w:customStyle="1" w:styleId="111">
    <w:name w:val="Document Map Char"/>
    <w:autoRedefine/>
    <w:qFormat/>
    <w:uiPriority w:val="99"/>
    <w:rPr>
      <w:rFonts w:ascii="宋体"/>
      <w:sz w:val="18"/>
    </w:rPr>
  </w:style>
  <w:style w:type="character" w:customStyle="1" w:styleId="112">
    <w:name w:val="no6"/>
    <w:basedOn w:val="50"/>
    <w:autoRedefine/>
    <w:qFormat/>
    <w:uiPriority w:val="99"/>
    <w:rPr>
      <w:rFonts w:cs="Times New Roman"/>
    </w:rPr>
  </w:style>
  <w:style w:type="character" w:customStyle="1" w:styleId="113">
    <w:name w:val="tip"/>
    <w:autoRedefine/>
    <w:qFormat/>
    <w:uiPriority w:val="99"/>
    <w:rPr>
      <w:vanish/>
      <w:color w:val="FF0000"/>
      <w:sz w:val="18"/>
    </w:rPr>
  </w:style>
  <w:style w:type="character" w:customStyle="1" w:styleId="114">
    <w:name w:val="apple-converted-space"/>
    <w:basedOn w:val="50"/>
    <w:autoRedefine/>
    <w:qFormat/>
    <w:uiPriority w:val="99"/>
    <w:rPr>
      <w:rFonts w:cs="Times New Roman"/>
    </w:rPr>
  </w:style>
  <w:style w:type="character" w:customStyle="1" w:styleId="115">
    <w:name w:val="bds_more2"/>
    <w:basedOn w:val="50"/>
    <w:autoRedefine/>
    <w:qFormat/>
    <w:uiPriority w:val="99"/>
    <w:rPr>
      <w:rFonts w:cs="Times New Roman"/>
    </w:rPr>
  </w:style>
  <w:style w:type="character" w:customStyle="1" w:styleId="116">
    <w:name w:val="my-class"/>
    <w:basedOn w:val="50"/>
    <w:autoRedefine/>
    <w:qFormat/>
    <w:uiPriority w:val="99"/>
    <w:rPr>
      <w:rFonts w:cs="Times New Roman"/>
    </w:rPr>
  </w:style>
  <w:style w:type="character" w:customStyle="1" w:styleId="117">
    <w:name w:val="ui-bz-bg-hover"/>
    <w:autoRedefine/>
    <w:qFormat/>
    <w:uiPriority w:val="99"/>
    <w:rPr>
      <w:shd w:val="clear" w:color="auto" w:fill="000000"/>
    </w:rPr>
  </w:style>
  <w:style w:type="character" w:customStyle="1" w:styleId="118">
    <w:name w:val="no7"/>
    <w:basedOn w:val="50"/>
    <w:autoRedefine/>
    <w:qFormat/>
    <w:uiPriority w:val="99"/>
    <w:rPr>
      <w:rFonts w:cs="Times New Roman"/>
    </w:rPr>
  </w:style>
  <w:style w:type="character" w:customStyle="1" w:styleId="119">
    <w:name w:val="正文缩进 Char"/>
    <w:link w:val="13"/>
    <w:autoRedefine/>
    <w:qFormat/>
    <w:locked/>
    <w:uiPriority w:val="0"/>
    <w:rPr>
      <w:rFonts w:ascii="Times New Roman" w:hAnsi="Times New Roman" w:eastAsia="宋体" w:cs="Times New Roman"/>
      <w:kern w:val="0"/>
      <w:sz w:val="24"/>
      <w:szCs w:val="20"/>
    </w:rPr>
  </w:style>
  <w:style w:type="character" w:customStyle="1" w:styleId="120">
    <w:name w:val="ico-jiang1"/>
    <w:basedOn w:val="50"/>
    <w:autoRedefine/>
    <w:qFormat/>
    <w:uiPriority w:val="99"/>
    <w:rPr>
      <w:rFonts w:cs="Times New Roman"/>
    </w:rPr>
  </w:style>
  <w:style w:type="character" w:customStyle="1" w:styleId="121">
    <w:name w:val="no62"/>
    <w:basedOn w:val="50"/>
    <w:autoRedefine/>
    <w:qFormat/>
    <w:uiPriority w:val="99"/>
    <w:rPr>
      <w:rFonts w:cs="Times New Roman"/>
    </w:rPr>
  </w:style>
  <w:style w:type="character" w:customStyle="1" w:styleId="122">
    <w:name w:val="orange5"/>
    <w:autoRedefine/>
    <w:qFormat/>
    <w:uiPriority w:val="99"/>
    <w:rPr>
      <w:color w:val="3FB58F"/>
    </w:rPr>
  </w:style>
  <w:style w:type="character" w:customStyle="1" w:styleId="123">
    <w:name w:val="bds_more4"/>
    <w:basedOn w:val="50"/>
    <w:autoRedefine/>
    <w:qFormat/>
    <w:uiPriority w:val="99"/>
    <w:rPr>
      <w:rFonts w:cs="Times New Roman"/>
    </w:rPr>
  </w:style>
  <w:style w:type="character" w:customStyle="1" w:styleId="124">
    <w:name w:val="no5"/>
    <w:basedOn w:val="50"/>
    <w:autoRedefine/>
    <w:qFormat/>
    <w:uiPriority w:val="99"/>
    <w:rPr>
      <w:rFonts w:cs="Times New Roman"/>
    </w:rPr>
  </w:style>
  <w:style w:type="character" w:customStyle="1" w:styleId="125">
    <w:name w:val="bds_more3"/>
    <w:basedOn w:val="50"/>
    <w:autoRedefine/>
    <w:qFormat/>
    <w:uiPriority w:val="99"/>
    <w:rPr>
      <w:rFonts w:cs="Times New Roman"/>
    </w:rPr>
  </w:style>
  <w:style w:type="character" w:customStyle="1" w:styleId="126">
    <w:name w:val="no42"/>
    <w:basedOn w:val="50"/>
    <w:autoRedefine/>
    <w:qFormat/>
    <w:uiPriority w:val="99"/>
    <w:rPr>
      <w:rFonts w:cs="Times New Roman"/>
    </w:rPr>
  </w:style>
  <w:style w:type="character" w:customStyle="1" w:styleId="127">
    <w:name w:val="bds_nopic1"/>
    <w:basedOn w:val="50"/>
    <w:autoRedefine/>
    <w:qFormat/>
    <w:uiPriority w:val="99"/>
    <w:rPr>
      <w:rFonts w:cs="Times New Roman"/>
    </w:rPr>
  </w:style>
  <w:style w:type="character" w:customStyle="1" w:styleId="128">
    <w:name w:val="my-notice1"/>
    <w:basedOn w:val="50"/>
    <w:autoRedefine/>
    <w:qFormat/>
    <w:uiPriority w:val="99"/>
    <w:rPr>
      <w:rFonts w:cs="Times New Roman"/>
    </w:rPr>
  </w:style>
  <w:style w:type="character" w:customStyle="1" w:styleId="129">
    <w:name w:val="orange6"/>
    <w:autoRedefine/>
    <w:qFormat/>
    <w:uiPriority w:val="99"/>
    <w:rPr>
      <w:color w:val="3FB58F"/>
    </w:rPr>
  </w:style>
  <w:style w:type="character" w:customStyle="1" w:styleId="130">
    <w:name w:val="Document Map Char2"/>
    <w:autoRedefine/>
    <w:qFormat/>
    <w:locked/>
    <w:uiPriority w:val="99"/>
    <w:rPr>
      <w:rFonts w:ascii="宋体"/>
      <w:sz w:val="18"/>
    </w:rPr>
  </w:style>
  <w:style w:type="character" w:customStyle="1" w:styleId="131">
    <w:name w:val="ico-jiang3"/>
    <w:basedOn w:val="50"/>
    <w:autoRedefine/>
    <w:qFormat/>
    <w:uiPriority w:val="99"/>
    <w:rPr>
      <w:rFonts w:cs="Times New Roman"/>
    </w:rPr>
  </w:style>
  <w:style w:type="character" w:customStyle="1" w:styleId="132">
    <w:name w:val="tip13"/>
    <w:autoRedefine/>
    <w:qFormat/>
    <w:uiPriority w:val="99"/>
    <w:rPr>
      <w:vanish/>
      <w:color w:val="FF0000"/>
      <w:sz w:val="18"/>
    </w:rPr>
  </w:style>
  <w:style w:type="character" w:customStyle="1" w:styleId="133">
    <w:name w:val="正文文本缩进 2 Char"/>
    <w:basedOn w:val="50"/>
    <w:link w:val="27"/>
    <w:autoRedefine/>
    <w:qFormat/>
    <w:uiPriority w:val="0"/>
    <w:rPr>
      <w:rFonts w:ascii="宋体" w:hAnsi="Calibri" w:eastAsia="宋体" w:cs="Times New Roman"/>
      <w:kern w:val="0"/>
      <w:sz w:val="24"/>
      <w:szCs w:val="20"/>
    </w:rPr>
  </w:style>
  <w:style w:type="character" w:customStyle="1" w:styleId="134">
    <w:name w:val="Body Text Indent 2 Char1"/>
    <w:basedOn w:val="50"/>
    <w:autoRedefine/>
    <w:semiHidden/>
    <w:qFormat/>
    <w:locked/>
    <w:uiPriority w:val="99"/>
    <w:rPr>
      <w:rFonts w:cs="Times New Roman"/>
    </w:rPr>
  </w:style>
  <w:style w:type="character" w:customStyle="1" w:styleId="135">
    <w:name w:val="正文文本缩进 3 Char"/>
    <w:basedOn w:val="50"/>
    <w:link w:val="37"/>
    <w:autoRedefine/>
    <w:qFormat/>
    <w:uiPriority w:val="0"/>
    <w:rPr>
      <w:rFonts w:ascii="宋体" w:hAnsi="Calibri" w:eastAsia="宋体" w:cs="Times New Roman"/>
      <w:kern w:val="0"/>
      <w:sz w:val="20"/>
      <w:szCs w:val="20"/>
    </w:rPr>
  </w:style>
  <w:style w:type="character" w:customStyle="1" w:styleId="136">
    <w:name w:val="Body Text Indent 3 Char1"/>
    <w:basedOn w:val="50"/>
    <w:autoRedefine/>
    <w:semiHidden/>
    <w:qFormat/>
    <w:locked/>
    <w:uiPriority w:val="99"/>
    <w:rPr>
      <w:rFonts w:cs="Times New Roman"/>
      <w:sz w:val="16"/>
      <w:szCs w:val="16"/>
    </w:rPr>
  </w:style>
  <w:style w:type="character" w:customStyle="1" w:styleId="137">
    <w:name w:val="文档结构图 Char"/>
    <w:basedOn w:val="50"/>
    <w:link w:val="15"/>
    <w:autoRedefine/>
    <w:qFormat/>
    <w:uiPriority w:val="99"/>
    <w:rPr>
      <w:rFonts w:ascii="宋体" w:hAnsi="Calibri" w:eastAsia="宋体" w:cs="Times New Roman"/>
      <w:kern w:val="0"/>
      <w:sz w:val="18"/>
      <w:szCs w:val="20"/>
    </w:rPr>
  </w:style>
  <w:style w:type="character" w:customStyle="1" w:styleId="138">
    <w:name w:val="Document Map Char3"/>
    <w:basedOn w:val="50"/>
    <w:autoRedefine/>
    <w:semiHidden/>
    <w:qFormat/>
    <w:locked/>
    <w:uiPriority w:val="99"/>
    <w:rPr>
      <w:rFonts w:ascii="Times New Roman" w:hAnsi="Times New Roman" w:cs="Times New Roman"/>
      <w:sz w:val="2"/>
    </w:rPr>
  </w:style>
  <w:style w:type="paragraph" w:customStyle="1" w:styleId="139">
    <w:name w:val="_Style 1"/>
    <w:basedOn w:val="1"/>
    <w:autoRedefine/>
    <w:qFormat/>
    <w:uiPriority w:val="99"/>
    <w:pPr>
      <w:ind w:firstLine="420" w:firstLineChars="200"/>
    </w:pPr>
    <w:rPr>
      <w:rFonts w:ascii="Times New Roman" w:hAnsi="Times New Roman" w:eastAsia="宋体" w:cs="Times New Roman"/>
      <w:szCs w:val="24"/>
    </w:rPr>
  </w:style>
  <w:style w:type="character" w:customStyle="1" w:styleId="140">
    <w:name w:val="正文文本 Char"/>
    <w:basedOn w:val="50"/>
    <w:link w:val="18"/>
    <w:autoRedefine/>
    <w:qFormat/>
    <w:uiPriority w:val="0"/>
    <w:rPr>
      <w:rFonts w:ascii="Calibri" w:hAnsi="Calibri" w:eastAsia="宋体" w:cs="Times New Roman"/>
      <w:kern w:val="0"/>
      <w:sz w:val="24"/>
      <w:szCs w:val="20"/>
    </w:rPr>
  </w:style>
  <w:style w:type="character" w:customStyle="1" w:styleId="141">
    <w:name w:val="Body Text Char1"/>
    <w:basedOn w:val="50"/>
    <w:autoRedefine/>
    <w:semiHidden/>
    <w:qFormat/>
    <w:locked/>
    <w:uiPriority w:val="99"/>
    <w:rPr>
      <w:rFonts w:cs="Times New Roman"/>
    </w:rPr>
  </w:style>
  <w:style w:type="paragraph" w:customStyle="1" w:styleId="142">
    <w:name w:val="_Style 21"/>
    <w:basedOn w:val="1"/>
    <w:autoRedefine/>
    <w:qFormat/>
    <w:uiPriority w:val="99"/>
    <w:rPr>
      <w:rFonts w:ascii="Times New Roman" w:hAnsi="Times New Roman" w:eastAsia="宋体" w:cs="Times New Roman"/>
      <w:szCs w:val="20"/>
    </w:rPr>
  </w:style>
  <w:style w:type="paragraph" w:customStyle="1" w:styleId="143">
    <w:name w:val="p0"/>
    <w:basedOn w:val="1"/>
    <w:autoRedefine/>
    <w:qFormat/>
    <w:uiPriority w:val="99"/>
    <w:pPr>
      <w:widowControl/>
    </w:pPr>
    <w:rPr>
      <w:rFonts w:ascii="Times New Roman" w:hAnsi="Times New Roman" w:eastAsia="宋体" w:cs="Times New Roman"/>
      <w:kern w:val="0"/>
      <w:szCs w:val="21"/>
    </w:rPr>
  </w:style>
  <w:style w:type="paragraph" w:customStyle="1" w:styleId="144">
    <w:name w:val="xl37"/>
    <w:basedOn w:val="1"/>
    <w:autoRedefine/>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45">
    <w:name w:val="xl25"/>
    <w:basedOn w:val="1"/>
    <w:autoRedefine/>
    <w:qFormat/>
    <w:uiPriority w:val="0"/>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6">
    <w:name w:val="样式 样式 样式 样式 内容 + 首行缩进:  2 字符18 + 首行缩进:  5.71 厘米 + 首行缩进:  8.04 厘米..."/>
    <w:basedOn w:val="1"/>
    <w:autoRedefine/>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7">
    <w:name w:val="无间隔11"/>
    <w:autoRedefine/>
    <w:qFormat/>
    <w:uiPriority w:val="0"/>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8">
    <w:name w:val="列出段落11"/>
    <w:basedOn w:val="1"/>
    <w:autoRedefine/>
    <w:qFormat/>
    <w:uiPriority w:val="99"/>
    <w:pPr>
      <w:ind w:firstLine="420" w:firstLineChars="200"/>
    </w:pPr>
    <w:rPr>
      <w:rFonts w:ascii="Times New Roman" w:hAnsi="Times New Roman" w:eastAsia="宋体" w:cs="Times New Roman"/>
      <w:szCs w:val="24"/>
    </w:rPr>
  </w:style>
  <w:style w:type="paragraph" w:customStyle="1" w:styleId="149">
    <w:name w:val="_Style 2"/>
    <w:basedOn w:val="1"/>
    <w:next w:val="1"/>
    <w:autoRedefine/>
    <w:qFormat/>
    <w:uiPriority w:val="99"/>
    <w:pPr>
      <w:ind w:firstLine="420" w:firstLineChars="200"/>
    </w:pPr>
    <w:rPr>
      <w:rFonts w:ascii="Calibri" w:hAnsi="Calibri" w:eastAsia="宋体" w:cs="Times New Roman"/>
    </w:rPr>
  </w:style>
  <w:style w:type="paragraph" w:customStyle="1" w:styleId="150">
    <w:name w:val="txt14"/>
    <w:basedOn w:val="1"/>
    <w:autoRedefine/>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51">
    <w:name w:val="_Style 11"/>
    <w:basedOn w:val="1"/>
    <w:autoRedefine/>
    <w:qFormat/>
    <w:uiPriority w:val="0"/>
    <w:rPr>
      <w:rFonts w:ascii="Times New Roman" w:hAnsi="Times New Roman" w:eastAsia="宋体" w:cs="Times New Roman"/>
      <w:szCs w:val="24"/>
    </w:rPr>
  </w:style>
  <w:style w:type="paragraph" w:customStyle="1" w:styleId="152">
    <w:name w:val="Char"/>
    <w:basedOn w:val="1"/>
    <w:autoRedefine/>
    <w:qFormat/>
    <w:uiPriority w:val="0"/>
    <w:rPr>
      <w:rFonts w:ascii="Times New Roman" w:hAnsi="Times New Roman" w:eastAsia="宋体" w:cs="Times New Roman"/>
      <w:szCs w:val="21"/>
    </w:rPr>
  </w:style>
  <w:style w:type="paragraph" w:customStyle="1" w:styleId="153">
    <w:name w:val="列出段落12"/>
    <w:basedOn w:val="1"/>
    <w:autoRedefine/>
    <w:qFormat/>
    <w:uiPriority w:val="0"/>
    <w:pPr>
      <w:ind w:firstLine="420" w:firstLineChars="200"/>
    </w:pPr>
    <w:rPr>
      <w:rFonts w:ascii="Times New Roman" w:hAnsi="Times New Roman" w:eastAsia="宋体" w:cs="Times New Roman"/>
      <w:szCs w:val="24"/>
    </w:rPr>
  </w:style>
  <w:style w:type="paragraph" w:customStyle="1" w:styleId="154">
    <w:name w:val="列出段落2"/>
    <w:basedOn w:val="1"/>
    <w:autoRedefine/>
    <w:qFormat/>
    <w:uiPriority w:val="99"/>
    <w:pPr>
      <w:ind w:firstLine="420" w:firstLineChars="200"/>
    </w:pPr>
    <w:rPr>
      <w:rFonts w:ascii="Times New Roman" w:hAnsi="Times New Roman" w:eastAsia="宋体" w:cs="Times New Roman"/>
      <w:szCs w:val="24"/>
    </w:rPr>
  </w:style>
  <w:style w:type="paragraph" w:customStyle="1" w:styleId="155">
    <w:name w:val="TOC 标题1"/>
    <w:basedOn w:val="156"/>
    <w:autoRedefine/>
    <w:qFormat/>
    <w:uiPriority w:val="0"/>
    <w:pPr>
      <w:keepLines/>
      <w:spacing w:before="480" w:after="0" w:line="276" w:lineRule="auto"/>
      <w:jc w:val="left"/>
      <w:outlineLvl w:val="9"/>
    </w:pPr>
    <w:rPr>
      <w:rFonts w:ascii="Cambria" w:hAnsi="Cambria" w:cs="Times New Roman"/>
      <w:color w:val="365F91"/>
      <w:kern w:val="0"/>
      <w:sz w:val="28"/>
      <w:szCs w:val="28"/>
    </w:rPr>
  </w:style>
  <w:style w:type="paragraph" w:customStyle="1" w:styleId="156">
    <w:name w:val="标题 11"/>
    <w:basedOn w:val="1"/>
    <w:qFormat/>
    <w:uiPriority w:val="0"/>
    <w:pPr>
      <w:keepNext/>
      <w:keepLines/>
      <w:spacing w:before="340" w:beforeLines="0" w:after="330" w:afterLines="0" w:line="576" w:lineRule="auto"/>
      <w:outlineLvl w:val="0"/>
    </w:pPr>
    <w:rPr>
      <w:rFonts w:ascii="Times New Roman" w:hAnsi="Times New Roman" w:eastAsia="宋体"/>
      <w:b/>
      <w:bCs/>
      <w:kern w:val="44"/>
      <w:sz w:val="44"/>
      <w:szCs w:val="44"/>
    </w:rPr>
  </w:style>
  <w:style w:type="paragraph" w:customStyle="1" w:styleId="157">
    <w:name w:val="正文文本缩进 31"/>
    <w:basedOn w:val="1"/>
    <w:autoRedefine/>
    <w:qFormat/>
    <w:uiPriority w:val="0"/>
    <w:pPr>
      <w:spacing w:line="440" w:lineRule="exact"/>
      <w:ind w:firstLine="412" w:firstLineChars="200"/>
    </w:pPr>
    <w:rPr>
      <w:rFonts w:ascii="宋体" w:hAnsi="宋体" w:eastAsia="宋体" w:cs="Times New Roman"/>
      <w:kern w:val="0"/>
      <w:sz w:val="20"/>
      <w:szCs w:val="20"/>
    </w:rPr>
  </w:style>
  <w:style w:type="character" w:customStyle="1" w:styleId="158">
    <w:name w:val="font41"/>
    <w:autoRedefine/>
    <w:qFormat/>
    <w:uiPriority w:val="99"/>
    <w:rPr>
      <w:rFonts w:hint="eastAsia" w:ascii="宋体" w:hAnsi="宋体" w:eastAsia="宋体" w:cs="宋体"/>
      <w:b/>
      <w:color w:val="000000"/>
      <w:sz w:val="22"/>
      <w:szCs w:val="22"/>
      <w:u w:val="none"/>
    </w:rPr>
  </w:style>
  <w:style w:type="character" w:customStyle="1" w:styleId="159">
    <w:name w:val="font81"/>
    <w:autoRedefine/>
    <w:qFormat/>
    <w:uiPriority w:val="99"/>
    <w:rPr>
      <w:rFonts w:hint="eastAsia" w:ascii="宋体" w:hAnsi="宋体" w:eastAsia="宋体" w:cs="宋体"/>
      <w:b/>
      <w:color w:val="000000"/>
      <w:sz w:val="22"/>
      <w:szCs w:val="22"/>
      <w:u w:val="none"/>
    </w:rPr>
  </w:style>
  <w:style w:type="character" w:customStyle="1" w:styleId="160">
    <w:name w:val="font21"/>
    <w:autoRedefine/>
    <w:qFormat/>
    <w:uiPriority w:val="0"/>
    <w:rPr>
      <w:rFonts w:hint="eastAsia" w:ascii="宋体" w:hAnsi="宋体" w:eastAsia="宋体" w:cs="宋体"/>
      <w:color w:val="000000"/>
      <w:sz w:val="18"/>
      <w:szCs w:val="18"/>
      <w:u w:val="none"/>
    </w:rPr>
  </w:style>
  <w:style w:type="character" w:customStyle="1" w:styleId="161">
    <w:name w:val="日期 Char"/>
    <w:link w:val="26"/>
    <w:autoRedefine/>
    <w:qFormat/>
    <w:uiPriority w:val="0"/>
    <w:rPr>
      <w:szCs w:val="21"/>
    </w:rPr>
  </w:style>
  <w:style w:type="character" w:customStyle="1" w:styleId="162">
    <w:name w:val="font01"/>
    <w:autoRedefine/>
    <w:qFormat/>
    <w:uiPriority w:val="99"/>
    <w:rPr>
      <w:rFonts w:hint="eastAsia" w:ascii="宋体" w:hAnsi="宋体" w:eastAsia="宋体" w:cs="宋体"/>
      <w:color w:val="000000"/>
      <w:sz w:val="22"/>
      <w:szCs w:val="22"/>
      <w:u w:val="none"/>
    </w:rPr>
  </w:style>
  <w:style w:type="character" w:customStyle="1" w:styleId="163">
    <w:name w:val="Char Char1"/>
    <w:autoRedefine/>
    <w:qFormat/>
    <w:uiPriority w:val="0"/>
    <w:rPr>
      <w:rFonts w:eastAsia="宋体"/>
      <w:kern w:val="2"/>
      <w:sz w:val="18"/>
      <w:szCs w:val="18"/>
      <w:lang w:val="en-US" w:eastAsia="zh-CN" w:bidi="ar-SA"/>
    </w:rPr>
  </w:style>
  <w:style w:type="character" w:customStyle="1" w:styleId="164">
    <w:name w:val="标题 Char"/>
    <w:link w:val="46"/>
    <w:autoRedefine/>
    <w:qFormat/>
    <w:uiPriority w:val="0"/>
    <w:rPr>
      <w:rFonts w:ascii="Cambria" w:hAnsi="Cambria" w:cs="Times New Roman"/>
      <w:b/>
      <w:bCs/>
      <w:sz w:val="32"/>
      <w:szCs w:val="32"/>
    </w:rPr>
  </w:style>
  <w:style w:type="character" w:customStyle="1" w:styleId="165">
    <w:name w:val="hei141"/>
    <w:autoRedefine/>
    <w:qFormat/>
    <w:uiPriority w:val="0"/>
    <w:rPr>
      <w:rFonts w:hint="eastAsia" w:ascii="宋体" w:hAnsi="宋体" w:eastAsia="宋体"/>
      <w:color w:val="000000"/>
      <w:sz w:val="19"/>
      <w:szCs w:val="19"/>
      <w:u w:val="none"/>
    </w:rPr>
  </w:style>
  <w:style w:type="character" w:customStyle="1" w:styleId="166">
    <w:name w:val="批注文字 Char"/>
    <w:link w:val="16"/>
    <w:autoRedefine/>
    <w:qFormat/>
    <w:uiPriority w:val="0"/>
  </w:style>
  <w:style w:type="character" w:customStyle="1" w:styleId="167">
    <w:name w:val="apple-style-span"/>
    <w:basedOn w:val="50"/>
    <w:autoRedefine/>
    <w:qFormat/>
    <w:uiPriority w:val="0"/>
  </w:style>
  <w:style w:type="character" w:customStyle="1" w:styleId="168">
    <w:name w:val="param-value"/>
    <w:autoRedefine/>
    <w:qFormat/>
    <w:uiPriority w:val="99"/>
    <w:rPr>
      <w:rFonts w:cs="Times New Roman"/>
    </w:rPr>
  </w:style>
  <w:style w:type="character" w:customStyle="1" w:styleId="169">
    <w:name w:val="font61"/>
    <w:autoRedefine/>
    <w:qFormat/>
    <w:uiPriority w:val="0"/>
    <w:rPr>
      <w:rFonts w:hint="eastAsia" w:ascii="宋体" w:hAnsi="宋体" w:eastAsia="宋体" w:cs="宋体"/>
      <w:color w:val="000000"/>
      <w:sz w:val="22"/>
      <w:szCs w:val="22"/>
      <w:u w:val="none"/>
    </w:rPr>
  </w:style>
  <w:style w:type="character" w:customStyle="1" w:styleId="170">
    <w:name w:val="font11"/>
    <w:autoRedefine/>
    <w:qFormat/>
    <w:uiPriority w:val="0"/>
    <w:rPr>
      <w:rFonts w:hint="eastAsia" w:ascii="宋体" w:hAnsi="宋体" w:eastAsia="宋体" w:cs="宋体"/>
      <w:color w:val="FF0000"/>
      <w:sz w:val="22"/>
      <w:szCs w:val="22"/>
      <w:u w:val="none"/>
    </w:rPr>
  </w:style>
  <w:style w:type="character" w:customStyle="1" w:styleId="171">
    <w:name w:val="批注主题 Char"/>
    <w:link w:val="47"/>
    <w:autoRedefine/>
    <w:qFormat/>
    <w:uiPriority w:val="0"/>
    <w:rPr>
      <w:b/>
      <w:bCs/>
    </w:rPr>
  </w:style>
  <w:style w:type="character" w:customStyle="1" w:styleId="172">
    <w:name w:val="批注文字 Char1"/>
    <w:basedOn w:val="50"/>
    <w:autoRedefine/>
    <w:semiHidden/>
    <w:qFormat/>
    <w:uiPriority w:val="99"/>
  </w:style>
  <w:style w:type="paragraph" w:customStyle="1" w:styleId="173">
    <w:name w:val="内文"/>
    <w:basedOn w:val="1"/>
    <w:autoRedefine/>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74">
    <w:name w:val="批注主题 Char1"/>
    <w:basedOn w:val="172"/>
    <w:autoRedefine/>
    <w:qFormat/>
    <w:uiPriority w:val="0"/>
    <w:rPr>
      <w:b/>
      <w:bCs/>
    </w:rPr>
  </w:style>
  <w:style w:type="paragraph" w:customStyle="1" w:styleId="175">
    <w:name w:val="reader-word-layer reader-word-s1-17"/>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6">
    <w:name w:val="日期 Char1"/>
    <w:basedOn w:val="50"/>
    <w:autoRedefine/>
    <w:qFormat/>
    <w:uiPriority w:val="0"/>
  </w:style>
  <w:style w:type="paragraph" w:customStyle="1" w:styleId="177">
    <w:name w:val="reader-word-layer reader-word-s1-14"/>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8">
    <w:name w:val="脚注文本 Char"/>
    <w:basedOn w:val="50"/>
    <w:link w:val="35"/>
    <w:autoRedefine/>
    <w:semiHidden/>
    <w:qFormat/>
    <w:uiPriority w:val="0"/>
    <w:rPr>
      <w:rFonts w:ascii="Times New Roman" w:hAnsi="Times New Roman" w:eastAsia="宋体" w:cs="Times New Roman"/>
      <w:sz w:val="18"/>
      <w:szCs w:val="18"/>
    </w:rPr>
  </w:style>
  <w:style w:type="paragraph" w:customStyle="1" w:styleId="179">
    <w:name w:val="reader-word-layer reader-word-s1-16"/>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0">
    <w:name w:val="reader-word-layer reader-word-s1-15"/>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81">
    <w:name w:val="标题 Char1"/>
    <w:basedOn w:val="50"/>
    <w:autoRedefine/>
    <w:qFormat/>
    <w:uiPriority w:val="10"/>
    <w:rPr>
      <w:rFonts w:eastAsia="宋体" w:asciiTheme="majorHAnsi" w:hAnsiTheme="majorHAnsi" w:cstheme="majorBidi"/>
      <w:b/>
      <w:bCs/>
      <w:sz w:val="32"/>
      <w:szCs w:val="32"/>
    </w:rPr>
  </w:style>
  <w:style w:type="paragraph" w:customStyle="1" w:styleId="182">
    <w:name w:val="本文正文"/>
    <w:basedOn w:val="1"/>
    <w:autoRedefine/>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83">
    <w:name w:val="reader-word-layer reader-word-s1-18"/>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Char Char Char1 Char Char Char Char"/>
    <w:basedOn w:val="1"/>
    <w:autoRedefine/>
    <w:qFormat/>
    <w:uiPriority w:val="99"/>
    <w:pPr>
      <w:spacing w:line="300" w:lineRule="auto"/>
    </w:pPr>
    <w:rPr>
      <w:rFonts w:ascii="Tahoma" w:hAnsi="Tahoma" w:eastAsia="宋体" w:cs="Times New Roman"/>
      <w:sz w:val="24"/>
      <w:szCs w:val="24"/>
    </w:rPr>
  </w:style>
  <w:style w:type="paragraph" w:customStyle="1" w:styleId="185">
    <w:name w:val="Default"/>
    <w:basedOn w:val="46"/>
    <w:autoRedefine/>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customStyle="1" w:styleId="186">
    <w:name w:val="List Paragraph1"/>
    <w:basedOn w:val="1"/>
    <w:autoRedefine/>
    <w:qFormat/>
    <w:uiPriority w:val="0"/>
    <w:pPr>
      <w:ind w:firstLine="420" w:firstLineChars="200"/>
    </w:pPr>
    <w:rPr>
      <w:rFonts w:ascii="Times New Roman" w:hAnsi="Times New Roman" w:eastAsia="宋体" w:cs="Times New Roman"/>
      <w:szCs w:val="24"/>
    </w:rPr>
  </w:style>
  <w:style w:type="paragraph" w:customStyle="1" w:styleId="187">
    <w:name w:val="reader-word-layer reader-word-s1-11"/>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8">
    <w:name w:val="reader-word-layer reader-word-s1-1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9">
    <w:name w:val="reader-word-layer reader-word-s1-10"/>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0">
    <w:name w:val="Char Char4"/>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reader-word-layer"/>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2">
    <w:name w:val="Char Char4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3">
    <w:name w:val="列出段落3"/>
    <w:basedOn w:val="1"/>
    <w:autoRedefine/>
    <w:qFormat/>
    <w:uiPriority w:val="0"/>
    <w:pPr>
      <w:ind w:firstLine="420" w:firstLineChars="200"/>
    </w:pPr>
    <w:rPr>
      <w:rFonts w:ascii="Times New Roman" w:hAnsi="Times New Roman" w:eastAsia="宋体" w:cs="Times New Roman"/>
      <w:szCs w:val="24"/>
    </w:rPr>
  </w:style>
  <w:style w:type="character" w:customStyle="1" w:styleId="194">
    <w:name w:val="Char Char12"/>
    <w:autoRedefine/>
    <w:qFormat/>
    <w:uiPriority w:val="0"/>
    <w:rPr>
      <w:rFonts w:eastAsia="宋体"/>
      <w:kern w:val="2"/>
      <w:sz w:val="18"/>
      <w:szCs w:val="18"/>
      <w:lang w:val="en-US" w:eastAsia="zh-CN" w:bidi="ar-SA"/>
    </w:rPr>
  </w:style>
  <w:style w:type="paragraph" w:customStyle="1" w:styleId="195">
    <w:name w:val="Char Char4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6">
    <w:name w:val="Char Char4 Char Char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7">
    <w:name w:val="列出段落4"/>
    <w:basedOn w:val="1"/>
    <w:autoRedefine/>
    <w:qFormat/>
    <w:uiPriority w:val="0"/>
    <w:pPr>
      <w:ind w:firstLine="420" w:firstLineChars="200"/>
    </w:pPr>
    <w:rPr>
      <w:rFonts w:ascii="Times New Roman" w:hAnsi="Times New Roman" w:eastAsia="宋体" w:cs="Times New Roman"/>
      <w:szCs w:val="24"/>
    </w:rPr>
  </w:style>
  <w:style w:type="character" w:customStyle="1" w:styleId="198">
    <w:name w:val="Char Char11"/>
    <w:autoRedefine/>
    <w:qFormat/>
    <w:uiPriority w:val="0"/>
    <w:rPr>
      <w:rFonts w:eastAsia="宋体"/>
      <w:kern w:val="2"/>
      <w:sz w:val="18"/>
      <w:szCs w:val="18"/>
      <w:lang w:val="en-US" w:eastAsia="zh-CN" w:bidi="ar-SA"/>
    </w:rPr>
  </w:style>
  <w:style w:type="paragraph" w:customStyle="1" w:styleId="199">
    <w:name w:val="Char Char4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0">
    <w:name w:val="Char Char4 Char Char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1">
    <w:name w:val="列出段落5"/>
    <w:basedOn w:val="1"/>
    <w:autoRedefine/>
    <w:qFormat/>
    <w:uiPriority w:val="0"/>
    <w:pPr>
      <w:ind w:firstLine="420" w:firstLineChars="200"/>
    </w:pPr>
    <w:rPr>
      <w:rFonts w:ascii="Times New Roman" w:hAnsi="Times New Roman" w:eastAsia="宋体" w:cs="Times New Roman"/>
      <w:szCs w:val="24"/>
    </w:rPr>
  </w:style>
  <w:style w:type="character" w:customStyle="1" w:styleId="202">
    <w:name w:val="bookmark-item"/>
    <w:basedOn w:val="50"/>
    <w:autoRedefine/>
    <w:qFormat/>
    <w:uiPriority w:val="0"/>
  </w:style>
  <w:style w:type="paragraph" w:styleId="203">
    <w:name w:val="List Paragraph"/>
    <w:basedOn w:val="1"/>
    <w:autoRedefine/>
    <w:qFormat/>
    <w:uiPriority w:val="34"/>
    <w:pPr>
      <w:ind w:firstLine="420" w:firstLineChars="200"/>
    </w:pPr>
    <w:rPr>
      <w:rFonts w:ascii="Calibri" w:hAnsi="Calibri" w:eastAsia="宋体" w:cs="Times New Roman"/>
    </w:rPr>
  </w:style>
  <w:style w:type="character" w:customStyle="1" w:styleId="204">
    <w:name w:val="纯文本 Char"/>
    <w:basedOn w:val="50"/>
    <w:link w:val="24"/>
    <w:autoRedefine/>
    <w:qFormat/>
    <w:uiPriority w:val="0"/>
    <w:rPr>
      <w:rFonts w:ascii="宋体" w:hAnsi="Courier New" w:eastAsia="宋体" w:cs="宋体"/>
      <w:kern w:val="2"/>
      <w:sz w:val="21"/>
      <w:szCs w:val="21"/>
    </w:rPr>
  </w:style>
  <w:style w:type="paragraph" w:customStyle="1" w:styleId="205">
    <w:name w:val="0"/>
    <w:basedOn w:val="1"/>
    <w:autoRedefine/>
    <w:qFormat/>
    <w:uiPriority w:val="0"/>
    <w:pPr>
      <w:widowControl/>
      <w:snapToGrid w:val="0"/>
      <w:jc w:val="left"/>
    </w:pPr>
    <w:rPr>
      <w:rFonts w:ascii="Times New Roman" w:hAnsi="Times New Roman" w:eastAsia="宋体" w:cs="Times New Roman"/>
      <w:kern w:val="0"/>
      <w:sz w:val="20"/>
      <w:szCs w:val="20"/>
    </w:rPr>
  </w:style>
  <w:style w:type="character" w:customStyle="1" w:styleId="206">
    <w:name w:val="标题 5 Char"/>
    <w:basedOn w:val="50"/>
    <w:link w:val="6"/>
    <w:autoRedefine/>
    <w:qFormat/>
    <w:uiPriority w:val="0"/>
    <w:rPr>
      <w:rFonts w:eastAsia="Arial Unicode MS"/>
      <w:b/>
      <w:sz w:val="28"/>
    </w:rPr>
  </w:style>
  <w:style w:type="character" w:customStyle="1" w:styleId="207">
    <w:name w:val="标题 6 Char"/>
    <w:basedOn w:val="50"/>
    <w:link w:val="7"/>
    <w:autoRedefine/>
    <w:qFormat/>
    <w:uiPriority w:val="0"/>
    <w:rPr>
      <w:rFonts w:ascii="Arial" w:hAnsi="Arial" w:eastAsia="黑体"/>
      <w:b/>
      <w:sz w:val="24"/>
    </w:rPr>
  </w:style>
  <w:style w:type="character" w:customStyle="1" w:styleId="208">
    <w:name w:val="标题 7 Char"/>
    <w:basedOn w:val="50"/>
    <w:link w:val="8"/>
    <w:autoRedefine/>
    <w:qFormat/>
    <w:uiPriority w:val="0"/>
    <w:rPr>
      <w:b/>
      <w:sz w:val="24"/>
    </w:rPr>
  </w:style>
  <w:style w:type="character" w:customStyle="1" w:styleId="209">
    <w:name w:val="标题 8 Char"/>
    <w:basedOn w:val="50"/>
    <w:link w:val="9"/>
    <w:autoRedefine/>
    <w:qFormat/>
    <w:uiPriority w:val="0"/>
    <w:rPr>
      <w:rFonts w:ascii="Arial" w:hAnsi="Arial" w:eastAsia="黑体"/>
      <w:sz w:val="24"/>
    </w:rPr>
  </w:style>
  <w:style w:type="character" w:customStyle="1" w:styleId="210">
    <w:name w:val="标题 9 Char"/>
    <w:basedOn w:val="50"/>
    <w:link w:val="10"/>
    <w:autoRedefine/>
    <w:qFormat/>
    <w:uiPriority w:val="0"/>
    <w:rPr>
      <w:rFonts w:ascii="Arial" w:hAnsi="Arial" w:eastAsia="黑体"/>
      <w:sz w:val="21"/>
    </w:rPr>
  </w:style>
  <w:style w:type="character" w:customStyle="1" w:styleId="211">
    <w:name w:val="正文文本 3 Char"/>
    <w:basedOn w:val="50"/>
    <w:link w:val="17"/>
    <w:autoRedefine/>
    <w:qFormat/>
    <w:uiPriority w:val="0"/>
    <w:rPr>
      <w:color w:val="000000"/>
      <w:kern w:val="2"/>
      <w:sz w:val="21"/>
    </w:rPr>
  </w:style>
  <w:style w:type="character" w:customStyle="1" w:styleId="212">
    <w:name w:val="副标题 Char"/>
    <w:basedOn w:val="50"/>
    <w:link w:val="33"/>
    <w:autoRedefine/>
    <w:qFormat/>
    <w:uiPriority w:val="0"/>
    <w:rPr>
      <w:rFonts w:ascii="Cambria" w:hAnsi="Cambria"/>
      <w:b/>
      <w:bCs/>
      <w:kern w:val="28"/>
      <w:sz w:val="32"/>
      <w:szCs w:val="32"/>
    </w:rPr>
  </w:style>
  <w:style w:type="character" w:customStyle="1" w:styleId="213">
    <w:name w:val="正文文本 2 Char"/>
    <w:basedOn w:val="50"/>
    <w:link w:val="41"/>
    <w:autoRedefine/>
    <w:qFormat/>
    <w:uiPriority w:val="0"/>
    <w:rPr>
      <w:rFonts w:ascii="宋体" w:hAnsi="宋体"/>
      <w:kern w:val="2"/>
      <w:sz w:val="18"/>
    </w:rPr>
  </w:style>
  <w:style w:type="character" w:customStyle="1" w:styleId="214">
    <w:name w:val="HTML 预设格式 Char"/>
    <w:basedOn w:val="50"/>
    <w:link w:val="43"/>
    <w:autoRedefine/>
    <w:qFormat/>
    <w:uiPriority w:val="0"/>
    <w:rPr>
      <w:rFonts w:ascii="Arial" w:hAnsi="Arial" w:cs="Arial"/>
      <w:sz w:val="24"/>
      <w:szCs w:val="24"/>
    </w:rPr>
  </w:style>
  <w:style w:type="character" w:customStyle="1" w:styleId="215">
    <w:name w:val="标题 4 Char"/>
    <w:basedOn w:val="50"/>
    <w:link w:val="5"/>
    <w:autoRedefine/>
    <w:qFormat/>
    <w:uiPriority w:val="0"/>
    <w:rPr>
      <w:rFonts w:asciiTheme="majorHAnsi" w:hAnsiTheme="majorHAnsi" w:eastAsiaTheme="majorEastAsia" w:cstheme="majorBidi"/>
      <w:b/>
      <w:bCs/>
      <w:kern w:val="2"/>
      <w:sz w:val="21"/>
      <w:szCs w:val="28"/>
    </w:rPr>
  </w:style>
  <w:style w:type="paragraph" w:customStyle="1" w:styleId="216">
    <w:name w:val="Char2"/>
    <w:basedOn w:val="1"/>
    <w:autoRedefine/>
    <w:qFormat/>
    <w:uiPriority w:val="0"/>
    <w:pPr>
      <w:tabs>
        <w:tab w:val="left" w:pos="360"/>
      </w:tabs>
      <w:snapToGrid w:val="0"/>
      <w:spacing w:line="360" w:lineRule="auto"/>
    </w:pPr>
    <w:rPr>
      <w:rFonts w:ascii="Times New Roman" w:hAnsi="Times New Roman" w:eastAsia="仿宋_GB2312" w:cs="宋体"/>
      <w:sz w:val="24"/>
      <w:szCs w:val="24"/>
    </w:rPr>
  </w:style>
  <w:style w:type="character" w:customStyle="1" w:styleId="217">
    <w:name w:val="纯文本 Char1"/>
    <w:basedOn w:val="50"/>
    <w:autoRedefine/>
    <w:semiHidden/>
    <w:qFormat/>
    <w:uiPriority w:val="99"/>
    <w:rPr>
      <w:rFonts w:ascii="宋体" w:hAnsi="Courier New" w:cs="Courier New"/>
      <w:szCs w:val="21"/>
    </w:rPr>
  </w:style>
  <w:style w:type="paragraph" w:customStyle="1" w:styleId="218">
    <w:name w:val="样式 标题 2 + Times New Roman 四号 非加粗 段前: 5 磅 段后: 0 磅 行距: 固定值 20..."/>
    <w:basedOn w:val="3"/>
    <w:autoRedefine/>
    <w:qFormat/>
    <w:uiPriority w:val="0"/>
    <w:pPr>
      <w:keepLines/>
      <w:widowControl w:val="0"/>
      <w:spacing w:before="100" w:after="0" w:line="400" w:lineRule="exact"/>
    </w:pPr>
    <w:rPr>
      <w:rFonts w:ascii="Times New Roman" w:hAnsi="Times New Roman" w:eastAsia="黑体" w:cs="宋体"/>
      <w:b w:val="0"/>
      <w:bCs w:val="0"/>
      <w:color w:val="auto"/>
      <w:kern w:val="2"/>
      <w:sz w:val="28"/>
      <w:szCs w:val="20"/>
    </w:rPr>
  </w:style>
  <w:style w:type="paragraph" w:customStyle="1" w:styleId="219">
    <w:name w:val="?y??"/>
    <w:autoRedefine/>
    <w:qFormat/>
    <w:uiPriority w:val="0"/>
    <w:pPr>
      <w:widowControl w:val="0"/>
      <w:overflowPunct w:val="0"/>
      <w:autoSpaceDE w:val="0"/>
      <w:autoSpaceDN w:val="0"/>
      <w:adjustRightInd w:val="0"/>
      <w:spacing w:line="357" w:lineRule="atLeast"/>
      <w:jc w:val="both"/>
      <w:textAlignment w:val="baseline"/>
    </w:pPr>
    <w:rPr>
      <w:rFonts w:ascii="Times New Roman" w:hAnsi="Times New Roman" w:eastAsia="宋体" w:cs="Times New Roman"/>
      <w:color w:val="000000"/>
      <w:sz w:val="21"/>
      <w:lang w:val="en-US" w:eastAsia="zh-CN" w:bidi="ar-SA"/>
    </w:rPr>
  </w:style>
  <w:style w:type="paragraph" w:customStyle="1" w:styleId="220">
    <w:name w:val="WPS Plain"/>
    <w:autoRedefine/>
    <w:qFormat/>
    <w:uiPriority w:val="0"/>
    <w:rPr>
      <w:rFonts w:ascii="Times New Roman" w:hAnsi="Times New Roman" w:eastAsia="宋体" w:cs="Times New Roman"/>
      <w:lang w:val="en-US" w:eastAsia="zh-CN" w:bidi="ar-SA"/>
    </w:rPr>
  </w:style>
  <w:style w:type="paragraph" w:customStyle="1" w:styleId="221">
    <w:name w:val="样式 标题 3 + (中文) 黑体 小四 非加粗 段前: 7.8 磅 段后: 0 磅 行距: 固定值 20 磅"/>
    <w:basedOn w:val="4"/>
    <w:autoRedefine/>
    <w:qFormat/>
    <w:uiPriority w:val="0"/>
    <w:pPr>
      <w:keepLines/>
      <w:widowControl w:val="0"/>
      <w:spacing w:before="0" w:after="0" w:line="400" w:lineRule="exact"/>
    </w:pPr>
    <w:rPr>
      <w:rFonts w:ascii="Times New Roman" w:hAnsi="Times New Roman" w:eastAsia="黑体" w:cs="Times New Roman"/>
      <w:b w:val="0"/>
      <w:bCs w:val="0"/>
      <w:color w:val="auto"/>
      <w:kern w:val="2"/>
      <w:sz w:val="24"/>
      <w:szCs w:val="20"/>
    </w:rPr>
  </w:style>
  <w:style w:type="character" w:customStyle="1" w:styleId="222">
    <w:name w:val="标题4 Char Char"/>
    <w:link w:val="223"/>
    <w:autoRedefine/>
    <w:qFormat/>
    <w:uiPriority w:val="0"/>
    <w:rPr>
      <w:rFonts w:ascii="Arial" w:hAnsi="Arial"/>
      <w:b/>
      <w:bCs/>
      <w:sz w:val="24"/>
      <w:szCs w:val="32"/>
    </w:rPr>
  </w:style>
  <w:style w:type="paragraph" w:customStyle="1" w:styleId="223">
    <w:name w:val="标题4"/>
    <w:basedOn w:val="3"/>
    <w:next w:val="21"/>
    <w:link w:val="222"/>
    <w:autoRedefine/>
    <w:qFormat/>
    <w:uiPriority w:val="0"/>
    <w:pPr>
      <w:keepLines/>
      <w:widowControl w:val="0"/>
      <w:spacing w:line="413" w:lineRule="auto"/>
    </w:pPr>
    <w:rPr>
      <w:rFonts w:ascii="Arial" w:hAnsi="Arial" w:cs="Times New Roman"/>
      <w:color w:val="auto"/>
      <w:sz w:val="24"/>
    </w:rPr>
  </w:style>
  <w:style w:type="character" w:customStyle="1" w:styleId="224">
    <w:name w:val="明显引用 Char"/>
    <w:link w:val="225"/>
    <w:autoRedefine/>
    <w:qFormat/>
    <w:uiPriority w:val="0"/>
    <w:rPr>
      <w:b/>
      <w:bCs/>
      <w:i/>
      <w:iCs/>
      <w:color w:val="4F81BD"/>
    </w:rPr>
  </w:style>
  <w:style w:type="paragraph" w:customStyle="1" w:styleId="225">
    <w:name w:val="明显引用1"/>
    <w:basedOn w:val="1"/>
    <w:next w:val="1"/>
    <w:link w:val="224"/>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226">
    <w:name w:val="明显引用 Char1"/>
    <w:basedOn w:val="50"/>
    <w:autoRedefine/>
    <w:qFormat/>
    <w:uiPriority w:val="30"/>
    <w:rPr>
      <w:b/>
      <w:bCs/>
      <w:i/>
      <w:iCs/>
      <w:color w:val="4F81BD"/>
    </w:rPr>
  </w:style>
  <w:style w:type="character" w:customStyle="1" w:styleId="227">
    <w:name w:val="书籍标题1"/>
    <w:autoRedefine/>
    <w:qFormat/>
    <w:uiPriority w:val="0"/>
    <w:rPr>
      <w:b/>
      <w:bCs/>
      <w:smallCaps/>
      <w:spacing w:val="5"/>
    </w:rPr>
  </w:style>
  <w:style w:type="character" w:customStyle="1" w:styleId="228">
    <w:name w:val="副标题 Char1"/>
    <w:basedOn w:val="50"/>
    <w:autoRedefine/>
    <w:qFormat/>
    <w:uiPriority w:val="11"/>
    <w:rPr>
      <w:rFonts w:ascii="Cambria" w:hAnsi="Cambria" w:cs="Times New Roman"/>
      <w:b/>
      <w:bCs/>
      <w:kern w:val="28"/>
      <w:sz w:val="32"/>
      <w:szCs w:val="32"/>
    </w:rPr>
  </w:style>
  <w:style w:type="character" w:customStyle="1" w:styleId="229">
    <w:name w:val="明显强调1"/>
    <w:autoRedefine/>
    <w:qFormat/>
    <w:uiPriority w:val="0"/>
    <w:rPr>
      <w:b/>
      <w:bCs/>
      <w:i/>
      <w:iCs/>
      <w:color w:val="4F81BD"/>
    </w:rPr>
  </w:style>
  <w:style w:type="character" w:customStyle="1" w:styleId="230">
    <w:name w:val="标题5 Char Char"/>
    <w:link w:val="231"/>
    <w:autoRedefine/>
    <w:qFormat/>
    <w:uiPriority w:val="0"/>
    <w:rPr>
      <w:rFonts w:ascii="Arial" w:hAnsi="Arial"/>
      <w:b/>
      <w:bCs/>
      <w:sz w:val="24"/>
      <w:szCs w:val="32"/>
    </w:rPr>
  </w:style>
  <w:style w:type="paragraph" w:customStyle="1" w:styleId="231">
    <w:name w:val="标题5"/>
    <w:basedOn w:val="4"/>
    <w:link w:val="230"/>
    <w:autoRedefine/>
    <w:qFormat/>
    <w:uiPriority w:val="0"/>
    <w:pPr>
      <w:keepLines/>
      <w:widowControl w:val="0"/>
      <w:spacing w:line="413" w:lineRule="auto"/>
    </w:pPr>
    <w:rPr>
      <w:rFonts w:ascii="Arial" w:hAnsi="Arial" w:cs="Times New Roman"/>
      <w:color w:val="auto"/>
      <w:sz w:val="24"/>
    </w:rPr>
  </w:style>
  <w:style w:type="character" w:customStyle="1" w:styleId="232">
    <w:name w:val="textcontents"/>
    <w:autoRedefine/>
    <w:qFormat/>
    <w:uiPriority w:val="0"/>
    <w:rPr>
      <w:rFonts w:cs="Times New Roman"/>
    </w:rPr>
  </w:style>
  <w:style w:type="character" w:customStyle="1" w:styleId="233">
    <w:name w:val="不明显强调1"/>
    <w:autoRedefine/>
    <w:qFormat/>
    <w:uiPriority w:val="0"/>
    <w:rPr>
      <w:i/>
      <w:iCs/>
      <w:color w:val="808080"/>
    </w:rPr>
  </w:style>
  <w:style w:type="character" w:customStyle="1" w:styleId="234">
    <w:name w:val="不明显参考1"/>
    <w:autoRedefine/>
    <w:qFormat/>
    <w:uiPriority w:val="0"/>
    <w:rPr>
      <w:smallCaps/>
      <w:color w:val="C0504D"/>
      <w:u w:val="single"/>
    </w:rPr>
  </w:style>
  <w:style w:type="character" w:customStyle="1" w:styleId="235">
    <w:name w:val="正文文本 Char1"/>
    <w:autoRedefine/>
    <w:qFormat/>
    <w:uiPriority w:val="0"/>
    <w:rPr>
      <w:kern w:val="2"/>
      <w:sz w:val="21"/>
      <w:szCs w:val="22"/>
    </w:rPr>
  </w:style>
  <w:style w:type="character" w:customStyle="1" w:styleId="236">
    <w:name w:val="批注文字 Char Char"/>
    <w:autoRedefine/>
    <w:qFormat/>
    <w:uiPriority w:val="0"/>
    <w:rPr>
      <w:rFonts w:ascii="宋体" w:hAnsi="Times New Roman" w:eastAsia="宋体" w:cs="Times New Roman"/>
      <w:sz w:val="28"/>
      <w:szCs w:val="20"/>
    </w:rPr>
  </w:style>
  <w:style w:type="character" w:customStyle="1" w:styleId="237">
    <w:name w:val="明显参考1"/>
    <w:autoRedefine/>
    <w:qFormat/>
    <w:uiPriority w:val="0"/>
    <w:rPr>
      <w:b/>
      <w:bCs/>
      <w:smallCaps/>
      <w:color w:val="C0504D"/>
      <w:spacing w:val="5"/>
      <w:u w:val="single"/>
    </w:rPr>
  </w:style>
  <w:style w:type="character" w:customStyle="1" w:styleId="238">
    <w:name w:val="引用 Char"/>
    <w:link w:val="239"/>
    <w:autoRedefine/>
    <w:qFormat/>
    <w:uiPriority w:val="0"/>
    <w:rPr>
      <w:i/>
      <w:iCs/>
      <w:color w:val="000000"/>
    </w:rPr>
  </w:style>
  <w:style w:type="paragraph" w:customStyle="1" w:styleId="239">
    <w:name w:val="引用1"/>
    <w:basedOn w:val="1"/>
    <w:next w:val="1"/>
    <w:link w:val="238"/>
    <w:autoRedefine/>
    <w:qFormat/>
    <w:uiPriority w:val="0"/>
    <w:rPr>
      <w:rFonts w:ascii="Times New Roman" w:hAnsi="Times New Roman" w:eastAsia="宋体" w:cs="Times New Roman"/>
      <w:i/>
      <w:iCs/>
      <w:color w:val="000000"/>
      <w:kern w:val="0"/>
      <w:sz w:val="20"/>
      <w:szCs w:val="20"/>
    </w:rPr>
  </w:style>
  <w:style w:type="character" w:customStyle="1" w:styleId="240">
    <w:name w:val="引用 Char1"/>
    <w:basedOn w:val="50"/>
    <w:autoRedefine/>
    <w:qFormat/>
    <w:uiPriority w:val="29"/>
    <w:rPr>
      <w:i/>
      <w:iCs/>
      <w:color w:val="000000"/>
    </w:rPr>
  </w:style>
  <w:style w:type="character" w:customStyle="1" w:styleId="241">
    <w:name w:val="文档结构图 Char1"/>
    <w:autoRedefine/>
    <w:qFormat/>
    <w:uiPriority w:val="0"/>
    <w:rPr>
      <w:rFonts w:ascii="宋体"/>
      <w:kern w:val="2"/>
      <w:sz w:val="18"/>
      <w:szCs w:val="18"/>
    </w:rPr>
  </w:style>
  <w:style w:type="paragraph" w:customStyle="1" w:styleId="242">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3">
    <w:name w:val="flNote"/>
    <w:basedOn w:val="1"/>
    <w:autoRedefine/>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paragraph" w:customStyle="1" w:styleId="244">
    <w:name w:val="空半行"/>
    <w:basedOn w:val="1"/>
    <w:autoRedefine/>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character" w:customStyle="1" w:styleId="245">
    <w:name w:val="Intense Quote Char"/>
    <w:link w:val="246"/>
    <w:autoRedefine/>
    <w:qFormat/>
    <w:locked/>
    <w:uiPriority w:val="0"/>
    <w:rPr>
      <w:b/>
      <w:bCs/>
      <w:i/>
      <w:iCs/>
      <w:color w:val="4F81BD"/>
      <w:sz w:val="22"/>
    </w:rPr>
  </w:style>
  <w:style w:type="paragraph" w:customStyle="1" w:styleId="246">
    <w:name w:val="明显引用11"/>
    <w:basedOn w:val="1"/>
    <w:next w:val="1"/>
    <w:link w:val="245"/>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2"/>
      <w:szCs w:val="20"/>
    </w:rPr>
  </w:style>
  <w:style w:type="character" w:customStyle="1" w:styleId="247">
    <w:name w:val="书籍标题111"/>
    <w:autoRedefine/>
    <w:qFormat/>
    <w:uiPriority w:val="0"/>
    <w:rPr>
      <w:b/>
      <w:bCs/>
      <w:smallCaps/>
      <w:spacing w:val="5"/>
    </w:rPr>
  </w:style>
  <w:style w:type="character" w:customStyle="1" w:styleId="248">
    <w:name w:val="明显强调111"/>
    <w:autoRedefine/>
    <w:qFormat/>
    <w:uiPriority w:val="0"/>
    <w:rPr>
      <w:b/>
      <w:bCs/>
      <w:i/>
      <w:iCs/>
      <w:color w:val="4F81BD"/>
    </w:rPr>
  </w:style>
  <w:style w:type="character" w:customStyle="1" w:styleId="249">
    <w:name w:val="不明显强调111"/>
    <w:autoRedefine/>
    <w:qFormat/>
    <w:uiPriority w:val="0"/>
    <w:rPr>
      <w:i/>
      <w:iCs/>
      <w:color w:val="808080"/>
    </w:rPr>
  </w:style>
  <w:style w:type="character" w:customStyle="1" w:styleId="250">
    <w:name w:val="不明显参考111"/>
    <w:autoRedefine/>
    <w:qFormat/>
    <w:uiPriority w:val="0"/>
    <w:rPr>
      <w:smallCaps/>
      <w:color w:val="auto"/>
      <w:u w:val="single"/>
    </w:rPr>
  </w:style>
  <w:style w:type="character" w:customStyle="1" w:styleId="251">
    <w:name w:val="明显参考111"/>
    <w:autoRedefine/>
    <w:qFormat/>
    <w:uiPriority w:val="0"/>
    <w:rPr>
      <w:b/>
      <w:bCs/>
      <w:smallCaps/>
      <w:color w:val="auto"/>
      <w:spacing w:val="5"/>
      <w:u w:val="single"/>
    </w:rPr>
  </w:style>
  <w:style w:type="character" w:customStyle="1" w:styleId="252">
    <w:name w:val="Quote Char"/>
    <w:link w:val="253"/>
    <w:autoRedefine/>
    <w:qFormat/>
    <w:locked/>
    <w:uiPriority w:val="0"/>
    <w:rPr>
      <w:i/>
      <w:iCs/>
      <w:color w:val="000000"/>
      <w:sz w:val="22"/>
    </w:rPr>
  </w:style>
  <w:style w:type="paragraph" w:customStyle="1" w:styleId="253">
    <w:name w:val="引用11"/>
    <w:basedOn w:val="1"/>
    <w:next w:val="1"/>
    <w:link w:val="252"/>
    <w:autoRedefine/>
    <w:qFormat/>
    <w:uiPriority w:val="0"/>
    <w:rPr>
      <w:rFonts w:ascii="Times New Roman" w:hAnsi="Times New Roman" w:eastAsia="宋体" w:cs="Times New Roman"/>
      <w:i/>
      <w:iCs/>
      <w:color w:val="000000"/>
      <w:kern w:val="0"/>
      <w:sz w:val="22"/>
      <w:szCs w:val="20"/>
    </w:rPr>
  </w:style>
  <w:style w:type="character" w:customStyle="1" w:styleId="254">
    <w:name w:val="Subtitle Char1"/>
    <w:autoRedefine/>
    <w:qFormat/>
    <w:locked/>
    <w:uiPriority w:val="0"/>
    <w:rPr>
      <w:rFonts w:ascii="Cambria" w:hAnsi="Cambria" w:cs="Cambria"/>
      <w:b/>
      <w:bCs/>
      <w:kern w:val="28"/>
      <w:sz w:val="32"/>
      <w:szCs w:val="32"/>
    </w:rPr>
  </w:style>
  <w:style w:type="character" w:customStyle="1" w:styleId="255">
    <w:name w:val="Title Char1"/>
    <w:autoRedefine/>
    <w:qFormat/>
    <w:locked/>
    <w:uiPriority w:val="0"/>
    <w:rPr>
      <w:rFonts w:ascii="Cambria" w:hAnsi="Cambria" w:cs="Cambria"/>
      <w:b/>
      <w:bCs/>
      <w:sz w:val="32"/>
      <w:szCs w:val="32"/>
    </w:rPr>
  </w:style>
  <w:style w:type="character" w:customStyle="1" w:styleId="256">
    <w:name w:val="Intense Quote Char1"/>
    <w:autoRedefine/>
    <w:qFormat/>
    <w:locked/>
    <w:uiPriority w:val="0"/>
    <w:rPr>
      <w:b/>
      <w:bCs/>
      <w:i/>
      <w:iCs/>
      <w:color w:val="4F81BD"/>
      <w:sz w:val="21"/>
      <w:szCs w:val="21"/>
    </w:rPr>
  </w:style>
  <w:style w:type="character" w:customStyle="1" w:styleId="257">
    <w:name w:val="Quote Char1"/>
    <w:autoRedefine/>
    <w:qFormat/>
    <w:locked/>
    <w:uiPriority w:val="0"/>
    <w:rPr>
      <w:i/>
      <w:iCs/>
      <w:color w:val="000000"/>
      <w:sz w:val="21"/>
      <w:szCs w:val="21"/>
    </w:rPr>
  </w:style>
  <w:style w:type="paragraph" w:customStyle="1" w:styleId="258">
    <w:name w:val="修订111"/>
    <w:autoRedefine/>
    <w:qFormat/>
    <w:uiPriority w:val="99"/>
    <w:rPr>
      <w:rFonts w:ascii="Times New Roman" w:hAnsi="Times New Roman" w:eastAsia="宋体" w:cs="Times New Roman"/>
      <w:kern w:val="2"/>
      <w:sz w:val="21"/>
      <w:szCs w:val="21"/>
      <w:lang w:val="en-US" w:eastAsia="zh-CN" w:bidi="ar-SA"/>
    </w:rPr>
  </w:style>
  <w:style w:type="paragraph" w:customStyle="1" w:styleId="259">
    <w:name w:val="TOC 标题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260">
    <w:name w:val="wumii-segment"/>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61">
    <w:name w:val="卷标题 Char"/>
    <w:autoRedefine/>
    <w:qFormat/>
    <w:uiPriority w:val="0"/>
    <w:rPr>
      <w:rFonts w:ascii="Times New Roman" w:hAnsi="Times New Roman" w:eastAsia="宋体" w:cs="Times New Roman"/>
      <w:kern w:val="44"/>
      <w:sz w:val="44"/>
      <w:szCs w:val="44"/>
    </w:rPr>
  </w:style>
  <w:style w:type="character" w:customStyle="1" w:styleId="262">
    <w:name w:val="H2 Char"/>
    <w:autoRedefine/>
    <w:qFormat/>
    <w:uiPriority w:val="0"/>
    <w:rPr>
      <w:rFonts w:ascii="Arial" w:hAnsi="Arial" w:eastAsia="宋体" w:cs="Times New Roman"/>
      <w:sz w:val="28"/>
      <w:szCs w:val="24"/>
    </w:rPr>
  </w:style>
  <w:style w:type="character" w:customStyle="1" w:styleId="263">
    <w:name w:val="h3 Char"/>
    <w:autoRedefine/>
    <w:qFormat/>
    <w:uiPriority w:val="0"/>
    <w:rPr>
      <w:rFonts w:ascii="Times New Roman" w:hAnsi="Times New Roman" w:eastAsia="宋体" w:cs="Times New Roman"/>
      <w:sz w:val="24"/>
      <w:szCs w:val="32"/>
    </w:rPr>
  </w:style>
  <w:style w:type="paragraph" w:customStyle="1" w:styleId="264">
    <w:name w:val="Char Char Char"/>
    <w:basedOn w:val="1"/>
    <w:autoRedefine/>
    <w:qFormat/>
    <w:uiPriority w:val="0"/>
    <w:rPr>
      <w:rFonts w:ascii="Times New Roman" w:hAnsi="Times New Roman" w:eastAsia="宋体" w:cs="Times New Roman"/>
      <w:szCs w:val="24"/>
    </w:rPr>
  </w:style>
  <w:style w:type="character" w:customStyle="1" w:styleId="265">
    <w:name w:val="Char Char6"/>
    <w:autoRedefine/>
    <w:qFormat/>
    <w:locked/>
    <w:uiPriority w:val="0"/>
    <w:rPr>
      <w:rFonts w:eastAsia="宋体"/>
      <w:kern w:val="2"/>
      <w:sz w:val="18"/>
      <w:lang w:val="en-US" w:eastAsia="zh-CN" w:bidi="ar-SA"/>
    </w:rPr>
  </w:style>
  <w:style w:type="paragraph" w:customStyle="1" w:styleId="266">
    <w:name w:val="Default Text"/>
    <w:basedOn w:val="1"/>
    <w:autoRedefine/>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character" w:customStyle="1" w:styleId="267">
    <w:name w:val="Char Char19"/>
    <w:autoRedefine/>
    <w:qFormat/>
    <w:uiPriority w:val="0"/>
    <w:rPr>
      <w:rFonts w:eastAsia="宋体"/>
      <w:b/>
      <w:bCs/>
      <w:kern w:val="44"/>
      <w:sz w:val="44"/>
      <w:szCs w:val="44"/>
      <w:lang w:val="en-US" w:eastAsia="zh-CN" w:bidi="ar-SA"/>
    </w:rPr>
  </w:style>
  <w:style w:type="paragraph" w:customStyle="1" w:styleId="268">
    <w:name w:val="明显引用2"/>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269">
    <w:name w:val="书籍标题2"/>
    <w:autoRedefine/>
    <w:qFormat/>
    <w:uiPriority w:val="0"/>
    <w:rPr>
      <w:b/>
      <w:bCs/>
      <w:smallCaps/>
      <w:spacing w:val="5"/>
    </w:rPr>
  </w:style>
  <w:style w:type="character" w:customStyle="1" w:styleId="270">
    <w:name w:val="明显强调2"/>
    <w:autoRedefine/>
    <w:qFormat/>
    <w:uiPriority w:val="0"/>
    <w:rPr>
      <w:b/>
      <w:bCs/>
      <w:i/>
      <w:iCs/>
      <w:color w:val="4F81BD"/>
    </w:rPr>
  </w:style>
  <w:style w:type="character" w:customStyle="1" w:styleId="271">
    <w:name w:val="不明显强调2"/>
    <w:autoRedefine/>
    <w:qFormat/>
    <w:uiPriority w:val="0"/>
    <w:rPr>
      <w:i/>
      <w:iCs/>
      <w:color w:val="808080"/>
    </w:rPr>
  </w:style>
  <w:style w:type="character" w:customStyle="1" w:styleId="272">
    <w:name w:val="不明显参考2"/>
    <w:autoRedefine/>
    <w:qFormat/>
    <w:uiPriority w:val="0"/>
    <w:rPr>
      <w:smallCaps/>
      <w:color w:val="auto"/>
      <w:u w:val="single"/>
    </w:rPr>
  </w:style>
  <w:style w:type="character" w:customStyle="1" w:styleId="273">
    <w:name w:val="明显参考2"/>
    <w:autoRedefine/>
    <w:qFormat/>
    <w:uiPriority w:val="0"/>
    <w:rPr>
      <w:b/>
      <w:bCs/>
      <w:smallCaps/>
      <w:color w:val="auto"/>
      <w:spacing w:val="5"/>
      <w:u w:val="single"/>
    </w:rPr>
  </w:style>
  <w:style w:type="paragraph" w:customStyle="1" w:styleId="274">
    <w:name w:val="引用2"/>
    <w:basedOn w:val="1"/>
    <w:next w:val="1"/>
    <w:autoRedefine/>
    <w:qFormat/>
    <w:uiPriority w:val="0"/>
    <w:rPr>
      <w:rFonts w:ascii="Calibri" w:hAnsi="Calibri" w:eastAsia="宋体" w:cs="Times New Roman"/>
      <w:i/>
      <w:iCs/>
      <w:color w:val="000000"/>
      <w:sz w:val="22"/>
    </w:rPr>
  </w:style>
  <w:style w:type="paragraph" w:customStyle="1" w:styleId="275">
    <w:name w:val="无间隔2"/>
    <w:autoRedefine/>
    <w:qFormat/>
    <w:uiPriority w:val="0"/>
    <w:pPr>
      <w:widowControl w:val="0"/>
      <w:jc w:val="both"/>
    </w:pPr>
    <w:rPr>
      <w:rFonts w:ascii="Calibri" w:hAnsi="Calibri" w:eastAsia="宋体" w:cs="Calibri"/>
      <w:kern w:val="2"/>
      <w:sz w:val="21"/>
      <w:szCs w:val="21"/>
      <w:lang w:val="en-US" w:eastAsia="zh-CN" w:bidi="ar-SA"/>
    </w:rPr>
  </w:style>
  <w:style w:type="paragraph" w:customStyle="1" w:styleId="276">
    <w:name w:val="修订2"/>
    <w:autoRedefine/>
    <w:qFormat/>
    <w:uiPriority w:val="0"/>
    <w:rPr>
      <w:rFonts w:ascii="Times New Roman" w:hAnsi="Times New Roman" w:eastAsia="宋体" w:cs="Times New Roman"/>
      <w:kern w:val="2"/>
      <w:sz w:val="21"/>
      <w:szCs w:val="21"/>
      <w:lang w:val="en-US" w:eastAsia="zh-CN" w:bidi="ar-SA"/>
    </w:rPr>
  </w:style>
  <w:style w:type="paragraph" w:customStyle="1" w:styleId="277">
    <w:name w:val="TOC 标题2"/>
    <w:basedOn w:val="2"/>
    <w:next w:val="1"/>
    <w:autoRedefine/>
    <w:qFormat/>
    <w:uiPriority w:val="0"/>
    <w:pPr>
      <w:keepLines/>
      <w:widowControl w:val="0"/>
      <w:jc w:val="both"/>
      <w:outlineLvl w:val="9"/>
    </w:pPr>
    <w:rPr>
      <w:rFonts w:ascii="Calibri" w:hAnsi="Calibri" w:cs="Calibri"/>
      <w:color w:val="auto"/>
      <w:kern w:val="44"/>
    </w:rPr>
  </w:style>
  <w:style w:type="paragraph" w:customStyle="1" w:styleId="278">
    <w:name w:val="Char Char Char Char Char Char"/>
    <w:basedOn w:val="15"/>
    <w:autoRedefine/>
    <w:qFormat/>
    <w:uiPriority w:val="0"/>
    <w:pPr>
      <w:shd w:val="clear" w:color="auto" w:fill="000080"/>
      <w:adjustRightInd w:val="0"/>
      <w:spacing w:line="436" w:lineRule="exact"/>
      <w:ind w:left="357"/>
      <w:jc w:val="left"/>
      <w:outlineLvl w:val="3"/>
    </w:pPr>
    <w:rPr>
      <w:rFonts w:ascii="Tahoma" w:hAnsi="Tahoma"/>
      <w:b/>
      <w:kern w:val="2"/>
      <w:sz w:val="24"/>
      <w:szCs w:val="24"/>
    </w:rPr>
  </w:style>
  <w:style w:type="character" w:customStyle="1" w:styleId="279">
    <w:name w:val="charchar19"/>
    <w:autoRedefine/>
    <w:qFormat/>
    <w:uiPriority w:val="0"/>
    <w:rPr>
      <w:rFonts w:hint="default" w:ascii="Cambria" w:hAnsi="Cambria" w:eastAsia="Cambria" w:cs="Cambria"/>
      <w:b/>
      <w:i/>
      <w:color w:val="4F81BD"/>
    </w:rPr>
  </w:style>
  <w:style w:type="character" w:customStyle="1" w:styleId="280">
    <w:name w:val="charchar7"/>
    <w:autoRedefine/>
    <w:qFormat/>
    <w:uiPriority w:val="0"/>
    <w:rPr>
      <w:rFonts w:hint="default" w:ascii="Calibri" w:hAnsi="Calibri" w:cs="Calibri"/>
    </w:rPr>
  </w:style>
  <w:style w:type="character" w:customStyle="1" w:styleId="281">
    <w:name w:val="char"/>
    <w:autoRedefine/>
    <w:qFormat/>
    <w:uiPriority w:val="0"/>
    <w:rPr>
      <w:rFonts w:hint="default" w:ascii="Calibri" w:hAnsi="Calibri" w:cs="Calibri"/>
      <w:i/>
      <w:color w:val="000000"/>
    </w:rPr>
  </w:style>
  <w:style w:type="character" w:customStyle="1" w:styleId="282">
    <w:name w:val="charchar11"/>
    <w:autoRedefine/>
    <w:qFormat/>
    <w:uiPriority w:val="0"/>
    <w:rPr>
      <w:rFonts w:hint="default" w:ascii="Calibri" w:hAnsi="Calibri" w:cs="Calibri"/>
    </w:rPr>
  </w:style>
  <w:style w:type="character" w:customStyle="1" w:styleId="283">
    <w:name w:val="charchar12"/>
    <w:autoRedefine/>
    <w:qFormat/>
    <w:uiPriority w:val="0"/>
    <w:rPr>
      <w:rFonts w:hint="default" w:ascii="Calibri" w:hAnsi="Calibri" w:cs="Calibri"/>
    </w:rPr>
  </w:style>
  <w:style w:type="character" w:customStyle="1" w:styleId="284">
    <w:name w:val="charchar16"/>
    <w:autoRedefine/>
    <w:qFormat/>
    <w:uiPriority w:val="0"/>
    <w:rPr>
      <w:rFonts w:hint="default" w:ascii="Cambria" w:hAnsi="Cambria" w:eastAsia="Cambria" w:cs="Cambria"/>
      <w:i/>
      <w:color w:val="404040"/>
    </w:rPr>
  </w:style>
  <w:style w:type="character" w:customStyle="1" w:styleId="285">
    <w:name w:val="charchar3"/>
    <w:autoRedefine/>
    <w:qFormat/>
    <w:uiPriority w:val="0"/>
    <w:rPr>
      <w:rFonts w:hint="default" w:ascii="Calibri" w:hAnsi="Calibri" w:cs="Calibri"/>
      <w:color w:val="000000"/>
    </w:rPr>
  </w:style>
  <w:style w:type="character" w:customStyle="1" w:styleId="286">
    <w:name w:val="charchar8"/>
    <w:autoRedefine/>
    <w:qFormat/>
    <w:uiPriority w:val="0"/>
    <w:rPr>
      <w:rFonts w:hint="default" w:ascii="Calibri" w:hAnsi="Calibri" w:cs="Calibri"/>
    </w:rPr>
  </w:style>
  <w:style w:type="character" w:customStyle="1" w:styleId="287">
    <w:name w:val="charchar10"/>
    <w:autoRedefine/>
    <w:qFormat/>
    <w:uiPriority w:val="0"/>
    <w:rPr>
      <w:rFonts w:hint="default" w:ascii="Calibri" w:hAnsi="Calibri" w:cs="Calibri"/>
    </w:rPr>
  </w:style>
  <w:style w:type="character" w:customStyle="1" w:styleId="288">
    <w:name w:val="charchar18"/>
    <w:autoRedefine/>
    <w:qFormat/>
    <w:uiPriority w:val="0"/>
    <w:rPr>
      <w:rFonts w:hint="default" w:ascii="Cambria" w:hAnsi="Cambria" w:eastAsia="Cambria" w:cs="Cambria"/>
      <w:color w:val="243F60"/>
    </w:rPr>
  </w:style>
  <w:style w:type="character" w:customStyle="1" w:styleId="289">
    <w:name w:val="charchar5"/>
    <w:autoRedefine/>
    <w:qFormat/>
    <w:uiPriority w:val="0"/>
    <w:rPr>
      <w:rFonts w:hint="eastAsia" w:ascii="宋体" w:hAnsi="宋体" w:eastAsia="宋体" w:cs="宋体"/>
    </w:rPr>
  </w:style>
  <w:style w:type="character" w:customStyle="1" w:styleId="290">
    <w:name w:val="charchar15"/>
    <w:autoRedefine/>
    <w:qFormat/>
    <w:uiPriority w:val="0"/>
    <w:rPr>
      <w:rFonts w:hint="default" w:ascii="Cambria" w:hAnsi="Cambria" w:eastAsia="Cambria" w:cs="Cambria"/>
      <w:color w:val="4F81BD"/>
    </w:rPr>
  </w:style>
  <w:style w:type="character" w:customStyle="1" w:styleId="291">
    <w:name w:val="charchar4"/>
    <w:autoRedefine/>
    <w:qFormat/>
    <w:uiPriority w:val="0"/>
    <w:rPr>
      <w:rFonts w:hint="eastAsia" w:ascii="宋体" w:hAnsi="宋体" w:eastAsia="宋体" w:cs="宋体"/>
    </w:rPr>
  </w:style>
  <w:style w:type="character" w:customStyle="1" w:styleId="292">
    <w:name w:val="char0"/>
    <w:autoRedefine/>
    <w:qFormat/>
    <w:uiPriority w:val="0"/>
    <w:rPr>
      <w:rFonts w:hint="default" w:ascii="Calibri" w:hAnsi="Calibri" w:cs="Calibri"/>
      <w:b/>
      <w:i/>
      <w:color w:val="4F81BD"/>
    </w:rPr>
  </w:style>
  <w:style w:type="character" w:customStyle="1" w:styleId="293">
    <w:name w:val="charchar9"/>
    <w:autoRedefine/>
    <w:qFormat/>
    <w:uiPriority w:val="0"/>
    <w:rPr>
      <w:rFonts w:hint="default" w:ascii="Calibri" w:hAnsi="Calibri" w:cs="Calibri"/>
    </w:rPr>
  </w:style>
  <w:style w:type="character" w:customStyle="1" w:styleId="294">
    <w:name w:val="charchar22"/>
    <w:autoRedefine/>
    <w:qFormat/>
    <w:uiPriority w:val="0"/>
    <w:rPr>
      <w:rFonts w:hint="eastAsia" w:ascii="新宋体" w:hAnsi="新宋体" w:eastAsia="新宋体" w:cs="新宋体"/>
      <w:b/>
    </w:rPr>
  </w:style>
  <w:style w:type="character" w:customStyle="1" w:styleId="295">
    <w:name w:val="charchar1"/>
    <w:autoRedefine/>
    <w:qFormat/>
    <w:uiPriority w:val="0"/>
    <w:rPr>
      <w:rFonts w:hint="default" w:ascii="Cambria" w:hAnsi="Cambria" w:eastAsia="Cambria" w:cs="Cambria"/>
      <w:color w:val="17365D"/>
      <w:spacing w:val="5"/>
    </w:rPr>
  </w:style>
  <w:style w:type="character" w:customStyle="1" w:styleId="296">
    <w:name w:val="charchar20"/>
    <w:autoRedefine/>
    <w:qFormat/>
    <w:uiPriority w:val="0"/>
    <w:rPr>
      <w:rFonts w:hint="eastAsia" w:ascii="新宋体" w:hAnsi="新宋体" w:eastAsia="新宋体" w:cs="新宋体"/>
      <w:b/>
      <w:snapToGrid w:val="0"/>
    </w:rPr>
  </w:style>
  <w:style w:type="character" w:customStyle="1" w:styleId="297">
    <w:name w:val="charchar14"/>
    <w:autoRedefine/>
    <w:qFormat/>
    <w:uiPriority w:val="0"/>
    <w:rPr>
      <w:rFonts w:hint="default" w:ascii="Cambria" w:hAnsi="Cambria" w:eastAsia="Cambria" w:cs="Cambria"/>
      <w:i/>
      <w:color w:val="404040"/>
    </w:rPr>
  </w:style>
  <w:style w:type="character" w:customStyle="1" w:styleId="298">
    <w:name w:val="charchar2"/>
    <w:autoRedefine/>
    <w:qFormat/>
    <w:uiPriority w:val="0"/>
    <w:rPr>
      <w:rFonts w:hint="default" w:ascii="Calibri" w:hAnsi="Calibri" w:cs="Calibri"/>
      <w:b/>
    </w:rPr>
  </w:style>
  <w:style w:type="character" w:customStyle="1" w:styleId="299">
    <w:name w:val="charchar21"/>
    <w:autoRedefine/>
    <w:qFormat/>
    <w:uiPriority w:val="0"/>
    <w:rPr>
      <w:rFonts w:hint="eastAsia" w:ascii="新宋体" w:hAnsi="新宋体" w:eastAsia="新宋体" w:cs="新宋体"/>
      <w:b/>
    </w:rPr>
  </w:style>
  <w:style w:type="character" w:customStyle="1" w:styleId="300">
    <w:name w:val="charchar6"/>
    <w:autoRedefine/>
    <w:qFormat/>
    <w:uiPriority w:val="0"/>
    <w:rPr>
      <w:rFonts w:hint="eastAsia" w:ascii="宋体" w:hAnsi="宋体" w:eastAsia="宋体" w:cs="宋体"/>
      <w:b/>
    </w:rPr>
  </w:style>
  <w:style w:type="character" w:customStyle="1" w:styleId="301">
    <w:name w:val="charchar13"/>
    <w:autoRedefine/>
    <w:qFormat/>
    <w:uiPriority w:val="0"/>
    <w:rPr>
      <w:rFonts w:hint="eastAsia" w:ascii="宋体" w:hAnsi="宋体" w:eastAsia="宋体" w:cs="宋体"/>
    </w:rPr>
  </w:style>
  <w:style w:type="character" w:customStyle="1" w:styleId="302">
    <w:name w:val="charchar17"/>
    <w:autoRedefine/>
    <w:qFormat/>
    <w:uiPriority w:val="0"/>
    <w:rPr>
      <w:rFonts w:hint="default" w:ascii="Cambria" w:hAnsi="Cambria" w:eastAsia="Cambria" w:cs="Cambria"/>
      <w:i/>
      <w:color w:val="243F60"/>
    </w:rPr>
  </w:style>
  <w:style w:type="character" w:customStyle="1" w:styleId="303">
    <w:name w:val="charchar"/>
    <w:autoRedefine/>
    <w:qFormat/>
    <w:uiPriority w:val="0"/>
    <w:rPr>
      <w:rFonts w:hint="default" w:ascii="Cambria" w:hAnsi="Cambria" w:eastAsia="Cambria" w:cs="Cambria"/>
      <w:i/>
      <w:color w:val="4F81BD"/>
      <w:spacing w:val="15"/>
    </w:rPr>
  </w:style>
  <w:style w:type="character" w:customStyle="1" w:styleId="304">
    <w:name w:val="页眉 Char1"/>
    <w:autoRedefine/>
    <w:semiHidden/>
    <w:qFormat/>
    <w:uiPriority w:val="99"/>
    <w:rPr>
      <w:rFonts w:ascii="Calibri" w:hAnsi="Calibri" w:eastAsia="宋体" w:cs="Times New Roman"/>
      <w:sz w:val="18"/>
      <w:szCs w:val="18"/>
    </w:rPr>
  </w:style>
  <w:style w:type="paragraph" w:customStyle="1" w:styleId="305">
    <w:name w:val="z-窗体顶端11"/>
    <w:basedOn w:val="1"/>
    <w:next w:val="1"/>
    <w:autoRedefine/>
    <w:semiHidden/>
    <w:qFormat/>
    <w:uiPriority w:val="99"/>
    <w:pPr>
      <w:widowControl/>
      <w:pBdr>
        <w:bottom w:val="single" w:color="auto" w:sz="6" w:space="1"/>
      </w:pBdr>
      <w:jc w:val="center"/>
    </w:pPr>
    <w:rPr>
      <w:rFonts w:ascii="Arial" w:hAnsi="Arial" w:eastAsia="宋体" w:cs="Arial"/>
      <w:vanish/>
      <w:kern w:val="0"/>
      <w:sz w:val="16"/>
      <w:szCs w:val="16"/>
    </w:rPr>
  </w:style>
  <w:style w:type="paragraph" w:customStyle="1" w:styleId="306">
    <w:name w:val="z-窗体底端11"/>
    <w:basedOn w:val="1"/>
    <w:next w:val="1"/>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307">
    <w:name w:val="书籍标题11"/>
    <w:autoRedefine/>
    <w:qFormat/>
    <w:uiPriority w:val="0"/>
    <w:rPr>
      <w:b/>
      <w:bCs/>
      <w:smallCaps/>
      <w:spacing w:val="5"/>
    </w:rPr>
  </w:style>
  <w:style w:type="character" w:customStyle="1" w:styleId="308">
    <w:name w:val="明显强调11"/>
    <w:autoRedefine/>
    <w:qFormat/>
    <w:uiPriority w:val="0"/>
    <w:rPr>
      <w:b/>
      <w:bCs/>
      <w:i/>
      <w:iCs/>
      <w:color w:val="4F81BD"/>
    </w:rPr>
  </w:style>
  <w:style w:type="character" w:customStyle="1" w:styleId="309">
    <w:name w:val="不明显强调11"/>
    <w:autoRedefine/>
    <w:qFormat/>
    <w:uiPriority w:val="0"/>
    <w:rPr>
      <w:i/>
      <w:iCs/>
      <w:color w:val="808080"/>
    </w:rPr>
  </w:style>
  <w:style w:type="character" w:customStyle="1" w:styleId="310">
    <w:name w:val="不明显参考11"/>
    <w:autoRedefine/>
    <w:qFormat/>
    <w:uiPriority w:val="0"/>
    <w:rPr>
      <w:smallCaps/>
      <w:color w:val="auto"/>
      <w:u w:val="single"/>
    </w:rPr>
  </w:style>
  <w:style w:type="character" w:customStyle="1" w:styleId="311">
    <w:name w:val="明显参考11"/>
    <w:autoRedefine/>
    <w:qFormat/>
    <w:uiPriority w:val="0"/>
    <w:rPr>
      <w:b/>
      <w:bCs/>
      <w:smallCaps/>
      <w:color w:val="auto"/>
      <w:spacing w:val="5"/>
      <w:u w:val="single"/>
    </w:rPr>
  </w:style>
  <w:style w:type="paragraph" w:customStyle="1" w:styleId="312">
    <w:name w:val="修订11"/>
    <w:autoRedefine/>
    <w:qFormat/>
    <w:uiPriority w:val="0"/>
    <w:rPr>
      <w:rFonts w:ascii="Times New Roman" w:hAnsi="Times New Roman" w:eastAsia="宋体" w:cs="Times New Roman"/>
      <w:kern w:val="2"/>
      <w:sz w:val="21"/>
      <w:szCs w:val="21"/>
      <w:lang w:val="en-US" w:eastAsia="zh-CN" w:bidi="ar-SA"/>
    </w:rPr>
  </w:style>
  <w:style w:type="paragraph" w:customStyle="1" w:styleId="313">
    <w:name w:val="TOC 标题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14">
    <w:name w:val="无间隔111"/>
    <w:autoRedefine/>
    <w:qFormat/>
    <w:uiPriority w:val="1"/>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315">
    <w:name w:val="列出段落121"/>
    <w:basedOn w:val="1"/>
    <w:autoRedefine/>
    <w:qFormat/>
    <w:uiPriority w:val="0"/>
    <w:pPr>
      <w:ind w:firstLine="420" w:firstLineChars="200"/>
    </w:pPr>
    <w:rPr>
      <w:rFonts w:ascii="Times New Roman" w:hAnsi="Times New Roman" w:eastAsia="宋体" w:cs="Times New Roman"/>
      <w:szCs w:val="24"/>
    </w:rPr>
  </w:style>
  <w:style w:type="paragraph" w:customStyle="1" w:styleId="316">
    <w:name w:val="明显引用111"/>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317">
    <w:name w:val="书籍标题1111"/>
    <w:autoRedefine/>
    <w:qFormat/>
    <w:uiPriority w:val="0"/>
    <w:rPr>
      <w:b/>
      <w:bCs/>
      <w:smallCaps/>
      <w:spacing w:val="5"/>
    </w:rPr>
  </w:style>
  <w:style w:type="character" w:customStyle="1" w:styleId="318">
    <w:name w:val="明显强调1111"/>
    <w:autoRedefine/>
    <w:qFormat/>
    <w:uiPriority w:val="0"/>
    <w:rPr>
      <w:b/>
      <w:bCs/>
      <w:i/>
      <w:iCs/>
      <w:color w:val="4F81BD"/>
    </w:rPr>
  </w:style>
  <w:style w:type="character" w:customStyle="1" w:styleId="319">
    <w:name w:val="不明显强调1111"/>
    <w:autoRedefine/>
    <w:qFormat/>
    <w:uiPriority w:val="0"/>
    <w:rPr>
      <w:i/>
      <w:iCs/>
      <w:color w:val="808080"/>
    </w:rPr>
  </w:style>
  <w:style w:type="character" w:customStyle="1" w:styleId="320">
    <w:name w:val="不明显参考1111"/>
    <w:autoRedefine/>
    <w:qFormat/>
    <w:uiPriority w:val="0"/>
    <w:rPr>
      <w:smallCaps/>
      <w:color w:val="auto"/>
      <w:u w:val="single"/>
    </w:rPr>
  </w:style>
  <w:style w:type="character" w:customStyle="1" w:styleId="321">
    <w:name w:val="明显参考1111"/>
    <w:autoRedefine/>
    <w:qFormat/>
    <w:uiPriority w:val="0"/>
    <w:rPr>
      <w:b/>
      <w:bCs/>
      <w:smallCaps/>
      <w:color w:val="auto"/>
      <w:spacing w:val="5"/>
      <w:u w:val="single"/>
    </w:rPr>
  </w:style>
  <w:style w:type="paragraph" w:customStyle="1" w:styleId="322">
    <w:name w:val="引用111"/>
    <w:basedOn w:val="1"/>
    <w:next w:val="1"/>
    <w:autoRedefine/>
    <w:qFormat/>
    <w:uiPriority w:val="0"/>
    <w:rPr>
      <w:rFonts w:ascii="Calibri" w:hAnsi="Calibri" w:eastAsia="宋体" w:cs="Times New Roman"/>
      <w:i/>
      <w:iCs/>
      <w:color w:val="000000"/>
      <w:sz w:val="22"/>
    </w:rPr>
  </w:style>
  <w:style w:type="paragraph" w:customStyle="1" w:styleId="323">
    <w:name w:val="修订1111"/>
    <w:autoRedefine/>
    <w:qFormat/>
    <w:uiPriority w:val="99"/>
    <w:rPr>
      <w:rFonts w:ascii="Times New Roman" w:hAnsi="Times New Roman" w:eastAsia="宋体" w:cs="Times New Roman"/>
      <w:kern w:val="2"/>
      <w:sz w:val="21"/>
      <w:szCs w:val="21"/>
      <w:lang w:val="en-US" w:eastAsia="zh-CN" w:bidi="ar-SA"/>
    </w:rPr>
  </w:style>
  <w:style w:type="paragraph" w:customStyle="1" w:styleId="324">
    <w:name w:val="TOC 标题1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25">
    <w:name w:val="表名称"/>
    <w:basedOn w:val="13"/>
    <w:autoRedefine/>
    <w:qFormat/>
    <w:uiPriority w:val="0"/>
    <w:pPr>
      <w:numPr>
        <w:ilvl w:val="0"/>
        <w:numId w:val="1"/>
      </w:numPr>
      <w:ind w:firstLine="0" w:firstLineChars="0"/>
      <w:jc w:val="center"/>
    </w:pPr>
    <w:rPr>
      <w:rFonts w:ascii="Times New Roman" w:hAnsi="Times New Roman" w:eastAsia="楷体_GB2312" w:cs="Times New Roman"/>
    </w:rPr>
  </w:style>
  <w:style w:type="paragraph" w:styleId="326">
    <w:name w:val="No Spacing"/>
    <w:qFormat/>
    <w:uiPriority w:val="1"/>
    <w:pPr>
      <w:widowControl w:val="0"/>
    </w:pPr>
    <w:rPr>
      <w:rFonts w:ascii="宋体" w:hAnsi="宋体" w:eastAsia="宋体" w:cstheme="minorBidi"/>
      <w:kern w:val="2"/>
      <w:sz w:val="21"/>
      <w:szCs w:val="22"/>
      <w:lang w:val="en-US" w:eastAsia="zh-CN" w:bidi="ar-SA"/>
    </w:rPr>
  </w:style>
  <w:style w:type="paragraph" w:customStyle="1" w:styleId="327">
    <w:name w:val="本文正文格式"/>
    <w:basedOn w:val="1"/>
    <w:qFormat/>
    <w:uiPriority w:val="0"/>
    <w:pPr>
      <w:spacing w:line="520" w:lineRule="exact"/>
      <w:ind w:firstLine="280" w:firstLineChars="100"/>
    </w:pPr>
    <w:rPr>
      <w:rFonts w:ascii="宋体" w:hAnsi="宋体" w:eastAsia="宋体" w:cs="宋体"/>
      <w:kern w:val="52"/>
      <w:sz w:val="28"/>
      <w:szCs w:val="28"/>
    </w:rPr>
  </w:style>
  <w:style w:type="table" w:customStyle="1" w:styleId="328">
    <w:name w:val="Table Normal"/>
    <w:unhideWhenUsed/>
    <w:qFormat/>
    <w:uiPriority w:val="0"/>
    <w:tblPr>
      <w:tblCellMar>
        <w:top w:w="0" w:type="dxa"/>
        <w:left w:w="0" w:type="dxa"/>
        <w:bottom w:w="0" w:type="dxa"/>
        <w:right w:w="0" w:type="dxa"/>
      </w:tblCellMar>
    </w:tblPr>
  </w:style>
  <w:style w:type="paragraph" w:customStyle="1" w:styleId="329">
    <w:name w:val="Table Paragraph"/>
    <w:basedOn w:val="1"/>
    <w:qFormat/>
    <w:uiPriority w:val="0"/>
    <w:pPr>
      <w:autoSpaceDE w:val="0"/>
      <w:autoSpaceDN w:val="0"/>
      <w:jc w:val="left"/>
    </w:pPr>
    <w:rPr>
      <w:rFonts w:ascii="宋体" w:hAnsi="宋体" w:eastAsia="宋体" w:cs="宋体"/>
      <w:kern w:val="0"/>
      <w:sz w:val="22"/>
      <w:szCs w:val="22"/>
      <w:lang w:eastAsia="en-US"/>
    </w:rPr>
  </w:style>
  <w:style w:type="paragraph" w:customStyle="1" w:styleId="330">
    <w:name w:val="_Style 81"/>
    <w:basedOn w:val="2"/>
    <w:next w:val="1"/>
    <w:qFormat/>
    <w:uiPriority w:val="0"/>
    <w:pPr>
      <w:outlineLvl w:val="9"/>
    </w:pPr>
  </w:style>
  <w:style w:type="paragraph" w:customStyle="1" w:styleId="331">
    <w:name w:val="标题 31"/>
    <w:basedOn w:val="1"/>
    <w:qFormat/>
    <w:uiPriority w:val="0"/>
    <w:pPr>
      <w:keepNext/>
      <w:keepLines/>
      <w:spacing w:before="260" w:beforeLines="0" w:after="260" w:afterLines="0" w:line="413" w:lineRule="auto"/>
      <w:outlineLvl w:val="2"/>
    </w:pPr>
    <w:rPr>
      <w:rFonts w:ascii="Times New Roman" w:hAnsi="Times New Roman" w:eastAsia="宋体"/>
      <w:b/>
      <w:bCs/>
      <w:kern w:val="2"/>
      <w:sz w:val="32"/>
      <w:szCs w:val="32"/>
    </w:rPr>
  </w:style>
  <w:style w:type="paragraph" w:customStyle="1" w:styleId="332">
    <w:name w:val="标题 41"/>
    <w:basedOn w:val="1"/>
    <w:qFormat/>
    <w:uiPriority w:val="0"/>
    <w:pPr>
      <w:keepNext/>
      <w:keepLines/>
      <w:spacing w:before="280" w:beforeLines="0" w:after="290" w:afterLines="0" w:line="372" w:lineRule="auto"/>
      <w:outlineLvl w:val="3"/>
    </w:pPr>
    <w:rPr>
      <w:rFonts w:ascii="Cambria" w:hAnsi="Cambria" w:eastAsia="宋体"/>
      <w:b/>
      <w:bCs/>
      <w:kern w:val="2"/>
      <w:sz w:val="28"/>
      <w:szCs w:val="28"/>
    </w:rPr>
  </w:style>
  <w:style w:type="paragraph" w:customStyle="1" w:styleId="333">
    <w:name w:val="标题 51"/>
    <w:basedOn w:val="1"/>
    <w:qFormat/>
    <w:uiPriority w:val="0"/>
    <w:pPr>
      <w:keepNext/>
      <w:keepLines/>
      <w:spacing w:before="280" w:beforeLines="0" w:after="290" w:afterLines="0" w:line="372" w:lineRule="auto"/>
      <w:outlineLvl w:val="4"/>
    </w:pPr>
    <w:rPr>
      <w:rFonts w:ascii="Times New Roman" w:hAnsi="Times New Roman" w:eastAsia="宋体"/>
      <w:b/>
      <w:bCs/>
      <w:kern w:val="2"/>
      <w:sz w:val="28"/>
      <w:szCs w:val="28"/>
    </w:rPr>
  </w:style>
  <w:style w:type="character" w:customStyle="1" w:styleId="334">
    <w:name w:val="NormalCharacter"/>
    <w:qFormat/>
    <w:uiPriority w:val="0"/>
    <w:rPr>
      <w:rFonts w:ascii="Times New Roman" w:hAnsi="Times New Roman" w:eastAsia="宋体"/>
    </w:rPr>
  </w:style>
  <w:style w:type="paragraph" w:customStyle="1" w:styleId="335">
    <w:name w:val="页脚1"/>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923A31-1552-4096-BDC1-9F2E23365B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17458</Words>
  <Characters>18705</Characters>
  <Lines>355</Lines>
  <Paragraphs>100</Paragraphs>
  <TotalTime>27</TotalTime>
  <ScaleCrop>false</ScaleCrop>
  <LinksUpToDate>false</LinksUpToDate>
  <CharactersWithSpaces>19798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2021-12-06T04:29:00Z</dcterms:created>
  <dc:creator>Administrator</dc:creator>
  <cp:lastModifiedBy>.</cp:lastModifiedBy>
  <cp:lastPrinted>2025-06-18T07:50:00Z</cp:lastPrinted>
  <dcterms:modified xsi:type="dcterms:W3CDTF">2026-07-15T06:12:22Z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7A75F7A2751F4091900D1A56C2CA12A2_13</vt:lpwstr>
  </property>
  <property fmtid="{D5CDD505-2E9C-101B-9397-08002B2CF9AE}" pid="4" name="KSOTemplateDocerSaveRecord">
    <vt:lpwstr>eyJoZGlkIjoiYzE5M2NlMWI0ZmI4MTMyOTFjNDg1ODY2YTdiMDE0NzAiLCJ1c2VySWQiOiIyMDc2NjcyMDcifQ==</vt:lpwstr>
  </property>
</Properties>
</file>