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44232">
      <w:pPr>
        <w:wordWrap w:val="0"/>
        <w:snapToGrid w:val="0"/>
        <w:spacing w:line="360" w:lineRule="auto"/>
        <w:jc w:val="right"/>
        <w:rPr>
          <w:rFonts w:ascii="仿宋_GB2312" w:hAnsi="仿宋" w:eastAsia="仿宋_GB2312"/>
          <w:color w:val="000000"/>
          <w:highlight w:val="none"/>
        </w:rPr>
      </w:pPr>
      <w:r>
        <w:rPr>
          <w:rFonts w:hint="eastAsia" w:ascii="仿宋_GB2312" w:hAnsi="仿宋" w:eastAsia="仿宋_GB2312"/>
          <w:color w:val="000000"/>
          <w:highlight w:val="none"/>
        </w:rPr>
        <w:drawing>
          <wp:anchor distT="0" distB="0" distL="114300" distR="114300" simplePos="0" relativeHeight="251660288" behindDoc="0" locked="0" layoutInCell="1" allowOverlap="1">
            <wp:simplePos x="0" y="0"/>
            <wp:positionH relativeFrom="column">
              <wp:posOffset>2529205</wp:posOffset>
            </wp:positionH>
            <wp:positionV relativeFrom="paragraph">
              <wp:posOffset>-99060</wp:posOffset>
            </wp:positionV>
            <wp:extent cx="916305" cy="578485"/>
            <wp:effectExtent l="0" t="0" r="17145" b="12065"/>
            <wp:wrapNone/>
            <wp:docPr id="13" name="图片 13" descr="中合安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中合安建"/>
                    <pic:cNvPicPr>
                      <a:picLocks noChangeAspect="1"/>
                    </pic:cNvPicPr>
                  </pic:nvPicPr>
                  <pic:blipFill>
                    <a:blip r:embed="rId21"/>
                    <a:stretch>
                      <a:fillRect/>
                    </a:stretch>
                  </pic:blipFill>
                  <pic:spPr>
                    <a:xfrm>
                      <a:off x="0" y="0"/>
                      <a:ext cx="916305" cy="578485"/>
                    </a:xfrm>
                    <a:prstGeom prst="rect">
                      <a:avLst/>
                    </a:prstGeom>
                  </pic:spPr>
                </pic:pic>
              </a:graphicData>
            </a:graphic>
          </wp:anchor>
        </w:drawing>
      </w:r>
      <w:r>
        <w:rPr>
          <w:rFonts w:ascii="仿宋_GB2312" w:hAnsi="仿宋" w:eastAsia="仿宋_GB2312"/>
          <w:b/>
          <w:color w:val="000000"/>
          <w:kern w:val="16"/>
          <w:highlight w:val="none"/>
        </w:rPr>
        <w:pict>
          <v:shape id="_x0000_s1027" o:spid="_x0000_s1027" o:spt="136" alt="water" type="#_x0000_t136" style="position:absolute;left:0pt;margin-left:273.35pt;margin-top:5.9pt;height:19.25pt;width:206.55pt;mso-wrap-distance-left:9pt;mso-wrap-distance-right:9pt;z-index:-251654144;mso-width-relative:page;mso-height-relative:page;" fillcolor="#002060" filled="t" stroked="t" coordsize="21600,21600" wrapcoords="11206 0 4393 62 822 64 827 2325 820 4629 239 4631 244 6840 246 9639 244 12370 239 14375 820 14377 827 18214 822 21502 9399 21504 11242 21600 11258 21600 14928 21504 16396 21502 16435 21342 21142 21340 21180 21136 21213 20889 21240 20599 21262 20267 21279 19892 21290 19473 21296 19013 21297 18509 21297 2708 21353 2160 21234 972 19015 970 18998 356 15256 354 15208 64 11229 62 11222 0 11206 0" adj="10800">
            <v:path/>
            <v:fill type="gradient" on="t" color2="#FFFFFF" colors="0f #012D86;65536f #0E2557" focus="0%" focussize="0f,0f" focusposition="0f,0f" rotate="t">
              <o:fill type="gradientUnscaled" v:ext="backwardCompatible"/>
            </v:fill>
            <v:stroke weight="1.5pt" color="#99CCFF"/>
            <v:imagedata o:title=""/>
            <o:lock v:ext="edit" aspectratio="f"/>
            <v:textpath on="t" fitshape="t" fitpath="t" trim="t" xscale="f" string="中合安建工程管理有限公司" style="font-family:宋体;font-size:36pt;v-text-align:center;"/>
            <v:shadow on="t" obscured="f" color="#990000" opacity="65536f" offset="2pt,2pt" offset2="-2pt,-2pt" origin="0f,0f" matrix="65536f,0f,0f,65536f,0,0"/>
            <w10:wrap type="tight"/>
          </v:shape>
        </w:pict>
      </w:r>
      <w:r>
        <w:rPr>
          <w:rFonts w:hint="eastAsia" w:ascii="仿宋_GB2312" w:hAnsi="仿宋" w:eastAsia="仿宋_GB2312"/>
          <w:color w:val="000000"/>
          <w:highlight w:val="none"/>
        </w:rPr>
        <w:t xml:space="preserve">                </w:t>
      </w:r>
    </w:p>
    <w:p w14:paraId="09693659">
      <w:pPr>
        <w:wordWrap w:val="0"/>
        <w:snapToGrid w:val="0"/>
        <w:spacing w:line="360" w:lineRule="auto"/>
        <w:jc w:val="right"/>
        <w:rPr>
          <w:rFonts w:ascii="黑体" w:hAnsi="黑体" w:eastAsia="黑体"/>
          <w:color w:val="000000"/>
          <w:highlight w:val="none"/>
        </w:rPr>
      </w:pPr>
      <w:r>
        <w:rPr>
          <w:rFonts w:hint="eastAsia" w:ascii="仿宋_GB2312" w:hAnsi="仿宋" w:eastAsia="仿宋_GB2312"/>
          <w:color w:val="000000"/>
          <w:highlight w:val="none"/>
        </w:rPr>
        <w:t xml:space="preserve"> </w:t>
      </w:r>
    </w:p>
    <w:p w14:paraId="4B79AD2A">
      <w:pPr>
        <w:shd w:val="clear"/>
        <w:wordWrap w:val="0"/>
        <w:snapToGrid w:val="0"/>
        <w:spacing w:line="360" w:lineRule="auto"/>
        <w:ind w:right="480"/>
        <w:jc w:val="right"/>
        <w:rPr>
          <w:rFonts w:hint="eastAsia" w:ascii="黑体" w:hAnsi="黑体" w:eastAsia="黑体"/>
          <w:color w:val="000000"/>
          <w:highlight w:val="none"/>
          <w:shd w:val="clear"/>
          <w:lang w:val="en-US" w:eastAsia="zh-CN"/>
        </w:rPr>
      </w:pPr>
      <w:r>
        <w:rPr>
          <w:rFonts w:hint="eastAsia" w:ascii="黑体" w:hAnsi="黑体" w:eastAsia="黑体"/>
          <w:color w:val="000000"/>
          <w:highlight w:val="none"/>
          <w:shd w:val="clear"/>
          <w:lang w:val="en-US" w:eastAsia="zh-CN"/>
        </w:rPr>
        <w:t xml:space="preserve">                 </w:t>
      </w:r>
    </w:p>
    <w:p w14:paraId="08EBDA64">
      <w:pPr>
        <w:keepNext w:val="0"/>
        <w:keepLines w:val="0"/>
        <w:pageBreakBefore w:val="0"/>
        <w:widowControl w:val="0"/>
        <w:shd w:val="clear"/>
        <w:kinsoku/>
        <w:wordWrap w:val="0"/>
        <w:overflowPunct/>
        <w:topLinePunct w:val="0"/>
        <w:autoSpaceDE/>
        <w:autoSpaceDN/>
        <w:bidi w:val="0"/>
        <w:adjustRightInd/>
        <w:snapToGrid w:val="0"/>
        <w:spacing w:line="360" w:lineRule="auto"/>
        <w:ind w:right="0"/>
        <w:jc w:val="right"/>
        <w:textAlignment w:val="auto"/>
        <w:rPr>
          <w:rFonts w:hint="eastAsia" w:ascii="黑体" w:hAnsi="黑体" w:eastAsia="黑体"/>
          <w:color w:val="000000"/>
          <w:highlight w:val="none"/>
          <w:lang w:val="en-US" w:eastAsia="zh-CN"/>
        </w:rPr>
      </w:pPr>
      <w:r>
        <w:rPr>
          <w:rFonts w:hint="eastAsia" w:ascii="黑体" w:hAnsi="黑体" w:eastAsia="黑体"/>
          <w:color w:val="000000"/>
          <w:highlight w:val="none"/>
          <w:shd w:val="clear"/>
          <w:lang w:val="en-US" w:eastAsia="zh-CN"/>
        </w:rPr>
        <w:t xml:space="preserve"> </w:t>
      </w:r>
      <w:r>
        <w:rPr>
          <w:rFonts w:hint="eastAsia" w:ascii="黑体" w:hAnsi="黑体" w:eastAsia="黑体"/>
          <w:color w:val="000000"/>
          <w:sz w:val="24"/>
          <w:szCs w:val="22"/>
          <w:highlight w:val="none"/>
          <w:shd w:val="clear"/>
        </w:rPr>
        <w:t>项</w:t>
      </w:r>
      <w:r>
        <w:rPr>
          <w:rFonts w:hint="eastAsia" w:ascii="黑体" w:hAnsi="黑体" w:eastAsia="黑体" w:cs="Times New Roman"/>
          <w:color w:val="000000"/>
          <w:sz w:val="24"/>
          <w:szCs w:val="22"/>
          <w:highlight w:val="none"/>
          <w:shd w:val="clear"/>
        </w:rPr>
        <w:t>目编号：</w:t>
      </w:r>
      <w:r>
        <w:rPr>
          <w:rFonts w:hint="eastAsia" w:ascii="黑体" w:hAnsi="黑体" w:eastAsia="黑体" w:cs="Times New Roman"/>
          <w:color w:val="000000"/>
          <w:sz w:val="24"/>
          <w:szCs w:val="22"/>
          <w:highlight w:val="none"/>
          <w:shd w:val="clear"/>
          <w:lang w:eastAsia="zh-CN"/>
        </w:rPr>
        <w:t>2026ZHAJN-09</w:t>
      </w:r>
      <w:r>
        <w:rPr>
          <w:rFonts w:hint="eastAsia" w:ascii="黑体" w:hAnsi="黑体" w:eastAsia="黑体" w:cs="Times New Roman"/>
          <w:color w:val="000000"/>
          <w:sz w:val="24"/>
          <w:szCs w:val="22"/>
          <w:highlight w:val="none"/>
          <w:shd w:val="clear"/>
          <w:lang w:val="en-US" w:eastAsia="zh-CN"/>
        </w:rPr>
        <w:t xml:space="preserve"> </w:t>
      </w:r>
    </w:p>
    <w:p w14:paraId="07B167DB">
      <w:pPr>
        <w:snapToGrid w:val="0"/>
        <w:spacing w:line="360" w:lineRule="auto"/>
        <w:jc w:val="right"/>
        <w:rPr>
          <w:rFonts w:ascii="黑体" w:hAnsi="黑体" w:eastAsia="黑体"/>
          <w:color w:val="000000"/>
          <w:highlight w:val="none"/>
        </w:rPr>
      </w:pPr>
    </w:p>
    <w:p w14:paraId="15A16FE5">
      <w:pPr>
        <w:snapToGrid w:val="0"/>
        <w:spacing w:line="360" w:lineRule="auto"/>
        <w:jc w:val="center"/>
        <w:rPr>
          <w:rFonts w:hint="eastAsia" w:ascii="黑体" w:hAnsi="黑体" w:eastAsia="黑体"/>
          <w:color w:val="000000"/>
          <w:sz w:val="52"/>
          <w:szCs w:val="52"/>
          <w:highlight w:val="none"/>
          <w:lang w:eastAsia="zh-CN"/>
        </w:rPr>
      </w:pPr>
    </w:p>
    <w:p w14:paraId="4F7EAF98">
      <w:pPr>
        <w:pStyle w:val="9"/>
        <w:jc w:val="center"/>
        <w:rPr>
          <w:rFonts w:hint="eastAsia"/>
          <w:highlight w:val="none"/>
        </w:rPr>
      </w:pPr>
      <w:r>
        <w:rPr>
          <w:rFonts w:hint="eastAsia" w:ascii="黑体" w:hAnsi="黑体" w:eastAsia="黑体" w:cs="黑体"/>
          <w:b/>
          <w:sz w:val="56"/>
          <w:szCs w:val="56"/>
          <w:highlight w:val="none"/>
          <w:lang w:eastAsia="zh-CN"/>
        </w:rPr>
        <w:t>新疆农业大学2026年基建维修项目监理服务</w:t>
      </w:r>
    </w:p>
    <w:p w14:paraId="16CC0A5B">
      <w:pPr>
        <w:pStyle w:val="4"/>
        <w:numPr>
          <w:ilvl w:val="0"/>
          <w:numId w:val="0"/>
        </w:numPr>
        <w:ind w:leftChars="0"/>
        <w:rPr>
          <w:rFonts w:hint="eastAsia"/>
          <w:highlight w:val="none"/>
        </w:rPr>
      </w:pPr>
    </w:p>
    <w:p w14:paraId="569B542E">
      <w:pPr>
        <w:snapToGrid w:val="0"/>
        <w:jc w:val="center"/>
        <w:rPr>
          <w:rFonts w:hint="eastAsia" w:ascii="黑体" w:hAnsi="黑体" w:eastAsia="黑体"/>
          <w:color w:val="000000"/>
          <w:sz w:val="78"/>
          <w:highlight w:val="none"/>
        </w:rPr>
      </w:pPr>
    </w:p>
    <w:p w14:paraId="112BF078">
      <w:pPr>
        <w:pStyle w:val="19"/>
        <w:rPr>
          <w:rFonts w:hint="eastAsia"/>
        </w:rPr>
      </w:pPr>
    </w:p>
    <w:p w14:paraId="6DFF642B">
      <w:pPr>
        <w:snapToGrid w:val="0"/>
        <w:jc w:val="center"/>
        <w:rPr>
          <w:rFonts w:hint="eastAsia" w:ascii="黑体" w:hAnsi="黑体" w:eastAsia="黑体"/>
          <w:color w:val="000000"/>
          <w:sz w:val="78"/>
          <w:highlight w:val="none"/>
        </w:rPr>
      </w:pPr>
      <w:r>
        <w:rPr>
          <w:rFonts w:hint="eastAsia" w:ascii="黑体" w:hAnsi="黑体" w:eastAsia="黑体"/>
          <w:color w:val="000000"/>
          <w:sz w:val="78"/>
          <w:highlight w:val="none"/>
          <w:lang w:eastAsia="zh-CN"/>
        </w:rPr>
        <w:t>竞争性磋商</w:t>
      </w:r>
      <w:r>
        <w:rPr>
          <w:rFonts w:hint="eastAsia" w:ascii="黑体" w:hAnsi="黑体" w:eastAsia="黑体"/>
          <w:color w:val="000000"/>
          <w:sz w:val="78"/>
          <w:highlight w:val="none"/>
        </w:rPr>
        <w:t>文件</w:t>
      </w:r>
    </w:p>
    <w:p w14:paraId="2674031C">
      <w:pPr>
        <w:snapToGrid w:val="0"/>
        <w:spacing w:line="360" w:lineRule="auto"/>
        <w:rPr>
          <w:rFonts w:hint="eastAsia" w:ascii="黑体" w:hAnsi="黑体" w:eastAsia="黑体"/>
          <w:color w:val="000000"/>
          <w:sz w:val="32"/>
          <w:highlight w:val="none"/>
        </w:rPr>
      </w:pPr>
    </w:p>
    <w:p w14:paraId="074A176F">
      <w:pPr>
        <w:rPr>
          <w:rFonts w:hint="eastAsia"/>
          <w:highlight w:val="none"/>
        </w:rPr>
      </w:pPr>
    </w:p>
    <w:p w14:paraId="75910CEF">
      <w:pPr>
        <w:pStyle w:val="9"/>
        <w:rPr>
          <w:rFonts w:hint="eastAsia"/>
          <w:highlight w:val="none"/>
        </w:rPr>
      </w:pPr>
    </w:p>
    <w:p w14:paraId="4144B0E9">
      <w:pPr>
        <w:pStyle w:val="9"/>
        <w:ind w:left="1480" w:hanging="640"/>
        <w:rPr>
          <w:rFonts w:hint="eastAsia" w:ascii="黑体" w:hAnsi="黑体" w:eastAsia="黑体"/>
          <w:sz w:val="32"/>
          <w:highlight w:val="none"/>
        </w:rPr>
      </w:pPr>
    </w:p>
    <w:p w14:paraId="532DCB44">
      <w:pPr>
        <w:rPr>
          <w:rFonts w:hint="eastAsia" w:ascii="黑体" w:hAnsi="黑体" w:eastAsia="黑体"/>
          <w:sz w:val="32"/>
          <w:highlight w:val="none"/>
        </w:rPr>
      </w:pPr>
    </w:p>
    <w:p w14:paraId="2A261367">
      <w:pPr>
        <w:pStyle w:val="19"/>
        <w:rPr>
          <w:rFonts w:hint="eastAsia"/>
        </w:rPr>
      </w:pPr>
    </w:p>
    <w:p w14:paraId="31A43B79">
      <w:pPr>
        <w:snapToGrid w:val="0"/>
        <w:spacing w:line="360" w:lineRule="auto"/>
        <w:ind w:left="2240" w:hanging="2240" w:hangingChars="700"/>
        <w:rPr>
          <w:rFonts w:hint="eastAsia" w:ascii="黑体" w:hAnsi="黑体" w:eastAsia="黑体"/>
          <w:color w:val="000000"/>
          <w:sz w:val="32"/>
          <w:szCs w:val="32"/>
          <w:highlight w:val="none"/>
        </w:rPr>
      </w:pPr>
    </w:p>
    <w:p w14:paraId="4E0265A4">
      <w:pPr>
        <w:snapToGrid w:val="0"/>
        <w:spacing w:line="360" w:lineRule="auto"/>
        <w:ind w:left="2240" w:hanging="2240" w:hangingChars="700"/>
        <w:rPr>
          <w:rFonts w:hint="eastAsia" w:ascii="黑体" w:hAnsi="黑体" w:eastAsia="黑体"/>
          <w:color w:val="000000"/>
          <w:spacing w:val="0"/>
          <w:sz w:val="32"/>
          <w:szCs w:val="32"/>
          <w:highlight w:val="none"/>
        </w:rPr>
      </w:pPr>
      <w:r>
        <w:rPr>
          <w:rFonts w:hint="eastAsia" w:ascii="黑体" w:hAnsi="黑体" w:eastAsia="黑体"/>
          <w:color w:val="000000"/>
          <w:spacing w:val="0"/>
          <w:sz w:val="32"/>
          <w:szCs w:val="32"/>
          <w:highlight w:val="none"/>
        </w:rPr>
        <w:t xml:space="preserve">采 </w:t>
      </w:r>
      <w:r>
        <w:rPr>
          <w:rFonts w:hint="eastAsia" w:ascii="黑体" w:hAnsi="黑体" w:eastAsia="黑体"/>
          <w:color w:val="000000"/>
          <w:spacing w:val="0"/>
          <w:sz w:val="32"/>
          <w:szCs w:val="32"/>
          <w:highlight w:val="none"/>
          <w:lang w:val="en-US" w:eastAsia="zh-CN"/>
        </w:rPr>
        <w:t xml:space="preserve"> </w:t>
      </w:r>
      <w:r>
        <w:rPr>
          <w:rFonts w:hint="eastAsia" w:ascii="黑体" w:hAnsi="黑体" w:eastAsia="黑体"/>
          <w:color w:val="000000"/>
          <w:spacing w:val="0"/>
          <w:sz w:val="32"/>
          <w:szCs w:val="32"/>
          <w:highlight w:val="none"/>
        </w:rPr>
        <w:t xml:space="preserve"> 购  </w:t>
      </w:r>
      <w:r>
        <w:rPr>
          <w:rFonts w:hint="eastAsia" w:ascii="黑体" w:hAnsi="黑体" w:eastAsia="黑体"/>
          <w:color w:val="000000"/>
          <w:spacing w:val="0"/>
          <w:sz w:val="32"/>
          <w:szCs w:val="32"/>
          <w:highlight w:val="none"/>
          <w:lang w:val="en-US" w:eastAsia="zh-CN"/>
        </w:rPr>
        <w:t xml:space="preserve"> </w:t>
      </w:r>
      <w:r>
        <w:rPr>
          <w:rFonts w:hint="eastAsia" w:ascii="黑体" w:hAnsi="黑体" w:eastAsia="黑体"/>
          <w:color w:val="000000"/>
          <w:spacing w:val="0"/>
          <w:sz w:val="32"/>
          <w:szCs w:val="32"/>
          <w:highlight w:val="none"/>
        </w:rPr>
        <w:t>人：</w:t>
      </w:r>
      <w:r>
        <w:rPr>
          <w:rFonts w:hint="eastAsia" w:ascii="黑体" w:hAnsi="黑体" w:eastAsia="黑体" w:cs="Times New Roman"/>
          <w:color w:val="000000"/>
          <w:spacing w:val="0"/>
          <w:sz w:val="32"/>
          <w:szCs w:val="32"/>
          <w:highlight w:val="none"/>
          <w:lang w:eastAsia="zh-CN"/>
        </w:rPr>
        <w:t>新疆农业大学</w:t>
      </w:r>
    </w:p>
    <w:p w14:paraId="4B1171C3">
      <w:pPr>
        <w:snapToGrid w:val="0"/>
        <w:spacing w:line="360" w:lineRule="auto"/>
        <w:rPr>
          <w:rFonts w:hint="eastAsia" w:ascii="黑体" w:hAnsi="黑体" w:eastAsia="黑体"/>
          <w:color w:val="000000"/>
          <w:spacing w:val="0"/>
          <w:sz w:val="32"/>
          <w:szCs w:val="32"/>
          <w:highlight w:val="none"/>
          <w:lang w:eastAsia="zh-CN"/>
        </w:rPr>
      </w:pPr>
      <w:r>
        <w:rPr>
          <w:rFonts w:hint="eastAsia" w:ascii="黑体" w:hAnsi="黑体" w:eastAsia="黑体"/>
          <w:color w:val="000000"/>
          <w:spacing w:val="0"/>
          <w:sz w:val="32"/>
          <w:szCs w:val="32"/>
          <w:highlight w:val="none"/>
        </w:rPr>
        <w:t>采购代理机构：</w:t>
      </w:r>
      <w:r>
        <w:rPr>
          <w:rFonts w:hint="eastAsia" w:ascii="黑体" w:hAnsi="黑体" w:eastAsia="黑体"/>
          <w:color w:val="000000"/>
          <w:spacing w:val="0"/>
          <w:sz w:val="32"/>
          <w:szCs w:val="32"/>
          <w:highlight w:val="none"/>
          <w:lang w:eastAsia="zh-CN"/>
        </w:rPr>
        <w:t>中合安建工程管理有限公司</w:t>
      </w:r>
    </w:p>
    <w:p w14:paraId="461664DA">
      <w:pPr>
        <w:snapToGrid w:val="0"/>
        <w:spacing w:line="360" w:lineRule="auto"/>
        <w:jc w:val="left"/>
        <w:rPr>
          <w:rFonts w:hint="eastAsia" w:ascii="仿宋" w:hAnsi="仿宋" w:eastAsia="仿宋"/>
          <w:color w:val="000000"/>
          <w:spacing w:val="0"/>
          <w:highlight w:val="none"/>
        </w:rPr>
      </w:pPr>
      <w:r>
        <w:rPr>
          <w:rFonts w:hint="eastAsia" w:ascii="黑体" w:hAnsi="黑体" w:eastAsia="黑体"/>
          <w:color w:val="000000"/>
          <w:spacing w:val="0"/>
          <w:sz w:val="32"/>
          <w:szCs w:val="32"/>
          <w:highlight w:val="none"/>
        </w:rPr>
        <w:t>文件编制日期：202</w:t>
      </w:r>
      <w:r>
        <w:rPr>
          <w:rFonts w:hint="eastAsia" w:ascii="黑体" w:hAnsi="黑体" w:eastAsia="黑体"/>
          <w:color w:val="000000"/>
          <w:spacing w:val="0"/>
          <w:sz w:val="32"/>
          <w:szCs w:val="32"/>
          <w:highlight w:val="none"/>
          <w:lang w:val="en-US" w:eastAsia="zh-CN"/>
        </w:rPr>
        <w:t>6</w:t>
      </w:r>
      <w:r>
        <w:rPr>
          <w:rFonts w:hint="eastAsia" w:ascii="黑体" w:hAnsi="黑体" w:eastAsia="黑体"/>
          <w:color w:val="000000"/>
          <w:spacing w:val="0"/>
          <w:sz w:val="32"/>
          <w:szCs w:val="32"/>
          <w:highlight w:val="none"/>
        </w:rPr>
        <w:t>年</w:t>
      </w:r>
      <w:r>
        <w:rPr>
          <w:rFonts w:hint="eastAsia" w:ascii="黑体" w:hAnsi="黑体" w:eastAsia="黑体"/>
          <w:color w:val="000000"/>
          <w:spacing w:val="0"/>
          <w:sz w:val="32"/>
          <w:szCs w:val="32"/>
          <w:highlight w:val="none"/>
          <w:lang w:val="en-US" w:eastAsia="zh-CN"/>
        </w:rPr>
        <w:t>5</w:t>
      </w:r>
      <w:r>
        <w:rPr>
          <w:rFonts w:hint="eastAsia" w:ascii="黑体" w:hAnsi="黑体" w:eastAsia="黑体"/>
          <w:color w:val="000000"/>
          <w:spacing w:val="0"/>
          <w:sz w:val="32"/>
          <w:szCs w:val="32"/>
          <w:highlight w:val="none"/>
        </w:rPr>
        <w:t>月</w:t>
      </w:r>
    </w:p>
    <w:p w14:paraId="1509B57C">
      <w:pPr>
        <w:tabs>
          <w:tab w:val="left" w:pos="1134"/>
          <w:tab w:val="left" w:pos="5481"/>
          <w:tab w:val="left" w:pos="5859"/>
        </w:tabs>
        <w:spacing w:line="360" w:lineRule="auto"/>
        <w:rPr>
          <w:rFonts w:hint="eastAsia" w:ascii="宋体" w:hAnsi="宋体" w:cs="宋体"/>
          <w:b/>
          <w:sz w:val="72"/>
          <w:szCs w:val="72"/>
          <w:highlight w:val="none"/>
        </w:rPr>
        <w:sectPr>
          <w:headerReference r:id="rId3" w:type="first"/>
          <w:footerReference r:id="rId5" w:type="first"/>
          <w:footerReference r:id="rId4" w:type="default"/>
          <w:pgSz w:w="11911" w:h="16838"/>
          <w:pgMar w:top="1440" w:right="1140" w:bottom="1440" w:left="1140" w:header="850" w:footer="1088" w:gutter="0"/>
          <w:pgNumType w:start="1"/>
          <w:cols w:space="0" w:num="1"/>
          <w:rtlGutter w:val="0"/>
          <w:docGrid w:linePitch="312" w:charSpace="0"/>
        </w:sectPr>
      </w:pPr>
    </w:p>
    <w:p w14:paraId="449FE6CA">
      <w:pPr>
        <w:jc w:val="center"/>
        <w:rPr>
          <w:rStyle w:val="49"/>
          <w:rFonts w:hint="eastAsia" w:ascii="仿宋" w:hAnsi="仿宋" w:eastAsia="仿宋" w:cs="仿宋"/>
          <w:b/>
          <w:bCs/>
          <w:color w:val="000000"/>
          <w:sz w:val="56"/>
          <w:szCs w:val="56"/>
          <w:highlight w:val="none"/>
        </w:rPr>
      </w:pPr>
    </w:p>
    <w:p w14:paraId="0979A96E">
      <w:pPr>
        <w:pStyle w:val="9"/>
        <w:rPr>
          <w:rStyle w:val="49"/>
          <w:rFonts w:hint="eastAsia" w:ascii="仿宋" w:hAnsi="仿宋" w:eastAsia="仿宋" w:cs="仿宋"/>
          <w:b/>
          <w:bCs/>
          <w:color w:val="000000"/>
          <w:sz w:val="56"/>
          <w:szCs w:val="56"/>
          <w:highlight w:val="none"/>
        </w:rPr>
      </w:pPr>
    </w:p>
    <w:p w14:paraId="7B647673">
      <w:pPr>
        <w:jc w:val="center"/>
        <w:rPr>
          <w:rStyle w:val="49"/>
          <w:rFonts w:hint="eastAsia" w:ascii="仿宋" w:hAnsi="仿宋" w:eastAsia="仿宋" w:cs="仿宋"/>
          <w:b/>
          <w:bCs/>
          <w:color w:val="000000"/>
          <w:sz w:val="52"/>
          <w:szCs w:val="52"/>
          <w:highlight w:val="none"/>
        </w:rPr>
      </w:pPr>
      <w:r>
        <w:rPr>
          <w:rStyle w:val="49"/>
          <w:rFonts w:hint="eastAsia" w:ascii="仿宋" w:hAnsi="仿宋" w:eastAsia="仿宋" w:cs="仿宋"/>
          <w:b/>
          <w:bCs/>
          <w:color w:val="000000"/>
          <w:sz w:val="52"/>
          <w:szCs w:val="52"/>
          <w:highlight w:val="none"/>
          <w:lang w:eastAsia="zh-CN"/>
        </w:rPr>
        <w:t>竞争性磋商</w:t>
      </w:r>
      <w:r>
        <w:rPr>
          <w:rStyle w:val="49"/>
          <w:rFonts w:hint="eastAsia" w:ascii="仿宋" w:hAnsi="仿宋" w:eastAsia="仿宋" w:cs="仿宋"/>
          <w:b/>
          <w:bCs/>
          <w:color w:val="000000"/>
          <w:sz w:val="52"/>
          <w:szCs w:val="52"/>
          <w:highlight w:val="none"/>
        </w:rPr>
        <w:t>文件</w:t>
      </w:r>
    </w:p>
    <w:p w14:paraId="49320647">
      <w:pPr>
        <w:pStyle w:val="6"/>
        <w:rPr>
          <w:rStyle w:val="49"/>
          <w:rFonts w:hint="eastAsia" w:ascii="仿宋" w:hAnsi="仿宋" w:eastAsia="仿宋" w:cs="仿宋"/>
          <w:b/>
          <w:bCs/>
          <w:color w:val="000000"/>
          <w:sz w:val="56"/>
          <w:szCs w:val="56"/>
          <w:highlight w:val="none"/>
        </w:rPr>
      </w:pPr>
    </w:p>
    <w:p w14:paraId="0302FC65">
      <w:pPr>
        <w:rPr>
          <w:rFonts w:hint="eastAsia"/>
        </w:rPr>
      </w:pPr>
    </w:p>
    <w:p w14:paraId="78478DA6">
      <w:pPr>
        <w:pStyle w:val="12"/>
        <w:ind w:firstLine="280"/>
        <w:rPr>
          <w:rFonts w:hint="eastAsia"/>
          <w:highlight w:val="none"/>
        </w:rPr>
      </w:pPr>
    </w:p>
    <w:p w14:paraId="0845F82F">
      <w:pPr>
        <w:rPr>
          <w:rFonts w:hint="eastAsia"/>
          <w:highlight w:val="none"/>
        </w:rPr>
      </w:pPr>
    </w:p>
    <w:p w14:paraId="1856FD72">
      <w:pPr>
        <w:tabs>
          <w:tab w:val="left" w:pos="2100"/>
        </w:tabs>
        <w:snapToGrid w:val="0"/>
        <w:spacing w:line="480" w:lineRule="auto"/>
        <w:ind w:left="1826" w:leftChars="-70" w:hanging="1973" w:hangingChars="702"/>
        <w:rPr>
          <w:rFonts w:hint="eastAsia" w:ascii="仿宋" w:hAnsi="仿宋" w:eastAsia="仿宋" w:cs="仿宋"/>
          <w:b/>
          <w:color w:val="000000"/>
          <w:spacing w:val="0"/>
          <w:sz w:val="28"/>
          <w:szCs w:val="28"/>
          <w:highlight w:val="none"/>
          <w:lang w:eastAsia="zh-CN"/>
        </w:rPr>
      </w:pPr>
      <w:r>
        <w:rPr>
          <w:rFonts w:hint="eastAsia" w:ascii="仿宋" w:hAnsi="仿宋" w:eastAsia="仿宋" w:cs="仿宋"/>
          <w:b/>
          <w:color w:val="000000"/>
          <w:sz w:val="28"/>
          <w:szCs w:val="28"/>
          <w:highlight w:val="none"/>
        </w:rPr>
        <w:t>项目名称：</w:t>
      </w:r>
      <w:r>
        <w:rPr>
          <w:rFonts w:hint="eastAsia" w:ascii="仿宋" w:hAnsi="仿宋" w:eastAsia="仿宋" w:cs="仿宋"/>
          <w:b/>
          <w:color w:val="000000"/>
          <w:sz w:val="28"/>
          <w:szCs w:val="28"/>
          <w:highlight w:val="none"/>
          <w:lang w:val="en-US" w:eastAsia="zh-CN"/>
        </w:rPr>
        <w:t>新疆农业大学2026年基建维修项目监理服务</w:t>
      </w:r>
    </w:p>
    <w:p w14:paraId="7A8551E7">
      <w:pPr>
        <w:tabs>
          <w:tab w:val="left" w:pos="2100"/>
        </w:tabs>
        <w:snapToGrid w:val="0"/>
        <w:spacing w:line="480" w:lineRule="auto"/>
        <w:ind w:left="1826" w:leftChars="-70" w:hanging="1973" w:hangingChars="702"/>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采购人（盖章）：新疆农业大学</w:t>
      </w:r>
    </w:p>
    <w:p w14:paraId="38222381">
      <w:pPr>
        <w:tabs>
          <w:tab w:val="left" w:pos="2100"/>
        </w:tabs>
        <w:snapToGrid w:val="0"/>
        <w:spacing w:line="480" w:lineRule="auto"/>
        <w:ind w:left="1826" w:leftChars="-70" w:hanging="1973" w:hangingChars="702"/>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rPr>
        <w:t>联系人：</w:t>
      </w:r>
      <w:r>
        <w:rPr>
          <w:rFonts w:hint="eastAsia" w:ascii="仿宋" w:hAnsi="仿宋" w:eastAsia="仿宋" w:cs="仿宋"/>
          <w:b/>
          <w:color w:val="000000"/>
          <w:sz w:val="28"/>
          <w:szCs w:val="28"/>
          <w:highlight w:val="none"/>
          <w:lang w:val="en-US" w:eastAsia="zh-CN"/>
        </w:rPr>
        <w:t>张冬冬老师</w:t>
      </w:r>
    </w:p>
    <w:p w14:paraId="06FDC70C">
      <w:pPr>
        <w:tabs>
          <w:tab w:val="left" w:pos="2100"/>
        </w:tabs>
        <w:snapToGrid w:val="0"/>
        <w:spacing w:line="480" w:lineRule="auto"/>
        <w:ind w:left="1826" w:leftChars="-70" w:hanging="1973" w:hangingChars="702"/>
        <w:rPr>
          <w:rFonts w:hint="default"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联系方式：</w:t>
      </w:r>
      <w:r>
        <w:rPr>
          <w:rFonts w:hint="eastAsia" w:ascii="仿宋" w:hAnsi="仿宋" w:eastAsia="仿宋" w:cs="仿宋"/>
          <w:b/>
          <w:color w:val="000000"/>
          <w:sz w:val="28"/>
          <w:szCs w:val="28"/>
          <w:highlight w:val="none"/>
          <w:lang w:val="en-US" w:eastAsia="zh-CN"/>
        </w:rPr>
        <w:t>18199811604</w:t>
      </w:r>
    </w:p>
    <w:p w14:paraId="15E9CBDE">
      <w:pPr>
        <w:tabs>
          <w:tab w:val="left" w:pos="2100"/>
        </w:tabs>
        <w:snapToGrid w:val="0"/>
        <w:spacing w:line="480" w:lineRule="auto"/>
        <w:ind w:left="1826" w:leftChars="-70" w:hanging="1973" w:hangingChars="702"/>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rPr>
        <w:t>联系地址</w:t>
      </w:r>
      <w:r>
        <w:rPr>
          <w:rFonts w:hint="eastAsia" w:ascii="仿宋" w:hAnsi="仿宋" w:eastAsia="仿宋" w:cs="仿宋"/>
          <w:b/>
          <w:color w:val="000000"/>
          <w:sz w:val="28"/>
          <w:szCs w:val="28"/>
          <w:highlight w:val="none"/>
          <w:lang w:eastAsia="zh-CN"/>
        </w:rPr>
        <w:t>：乌鲁木齐市沙依巴克区八一街道农大东路311号</w:t>
      </w:r>
    </w:p>
    <w:p w14:paraId="60635C53">
      <w:pPr>
        <w:pStyle w:val="12"/>
        <w:snapToGrid w:val="0"/>
        <w:ind w:firstLine="280"/>
        <w:rPr>
          <w:rFonts w:hint="eastAsia"/>
          <w:sz w:val="28"/>
          <w:szCs w:val="28"/>
          <w:highlight w:val="none"/>
        </w:rPr>
      </w:pPr>
    </w:p>
    <w:p w14:paraId="561FF0D1">
      <w:pPr>
        <w:pStyle w:val="12"/>
        <w:spacing w:line="480" w:lineRule="auto"/>
        <w:ind w:firstLine="280"/>
        <w:rPr>
          <w:sz w:val="28"/>
          <w:szCs w:val="28"/>
          <w:highlight w:val="none"/>
        </w:rPr>
      </w:pPr>
    </w:p>
    <w:p w14:paraId="6E971CB3">
      <w:pPr>
        <w:tabs>
          <w:tab w:val="left" w:pos="2100"/>
        </w:tabs>
        <w:snapToGrid w:val="0"/>
        <w:spacing w:line="480" w:lineRule="auto"/>
        <w:ind w:left="1826" w:leftChars="-70" w:hanging="1973" w:hangingChars="702"/>
        <w:rPr>
          <w:rFonts w:hint="eastAsia" w:ascii="仿宋" w:hAnsi="仿宋" w:eastAsia="仿宋" w:cs="仿宋"/>
          <w:b/>
          <w:color w:val="000000"/>
          <w:spacing w:val="0"/>
          <w:sz w:val="28"/>
          <w:szCs w:val="28"/>
          <w:highlight w:val="none"/>
          <w:lang w:eastAsia="zh-CN"/>
        </w:rPr>
      </w:pPr>
      <w:r>
        <w:rPr>
          <w:rFonts w:hint="eastAsia" w:ascii="仿宋" w:hAnsi="仿宋" w:eastAsia="仿宋" w:cs="仿宋"/>
          <w:b/>
          <w:color w:val="000000"/>
          <w:spacing w:val="0"/>
          <w:sz w:val="28"/>
          <w:szCs w:val="28"/>
          <w:highlight w:val="none"/>
        </w:rPr>
        <w:t>采购代理机构（盖章）：</w:t>
      </w:r>
      <w:r>
        <w:rPr>
          <w:rFonts w:hint="eastAsia" w:ascii="仿宋" w:hAnsi="仿宋" w:eastAsia="仿宋" w:cs="仿宋"/>
          <w:b/>
          <w:color w:val="000000"/>
          <w:spacing w:val="0"/>
          <w:sz w:val="28"/>
          <w:szCs w:val="28"/>
          <w:highlight w:val="none"/>
          <w:lang w:eastAsia="zh-CN"/>
        </w:rPr>
        <w:t>中合安建工程管理有限公司</w:t>
      </w:r>
    </w:p>
    <w:p w14:paraId="778CF117">
      <w:pPr>
        <w:tabs>
          <w:tab w:val="left" w:pos="2100"/>
        </w:tabs>
        <w:snapToGrid w:val="0"/>
        <w:spacing w:line="480" w:lineRule="auto"/>
        <w:ind w:left="1826" w:leftChars="-70" w:hanging="1973" w:hangingChars="702"/>
        <w:rPr>
          <w:rFonts w:hint="eastAsia" w:ascii="仿宋" w:hAnsi="仿宋" w:eastAsia="仿宋" w:cs="仿宋"/>
          <w:b/>
          <w:color w:val="000000"/>
          <w:spacing w:val="0"/>
          <w:sz w:val="28"/>
          <w:szCs w:val="28"/>
          <w:highlight w:val="none"/>
          <w:lang w:eastAsia="zh-CN"/>
        </w:rPr>
      </w:pPr>
      <w:r>
        <w:rPr>
          <w:rFonts w:hint="eastAsia" w:ascii="仿宋" w:hAnsi="仿宋" w:eastAsia="仿宋" w:cs="仿宋"/>
          <w:b/>
          <w:color w:val="000000"/>
          <w:spacing w:val="0"/>
          <w:sz w:val="28"/>
          <w:szCs w:val="28"/>
          <w:highlight w:val="none"/>
        </w:rPr>
        <w:t>法定代表人（盖章）：</w:t>
      </w:r>
      <w:r>
        <w:rPr>
          <w:rFonts w:hint="eastAsia" w:ascii="仿宋" w:hAnsi="仿宋" w:eastAsia="仿宋" w:cs="仿宋"/>
          <w:b/>
          <w:color w:val="000000"/>
          <w:spacing w:val="0"/>
          <w:sz w:val="28"/>
          <w:szCs w:val="28"/>
          <w:highlight w:val="none"/>
          <w:lang w:val="en-US" w:eastAsia="zh-CN"/>
        </w:rPr>
        <w:t>王蕾</w:t>
      </w:r>
    </w:p>
    <w:p w14:paraId="1BE992EA">
      <w:pPr>
        <w:tabs>
          <w:tab w:val="left" w:pos="2100"/>
        </w:tabs>
        <w:snapToGrid w:val="0"/>
        <w:spacing w:line="480" w:lineRule="auto"/>
        <w:ind w:left="1826" w:leftChars="-70" w:hanging="1973" w:hangingChars="702"/>
        <w:rPr>
          <w:rFonts w:hint="default" w:ascii="仿宋" w:hAnsi="仿宋" w:eastAsia="仿宋" w:cs="仿宋"/>
          <w:b/>
          <w:color w:val="000000"/>
          <w:spacing w:val="0"/>
          <w:sz w:val="28"/>
          <w:szCs w:val="28"/>
          <w:highlight w:val="none"/>
          <w:lang w:val="en-US" w:eastAsia="zh-CN"/>
        </w:rPr>
      </w:pPr>
      <w:r>
        <w:rPr>
          <w:rFonts w:hint="eastAsia" w:ascii="仿宋" w:hAnsi="仿宋" w:eastAsia="仿宋" w:cs="仿宋"/>
          <w:b/>
          <w:color w:val="000000"/>
          <w:spacing w:val="0"/>
          <w:sz w:val="28"/>
          <w:szCs w:val="28"/>
          <w:highlight w:val="none"/>
        </w:rPr>
        <w:t>项目负责人：</w:t>
      </w:r>
      <w:r>
        <w:rPr>
          <w:rFonts w:hint="eastAsia" w:ascii="仿宋" w:hAnsi="仿宋" w:eastAsia="仿宋" w:cs="仿宋"/>
          <w:b/>
          <w:color w:val="000000"/>
          <w:spacing w:val="0"/>
          <w:sz w:val="28"/>
          <w:szCs w:val="28"/>
          <w:highlight w:val="none"/>
          <w:lang w:val="en-US" w:eastAsia="zh-CN"/>
        </w:rPr>
        <w:t>彭小倬、王荣荣</w:t>
      </w:r>
    </w:p>
    <w:p w14:paraId="049B3015">
      <w:pPr>
        <w:tabs>
          <w:tab w:val="left" w:pos="2100"/>
        </w:tabs>
        <w:snapToGrid w:val="0"/>
        <w:spacing w:line="480" w:lineRule="auto"/>
        <w:ind w:left="1826" w:leftChars="-70" w:hanging="1973" w:hangingChars="702"/>
        <w:rPr>
          <w:rFonts w:ascii="仿宋" w:hAnsi="仿宋" w:eastAsia="仿宋" w:cs="仿宋"/>
          <w:b/>
          <w:color w:val="000000"/>
          <w:spacing w:val="0"/>
          <w:sz w:val="28"/>
          <w:szCs w:val="28"/>
          <w:highlight w:val="none"/>
        </w:rPr>
      </w:pPr>
      <w:r>
        <w:rPr>
          <w:rFonts w:hint="eastAsia" w:ascii="仿宋" w:hAnsi="仿宋" w:eastAsia="仿宋" w:cs="仿宋"/>
          <w:b/>
          <w:color w:val="000000"/>
          <w:spacing w:val="0"/>
          <w:sz w:val="28"/>
          <w:szCs w:val="28"/>
          <w:highlight w:val="none"/>
        </w:rPr>
        <w:t>联系电话：</w:t>
      </w:r>
      <w:bookmarkStart w:id="0" w:name="OLE_LINK2"/>
      <w:r>
        <w:rPr>
          <w:rFonts w:hint="eastAsia" w:ascii="仿宋" w:hAnsi="仿宋" w:eastAsia="仿宋" w:cs="仿宋"/>
          <w:b/>
          <w:color w:val="000000"/>
          <w:spacing w:val="0"/>
          <w:sz w:val="28"/>
          <w:szCs w:val="28"/>
          <w:highlight w:val="none"/>
          <w:lang w:eastAsia="zh-CN"/>
        </w:rPr>
        <w:t>13579881296</w:t>
      </w:r>
      <w:bookmarkEnd w:id="0"/>
    </w:p>
    <w:p w14:paraId="4DADDF92">
      <w:pPr>
        <w:tabs>
          <w:tab w:val="left" w:pos="2100"/>
        </w:tabs>
        <w:snapToGrid w:val="0"/>
        <w:spacing w:line="480" w:lineRule="auto"/>
        <w:ind w:left="1303" w:leftChars="-69" w:hanging="1448" w:hangingChars="515"/>
        <w:rPr>
          <w:rFonts w:hint="eastAsia" w:ascii="仿宋" w:hAnsi="仿宋" w:eastAsia="仿宋" w:cs="仿宋"/>
          <w:b/>
          <w:color w:val="000000"/>
          <w:spacing w:val="0"/>
          <w:sz w:val="28"/>
          <w:szCs w:val="28"/>
          <w:highlight w:val="none"/>
        </w:rPr>
      </w:pPr>
      <w:r>
        <w:rPr>
          <w:rFonts w:hint="eastAsia" w:ascii="仿宋" w:hAnsi="仿宋" w:eastAsia="仿宋" w:cs="仿宋"/>
          <w:b/>
          <w:color w:val="000000"/>
          <w:spacing w:val="0"/>
          <w:sz w:val="28"/>
          <w:szCs w:val="28"/>
          <w:highlight w:val="none"/>
        </w:rPr>
        <w:t>联系地址：</w:t>
      </w:r>
      <w:r>
        <w:rPr>
          <w:rFonts w:hint="eastAsia" w:ascii="仿宋" w:hAnsi="仿宋" w:eastAsia="仿宋" w:cs="仿宋"/>
          <w:b/>
          <w:color w:val="000000"/>
          <w:spacing w:val="0"/>
          <w:sz w:val="28"/>
          <w:szCs w:val="28"/>
          <w:highlight w:val="none"/>
          <w:lang w:val="en-US" w:eastAsia="zh-CN"/>
        </w:rPr>
        <w:t>新疆</w:t>
      </w:r>
      <w:r>
        <w:rPr>
          <w:rFonts w:hint="eastAsia" w:ascii="仿宋" w:hAnsi="仿宋" w:eastAsia="仿宋" w:cs="仿宋"/>
          <w:b/>
          <w:color w:val="000000"/>
          <w:spacing w:val="0"/>
          <w:sz w:val="28"/>
          <w:szCs w:val="28"/>
          <w:highlight w:val="none"/>
        </w:rPr>
        <w:t>乌鲁木齐市高新区（新市区）新医路165号汇文大厦1栋</w:t>
      </w:r>
      <w:r>
        <w:rPr>
          <w:rFonts w:hint="eastAsia" w:ascii="仿宋" w:hAnsi="仿宋" w:eastAsia="仿宋" w:cs="仿宋"/>
          <w:b/>
          <w:color w:val="000000"/>
          <w:spacing w:val="0"/>
          <w:sz w:val="28"/>
          <w:szCs w:val="28"/>
          <w:highlight w:val="none"/>
          <w:lang w:val="en-US" w:eastAsia="zh-CN"/>
        </w:rPr>
        <w:t>6</w:t>
      </w:r>
      <w:r>
        <w:rPr>
          <w:rFonts w:hint="eastAsia" w:ascii="仿宋" w:hAnsi="仿宋" w:eastAsia="仿宋" w:cs="仿宋"/>
          <w:b/>
          <w:color w:val="000000"/>
          <w:spacing w:val="0"/>
          <w:sz w:val="28"/>
          <w:szCs w:val="28"/>
          <w:highlight w:val="none"/>
        </w:rPr>
        <w:t>层A</w:t>
      </w:r>
    </w:p>
    <w:p w14:paraId="20955EC5">
      <w:pPr>
        <w:pStyle w:val="12"/>
        <w:ind w:firstLine="280"/>
        <w:rPr>
          <w:rFonts w:hint="eastAsia"/>
          <w:sz w:val="28"/>
          <w:szCs w:val="28"/>
          <w:highlight w:val="none"/>
        </w:rPr>
        <w:sectPr>
          <w:headerReference r:id="rId6" w:type="default"/>
          <w:footerReference r:id="rId7" w:type="default"/>
          <w:pgSz w:w="11911" w:h="16838"/>
          <w:pgMar w:top="1440" w:right="1140" w:bottom="1440" w:left="1140" w:header="850" w:footer="1088" w:gutter="0"/>
          <w:pgNumType w:start="1"/>
          <w:cols w:space="0" w:num="1"/>
          <w:rtlGutter w:val="0"/>
          <w:docGrid w:linePitch="0" w:charSpace="0"/>
        </w:sectPr>
      </w:pPr>
    </w:p>
    <w:sdt>
      <w:sdtPr>
        <w:rPr>
          <w:rFonts w:hint="eastAsia" w:ascii="仿宋" w:hAnsi="仿宋" w:eastAsia="仿宋" w:cs="仿宋"/>
          <w:b/>
          <w:bCs/>
          <w:kern w:val="2"/>
          <w:sz w:val="32"/>
          <w:szCs w:val="32"/>
          <w:lang w:val="en-US" w:eastAsia="zh-CN" w:bidi="ar-SA"/>
        </w:rPr>
        <w:id w:val="147461557"/>
        <w15:color w:val="DBDBDB"/>
        <w:docPartObj>
          <w:docPartGallery w:val="Table of Contents"/>
          <w:docPartUnique/>
        </w:docPartObj>
      </w:sdtPr>
      <w:sdtEndPr>
        <w:rPr>
          <w:rFonts w:hint="eastAsia" w:ascii="仿宋" w:hAnsi="仿宋" w:eastAsia="仿宋" w:cs="仿宋"/>
          <w:b/>
          <w:bCs/>
          <w:kern w:val="2"/>
          <w:sz w:val="21"/>
          <w:szCs w:val="28"/>
          <w:lang w:val="en-US" w:eastAsia="zh-CN" w:bidi="ar-SA"/>
        </w:rPr>
      </w:sdtEndPr>
      <w:sdtContent>
        <w:p w14:paraId="7FD72724">
          <w:pPr>
            <w:spacing w:before="0" w:beforeLines="0" w:after="0" w:afterLines="0" w:line="360" w:lineRule="auto"/>
            <w:ind w:left="0" w:leftChars="0" w:right="0" w:rightChars="0" w:firstLine="0" w:firstLineChars="0"/>
            <w:jc w:val="center"/>
            <w:rPr>
              <w:rFonts w:hint="eastAsia" w:ascii="仿宋" w:hAnsi="仿宋" w:eastAsia="仿宋" w:cs="仿宋"/>
              <w:b/>
              <w:bCs/>
              <w:sz w:val="32"/>
              <w:szCs w:val="32"/>
            </w:rPr>
          </w:pPr>
          <w:r>
            <w:rPr>
              <w:rFonts w:hint="eastAsia" w:ascii="仿宋" w:hAnsi="仿宋" w:eastAsia="仿宋" w:cs="仿宋"/>
              <w:b/>
              <w:bCs/>
              <w:sz w:val="32"/>
              <w:szCs w:val="32"/>
            </w:rPr>
            <w:t>目录</w:t>
          </w:r>
        </w:p>
        <w:p w14:paraId="089D318F">
          <w:pPr>
            <w:pStyle w:val="16"/>
            <w:tabs>
              <w:tab w:val="right" w:leader="dot" w:pos="9746"/>
            </w:tabs>
            <w:spacing w:line="360" w:lineRule="auto"/>
            <w:rPr>
              <w:rFonts w:hint="eastAsia" w:ascii="仿宋" w:hAnsi="仿宋" w:eastAsia="仿宋" w:cs="仿宋"/>
              <w:sz w:val="28"/>
              <w:szCs w:val="28"/>
            </w:rPr>
          </w:pPr>
          <w:r>
            <w:rPr>
              <w:rStyle w:val="31"/>
              <w:rFonts w:hint="eastAsia" w:ascii="仿宋" w:hAnsi="仿宋" w:eastAsia="仿宋" w:cs="仿宋"/>
              <w:b/>
              <w:bCs/>
              <w:sz w:val="28"/>
              <w:szCs w:val="28"/>
            </w:rPr>
            <w:fldChar w:fldCharType="begin"/>
          </w:r>
          <w:r>
            <w:rPr>
              <w:rStyle w:val="31"/>
              <w:rFonts w:hint="eastAsia" w:ascii="仿宋" w:hAnsi="仿宋" w:eastAsia="仿宋" w:cs="仿宋"/>
              <w:b/>
              <w:bCs/>
              <w:sz w:val="28"/>
              <w:szCs w:val="28"/>
            </w:rPr>
            <w:instrText xml:space="preserve">TOC \o "1-1" \h \u </w:instrText>
          </w:r>
          <w:r>
            <w:rPr>
              <w:rStyle w:val="31"/>
              <w:rFonts w:hint="eastAsia" w:ascii="仿宋" w:hAnsi="仿宋" w:eastAsia="仿宋" w:cs="仿宋"/>
              <w:b/>
              <w:bCs/>
              <w:sz w:val="28"/>
              <w:szCs w:val="28"/>
            </w:rPr>
            <w:fldChar w:fldCharType="separate"/>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_Toc22507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第一部分 磋商公告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_Toc22507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4FE43353">
          <w:pPr>
            <w:pStyle w:val="16"/>
            <w:tabs>
              <w:tab w:val="right" w:leader="dot" w:pos="9746"/>
            </w:tabs>
            <w:spacing w:line="36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_Toc13105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第二部分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_Toc13105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65A58864">
          <w:pPr>
            <w:pStyle w:val="16"/>
            <w:tabs>
              <w:tab w:val="right" w:leader="dot" w:pos="9746"/>
            </w:tabs>
            <w:spacing w:line="36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_Toc8573 </w:instrText>
          </w:r>
          <w:r>
            <w:rPr>
              <w:rFonts w:hint="eastAsia" w:ascii="仿宋" w:hAnsi="仿宋" w:eastAsia="仿宋" w:cs="仿宋"/>
              <w:bCs/>
              <w:sz w:val="28"/>
              <w:szCs w:val="28"/>
            </w:rPr>
            <w:fldChar w:fldCharType="separate"/>
          </w:r>
          <w:r>
            <w:rPr>
              <w:rFonts w:hint="eastAsia" w:ascii="仿宋" w:hAnsi="仿宋" w:eastAsia="仿宋" w:cs="仿宋"/>
              <w:kern w:val="2"/>
              <w:sz w:val="28"/>
              <w:szCs w:val="28"/>
              <w:lang w:val="en-US" w:eastAsia="zh-CN" w:bidi="ar-SA"/>
            </w:rPr>
            <w:t>第三部分</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_Toc8573 \h </w:instrText>
          </w:r>
          <w:r>
            <w:rPr>
              <w:rFonts w:hint="eastAsia" w:ascii="仿宋" w:hAnsi="仿宋" w:eastAsia="仿宋" w:cs="仿宋"/>
              <w:sz w:val="28"/>
              <w:szCs w:val="28"/>
            </w:rPr>
            <w:fldChar w:fldCharType="separate"/>
          </w:r>
          <w:r>
            <w:rPr>
              <w:rFonts w:hint="eastAsia" w:ascii="仿宋" w:hAnsi="仿宋" w:eastAsia="仿宋" w:cs="仿宋"/>
              <w:sz w:val="28"/>
              <w:szCs w:val="28"/>
            </w:rPr>
            <w:t>28</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2C552DDE">
          <w:pPr>
            <w:pStyle w:val="16"/>
            <w:tabs>
              <w:tab w:val="right" w:leader="dot" w:pos="9746"/>
            </w:tabs>
            <w:spacing w:line="36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_Toc24690 </w:instrText>
          </w:r>
          <w:r>
            <w:rPr>
              <w:rFonts w:hint="eastAsia" w:ascii="仿宋" w:hAnsi="仿宋" w:eastAsia="仿宋" w:cs="仿宋"/>
              <w:bCs/>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四</w:t>
          </w:r>
          <w:r>
            <w:rPr>
              <w:rFonts w:hint="eastAsia" w:ascii="仿宋" w:hAnsi="仿宋" w:eastAsia="仿宋" w:cs="仿宋"/>
              <w:sz w:val="28"/>
              <w:szCs w:val="28"/>
            </w:rPr>
            <w:t>部分 合同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_Toc24690 \h </w:instrText>
          </w:r>
          <w:r>
            <w:rPr>
              <w:rFonts w:hint="eastAsia" w:ascii="仿宋" w:hAnsi="仿宋" w:eastAsia="仿宋" w:cs="仿宋"/>
              <w:sz w:val="28"/>
              <w:szCs w:val="28"/>
            </w:rPr>
            <w:fldChar w:fldCharType="separate"/>
          </w:r>
          <w:r>
            <w:rPr>
              <w:rFonts w:hint="eastAsia" w:ascii="仿宋" w:hAnsi="仿宋" w:eastAsia="仿宋" w:cs="仿宋"/>
              <w:sz w:val="28"/>
              <w:szCs w:val="28"/>
            </w:rPr>
            <w:t>34</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5D1EBEAF">
          <w:pPr>
            <w:pStyle w:val="16"/>
            <w:tabs>
              <w:tab w:val="right" w:leader="dot" w:pos="9746"/>
            </w:tabs>
            <w:spacing w:line="36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_Toc21493 </w:instrText>
          </w:r>
          <w:r>
            <w:rPr>
              <w:rFonts w:hint="eastAsia" w:ascii="仿宋" w:hAnsi="仿宋" w:eastAsia="仿宋" w:cs="仿宋"/>
              <w:bCs/>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五</w:t>
          </w:r>
          <w:r>
            <w:rPr>
              <w:rFonts w:hint="eastAsia" w:ascii="仿宋" w:hAnsi="仿宋" w:eastAsia="仿宋" w:cs="仿宋"/>
              <w:sz w:val="28"/>
              <w:szCs w:val="28"/>
            </w:rPr>
            <w:t>部分 响应文件格式及附件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_Toc21493 \h </w:instrText>
          </w:r>
          <w:r>
            <w:rPr>
              <w:rFonts w:hint="eastAsia" w:ascii="仿宋" w:hAnsi="仿宋" w:eastAsia="仿宋" w:cs="仿宋"/>
              <w:sz w:val="28"/>
              <w:szCs w:val="28"/>
            </w:rPr>
            <w:fldChar w:fldCharType="separate"/>
          </w:r>
          <w:r>
            <w:rPr>
              <w:rFonts w:hint="eastAsia" w:ascii="仿宋" w:hAnsi="仿宋" w:eastAsia="仿宋" w:cs="仿宋"/>
              <w:sz w:val="28"/>
              <w:szCs w:val="28"/>
            </w:rPr>
            <w:t>51</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723621C7">
          <w:pPr>
            <w:spacing w:line="360" w:lineRule="auto"/>
            <w:jc w:val="center"/>
            <w:rPr>
              <w:rFonts w:hint="eastAsia" w:ascii="仿宋" w:hAnsi="仿宋" w:eastAsia="仿宋" w:cs="仿宋"/>
              <w:bCs/>
              <w:kern w:val="2"/>
              <w:sz w:val="21"/>
              <w:szCs w:val="28"/>
              <w:lang w:val="en-US" w:eastAsia="zh-CN" w:bidi="ar-SA"/>
            </w:rPr>
          </w:pPr>
          <w:r>
            <w:rPr>
              <w:rFonts w:hint="eastAsia" w:ascii="仿宋" w:hAnsi="仿宋" w:eastAsia="仿宋" w:cs="仿宋"/>
              <w:bCs/>
              <w:sz w:val="28"/>
              <w:szCs w:val="28"/>
            </w:rPr>
            <w:fldChar w:fldCharType="end"/>
          </w:r>
        </w:p>
      </w:sdtContent>
    </w:sdt>
    <w:p w14:paraId="5E00EFF3">
      <w:pPr>
        <w:pStyle w:val="9"/>
        <w:rPr>
          <w:rFonts w:hint="eastAsia"/>
        </w:rPr>
      </w:pPr>
    </w:p>
    <w:p w14:paraId="644D3031">
      <w:pPr>
        <w:spacing w:line="360" w:lineRule="auto"/>
        <w:jc w:val="center"/>
        <w:rPr>
          <w:rStyle w:val="31"/>
          <w:rFonts w:hint="eastAsia" w:ascii="仿宋" w:hAnsi="仿宋" w:eastAsia="仿宋" w:cs="仿宋"/>
          <w:b/>
          <w:bCs/>
          <w:szCs w:val="28"/>
        </w:rPr>
      </w:pPr>
    </w:p>
    <w:p w14:paraId="645C5A53">
      <w:pPr>
        <w:spacing w:line="360" w:lineRule="auto"/>
        <w:jc w:val="center"/>
        <w:rPr>
          <w:rStyle w:val="31"/>
          <w:rFonts w:hint="eastAsia" w:ascii="仿宋" w:hAnsi="仿宋" w:eastAsia="仿宋" w:cs="仿宋"/>
          <w:b/>
          <w:bCs/>
          <w:szCs w:val="28"/>
        </w:rPr>
      </w:pPr>
    </w:p>
    <w:p w14:paraId="4565044D">
      <w:pPr>
        <w:spacing w:line="360" w:lineRule="auto"/>
        <w:jc w:val="center"/>
        <w:rPr>
          <w:rStyle w:val="31"/>
          <w:rFonts w:hint="eastAsia" w:ascii="仿宋" w:hAnsi="仿宋" w:eastAsia="仿宋" w:cs="仿宋"/>
          <w:b/>
          <w:bCs/>
          <w:szCs w:val="28"/>
        </w:rPr>
      </w:pPr>
    </w:p>
    <w:p w14:paraId="6BBB1D4C">
      <w:pPr>
        <w:spacing w:line="360" w:lineRule="auto"/>
        <w:jc w:val="center"/>
        <w:rPr>
          <w:rStyle w:val="31"/>
          <w:rFonts w:hint="eastAsia" w:ascii="仿宋" w:hAnsi="仿宋" w:eastAsia="仿宋" w:cs="仿宋"/>
          <w:b/>
          <w:bCs/>
          <w:szCs w:val="28"/>
        </w:rPr>
      </w:pPr>
    </w:p>
    <w:p w14:paraId="57348BDF">
      <w:pPr>
        <w:spacing w:line="360" w:lineRule="auto"/>
        <w:jc w:val="center"/>
        <w:rPr>
          <w:rStyle w:val="31"/>
          <w:rFonts w:hint="eastAsia" w:ascii="仿宋" w:hAnsi="仿宋" w:eastAsia="仿宋" w:cs="仿宋"/>
          <w:b/>
          <w:bCs/>
          <w:szCs w:val="28"/>
        </w:rPr>
      </w:pPr>
    </w:p>
    <w:p w14:paraId="21D58881">
      <w:pPr>
        <w:spacing w:line="360" w:lineRule="auto"/>
        <w:jc w:val="center"/>
        <w:rPr>
          <w:rStyle w:val="31"/>
          <w:rFonts w:hint="eastAsia" w:ascii="仿宋" w:hAnsi="仿宋" w:eastAsia="仿宋" w:cs="仿宋"/>
          <w:b/>
          <w:bCs/>
          <w:szCs w:val="28"/>
        </w:rPr>
      </w:pPr>
    </w:p>
    <w:p w14:paraId="741DC1BE">
      <w:pPr>
        <w:spacing w:line="360" w:lineRule="auto"/>
        <w:rPr>
          <w:rStyle w:val="31"/>
          <w:rFonts w:hint="eastAsia" w:ascii="仿宋" w:hAnsi="仿宋" w:eastAsia="仿宋" w:cs="仿宋"/>
          <w:b/>
          <w:bCs/>
          <w:szCs w:val="28"/>
        </w:rPr>
      </w:pPr>
    </w:p>
    <w:p w14:paraId="4CB107C3">
      <w:pPr>
        <w:spacing w:line="360" w:lineRule="auto"/>
        <w:jc w:val="center"/>
        <w:rPr>
          <w:rStyle w:val="31"/>
          <w:rFonts w:hint="eastAsia" w:ascii="仿宋" w:hAnsi="仿宋" w:eastAsia="仿宋" w:cs="仿宋"/>
          <w:b/>
          <w:bCs/>
          <w:szCs w:val="28"/>
        </w:rPr>
      </w:pPr>
    </w:p>
    <w:p w14:paraId="248B6177">
      <w:pPr>
        <w:spacing w:line="360" w:lineRule="auto"/>
        <w:rPr>
          <w:rStyle w:val="31"/>
          <w:rFonts w:hint="eastAsia" w:ascii="仿宋" w:hAnsi="仿宋" w:eastAsia="仿宋" w:cs="仿宋"/>
          <w:b/>
          <w:bCs/>
          <w:szCs w:val="28"/>
        </w:rPr>
      </w:pPr>
    </w:p>
    <w:p w14:paraId="1B7E0D1A">
      <w:pPr>
        <w:spacing w:line="360" w:lineRule="auto"/>
        <w:jc w:val="center"/>
        <w:rPr>
          <w:rStyle w:val="31"/>
          <w:rFonts w:hint="eastAsia" w:ascii="仿宋" w:hAnsi="仿宋" w:eastAsia="仿宋" w:cs="仿宋"/>
          <w:b/>
          <w:bCs/>
          <w:szCs w:val="28"/>
        </w:rPr>
      </w:pPr>
    </w:p>
    <w:p w14:paraId="4CF9E3A7">
      <w:pPr>
        <w:spacing w:line="360" w:lineRule="auto"/>
        <w:jc w:val="center"/>
        <w:rPr>
          <w:rStyle w:val="31"/>
          <w:rFonts w:hint="eastAsia" w:ascii="仿宋" w:hAnsi="仿宋" w:eastAsia="仿宋" w:cs="仿宋"/>
          <w:b/>
          <w:bCs/>
          <w:szCs w:val="28"/>
        </w:rPr>
      </w:pPr>
    </w:p>
    <w:p w14:paraId="01508573">
      <w:pPr>
        <w:spacing w:line="360" w:lineRule="auto"/>
        <w:jc w:val="center"/>
        <w:rPr>
          <w:rStyle w:val="31"/>
          <w:rFonts w:hint="eastAsia" w:ascii="仿宋" w:hAnsi="仿宋" w:eastAsia="仿宋" w:cs="仿宋"/>
          <w:b/>
          <w:bCs/>
          <w:szCs w:val="28"/>
        </w:rPr>
      </w:pPr>
    </w:p>
    <w:p w14:paraId="77539CBD">
      <w:pPr>
        <w:spacing w:line="360" w:lineRule="auto"/>
        <w:ind w:firstLine="562" w:firstLineChars="200"/>
        <w:jc w:val="center"/>
        <w:rPr>
          <w:rStyle w:val="31"/>
          <w:rFonts w:hint="eastAsia" w:ascii="仿宋" w:hAnsi="仿宋" w:eastAsia="仿宋" w:cs="仿宋"/>
          <w:b/>
          <w:bCs/>
          <w:szCs w:val="28"/>
        </w:rPr>
        <w:sectPr>
          <w:footerReference r:id="rId8" w:type="default"/>
          <w:pgSz w:w="11911" w:h="16838"/>
          <w:pgMar w:top="1440" w:right="1140" w:bottom="1440" w:left="1140" w:header="850" w:footer="1088" w:gutter="0"/>
          <w:pgBorders>
            <w:top w:val="none" w:sz="0" w:space="0"/>
            <w:left w:val="none" w:sz="0" w:space="0"/>
            <w:bottom w:val="none" w:sz="0" w:space="0"/>
            <w:right w:val="none" w:sz="0" w:space="0"/>
          </w:pgBorders>
          <w:pgNumType w:fmt="decimal" w:start="1"/>
          <w:cols w:space="0" w:num="1"/>
          <w:rtlGutter w:val="0"/>
          <w:docGrid w:linePitch="312" w:charSpace="0"/>
        </w:sectPr>
      </w:pPr>
    </w:p>
    <w:p w14:paraId="5FA6A002">
      <w:pPr>
        <w:spacing w:line="360" w:lineRule="auto"/>
        <w:ind w:firstLine="643" w:firstLineChars="200"/>
        <w:jc w:val="center"/>
        <w:outlineLvl w:val="0"/>
        <w:rPr>
          <w:rFonts w:hint="eastAsia"/>
        </w:rPr>
      </w:pPr>
      <w:bookmarkStart w:id="1" w:name="_Toc22507"/>
      <w:r>
        <w:rPr>
          <w:rStyle w:val="31"/>
          <w:rFonts w:hint="eastAsia" w:ascii="仿宋" w:hAnsi="仿宋" w:eastAsia="仿宋" w:cs="仿宋"/>
          <w:b/>
          <w:bCs/>
          <w:sz w:val="32"/>
          <w:szCs w:val="32"/>
        </w:rPr>
        <w:t>第一部分 磋商公告</w:t>
      </w:r>
      <w:bookmarkEnd w:id="1"/>
    </w:p>
    <w:p w14:paraId="61F424F4">
      <w:pPr>
        <w:spacing w:line="360" w:lineRule="auto"/>
        <w:ind w:firstLine="562" w:firstLineChars="200"/>
        <w:jc w:val="center"/>
        <w:outlineLvl w:val="9"/>
        <w:rPr>
          <w:rStyle w:val="31"/>
          <w:rFonts w:hint="eastAsia" w:ascii="仿宋" w:hAnsi="仿宋" w:eastAsia="仿宋" w:cs="仿宋"/>
          <w:b/>
          <w:bCs/>
          <w:szCs w:val="28"/>
        </w:rPr>
      </w:pPr>
      <w:bookmarkStart w:id="2" w:name="_Toc20502"/>
      <w:r>
        <w:rPr>
          <w:rStyle w:val="31"/>
          <w:rFonts w:hint="eastAsia" w:ascii="仿宋" w:hAnsi="仿宋" w:eastAsia="仿宋" w:cs="仿宋"/>
          <w:b/>
          <w:bCs/>
          <w:szCs w:val="28"/>
          <w:lang w:eastAsia="zh-CN"/>
        </w:rPr>
        <w:t>新疆农业大学2026年基建维修项目监理服务</w:t>
      </w:r>
      <w:r>
        <w:rPr>
          <w:rStyle w:val="31"/>
          <w:rFonts w:hint="eastAsia" w:ascii="仿宋" w:hAnsi="仿宋" w:eastAsia="仿宋" w:cs="仿宋"/>
          <w:b/>
          <w:bCs/>
          <w:szCs w:val="28"/>
        </w:rPr>
        <w:t>竞争性磋商公告</w:t>
      </w:r>
    </w:p>
    <w:bookmarkEnd w:id="2"/>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3"/>
      </w:tblGrid>
      <w:tr w14:paraId="66D83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9623" w:type="dxa"/>
          </w:tcPr>
          <w:p w14:paraId="4F8A80E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项目概况</w:t>
            </w:r>
          </w:p>
          <w:p w14:paraId="2017BCF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8"/>
                <w:szCs w:val="28"/>
              </w:rPr>
            </w:pPr>
            <w:r>
              <w:rPr>
                <w:rFonts w:hint="eastAsia" w:ascii="仿宋" w:hAnsi="仿宋" w:eastAsia="仿宋" w:cs="仿宋"/>
                <w:sz w:val="24"/>
                <w:szCs w:val="24"/>
                <w:lang w:eastAsia="zh-CN"/>
              </w:rPr>
              <w:t>新疆农业大学2026年基建维修项目监理服务的潜在供应商应</w:t>
            </w:r>
            <w:r>
              <w:rPr>
                <w:rFonts w:hint="eastAsia" w:ascii="仿宋" w:hAnsi="仿宋" w:eastAsia="仿宋" w:cs="仿宋"/>
                <w:sz w:val="24"/>
                <w:szCs w:val="24"/>
                <w:lang w:val="en-US" w:eastAsia="zh-CN"/>
              </w:rPr>
              <w:t>在</w:t>
            </w:r>
            <w:r>
              <w:rPr>
                <w:rFonts w:hint="eastAsia" w:ascii="仿宋" w:hAnsi="仿宋" w:eastAsia="仿宋" w:cs="仿宋"/>
                <w:i w:val="0"/>
                <w:iCs w:val="0"/>
                <w:caps w:val="0"/>
                <w:color w:val="auto"/>
                <w:spacing w:val="0"/>
                <w:sz w:val="24"/>
                <w:szCs w:val="24"/>
                <w:highlight w:val="none"/>
              </w:rPr>
              <w:t>政采云平台线上获取</w:t>
            </w:r>
            <w:r>
              <w:rPr>
                <w:rFonts w:hint="eastAsia" w:ascii="仿宋" w:hAnsi="仿宋" w:eastAsia="仿宋" w:cs="仿宋"/>
                <w:sz w:val="24"/>
                <w:szCs w:val="24"/>
                <w:lang w:eastAsia="zh-CN"/>
              </w:rPr>
              <w:t>采购文件，并</w:t>
            </w:r>
            <w:r>
              <w:rPr>
                <w:rFonts w:hint="eastAsia" w:ascii="仿宋" w:hAnsi="仿宋" w:eastAsia="仿宋" w:cs="仿宋"/>
                <w:sz w:val="24"/>
                <w:szCs w:val="24"/>
                <w:highlight w:val="none"/>
                <w:lang w:eastAsia="zh-CN"/>
              </w:rPr>
              <w:t>于2026年</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月</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lang w:eastAsia="zh-CN"/>
              </w:rPr>
              <w:t>日 11:00（</w:t>
            </w:r>
            <w:r>
              <w:rPr>
                <w:rFonts w:hint="eastAsia" w:ascii="仿宋" w:hAnsi="仿宋" w:eastAsia="仿宋" w:cs="仿宋"/>
                <w:sz w:val="24"/>
                <w:szCs w:val="24"/>
                <w:lang w:eastAsia="zh-CN"/>
              </w:rPr>
              <w:t>北京时间）前提交响应文件。</w:t>
            </w:r>
            <w:r>
              <w:rPr>
                <w:rFonts w:hint="eastAsia" w:ascii="仿宋" w:hAnsi="仿宋" w:eastAsia="仿宋" w:cs="仿宋"/>
                <w:sz w:val="28"/>
                <w:szCs w:val="28"/>
                <w:lang w:eastAsia="zh-CN"/>
              </w:rPr>
              <w:t xml:space="preserve">        </w:t>
            </w:r>
          </w:p>
        </w:tc>
      </w:tr>
    </w:tbl>
    <w:p w14:paraId="5DB48E17">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Style w:val="24"/>
          <w:rFonts w:hint="eastAsia" w:ascii="仿宋" w:hAnsi="仿宋" w:eastAsia="仿宋" w:cs="仿宋"/>
          <w:sz w:val="28"/>
          <w:szCs w:val="28"/>
        </w:rPr>
      </w:pPr>
    </w:p>
    <w:p w14:paraId="7D3AECE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rPr>
      </w:pPr>
      <w:r>
        <w:rPr>
          <w:rStyle w:val="24"/>
          <w:rFonts w:hint="eastAsia" w:ascii="仿宋" w:hAnsi="仿宋" w:eastAsia="仿宋" w:cs="仿宋"/>
          <w:sz w:val="24"/>
          <w:szCs w:val="24"/>
        </w:rPr>
        <w:t>一、项目基本情况</w:t>
      </w:r>
    </w:p>
    <w:p w14:paraId="13E6777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项目编号：</w:t>
      </w:r>
      <w:r>
        <w:rPr>
          <w:rFonts w:hint="eastAsia" w:ascii="仿宋" w:hAnsi="仿宋" w:eastAsia="仿宋" w:cs="仿宋"/>
          <w:sz w:val="24"/>
          <w:szCs w:val="24"/>
          <w:lang w:val="en-US" w:eastAsia="zh-CN"/>
        </w:rPr>
        <w:t>2026ZHAJN-09</w:t>
      </w:r>
    </w:p>
    <w:p w14:paraId="1067D43C">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rPr>
        <w:t>项目名称：</w:t>
      </w:r>
      <w:r>
        <w:rPr>
          <w:rFonts w:hint="eastAsia" w:ascii="仿宋" w:hAnsi="仿宋" w:eastAsia="仿宋" w:cs="仿宋"/>
          <w:sz w:val="24"/>
          <w:szCs w:val="24"/>
          <w:highlight w:val="none"/>
          <w:lang w:eastAsia="zh-CN"/>
        </w:rPr>
        <w:t>新疆农业大学2026年基建维修项目监理服务</w:t>
      </w:r>
    </w:p>
    <w:p w14:paraId="1E9174ED">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采购方式：竞争性磋商 </w:t>
      </w:r>
    </w:p>
    <w:p w14:paraId="417A34E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（元）</w:t>
      </w:r>
      <w:r>
        <w:rPr>
          <w:rFonts w:hint="eastAsia" w:ascii="仿宋" w:hAnsi="仿宋" w:eastAsia="仿宋" w:cs="仿宋"/>
          <w:sz w:val="24"/>
          <w:szCs w:val="24"/>
        </w:rPr>
        <w:t>：</w:t>
      </w:r>
      <w:r>
        <w:rPr>
          <w:rFonts w:hint="eastAsia" w:ascii="仿宋" w:hAnsi="仿宋" w:eastAsia="仿宋" w:cs="仿宋"/>
          <w:sz w:val="24"/>
          <w:szCs w:val="24"/>
          <w:lang w:val="en-US" w:eastAsia="zh-CN"/>
        </w:rPr>
        <w:t>800000.00</w:t>
      </w:r>
      <w:r>
        <w:rPr>
          <w:rFonts w:hint="eastAsia" w:ascii="仿宋" w:hAnsi="仿宋" w:eastAsia="仿宋" w:cs="仿宋"/>
          <w:sz w:val="24"/>
          <w:szCs w:val="24"/>
        </w:rPr>
        <w:t> </w:t>
      </w:r>
    </w:p>
    <w:p w14:paraId="11A85F6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default" w:ascii="仿宋" w:hAnsi="仿宋" w:eastAsia="仿宋" w:cs="仿宋"/>
          <w:sz w:val="24"/>
          <w:szCs w:val="24"/>
          <w:lang w:val="en-US"/>
        </w:rPr>
      </w:pPr>
      <w:r>
        <w:rPr>
          <w:rFonts w:hint="eastAsia" w:ascii="仿宋" w:hAnsi="仿宋" w:eastAsia="仿宋" w:cs="仿宋"/>
          <w:sz w:val="24"/>
          <w:szCs w:val="24"/>
        </w:rPr>
        <w:t>最高限价</w:t>
      </w:r>
      <w:r>
        <w:rPr>
          <w:rFonts w:hint="eastAsia" w:ascii="仿宋" w:hAnsi="仿宋" w:eastAsia="仿宋" w:cs="仿宋"/>
          <w:sz w:val="24"/>
          <w:szCs w:val="24"/>
          <w:lang w:eastAsia="zh-CN"/>
        </w:rPr>
        <w:t>（元）</w:t>
      </w:r>
      <w:r>
        <w:rPr>
          <w:rFonts w:hint="eastAsia" w:ascii="仿宋" w:hAnsi="仿宋" w:eastAsia="仿宋" w:cs="仿宋"/>
          <w:sz w:val="24"/>
          <w:szCs w:val="24"/>
        </w:rPr>
        <w:t>：</w:t>
      </w:r>
      <w:r>
        <w:rPr>
          <w:rFonts w:hint="eastAsia" w:ascii="仿宋" w:hAnsi="仿宋" w:eastAsia="仿宋" w:cs="仿宋"/>
          <w:sz w:val="24"/>
          <w:szCs w:val="24"/>
          <w:lang w:val="en-US" w:eastAsia="zh-CN"/>
        </w:rPr>
        <w:t>270000.00,270000.00,260000.00</w:t>
      </w:r>
    </w:p>
    <w:p w14:paraId="51BFFF4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采购需求</w:t>
      </w:r>
      <w:r>
        <w:rPr>
          <w:rFonts w:hint="eastAsia" w:ascii="仿宋" w:hAnsi="仿宋" w:eastAsia="仿宋" w:cs="仿宋"/>
          <w:sz w:val="24"/>
          <w:szCs w:val="24"/>
          <w:lang w:val="en-US" w:eastAsia="zh-CN"/>
        </w:rPr>
        <w:t xml:space="preserve">：  </w:t>
      </w:r>
    </w:p>
    <w:p w14:paraId="11935CB4">
      <w:pPr>
        <w:spacing w:line="440" w:lineRule="exact"/>
        <w:rPr>
          <w:rFonts w:hint="eastAsia" w:ascii="仿宋" w:hAnsi="仿宋" w:eastAsia="仿宋" w:cs="仿宋"/>
          <w:b/>
          <w:bCs/>
          <w:i w:val="0"/>
          <w:iCs w:val="0"/>
          <w:caps w:val="0"/>
          <w:color w:val="000000"/>
          <w:spacing w:val="0"/>
          <w:sz w:val="24"/>
          <w:szCs w:val="24"/>
          <w:lang w:val="en-US" w:eastAsia="zh-CN"/>
        </w:rPr>
      </w:pPr>
      <w:r>
        <w:rPr>
          <w:rFonts w:hint="eastAsia" w:ascii="仿宋" w:hAnsi="仿宋" w:eastAsia="仿宋" w:cs="仿宋"/>
          <w:b/>
          <w:bCs/>
          <w:i w:val="0"/>
          <w:iCs w:val="0"/>
          <w:caps w:val="0"/>
          <w:color w:val="000000"/>
          <w:spacing w:val="0"/>
          <w:sz w:val="24"/>
          <w:szCs w:val="24"/>
          <w:lang w:val="en-US" w:eastAsia="zh-CN"/>
        </w:rPr>
        <w:t>标项一   </w:t>
      </w:r>
    </w:p>
    <w:p w14:paraId="5A902D03">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标项名称：</w:t>
      </w:r>
      <w:r>
        <w:rPr>
          <w:rFonts w:hint="eastAsia" w:ascii="仿宋" w:hAnsi="仿宋" w:eastAsia="仿宋" w:cs="仿宋"/>
          <w:sz w:val="24"/>
          <w:szCs w:val="24"/>
          <w:lang w:eastAsia="zh-CN"/>
        </w:rPr>
        <w:t>新疆农业大学2026年基建维修项目监理服务一标段</w:t>
      </w:r>
    </w:p>
    <w:p w14:paraId="443C95C5">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数量：1     </w:t>
      </w:r>
    </w:p>
    <w:p w14:paraId="4CAB7DAB">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rPr>
        <w:t>预算金额（元）：</w:t>
      </w:r>
      <w:r>
        <w:rPr>
          <w:rFonts w:hint="eastAsia" w:ascii="仿宋" w:hAnsi="仿宋" w:eastAsia="仿宋" w:cs="仿宋"/>
          <w:sz w:val="24"/>
          <w:szCs w:val="24"/>
          <w:lang w:val="en-US" w:eastAsia="zh-CN"/>
        </w:rPr>
        <w:t>270000.00</w:t>
      </w:r>
    </w:p>
    <w:p w14:paraId="5BBA6D19">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单位：项 </w:t>
      </w:r>
    </w:p>
    <w:p w14:paraId="714F8E63">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简要规格描述：</w:t>
      </w:r>
      <w:r>
        <w:rPr>
          <w:rFonts w:hint="eastAsia" w:ascii="仿宋" w:hAnsi="仿宋" w:eastAsia="仿宋" w:cs="仿宋"/>
          <w:sz w:val="24"/>
          <w:szCs w:val="24"/>
          <w:lang w:val="en-US" w:eastAsia="zh-CN"/>
        </w:rPr>
        <w:t>一标段包含国际交流中心改造、校园中心区人行道改造、4号学生宿舍楼维修改造等8个项目，总投资预算1346万元，监理费预算约27万元</w:t>
      </w:r>
      <w:r>
        <w:rPr>
          <w:rFonts w:hint="eastAsia" w:ascii="仿宋" w:hAnsi="仿宋" w:eastAsia="仿宋" w:cs="仿宋"/>
          <w:sz w:val="24"/>
          <w:szCs w:val="24"/>
        </w:rPr>
        <w:t>。 </w:t>
      </w:r>
    </w:p>
    <w:p w14:paraId="4708A9C4">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rPr>
        <w:t>备注： </w:t>
      </w:r>
      <w:r>
        <w:rPr>
          <w:rFonts w:hint="eastAsia" w:ascii="仿宋" w:hAnsi="仿宋" w:eastAsia="仿宋" w:cs="仿宋"/>
          <w:sz w:val="24"/>
          <w:szCs w:val="24"/>
          <w:highlight w:val="none"/>
        </w:rPr>
        <w:t>本项目共</w:t>
      </w:r>
      <w:r>
        <w:rPr>
          <w:rFonts w:hint="eastAsia" w:ascii="仿宋" w:hAnsi="仿宋" w:eastAsia="仿宋" w:cs="仿宋"/>
          <w:sz w:val="24"/>
          <w:szCs w:val="24"/>
          <w:highlight w:val="none"/>
          <w:lang w:eastAsia="zh-CN"/>
        </w:rPr>
        <w:t>三</w:t>
      </w:r>
      <w:r>
        <w:rPr>
          <w:rFonts w:hint="eastAsia" w:ascii="仿宋" w:hAnsi="仿宋" w:eastAsia="仿宋" w:cs="仿宋"/>
          <w:sz w:val="24"/>
          <w:szCs w:val="24"/>
          <w:highlight w:val="none"/>
        </w:rPr>
        <w:t>个标项，允许兼投，不允许兼中。 </w:t>
      </w:r>
    </w:p>
    <w:p w14:paraId="6D7B72FA">
      <w:pPr>
        <w:spacing w:line="440" w:lineRule="exact"/>
        <w:rPr>
          <w:rFonts w:hint="eastAsia" w:ascii="仿宋" w:hAnsi="仿宋" w:eastAsia="仿宋" w:cs="仿宋"/>
          <w:i w:val="0"/>
          <w:iCs w:val="0"/>
          <w:caps w:val="0"/>
          <w:color w:val="000000"/>
          <w:spacing w:val="0"/>
          <w:sz w:val="24"/>
          <w:szCs w:val="24"/>
        </w:rPr>
      </w:pPr>
      <w:r>
        <w:rPr>
          <w:rFonts w:hint="eastAsia" w:ascii="仿宋" w:hAnsi="仿宋" w:eastAsia="仿宋" w:cs="仿宋"/>
          <w:b/>
          <w:bCs/>
          <w:i w:val="0"/>
          <w:iCs w:val="0"/>
          <w:caps w:val="0"/>
          <w:color w:val="000000"/>
          <w:spacing w:val="0"/>
          <w:sz w:val="24"/>
          <w:szCs w:val="24"/>
          <w:lang w:val="en-US" w:eastAsia="zh-CN"/>
        </w:rPr>
        <w:t>标项二 </w:t>
      </w:r>
      <w:r>
        <w:rPr>
          <w:rFonts w:hint="eastAsia" w:ascii="仿宋" w:hAnsi="仿宋" w:eastAsia="仿宋" w:cs="仿宋"/>
          <w:i w:val="0"/>
          <w:iCs w:val="0"/>
          <w:caps w:val="0"/>
          <w:color w:val="000000"/>
          <w:spacing w:val="0"/>
          <w:sz w:val="24"/>
          <w:szCs w:val="24"/>
          <w:lang w:val="en-US" w:eastAsia="zh-CN"/>
        </w:rPr>
        <w:t>   </w:t>
      </w:r>
    </w:p>
    <w:p w14:paraId="505BCC3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标项名称： </w:t>
      </w:r>
      <w:r>
        <w:rPr>
          <w:rFonts w:hint="eastAsia" w:ascii="仿宋" w:hAnsi="仿宋" w:eastAsia="仿宋" w:cs="仿宋"/>
          <w:sz w:val="24"/>
          <w:szCs w:val="24"/>
          <w:lang w:eastAsia="zh-CN"/>
        </w:rPr>
        <w:t>新疆农业大学2026年基建维修项目监理服务二标段</w:t>
      </w:r>
      <w:r>
        <w:rPr>
          <w:rFonts w:hint="eastAsia" w:ascii="仿宋" w:hAnsi="仿宋" w:eastAsia="仿宋" w:cs="仿宋"/>
          <w:sz w:val="24"/>
          <w:szCs w:val="24"/>
        </w:rPr>
        <w:t> </w:t>
      </w:r>
    </w:p>
    <w:p w14:paraId="4F4E4224">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数量：1     </w:t>
      </w:r>
    </w:p>
    <w:p w14:paraId="52B02A02">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预算金额（元）：</w:t>
      </w:r>
      <w:r>
        <w:rPr>
          <w:rFonts w:hint="eastAsia" w:ascii="仿宋" w:hAnsi="仿宋" w:eastAsia="仿宋" w:cs="仿宋"/>
          <w:sz w:val="24"/>
          <w:szCs w:val="24"/>
          <w:lang w:val="en-US" w:eastAsia="zh-CN"/>
        </w:rPr>
        <w:t>270000.00</w:t>
      </w:r>
    </w:p>
    <w:p w14:paraId="17CBBEE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单位：项 </w:t>
      </w:r>
    </w:p>
    <w:p w14:paraId="3A9867EB">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简要规格描述：</w:t>
      </w:r>
      <w:r>
        <w:rPr>
          <w:rFonts w:hint="eastAsia" w:ascii="仿宋" w:hAnsi="仿宋" w:eastAsia="仿宋" w:cs="仿宋"/>
          <w:sz w:val="24"/>
          <w:szCs w:val="24"/>
          <w:lang w:val="en-US" w:eastAsia="zh-CN"/>
        </w:rPr>
        <w:t>二标段包含1#风雨操场外立面升级改造、八一会堂外立面升级改造、勤学楼维修改造等8个项目，总投资预算1375万元，监理费预算约27万元</w:t>
      </w:r>
      <w:r>
        <w:rPr>
          <w:rFonts w:hint="eastAsia" w:ascii="仿宋" w:hAnsi="仿宋" w:eastAsia="仿宋" w:cs="仿宋"/>
          <w:sz w:val="24"/>
          <w:szCs w:val="24"/>
        </w:rPr>
        <w:t>。 </w:t>
      </w:r>
    </w:p>
    <w:p w14:paraId="76310B6D">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备注：本项目共</w:t>
      </w:r>
      <w:r>
        <w:rPr>
          <w:rFonts w:hint="eastAsia" w:ascii="仿宋" w:hAnsi="仿宋" w:eastAsia="仿宋" w:cs="仿宋"/>
          <w:sz w:val="24"/>
          <w:szCs w:val="24"/>
          <w:lang w:eastAsia="zh-CN"/>
        </w:rPr>
        <w:t>三</w:t>
      </w:r>
      <w:r>
        <w:rPr>
          <w:rFonts w:hint="eastAsia" w:ascii="仿宋" w:hAnsi="仿宋" w:eastAsia="仿宋" w:cs="仿宋"/>
          <w:sz w:val="24"/>
          <w:szCs w:val="24"/>
        </w:rPr>
        <w:t>个标项，允许兼投，不允许兼中。</w:t>
      </w:r>
    </w:p>
    <w:p w14:paraId="37A9951F">
      <w:pPr>
        <w:spacing w:line="440" w:lineRule="exact"/>
        <w:rPr>
          <w:rFonts w:hint="eastAsia" w:ascii="仿宋" w:hAnsi="仿宋" w:eastAsia="仿宋" w:cs="仿宋"/>
          <w:i w:val="0"/>
          <w:iCs w:val="0"/>
          <w:caps w:val="0"/>
          <w:color w:val="000000"/>
          <w:spacing w:val="0"/>
          <w:sz w:val="24"/>
          <w:szCs w:val="24"/>
        </w:rPr>
      </w:pPr>
      <w:r>
        <w:rPr>
          <w:rFonts w:hint="eastAsia" w:ascii="仿宋" w:hAnsi="仿宋" w:eastAsia="仿宋" w:cs="仿宋"/>
          <w:b/>
          <w:bCs/>
          <w:i w:val="0"/>
          <w:iCs w:val="0"/>
          <w:caps w:val="0"/>
          <w:color w:val="000000"/>
          <w:spacing w:val="0"/>
          <w:sz w:val="24"/>
          <w:szCs w:val="24"/>
          <w:lang w:val="en-US" w:eastAsia="zh-CN"/>
        </w:rPr>
        <w:t>标项三  </w:t>
      </w:r>
      <w:r>
        <w:rPr>
          <w:rFonts w:hint="eastAsia" w:ascii="仿宋" w:hAnsi="仿宋" w:eastAsia="仿宋" w:cs="仿宋"/>
          <w:i w:val="0"/>
          <w:iCs w:val="0"/>
          <w:caps w:val="0"/>
          <w:color w:val="000000"/>
          <w:spacing w:val="0"/>
          <w:sz w:val="24"/>
          <w:szCs w:val="24"/>
          <w:lang w:val="en-US" w:eastAsia="zh-CN"/>
        </w:rPr>
        <w:t xml:space="preserve">  </w:t>
      </w:r>
    </w:p>
    <w:p w14:paraId="72D1682F">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标项名称：</w:t>
      </w:r>
      <w:r>
        <w:rPr>
          <w:rFonts w:hint="eastAsia" w:ascii="仿宋" w:hAnsi="仿宋" w:eastAsia="仿宋" w:cs="仿宋"/>
          <w:sz w:val="24"/>
          <w:szCs w:val="24"/>
          <w:lang w:eastAsia="zh-CN"/>
        </w:rPr>
        <w:t>新疆农业大学2026年基建维修项目监理服务三标段</w:t>
      </w:r>
      <w:r>
        <w:rPr>
          <w:rFonts w:hint="eastAsia" w:ascii="仿宋" w:hAnsi="仿宋" w:eastAsia="仿宋" w:cs="仿宋"/>
          <w:sz w:val="24"/>
          <w:szCs w:val="24"/>
        </w:rPr>
        <w:t> </w:t>
      </w:r>
    </w:p>
    <w:p w14:paraId="2C4C23D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数量：1     </w:t>
      </w:r>
    </w:p>
    <w:p w14:paraId="048CB895">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预算金额（元）：</w:t>
      </w:r>
      <w:r>
        <w:rPr>
          <w:rFonts w:hint="eastAsia" w:ascii="仿宋" w:hAnsi="仿宋" w:eastAsia="仿宋" w:cs="仿宋"/>
          <w:sz w:val="24"/>
          <w:szCs w:val="24"/>
          <w:lang w:val="en-US" w:eastAsia="zh-CN"/>
        </w:rPr>
        <w:t>260000.00</w:t>
      </w:r>
      <w:r>
        <w:rPr>
          <w:rFonts w:hint="eastAsia" w:ascii="仿宋" w:hAnsi="仿宋" w:eastAsia="仿宋" w:cs="仿宋"/>
          <w:sz w:val="24"/>
          <w:szCs w:val="24"/>
        </w:rPr>
        <w:t> </w:t>
      </w:r>
    </w:p>
    <w:p w14:paraId="3E2C76C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单位：项 </w:t>
      </w:r>
    </w:p>
    <w:p w14:paraId="40DFEA8D">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简要规格描述：</w:t>
      </w:r>
      <w:r>
        <w:rPr>
          <w:rFonts w:hint="eastAsia" w:ascii="仿宋" w:hAnsi="仿宋" w:eastAsia="仿宋" w:cs="仿宋"/>
          <w:sz w:val="24"/>
          <w:szCs w:val="24"/>
          <w:lang w:val="en-US" w:eastAsia="zh-CN"/>
        </w:rPr>
        <w:t>三标段包含19号宿舍楼卫生间维修、食品工程中心改造、校园中心区景观提升等7个项目，总投资预算1407万元，监理费预算约26万元</w:t>
      </w:r>
      <w:r>
        <w:rPr>
          <w:rFonts w:hint="eastAsia" w:ascii="仿宋" w:hAnsi="仿宋" w:eastAsia="仿宋" w:cs="仿宋"/>
          <w:sz w:val="24"/>
          <w:szCs w:val="24"/>
        </w:rPr>
        <w:t>。 </w:t>
      </w:r>
    </w:p>
    <w:p w14:paraId="643B8763">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备注： 本项目共</w:t>
      </w:r>
      <w:r>
        <w:rPr>
          <w:rFonts w:hint="eastAsia" w:ascii="仿宋" w:hAnsi="仿宋" w:eastAsia="仿宋" w:cs="仿宋"/>
          <w:sz w:val="24"/>
          <w:szCs w:val="24"/>
          <w:lang w:eastAsia="zh-CN"/>
        </w:rPr>
        <w:t>三</w:t>
      </w:r>
      <w:r>
        <w:rPr>
          <w:rFonts w:hint="eastAsia" w:ascii="仿宋" w:hAnsi="仿宋" w:eastAsia="仿宋" w:cs="仿宋"/>
          <w:sz w:val="24"/>
          <w:szCs w:val="24"/>
        </w:rPr>
        <w:t>个标项，允许兼投，不允许兼中。</w:t>
      </w:r>
    </w:p>
    <w:p w14:paraId="5841DD79">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合同履约</w:t>
      </w:r>
      <w:r>
        <w:rPr>
          <w:rFonts w:hint="eastAsia" w:ascii="仿宋" w:hAnsi="仿宋" w:eastAsia="仿宋" w:cs="仿宋"/>
          <w:sz w:val="24"/>
          <w:szCs w:val="24"/>
        </w:rPr>
        <w:t>期限:从项目施工开工之日起直至工程</w:t>
      </w:r>
      <w:r>
        <w:rPr>
          <w:rFonts w:hint="eastAsia" w:ascii="仿宋" w:hAnsi="仿宋" w:eastAsia="仿宋" w:cs="仿宋"/>
          <w:sz w:val="24"/>
          <w:szCs w:val="24"/>
          <w:lang w:eastAsia="zh-CN"/>
        </w:rPr>
        <w:t>完工，并配合完成项目验收和审计结算工作。</w:t>
      </w:r>
      <w:r>
        <w:rPr>
          <w:rFonts w:hint="eastAsia" w:ascii="仿宋" w:hAnsi="仿宋" w:eastAsia="仿宋" w:cs="仿宋"/>
          <w:sz w:val="24"/>
          <w:szCs w:val="24"/>
        </w:rPr>
        <w:t>(具体以签订合同为准) </w:t>
      </w:r>
    </w:p>
    <w:p w14:paraId="58310134">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本项目（否）接受联合体投标</w:t>
      </w:r>
      <w:r>
        <w:rPr>
          <w:rFonts w:hint="eastAsia" w:ascii="仿宋" w:hAnsi="仿宋" w:eastAsia="仿宋" w:cs="仿宋"/>
          <w:sz w:val="24"/>
          <w:szCs w:val="24"/>
          <w:lang w:eastAsia="zh-CN"/>
        </w:rPr>
        <w:t>。</w:t>
      </w:r>
    </w:p>
    <w:p w14:paraId="26672B9E">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sz w:val="24"/>
          <w:szCs w:val="24"/>
        </w:rPr>
      </w:pPr>
      <w:r>
        <w:rPr>
          <w:rStyle w:val="24"/>
          <w:rFonts w:hint="eastAsia" w:ascii="仿宋" w:hAnsi="仿宋" w:eastAsia="仿宋" w:cs="仿宋"/>
          <w:sz w:val="24"/>
          <w:szCs w:val="24"/>
        </w:rPr>
        <w:t>二、申请人的资格要求：</w:t>
      </w:r>
    </w:p>
    <w:p w14:paraId="6A5D0235">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61D722C">
      <w:pPr>
        <w:spacing w:line="440" w:lineRule="exact"/>
        <w:ind w:firstLine="480" w:firstLineChars="200"/>
        <w:rPr>
          <w:rFonts w:hint="eastAsia" w:ascii="仿宋" w:hAnsi="仿宋" w:eastAsia="仿宋" w:cs="仿宋"/>
          <w:sz w:val="24"/>
          <w:szCs w:val="24"/>
          <w:highlight w:val="yellow"/>
          <w:lang w:val="en-US" w:eastAsia="zh-CN"/>
        </w:rPr>
      </w:pPr>
      <w:r>
        <w:rPr>
          <w:rFonts w:hint="eastAsia" w:ascii="仿宋" w:hAnsi="仿宋" w:eastAsia="仿宋" w:cs="仿宋"/>
          <w:sz w:val="24"/>
          <w:szCs w:val="24"/>
        </w:rPr>
        <w:t>2.落实政府采购政策需满足的资格要求：</w:t>
      </w:r>
      <w:r>
        <w:rPr>
          <w:rFonts w:hint="eastAsia" w:ascii="仿宋" w:hAnsi="仿宋" w:eastAsia="仿宋" w:cs="仿宋"/>
          <w:sz w:val="24"/>
          <w:szCs w:val="24"/>
          <w:highlight w:val="none"/>
          <w:lang w:val="en-US" w:eastAsia="zh-CN"/>
        </w:rPr>
        <w:t>本项目专门面向中小企业采购；</w:t>
      </w:r>
    </w:p>
    <w:p w14:paraId="0E096842">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3.本项目</w:t>
      </w:r>
      <w:r>
        <w:rPr>
          <w:rFonts w:hint="eastAsia" w:ascii="仿宋" w:hAnsi="仿宋" w:eastAsia="仿宋" w:cs="仿宋"/>
          <w:sz w:val="24"/>
          <w:szCs w:val="24"/>
          <w:highlight w:val="none"/>
        </w:rPr>
        <w:t>的特定资格要求</w:t>
      </w:r>
      <w:r>
        <w:rPr>
          <w:rFonts w:hint="eastAsia" w:ascii="仿宋" w:hAnsi="仿宋" w:eastAsia="仿宋" w:cs="仿宋"/>
          <w:sz w:val="24"/>
          <w:szCs w:val="24"/>
        </w:rPr>
        <w:t>：</w:t>
      </w:r>
    </w:p>
    <w:p w14:paraId="6A81DA7A">
      <w:pPr>
        <w:spacing w:line="440" w:lineRule="exact"/>
        <w:ind w:left="19" w:leftChars="9" w:firstLine="460" w:firstLineChars="192"/>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（1）供应商须具有建设行政主管部门颁发的工程监理综合资质或具备房屋建筑工程监理乙级（含）及以上资质；</w:t>
      </w:r>
    </w:p>
    <w:p w14:paraId="6CCC40B3">
      <w:pPr>
        <w:spacing w:line="440" w:lineRule="exact"/>
        <w:ind w:left="19" w:leftChars="9" w:firstLine="460" w:firstLineChars="192"/>
        <w:rPr>
          <w:rFonts w:hint="eastAsia" w:ascii="仿宋" w:hAnsi="仿宋" w:eastAsia="仿宋" w:cs="仿宋"/>
          <w:i w:val="0"/>
          <w:iCs w:val="0"/>
          <w:caps w:val="0"/>
          <w:color w:val="000000"/>
          <w:spacing w:val="0"/>
          <w:sz w:val="24"/>
          <w:szCs w:val="24"/>
          <w:lang w:eastAsia="zh-CN"/>
        </w:rPr>
      </w:pPr>
      <w:r>
        <w:rPr>
          <w:rFonts w:hint="eastAsia" w:ascii="仿宋" w:hAnsi="仿宋" w:eastAsia="仿宋" w:cs="仿宋"/>
          <w:i w:val="0"/>
          <w:iCs w:val="0"/>
          <w:caps w:val="0"/>
          <w:color w:val="000000"/>
          <w:spacing w:val="0"/>
          <w:sz w:val="24"/>
          <w:szCs w:val="24"/>
        </w:rPr>
        <w:t>（</w:t>
      </w:r>
      <w:r>
        <w:rPr>
          <w:rFonts w:hint="eastAsia" w:ascii="仿宋" w:hAnsi="仿宋" w:eastAsia="仿宋" w:cs="仿宋"/>
          <w:i w:val="0"/>
          <w:iCs w:val="0"/>
          <w:caps w:val="0"/>
          <w:color w:val="000000"/>
          <w:spacing w:val="0"/>
          <w:sz w:val="24"/>
          <w:szCs w:val="24"/>
          <w:lang w:val="en-US" w:eastAsia="zh-CN"/>
        </w:rPr>
        <w:t>2</w:t>
      </w:r>
      <w:r>
        <w:rPr>
          <w:rFonts w:hint="eastAsia" w:ascii="仿宋" w:hAnsi="仿宋" w:eastAsia="仿宋" w:cs="仿宋"/>
          <w:i w:val="0"/>
          <w:iCs w:val="0"/>
          <w:caps w:val="0"/>
          <w:color w:val="000000"/>
          <w:spacing w:val="0"/>
          <w:sz w:val="24"/>
          <w:szCs w:val="24"/>
        </w:rPr>
        <w:t>）总监理工程师须具有国家注册监理工程师注册证书（房屋建筑工程专业），须在本单位注册且在有效</w:t>
      </w:r>
      <w:r>
        <w:rPr>
          <w:rFonts w:hint="eastAsia" w:ascii="仿宋" w:hAnsi="仿宋" w:eastAsia="仿宋" w:cs="仿宋"/>
          <w:i w:val="0"/>
          <w:iCs w:val="0"/>
          <w:caps w:val="0"/>
          <w:color w:val="000000"/>
          <w:spacing w:val="0"/>
          <w:sz w:val="24"/>
          <w:szCs w:val="24"/>
          <w:lang w:eastAsia="zh-CN"/>
        </w:rPr>
        <w:t>期</w:t>
      </w:r>
      <w:r>
        <w:rPr>
          <w:rFonts w:hint="eastAsia" w:ascii="仿宋" w:hAnsi="仿宋" w:eastAsia="仿宋" w:cs="仿宋"/>
          <w:i w:val="0"/>
          <w:iCs w:val="0"/>
          <w:caps w:val="0"/>
          <w:color w:val="000000"/>
          <w:spacing w:val="0"/>
          <w:sz w:val="24"/>
          <w:szCs w:val="24"/>
          <w:lang w:val="en-US" w:eastAsia="zh-CN"/>
        </w:rPr>
        <w:t>内</w:t>
      </w:r>
      <w:r>
        <w:rPr>
          <w:rFonts w:hint="eastAsia" w:ascii="仿宋" w:hAnsi="仿宋" w:eastAsia="仿宋" w:cs="仿宋"/>
          <w:i w:val="0"/>
          <w:iCs w:val="0"/>
          <w:caps w:val="0"/>
          <w:color w:val="000000"/>
          <w:spacing w:val="0"/>
          <w:sz w:val="24"/>
          <w:szCs w:val="24"/>
        </w:rPr>
        <w:t>,不接受临时注册</w:t>
      </w:r>
      <w:r>
        <w:rPr>
          <w:rFonts w:hint="eastAsia" w:ascii="仿宋" w:hAnsi="仿宋" w:eastAsia="仿宋" w:cs="仿宋"/>
          <w:i w:val="0"/>
          <w:iCs w:val="0"/>
          <w:caps w:val="0"/>
          <w:color w:val="000000"/>
          <w:spacing w:val="0"/>
          <w:sz w:val="24"/>
          <w:szCs w:val="24"/>
          <w:lang w:eastAsia="zh-CN"/>
        </w:rPr>
        <w:t>；</w:t>
      </w:r>
    </w:p>
    <w:p w14:paraId="131AE11E">
      <w:pPr>
        <w:spacing w:line="440" w:lineRule="exact"/>
        <w:ind w:left="19" w:leftChars="9" w:firstLine="460" w:firstLineChars="192"/>
        <w:rPr>
          <w:rFonts w:hint="eastAsia" w:ascii="仿宋" w:hAnsi="仿宋" w:eastAsia="仿宋" w:cs="仿宋"/>
          <w:sz w:val="24"/>
          <w:szCs w:val="24"/>
          <w:highlight w:val="red"/>
          <w:lang w:eastAsia="zh-CN"/>
        </w:rPr>
      </w:pPr>
      <w:r>
        <w:rPr>
          <w:rFonts w:hint="eastAsia" w:ascii="仿宋" w:hAnsi="仿宋" w:eastAsia="仿宋" w:cs="仿宋"/>
          <w:i w:val="0"/>
          <w:iCs w:val="0"/>
          <w:caps w:val="0"/>
          <w:color w:val="000000"/>
          <w:spacing w:val="0"/>
          <w:sz w:val="24"/>
          <w:szCs w:val="24"/>
        </w:rPr>
        <w:t>（</w:t>
      </w:r>
      <w:r>
        <w:rPr>
          <w:rFonts w:hint="eastAsia" w:ascii="仿宋" w:hAnsi="仿宋" w:eastAsia="仿宋" w:cs="仿宋"/>
          <w:i w:val="0"/>
          <w:iCs w:val="0"/>
          <w:caps w:val="0"/>
          <w:color w:val="000000"/>
          <w:spacing w:val="0"/>
          <w:sz w:val="24"/>
          <w:szCs w:val="24"/>
          <w:lang w:val="en-US" w:eastAsia="zh-CN"/>
        </w:rPr>
        <w:t>3</w:t>
      </w:r>
      <w:r>
        <w:rPr>
          <w:rFonts w:hint="eastAsia" w:ascii="仿宋" w:hAnsi="仿宋" w:eastAsia="仿宋" w:cs="仿宋"/>
          <w:i w:val="0"/>
          <w:iCs w:val="0"/>
          <w:caps w:val="0"/>
          <w:color w:val="000000"/>
          <w:spacing w:val="0"/>
          <w:sz w:val="24"/>
          <w:szCs w:val="24"/>
        </w:rPr>
        <w:t>）凡拟参加本次采购项目的供应商，须在“信用中国”（www.creditchina.gov.cn）和中国政府采购网（www.ccgp.gov.cn）网站上未被列入失信被执行人、重大税收违法案件当事人名单以及政府采购严重违法失信行为记录名单（查询时间为自公告发布之日后）；</w:t>
      </w:r>
      <w:r>
        <w:rPr>
          <w:rFonts w:hint="eastAsia" w:ascii="仿宋" w:hAnsi="仿宋" w:eastAsia="仿宋" w:cs="仿宋"/>
          <w:i w:val="0"/>
          <w:iCs w:val="0"/>
          <w:caps w:val="0"/>
          <w:color w:val="000000"/>
          <w:spacing w:val="0"/>
          <w:sz w:val="24"/>
          <w:szCs w:val="24"/>
        </w:rPr>
        <w:br w:type="textWrapping"/>
      </w:r>
      <w:r>
        <w:rPr>
          <w:rFonts w:hint="eastAsia" w:ascii="仿宋" w:hAnsi="仿宋" w:eastAsia="仿宋" w:cs="仿宋"/>
          <w:i w:val="0"/>
          <w:iCs w:val="0"/>
          <w:caps w:val="0"/>
          <w:color w:val="000000"/>
          <w:spacing w:val="0"/>
          <w:sz w:val="24"/>
          <w:szCs w:val="24"/>
          <w:lang w:val="en-US" w:eastAsia="zh-CN"/>
        </w:rPr>
        <w:t xml:space="preserve">    </w:t>
      </w:r>
      <w:r>
        <w:rPr>
          <w:rFonts w:hint="eastAsia" w:ascii="仿宋" w:hAnsi="仿宋" w:eastAsia="仿宋" w:cs="仿宋"/>
          <w:i w:val="0"/>
          <w:iCs w:val="0"/>
          <w:caps w:val="0"/>
          <w:color w:val="000000"/>
          <w:spacing w:val="0"/>
          <w:sz w:val="24"/>
          <w:szCs w:val="24"/>
        </w:rPr>
        <w:t>（</w:t>
      </w:r>
      <w:r>
        <w:rPr>
          <w:rFonts w:hint="eastAsia" w:ascii="仿宋" w:hAnsi="仿宋" w:eastAsia="仿宋" w:cs="仿宋"/>
          <w:i w:val="0"/>
          <w:iCs w:val="0"/>
          <w:caps w:val="0"/>
          <w:color w:val="000000"/>
          <w:spacing w:val="0"/>
          <w:sz w:val="24"/>
          <w:szCs w:val="24"/>
          <w:lang w:val="en-US" w:eastAsia="zh-CN"/>
        </w:rPr>
        <w:t>4</w:t>
      </w:r>
      <w:r>
        <w:rPr>
          <w:rFonts w:hint="eastAsia" w:ascii="仿宋" w:hAnsi="仿宋" w:eastAsia="仿宋" w:cs="仿宋"/>
          <w:i w:val="0"/>
          <w:iCs w:val="0"/>
          <w:caps w:val="0"/>
          <w:color w:val="000000"/>
          <w:spacing w:val="0"/>
          <w:sz w:val="24"/>
          <w:szCs w:val="24"/>
        </w:rPr>
        <w:t>）</w:t>
      </w:r>
      <w:r>
        <w:rPr>
          <w:rFonts w:hint="eastAsia" w:ascii="仿宋" w:hAnsi="仿宋" w:eastAsia="仿宋" w:cs="仿宋"/>
          <w:i w:val="0"/>
          <w:iCs w:val="0"/>
          <w:caps w:val="0"/>
          <w:color w:val="000000"/>
          <w:spacing w:val="0"/>
          <w:sz w:val="24"/>
          <w:szCs w:val="24"/>
          <w:lang w:eastAsia="zh-CN"/>
        </w:rPr>
        <w:t>其他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 w:hAnsi="仿宋" w:eastAsia="仿宋" w:cs="仿宋"/>
          <w:i w:val="0"/>
          <w:iCs w:val="0"/>
          <w:caps w:val="0"/>
          <w:color w:val="000000"/>
          <w:spacing w:val="0"/>
          <w:sz w:val="24"/>
          <w:szCs w:val="24"/>
        </w:rPr>
        <w:t>；</w:t>
      </w:r>
    </w:p>
    <w:p w14:paraId="663AFC15">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rPr>
      </w:pPr>
      <w:r>
        <w:rPr>
          <w:rStyle w:val="24"/>
          <w:rFonts w:hint="eastAsia" w:ascii="仿宋" w:hAnsi="仿宋" w:eastAsia="仿宋" w:cs="仿宋"/>
          <w:sz w:val="24"/>
          <w:szCs w:val="24"/>
        </w:rPr>
        <w:t>三、获取采购文件</w:t>
      </w:r>
    </w:p>
    <w:p w14:paraId="05C859D2">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时间：</w:t>
      </w:r>
      <w:r>
        <w:rPr>
          <w:rFonts w:hint="eastAsia" w:ascii="仿宋" w:hAnsi="仿宋" w:eastAsia="仿宋" w:cs="仿宋"/>
          <w:sz w:val="24"/>
          <w:szCs w:val="24"/>
          <w:highlight w:val="none"/>
          <w:lang w:eastAsia="zh-CN"/>
        </w:rPr>
        <w:t>2026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日至</w:t>
      </w:r>
      <w:r>
        <w:rPr>
          <w:rFonts w:hint="eastAsia" w:ascii="仿宋" w:hAnsi="仿宋" w:eastAsia="仿宋" w:cs="仿宋"/>
          <w:sz w:val="24"/>
          <w:szCs w:val="24"/>
          <w:highlight w:val="none"/>
          <w:lang w:eastAsia="zh-CN"/>
        </w:rPr>
        <w:t>2026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日</w:t>
      </w:r>
      <w:r>
        <w:rPr>
          <w:rFonts w:hint="eastAsia" w:ascii="仿宋" w:hAnsi="仿宋" w:eastAsia="仿宋" w:cs="仿宋"/>
          <w:sz w:val="24"/>
          <w:szCs w:val="24"/>
        </w:rPr>
        <w:t>，每天上午00:00至14:00，下午14:00至23:59（</w:t>
      </w:r>
      <w:r>
        <w:rPr>
          <w:rFonts w:hint="eastAsia" w:ascii="仿宋" w:hAnsi="仿宋" w:eastAsia="仿宋" w:cs="仿宋"/>
          <w:i w:val="0"/>
          <w:iCs w:val="0"/>
          <w:caps w:val="0"/>
          <w:color w:val="auto"/>
          <w:spacing w:val="0"/>
          <w:sz w:val="24"/>
          <w:szCs w:val="24"/>
          <w:highlight w:val="none"/>
        </w:rPr>
        <w:t>北京时间，</w:t>
      </w:r>
      <w:r>
        <w:rPr>
          <w:rFonts w:hint="eastAsia" w:ascii="仿宋" w:hAnsi="仿宋" w:eastAsia="仿宋" w:cs="仿宋"/>
          <w:sz w:val="24"/>
          <w:szCs w:val="24"/>
        </w:rPr>
        <w:t>法定节假日除外）</w:t>
      </w:r>
    </w:p>
    <w:p w14:paraId="78E95AD4">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地点：政采云平台线上</w:t>
      </w:r>
    </w:p>
    <w:p w14:paraId="5420EBD5">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w:t>
      </w:r>
    </w:p>
    <w:p w14:paraId="5E99464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售价（元）：0</w:t>
      </w:r>
    </w:p>
    <w:p w14:paraId="071D62B1">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24"/>
          <w:rFonts w:hint="eastAsia" w:ascii="仿宋" w:hAnsi="仿宋" w:eastAsia="仿宋" w:cs="仿宋"/>
          <w:kern w:val="0"/>
          <w:sz w:val="24"/>
          <w:szCs w:val="24"/>
          <w:highlight w:val="none"/>
          <w:lang w:val="en-US" w:eastAsia="zh-CN" w:bidi="ar-SA"/>
        </w:rPr>
      </w:pPr>
      <w:r>
        <w:rPr>
          <w:rStyle w:val="24"/>
          <w:rFonts w:hint="eastAsia" w:ascii="仿宋" w:hAnsi="仿宋" w:eastAsia="仿宋" w:cs="仿宋"/>
          <w:kern w:val="0"/>
          <w:sz w:val="24"/>
          <w:szCs w:val="24"/>
          <w:lang w:val="en-US" w:eastAsia="zh-CN" w:bidi="ar-SA"/>
        </w:rPr>
        <w:t>四、响应文件提</w:t>
      </w:r>
      <w:r>
        <w:rPr>
          <w:rStyle w:val="24"/>
          <w:rFonts w:hint="eastAsia" w:ascii="仿宋" w:hAnsi="仿宋" w:eastAsia="仿宋" w:cs="仿宋"/>
          <w:kern w:val="0"/>
          <w:sz w:val="24"/>
          <w:szCs w:val="24"/>
          <w:highlight w:val="none"/>
          <w:lang w:val="en-US" w:eastAsia="zh-CN" w:bidi="ar-SA"/>
        </w:rPr>
        <w:t>交 </w:t>
      </w:r>
    </w:p>
    <w:p w14:paraId="58DC6EBE">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截止时间：</w:t>
      </w:r>
      <w:r>
        <w:rPr>
          <w:rFonts w:hint="eastAsia" w:ascii="仿宋" w:hAnsi="仿宋" w:eastAsia="仿宋" w:cs="仿宋"/>
          <w:sz w:val="24"/>
          <w:szCs w:val="24"/>
          <w:highlight w:val="none"/>
          <w:lang w:eastAsia="zh-CN"/>
        </w:rPr>
        <w:t>2026年</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月</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lang w:eastAsia="zh-CN"/>
        </w:rPr>
        <w:t>日</w:t>
      </w:r>
      <w:r>
        <w:rPr>
          <w:rFonts w:hint="eastAsia" w:ascii="仿宋" w:hAnsi="仿宋" w:eastAsia="仿宋" w:cs="仿宋"/>
          <w:sz w:val="24"/>
          <w:szCs w:val="24"/>
          <w:highlight w:val="none"/>
        </w:rPr>
        <w:t>11:00（北京时间）</w:t>
      </w:r>
    </w:p>
    <w:p w14:paraId="5E24DA89">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地点：请登录政采云投标客户端投标</w:t>
      </w:r>
      <w:r>
        <w:rPr>
          <w:rFonts w:hint="eastAsia" w:ascii="仿宋" w:hAnsi="仿宋" w:eastAsia="仿宋" w:cs="仿宋"/>
          <w:sz w:val="24"/>
          <w:szCs w:val="24"/>
          <w:highlight w:val="none"/>
          <w:lang w:val="en-US" w:eastAsia="zh-CN"/>
        </w:rPr>
        <w:tab/>
      </w:r>
      <w:r>
        <w:rPr>
          <w:rFonts w:hint="eastAsia" w:ascii="仿宋" w:hAnsi="仿宋" w:eastAsia="仿宋" w:cs="仿宋"/>
          <w:sz w:val="24"/>
          <w:szCs w:val="24"/>
          <w:highlight w:val="none"/>
        </w:rPr>
        <w:t xml:space="preserve"> </w:t>
      </w:r>
    </w:p>
    <w:p w14:paraId="5F2574BD">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highlight w:val="none"/>
        </w:rPr>
      </w:pPr>
      <w:r>
        <w:rPr>
          <w:rStyle w:val="24"/>
          <w:rFonts w:hint="eastAsia" w:ascii="仿宋" w:hAnsi="仿宋" w:eastAsia="仿宋" w:cs="仿宋"/>
          <w:sz w:val="24"/>
          <w:szCs w:val="24"/>
          <w:highlight w:val="none"/>
        </w:rPr>
        <w:t>五、响应文件开启</w:t>
      </w:r>
      <w:r>
        <w:rPr>
          <w:rFonts w:hint="eastAsia" w:ascii="仿宋" w:hAnsi="仿宋" w:eastAsia="仿宋" w:cs="仿宋"/>
          <w:sz w:val="24"/>
          <w:szCs w:val="24"/>
          <w:highlight w:val="none"/>
        </w:rPr>
        <w:t> </w:t>
      </w:r>
    </w:p>
    <w:p w14:paraId="1AD755F8">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开启时间：</w:t>
      </w:r>
      <w:r>
        <w:rPr>
          <w:rFonts w:hint="eastAsia" w:ascii="仿宋" w:hAnsi="仿宋" w:eastAsia="仿宋" w:cs="仿宋"/>
          <w:sz w:val="24"/>
          <w:szCs w:val="24"/>
          <w:highlight w:val="none"/>
          <w:lang w:eastAsia="zh-CN"/>
        </w:rPr>
        <w:t>2026年</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月</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lang w:eastAsia="zh-CN"/>
        </w:rPr>
        <w:t>日</w:t>
      </w:r>
      <w:r>
        <w:rPr>
          <w:rFonts w:hint="eastAsia" w:ascii="仿宋" w:hAnsi="仿宋" w:eastAsia="仿宋" w:cs="仿宋"/>
          <w:sz w:val="24"/>
          <w:szCs w:val="24"/>
          <w:highlight w:val="none"/>
        </w:rPr>
        <w:t>11:00（北京时间）</w:t>
      </w:r>
    </w:p>
    <w:p w14:paraId="47D863D5">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地点：</w:t>
      </w:r>
      <w:r>
        <w:rPr>
          <w:rFonts w:hint="eastAsia" w:ascii="仿宋" w:hAnsi="仿宋" w:eastAsia="仿宋" w:cs="仿宋"/>
          <w:sz w:val="24"/>
          <w:szCs w:val="24"/>
          <w:lang w:eastAsia="zh-CN"/>
        </w:rPr>
        <w:t>供应商</w:t>
      </w:r>
      <w:r>
        <w:rPr>
          <w:rFonts w:hint="eastAsia" w:ascii="仿宋" w:hAnsi="仿宋" w:eastAsia="仿宋" w:cs="仿宋"/>
          <w:sz w:val="24"/>
          <w:szCs w:val="24"/>
        </w:rPr>
        <w:t xml:space="preserve">登录政采云平台https://www.zcygov.cn/，进入“项目采购-开标评标-右边选择对应项目点击“进入项目”进入开标大厅 </w:t>
      </w:r>
    </w:p>
    <w:p w14:paraId="4DBC9E1A">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rPr>
      </w:pPr>
      <w:r>
        <w:rPr>
          <w:rStyle w:val="24"/>
          <w:rFonts w:hint="eastAsia" w:ascii="仿宋" w:hAnsi="仿宋" w:eastAsia="仿宋" w:cs="仿宋"/>
          <w:sz w:val="24"/>
          <w:szCs w:val="24"/>
        </w:rPr>
        <w:t>六、公告期限</w:t>
      </w:r>
    </w:p>
    <w:p w14:paraId="10180A2A">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自本公告发布之日起</w:t>
      </w:r>
      <w:r>
        <w:rPr>
          <w:rFonts w:hint="eastAsia" w:ascii="仿宋" w:hAnsi="仿宋" w:eastAsia="仿宋" w:cs="仿宋"/>
          <w:sz w:val="24"/>
          <w:szCs w:val="24"/>
          <w:lang w:val="en-US" w:eastAsia="zh-CN"/>
        </w:rPr>
        <w:t>3</w:t>
      </w:r>
      <w:r>
        <w:rPr>
          <w:rFonts w:hint="eastAsia" w:ascii="仿宋" w:hAnsi="仿宋" w:eastAsia="仿宋" w:cs="仿宋"/>
          <w:sz w:val="24"/>
          <w:szCs w:val="24"/>
        </w:rPr>
        <w:t>个工作日。</w:t>
      </w:r>
    </w:p>
    <w:p w14:paraId="4BAB73D4">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lang w:eastAsia="zh-CN"/>
        </w:rPr>
      </w:pPr>
      <w:r>
        <w:rPr>
          <w:rStyle w:val="24"/>
          <w:rFonts w:hint="eastAsia" w:ascii="仿宋" w:hAnsi="仿宋" w:eastAsia="仿宋" w:cs="仿宋"/>
          <w:sz w:val="24"/>
          <w:szCs w:val="24"/>
        </w:rPr>
        <w:t>七、</w:t>
      </w:r>
      <w:r>
        <w:rPr>
          <w:rStyle w:val="24"/>
          <w:rFonts w:hint="eastAsia" w:ascii="仿宋" w:hAnsi="仿宋" w:eastAsia="仿宋" w:cs="仿宋"/>
          <w:sz w:val="24"/>
          <w:szCs w:val="24"/>
          <w:lang w:eastAsia="zh-CN"/>
        </w:rPr>
        <w:t>其他补充事宜 </w:t>
      </w:r>
    </w:p>
    <w:p w14:paraId="4F791C54">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本项目实行网上投标，采用电子投标文件。</w:t>
      </w:r>
    </w:p>
    <w:p w14:paraId="6AAD4020">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各供应商应在开标前确保成为正式注册入库供应商，并完成CA数字证书(符合国密标准)申领。因未注册入库、未办理CA数字证书等原因造成无法投标或投标失败等后果由供应商自行承担。如需咨询，请联系新疆-安信CA服务热线0991-7810912；翔晟CA服务热线025-66085508；新疆CA服务热线4000921999。</w:t>
      </w:r>
    </w:p>
    <w:p w14:paraId="3E83B228">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供应商将政采云电子交易客户端下载、安装完成后，可通过账号密码或CA登录客户端进行投标文件的制作。在使用政采云投标客户端时，建议使用WIN7及以上操作系统。</w:t>
      </w:r>
    </w:p>
    <w:p w14:paraId="36246CDF">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其他事项：</w:t>
      </w:r>
    </w:p>
    <w:p w14:paraId="1A367A4D">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（1）政采云投标客户端请至新疆政府采购网（http://www.ccgp-xinjiang.gov.cn/）下载专区查看，如有问题可拨打政采云客户服务热线95763进行咨询。</w:t>
      </w:r>
    </w:p>
    <w:p w14:paraId="344B37D4">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（2）供应商在开标时须使用制作加密电子响应文件所使用的CA锁及电脑，电脑须提前配置好浏览器（建议使用谷歌浏览器），以便开标时解锁。</w:t>
      </w:r>
    </w:p>
    <w:p w14:paraId="151B3B86">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p w14:paraId="4479695B">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red"/>
          <w:lang w:eastAsia="zh-CN"/>
        </w:rPr>
      </w:pPr>
      <w:r>
        <w:rPr>
          <w:rFonts w:hint="eastAsia" w:ascii="仿宋" w:hAnsi="仿宋" w:eastAsia="仿宋" w:cs="仿宋"/>
          <w:sz w:val="24"/>
          <w:szCs w:val="24"/>
          <w:lang w:eastAsia="zh-CN"/>
        </w:rPr>
        <w:t>（4）为了保证开评标顺利进行，政采云线上开标功能完全实现，供应商开</w:t>
      </w:r>
      <w:r>
        <w:rPr>
          <w:rFonts w:hint="eastAsia" w:ascii="仿宋" w:hAnsi="仿宋" w:eastAsia="仿宋" w:cs="仿宋"/>
          <w:sz w:val="24"/>
          <w:szCs w:val="24"/>
          <w:highlight w:val="none"/>
          <w:lang w:eastAsia="zh-CN"/>
        </w:rPr>
        <w:t>标所使用的电脑设备须具有视频及语音功能。</w:t>
      </w:r>
    </w:p>
    <w:p w14:paraId="1921E04D">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特别提示：</w:t>
      </w:r>
    </w:p>
    <w:p w14:paraId="310334C8">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1、采购限额标准以上，200万元以下的货物和服务采购项目、400万元以下的工程采购项目，适宜由中小企业提供的，采购人应当专门面向中小企业采购。</w:t>
      </w:r>
    </w:p>
    <w:p w14:paraId="6C70CDDF">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2、超过200万元的货物和服务采购项目，预留该部分采购项目预算总额的30%以上专门面向中小企业采购，其中预留给小微企业的比例不低于60%。</w:t>
      </w:r>
    </w:p>
    <w:p w14:paraId="5A3B1C10">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3、超过400万元的工程采购项目中适宜由中小企业提供的，预留该部分采购项目预算总额的40%以上专门面向中小企业采购，其中预留给小微企业的比例不低于60%。</w:t>
      </w:r>
    </w:p>
    <w:p w14:paraId="43399F8F">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5C52E12E">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14:paraId="647BE27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rPr>
      </w:pPr>
      <w:r>
        <w:rPr>
          <w:rStyle w:val="24"/>
          <w:rFonts w:hint="eastAsia" w:ascii="仿宋" w:hAnsi="仿宋" w:eastAsia="仿宋" w:cs="仿宋"/>
          <w:sz w:val="24"/>
          <w:szCs w:val="24"/>
        </w:rPr>
        <w:t>八、凡对本次招标提出询问，请按以下方式联系</w:t>
      </w:r>
    </w:p>
    <w:p w14:paraId="0AE1D602">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1.采购人信息</w:t>
      </w:r>
    </w:p>
    <w:p w14:paraId="2624536B">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名 称：</w:t>
      </w:r>
      <w:r>
        <w:rPr>
          <w:rFonts w:hint="eastAsia" w:ascii="仿宋" w:hAnsi="仿宋" w:eastAsia="仿宋" w:cs="仿宋"/>
          <w:sz w:val="24"/>
          <w:szCs w:val="24"/>
          <w:lang w:eastAsia="zh-CN"/>
        </w:rPr>
        <w:t>新疆农业大学</w:t>
      </w:r>
    </w:p>
    <w:p w14:paraId="1ACCA874">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地 址：</w:t>
      </w:r>
      <w:r>
        <w:rPr>
          <w:rFonts w:hint="eastAsia" w:ascii="仿宋" w:hAnsi="仿宋" w:eastAsia="仿宋" w:cs="仿宋"/>
          <w:sz w:val="24"/>
          <w:szCs w:val="24"/>
          <w:lang w:eastAsia="zh-CN"/>
        </w:rPr>
        <w:t>乌鲁木齐市沙依巴克区八一街道农大东路311号</w:t>
      </w:r>
    </w:p>
    <w:p w14:paraId="55852B1F">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联系方式：</w:t>
      </w:r>
      <w:r>
        <w:rPr>
          <w:rFonts w:hint="eastAsia" w:ascii="仿宋" w:hAnsi="仿宋" w:eastAsia="仿宋" w:cs="仿宋"/>
          <w:sz w:val="24"/>
          <w:szCs w:val="24"/>
          <w:lang w:val="en-US" w:eastAsia="zh-CN"/>
        </w:rPr>
        <w:t>18199811604</w:t>
      </w:r>
    </w:p>
    <w:p w14:paraId="0278BFC3">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2.采购代理机构信息</w:t>
      </w:r>
    </w:p>
    <w:p w14:paraId="3A367FC3">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名 称：</w:t>
      </w:r>
      <w:r>
        <w:rPr>
          <w:rFonts w:hint="eastAsia" w:ascii="仿宋" w:hAnsi="仿宋" w:eastAsia="仿宋" w:cs="仿宋"/>
          <w:sz w:val="24"/>
          <w:szCs w:val="24"/>
          <w:lang w:eastAsia="zh-CN"/>
        </w:rPr>
        <w:t>中合安建工程管理有限公司</w:t>
      </w:r>
    </w:p>
    <w:p w14:paraId="423F84B0">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地 址：</w:t>
      </w:r>
      <w:r>
        <w:rPr>
          <w:rFonts w:hint="eastAsia" w:ascii="仿宋" w:hAnsi="仿宋" w:eastAsia="仿宋" w:cs="仿宋"/>
          <w:sz w:val="24"/>
          <w:szCs w:val="24"/>
          <w:lang w:eastAsia="zh-CN"/>
        </w:rPr>
        <w:t>新疆乌鲁木齐市高新区（新市区）新医路165号汇文大厦1栋6层A</w:t>
      </w:r>
    </w:p>
    <w:p w14:paraId="5F0F30D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联系方式：13579881296</w:t>
      </w:r>
    </w:p>
    <w:p w14:paraId="5BDAF50D">
      <w:pPr>
        <w:pStyle w:val="20"/>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auto"/>
        <w:rPr>
          <w:rFonts w:hint="eastAsia" w:ascii="仿宋" w:hAnsi="仿宋" w:eastAsia="仿宋" w:cs="仿宋"/>
          <w:b w:val="0"/>
          <w:bCs/>
          <w:color w:val="000000"/>
          <w:kern w:val="0"/>
          <w:sz w:val="24"/>
          <w:szCs w:val="24"/>
          <w:highlight w:val="none"/>
          <w:lang w:val="en-US" w:eastAsia="zh-CN" w:bidi="ar"/>
        </w:rPr>
      </w:pPr>
      <w:r>
        <w:rPr>
          <w:rFonts w:hint="eastAsia" w:ascii="仿宋" w:hAnsi="仿宋" w:eastAsia="仿宋" w:cs="仿宋"/>
          <w:sz w:val="24"/>
          <w:szCs w:val="24"/>
          <w:lang w:val="en-US" w:eastAsia="zh-CN"/>
        </w:rPr>
        <w:t>3.</w:t>
      </w:r>
      <w:r>
        <w:rPr>
          <w:rFonts w:hint="eastAsia" w:ascii="仿宋" w:hAnsi="仿宋" w:eastAsia="仿宋" w:cs="仿宋"/>
          <w:b w:val="0"/>
          <w:bCs/>
          <w:color w:val="000000"/>
          <w:kern w:val="0"/>
          <w:sz w:val="24"/>
          <w:szCs w:val="24"/>
          <w:highlight w:val="none"/>
          <w:lang w:val="en-US" w:eastAsia="zh-CN" w:bidi="ar"/>
        </w:rPr>
        <w:t>项目联系方式</w:t>
      </w:r>
    </w:p>
    <w:p w14:paraId="6CD07D8E">
      <w:pPr>
        <w:pStyle w:val="20"/>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auto"/>
        <w:rPr>
          <w:rFonts w:hint="eastAsia" w:ascii="仿宋" w:hAnsi="仿宋" w:eastAsia="仿宋" w:cs="仿宋"/>
          <w:b w:val="0"/>
          <w:bCs/>
          <w:color w:val="000000"/>
          <w:kern w:val="0"/>
          <w:sz w:val="24"/>
          <w:szCs w:val="24"/>
          <w:highlight w:val="none"/>
          <w:lang w:val="en-US" w:eastAsia="zh-CN" w:bidi="ar"/>
        </w:rPr>
      </w:pPr>
      <w:r>
        <w:rPr>
          <w:rFonts w:hint="eastAsia" w:ascii="仿宋" w:hAnsi="仿宋" w:eastAsia="仿宋" w:cs="仿宋"/>
          <w:b w:val="0"/>
          <w:bCs/>
          <w:color w:val="000000"/>
          <w:kern w:val="0"/>
          <w:sz w:val="24"/>
          <w:szCs w:val="24"/>
          <w:highlight w:val="none"/>
          <w:lang w:val="en-US" w:eastAsia="zh-CN" w:bidi="ar"/>
        </w:rPr>
        <w:t>项目联系人：彭小倬、王荣荣</w:t>
      </w:r>
    </w:p>
    <w:p w14:paraId="3EF0BE5C">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b w:val="0"/>
          <w:bCs/>
          <w:color w:val="000000"/>
          <w:kern w:val="0"/>
          <w:sz w:val="24"/>
          <w:szCs w:val="24"/>
          <w:highlight w:val="none"/>
          <w:lang w:val="en-US" w:eastAsia="zh-CN" w:bidi="ar"/>
        </w:rPr>
        <w:t>电 话：</w:t>
      </w:r>
      <w:r>
        <w:rPr>
          <w:rFonts w:hint="eastAsia" w:ascii="仿宋" w:hAnsi="仿宋" w:eastAsia="仿宋" w:cs="仿宋"/>
          <w:sz w:val="24"/>
          <w:szCs w:val="24"/>
        </w:rPr>
        <w:t>13579881296</w:t>
      </w:r>
    </w:p>
    <w:p w14:paraId="492F9C12">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560" w:firstLineChars="200"/>
        <w:jc w:val="center"/>
        <w:textAlignment w:val="auto"/>
        <w:outlineLvl w:val="0"/>
        <w:rPr>
          <w:rStyle w:val="31"/>
          <w:rFonts w:hint="eastAsia" w:ascii="仿宋" w:hAnsi="仿宋" w:eastAsia="仿宋" w:cs="仿宋"/>
          <w:szCs w:val="28"/>
        </w:rPr>
      </w:pPr>
      <w:r>
        <w:rPr>
          <w:rStyle w:val="27"/>
          <w:rFonts w:hint="eastAsia" w:ascii="仿宋" w:hAnsi="仿宋" w:eastAsia="仿宋" w:cs="仿宋"/>
          <w:sz w:val="28"/>
          <w:szCs w:val="28"/>
        </w:rPr>
        <w:br w:type="page"/>
      </w:r>
      <w:bookmarkStart w:id="3" w:name="_Toc13105"/>
      <w:r>
        <w:rPr>
          <w:rStyle w:val="31"/>
          <w:rFonts w:hint="eastAsia" w:ascii="仿宋" w:hAnsi="仿宋" w:eastAsia="仿宋" w:cs="仿宋"/>
          <w:b/>
          <w:bCs/>
          <w:sz w:val="32"/>
          <w:szCs w:val="32"/>
        </w:rPr>
        <w:t>第二部分 供应商须知</w:t>
      </w:r>
      <w:bookmarkEnd w:id="3"/>
    </w:p>
    <w:p w14:paraId="68F14E0D">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jc w:val="center"/>
        <w:textAlignment w:val="auto"/>
        <w:rPr>
          <w:rFonts w:hint="eastAsia" w:ascii="仿宋" w:hAnsi="仿宋" w:eastAsia="仿宋" w:cs="仿宋"/>
          <w:b/>
          <w:sz w:val="28"/>
          <w:szCs w:val="28"/>
        </w:rPr>
      </w:pPr>
      <w:r>
        <w:rPr>
          <w:rFonts w:hint="eastAsia" w:ascii="仿宋" w:hAnsi="仿宋" w:eastAsia="仿宋" w:cs="仿宋"/>
          <w:b/>
          <w:sz w:val="28"/>
          <w:szCs w:val="28"/>
        </w:rPr>
        <w:t>供应商需求前附表</w:t>
      </w:r>
    </w:p>
    <w:tbl>
      <w:tblPr>
        <w:tblStyle w:val="21"/>
        <w:tblW w:w="9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699"/>
        <w:gridCol w:w="7311"/>
      </w:tblGrid>
      <w:tr w14:paraId="52788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0B2389A3">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序号</w:t>
            </w:r>
          </w:p>
        </w:tc>
        <w:tc>
          <w:tcPr>
            <w:tcW w:w="1699" w:type="dxa"/>
            <w:vAlign w:val="center"/>
          </w:tcPr>
          <w:p w14:paraId="021C82B9">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类别</w:t>
            </w:r>
          </w:p>
        </w:tc>
        <w:tc>
          <w:tcPr>
            <w:tcW w:w="7311" w:type="dxa"/>
            <w:vAlign w:val="center"/>
          </w:tcPr>
          <w:p w14:paraId="6977030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内容说明</w:t>
            </w:r>
          </w:p>
        </w:tc>
      </w:tr>
      <w:tr w14:paraId="4D23E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1A8C4C9">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sz w:val="21"/>
                <w:szCs w:val="21"/>
              </w:rPr>
              <w:t>1</w:t>
            </w:r>
          </w:p>
        </w:tc>
        <w:tc>
          <w:tcPr>
            <w:tcW w:w="1699" w:type="dxa"/>
            <w:vAlign w:val="center"/>
          </w:tcPr>
          <w:p w14:paraId="304832A4">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项目名称</w:t>
            </w:r>
          </w:p>
        </w:tc>
        <w:tc>
          <w:tcPr>
            <w:tcW w:w="7311" w:type="dxa"/>
            <w:vAlign w:val="center"/>
          </w:tcPr>
          <w:p w14:paraId="49041E00">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eastAsia="zh-CN"/>
              </w:rPr>
              <w:t>项目名称：新疆农业大学2026年基建维修项目监理服务</w:t>
            </w:r>
          </w:p>
          <w:p w14:paraId="34619D65">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eastAsia="zh-CN"/>
              </w:rPr>
              <w:t>标段名称</w:t>
            </w:r>
            <w:r>
              <w:rPr>
                <w:rFonts w:hint="eastAsia" w:ascii="仿宋" w:hAnsi="仿宋" w:eastAsia="仿宋" w:cs="仿宋"/>
                <w:b w:val="0"/>
                <w:bCs w:val="0"/>
                <w:sz w:val="21"/>
                <w:szCs w:val="21"/>
                <w:lang w:val="en-US" w:eastAsia="zh-CN"/>
              </w:rPr>
              <w:t>：</w:t>
            </w:r>
            <w:r>
              <w:rPr>
                <w:rFonts w:hint="eastAsia" w:ascii="仿宋" w:hAnsi="仿宋" w:eastAsia="仿宋" w:cs="仿宋"/>
                <w:b w:val="0"/>
                <w:bCs w:val="0"/>
                <w:sz w:val="21"/>
                <w:szCs w:val="21"/>
                <w:lang w:eastAsia="zh-CN"/>
              </w:rPr>
              <w:t>新疆农业大学2026年基建维修项目监理服务一标段</w:t>
            </w:r>
          </w:p>
          <w:p w14:paraId="3AF6F089">
            <w:pPr>
              <w:keepNext w:val="0"/>
              <w:keepLines w:val="0"/>
              <w:pageBreakBefore w:val="0"/>
              <w:widowControl w:val="0"/>
              <w:kinsoku/>
              <w:wordWrap/>
              <w:topLinePunct w:val="0"/>
              <w:bidi w:val="0"/>
              <w:adjustRightInd w:val="0"/>
              <w:snapToGrid w:val="0"/>
              <w:spacing w:line="240" w:lineRule="auto"/>
              <w:ind w:firstLine="1050" w:firstLineChars="500"/>
              <w:jc w:val="left"/>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eastAsia="zh-CN"/>
              </w:rPr>
              <w:t>新疆农业大学2026年基建维修项目监理服务二标段</w:t>
            </w:r>
          </w:p>
          <w:p w14:paraId="7F807414">
            <w:pPr>
              <w:keepNext w:val="0"/>
              <w:keepLines w:val="0"/>
              <w:pageBreakBefore w:val="0"/>
              <w:widowControl w:val="0"/>
              <w:kinsoku/>
              <w:wordWrap/>
              <w:topLinePunct w:val="0"/>
              <w:bidi w:val="0"/>
              <w:adjustRightInd w:val="0"/>
              <w:snapToGrid w:val="0"/>
              <w:spacing w:line="240" w:lineRule="auto"/>
              <w:ind w:firstLine="1050" w:firstLineChars="500"/>
              <w:jc w:val="left"/>
              <w:textAlignment w:val="auto"/>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eastAsia="zh-CN"/>
              </w:rPr>
              <w:t>新疆农业大学2026年基建维修项目监理服务三标段</w:t>
            </w:r>
          </w:p>
        </w:tc>
      </w:tr>
      <w:tr w14:paraId="29B07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67BEA765">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sz w:val="21"/>
                <w:szCs w:val="21"/>
              </w:rPr>
              <w:t>2</w:t>
            </w:r>
          </w:p>
        </w:tc>
        <w:tc>
          <w:tcPr>
            <w:tcW w:w="1699" w:type="dxa"/>
            <w:vAlign w:val="center"/>
          </w:tcPr>
          <w:p w14:paraId="57D10EEC">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highlight w:val="none"/>
              </w:rPr>
            </w:pPr>
            <w:r>
              <w:rPr>
                <w:rFonts w:hint="eastAsia" w:ascii="仿宋" w:hAnsi="仿宋" w:eastAsia="仿宋" w:cs="仿宋"/>
                <w:sz w:val="21"/>
                <w:szCs w:val="21"/>
                <w:highlight w:val="none"/>
              </w:rPr>
              <w:t>项目编号</w:t>
            </w:r>
          </w:p>
        </w:tc>
        <w:tc>
          <w:tcPr>
            <w:tcW w:w="7311" w:type="dxa"/>
            <w:vAlign w:val="center"/>
          </w:tcPr>
          <w:p w14:paraId="6911F1B4">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val="0"/>
                <w:bCs w:val="0"/>
                <w:sz w:val="21"/>
                <w:szCs w:val="21"/>
                <w:highlight w:val="none"/>
                <w:lang w:val="en-US" w:eastAsia="zh-CN"/>
              </w:rPr>
              <w:t>2026ZHAJN-09（一</w:t>
            </w:r>
            <w:r>
              <w:rPr>
                <w:rFonts w:hint="eastAsia" w:ascii="仿宋" w:hAnsi="仿宋" w:eastAsia="仿宋" w:cs="仿宋"/>
                <w:b w:val="0"/>
                <w:bCs w:val="0"/>
                <w:sz w:val="21"/>
                <w:szCs w:val="21"/>
                <w:lang w:eastAsia="zh-CN"/>
              </w:rPr>
              <w:t>标段编号：2026ZHAJN-09(1)、</w:t>
            </w:r>
            <w:r>
              <w:rPr>
                <w:rFonts w:hint="eastAsia" w:ascii="仿宋" w:hAnsi="仿宋" w:eastAsia="仿宋" w:cs="仿宋"/>
                <w:b w:val="0"/>
                <w:bCs w:val="0"/>
                <w:sz w:val="21"/>
                <w:szCs w:val="21"/>
                <w:highlight w:val="none"/>
                <w:lang w:val="en-US" w:eastAsia="zh-CN"/>
              </w:rPr>
              <w:t>二</w:t>
            </w:r>
            <w:r>
              <w:rPr>
                <w:rFonts w:hint="eastAsia" w:ascii="仿宋" w:hAnsi="仿宋" w:eastAsia="仿宋" w:cs="仿宋"/>
                <w:b w:val="0"/>
                <w:bCs w:val="0"/>
                <w:sz w:val="21"/>
                <w:szCs w:val="21"/>
                <w:lang w:eastAsia="zh-CN"/>
              </w:rPr>
              <w:t>标段编号：</w:t>
            </w:r>
            <w:r>
              <w:rPr>
                <w:rFonts w:hint="eastAsia" w:ascii="仿宋" w:hAnsi="仿宋" w:eastAsia="仿宋" w:cs="仿宋"/>
                <w:b w:val="0"/>
                <w:bCs w:val="0"/>
                <w:sz w:val="21"/>
                <w:szCs w:val="21"/>
                <w:lang w:val="en-US" w:eastAsia="zh-CN"/>
              </w:rPr>
              <w:t>2026ZHAJN-09(2)、</w:t>
            </w:r>
            <w:r>
              <w:rPr>
                <w:rFonts w:hint="eastAsia" w:ascii="仿宋" w:hAnsi="仿宋" w:eastAsia="仿宋" w:cs="仿宋"/>
                <w:b w:val="0"/>
                <w:bCs w:val="0"/>
                <w:sz w:val="21"/>
                <w:szCs w:val="21"/>
                <w:highlight w:val="none"/>
                <w:lang w:val="en-US" w:eastAsia="zh-CN"/>
              </w:rPr>
              <w:t>三</w:t>
            </w:r>
            <w:r>
              <w:rPr>
                <w:rFonts w:hint="eastAsia" w:ascii="仿宋" w:hAnsi="仿宋" w:eastAsia="仿宋" w:cs="仿宋"/>
                <w:b w:val="0"/>
                <w:bCs w:val="0"/>
                <w:sz w:val="21"/>
                <w:szCs w:val="21"/>
                <w:lang w:eastAsia="zh-CN"/>
              </w:rPr>
              <w:t>标段编号：</w:t>
            </w:r>
            <w:r>
              <w:rPr>
                <w:rFonts w:hint="eastAsia" w:ascii="仿宋" w:hAnsi="仿宋" w:eastAsia="仿宋" w:cs="仿宋"/>
                <w:b w:val="0"/>
                <w:bCs w:val="0"/>
                <w:sz w:val="21"/>
                <w:szCs w:val="21"/>
                <w:lang w:val="en-US" w:eastAsia="zh-CN"/>
              </w:rPr>
              <w:t>2026ZHAJN-09(3)</w:t>
            </w:r>
            <w:r>
              <w:rPr>
                <w:rFonts w:hint="eastAsia" w:ascii="仿宋" w:hAnsi="仿宋" w:eastAsia="仿宋" w:cs="仿宋"/>
                <w:b w:val="0"/>
                <w:bCs w:val="0"/>
                <w:sz w:val="21"/>
                <w:szCs w:val="21"/>
                <w:highlight w:val="none"/>
                <w:lang w:val="en-US" w:eastAsia="zh-CN"/>
              </w:rPr>
              <w:t>）</w:t>
            </w:r>
          </w:p>
        </w:tc>
      </w:tr>
      <w:tr w14:paraId="42A8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77A19719">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3</w:t>
            </w:r>
          </w:p>
        </w:tc>
        <w:tc>
          <w:tcPr>
            <w:tcW w:w="1699" w:type="dxa"/>
            <w:vAlign w:val="center"/>
          </w:tcPr>
          <w:p w14:paraId="54690C06">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采购人名称/地址/联系人</w:t>
            </w:r>
          </w:p>
        </w:tc>
        <w:tc>
          <w:tcPr>
            <w:tcW w:w="7311" w:type="dxa"/>
            <w:vAlign w:val="center"/>
          </w:tcPr>
          <w:p w14:paraId="19906AE4">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lang w:eastAsia="zh-CN"/>
              </w:rPr>
            </w:pPr>
            <w:r>
              <w:rPr>
                <w:rFonts w:hint="eastAsia" w:ascii="仿宋" w:hAnsi="仿宋" w:eastAsia="仿宋" w:cs="仿宋"/>
                <w:sz w:val="21"/>
                <w:szCs w:val="21"/>
              </w:rPr>
              <w:t>名称：</w:t>
            </w:r>
            <w:r>
              <w:rPr>
                <w:rFonts w:hint="eastAsia" w:ascii="仿宋" w:hAnsi="仿宋" w:eastAsia="仿宋" w:cs="仿宋"/>
                <w:sz w:val="21"/>
                <w:szCs w:val="21"/>
                <w:lang w:eastAsia="zh-CN"/>
              </w:rPr>
              <w:t>新疆农业大学</w:t>
            </w:r>
          </w:p>
          <w:p w14:paraId="69EDB1A5">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lang w:eastAsia="zh-CN"/>
              </w:rPr>
            </w:pPr>
            <w:r>
              <w:rPr>
                <w:rFonts w:hint="eastAsia" w:ascii="仿宋" w:hAnsi="仿宋" w:eastAsia="仿宋" w:cs="仿宋"/>
                <w:sz w:val="21"/>
                <w:szCs w:val="21"/>
              </w:rPr>
              <w:t>地点：</w:t>
            </w:r>
            <w:r>
              <w:rPr>
                <w:rFonts w:hint="eastAsia" w:ascii="仿宋" w:hAnsi="仿宋" w:eastAsia="仿宋" w:cs="仿宋"/>
                <w:sz w:val="21"/>
                <w:szCs w:val="21"/>
                <w:lang w:eastAsia="zh-CN"/>
              </w:rPr>
              <w:t>乌鲁木齐市沙依巴克区八一街道农大东路311号</w:t>
            </w:r>
          </w:p>
          <w:p w14:paraId="550AD1D5">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lang w:eastAsia="zh-CN"/>
              </w:rPr>
            </w:pPr>
            <w:r>
              <w:rPr>
                <w:rFonts w:hint="eastAsia" w:ascii="仿宋" w:hAnsi="仿宋" w:eastAsia="仿宋" w:cs="仿宋"/>
                <w:sz w:val="21"/>
                <w:szCs w:val="21"/>
              </w:rPr>
              <w:t>联系人：</w:t>
            </w:r>
            <w:r>
              <w:rPr>
                <w:rFonts w:hint="eastAsia" w:ascii="仿宋" w:hAnsi="仿宋" w:eastAsia="仿宋" w:cs="仿宋"/>
                <w:sz w:val="21"/>
                <w:szCs w:val="21"/>
                <w:lang w:eastAsia="zh-CN"/>
              </w:rPr>
              <w:t>张冬冬老师</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电话：</w:t>
            </w:r>
            <w:r>
              <w:rPr>
                <w:rFonts w:hint="eastAsia" w:ascii="仿宋" w:hAnsi="仿宋" w:eastAsia="仿宋" w:cs="仿宋"/>
                <w:sz w:val="21"/>
                <w:szCs w:val="21"/>
                <w:lang w:eastAsia="zh-CN"/>
              </w:rPr>
              <w:t>18199811604</w:t>
            </w:r>
          </w:p>
        </w:tc>
      </w:tr>
      <w:tr w14:paraId="16CE1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46EFCFC5">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4</w:t>
            </w:r>
          </w:p>
        </w:tc>
        <w:tc>
          <w:tcPr>
            <w:tcW w:w="1699" w:type="dxa"/>
            <w:vAlign w:val="center"/>
          </w:tcPr>
          <w:p w14:paraId="3F19063D">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代理机构/地址/联系人</w:t>
            </w:r>
          </w:p>
        </w:tc>
        <w:tc>
          <w:tcPr>
            <w:tcW w:w="7311" w:type="dxa"/>
            <w:vAlign w:val="center"/>
          </w:tcPr>
          <w:p w14:paraId="36DBC345">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中合安建工程管理有限公司</w:t>
            </w:r>
          </w:p>
          <w:p w14:paraId="56FA7084">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pacing w:val="-17"/>
                <w:sz w:val="21"/>
                <w:szCs w:val="21"/>
                <w:lang w:eastAsia="zh-CN"/>
              </w:rPr>
            </w:pPr>
            <w:r>
              <w:rPr>
                <w:rFonts w:hint="eastAsia" w:ascii="仿宋" w:hAnsi="仿宋" w:eastAsia="仿宋" w:cs="仿宋"/>
                <w:sz w:val="21"/>
                <w:szCs w:val="21"/>
              </w:rPr>
              <w:t>地址：</w:t>
            </w:r>
            <w:r>
              <w:rPr>
                <w:rFonts w:hint="eastAsia" w:ascii="仿宋" w:hAnsi="仿宋" w:eastAsia="仿宋" w:cs="仿宋"/>
                <w:sz w:val="21"/>
                <w:szCs w:val="21"/>
                <w:lang w:eastAsia="zh-CN"/>
              </w:rPr>
              <w:t>新疆乌鲁木齐市高新区（新市区）新医路165号汇文大厦1栋6层A</w:t>
            </w:r>
          </w:p>
          <w:p w14:paraId="0C16243E">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b/>
                <w:kern w:val="0"/>
                <w:sz w:val="21"/>
                <w:szCs w:val="21"/>
                <w:lang w:eastAsia="zh-CN"/>
              </w:rPr>
            </w:pPr>
            <w:r>
              <w:rPr>
                <w:rFonts w:hint="eastAsia" w:ascii="仿宋" w:hAnsi="仿宋" w:eastAsia="仿宋" w:cs="仿宋"/>
                <w:sz w:val="21"/>
                <w:szCs w:val="21"/>
              </w:rPr>
              <w:t>联系人：</w:t>
            </w:r>
            <w:r>
              <w:rPr>
                <w:rFonts w:hint="eastAsia" w:ascii="仿宋" w:hAnsi="仿宋" w:eastAsia="仿宋" w:cs="仿宋"/>
                <w:sz w:val="21"/>
                <w:szCs w:val="21"/>
                <w:highlight w:val="none"/>
                <w:lang w:val="en-US" w:eastAsia="zh-CN"/>
              </w:rPr>
              <w:t>彭小倬、</w:t>
            </w:r>
            <w:r>
              <w:rPr>
                <w:rFonts w:hint="eastAsia" w:ascii="仿宋" w:hAnsi="仿宋" w:eastAsia="仿宋" w:cs="仿宋"/>
                <w:sz w:val="21"/>
                <w:szCs w:val="21"/>
                <w:highlight w:val="none"/>
                <w:lang w:eastAsia="zh-CN"/>
              </w:rPr>
              <w:t>王荣荣</w:t>
            </w:r>
            <w:r>
              <w:rPr>
                <w:rFonts w:hint="eastAsia" w:ascii="仿宋" w:hAnsi="仿宋" w:eastAsia="仿宋" w:cs="仿宋"/>
                <w:sz w:val="21"/>
                <w:szCs w:val="21"/>
                <w:highlight w:val="none"/>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电话：</w:t>
            </w:r>
            <w:r>
              <w:rPr>
                <w:rFonts w:hint="eastAsia" w:ascii="仿宋" w:hAnsi="仿宋" w:eastAsia="仿宋" w:cs="仿宋"/>
                <w:sz w:val="21"/>
                <w:szCs w:val="21"/>
                <w:lang w:eastAsia="zh-CN"/>
              </w:rPr>
              <w:t>13579881296</w:t>
            </w:r>
          </w:p>
        </w:tc>
      </w:tr>
      <w:tr w14:paraId="1C7F5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6F96AD4A">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5</w:t>
            </w:r>
          </w:p>
        </w:tc>
        <w:tc>
          <w:tcPr>
            <w:tcW w:w="1699" w:type="dxa"/>
            <w:vAlign w:val="center"/>
          </w:tcPr>
          <w:p w14:paraId="3EF4EBF2">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资金来源</w:t>
            </w:r>
          </w:p>
        </w:tc>
        <w:tc>
          <w:tcPr>
            <w:tcW w:w="7311" w:type="dxa"/>
            <w:vAlign w:val="center"/>
          </w:tcPr>
          <w:p w14:paraId="5FA90D3A">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b/>
                <w:bCs/>
                <w:sz w:val="21"/>
                <w:szCs w:val="21"/>
              </w:rPr>
            </w:pPr>
            <w:r>
              <w:rPr>
                <w:rFonts w:hint="eastAsia" w:ascii="仿宋" w:hAnsi="仿宋" w:eastAsia="仿宋" w:cs="仿宋"/>
                <w:sz w:val="21"/>
                <w:szCs w:val="21"/>
                <w:highlight w:val="none"/>
              </w:rPr>
              <w:t>财政资金</w:t>
            </w:r>
          </w:p>
        </w:tc>
      </w:tr>
      <w:tr w14:paraId="6AD4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1" w:type="dxa"/>
            <w:vAlign w:val="center"/>
          </w:tcPr>
          <w:p w14:paraId="4609859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6</w:t>
            </w:r>
          </w:p>
        </w:tc>
        <w:tc>
          <w:tcPr>
            <w:tcW w:w="1699" w:type="dxa"/>
            <w:vAlign w:val="center"/>
          </w:tcPr>
          <w:p w14:paraId="255BBF42">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采购预算及 最高限价</w:t>
            </w:r>
          </w:p>
        </w:tc>
        <w:tc>
          <w:tcPr>
            <w:tcW w:w="7311" w:type="dxa"/>
            <w:vAlign w:val="center"/>
          </w:tcPr>
          <w:p w14:paraId="72DF6A49">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default" w:ascii="仿宋" w:hAnsi="仿宋" w:eastAsia="仿宋" w:cs="仿宋"/>
                <w:sz w:val="21"/>
                <w:szCs w:val="21"/>
                <w:lang w:val="en-US"/>
              </w:rPr>
            </w:pPr>
            <w:r>
              <w:rPr>
                <w:rFonts w:hint="eastAsia" w:ascii="仿宋" w:hAnsi="仿宋" w:eastAsia="仿宋" w:cs="仿宋"/>
                <w:sz w:val="21"/>
                <w:szCs w:val="21"/>
                <w:lang w:val="en-US" w:eastAsia="zh-CN"/>
              </w:rPr>
              <w:t>800000.00元（标项一：270000.00元；标项二：270000.00元；标项三：260000.00元）</w:t>
            </w:r>
          </w:p>
        </w:tc>
      </w:tr>
      <w:tr w14:paraId="5AA2C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5A360D4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7</w:t>
            </w:r>
          </w:p>
        </w:tc>
        <w:tc>
          <w:tcPr>
            <w:tcW w:w="1699" w:type="dxa"/>
            <w:vAlign w:val="center"/>
          </w:tcPr>
          <w:p w14:paraId="72C9241C">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采购内容</w:t>
            </w:r>
          </w:p>
        </w:tc>
        <w:tc>
          <w:tcPr>
            <w:tcW w:w="7311" w:type="dxa"/>
            <w:vAlign w:val="center"/>
          </w:tcPr>
          <w:p w14:paraId="1C8AA5B0">
            <w:pPr>
              <w:keepNext w:val="0"/>
              <w:keepLines w:val="0"/>
              <w:pageBreakBefore w:val="0"/>
              <w:widowControl w:val="0"/>
              <w:kinsoku/>
              <w:wordWrap/>
              <w:overflowPunct w:val="0"/>
              <w:topLinePunct w:val="0"/>
              <w:bidi w:val="0"/>
              <w:adjustRightInd w:val="0"/>
              <w:snapToGrid w:val="0"/>
              <w:spacing w:line="240" w:lineRule="auto"/>
              <w:ind w:right="136" w:rightChars="65"/>
              <w:jc w:val="left"/>
              <w:textAlignment w:val="auto"/>
              <w:rPr>
                <w:rFonts w:hint="eastAsia" w:ascii="仿宋" w:hAnsi="仿宋" w:eastAsia="仿宋" w:cs="仿宋"/>
                <w:sz w:val="21"/>
                <w:szCs w:val="21"/>
              </w:rPr>
            </w:pPr>
            <w:r>
              <w:rPr>
                <w:rFonts w:hint="eastAsia" w:ascii="仿宋" w:hAnsi="仿宋" w:eastAsia="仿宋" w:cs="仿宋"/>
                <w:b w:val="0"/>
                <w:bCs w:val="0"/>
                <w:sz w:val="21"/>
                <w:szCs w:val="21"/>
                <w:lang w:eastAsia="zh-CN"/>
              </w:rPr>
              <w:t>新疆农业大学2026年基建维修，其余</w:t>
            </w:r>
            <w:r>
              <w:rPr>
                <w:rFonts w:hint="eastAsia" w:ascii="仿宋" w:hAnsi="仿宋" w:eastAsia="仿宋" w:cs="仿宋"/>
                <w:color w:val="000000"/>
                <w:sz w:val="21"/>
                <w:szCs w:val="21"/>
              </w:rPr>
              <w:t>详见</w:t>
            </w:r>
            <w:r>
              <w:rPr>
                <w:rFonts w:hint="eastAsia" w:ascii="仿宋" w:hAnsi="仿宋" w:eastAsia="仿宋" w:cs="仿宋"/>
                <w:color w:val="000000"/>
                <w:sz w:val="21"/>
                <w:szCs w:val="21"/>
                <w:lang w:val="en-US" w:eastAsia="zh-CN"/>
              </w:rPr>
              <w:t>磋商文件第五章</w:t>
            </w:r>
            <w:r>
              <w:rPr>
                <w:rFonts w:hint="eastAsia" w:ascii="仿宋" w:hAnsi="仿宋" w:eastAsia="仿宋" w:cs="仿宋"/>
                <w:color w:val="000000"/>
                <w:sz w:val="21"/>
                <w:szCs w:val="21"/>
              </w:rPr>
              <w:t>采购需求</w:t>
            </w:r>
          </w:p>
        </w:tc>
      </w:tr>
      <w:tr w14:paraId="254A3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7275E807">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8</w:t>
            </w:r>
          </w:p>
        </w:tc>
        <w:tc>
          <w:tcPr>
            <w:tcW w:w="1699" w:type="dxa"/>
            <w:vAlign w:val="center"/>
          </w:tcPr>
          <w:p w14:paraId="113D5F0F">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采购方式</w:t>
            </w:r>
          </w:p>
        </w:tc>
        <w:tc>
          <w:tcPr>
            <w:tcW w:w="7311" w:type="dxa"/>
            <w:vAlign w:val="center"/>
          </w:tcPr>
          <w:p w14:paraId="4C24C3F5">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rPr>
            </w:pPr>
            <w:r>
              <w:rPr>
                <w:rFonts w:hint="eastAsia" w:ascii="仿宋" w:hAnsi="仿宋" w:eastAsia="仿宋" w:cs="仿宋"/>
                <w:sz w:val="21"/>
                <w:szCs w:val="21"/>
              </w:rPr>
              <w:t>竞争性磋商</w:t>
            </w:r>
          </w:p>
        </w:tc>
      </w:tr>
      <w:tr w14:paraId="0942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F52E7F7">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9</w:t>
            </w:r>
          </w:p>
        </w:tc>
        <w:tc>
          <w:tcPr>
            <w:tcW w:w="1699" w:type="dxa"/>
            <w:vAlign w:val="center"/>
          </w:tcPr>
          <w:p w14:paraId="14F4819C">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公告媒体</w:t>
            </w:r>
          </w:p>
        </w:tc>
        <w:tc>
          <w:tcPr>
            <w:tcW w:w="7311" w:type="dxa"/>
            <w:vAlign w:val="center"/>
          </w:tcPr>
          <w:p w14:paraId="785E7671">
            <w:pPr>
              <w:keepNext w:val="0"/>
              <w:keepLines w:val="0"/>
              <w:pageBreakBefore w:val="0"/>
              <w:widowControl w:val="0"/>
              <w:kinsoku/>
              <w:wordWrap/>
              <w:overflowPunct w:val="0"/>
              <w:topLinePunct w:val="0"/>
              <w:bidi w:val="0"/>
              <w:adjustRightInd w:val="0"/>
              <w:snapToGrid w:val="0"/>
              <w:spacing w:line="240" w:lineRule="auto"/>
              <w:ind w:right="136" w:rightChars="65"/>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highlight w:val="none"/>
                <w:lang w:val="en-US" w:eastAsia="zh-CN"/>
              </w:rPr>
              <w:t>新疆政府采购网</w:t>
            </w:r>
          </w:p>
        </w:tc>
      </w:tr>
      <w:tr w14:paraId="5E1E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6F545CD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10</w:t>
            </w:r>
          </w:p>
        </w:tc>
        <w:tc>
          <w:tcPr>
            <w:tcW w:w="1699" w:type="dxa"/>
            <w:vAlign w:val="center"/>
          </w:tcPr>
          <w:p w14:paraId="111E3E81">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供应商</w:t>
            </w:r>
          </w:p>
          <w:p w14:paraId="3ABB95B1">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lang w:eastAsia="en-US"/>
              </w:rPr>
              <w:t>资格条件</w:t>
            </w:r>
          </w:p>
        </w:tc>
        <w:tc>
          <w:tcPr>
            <w:tcW w:w="7311" w:type="dxa"/>
            <w:vAlign w:val="center"/>
          </w:tcPr>
          <w:p w14:paraId="6817AC22">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1.满足《中华人民共和国政府采购法》第二十二条规定；</w:t>
            </w:r>
          </w:p>
          <w:p w14:paraId="70C3536A">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2.落实政府采购政策需满足的资格要求：</w:t>
            </w:r>
            <w:r>
              <w:rPr>
                <w:rFonts w:hint="eastAsia" w:ascii="仿宋" w:hAnsi="仿宋" w:eastAsia="仿宋" w:cs="仿宋"/>
                <w:sz w:val="21"/>
                <w:szCs w:val="21"/>
                <w:highlight w:val="none"/>
                <w:lang w:val="en-US" w:eastAsia="zh-CN"/>
              </w:rPr>
              <w:t>本项目专门面向中小企业采购；</w:t>
            </w:r>
          </w:p>
          <w:p w14:paraId="2F545D2F">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3.本项目的特定资格要求：</w:t>
            </w:r>
          </w:p>
          <w:p w14:paraId="49A10A4E">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（1）供应商须具有建设行政主管部门颁发的工程监理综合资质或具备房屋建筑工程监理乙级（含）及以上资质；</w:t>
            </w:r>
          </w:p>
          <w:p w14:paraId="12F6E016">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eastAsia="zh-CN"/>
              </w:rPr>
              <w:t>）总监理工程师须具有国家注册监理工程师注册证书（房屋建筑工程专业），须在本单位注册且在有效期,不接受临时注册；</w:t>
            </w:r>
          </w:p>
          <w:p w14:paraId="48F77FCC">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凡拟参加本次采购项目的供应商，须在“信用中国”（www.creditchina.gov.cn）和中国政府采购网（www.ccgp.gov.cn）网站上未被列入失信被执行人、重大税收违法案件当事人名单以及政府采购严重违法失信行为记录名单（查询时间为自公告发布之日后）；</w:t>
            </w:r>
            <w:r>
              <w:rPr>
                <w:rFonts w:hint="eastAsia" w:ascii="仿宋" w:hAnsi="仿宋" w:eastAsia="仿宋" w:cs="仿宋"/>
                <w:sz w:val="21"/>
                <w:szCs w:val="21"/>
                <w:highlight w:val="none"/>
                <w:lang w:eastAsia="zh-CN"/>
              </w:rPr>
              <w:br w:type="textWrapping"/>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lang w:eastAsia="zh-CN"/>
              </w:rPr>
              <w:t>）其他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r>
      <w:tr w14:paraId="643C2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03CAADA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11</w:t>
            </w:r>
          </w:p>
        </w:tc>
        <w:tc>
          <w:tcPr>
            <w:tcW w:w="1699" w:type="dxa"/>
            <w:vAlign w:val="center"/>
          </w:tcPr>
          <w:p w14:paraId="3C50A38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b/>
                <w:bCs/>
                <w:sz w:val="21"/>
                <w:szCs w:val="21"/>
                <w:highlight w:val="none"/>
              </w:rPr>
              <w:t>资格审查内容</w:t>
            </w:r>
          </w:p>
        </w:tc>
        <w:tc>
          <w:tcPr>
            <w:tcW w:w="7311" w:type="dxa"/>
            <w:vAlign w:val="center"/>
          </w:tcPr>
          <w:p w14:paraId="5BEA08EC">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供应商必须按照采购文件要求提交资格证明材料。</w:t>
            </w:r>
          </w:p>
          <w:p w14:paraId="1D9297DE">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由于供应商自身原因导致提交的电子文件无法识别的后果自负。</w:t>
            </w:r>
          </w:p>
        </w:tc>
      </w:tr>
      <w:tr w14:paraId="11A88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3870BF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2</w:t>
            </w:r>
          </w:p>
        </w:tc>
        <w:tc>
          <w:tcPr>
            <w:tcW w:w="1699" w:type="dxa"/>
            <w:vAlign w:val="center"/>
          </w:tcPr>
          <w:p w14:paraId="46A8321F">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lang w:eastAsia="en-US"/>
              </w:rPr>
              <w:t>联合体</w:t>
            </w:r>
          </w:p>
        </w:tc>
        <w:tc>
          <w:tcPr>
            <w:tcW w:w="7311" w:type="dxa"/>
            <w:vAlign w:val="center"/>
          </w:tcPr>
          <w:p w14:paraId="442E6020">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 xml:space="preserve">☑不接受   </w:t>
            </w:r>
            <w:r>
              <w:rPr>
                <w:rFonts w:hint="eastAsia" w:ascii="仿宋" w:hAnsi="仿宋" w:eastAsia="仿宋" w:cs="仿宋"/>
                <w:snapToGrid w:val="0"/>
                <w:sz w:val="21"/>
                <w:szCs w:val="21"/>
                <w:lang w:eastAsia="en-US"/>
              </w:rPr>
              <w:sym w:font="Wingdings 2" w:char="00A3"/>
            </w:r>
            <w:r>
              <w:rPr>
                <w:rFonts w:hint="eastAsia" w:ascii="仿宋" w:hAnsi="仿宋" w:eastAsia="仿宋" w:cs="仿宋"/>
                <w:snapToGrid w:val="0"/>
                <w:sz w:val="21"/>
                <w:szCs w:val="21"/>
              </w:rPr>
              <w:t>接受</w:t>
            </w:r>
          </w:p>
          <w:p w14:paraId="0AA2B825">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不允许成交企供应商将合同主体、非主体和关键非关键性内容委托企业完成</w:t>
            </w:r>
          </w:p>
        </w:tc>
      </w:tr>
      <w:tr w14:paraId="3CC2D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9C13FD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3</w:t>
            </w:r>
          </w:p>
        </w:tc>
        <w:tc>
          <w:tcPr>
            <w:tcW w:w="1699" w:type="dxa"/>
            <w:vAlign w:val="center"/>
          </w:tcPr>
          <w:p w14:paraId="6128D0CC">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napToGrid w:val="0"/>
                <w:sz w:val="21"/>
                <w:szCs w:val="21"/>
                <w:lang w:eastAsia="en-US"/>
              </w:rPr>
            </w:pPr>
            <w:r>
              <w:rPr>
                <w:rFonts w:hint="eastAsia" w:ascii="仿宋" w:hAnsi="仿宋" w:eastAsia="仿宋" w:cs="仿宋"/>
                <w:sz w:val="21"/>
                <w:szCs w:val="21"/>
                <w:lang w:eastAsia="zh-CN"/>
              </w:rPr>
              <w:t>磋商</w:t>
            </w:r>
            <w:r>
              <w:rPr>
                <w:rFonts w:hint="eastAsia" w:ascii="仿宋" w:hAnsi="仿宋" w:eastAsia="仿宋" w:cs="仿宋"/>
                <w:sz w:val="21"/>
                <w:szCs w:val="21"/>
              </w:rPr>
              <w:t>有效期</w:t>
            </w:r>
          </w:p>
        </w:tc>
        <w:tc>
          <w:tcPr>
            <w:tcW w:w="7311" w:type="dxa"/>
            <w:vAlign w:val="center"/>
          </w:tcPr>
          <w:p w14:paraId="389F9779">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napToGrid w:val="0"/>
                <w:sz w:val="21"/>
                <w:szCs w:val="21"/>
              </w:rPr>
            </w:pPr>
            <w:r>
              <w:rPr>
                <w:rFonts w:hint="eastAsia" w:ascii="仿宋" w:hAnsi="仿宋" w:eastAsia="仿宋" w:cs="仿宋"/>
                <w:sz w:val="21"/>
                <w:szCs w:val="21"/>
              </w:rPr>
              <w:t>90日历日（从递交响应文件截止时间起计算）。</w:t>
            </w:r>
          </w:p>
        </w:tc>
      </w:tr>
      <w:tr w14:paraId="5F890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6B145F5">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4</w:t>
            </w:r>
          </w:p>
        </w:tc>
        <w:tc>
          <w:tcPr>
            <w:tcW w:w="1699" w:type="dxa"/>
            <w:vAlign w:val="center"/>
          </w:tcPr>
          <w:p w14:paraId="1D5F1854">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合同履约期限</w:t>
            </w:r>
          </w:p>
        </w:tc>
        <w:tc>
          <w:tcPr>
            <w:tcW w:w="7311" w:type="dxa"/>
            <w:vAlign w:val="center"/>
          </w:tcPr>
          <w:p w14:paraId="41A96DB7">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从项目施工开工之日起直至工程完工，并配合完成项目验收和审计结算工作。(具体以签订合同为准) </w:t>
            </w:r>
          </w:p>
        </w:tc>
      </w:tr>
      <w:tr w14:paraId="76D97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6C8D0399">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5</w:t>
            </w:r>
          </w:p>
        </w:tc>
        <w:tc>
          <w:tcPr>
            <w:tcW w:w="1699" w:type="dxa"/>
            <w:vAlign w:val="center"/>
          </w:tcPr>
          <w:p w14:paraId="1859B3A0">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bCs/>
                <w:sz w:val="21"/>
                <w:szCs w:val="21"/>
                <w:highlight w:val="none"/>
              </w:rPr>
              <w:t>验收</w:t>
            </w:r>
          </w:p>
        </w:tc>
        <w:tc>
          <w:tcPr>
            <w:tcW w:w="7311" w:type="dxa"/>
            <w:vAlign w:val="center"/>
          </w:tcPr>
          <w:p w14:paraId="6721ED6F">
            <w:pPr>
              <w:pStyle w:val="17"/>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highlight w:val="none"/>
                <w:lang w:eastAsia="zh-CN"/>
              </w:rPr>
            </w:pPr>
            <w:r>
              <w:rPr>
                <w:rFonts w:hint="eastAsia" w:ascii="仿宋" w:hAnsi="仿宋" w:eastAsia="仿宋" w:cs="仿宋"/>
                <w:color w:val="auto"/>
                <w:kern w:val="0"/>
                <w:sz w:val="21"/>
                <w:szCs w:val="21"/>
                <w:highlight w:val="none"/>
                <w:lang w:val="en-US" w:eastAsia="zh-CN"/>
              </w:rPr>
              <w:t>/</w:t>
            </w:r>
          </w:p>
        </w:tc>
      </w:tr>
      <w:tr w14:paraId="4BFC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4BB188E9">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6</w:t>
            </w:r>
          </w:p>
        </w:tc>
        <w:tc>
          <w:tcPr>
            <w:tcW w:w="1699" w:type="dxa"/>
            <w:vAlign w:val="center"/>
          </w:tcPr>
          <w:p w14:paraId="136F9033">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highlight w:val="none"/>
                <w:lang w:eastAsia="zh-CN"/>
              </w:rPr>
              <w:t>服务</w:t>
            </w:r>
            <w:r>
              <w:rPr>
                <w:rFonts w:hint="eastAsia" w:ascii="仿宋" w:hAnsi="仿宋" w:eastAsia="仿宋" w:cs="仿宋"/>
                <w:sz w:val="21"/>
                <w:szCs w:val="21"/>
                <w:highlight w:val="none"/>
              </w:rPr>
              <w:t>期</w:t>
            </w:r>
          </w:p>
        </w:tc>
        <w:tc>
          <w:tcPr>
            <w:tcW w:w="7311" w:type="dxa"/>
            <w:vAlign w:val="center"/>
          </w:tcPr>
          <w:p w14:paraId="0AF28D19">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b w:val="0"/>
                <w:bCs w:val="0"/>
                <w:color w:val="000000"/>
                <w:sz w:val="21"/>
                <w:szCs w:val="21"/>
                <w:lang w:eastAsia="zh-CN"/>
              </w:rPr>
              <w:t>从项目施工开工之日起直至工程完工，并配合完成项目验收和审计结算工作。(具体以签订合同为准) </w:t>
            </w:r>
          </w:p>
        </w:tc>
      </w:tr>
      <w:tr w14:paraId="43FEB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72067A33">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7</w:t>
            </w:r>
          </w:p>
        </w:tc>
        <w:tc>
          <w:tcPr>
            <w:tcW w:w="1699" w:type="dxa"/>
            <w:vAlign w:val="center"/>
          </w:tcPr>
          <w:p w14:paraId="464C0488">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付款方式</w:t>
            </w:r>
          </w:p>
        </w:tc>
        <w:tc>
          <w:tcPr>
            <w:tcW w:w="7311" w:type="dxa"/>
            <w:vAlign w:val="center"/>
          </w:tcPr>
          <w:p w14:paraId="34808E2B">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1、付款币种：人民币支付。</w:t>
            </w:r>
          </w:p>
          <w:p w14:paraId="69DA82CD">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z w:val="21"/>
                <w:szCs w:val="21"/>
                <w:lang w:eastAsia="zh-CN"/>
              </w:rPr>
            </w:pPr>
            <w:r>
              <w:rPr>
                <w:rFonts w:hint="eastAsia" w:ascii="仿宋" w:hAnsi="仿宋" w:eastAsia="仿宋" w:cs="仿宋"/>
                <w:sz w:val="21"/>
                <w:szCs w:val="21"/>
                <w:highlight w:val="none"/>
                <w:lang w:eastAsia="zh-CN"/>
              </w:rPr>
              <w:t>2、付款方式：签订合同后支付预付款</w:t>
            </w:r>
            <w:r>
              <w:rPr>
                <w:rFonts w:hint="eastAsia" w:ascii="仿宋" w:hAnsi="仿宋" w:eastAsia="仿宋" w:cs="仿宋"/>
                <w:sz w:val="21"/>
                <w:szCs w:val="21"/>
                <w:highlight w:val="none"/>
                <w:lang w:val="en-US" w:eastAsia="zh-CN"/>
              </w:rPr>
              <w:t>30%，项目竣工验收后支付50%，配合完成审计结算后支付20%</w:t>
            </w:r>
            <w:r>
              <w:rPr>
                <w:rFonts w:hint="eastAsia" w:ascii="仿宋" w:hAnsi="仿宋" w:eastAsia="仿宋" w:cs="仿宋"/>
                <w:sz w:val="21"/>
                <w:szCs w:val="21"/>
                <w:highlight w:val="none"/>
                <w:lang w:eastAsia="zh-CN"/>
              </w:rPr>
              <w:t>。</w:t>
            </w:r>
          </w:p>
        </w:tc>
      </w:tr>
      <w:tr w14:paraId="639F8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5CCDCD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8</w:t>
            </w:r>
          </w:p>
        </w:tc>
        <w:tc>
          <w:tcPr>
            <w:tcW w:w="1699" w:type="dxa"/>
            <w:vAlign w:val="center"/>
          </w:tcPr>
          <w:p w14:paraId="48A55FB0">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lang w:eastAsia="en-US"/>
              </w:rPr>
              <w:t>信用查询</w:t>
            </w:r>
            <w:r>
              <w:rPr>
                <w:rFonts w:hint="eastAsia" w:ascii="仿宋" w:hAnsi="仿宋" w:eastAsia="仿宋" w:cs="仿宋"/>
                <w:snapToGrid w:val="0"/>
                <w:sz w:val="21"/>
                <w:szCs w:val="21"/>
              </w:rPr>
              <w:t>方法</w:t>
            </w:r>
          </w:p>
        </w:tc>
        <w:tc>
          <w:tcPr>
            <w:tcW w:w="7311" w:type="dxa"/>
            <w:vAlign w:val="center"/>
          </w:tcPr>
          <w:p w14:paraId="33DF3EC7">
            <w:pPr>
              <w:keepNext w:val="0"/>
              <w:keepLines w:val="0"/>
              <w:pageBreakBefore w:val="0"/>
              <w:widowControl w:val="0"/>
              <w:tabs>
                <w:tab w:val="left" w:pos="3303"/>
              </w:tabs>
              <w:kinsoku/>
              <w:wordWrap/>
              <w:topLinePunct w:val="0"/>
              <w:bidi w:val="0"/>
              <w:adjustRightInd w:val="0"/>
              <w:snapToGrid w:val="0"/>
              <w:spacing w:line="240" w:lineRule="auto"/>
              <w:ind w:firstLine="422" w:firstLineChars="200"/>
              <w:textAlignment w:val="auto"/>
              <w:rPr>
                <w:rFonts w:hint="eastAsia" w:ascii="仿宋" w:hAnsi="仿宋" w:eastAsia="仿宋" w:cs="仿宋"/>
                <w:snapToGrid w:val="0"/>
                <w:sz w:val="21"/>
                <w:szCs w:val="21"/>
              </w:rPr>
            </w:pPr>
            <w:r>
              <w:rPr>
                <w:rFonts w:hint="eastAsia" w:ascii="仿宋" w:hAnsi="仿宋" w:eastAsia="仿宋" w:cs="仿宋"/>
                <w:b/>
                <w:bCs/>
                <w:snapToGrid w:val="0"/>
                <w:sz w:val="21"/>
                <w:szCs w:val="21"/>
              </w:rPr>
              <w:sym w:font="Wingdings 2" w:char="00A3"/>
            </w:r>
            <w:r>
              <w:rPr>
                <w:rFonts w:hint="eastAsia" w:ascii="仿宋" w:hAnsi="仿宋" w:eastAsia="仿宋" w:cs="仿宋"/>
                <w:b/>
                <w:bCs/>
                <w:snapToGrid w:val="0"/>
                <w:sz w:val="21"/>
                <w:szCs w:val="21"/>
              </w:rPr>
              <w:t>供应商自行查询上述记录，如实提供无不良信用记录并加盖供应商公章。本项目信用记录查询截止时点为</w:t>
            </w:r>
            <w:r>
              <w:rPr>
                <w:rFonts w:hint="eastAsia" w:ascii="仿宋" w:hAnsi="仿宋" w:eastAsia="仿宋" w:cs="仿宋"/>
                <w:b/>
                <w:bCs/>
                <w:snapToGrid w:val="0"/>
                <w:sz w:val="21"/>
                <w:szCs w:val="21"/>
                <w:u w:val="single"/>
              </w:rPr>
              <w:t>响应文件开启时间。</w:t>
            </w:r>
          </w:p>
          <w:p w14:paraId="61A0E008">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Cs w:val="21"/>
              </w:rPr>
            </w:pPr>
            <w:r>
              <w:rPr>
                <w:rFonts w:hint="eastAsia" w:ascii="仿宋" w:hAnsi="仿宋" w:eastAsia="仿宋" w:cs="仿宋"/>
                <w:snapToGrid w:val="0"/>
                <w:sz w:val="21"/>
                <w:szCs w:val="21"/>
              </w:rPr>
              <w:sym w:font="Wingdings 2" w:char="0052"/>
            </w:r>
            <w:r>
              <w:rPr>
                <w:rFonts w:hint="eastAsia" w:ascii="仿宋" w:hAnsi="仿宋" w:eastAsia="仿宋" w:cs="仿宋"/>
                <w:snapToGrid w:val="0"/>
                <w:szCs w:val="21"/>
              </w:rPr>
              <w:t>由采购人代表或者采购代理机构在</w:t>
            </w:r>
            <w:r>
              <w:rPr>
                <w:rFonts w:hint="eastAsia" w:ascii="仿宋" w:hAnsi="仿宋" w:eastAsia="仿宋" w:cs="仿宋"/>
                <w:snapToGrid w:val="0"/>
                <w:szCs w:val="21"/>
                <w:lang w:val="en-US" w:eastAsia="zh-CN"/>
              </w:rPr>
              <w:t>通过</w:t>
            </w:r>
            <w:r>
              <w:rPr>
                <w:rFonts w:hint="eastAsia" w:ascii="仿宋" w:hAnsi="仿宋" w:eastAsia="仿宋" w:cs="仿宋"/>
                <w:snapToGrid w:val="0"/>
                <w:szCs w:val="21"/>
              </w:rPr>
              <w:t>“政采云”平台→信用情况→“信用中国”网站(www.creditchina.gov.cn)、中国政府采购网(www.ccgp.gov.cn)链接入口进行精确查询。在查询网站中直接打印查询记录，截图另存为电子文档作为评审资料保存。</w:t>
            </w:r>
          </w:p>
          <w:p w14:paraId="7DE4AEEF">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rPr>
            </w:pPr>
            <w:r>
              <w:rPr>
                <w:rFonts w:hint="eastAsia" w:ascii="仿宋" w:hAnsi="仿宋" w:eastAsia="仿宋" w:cs="仿宋"/>
                <w:snapToGrid w:val="0"/>
                <w:szCs w:val="21"/>
              </w:rPr>
              <w:t>对在“信用中国”网站(www.creditchina.gov.cn)、中国政府采购网(www.ccgp.gov.cn)被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snapToGrid w:val="0"/>
                <w:szCs w:val="21"/>
                <w:lang w:eastAsia="zh-CN"/>
              </w:rPr>
              <w:t>供应商</w:t>
            </w:r>
            <w:r>
              <w:rPr>
                <w:rFonts w:hint="eastAsia" w:ascii="仿宋" w:hAnsi="仿宋" w:eastAsia="仿宋" w:cs="仿宋"/>
                <w:snapToGrid w:val="0"/>
                <w:szCs w:val="21"/>
              </w:rPr>
              <w:t>，资格审查不通过，不得参与政府采购活动。两个以上的自然人、法人或者其他组织组成一个联合体，以一个</w:t>
            </w:r>
            <w:r>
              <w:rPr>
                <w:rFonts w:hint="eastAsia" w:ascii="仿宋" w:hAnsi="仿宋" w:eastAsia="仿宋" w:cs="仿宋"/>
                <w:snapToGrid w:val="0"/>
                <w:szCs w:val="21"/>
                <w:lang w:eastAsia="zh-CN"/>
              </w:rPr>
              <w:t>供应商</w:t>
            </w:r>
            <w:r>
              <w:rPr>
                <w:rFonts w:hint="eastAsia" w:ascii="仿宋" w:hAnsi="仿宋" w:eastAsia="仿宋" w:cs="仿宋"/>
                <w:snapToGrid w:val="0"/>
                <w:szCs w:val="21"/>
              </w:rPr>
              <w:t>的身份共同参加政府采购活动的，应当对所有联合体成员进行信用记录查询，联合体成员存在不良信用记录的，视同联合体存在不良信用记录。</w:t>
            </w:r>
          </w:p>
        </w:tc>
      </w:tr>
      <w:tr w14:paraId="6868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56801BF">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19</w:t>
            </w:r>
          </w:p>
        </w:tc>
        <w:tc>
          <w:tcPr>
            <w:tcW w:w="1699" w:type="dxa"/>
            <w:vAlign w:val="center"/>
          </w:tcPr>
          <w:p w14:paraId="3C98979C">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响应文件编制须知</w:t>
            </w:r>
          </w:p>
        </w:tc>
        <w:tc>
          <w:tcPr>
            <w:tcW w:w="7311" w:type="dxa"/>
            <w:vAlign w:val="center"/>
          </w:tcPr>
          <w:p w14:paraId="7ADB0FD8">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1</w:t>
            </w:r>
            <w:r>
              <w:rPr>
                <w:rFonts w:hint="eastAsia" w:ascii="仿宋" w:hAnsi="仿宋" w:eastAsia="仿宋" w:cs="仿宋"/>
                <w:snapToGrid w:val="0"/>
                <w:sz w:val="21"/>
                <w:szCs w:val="21"/>
                <w:lang w:val="en-US" w:eastAsia="zh-CN"/>
              </w:rPr>
              <w:t>.</w:t>
            </w:r>
            <w:r>
              <w:rPr>
                <w:rFonts w:hint="eastAsia" w:ascii="仿宋" w:hAnsi="仿宋" w:eastAsia="仿宋" w:cs="仿宋"/>
                <w:snapToGrid w:val="0"/>
                <w:sz w:val="21"/>
                <w:szCs w:val="21"/>
              </w:rPr>
              <w:t>在磋商文件领取截止时间前，使用办理的CA数字证书，通过政采云平台（https://www.zcygov.cn/）窗口下载所投项目的磋商文件。</w:t>
            </w:r>
          </w:p>
          <w:p w14:paraId="26EF2A1D">
            <w:pPr>
              <w:keepNext w:val="0"/>
              <w:keepLines w:val="0"/>
              <w:pageBreakBefore w:val="0"/>
              <w:widowControl w:val="0"/>
              <w:kinsoku/>
              <w:wordWrap/>
              <w:topLinePunct w:val="0"/>
              <w:bidi w:val="0"/>
              <w:adjustRightInd w:val="0"/>
              <w:snapToGrid w:val="0"/>
              <w:spacing w:line="240" w:lineRule="auto"/>
              <w:ind w:firstLine="420" w:firstLineChars="200"/>
              <w:jc w:val="left"/>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2</w:t>
            </w:r>
            <w:r>
              <w:rPr>
                <w:rFonts w:hint="eastAsia" w:ascii="仿宋" w:hAnsi="仿宋" w:eastAsia="仿宋" w:cs="仿宋"/>
                <w:snapToGrid w:val="0"/>
                <w:sz w:val="21"/>
                <w:szCs w:val="21"/>
                <w:lang w:val="en-US" w:eastAsia="zh-CN"/>
              </w:rPr>
              <w:t>.</w:t>
            </w:r>
            <w:r>
              <w:rPr>
                <w:rFonts w:hint="eastAsia" w:ascii="仿宋" w:hAnsi="仿宋" w:eastAsia="仿宋" w:cs="仿宋"/>
                <w:snapToGrid w:val="0"/>
                <w:sz w:val="21"/>
                <w:szCs w:val="21"/>
              </w:rPr>
              <w:t>供应商需在新疆政府采购网</w:t>
            </w:r>
            <w:r>
              <w:rPr>
                <w:rFonts w:hint="eastAsia" w:ascii="仿宋" w:hAnsi="仿宋" w:eastAsia="仿宋" w:cs="仿宋"/>
                <w:snapToGrid w:val="0"/>
                <w:w w:val="80"/>
                <w:sz w:val="21"/>
                <w:szCs w:val="21"/>
              </w:rPr>
              <w:t>（</w:t>
            </w:r>
            <w:r>
              <w:rPr>
                <w:rFonts w:hint="eastAsia" w:ascii="仿宋" w:hAnsi="仿宋" w:eastAsia="仿宋" w:cs="仿宋"/>
                <w:snapToGrid w:val="0"/>
                <w:sz w:val="21"/>
                <w:szCs w:val="21"/>
              </w:rPr>
              <w:t>http://www.ccgp-xinjiang.gov.cn/）下载专区自行下载政采云电子投标客户端。在电子投标客户端内制作对应的响应文件。响应文件制作完成后在响应截止时间前上传至政采云平台对应项目即可。</w:t>
            </w:r>
          </w:p>
          <w:p w14:paraId="52C6E73A">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z w:val="21"/>
                <w:szCs w:val="21"/>
              </w:rPr>
            </w:pPr>
            <w:r>
              <w:rPr>
                <w:rFonts w:hint="eastAsia" w:ascii="仿宋" w:hAnsi="仿宋" w:eastAsia="仿宋" w:cs="仿宋"/>
                <w:snapToGrid w:val="0"/>
                <w:sz w:val="21"/>
                <w:szCs w:val="21"/>
              </w:rPr>
              <w:t>3</w:t>
            </w:r>
            <w:r>
              <w:rPr>
                <w:rFonts w:hint="eastAsia" w:ascii="仿宋" w:hAnsi="仿宋" w:eastAsia="仿宋" w:cs="仿宋"/>
                <w:snapToGrid w:val="0"/>
                <w:sz w:val="21"/>
                <w:szCs w:val="21"/>
                <w:lang w:val="en-US" w:eastAsia="zh-CN"/>
              </w:rPr>
              <w:t>.</w:t>
            </w:r>
            <w:r>
              <w:rPr>
                <w:rFonts w:hint="eastAsia" w:ascii="仿宋" w:hAnsi="仿宋" w:eastAsia="仿宋" w:cs="仿宋"/>
                <w:snapToGrid w:val="0"/>
                <w:sz w:val="21"/>
                <w:szCs w:val="21"/>
              </w:rPr>
              <w:t>磋商文件规定：不接受响应文件中出现的可选择或可调整的</w:t>
            </w:r>
            <w:r>
              <w:rPr>
                <w:rFonts w:hint="eastAsia" w:ascii="仿宋" w:hAnsi="仿宋" w:eastAsia="仿宋" w:cs="仿宋"/>
                <w:snapToGrid w:val="0"/>
                <w:sz w:val="21"/>
                <w:szCs w:val="21"/>
                <w:lang w:val="en-US" w:eastAsia="zh-CN"/>
              </w:rPr>
              <w:t>投标</w:t>
            </w:r>
            <w:r>
              <w:rPr>
                <w:rFonts w:hint="eastAsia" w:ascii="仿宋" w:hAnsi="仿宋" w:eastAsia="仿宋" w:cs="仿宋"/>
                <w:snapToGrid w:val="0"/>
                <w:sz w:val="21"/>
                <w:szCs w:val="21"/>
              </w:rPr>
              <w:t>方案和报价，任何有选择的或可调整的投标方案和报价将被视为不响应磋商文件，将被拒绝。</w:t>
            </w:r>
          </w:p>
        </w:tc>
      </w:tr>
      <w:tr w14:paraId="0BC11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0B3DABDA">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0</w:t>
            </w:r>
          </w:p>
        </w:tc>
        <w:tc>
          <w:tcPr>
            <w:tcW w:w="1699" w:type="dxa"/>
            <w:vAlign w:val="center"/>
          </w:tcPr>
          <w:p w14:paraId="2395B633">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磋商文件的澄清</w:t>
            </w:r>
          </w:p>
        </w:tc>
        <w:tc>
          <w:tcPr>
            <w:tcW w:w="7311" w:type="dxa"/>
            <w:vAlign w:val="center"/>
          </w:tcPr>
          <w:p w14:paraId="1116F541">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tc>
      </w:tr>
      <w:tr w14:paraId="6938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695B05E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1</w:t>
            </w:r>
          </w:p>
        </w:tc>
        <w:tc>
          <w:tcPr>
            <w:tcW w:w="1699" w:type="dxa"/>
            <w:vAlign w:val="center"/>
          </w:tcPr>
          <w:p w14:paraId="5B43FBEA">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递交响应文件的截止时间和地点</w:t>
            </w:r>
          </w:p>
        </w:tc>
        <w:tc>
          <w:tcPr>
            <w:tcW w:w="7311" w:type="dxa"/>
            <w:vAlign w:val="center"/>
          </w:tcPr>
          <w:p w14:paraId="5C7679FA">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1）递交时间：</w:t>
            </w:r>
            <w:r>
              <w:rPr>
                <w:rFonts w:hint="eastAsia" w:ascii="仿宋" w:hAnsi="仿宋" w:eastAsia="仿宋" w:cs="仿宋"/>
                <w:sz w:val="21"/>
                <w:szCs w:val="21"/>
                <w:highlight w:val="none"/>
                <w:lang w:eastAsia="zh-CN"/>
              </w:rPr>
              <w:t>2026年</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lang w:eastAsia="zh-CN"/>
              </w:rPr>
              <w:t>月</w:t>
            </w:r>
            <w:r>
              <w:rPr>
                <w:rFonts w:hint="eastAsia" w:ascii="仿宋" w:hAnsi="仿宋" w:eastAsia="仿宋" w:cs="仿宋"/>
                <w:sz w:val="21"/>
                <w:szCs w:val="21"/>
                <w:highlight w:val="none"/>
                <w:lang w:val="en-US" w:eastAsia="zh-CN"/>
              </w:rPr>
              <w:t>20</w:t>
            </w:r>
            <w:r>
              <w:rPr>
                <w:rFonts w:hint="eastAsia" w:ascii="仿宋" w:hAnsi="仿宋" w:eastAsia="仿宋" w:cs="仿宋"/>
                <w:sz w:val="21"/>
                <w:szCs w:val="21"/>
                <w:highlight w:val="none"/>
                <w:lang w:eastAsia="zh-CN"/>
              </w:rPr>
              <w:t>日</w:t>
            </w:r>
            <w:r>
              <w:rPr>
                <w:rFonts w:hint="eastAsia" w:ascii="仿宋" w:hAnsi="仿宋" w:eastAsia="仿宋" w:cs="仿宋"/>
                <w:sz w:val="21"/>
                <w:szCs w:val="21"/>
                <w:highlight w:val="none"/>
              </w:rPr>
              <w:t>11:00时</w:t>
            </w:r>
          </w:p>
          <w:p w14:paraId="38886C51">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2）递交地点：请登录政采云投标客户端投标</w:t>
            </w:r>
          </w:p>
        </w:tc>
      </w:tr>
      <w:tr w14:paraId="796A5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799D99E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2</w:t>
            </w:r>
          </w:p>
        </w:tc>
        <w:tc>
          <w:tcPr>
            <w:tcW w:w="1699" w:type="dxa"/>
            <w:vAlign w:val="center"/>
          </w:tcPr>
          <w:p w14:paraId="365B7D19">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响应文件开启时间和地点</w:t>
            </w:r>
          </w:p>
        </w:tc>
        <w:tc>
          <w:tcPr>
            <w:tcW w:w="7311" w:type="dxa"/>
            <w:vAlign w:val="center"/>
          </w:tcPr>
          <w:p w14:paraId="744F7888">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highlight w:val="none"/>
              </w:rPr>
            </w:pPr>
            <w:r>
              <w:rPr>
                <w:rFonts w:hint="eastAsia" w:ascii="仿宋" w:hAnsi="仿宋" w:eastAsia="仿宋" w:cs="仿宋"/>
                <w:snapToGrid w:val="0"/>
                <w:sz w:val="21"/>
                <w:szCs w:val="21"/>
                <w:highlight w:val="none"/>
              </w:rPr>
              <w:t>1）开标时间：</w:t>
            </w:r>
            <w:r>
              <w:rPr>
                <w:rFonts w:hint="eastAsia" w:ascii="仿宋" w:hAnsi="仿宋" w:eastAsia="仿宋" w:cs="仿宋"/>
                <w:snapToGrid w:val="0"/>
                <w:sz w:val="21"/>
                <w:szCs w:val="21"/>
                <w:highlight w:val="none"/>
                <w:lang w:eastAsia="zh-CN"/>
              </w:rPr>
              <w:t>2026年</w:t>
            </w:r>
            <w:r>
              <w:rPr>
                <w:rFonts w:hint="eastAsia" w:ascii="仿宋" w:hAnsi="仿宋" w:eastAsia="仿宋" w:cs="仿宋"/>
                <w:snapToGrid w:val="0"/>
                <w:sz w:val="21"/>
                <w:szCs w:val="21"/>
                <w:highlight w:val="none"/>
                <w:lang w:val="en-US" w:eastAsia="zh-CN"/>
              </w:rPr>
              <w:t>5</w:t>
            </w:r>
            <w:r>
              <w:rPr>
                <w:rFonts w:hint="eastAsia" w:ascii="仿宋" w:hAnsi="仿宋" w:eastAsia="仿宋" w:cs="仿宋"/>
                <w:snapToGrid w:val="0"/>
                <w:sz w:val="21"/>
                <w:szCs w:val="21"/>
                <w:highlight w:val="none"/>
                <w:lang w:eastAsia="zh-CN"/>
              </w:rPr>
              <w:t>月</w:t>
            </w:r>
            <w:r>
              <w:rPr>
                <w:rFonts w:hint="eastAsia" w:ascii="仿宋" w:hAnsi="仿宋" w:eastAsia="仿宋" w:cs="仿宋"/>
                <w:sz w:val="21"/>
                <w:szCs w:val="21"/>
                <w:highlight w:val="none"/>
                <w:lang w:val="en-US" w:eastAsia="zh-CN"/>
              </w:rPr>
              <w:t>20</w:t>
            </w:r>
            <w:bookmarkStart w:id="25" w:name="_GoBack"/>
            <w:bookmarkEnd w:id="25"/>
            <w:r>
              <w:rPr>
                <w:rFonts w:hint="eastAsia" w:ascii="仿宋" w:hAnsi="仿宋" w:eastAsia="仿宋" w:cs="仿宋"/>
                <w:snapToGrid w:val="0"/>
                <w:sz w:val="21"/>
                <w:szCs w:val="21"/>
                <w:highlight w:val="none"/>
                <w:lang w:eastAsia="zh-CN"/>
              </w:rPr>
              <w:t>日</w:t>
            </w:r>
            <w:r>
              <w:rPr>
                <w:rFonts w:hint="eastAsia" w:ascii="仿宋" w:hAnsi="仿宋" w:eastAsia="仿宋" w:cs="仿宋"/>
                <w:snapToGrid w:val="0"/>
                <w:sz w:val="21"/>
                <w:szCs w:val="21"/>
                <w:highlight w:val="none"/>
              </w:rPr>
              <w:t>11:00</w:t>
            </w:r>
            <w:r>
              <w:rPr>
                <w:rFonts w:hint="eastAsia" w:ascii="仿宋" w:hAnsi="仿宋" w:eastAsia="仿宋" w:cs="仿宋"/>
                <w:sz w:val="21"/>
                <w:szCs w:val="21"/>
                <w:highlight w:val="none"/>
              </w:rPr>
              <w:t>时</w:t>
            </w:r>
          </w:p>
          <w:p w14:paraId="19F83BAA">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highlight w:val="none"/>
              </w:rPr>
            </w:pPr>
            <w:r>
              <w:rPr>
                <w:rFonts w:hint="eastAsia" w:ascii="仿宋" w:hAnsi="仿宋" w:eastAsia="仿宋" w:cs="仿宋"/>
                <w:snapToGrid w:val="0"/>
                <w:sz w:val="21"/>
                <w:szCs w:val="21"/>
                <w:highlight w:val="none"/>
              </w:rPr>
              <w:t>2）开标地点：</w:t>
            </w:r>
            <w:r>
              <w:rPr>
                <w:rFonts w:hint="eastAsia" w:ascii="仿宋" w:hAnsi="仿宋" w:eastAsia="仿宋" w:cs="仿宋"/>
                <w:snapToGrid w:val="0"/>
                <w:sz w:val="21"/>
                <w:szCs w:val="21"/>
                <w:highlight w:val="none"/>
                <w:lang w:eastAsia="zh-CN"/>
              </w:rPr>
              <w:t>供应商</w:t>
            </w:r>
            <w:r>
              <w:rPr>
                <w:rFonts w:hint="eastAsia" w:ascii="仿宋" w:hAnsi="仿宋" w:eastAsia="仿宋" w:cs="仿宋"/>
                <w:snapToGrid w:val="0"/>
                <w:sz w:val="21"/>
                <w:szCs w:val="21"/>
                <w:highlight w:val="none"/>
              </w:rPr>
              <w:t>登录政采云平台https://www.zcygov.cn/，进入“项目采购-开标评标-右边选择对应项目点击“进入项目”进入开标大厅。</w:t>
            </w:r>
          </w:p>
          <w:p w14:paraId="72FE6C4F">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b/>
                <w:bCs/>
                <w:snapToGrid w:val="0"/>
                <w:sz w:val="21"/>
                <w:szCs w:val="21"/>
                <w:highlight w:val="none"/>
              </w:rPr>
            </w:pPr>
            <w:r>
              <w:rPr>
                <w:rFonts w:hint="eastAsia" w:ascii="仿宋" w:hAnsi="仿宋" w:eastAsia="仿宋" w:cs="仿宋"/>
                <w:b/>
                <w:bCs/>
                <w:snapToGrid w:val="0"/>
                <w:sz w:val="21"/>
                <w:szCs w:val="21"/>
                <w:highlight w:val="none"/>
              </w:rPr>
              <w:t>响应文件开启当日，供应商无需到达开标现场，仅需通过政采云平台“不见面”开标大厅完成远程解密。大厅操作提示：</w:t>
            </w:r>
          </w:p>
          <w:p w14:paraId="45B68C35">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b/>
                <w:bCs/>
                <w:snapToGrid w:val="0"/>
                <w:sz w:val="21"/>
                <w:szCs w:val="21"/>
                <w:highlight w:val="none"/>
              </w:rPr>
            </w:pPr>
            <w:r>
              <w:rPr>
                <w:rFonts w:hint="eastAsia" w:ascii="仿宋" w:hAnsi="仿宋" w:eastAsia="仿宋" w:cs="仿宋"/>
                <w:b/>
                <w:bCs/>
                <w:snapToGrid w:val="0"/>
                <w:sz w:val="21"/>
                <w:szCs w:val="21"/>
                <w:highlight w:val="none"/>
              </w:rPr>
              <w:t>①开标前一小时在系统进行在线签到；</w:t>
            </w:r>
          </w:p>
          <w:p w14:paraId="11040C02">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b/>
                <w:bCs/>
                <w:snapToGrid w:val="0"/>
                <w:sz w:val="21"/>
                <w:szCs w:val="21"/>
                <w:highlight w:val="none"/>
              </w:rPr>
            </w:pPr>
            <w:r>
              <w:rPr>
                <w:rFonts w:hint="eastAsia" w:ascii="仿宋" w:hAnsi="仿宋" w:eastAsia="仿宋" w:cs="仿宋"/>
                <w:b/>
                <w:bCs/>
                <w:snapToGrid w:val="0"/>
                <w:sz w:val="21"/>
                <w:szCs w:val="21"/>
                <w:highlight w:val="none"/>
              </w:rPr>
              <w:t>②30分钟内完成在线解密；</w:t>
            </w:r>
          </w:p>
          <w:p w14:paraId="78CDBACF">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b/>
                <w:bCs/>
                <w:snapToGrid w:val="0"/>
                <w:sz w:val="21"/>
                <w:szCs w:val="21"/>
                <w:highlight w:val="none"/>
              </w:rPr>
            </w:pPr>
            <w:r>
              <w:rPr>
                <w:rFonts w:hint="eastAsia" w:ascii="仿宋" w:hAnsi="仿宋" w:eastAsia="仿宋" w:cs="仿宋"/>
                <w:b/>
                <w:bCs/>
                <w:snapToGrid w:val="0"/>
                <w:sz w:val="21"/>
                <w:szCs w:val="21"/>
                <w:highlight w:val="none"/>
              </w:rPr>
              <w:t>③开标结束后30分钟内完成“开标一览表”在线签章。</w:t>
            </w:r>
          </w:p>
          <w:p w14:paraId="4DCC24ED">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kern w:val="0"/>
                <w:sz w:val="21"/>
                <w:szCs w:val="21"/>
                <w:highlight w:val="none"/>
                <w:lang w:eastAsia="zh-CN" w:bidi="zh-CN"/>
              </w:rPr>
            </w:pPr>
            <w:r>
              <w:rPr>
                <w:rFonts w:hint="eastAsia" w:ascii="仿宋" w:hAnsi="仿宋" w:eastAsia="仿宋" w:cs="仿宋"/>
                <w:b/>
                <w:bCs/>
                <w:snapToGrid w:val="0"/>
                <w:sz w:val="21"/>
                <w:szCs w:val="21"/>
                <w:highlight w:val="none"/>
              </w:rPr>
              <w:t>注意：如未在规定时间进行以上操作，将导致投标（响应）无效</w:t>
            </w:r>
            <w:r>
              <w:rPr>
                <w:rFonts w:hint="eastAsia" w:ascii="仿宋" w:hAnsi="仿宋" w:eastAsia="仿宋" w:cs="仿宋"/>
                <w:b/>
                <w:bCs/>
                <w:snapToGrid w:val="0"/>
                <w:sz w:val="21"/>
                <w:szCs w:val="21"/>
                <w:highlight w:val="none"/>
                <w:lang w:eastAsia="zh-CN"/>
              </w:rPr>
              <w:t>。</w:t>
            </w:r>
          </w:p>
        </w:tc>
      </w:tr>
      <w:tr w14:paraId="45817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3358A936">
            <w:pPr>
              <w:keepNext w:val="0"/>
              <w:keepLines w:val="0"/>
              <w:pageBreakBefore w:val="0"/>
              <w:widowControl w:val="0"/>
              <w:kinsoku/>
              <w:wordWrap/>
              <w:topLinePunct w:val="0"/>
              <w:bidi w:val="0"/>
              <w:adjustRightInd w:val="0"/>
              <w:snapToGrid w:val="0"/>
              <w:spacing w:line="240" w:lineRule="auto"/>
              <w:jc w:val="center"/>
              <w:textAlignment w:val="auto"/>
              <w:rPr>
                <w:rFonts w:hint="default" w:ascii="仿宋" w:hAnsi="仿宋" w:eastAsia="仿宋" w:cs="仿宋"/>
                <w:bCs/>
                <w:sz w:val="21"/>
                <w:szCs w:val="21"/>
                <w:lang w:val="en-US" w:eastAsia="zh-CN"/>
              </w:rPr>
            </w:pPr>
            <w:r>
              <w:rPr>
                <w:rFonts w:hint="eastAsia" w:ascii="仿宋" w:hAnsi="仿宋" w:eastAsia="仿宋" w:cs="仿宋"/>
                <w:bCs/>
                <w:sz w:val="21"/>
                <w:szCs w:val="21"/>
                <w:lang w:val="en-US" w:eastAsia="zh-CN"/>
              </w:rPr>
              <w:t>23</w:t>
            </w:r>
          </w:p>
        </w:tc>
        <w:tc>
          <w:tcPr>
            <w:tcW w:w="1699" w:type="dxa"/>
            <w:vAlign w:val="center"/>
          </w:tcPr>
          <w:p w14:paraId="005CA2E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磋商小组的组建及确定方式</w:t>
            </w:r>
          </w:p>
        </w:tc>
        <w:tc>
          <w:tcPr>
            <w:tcW w:w="7311" w:type="dxa"/>
            <w:vAlign w:val="center"/>
          </w:tcPr>
          <w:p w14:paraId="752F788C">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napToGrid w:val="0"/>
                <w:sz w:val="21"/>
                <w:szCs w:val="21"/>
                <w:lang w:eastAsia="zh-CN"/>
              </w:rPr>
            </w:pPr>
            <w:r>
              <w:rPr>
                <w:rFonts w:hint="eastAsia" w:ascii="仿宋" w:hAnsi="仿宋" w:eastAsia="仿宋" w:cs="仿宋"/>
                <w:snapToGrid w:val="0"/>
                <w:sz w:val="21"/>
                <w:szCs w:val="21"/>
                <w:lang w:val="en-US" w:eastAsia="zh-CN"/>
              </w:rPr>
              <w:t>磋商</w:t>
            </w:r>
            <w:r>
              <w:rPr>
                <w:rFonts w:hint="eastAsia" w:ascii="仿宋" w:hAnsi="仿宋" w:eastAsia="仿宋" w:cs="仿宋"/>
                <w:snapToGrid w:val="0"/>
                <w:sz w:val="21"/>
                <w:szCs w:val="21"/>
              </w:rPr>
              <w:t>小组</w:t>
            </w:r>
            <w:r>
              <w:rPr>
                <w:rFonts w:hint="eastAsia" w:ascii="仿宋" w:hAnsi="仿宋" w:eastAsia="仿宋" w:cs="仿宋"/>
                <w:snapToGrid w:val="0"/>
                <w:sz w:val="21"/>
                <w:szCs w:val="21"/>
                <w:lang w:eastAsia="zh-CN"/>
              </w:rPr>
              <w:t>人员</w:t>
            </w:r>
            <w:r>
              <w:rPr>
                <w:rFonts w:hint="eastAsia" w:ascii="仿宋" w:hAnsi="仿宋" w:eastAsia="仿宋" w:cs="仿宋"/>
                <w:snapToGrid w:val="0"/>
                <w:sz w:val="21"/>
                <w:szCs w:val="21"/>
                <w:lang w:val="en-US" w:eastAsia="zh-CN"/>
              </w:rPr>
              <w:t>组成</w:t>
            </w:r>
            <w:r>
              <w:rPr>
                <w:rFonts w:hint="eastAsia" w:ascii="仿宋" w:hAnsi="仿宋" w:eastAsia="仿宋" w:cs="仿宋"/>
                <w:snapToGrid w:val="0"/>
                <w:sz w:val="21"/>
                <w:szCs w:val="21"/>
              </w:rPr>
              <w:t>：由采购人代表和评审专家共3人以上单数组成，其中评审专家人数不得少于磋商小组成员总数的2/3。</w:t>
            </w:r>
          </w:p>
          <w:p w14:paraId="71F1DB05">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napToGrid w:val="0"/>
                <w:sz w:val="21"/>
                <w:szCs w:val="21"/>
                <w:lang w:val="zh-CN"/>
              </w:rPr>
            </w:pPr>
            <w:r>
              <w:rPr>
                <w:rFonts w:hint="eastAsia" w:ascii="仿宋" w:hAnsi="仿宋" w:eastAsia="仿宋" w:cs="仿宋"/>
                <w:snapToGrid w:val="0"/>
                <w:sz w:val="21"/>
                <w:szCs w:val="21"/>
                <w:lang w:val="en-US" w:eastAsia="zh-CN"/>
              </w:rPr>
              <w:t>评审专家</w:t>
            </w:r>
            <w:r>
              <w:rPr>
                <w:rFonts w:hint="eastAsia" w:ascii="仿宋" w:hAnsi="仿宋" w:eastAsia="仿宋" w:cs="仿宋"/>
                <w:snapToGrid w:val="0"/>
                <w:sz w:val="21"/>
                <w:szCs w:val="21"/>
              </w:rPr>
              <w:t>确定方式：</w:t>
            </w:r>
            <w:r>
              <w:rPr>
                <w:rFonts w:hint="eastAsia" w:ascii="仿宋" w:hAnsi="仿宋" w:eastAsia="仿宋" w:cs="仿宋"/>
                <w:snapToGrid w:val="0"/>
                <w:sz w:val="21"/>
                <w:szCs w:val="21"/>
                <w:lang w:val="en-US" w:eastAsia="zh-CN"/>
              </w:rPr>
              <w:t>政采云专家库随机抽取</w:t>
            </w:r>
          </w:p>
        </w:tc>
      </w:tr>
      <w:tr w14:paraId="2485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409A0891">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4</w:t>
            </w:r>
          </w:p>
        </w:tc>
        <w:tc>
          <w:tcPr>
            <w:tcW w:w="1699" w:type="dxa"/>
            <w:vAlign w:val="center"/>
          </w:tcPr>
          <w:p w14:paraId="2CA1DD20">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磋商保证金的金额及缴纳</w:t>
            </w:r>
          </w:p>
          <w:p w14:paraId="5E98A17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方式</w:t>
            </w:r>
          </w:p>
        </w:tc>
        <w:tc>
          <w:tcPr>
            <w:tcW w:w="7311" w:type="dxa"/>
            <w:vAlign w:val="center"/>
          </w:tcPr>
          <w:p w14:paraId="4B0AA230">
            <w:pPr>
              <w:pStyle w:val="13"/>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bCs/>
                <w:sz w:val="21"/>
                <w:szCs w:val="21"/>
                <w:highlight w:val="none"/>
                <w:lang w:val="en-US" w:eastAsia="zh-CN"/>
              </w:rPr>
            </w:pPr>
            <w:r>
              <w:rPr>
                <w:rFonts w:hint="eastAsia" w:ascii="仿宋" w:hAnsi="仿宋" w:eastAsia="仿宋" w:cs="仿宋"/>
                <w:snapToGrid w:val="0"/>
                <w:sz w:val="21"/>
                <w:szCs w:val="21"/>
                <w:highlight w:val="none"/>
                <w:lang w:eastAsia="zh-CN"/>
              </w:rPr>
              <w:t>□</w:t>
            </w:r>
            <w:r>
              <w:rPr>
                <w:rFonts w:hint="eastAsia" w:ascii="仿宋" w:hAnsi="仿宋" w:eastAsia="仿宋" w:cs="仿宋"/>
                <w:bCs/>
                <w:sz w:val="21"/>
                <w:szCs w:val="21"/>
                <w:highlight w:val="none"/>
                <w:lang w:val="en-US" w:eastAsia="zh-CN"/>
              </w:rPr>
              <w:t>不提供。</w:t>
            </w:r>
          </w:p>
          <w:p w14:paraId="6DC3D710">
            <w:pPr>
              <w:pStyle w:val="13"/>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bCs/>
                <w:sz w:val="21"/>
                <w:szCs w:val="21"/>
                <w:lang w:val="zh-CN"/>
              </w:rPr>
            </w:pPr>
            <w:r>
              <w:rPr>
                <w:rFonts w:hint="eastAsia" w:ascii="仿宋" w:hAnsi="仿宋" w:eastAsia="仿宋" w:cs="仿宋"/>
                <w:snapToGrid w:val="0"/>
                <w:sz w:val="21"/>
                <w:szCs w:val="21"/>
                <w:highlight w:val="none"/>
                <w:lang w:eastAsia="zh-CN"/>
              </w:rPr>
              <w:t>☑</w:t>
            </w:r>
            <w:r>
              <w:rPr>
                <w:rFonts w:hint="eastAsia" w:ascii="仿宋" w:hAnsi="仿宋" w:eastAsia="仿宋" w:cs="仿宋"/>
                <w:bCs/>
                <w:sz w:val="21"/>
                <w:szCs w:val="21"/>
                <w:highlight w:val="none"/>
                <w:lang w:val="zh-CN"/>
              </w:rPr>
              <w:t>提供。</w:t>
            </w:r>
            <w:r>
              <w:rPr>
                <w:rFonts w:hint="eastAsia" w:ascii="仿宋" w:hAnsi="仿宋" w:eastAsia="仿宋" w:cs="仿宋"/>
                <w:bCs/>
                <w:sz w:val="21"/>
                <w:szCs w:val="21"/>
                <w:lang w:val="en-US" w:eastAsia="zh-CN"/>
              </w:rPr>
              <w:t>保证金</w:t>
            </w:r>
            <w:r>
              <w:rPr>
                <w:rFonts w:hint="eastAsia" w:ascii="仿宋" w:hAnsi="仿宋" w:eastAsia="仿宋" w:cs="仿宋"/>
                <w:bCs/>
                <w:sz w:val="21"/>
                <w:szCs w:val="21"/>
                <w:lang w:val="zh-CN"/>
              </w:rPr>
              <w:t>数额不得超过采购项目预算金额的</w:t>
            </w:r>
            <w:r>
              <w:rPr>
                <w:rFonts w:hint="eastAsia" w:ascii="仿宋" w:hAnsi="仿宋" w:eastAsia="仿宋" w:cs="仿宋"/>
                <w:bCs/>
                <w:sz w:val="21"/>
                <w:szCs w:val="21"/>
              </w:rPr>
              <w:t>1</w:t>
            </w:r>
            <w:r>
              <w:rPr>
                <w:rFonts w:hint="eastAsia" w:ascii="仿宋" w:hAnsi="仿宋" w:eastAsia="仿宋" w:cs="仿宋"/>
                <w:bCs/>
                <w:sz w:val="21"/>
                <w:szCs w:val="21"/>
                <w:lang w:val="zh-CN"/>
              </w:rPr>
              <w:t>%。</w:t>
            </w:r>
          </w:p>
          <w:p w14:paraId="7967B7E8">
            <w:pPr>
              <w:pStyle w:val="13"/>
              <w:keepNext w:val="0"/>
              <w:keepLines w:val="0"/>
              <w:pageBreakBefore w:val="0"/>
              <w:widowControl w:val="0"/>
              <w:kinsoku/>
              <w:wordWrap/>
              <w:topLinePunct w:val="0"/>
              <w:bidi w:val="0"/>
              <w:adjustRightInd w:val="0"/>
              <w:snapToGrid w:val="0"/>
              <w:spacing w:line="240" w:lineRule="auto"/>
              <w:ind w:firstLine="420" w:firstLineChars="200"/>
              <w:jc w:val="left"/>
              <w:textAlignment w:val="auto"/>
              <w:rPr>
                <w:rFonts w:hint="eastAsia" w:ascii="仿宋" w:hAnsi="仿宋" w:eastAsia="仿宋" w:cs="仿宋"/>
                <w:bCs/>
                <w:sz w:val="21"/>
                <w:szCs w:val="21"/>
                <w:lang w:val="zh-CN"/>
              </w:rPr>
            </w:pPr>
            <w:r>
              <w:rPr>
                <w:rFonts w:hint="eastAsia" w:ascii="仿宋" w:hAnsi="仿宋" w:eastAsia="仿宋" w:cs="仿宋"/>
                <w:bCs/>
                <w:sz w:val="21"/>
                <w:szCs w:val="21"/>
                <w:lang w:val="zh-CN"/>
              </w:rPr>
              <w:t>磋商保证金金额：</w:t>
            </w:r>
            <w:r>
              <w:rPr>
                <w:rFonts w:hint="eastAsia" w:ascii="仿宋" w:hAnsi="仿宋" w:eastAsia="仿宋" w:cs="仿宋"/>
                <w:bCs/>
                <w:sz w:val="21"/>
                <w:szCs w:val="21"/>
                <w:lang w:val="zh-CN" w:eastAsia="zh-CN"/>
              </w:rPr>
              <w:t>一标段：2700.00元；二标段：2700.00元；三标段：2600.00元。</w:t>
            </w:r>
          </w:p>
          <w:p w14:paraId="46C78438">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代理机构名称：</w:t>
            </w:r>
            <w:r>
              <w:rPr>
                <w:rFonts w:hint="eastAsia" w:ascii="仿宋" w:hAnsi="仿宋" w:eastAsia="仿宋" w:cs="仿宋"/>
                <w:sz w:val="21"/>
                <w:szCs w:val="21"/>
                <w:lang w:eastAsia="zh-CN"/>
              </w:rPr>
              <w:t>中合安建工程管理有限公司</w:t>
            </w:r>
            <w:r>
              <w:rPr>
                <w:rFonts w:hint="eastAsia" w:ascii="仿宋" w:hAnsi="仿宋" w:eastAsia="仿宋" w:cs="仿宋"/>
                <w:sz w:val="21"/>
                <w:szCs w:val="21"/>
                <w:lang w:val="en-US" w:eastAsia="zh-CN"/>
              </w:rPr>
              <w:t>新疆分公司</w:t>
            </w:r>
          </w:p>
          <w:p w14:paraId="72A3C987">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开户行：交通银行股份有限公司乌鲁木齐新医路支行</w:t>
            </w:r>
          </w:p>
          <w:p w14:paraId="2B32DF43">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开户行行号：301881000139</w:t>
            </w:r>
          </w:p>
          <w:p w14:paraId="0BE1A524">
            <w:pPr>
              <w:keepNext w:val="0"/>
              <w:keepLines w:val="0"/>
              <w:pageBreakBefore w:val="0"/>
              <w:widowControl w:val="0"/>
              <w:kinsoku/>
              <w:wordWrap/>
              <w:topLinePunct w:val="0"/>
              <w:bidi w:val="0"/>
              <w:adjustRightInd w:val="0"/>
              <w:snapToGrid w:val="0"/>
              <w:spacing w:line="240" w:lineRule="auto"/>
              <w:ind w:left="479" w:leftChars="228"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账号：651651005015003167990</w:t>
            </w:r>
            <w:r>
              <w:rPr>
                <w:rFonts w:hint="eastAsia" w:ascii="仿宋" w:hAnsi="仿宋" w:eastAsia="仿宋" w:cs="仿宋"/>
                <w:sz w:val="21"/>
                <w:szCs w:val="21"/>
              </w:rPr>
              <w:br w:type="textWrapping"/>
            </w:r>
            <w:r>
              <w:rPr>
                <w:rFonts w:hint="eastAsia" w:ascii="仿宋" w:hAnsi="仿宋" w:eastAsia="仿宋" w:cs="仿宋"/>
                <w:sz w:val="21"/>
                <w:szCs w:val="21"/>
              </w:rPr>
              <w:t>地址：</w:t>
            </w:r>
            <w:r>
              <w:rPr>
                <w:rFonts w:hint="eastAsia" w:ascii="仿宋" w:hAnsi="仿宋" w:eastAsia="仿宋" w:cs="仿宋"/>
                <w:bCs/>
                <w:spacing w:val="0"/>
                <w:kern w:val="2"/>
                <w:sz w:val="21"/>
                <w:szCs w:val="21"/>
                <w:highlight w:val="none"/>
                <w:lang w:val="zh-CN" w:eastAsia="zh-CN" w:bidi="ar-SA"/>
              </w:rPr>
              <w:t>新疆乌鲁木齐高新区（新市区）新医路165号汇文大厦1栋6层</w:t>
            </w:r>
            <w:r>
              <w:rPr>
                <w:rFonts w:hint="eastAsia" w:ascii="仿宋" w:hAnsi="仿宋" w:eastAsia="仿宋" w:cs="仿宋"/>
                <w:bCs/>
                <w:spacing w:val="0"/>
                <w:kern w:val="2"/>
                <w:sz w:val="21"/>
                <w:szCs w:val="21"/>
                <w:highlight w:val="none"/>
                <w:lang w:val="en-US" w:eastAsia="zh-CN" w:bidi="ar-SA"/>
              </w:rPr>
              <w:t>B</w:t>
            </w:r>
          </w:p>
          <w:p w14:paraId="1607EA9D">
            <w:pPr>
              <w:pStyle w:val="13"/>
              <w:keepNext w:val="0"/>
              <w:keepLines w:val="0"/>
              <w:pageBreakBefore w:val="0"/>
              <w:widowControl w:val="0"/>
              <w:kinsoku/>
              <w:wordWrap/>
              <w:topLinePunct w:val="0"/>
              <w:bidi w:val="0"/>
              <w:adjustRightInd w:val="0"/>
              <w:snapToGrid w:val="0"/>
              <w:spacing w:line="240" w:lineRule="auto"/>
              <w:ind w:firstLine="420" w:firstLineChars="200"/>
              <w:jc w:val="left"/>
              <w:textAlignment w:val="auto"/>
              <w:rPr>
                <w:rFonts w:hint="eastAsia" w:ascii="仿宋" w:hAnsi="仿宋" w:eastAsia="仿宋" w:cs="仿宋"/>
                <w:kern w:val="2"/>
                <w:sz w:val="21"/>
                <w:szCs w:val="21"/>
                <w:lang w:val="zh-CN" w:eastAsia="zh-CN" w:bidi="ar-SA"/>
              </w:rPr>
            </w:pPr>
            <w:r>
              <w:rPr>
                <w:rFonts w:hint="eastAsia" w:ascii="仿宋" w:hAnsi="仿宋" w:eastAsia="仿宋" w:cs="仿宋"/>
                <w:kern w:val="2"/>
                <w:sz w:val="21"/>
                <w:szCs w:val="21"/>
                <w:lang w:val="zh-CN" w:eastAsia="zh-CN" w:bidi="ar-SA"/>
              </w:rPr>
              <w:t>磋商保证金缴纳形式：</w:t>
            </w:r>
            <w:r>
              <w:rPr>
                <w:rFonts w:hint="eastAsia" w:ascii="仿宋" w:hAnsi="仿宋" w:eastAsia="仿宋" w:cs="仿宋"/>
                <w:kern w:val="2"/>
                <w:sz w:val="21"/>
                <w:szCs w:val="21"/>
                <w:lang w:val="en-US" w:eastAsia="zh-CN" w:bidi="ar-SA"/>
              </w:rPr>
              <w:t>支票、汇票、本票或者金融机构、担保机构出具的保函等非现金形式提交</w:t>
            </w:r>
            <w:r>
              <w:rPr>
                <w:rFonts w:hint="eastAsia" w:ascii="仿宋" w:hAnsi="仿宋" w:eastAsia="仿宋" w:cs="仿宋"/>
                <w:kern w:val="2"/>
                <w:sz w:val="21"/>
                <w:szCs w:val="21"/>
                <w:lang w:val="zh-CN" w:eastAsia="zh-CN" w:bidi="ar-SA"/>
              </w:rPr>
              <w:t>。</w:t>
            </w:r>
          </w:p>
          <w:p w14:paraId="25457C81">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bCs/>
                <w:sz w:val="21"/>
                <w:szCs w:val="21"/>
                <w:lang w:val="zh-CN"/>
              </w:rPr>
              <w:t xml:space="preserve">   </w:t>
            </w:r>
            <w:r>
              <w:rPr>
                <w:rFonts w:hint="eastAsia" w:ascii="仿宋" w:hAnsi="仿宋" w:eastAsia="仿宋" w:cs="仿宋"/>
                <w:b/>
                <w:sz w:val="21"/>
                <w:szCs w:val="21"/>
                <w:lang w:val="zh-CN"/>
              </w:rPr>
              <w:t xml:space="preserve"> 各供应商缴纳投标保证金时需在附加信息及用途栏内注明磋商保证金、项目名称；磋商保证金于磋商截止时间前确认到账，若供应商未按照上述规定缴纳磋商保证金,</w:t>
            </w:r>
            <w:r>
              <w:rPr>
                <w:rFonts w:hint="eastAsia" w:ascii="仿宋" w:hAnsi="仿宋" w:eastAsia="仿宋" w:cs="仿宋"/>
                <w:b/>
                <w:sz w:val="21"/>
                <w:szCs w:val="21"/>
                <w:lang w:val="en-US" w:eastAsia="zh-CN"/>
              </w:rPr>
              <w:t>磋商</w:t>
            </w:r>
            <w:r>
              <w:rPr>
                <w:rFonts w:hint="eastAsia" w:ascii="仿宋" w:hAnsi="仿宋" w:eastAsia="仿宋" w:cs="仿宋"/>
                <w:b/>
                <w:sz w:val="21"/>
                <w:szCs w:val="21"/>
                <w:lang w:val="zh-CN"/>
              </w:rPr>
              <w:t>文件将被拒绝评审。</w:t>
            </w:r>
          </w:p>
        </w:tc>
      </w:tr>
      <w:tr w14:paraId="6F0A6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5A9E2F2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5</w:t>
            </w:r>
          </w:p>
        </w:tc>
        <w:tc>
          <w:tcPr>
            <w:tcW w:w="1699" w:type="dxa"/>
            <w:vAlign w:val="center"/>
          </w:tcPr>
          <w:p w14:paraId="6F879DA4">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响应文件的</w:t>
            </w:r>
          </w:p>
          <w:p w14:paraId="6F453D80">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现场解密</w:t>
            </w:r>
          </w:p>
        </w:tc>
        <w:tc>
          <w:tcPr>
            <w:tcW w:w="7311" w:type="dxa"/>
            <w:vAlign w:val="center"/>
          </w:tcPr>
          <w:p w14:paraId="0D406D59">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响应文件解密时长：30分钟（过时未进行解密的响应文件，开标现场不进行解密时间延长）。</w:t>
            </w:r>
          </w:p>
          <w:p w14:paraId="73FF4764">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lang w:val="zh-CN"/>
              </w:rPr>
            </w:pPr>
            <w:r>
              <w:rPr>
                <w:rFonts w:hint="eastAsia" w:ascii="仿宋" w:hAnsi="仿宋" w:eastAsia="仿宋" w:cs="仿宋"/>
                <w:snapToGrid w:val="0"/>
                <w:sz w:val="21"/>
                <w:szCs w:val="21"/>
              </w:rPr>
              <w:t>开标当日仅需在任意地点通过政采云平台不见面开标系统（登录地址详见网站操作手册）完成远程解密、提疑澄清、开标唱标、结果公布等交互环节。供应商必须在规定的时间内使用能正确解密响应文件的“CA锁”完成远程解密，因供应商原因未能解密、解密失败或解密超时，视为供应商撤销其响应文件，系统内响应文件将被退回；因网上招投标平台发生故障，导致无法按时完成响应文件解密或开、评标工作无法进行的，可根据实际情况相应延迟解密时间或调整开、评标时间。</w:t>
            </w:r>
          </w:p>
        </w:tc>
      </w:tr>
      <w:tr w14:paraId="2A893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C8A8C8A">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lang w:val="en-US" w:eastAsia="zh-CN"/>
              </w:rPr>
              <w:t>26</w:t>
            </w:r>
          </w:p>
        </w:tc>
        <w:tc>
          <w:tcPr>
            <w:tcW w:w="1699" w:type="dxa"/>
            <w:vAlign w:val="center"/>
          </w:tcPr>
          <w:p w14:paraId="7BC06F6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招标代理费</w:t>
            </w:r>
          </w:p>
        </w:tc>
        <w:tc>
          <w:tcPr>
            <w:tcW w:w="7311" w:type="dxa"/>
            <w:vAlign w:val="center"/>
          </w:tcPr>
          <w:p w14:paraId="3FEAB4BC">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lang w:val="en-US"/>
              </w:rPr>
            </w:pPr>
            <w:r>
              <w:rPr>
                <w:rFonts w:hint="eastAsia" w:ascii="仿宋" w:hAnsi="仿宋" w:eastAsia="仿宋" w:cs="仿宋"/>
                <w:snapToGrid w:val="0"/>
                <w:sz w:val="21"/>
                <w:szCs w:val="21"/>
                <w:lang w:val="en-US"/>
              </w:rPr>
              <w:t>参照国家计委计价格【2002】1980号、发改办价格【2003】857号、【</w:t>
            </w:r>
            <w:r>
              <w:rPr>
                <w:rFonts w:hint="eastAsia" w:ascii="仿宋" w:hAnsi="仿宋" w:eastAsia="仿宋" w:cs="仿宋"/>
                <w:snapToGrid w:val="0"/>
                <w:sz w:val="21"/>
                <w:szCs w:val="21"/>
                <w:highlight w:val="none"/>
                <w:lang w:val="en-US"/>
              </w:rPr>
              <w:t>2011】534号文</w:t>
            </w:r>
            <w:r>
              <w:rPr>
                <w:rFonts w:hint="eastAsia" w:ascii="仿宋" w:hAnsi="仿宋" w:eastAsia="仿宋" w:cs="仿宋"/>
                <w:snapToGrid w:val="0"/>
                <w:sz w:val="21"/>
                <w:szCs w:val="21"/>
                <w:highlight w:val="none"/>
                <w:lang w:val="en-US" w:eastAsia="zh-CN"/>
              </w:rPr>
              <w:t>计取</w:t>
            </w:r>
            <w:r>
              <w:rPr>
                <w:rFonts w:hint="eastAsia" w:ascii="仿宋" w:hAnsi="仿宋" w:eastAsia="仿宋" w:cs="仿宋"/>
                <w:snapToGrid w:val="0"/>
                <w:sz w:val="21"/>
                <w:szCs w:val="21"/>
                <w:highlight w:val="none"/>
                <w:lang w:val="en-US"/>
              </w:rPr>
              <w:t>，</w:t>
            </w:r>
            <w:r>
              <w:rPr>
                <w:rFonts w:hint="eastAsia" w:ascii="仿宋" w:hAnsi="仿宋" w:eastAsia="仿宋" w:cs="仿宋"/>
                <w:snapToGrid w:val="0"/>
                <w:sz w:val="21"/>
                <w:szCs w:val="21"/>
                <w:highlight w:val="none"/>
                <w:lang w:val="en-US" w:eastAsia="zh-CN"/>
              </w:rPr>
              <w:t>不足3000元按3000元计取</w:t>
            </w:r>
            <w:r>
              <w:rPr>
                <w:rFonts w:hint="eastAsia" w:ascii="仿宋" w:hAnsi="仿宋" w:eastAsia="仿宋" w:cs="仿宋"/>
                <w:snapToGrid w:val="0"/>
                <w:sz w:val="21"/>
                <w:szCs w:val="21"/>
                <w:highlight w:val="none"/>
                <w:lang w:val="en-US"/>
              </w:rPr>
              <w:t>，</w:t>
            </w:r>
            <w:r>
              <w:rPr>
                <w:rFonts w:hint="eastAsia" w:ascii="仿宋" w:hAnsi="仿宋" w:eastAsia="仿宋" w:cs="仿宋"/>
                <w:snapToGrid w:val="0"/>
                <w:sz w:val="21"/>
                <w:szCs w:val="21"/>
                <w:lang w:val="en-US"/>
              </w:rPr>
              <w:t>本项目招标代理服务费由</w:t>
            </w:r>
            <w:r>
              <w:rPr>
                <w:rFonts w:hint="eastAsia" w:ascii="仿宋" w:hAnsi="仿宋" w:eastAsia="仿宋" w:cs="仿宋"/>
                <w:snapToGrid w:val="0"/>
                <w:sz w:val="21"/>
                <w:szCs w:val="21"/>
                <w:lang w:val="en-US" w:eastAsia="zh-CN"/>
              </w:rPr>
              <w:t>成交供应商</w:t>
            </w:r>
            <w:r>
              <w:rPr>
                <w:rFonts w:hint="eastAsia" w:ascii="仿宋" w:hAnsi="仿宋" w:eastAsia="仿宋" w:cs="仿宋"/>
                <w:snapToGrid w:val="0"/>
                <w:sz w:val="21"/>
                <w:szCs w:val="21"/>
                <w:lang w:val="en-US"/>
              </w:rPr>
              <w:t>支付。</w:t>
            </w:r>
          </w:p>
          <w:p w14:paraId="4F6B730F">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lang w:val="en-US" w:eastAsia="zh-CN"/>
              </w:rPr>
              <w:t>成交供应商</w:t>
            </w:r>
            <w:r>
              <w:rPr>
                <w:rFonts w:hint="eastAsia" w:ascii="仿宋" w:hAnsi="仿宋" w:eastAsia="仿宋" w:cs="仿宋"/>
                <w:snapToGrid w:val="0"/>
                <w:sz w:val="21"/>
                <w:szCs w:val="21"/>
                <w:lang w:val="en-US"/>
              </w:rPr>
              <w:t>须在领取成交通知书时一次性付清招标代理服务费。</w:t>
            </w:r>
          </w:p>
        </w:tc>
      </w:tr>
      <w:tr w14:paraId="50FB6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5DD3F97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7</w:t>
            </w:r>
          </w:p>
        </w:tc>
        <w:tc>
          <w:tcPr>
            <w:tcW w:w="1699" w:type="dxa"/>
            <w:tcBorders>
              <w:right w:val="single" w:color="auto" w:sz="4" w:space="0"/>
            </w:tcBorders>
            <w:vAlign w:val="center"/>
          </w:tcPr>
          <w:p w14:paraId="48858896">
            <w:pPr>
              <w:keepNext w:val="0"/>
              <w:keepLines w:val="0"/>
              <w:pageBreakBefore w:val="0"/>
              <w:widowControl w:val="0"/>
              <w:kinsoku/>
              <w:wordWrap/>
              <w:overflowPunct w:val="0"/>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磋商程序/磋商报价次数/评审原则</w:t>
            </w:r>
          </w:p>
        </w:tc>
        <w:tc>
          <w:tcPr>
            <w:tcW w:w="7311" w:type="dxa"/>
            <w:tcBorders>
              <w:top w:val="single" w:color="auto" w:sz="4" w:space="0"/>
              <w:left w:val="single" w:color="auto" w:sz="4" w:space="0"/>
              <w:bottom w:val="single" w:color="auto" w:sz="4" w:space="0"/>
              <w:right w:val="single" w:color="auto" w:sz="4" w:space="0"/>
            </w:tcBorders>
            <w:vAlign w:val="center"/>
          </w:tcPr>
          <w:p w14:paraId="6654DDBD">
            <w:pPr>
              <w:keepNext w:val="0"/>
              <w:keepLines w:val="0"/>
              <w:pageBreakBefore w:val="0"/>
              <w:widowControl w:val="0"/>
              <w:kinsoku/>
              <w:wordWrap/>
              <w:overflowPunct w:val="0"/>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磋商程序：磋商小组对所有提交的响应文件进行评审；</w:t>
            </w:r>
          </w:p>
          <w:p w14:paraId="69932323">
            <w:pPr>
              <w:keepNext w:val="0"/>
              <w:keepLines w:val="0"/>
              <w:pageBreakBefore w:val="0"/>
              <w:widowControl w:val="0"/>
              <w:kinsoku/>
              <w:wordWrap/>
              <w:overflowPunct w:val="0"/>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磋商小组所有成员集中与单一供应商分别进行磋商；</w:t>
            </w:r>
          </w:p>
          <w:p w14:paraId="193518DD">
            <w:pPr>
              <w:keepNext w:val="0"/>
              <w:keepLines w:val="0"/>
              <w:pageBreakBefore w:val="0"/>
              <w:widowControl w:val="0"/>
              <w:kinsoku/>
              <w:wordWrap/>
              <w:overflowPunct w:val="0"/>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b/>
                <w:bCs/>
                <w:sz w:val="21"/>
                <w:szCs w:val="21"/>
              </w:rPr>
              <w:t>报价次数：</w:t>
            </w:r>
            <w:r>
              <w:rPr>
                <w:rFonts w:hint="eastAsia" w:ascii="仿宋" w:hAnsi="仿宋" w:eastAsia="仿宋" w:cs="仿宋"/>
                <w:b/>
                <w:bCs/>
                <w:sz w:val="21"/>
                <w:szCs w:val="21"/>
                <w:highlight w:val="none"/>
              </w:rPr>
              <w:t>供应商按照要求提交二次报价为最后报价</w:t>
            </w:r>
          </w:p>
          <w:p w14:paraId="7029CFF7">
            <w:pPr>
              <w:keepNext w:val="0"/>
              <w:keepLines w:val="0"/>
              <w:pageBreakBefore w:val="0"/>
              <w:widowControl w:val="0"/>
              <w:kinsoku/>
              <w:wordWrap/>
              <w:overflowPunct w:val="0"/>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评审原则：经磋商小组综合评审后按照综合得分由高到低的顺序推荐3名成交候选人。</w:t>
            </w:r>
          </w:p>
        </w:tc>
      </w:tr>
      <w:tr w14:paraId="1619A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4722910E">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8</w:t>
            </w:r>
          </w:p>
        </w:tc>
        <w:tc>
          <w:tcPr>
            <w:tcW w:w="1699" w:type="dxa"/>
            <w:tcBorders>
              <w:right w:val="single" w:color="auto" w:sz="4" w:space="0"/>
            </w:tcBorders>
            <w:vAlign w:val="center"/>
          </w:tcPr>
          <w:p w14:paraId="00167C1B">
            <w:pPr>
              <w:keepNext w:val="0"/>
              <w:keepLines w:val="0"/>
              <w:pageBreakBefore w:val="0"/>
              <w:widowControl w:val="0"/>
              <w:kinsoku/>
              <w:wordWrap/>
              <w:overflowPunct w:val="0"/>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关于偏离表的要求</w:t>
            </w:r>
          </w:p>
        </w:tc>
        <w:tc>
          <w:tcPr>
            <w:tcW w:w="7311" w:type="dxa"/>
            <w:tcBorders>
              <w:top w:val="single" w:color="auto" w:sz="4" w:space="0"/>
              <w:left w:val="single" w:color="auto" w:sz="4" w:space="0"/>
              <w:bottom w:val="single" w:color="auto" w:sz="4" w:space="0"/>
              <w:right w:val="single" w:color="auto" w:sz="4" w:space="0"/>
            </w:tcBorders>
            <w:vAlign w:val="center"/>
          </w:tcPr>
          <w:p w14:paraId="44AC7804">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磋商文件中所有偏离表内容若无偏离，应在响应表格中填写“无”。</w:t>
            </w:r>
          </w:p>
        </w:tc>
      </w:tr>
      <w:tr w14:paraId="4857C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4E08D790">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9</w:t>
            </w:r>
          </w:p>
        </w:tc>
        <w:tc>
          <w:tcPr>
            <w:tcW w:w="1699" w:type="dxa"/>
            <w:tcBorders>
              <w:right w:val="single" w:color="auto" w:sz="4" w:space="0"/>
            </w:tcBorders>
            <w:vAlign w:val="center"/>
          </w:tcPr>
          <w:p w14:paraId="7CBB0BEA">
            <w:pPr>
              <w:keepNext w:val="0"/>
              <w:keepLines w:val="0"/>
              <w:pageBreakBefore w:val="0"/>
              <w:widowControl w:val="0"/>
              <w:kinsoku/>
              <w:wordWrap/>
              <w:overflowPunct w:val="0"/>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特别声明</w:t>
            </w:r>
          </w:p>
        </w:tc>
        <w:tc>
          <w:tcPr>
            <w:tcW w:w="7311" w:type="dxa"/>
            <w:tcBorders>
              <w:top w:val="single" w:color="auto" w:sz="4" w:space="0"/>
              <w:left w:val="single" w:color="auto" w:sz="4" w:space="0"/>
              <w:bottom w:val="single" w:color="auto" w:sz="4" w:space="0"/>
              <w:right w:val="single" w:color="auto" w:sz="4" w:space="0"/>
            </w:tcBorders>
            <w:vAlign w:val="center"/>
          </w:tcPr>
          <w:p w14:paraId="0B01236F">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供应商在制作响应文件时，不得弄虚作假，不伪造和变造本不属于供应商本身的</w:t>
            </w:r>
            <w:r>
              <w:rPr>
                <w:rFonts w:hint="eastAsia" w:ascii="仿宋" w:hAnsi="仿宋" w:eastAsia="仿宋" w:cs="仿宋"/>
                <w:sz w:val="21"/>
                <w:szCs w:val="21"/>
                <w:lang w:val="en-US" w:eastAsia="zh-CN"/>
              </w:rPr>
              <w:t>响应</w:t>
            </w:r>
            <w:r>
              <w:rPr>
                <w:rFonts w:hint="eastAsia" w:ascii="仿宋" w:hAnsi="仿宋" w:eastAsia="仿宋" w:cs="仿宋"/>
                <w:sz w:val="21"/>
                <w:szCs w:val="21"/>
              </w:rPr>
              <w:t>材料。（如假证书、假业绩、假合同、假授权、故意隐瞒不良行为记录、夸大荣誉、使用非供应商在职员工的相关证件及其他不符合《中华人民共和国政府采购法》《政府采购竞争性磋商采购方式管理暂行办法》等规定的条款）；如在采购过程中发现有供应商出现此类问题，将按照政府采购相关法律法规规定进行处理，并将其列入政府采购黑名单库。</w:t>
            </w:r>
          </w:p>
        </w:tc>
      </w:tr>
      <w:tr w14:paraId="5781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3FC63E3">
            <w:pPr>
              <w:keepNext w:val="0"/>
              <w:keepLines w:val="0"/>
              <w:pageBreakBefore w:val="0"/>
              <w:widowControl w:val="0"/>
              <w:kinsoku/>
              <w:wordWrap/>
              <w:topLinePunct w:val="0"/>
              <w:bidi w:val="0"/>
              <w:adjustRightInd w:val="0"/>
              <w:snapToGrid w:val="0"/>
              <w:spacing w:line="240" w:lineRule="auto"/>
              <w:jc w:val="center"/>
              <w:textAlignment w:val="auto"/>
              <w:rPr>
                <w:rFonts w:hint="default" w:ascii="仿宋" w:hAnsi="仿宋" w:eastAsia="仿宋" w:cs="仿宋"/>
                <w:bCs/>
                <w:sz w:val="21"/>
                <w:szCs w:val="21"/>
                <w:lang w:val="en-US" w:eastAsia="zh-CN"/>
              </w:rPr>
            </w:pPr>
            <w:r>
              <w:rPr>
                <w:rFonts w:hint="eastAsia" w:ascii="仿宋" w:hAnsi="仿宋" w:eastAsia="仿宋" w:cs="仿宋"/>
                <w:bCs/>
                <w:sz w:val="21"/>
                <w:szCs w:val="21"/>
                <w:lang w:val="en-US" w:eastAsia="zh-CN"/>
              </w:rPr>
              <w:t>30</w:t>
            </w:r>
          </w:p>
        </w:tc>
        <w:tc>
          <w:tcPr>
            <w:tcW w:w="1699" w:type="dxa"/>
            <w:tcBorders>
              <w:right w:val="single" w:color="auto" w:sz="4" w:space="0"/>
            </w:tcBorders>
            <w:vAlign w:val="center"/>
          </w:tcPr>
          <w:p w14:paraId="7068C954">
            <w:pPr>
              <w:keepNext w:val="0"/>
              <w:keepLines w:val="0"/>
              <w:pageBreakBefore w:val="0"/>
              <w:widowControl w:val="0"/>
              <w:kinsoku/>
              <w:wordWrap/>
              <w:overflowPunct w:val="0"/>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特别提示</w:t>
            </w:r>
          </w:p>
        </w:tc>
        <w:tc>
          <w:tcPr>
            <w:tcW w:w="7311" w:type="dxa"/>
            <w:tcBorders>
              <w:top w:val="single" w:color="auto" w:sz="4" w:space="0"/>
              <w:left w:val="single" w:color="auto" w:sz="4" w:space="0"/>
              <w:bottom w:val="single" w:color="auto" w:sz="4" w:space="0"/>
              <w:right w:val="single" w:color="auto" w:sz="4" w:space="0"/>
            </w:tcBorders>
            <w:vAlign w:val="center"/>
          </w:tcPr>
          <w:p w14:paraId="61D0B60D">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各供应商必须针对项目特点制作响应文件并报价，响应文件均必须满足磋商文件制作等要求，否则将导致</w:t>
            </w:r>
            <w:r>
              <w:rPr>
                <w:rFonts w:hint="eastAsia" w:ascii="仿宋" w:hAnsi="仿宋" w:eastAsia="仿宋" w:cs="仿宋"/>
                <w:sz w:val="21"/>
                <w:szCs w:val="21"/>
                <w:lang w:val="en-US" w:eastAsia="zh-CN"/>
              </w:rPr>
              <w:t>磋商</w:t>
            </w:r>
            <w:r>
              <w:rPr>
                <w:rFonts w:hint="eastAsia" w:ascii="仿宋" w:hAnsi="仿宋" w:eastAsia="仿宋" w:cs="仿宋"/>
                <w:sz w:val="21"/>
                <w:szCs w:val="21"/>
              </w:rPr>
              <w:t>被拒绝。</w:t>
            </w:r>
          </w:p>
          <w:p w14:paraId="36496D32">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val="en-US" w:eastAsia="zh-CN"/>
              </w:rPr>
              <w:t>.</w:t>
            </w:r>
            <w:r>
              <w:rPr>
                <w:rFonts w:hint="eastAsia" w:ascii="仿宋" w:hAnsi="仿宋" w:eastAsia="仿宋" w:cs="仿宋"/>
                <w:sz w:val="21"/>
                <w:szCs w:val="21"/>
              </w:rPr>
              <w:t>当出现下列情形之一，响应文件将予以退回：</w:t>
            </w:r>
          </w:p>
          <w:p w14:paraId="29485B00">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（1）供应商在磋商文件递交截止时间前未成功上传加密电子响应文件；</w:t>
            </w:r>
          </w:p>
          <w:p w14:paraId="043B5E30">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（2）供应商使用解密的CA数字证书与上传加密响应文件使用的CA数字证书不一致；</w:t>
            </w:r>
          </w:p>
          <w:p w14:paraId="18D52725">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（3）供应商解密时CA数字证书已过期，导致无法正常解密；</w:t>
            </w:r>
          </w:p>
          <w:p w14:paraId="6631BFE4">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（4）加密响应文件时，CA数字证书未过期，解密时，显示CA数字证书已过期，导致无法正常解密；</w:t>
            </w:r>
          </w:p>
          <w:p w14:paraId="20A91085">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（5）未在规定的响应文件解密时间内进行解密的；</w:t>
            </w:r>
          </w:p>
          <w:p w14:paraId="284FFA24">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 xml:space="preserve">（6）供应商个人原因导致无法解密的其他情形。 </w:t>
            </w:r>
          </w:p>
          <w:p w14:paraId="3AB6D74E">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lang w:val="en-US" w:eastAsia="zh-CN"/>
              </w:rPr>
              <w:t>.</w:t>
            </w:r>
            <w:r>
              <w:rPr>
                <w:rFonts w:hint="eastAsia" w:ascii="仿宋" w:hAnsi="仿宋" w:eastAsia="仿宋" w:cs="仿宋"/>
                <w:sz w:val="21"/>
                <w:szCs w:val="21"/>
              </w:rPr>
              <w:t>供应商应在磋商截止时间前将响应时使用的计算机安装相关的浏览器（推荐使用谷歌浏览器）、CA驱动等软件，方便响应文件解密时能够正常解密。</w:t>
            </w:r>
          </w:p>
          <w:p w14:paraId="366977B0">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lang w:val="en-US" w:eastAsia="zh-CN"/>
              </w:rPr>
              <w:t>.</w:t>
            </w:r>
            <w:r>
              <w:rPr>
                <w:rFonts w:hint="eastAsia" w:ascii="仿宋" w:hAnsi="仿宋" w:eastAsia="仿宋" w:cs="仿宋"/>
                <w:sz w:val="21"/>
                <w:szCs w:val="21"/>
              </w:rPr>
              <w:t>供应商需在</w:t>
            </w:r>
            <w:r>
              <w:rPr>
                <w:rFonts w:hint="eastAsia" w:ascii="仿宋" w:hAnsi="仿宋" w:eastAsia="仿宋" w:cs="仿宋"/>
                <w:sz w:val="21"/>
                <w:szCs w:val="21"/>
                <w:lang w:val="en-US" w:eastAsia="zh-CN"/>
              </w:rPr>
              <w:t>磋商</w:t>
            </w:r>
            <w:r>
              <w:rPr>
                <w:rFonts w:hint="eastAsia" w:ascii="仿宋" w:hAnsi="仿宋" w:eastAsia="仿宋" w:cs="仿宋"/>
                <w:sz w:val="21"/>
                <w:szCs w:val="21"/>
              </w:rPr>
              <w:t>截止时间前自行测试开标时使用的计算机，如因供应商自身原因导致响应文件解密失败的，由供应商自行承担相应后果。</w:t>
            </w:r>
          </w:p>
        </w:tc>
      </w:tr>
      <w:tr w14:paraId="15A3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944BD3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3</w:t>
            </w:r>
            <w:r>
              <w:rPr>
                <w:rFonts w:hint="eastAsia" w:ascii="仿宋" w:hAnsi="仿宋" w:eastAsia="仿宋" w:cs="仿宋"/>
                <w:bCs/>
                <w:sz w:val="21"/>
                <w:szCs w:val="21"/>
                <w:lang w:val="en-US" w:eastAsia="zh-CN"/>
              </w:rPr>
              <w:t>1</w:t>
            </w:r>
          </w:p>
        </w:tc>
        <w:tc>
          <w:tcPr>
            <w:tcW w:w="1699" w:type="dxa"/>
            <w:tcBorders>
              <w:right w:val="single" w:color="auto" w:sz="4" w:space="0"/>
            </w:tcBorders>
            <w:vAlign w:val="center"/>
          </w:tcPr>
          <w:p w14:paraId="5734CD30">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注意事项</w:t>
            </w:r>
          </w:p>
        </w:tc>
        <w:tc>
          <w:tcPr>
            <w:tcW w:w="7311" w:type="dxa"/>
            <w:tcBorders>
              <w:top w:val="single" w:color="auto" w:sz="4" w:space="0"/>
              <w:left w:val="single" w:color="auto" w:sz="4" w:space="0"/>
              <w:bottom w:val="single" w:color="auto" w:sz="4" w:space="0"/>
              <w:right w:val="single" w:color="auto" w:sz="4" w:space="0"/>
            </w:tcBorders>
            <w:vAlign w:val="center"/>
          </w:tcPr>
          <w:p w14:paraId="71E218F6">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无论何种原因，在响应文件中未提供相应材料的，</w:t>
            </w:r>
            <w:r>
              <w:rPr>
                <w:rFonts w:hint="eastAsia" w:ascii="仿宋" w:hAnsi="仿宋" w:eastAsia="仿宋" w:cs="仿宋"/>
                <w:sz w:val="21"/>
                <w:szCs w:val="21"/>
                <w:lang w:val="en-US" w:eastAsia="zh-CN"/>
              </w:rPr>
              <w:t>磋商小组</w:t>
            </w:r>
            <w:r>
              <w:rPr>
                <w:rFonts w:hint="eastAsia" w:ascii="仿宋" w:hAnsi="仿宋" w:eastAsia="仿宋" w:cs="仿宋"/>
                <w:sz w:val="21"/>
                <w:szCs w:val="21"/>
              </w:rPr>
              <w:t>将视同其未提供。</w:t>
            </w:r>
          </w:p>
          <w:p w14:paraId="2D4E3224">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val="en-US" w:eastAsia="zh-CN"/>
              </w:rPr>
              <w:t>.</w:t>
            </w:r>
            <w:r>
              <w:rPr>
                <w:rFonts w:hint="eastAsia" w:ascii="仿宋" w:hAnsi="仿宋" w:eastAsia="仿宋" w:cs="仿宋"/>
                <w:sz w:val="21"/>
                <w:szCs w:val="21"/>
              </w:rPr>
              <w:t>各供应商应在开标前应确保成为新疆政府采购网正式注册入库供应商，并完成CA数字证书（符合国密标准）申领。如需咨询，请联系新疆CA服务热线0991-2819290；</w:t>
            </w:r>
          </w:p>
          <w:p w14:paraId="7D58A523">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lang w:val="en-US" w:eastAsia="zh-CN"/>
              </w:rPr>
              <w:t>.</w:t>
            </w:r>
            <w:r>
              <w:rPr>
                <w:rFonts w:hint="eastAsia" w:ascii="仿宋" w:hAnsi="仿宋" w:eastAsia="仿宋" w:cs="仿宋"/>
                <w:sz w:val="21"/>
                <w:szCs w:val="21"/>
              </w:rPr>
              <w:t>供应商将政采云电子交易客户端下载、安装完成后，可通过账号密码或CA登录客户端进行响应文件的制作。在使用政采云投标客户端时，建议使用WIN7及以上操作系统。客户端请至新疆政府采购网（http://www.ccgp-xinjiang.gov.cn/）下载专区查看，如有问题可拨打政采云客户服务热线95763进行咨询。</w:t>
            </w:r>
          </w:p>
          <w:p w14:paraId="316A6BAB">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rPr>
            </w:pPr>
            <w:r>
              <w:rPr>
                <w:rFonts w:hint="eastAsia" w:ascii="仿宋" w:hAnsi="仿宋" w:eastAsia="仿宋" w:cs="仿宋"/>
                <w:sz w:val="21"/>
                <w:szCs w:val="21"/>
              </w:rPr>
              <w:t>4</w:t>
            </w:r>
            <w:r>
              <w:rPr>
                <w:rFonts w:hint="eastAsia" w:ascii="仿宋" w:hAnsi="仿宋" w:eastAsia="仿宋" w:cs="仿宋"/>
                <w:sz w:val="21"/>
                <w:szCs w:val="21"/>
                <w:lang w:val="en-US" w:eastAsia="zh-CN"/>
              </w:rPr>
              <w:t>.</w:t>
            </w:r>
            <w:r>
              <w:rPr>
                <w:rFonts w:hint="eastAsia" w:ascii="仿宋" w:hAnsi="仿宋" w:eastAsia="仿宋" w:cs="仿宋"/>
                <w:sz w:val="21"/>
                <w:szCs w:val="21"/>
              </w:rPr>
              <w:t>供应商首次参加政府采购活动的，可前往新疆政府采购网（ http://www.ccgp-xinjiang.gov.cn/）下载操作指南。（步骤：进入新疆政府采购网</w:t>
            </w:r>
            <w:r>
              <w:rPr>
                <w:rFonts w:hint="eastAsia" w:ascii="仿宋" w:hAnsi="仿宋" w:eastAsia="仿宋" w:cs="仿宋"/>
                <w:w w:val="80"/>
                <w:sz w:val="21"/>
                <w:szCs w:val="21"/>
              </w:rPr>
              <w:t>（http://www.ccgp-xinjiang.gov.cn/）</w:t>
            </w:r>
            <w:r>
              <w:rPr>
                <w:rFonts w:hint="eastAsia" w:ascii="仿宋" w:hAnsi="仿宋" w:eastAsia="仿宋" w:cs="仿宋"/>
                <w:sz w:val="21"/>
                <w:szCs w:val="21"/>
              </w:rPr>
              <w:t>点击主页面的办事指南—选择并下载供应商政采云平台操作指南）。</w:t>
            </w:r>
          </w:p>
        </w:tc>
      </w:tr>
      <w:tr w14:paraId="084E7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C657F4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32</w:t>
            </w:r>
          </w:p>
        </w:tc>
        <w:tc>
          <w:tcPr>
            <w:tcW w:w="1699" w:type="dxa"/>
            <w:tcBorders>
              <w:right w:val="single" w:color="auto" w:sz="4" w:space="0"/>
            </w:tcBorders>
            <w:vAlign w:val="center"/>
          </w:tcPr>
          <w:p w14:paraId="0519FF3A">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highlight w:val="yellow"/>
              </w:rPr>
            </w:pPr>
            <w:r>
              <w:rPr>
                <w:rFonts w:hint="eastAsia" w:ascii="仿宋" w:hAnsi="仿宋" w:eastAsia="仿宋" w:cs="仿宋"/>
                <w:bCs/>
                <w:sz w:val="21"/>
                <w:szCs w:val="21"/>
                <w:highlight w:val="none"/>
              </w:rPr>
              <w:t>低于成本价不正当竞争预防措施</w:t>
            </w:r>
          </w:p>
        </w:tc>
        <w:tc>
          <w:tcPr>
            <w:tcW w:w="7311" w:type="dxa"/>
            <w:tcBorders>
              <w:top w:val="single" w:color="auto" w:sz="4" w:space="0"/>
              <w:left w:val="single" w:color="auto" w:sz="4" w:space="0"/>
              <w:bottom w:val="single" w:color="auto" w:sz="4" w:space="0"/>
              <w:right w:val="single" w:color="auto" w:sz="4" w:space="0"/>
            </w:tcBorders>
            <w:shd w:val="clear" w:color="auto" w:fill="auto"/>
            <w:vAlign w:val="center"/>
          </w:tcPr>
          <w:p w14:paraId="4964979E">
            <w:pPr>
              <w:snapToGrid w:val="0"/>
              <w:rPr>
                <w:rFonts w:hint="eastAsia" w:ascii="仿宋" w:hAnsi="仿宋" w:eastAsia="仿宋" w:cs="仿宋"/>
                <w:b/>
                <w:bCs w:val="0"/>
                <w:sz w:val="21"/>
                <w:szCs w:val="21"/>
                <w:highlight w:val="none"/>
                <w:lang w:eastAsia="zh-CN"/>
              </w:rPr>
            </w:pPr>
            <w:r>
              <w:rPr>
                <w:rFonts w:hint="eastAsia" w:ascii="仿宋" w:hAnsi="仿宋" w:eastAsia="仿宋" w:cs="仿宋"/>
                <w:b/>
                <w:bCs w:val="0"/>
                <w:sz w:val="21"/>
                <w:szCs w:val="21"/>
                <w:highlight w:val="none"/>
              </w:rPr>
              <w:t>低于成本价不正当竞争预防措施</w:t>
            </w:r>
            <w:r>
              <w:rPr>
                <w:rFonts w:hint="eastAsia" w:ascii="仿宋" w:hAnsi="仿宋" w:eastAsia="仿宋" w:cs="仿宋"/>
                <w:b/>
                <w:bCs w:val="0"/>
                <w:sz w:val="21"/>
                <w:szCs w:val="21"/>
                <w:highlight w:val="none"/>
                <w:lang w:eastAsia="zh-CN"/>
              </w:rPr>
              <w:t>：财库〔2026〕2号</w:t>
            </w:r>
          </w:p>
          <w:p w14:paraId="6D97E231">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（一）评审中出现下列情形之一的，磋商小组应当启动异常低价投标（响应）审查程序：</w:t>
            </w:r>
          </w:p>
          <w:p w14:paraId="602C4CF1">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4E2A8CCA">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02AB74FE">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3.投标（响应）报价低于采购项目最高限价45%的，即投标（响应）报价&lt;采购项目最高限价×45%；</w:t>
            </w:r>
          </w:p>
          <w:p w14:paraId="6D88137B">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4.磋商小组基于专业判断，认为供应商报价过低，有可能影响产品质量或者不能诚信履约的其他情形。</w:t>
            </w:r>
          </w:p>
          <w:p w14:paraId="252B6689">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采购人可以结合具体项目实际情况，提高上述第1项至第3项中启动异常低价投标（响应）审查的数值标准，但是最高不得超过65%。</w:t>
            </w:r>
          </w:p>
          <w:p w14:paraId="440085FA">
            <w:pPr>
              <w:snapToGrid w:val="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相关法律法规对供应商报价有规定的，从其规定。</w:t>
            </w:r>
          </w:p>
          <w:p w14:paraId="4A2C22A1">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C925ACE">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13270A0D">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0CFDD5FF">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b/>
                <w:bCs/>
                <w:kern w:val="2"/>
                <w:sz w:val="21"/>
                <w:szCs w:val="21"/>
                <w:highlight w:val="yellow"/>
                <w:lang w:val="en-US" w:eastAsia="zh-CN" w:bidi="ar-SA"/>
              </w:rPr>
            </w:pPr>
            <w:r>
              <w:rPr>
                <w:rFonts w:hint="eastAsia" w:ascii="仿宋" w:hAnsi="仿宋" w:eastAsia="仿宋" w:cs="仿宋"/>
                <w:bCs/>
                <w:sz w:val="21"/>
                <w:szCs w:val="21"/>
                <w:highlight w:val="none"/>
                <w:lang w:val="en-US" w:eastAsia="zh-CN"/>
              </w:rPr>
              <w:t>异常低价投标（响应）审查的启动原因、审查意见和审查结果应当在评审报告中记录，并随供应商提供的相关书面说明及证明材料，以及磋商小组有关互联网浏览、查询历史一并归档。</w:t>
            </w:r>
          </w:p>
        </w:tc>
      </w:tr>
      <w:tr w14:paraId="50352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4D64405C">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33</w:t>
            </w:r>
          </w:p>
        </w:tc>
        <w:tc>
          <w:tcPr>
            <w:tcW w:w="1699" w:type="dxa"/>
            <w:tcBorders>
              <w:right w:val="single" w:color="auto" w:sz="4" w:space="0"/>
            </w:tcBorders>
            <w:vAlign w:val="center"/>
          </w:tcPr>
          <w:p w14:paraId="1846EA6F">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政府采购政策</w:t>
            </w:r>
          </w:p>
          <w:p w14:paraId="111622EA">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支持</w:t>
            </w:r>
          </w:p>
        </w:tc>
        <w:tc>
          <w:tcPr>
            <w:tcW w:w="7311" w:type="dxa"/>
            <w:tcBorders>
              <w:top w:val="single" w:color="auto" w:sz="4" w:space="0"/>
              <w:left w:val="single" w:color="auto" w:sz="4" w:space="0"/>
              <w:bottom w:val="single" w:color="auto" w:sz="4" w:space="0"/>
              <w:right w:val="single" w:color="auto" w:sz="4" w:space="0"/>
            </w:tcBorders>
            <w:shd w:val="clear" w:color="auto" w:fill="auto"/>
            <w:vAlign w:val="center"/>
          </w:tcPr>
          <w:p w14:paraId="1A748C90">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关于落实中小企业政府采购政策：</w:t>
            </w:r>
          </w:p>
          <w:p w14:paraId="22B56A6D">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因本项目为专门面向中小企业采购项目,不再执行价格评审优惠的扶持政策；</w:t>
            </w:r>
          </w:p>
          <w:p w14:paraId="2D45A837">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根据工信部等部委发布的《关于印发中小企业划型标准规定的通知》（工信部联企业〔2011〕300号）、财政部、</w:t>
            </w:r>
            <w:r>
              <w:rPr>
                <w:rFonts w:hint="eastAsia" w:ascii="仿宋" w:hAnsi="仿宋" w:eastAsia="仿宋" w:cs="仿宋"/>
                <w:sz w:val="21"/>
                <w:szCs w:val="21"/>
                <w:lang w:eastAsia="zh-CN"/>
              </w:rPr>
              <w:t>工业</w:t>
            </w:r>
            <w:r>
              <w:rPr>
                <w:rFonts w:hint="eastAsia" w:ascii="仿宋" w:hAnsi="仿宋" w:eastAsia="仿宋" w:cs="仿宋"/>
                <w:sz w:val="21"/>
                <w:szCs w:val="21"/>
              </w:rPr>
              <w:t>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w:t>
            </w:r>
            <w:r>
              <w:rPr>
                <w:rFonts w:hint="eastAsia" w:ascii="仿宋" w:hAnsi="仿宋" w:eastAsia="仿宋" w:cs="仿宋"/>
                <w:b/>
                <w:bCs/>
                <w:sz w:val="21"/>
                <w:szCs w:val="21"/>
                <w:u w:val="single"/>
              </w:rPr>
              <w:t>本次采购标的所属行业为</w:t>
            </w:r>
            <w:r>
              <w:rPr>
                <w:rFonts w:hint="eastAsia" w:ascii="仿宋" w:hAnsi="仿宋" w:eastAsia="仿宋" w:cs="仿宋"/>
                <w:b/>
                <w:bCs/>
                <w:sz w:val="21"/>
                <w:szCs w:val="21"/>
                <w:u w:val="single"/>
                <w:lang w:val="en-US" w:eastAsia="zh-CN"/>
              </w:rPr>
              <w:t>其他未列明行业</w:t>
            </w:r>
            <w:r>
              <w:rPr>
                <w:rFonts w:hint="eastAsia" w:ascii="仿宋" w:hAnsi="仿宋" w:eastAsia="仿宋" w:cs="仿宋"/>
                <w:sz w:val="21"/>
                <w:szCs w:val="21"/>
              </w:rPr>
              <w:t>，符合中小微型企业应按照</w:t>
            </w:r>
            <w:r>
              <w:rPr>
                <w:rFonts w:hint="eastAsia" w:ascii="仿宋" w:hAnsi="仿宋" w:eastAsia="仿宋" w:cs="仿宋"/>
                <w:sz w:val="21"/>
                <w:szCs w:val="21"/>
                <w:lang w:eastAsia="zh-CN"/>
              </w:rPr>
              <w:t>竞争性磋商文件</w:t>
            </w:r>
            <w:r>
              <w:rPr>
                <w:rFonts w:hint="eastAsia" w:ascii="仿宋" w:hAnsi="仿宋" w:eastAsia="仿宋" w:cs="仿宋"/>
                <w:sz w:val="21"/>
                <w:szCs w:val="21"/>
              </w:rPr>
              <w:t>格式要求提供《中小企业声明函》（见格式），（监狱企业、残疾人福利性单位视同为中小企业）。</w:t>
            </w:r>
          </w:p>
          <w:p w14:paraId="716B0F2A">
            <w:pPr>
              <w:pStyle w:val="2"/>
              <w:rPr>
                <w:rFonts w:hint="eastAsia" w:ascii="仿宋" w:hAnsi="仿宋" w:eastAsia="仿宋" w:cs="仿宋"/>
                <w:b/>
                <w:bCs/>
                <w:sz w:val="21"/>
                <w:szCs w:val="21"/>
                <w:lang w:val="en-US" w:eastAsia="zh-CN"/>
              </w:rPr>
            </w:pPr>
            <w:r>
              <w:rPr>
                <w:rFonts w:hint="eastAsia" w:ascii="仿宋" w:hAnsi="仿宋" w:eastAsia="仿宋" w:cs="仿宋"/>
                <w:sz w:val="21"/>
                <w:szCs w:val="21"/>
              </w:rPr>
              <w:t>2</w:t>
            </w:r>
            <w:r>
              <w:rPr>
                <w:rFonts w:hint="eastAsia" w:ascii="仿宋" w:hAnsi="仿宋" w:eastAsia="仿宋" w:cs="仿宋"/>
                <w:sz w:val="21"/>
                <w:szCs w:val="21"/>
                <w:lang w:val="en-US" w:eastAsia="zh-CN"/>
              </w:rPr>
              <w:t>.</w:t>
            </w:r>
            <w:r>
              <w:rPr>
                <w:rFonts w:hint="eastAsia" w:ascii="仿宋" w:hAnsi="仿宋" w:eastAsia="仿宋" w:cs="仿宋"/>
                <w:sz w:val="21"/>
                <w:szCs w:val="21"/>
              </w:rPr>
              <w:t>依据本办法规定享受扶持政策获得政府采购合同的，小微企业不得将合同分包给大中型企业，中型企业不得将合同分包给大型企业。）</w:t>
            </w:r>
          </w:p>
          <w:p w14:paraId="2EFBA7D0">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根据财政部、工业和信息化部《政府采购促进中小企业发展管理办法》(财库[2020]46号文)的规定,监狱企业、残疾人福利性单位视同为中小企业。符合以下条件的中小微型企业应按照竞争性磋商文件格式要求提供《中小企业声明函》。</w:t>
            </w:r>
          </w:p>
          <w:p w14:paraId="46FF7881">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603DA10">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(2)在政府采购活动中，供应商提供的货物、工程或者服务符合下列情形的，享受本办法规定的中小企业扶持政策：</w:t>
            </w:r>
          </w:p>
          <w:p w14:paraId="3EB74D6F">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(一) 在货物采购项目中，货物由中小企业制造，即货物由中小企业生产且使用该中小企业商号或者注册商标；</w:t>
            </w:r>
          </w:p>
          <w:p w14:paraId="3121B09B">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(二) 在工程采购项目中，工程由中小企业承建，即工程施工单位为中小企业；</w:t>
            </w:r>
          </w:p>
          <w:p w14:paraId="4122BEA3">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(三) 在服务采购项目中，服务由中小企业承接，即提供服务的人员为中小企业依照《中华人民共和国劳动合同法》订立劳动合同的从业人员。</w:t>
            </w:r>
          </w:p>
          <w:p w14:paraId="1865D411">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在货物采购项目中，供应商提供的货物既有中小企业制造货物，也有大型企业制造货物的，不享受本办法规定的中小企业扶持政策。</w:t>
            </w:r>
          </w:p>
          <w:p w14:paraId="3EFB9DF0">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以联合体形式参加政府采购活动，联合体各方均为中小企业的，联合体视同中小企业。其中，联合体各方均为小微企业的，联合体视同小微企业。</w:t>
            </w:r>
          </w:p>
          <w:p w14:paraId="4AEBB464">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(3)依据本办法规定享受扶持政策获得政府采购合同的，小微企业不得将合同分包给大中型企业，中型企业不得将合同分包给大型企业。</w:t>
            </w:r>
          </w:p>
          <w:p w14:paraId="52ABD06A">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(4)提供由省级以上监狱管理局、戒毒管理局(含新疆生产建设兵团)出具的属于监狱企业证明文件(扫描件) 的，视同为小型和微型企业。</w:t>
            </w:r>
          </w:p>
          <w:p w14:paraId="724B72A6">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(5)符合享受政府采购支持政策的残疾人福利性单位条件且提供《残疾人福利性单位声明函》的，视同为小型和微型企业。</w:t>
            </w:r>
          </w:p>
          <w:p w14:paraId="787E5750">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(6)本采购项目中小企业划分标准所属行业为：</w:t>
            </w:r>
            <w:r>
              <w:rPr>
                <w:rFonts w:hint="eastAsia" w:ascii="仿宋" w:hAnsi="仿宋" w:eastAsia="仿宋" w:cs="仿宋"/>
                <w:b/>
                <w:bCs/>
                <w:sz w:val="21"/>
                <w:szCs w:val="21"/>
                <w:lang w:val="en-US" w:eastAsia="zh-CN"/>
              </w:rPr>
              <w:t>其它未列明行业</w:t>
            </w:r>
            <w:r>
              <w:rPr>
                <w:rFonts w:hint="eastAsia" w:ascii="仿宋" w:hAnsi="仿宋" w:eastAsia="仿宋" w:cs="仿宋"/>
                <w:sz w:val="21"/>
                <w:szCs w:val="21"/>
                <w:lang w:val="en-US" w:eastAsia="zh-CN"/>
              </w:rPr>
              <w:t>。即：从业人员300人以下的为中小微型企业。其中，从业人员100人及以上的为中型企业；从业人员10人及以上的为小型企业；从业人员10人以下的为微型企业。</w:t>
            </w:r>
          </w:p>
          <w:p w14:paraId="275429EE">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Cs/>
                <w:sz w:val="21"/>
                <w:szCs w:val="21"/>
                <w:highlight w:val="none"/>
                <w:lang w:val="en-US" w:eastAsia="zh-CN"/>
              </w:rPr>
            </w:pPr>
            <w:r>
              <w:rPr>
                <w:rFonts w:hint="eastAsia" w:ascii="仿宋" w:hAnsi="仿宋" w:eastAsia="仿宋" w:cs="仿宋"/>
                <w:b/>
                <w:bCs/>
                <w:sz w:val="21"/>
                <w:szCs w:val="21"/>
                <w:lang w:val="en-US" w:eastAsia="zh-CN"/>
              </w:rPr>
              <w:t>（供应商应在中小企业声明函中按照要求填写，如未按要求填写，将被否决此次磋商）</w:t>
            </w:r>
          </w:p>
        </w:tc>
      </w:tr>
      <w:tr w14:paraId="0166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583F1A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p>
        </w:tc>
        <w:tc>
          <w:tcPr>
            <w:tcW w:w="9010" w:type="dxa"/>
            <w:gridSpan w:val="2"/>
            <w:tcBorders>
              <w:right w:val="single" w:color="auto" w:sz="4" w:space="0"/>
            </w:tcBorders>
            <w:vAlign w:val="center"/>
          </w:tcPr>
          <w:p w14:paraId="5A17DC05">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1、采购公告的招标范围与投标须知前附表的招标范围不一致的，以投标须知前附表的招标范围为准。</w:t>
            </w:r>
          </w:p>
          <w:p w14:paraId="4A9598C4">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2、投标须知前附表与投标须知正文部分内容不一致的，以投标须知前附表为准。</w:t>
            </w:r>
          </w:p>
          <w:p w14:paraId="62B56249">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
                <w:bCs/>
                <w:sz w:val="21"/>
                <w:szCs w:val="21"/>
                <w:highlight w:val="yellow"/>
                <w:lang w:val="en-US" w:eastAsia="zh-CN"/>
              </w:rPr>
            </w:pPr>
            <w:r>
              <w:rPr>
                <w:rFonts w:hint="eastAsia" w:ascii="仿宋" w:hAnsi="仿宋" w:eastAsia="仿宋" w:cs="仿宋"/>
                <w:b/>
                <w:bCs/>
                <w:sz w:val="21"/>
                <w:szCs w:val="21"/>
                <w:highlight w:val="none"/>
                <w:lang w:val="en-US" w:eastAsia="zh-CN"/>
              </w:rPr>
              <w:t>3、项目名称与项目编号出现不一致时，以《竞争性磋商文件》封面的项目名称和项目编号为准。</w:t>
            </w:r>
          </w:p>
        </w:tc>
      </w:tr>
    </w:tbl>
    <w:p w14:paraId="5E517C8F">
      <w:pPr>
        <w:rPr>
          <w:rFonts w:hint="eastAsia" w:ascii="仿宋" w:hAnsi="仿宋" w:eastAsia="仿宋" w:cs="仿宋"/>
          <w:b/>
          <w:sz w:val="28"/>
          <w:szCs w:val="28"/>
        </w:rPr>
      </w:pPr>
      <w:r>
        <w:rPr>
          <w:rFonts w:hint="eastAsia" w:ascii="仿宋" w:hAnsi="仿宋" w:eastAsia="仿宋" w:cs="仿宋"/>
          <w:b/>
          <w:sz w:val="28"/>
          <w:szCs w:val="28"/>
        </w:rPr>
        <w:br w:type="page"/>
      </w:r>
    </w:p>
    <w:p w14:paraId="6DC5C382">
      <w:pPr>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供应商须知</w:t>
      </w:r>
    </w:p>
    <w:p w14:paraId="4CA703BA">
      <w:pPr>
        <w:spacing w:line="360" w:lineRule="auto"/>
        <w:ind w:firstLine="482" w:firstLineChars="200"/>
        <w:rPr>
          <w:rFonts w:hint="eastAsia" w:ascii="仿宋" w:hAnsi="仿宋" w:eastAsia="仿宋" w:cs="仿宋"/>
          <w:b/>
          <w:sz w:val="24"/>
          <w:szCs w:val="24"/>
        </w:rPr>
      </w:pPr>
      <w:bookmarkStart w:id="4" w:name="OLE_LINK1"/>
      <w:r>
        <w:rPr>
          <w:rFonts w:hint="eastAsia" w:ascii="仿宋" w:hAnsi="仿宋" w:eastAsia="仿宋" w:cs="仿宋"/>
          <w:b/>
          <w:sz w:val="24"/>
          <w:szCs w:val="24"/>
        </w:rPr>
        <w:t>1.适用范围</w:t>
      </w:r>
    </w:p>
    <w:p w14:paraId="7EE0B22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w:t>
      </w:r>
      <w:r>
        <w:rPr>
          <w:rStyle w:val="33"/>
          <w:rFonts w:hint="eastAsia" w:ascii="仿宋" w:hAnsi="仿宋" w:eastAsia="仿宋" w:cs="仿宋"/>
          <w:sz w:val="24"/>
          <w:szCs w:val="24"/>
        </w:rPr>
        <w:t>本磋商文件仅适用于本次采购活动。</w:t>
      </w:r>
    </w:p>
    <w:p w14:paraId="2B62B3DE">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磋商</w:t>
      </w:r>
      <w:r>
        <w:rPr>
          <w:rFonts w:hint="eastAsia" w:ascii="仿宋" w:hAnsi="仿宋" w:eastAsia="仿宋" w:cs="仿宋"/>
          <w:b/>
          <w:sz w:val="24"/>
          <w:szCs w:val="24"/>
        </w:rPr>
        <w:t>资格</w:t>
      </w:r>
    </w:p>
    <w:p w14:paraId="2C41476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2.1具有承担本项目能力以及符合供应商须知前附表中申请人资格条件的服务机构均为合格的供应商。</w:t>
      </w:r>
    </w:p>
    <w:p w14:paraId="1127F42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3.定义</w:t>
      </w:r>
    </w:p>
    <w:p w14:paraId="43902C20">
      <w:pPr>
        <w:spacing w:line="360" w:lineRule="auto"/>
        <w:ind w:firstLine="480" w:firstLineChars="200"/>
        <w:rPr>
          <w:rStyle w:val="33"/>
          <w:rFonts w:hint="eastAsia" w:ascii="仿宋" w:hAnsi="仿宋" w:eastAsia="仿宋" w:cs="仿宋"/>
          <w:sz w:val="24"/>
          <w:szCs w:val="24"/>
        </w:rPr>
      </w:pPr>
      <w:r>
        <w:rPr>
          <w:rStyle w:val="33"/>
          <w:rFonts w:hint="eastAsia" w:ascii="仿宋" w:hAnsi="仿宋" w:eastAsia="仿宋" w:cs="仿宋"/>
          <w:sz w:val="24"/>
          <w:szCs w:val="24"/>
        </w:rPr>
        <w:t>下列术语和缩写的定义为：</w:t>
      </w:r>
    </w:p>
    <w:p w14:paraId="05970A17">
      <w:pPr>
        <w:spacing w:line="360" w:lineRule="auto"/>
        <w:ind w:firstLine="480" w:firstLineChars="200"/>
        <w:rPr>
          <w:rStyle w:val="33"/>
          <w:rFonts w:hint="eastAsia" w:ascii="仿宋" w:hAnsi="仿宋" w:eastAsia="仿宋" w:cs="仿宋"/>
          <w:sz w:val="24"/>
          <w:szCs w:val="24"/>
        </w:rPr>
      </w:pPr>
      <w:r>
        <w:rPr>
          <w:rFonts w:hint="eastAsia" w:ascii="仿宋" w:hAnsi="仿宋" w:eastAsia="仿宋" w:cs="仿宋"/>
          <w:sz w:val="24"/>
          <w:szCs w:val="24"/>
        </w:rPr>
        <w:t>3.1</w:t>
      </w:r>
      <w:r>
        <w:rPr>
          <w:rStyle w:val="33"/>
          <w:rFonts w:hint="eastAsia" w:ascii="仿宋" w:hAnsi="仿宋" w:eastAsia="仿宋" w:cs="仿宋"/>
          <w:sz w:val="24"/>
          <w:szCs w:val="24"/>
        </w:rPr>
        <w:t>“采购人”系指</w:t>
      </w:r>
      <w:r>
        <w:rPr>
          <w:rStyle w:val="33"/>
          <w:rFonts w:hint="eastAsia" w:ascii="仿宋" w:hAnsi="仿宋" w:eastAsia="仿宋" w:cs="仿宋"/>
          <w:sz w:val="24"/>
          <w:szCs w:val="24"/>
          <w:lang w:eastAsia="zh-CN"/>
        </w:rPr>
        <w:t>新疆农业大学</w:t>
      </w:r>
      <w:r>
        <w:rPr>
          <w:rFonts w:hint="eastAsia" w:ascii="仿宋" w:hAnsi="仿宋" w:eastAsia="仿宋" w:cs="仿宋"/>
          <w:bCs/>
          <w:sz w:val="24"/>
          <w:szCs w:val="24"/>
        </w:rPr>
        <w:t>。</w:t>
      </w:r>
    </w:p>
    <w:p w14:paraId="58ACD10C">
      <w:pPr>
        <w:spacing w:line="360" w:lineRule="auto"/>
        <w:ind w:firstLine="480" w:firstLineChars="200"/>
        <w:rPr>
          <w:rStyle w:val="33"/>
          <w:rFonts w:hint="eastAsia" w:ascii="仿宋" w:hAnsi="仿宋" w:eastAsia="仿宋" w:cs="仿宋"/>
          <w:sz w:val="24"/>
          <w:szCs w:val="24"/>
        </w:rPr>
      </w:pPr>
      <w:r>
        <w:rPr>
          <w:rFonts w:hint="eastAsia" w:ascii="仿宋" w:hAnsi="仿宋" w:eastAsia="仿宋" w:cs="仿宋"/>
          <w:sz w:val="24"/>
          <w:szCs w:val="24"/>
        </w:rPr>
        <w:t>3.2</w:t>
      </w:r>
      <w:r>
        <w:rPr>
          <w:rStyle w:val="33"/>
          <w:rFonts w:hint="eastAsia" w:ascii="仿宋" w:hAnsi="仿宋" w:eastAsia="仿宋" w:cs="仿宋"/>
          <w:sz w:val="24"/>
          <w:szCs w:val="24"/>
        </w:rPr>
        <w:t>“招标代理机构”系指</w:t>
      </w:r>
      <w:r>
        <w:rPr>
          <w:rStyle w:val="33"/>
          <w:rFonts w:hint="eastAsia" w:ascii="仿宋" w:hAnsi="仿宋" w:eastAsia="仿宋" w:cs="仿宋"/>
          <w:sz w:val="24"/>
          <w:szCs w:val="24"/>
          <w:lang w:eastAsia="zh-CN"/>
        </w:rPr>
        <w:t>中合安建工程管理有限公司</w:t>
      </w:r>
      <w:r>
        <w:rPr>
          <w:rStyle w:val="33"/>
          <w:rFonts w:hint="eastAsia" w:ascii="仿宋" w:hAnsi="仿宋" w:eastAsia="仿宋" w:cs="仿宋"/>
          <w:sz w:val="24"/>
          <w:szCs w:val="24"/>
        </w:rPr>
        <w:t>。</w:t>
      </w:r>
    </w:p>
    <w:p w14:paraId="533C2232">
      <w:pPr>
        <w:spacing w:line="360" w:lineRule="auto"/>
        <w:ind w:firstLine="480" w:firstLineChars="200"/>
        <w:rPr>
          <w:rStyle w:val="33"/>
          <w:rFonts w:hint="eastAsia" w:ascii="仿宋" w:hAnsi="仿宋" w:eastAsia="仿宋" w:cs="仿宋"/>
          <w:sz w:val="24"/>
          <w:szCs w:val="24"/>
        </w:rPr>
      </w:pPr>
      <w:r>
        <w:rPr>
          <w:rFonts w:hint="eastAsia" w:ascii="仿宋" w:hAnsi="仿宋" w:eastAsia="仿宋" w:cs="仿宋"/>
          <w:sz w:val="24"/>
          <w:szCs w:val="24"/>
        </w:rPr>
        <w:t>3.3</w:t>
      </w:r>
      <w:r>
        <w:rPr>
          <w:rStyle w:val="33"/>
          <w:rFonts w:hint="eastAsia" w:ascii="仿宋" w:hAnsi="仿宋" w:eastAsia="仿宋" w:cs="仿宋"/>
          <w:sz w:val="24"/>
          <w:szCs w:val="24"/>
        </w:rPr>
        <w:t>“招标方”系指采购人和招标代理机构的统称。</w:t>
      </w:r>
    </w:p>
    <w:p w14:paraId="4C14F8E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3.4“供应商”系指有资格的供应商。</w:t>
      </w:r>
    </w:p>
    <w:p w14:paraId="096F090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3.5“</w:t>
      </w:r>
      <w:r>
        <w:rPr>
          <w:rFonts w:hint="eastAsia" w:ascii="仿宋" w:hAnsi="仿宋" w:eastAsia="仿宋" w:cs="仿宋"/>
          <w:sz w:val="24"/>
          <w:szCs w:val="24"/>
          <w:lang w:eastAsia="zh-CN"/>
        </w:rPr>
        <w:t>成交供应商</w:t>
      </w:r>
      <w:r>
        <w:rPr>
          <w:rFonts w:hint="eastAsia" w:ascii="仿宋" w:hAnsi="仿宋" w:eastAsia="仿宋" w:cs="仿宋"/>
          <w:sz w:val="24"/>
          <w:szCs w:val="24"/>
        </w:rPr>
        <w:t>”系指经</w:t>
      </w:r>
      <w:r>
        <w:rPr>
          <w:rFonts w:hint="eastAsia" w:ascii="仿宋" w:hAnsi="仿宋" w:eastAsia="仿宋" w:cs="仿宋"/>
          <w:spacing w:val="-2"/>
          <w:sz w:val="24"/>
          <w:szCs w:val="24"/>
          <w:lang w:val="en-US" w:eastAsia="zh-CN"/>
        </w:rPr>
        <w:t>磋商小组</w:t>
      </w:r>
      <w:r>
        <w:rPr>
          <w:rFonts w:hint="eastAsia" w:ascii="仿宋" w:hAnsi="仿宋" w:eastAsia="仿宋" w:cs="仿宋"/>
          <w:sz w:val="24"/>
          <w:szCs w:val="24"/>
        </w:rPr>
        <w:t>评定后综合得分第一的供应商。</w:t>
      </w:r>
    </w:p>
    <w:p w14:paraId="190917A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3.6“响应”系指供应商、根据招标代理机构发布的磋商文件，编制响应文件并按规定</w:t>
      </w:r>
      <w:r>
        <w:rPr>
          <w:rFonts w:hint="eastAsia" w:ascii="仿宋" w:hAnsi="仿宋" w:eastAsia="仿宋" w:cs="仿宋"/>
          <w:sz w:val="24"/>
          <w:szCs w:val="24"/>
          <w:lang w:val="en-US" w:eastAsia="zh-CN"/>
        </w:rPr>
        <w:t>磋商</w:t>
      </w:r>
      <w:r>
        <w:rPr>
          <w:rFonts w:hint="eastAsia" w:ascii="仿宋" w:hAnsi="仿宋" w:eastAsia="仿宋" w:cs="仿宋"/>
          <w:sz w:val="24"/>
          <w:szCs w:val="24"/>
        </w:rPr>
        <w:t>的行为。</w:t>
      </w:r>
    </w:p>
    <w:p w14:paraId="519470D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3.7“服务”系指磋商文件规定供应商须承担的合同期限内的相关工作任务、服务项目及其他类似的责任。</w:t>
      </w:r>
    </w:p>
    <w:p w14:paraId="4484B311">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w:t>
      </w:r>
      <w:r>
        <w:rPr>
          <w:rFonts w:hint="eastAsia" w:ascii="仿宋" w:hAnsi="仿宋" w:eastAsia="仿宋" w:cs="仿宋"/>
          <w:b/>
          <w:sz w:val="24"/>
          <w:szCs w:val="24"/>
          <w:lang w:val="en-US" w:eastAsia="zh-CN"/>
        </w:rPr>
        <w:t>磋商</w:t>
      </w:r>
      <w:r>
        <w:rPr>
          <w:rFonts w:hint="eastAsia" w:ascii="仿宋" w:hAnsi="仿宋" w:eastAsia="仿宋" w:cs="仿宋"/>
          <w:b/>
          <w:sz w:val="24"/>
          <w:szCs w:val="24"/>
        </w:rPr>
        <w:t>费用</w:t>
      </w:r>
    </w:p>
    <w:p w14:paraId="0291E86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4.1无论</w:t>
      </w:r>
      <w:r>
        <w:rPr>
          <w:rFonts w:hint="eastAsia" w:ascii="仿宋" w:hAnsi="仿宋" w:eastAsia="仿宋" w:cs="仿宋"/>
          <w:sz w:val="24"/>
          <w:szCs w:val="24"/>
          <w:lang w:val="en-US" w:eastAsia="zh-CN"/>
        </w:rPr>
        <w:t>磋商</w:t>
      </w:r>
      <w:r>
        <w:rPr>
          <w:rFonts w:hint="eastAsia" w:ascii="仿宋" w:hAnsi="仿宋" w:eastAsia="仿宋" w:cs="仿宋"/>
          <w:sz w:val="24"/>
          <w:szCs w:val="24"/>
        </w:rPr>
        <w:t>结果如何，凡参与招标、</w:t>
      </w:r>
      <w:r>
        <w:rPr>
          <w:rFonts w:hint="eastAsia" w:ascii="仿宋" w:hAnsi="仿宋" w:eastAsia="仿宋" w:cs="仿宋"/>
          <w:sz w:val="24"/>
          <w:szCs w:val="24"/>
          <w:lang w:eastAsia="zh-CN"/>
        </w:rPr>
        <w:t>磋商</w:t>
      </w:r>
      <w:r>
        <w:rPr>
          <w:rFonts w:hint="eastAsia" w:ascii="仿宋" w:hAnsi="仿宋" w:eastAsia="仿宋" w:cs="仿宋"/>
          <w:sz w:val="24"/>
          <w:szCs w:val="24"/>
        </w:rPr>
        <w:t>活动有关的所有费用将由供应商自行承担。</w:t>
      </w:r>
    </w:p>
    <w:p w14:paraId="08E4C04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4.2供应商被视为熟悉本招标项目的各种情况以及与履行合同有关的一切情况。</w:t>
      </w:r>
    </w:p>
    <w:p w14:paraId="538D4D19">
      <w:pPr>
        <w:spacing w:line="360" w:lineRule="auto"/>
        <w:ind w:firstLine="482" w:firstLineChars="200"/>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磋商文件</w:t>
      </w:r>
    </w:p>
    <w:p w14:paraId="3BF25495">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5.磋商文件的构成</w:t>
      </w:r>
    </w:p>
    <w:p w14:paraId="300E166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5.1磋商文件由下述部分组成：</w:t>
      </w:r>
    </w:p>
    <w:p w14:paraId="7EC5567C">
      <w:pPr>
        <w:spacing w:line="360" w:lineRule="auto"/>
        <w:ind w:firstLine="56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一、</w:t>
      </w:r>
      <w:r>
        <w:rPr>
          <w:rFonts w:hint="eastAsia" w:ascii="仿宋" w:hAnsi="仿宋" w:eastAsia="仿宋" w:cs="仿宋"/>
          <w:sz w:val="24"/>
          <w:szCs w:val="24"/>
          <w:highlight w:val="none"/>
          <w:lang w:val="en-US" w:eastAsia="zh-CN"/>
        </w:rPr>
        <w:t>磋商公告</w:t>
      </w:r>
    </w:p>
    <w:p w14:paraId="62CDFAEB">
      <w:pPr>
        <w:spacing w:line="360" w:lineRule="auto"/>
        <w:ind w:firstLine="56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二、供应商</w:t>
      </w:r>
      <w:r>
        <w:rPr>
          <w:rFonts w:hint="eastAsia" w:ascii="仿宋" w:hAnsi="仿宋" w:eastAsia="仿宋" w:cs="仿宋"/>
          <w:sz w:val="24"/>
          <w:szCs w:val="24"/>
          <w:highlight w:val="none"/>
        </w:rPr>
        <w:t>须知</w:t>
      </w:r>
    </w:p>
    <w:p w14:paraId="585B19F7">
      <w:pPr>
        <w:spacing w:line="360" w:lineRule="auto"/>
        <w:ind w:firstLine="560"/>
        <w:rPr>
          <w:rFonts w:hint="default" w:ascii="仿宋" w:hAnsi="仿宋" w:eastAsia="仿宋" w:cs="仿宋"/>
          <w:sz w:val="24"/>
          <w:szCs w:val="24"/>
          <w:highlight w:val="none"/>
          <w:lang w:val="en-US"/>
        </w:rPr>
      </w:pPr>
      <w:r>
        <w:rPr>
          <w:rFonts w:hint="eastAsia" w:ascii="仿宋" w:hAnsi="仿宋" w:eastAsia="仿宋" w:cs="仿宋"/>
          <w:sz w:val="24"/>
          <w:szCs w:val="24"/>
          <w:highlight w:val="none"/>
        </w:rPr>
        <w:t>三、</w:t>
      </w:r>
      <w:r>
        <w:rPr>
          <w:rFonts w:hint="eastAsia" w:ascii="仿宋" w:hAnsi="仿宋" w:eastAsia="仿宋" w:cs="仿宋"/>
          <w:sz w:val="24"/>
          <w:szCs w:val="24"/>
          <w:highlight w:val="none"/>
          <w:lang w:val="en-US" w:eastAsia="zh-CN"/>
        </w:rPr>
        <w:t>采购需求</w:t>
      </w:r>
    </w:p>
    <w:p w14:paraId="318B0DE3">
      <w:pPr>
        <w:spacing w:line="360" w:lineRule="auto"/>
        <w:ind w:firstLine="560"/>
        <w:rPr>
          <w:rFonts w:hint="eastAsia" w:ascii="仿宋" w:hAnsi="仿宋" w:eastAsia="仿宋" w:cs="仿宋"/>
          <w:sz w:val="24"/>
          <w:szCs w:val="24"/>
          <w:highlight w:val="none"/>
        </w:rPr>
      </w:pPr>
      <w:r>
        <w:rPr>
          <w:rFonts w:hint="eastAsia" w:ascii="仿宋" w:hAnsi="仿宋" w:eastAsia="仿宋" w:cs="仿宋"/>
          <w:sz w:val="24"/>
          <w:szCs w:val="24"/>
          <w:highlight w:val="none"/>
        </w:rPr>
        <w:t>四、合同</w:t>
      </w:r>
    </w:p>
    <w:p w14:paraId="5E7E3A09">
      <w:pPr>
        <w:spacing w:line="360" w:lineRule="auto"/>
        <w:ind w:firstLine="560"/>
        <w:rPr>
          <w:rFonts w:hint="eastAsia" w:ascii="仿宋" w:hAnsi="仿宋" w:eastAsia="仿宋" w:cs="仿宋"/>
          <w:sz w:val="24"/>
          <w:szCs w:val="24"/>
          <w:highlight w:val="none"/>
        </w:rPr>
      </w:pPr>
      <w:r>
        <w:rPr>
          <w:rFonts w:hint="eastAsia" w:ascii="仿宋" w:hAnsi="仿宋" w:eastAsia="仿宋" w:cs="仿宋"/>
          <w:sz w:val="24"/>
          <w:szCs w:val="24"/>
          <w:highlight w:val="none"/>
        </w:rPr>
        <w:t>五、响应文件格式及附件</w:t>
      </w:r>
    </w:p>
    <w:p w14:paraId="6DF49E5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6.磋商文件的澄清</w:t>
      </w:r>
    </w:p>
    <w:p w14:paraId="3D45C7B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6.1供应商对磋商文件如有异议，可在</w:t>
      </w:r>
      <w:r>
        <w:rPr>
          <w:rFonts w:hint="eastAsia" w:ascii="仿宋" w:hAnsi="仿宋" w:eastAsia="仿宋" w:cs="仿宋"/>
          <w:sz w:val="24"/>
          <w:szCs w:val="24"/>
          <w:lang w:eastAsia="zh-CN"/>
        </w:rPr>
        <w:t>磋商</w:t>
      </w:r>
      <w:r>
        <w:rPr>
          <w:rFonts w:hint="eastAsia" w:ascii="仿宋" w:hAnsi="仿宋" w:eastAsia="仿宋" w:cs="仿宋"/>
          <w:sz w:val="24"/>
          <w:szCs w:val="24"/>
        </w:rPr>
        <w:t>截止期的五日前按磋商文件中载明的地址以书面形式（包括信函、电报或传真，不包括电子邮件，下同）通知招标方要求澄清。招标方将视情况确定采用适当方式予以澄清。招标方认为有必要时，可将澄清内容（包括原提出问题，但不包括问题的来源）分发给所有供应商。</w:t>
      </w:r>
    </w:p>
    <w:p w14:paraId="655A7E77">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7.磋商文件的修改或补充</w:t>
      </w:r>
    </w:p>
    <w:p w14:paraId="732514F0">
      <w:pPr>
        <w:spacing w:line="360" w:lineRule="auto"/>
        <w:ind w:firstLine="480" w:firstLineChars="200"/>
        <w:rPr>
          <w:rFonts w:hint="eastAsia" w:ascii="仿宋" w:hAnsi="仿宋" w:eastAsia="仿宋" w:cs="仿宋"/>
          <w:sz w:val="24"/>
          <w:szCs w:val="24"/>
          <w:highlight w:val="red"/>
        </w:rPr>
      </w:pPr>
      <w:r>
        <w:rPr>
          <w:rFonts w:hint="eastAsia" w:ascii="仿宋" w:hAnsi="仿宋" w:eastAsia="仿宋" w:cs="仿宋"/>
          <w:sz w:val="24"/>
          <w:szCs w:val="24"/>
        </w:rPr>
        <w:t>7.1在</w:t>
      </w:r>
      <w:r>
        <w:rPr>
          <w:rFonts w:hint="eastAsia" w:ascii="仿宋" w:hAnsi="仿宋" w:eastAsia="仿宋" w:cs="仿宋"/>
          <w:sz w:val="24"/>
          <w:szCs w:val="24"/>
          <w:lang w:eastAsia="zh-CN"/>
        </w:rPr>
        <w:t>磋商</w:t>
      </w:r>
      <w:r>
        <w:rPr>
          <w:rFonts w:hint="eastAsia" w:ascii="仿宋" w:hAnsi="仿宋" w:eastAsia="仿宋" w:cs="仿宋"/>
          <w:sz w:val="24"/>
          <w:szCs w:val="24"/>
        </w:rPr>
        <w:t>截止期五日前的任何时间，招标方可主动或依据供应商要求澄清的问题而修改或补充磋商文件，并以书面形式或网上公告通知所有供应商，</w:t>
      </w:r>
      <w:r>
        <w:rPr>
          <w:rFonts w:hint="eastAsia" w:ascii="仿宋" w:hAnsi="仿宋" w:eastAsia="仿宋" w:cs="仿宋"/>
          <w:sz w:val="24"/>
          <w:szCs w:val="24"/>
          <w:highlight w:val="none"/>
        </w:rPr>
        <w:t>供应商</w:t>
      </w:r>
      <w:r>
        <w:rPr>
          <w:rFonts w:hint="eastAsia" w:ascii="仿宋" w:hAnsi="仿宋" w:eastAsia="仿宋" w:cs="仿宋"/>
          <w:sz w:val="24"/>
          <w:szCs w:val="24"/>
          <w:highlight w:val="none"/>
          <w:lang w:val="en-US" w:eastAsia="zh-CN"/>
        </w:rPr>
        <w:t>不需要</w:t>
      </w:r>
      <w:r>
        <w:rPr>
          <w:rFonts w:hint="eastAsia" w:ascii="仿宋" w:hAnsi="仿宋" w:eastAsia="仿宋" w:cs="仿宋"/>
          <w:sz w:val="24"/>
          <w:szCs w:val="24"/>
          <w:highlight w:val="none"/>
        </w:rPr>
        <w:t>确认。澄清文件在采购公告发布的同一媒介上发布之日起，视为</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已收到该澄清。</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未及时关注采购人在网站上发布的澄清文件造成的损失，由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自行负责。</w:t>
      </w:r>
    </w:p>
    <w:p w14:paraId="02DE7F1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7.2为使供应商在准备</w:t>
      </w:r>
      <w:r>
        <w:rPr>
          <w:rFonts w:hint="eastAsia" w:ascii="仿宋" w:hAnsi="仿宋" w:eastAsia="仿宋" w:cs="仿宋"/>
          <w:sz w:val="24"/>
          <w:szCs w:val="24"/>
          <w:lang w:eastAsia="zh-CN"/>
        </w:rPr>
        <w:t>磋商</w:t>
      </w:r>
      <w:r>
        <w:rPr>
          <w:rFonts w:hint="eastAsia" w:ascii="仿宋" w:hAnsi="仿宋" w:eastAsia="仿宋" w:cs="仿宋"/>
          <w:sz w:val="24"/>
          <w:szCs w:val="24"/>
        </w:rPr>
        <w:t>时有适当的时间考虑响应文件的修改，招标方有权决定推迟</w:t>
      </w:r>
      <w:r>
        <w:rPr>
          <w:rFonts w:hint="eastAsia" w:ascii="仿宋" w:hAnsi="仿宋" w:eastAsia="仿宋" w:cs="仿宋"/>
          <w:sz w:val="24"/>
          <w:szCs w:val="24"/>
          <w:lang w:eastAsia="zh-CN"/>
        </w:rPr>
        <w:t>磋商</w:t>
      </w:r>
      <w:r>
        <w:rPr>
          <w:rFonts w:hint="eastAsia" w:ascii="仿宋" w:hAnsi="仿宋" w:eastAsia="仿宋" w:cs="仿宋"/>
          <w:sz w:val="24"/>
          <w:szCs w:val="24"/>
        </w:rPr>
        <w:t>截止时间和开标日期，并将此变更通知所有的供应商。</w:t>
      </w:r>
    </w:p>
    <w:p w14:paraId="6392FE4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7.3磋商文件的修改和补充文件将构成磋商文件的一部分，并且对供应商具有优先约束力。</w:t>
      </w:r>
    </w:p>
    <w:p w14:paraId="14201D9F">
      <w:pPr>
        <w:spacing w:line="360" w:lineRule="auto"/>
        <w:ind w:firstLine="482" w:firstLineChars="200"/>
        <w:jc w:val="both"/>
        <w:rPr>
          <w:rFonts w:hint="eastAsia" w:ascii="仿宋" w:hAnsi="仿宋" w:eastAsia="仿宋" w:cs="仿宋"/>
          <w:b/>
          <w:sz w:val="24"/>
          <w:szCs w:val="24"/>
        </w:rPr>
      </w:pPr>
      <w:r>
        <w:rPr>
          <w:rFonts w:hint="eastAsia" w:ascii="仿宋" w:hAnsi="仿宋" w:eastAsia="仿宋" w:cs="仿宋"/>
          <w:b/>
          <w:sz w:val="24"/>
          <w:szCs w:val="24"/>
          <w:lang w:val="en-US" w:eastAsia="zh-CN"/>
        </w:rPr>
        <w:t>8.</w:t>
      </w:r>
      <w:r>
        <w:rPr>
          <w:rFonts w:hint="eastAsia" w:ascii="仿宋" w:hAnsi="仿宋" w:eastAsia="仿宋" w:cs="仿宋"/>
          <w:b/>
          <w:sz w:val="24"/>
          <w:szCs w:val="24"/>
        </w:rPr>
        <w:t>对供应商的资质要求</w:t>
      </w:r>
    </w:p>
    <w:p w14:paraId="38AE7F84">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.1供应商必须提交能够证明其具有履行本项目合同能力的资格证明文件，作为响应文件的一部分，资格审查及符合性审查以响应文件要求为准进行查验。</w:t>
      </w:r>
    </w:p>
    <w:p w14:paraId="65CA14B7">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2所有在响应文件中提交的资格证明文件必须加盖公章。</w:t>
      </w:r>
    </w:p>
    <w:p w14:paraId="710C30CE">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3所有资格证明文件必须满足磋商文件的要求，否则将视为无效响应。</w:t>
      </w:r>
    </w:p>
    <w:p w14:paraId="097F9F63">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4供应商违反国家有关法律法规的强制性规定的，其投标按无效标处理。</w:t>
      </w:r>
    </w:p>
    <w:p w14:paraId="6EDA4EB9">
      <w:pPr>
        <w:spacing w:line="360" w:lineRule="auto"/>
        <w:ind w:firstLine="482" w:firstLineChars="200"/>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响应文件</w:t>
      </w:r>
    </w:p>
    <w:p w14:paraId="6E89E8AE">
      <w:pPr>
        <w:spacing w:line="360" w:lineRule="auto"/>
        <w:ind w:firstLine="482" w:firstLineChars="200"/>
        <w:jc w:val="both"/>
        <w:rPr>
          <w:rFonts w:hint="eastAsia" w:ascii="仿宋" w:hAnsi="仿宋" w:eastAsia="仿宋" w:cs="仿宋"/>
          <w:b/>
          <w:sz w:val="24"/>
          <w:szCs w:val="24"/>
        </w:rPr>
      </w:pPr>
      <w:r>
        <w:rPr>
          <w:rFonts w:hint="eastAsia" w:ascii="仿宋" w:hAnsi="仿宋" w:eastAsia="仿宋" w:cs="仿宋"/>
          <w:b/>
          <w:sz w:val="24"/>
          <w:szCs w:val="24"/>
          <w:lang w:val="en-US" w:eastAsia="zh-CN"/>
        </w:rPr>
        <w:t>9.</w:t>
      </w:r>
      <w:r>
        <w:rPr>
          <w:rFonts w:hint="eastAsia" w:ascii="仿宋" w:hAnsi="仿宋" w:eastAsia="仿宋" w:cs="仿宋"/>
          <w:b/>
          <w:sz w:val="24"/>
          <w:szCs w:val="24"/>
        </w:rPr>
        <w:t>响应文件的编写</w:t>
      </w:r>
    </w:p>
    <w:p w14:paraId="5E142EF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w:t>
      </w:r>
      <w:r>
        <w:rPr>
          <w:rFonts w:hint="eastAsia" w:ascii="仿宋" w:hAnsi="仿宋" w:eastAsia="仿宋" w:cs="仿宋"/>
          <w:b/>
          <w:sz w:val="24"/>
          <w:szCs w:val="24"/>
        </w:rPr>
        <w:t>.</w:t>
      </w:r>
      <w:r>
        <w:rPr>
          <w:rFonts w:hint="eastAsia" w:ascii="仿宋" w:hAnsi="仿宋" w:eastAsia="仿宋" w:cs="仿宋"/>
          <w:b/>
          <w:sz w:val="24"/>
          <w:szCs w:val="24"/>
          <w:lang w:val="en-US" w:eastAsia="zh-CN"/>
        </w:rPr>
        <w:t>1</w:t>
      </w:r>
      <w:r>
        <w:rPr>
          <w:rFonts w:hint="eastAsia" w:ascii="仿宋" w:hAnsi="仿宋" w:eastAsia="仿宋" w:cs="仿宋"/>
          <w:b/>
          <w:sz w:val="24"/>
          <w:szCs w:val="24"/>
        </w:rPr>
        <w:t>要求</w:t>
      </w:r>
    </w:p>
    <w:p w14:paraId="4ABFB5D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供应商应详细阅读磋商文件中的条款、规范、表示、条件和格式等所有内容，按磋商文件的要</w:t>
      </w:r>
      <w:r>
        <w:rPr>
          <w:rFonts w:hint="eastAsia" w:ascii="仿宋" w:hAnsi="仿宋" w:eastAsia="仿宋" w:cs="仿宋"/>
          <w:sz w:val="24"/>
          <w:szCs w:val="24"/>
          <w:lang w:eastAsia="zh-CN"/>
        </w:rPr>
        <w:t>求</w:t>
      </w:r>
      <w:r>
        <w:rPr>
          <w:rFonts w:hint="eastAsia" w:ascii="仿宋" w:hAnsi="仿宋" w:eastAsia="仿宋" w:cs="仿宋"/>
          <w:sz w:val="24"/>
          <w:szCs w:val="24"/>
        </w:rPr>
        <w:t>进行响应，并保证所提供的全部材料的真实性，使其响应对磋商文件做出实质性响应。否则，其</w:t>
      </w:r>
      <w:r>
        <w:rPr>
          <w:rFonts w:hint="eastAsia" w:ascii="仿宋" w:hAnsi="仿宋" w:eastAsia="仿宋" w:cs="仿宋"/>
          <w:sz w:val="24"/>
          <w:szCs w:val="24"/>
          <w:lang w:eastAsia="zh-CN"/>
        </w:rPr>
        <w:t>磋商</w:t>
      </w:r>
      <w:r>
        <w:rPr>
          <w:rFonts w:hint="eastAsia" w:ascii="仿宋" w:hAnsi="仿宋" w:eastAsia="仿宋" w:cs="仿宋"/>
          <w:sz w:val="24"/>
          <w:szCs w:val="24"/>
        </w:rPr>
        <w:t>将视为无效。</w:t>
      </w:r>
    </w:p>
    <w:p w14:paraId="6B1B1188">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9.2</w:t>
      </w:r>
      <w:r>
        <w:rPr>
          <w:rFonts w:hint="eastAsia" w:ascii="仿宋" w:hAnsi="仿宋" w:eastAsia="仿宋" w:cs="仿宋"/>
          <w:b/>
          <w:sz w:val="24"/>
          <w:szCs w:val="24"/>
        </w:rPr>
        <w:t>响应文件语言和度量单位</w:t>
      </w:r>
    </w:p>
    <w:p w14:paraId="2194B87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除在磋商文件的技术规格中另有规定外，计量单位应使用中华人民共和国法定计量单位。</w:t>
      </w:r>
    </w:p>
    <w:p w14:paraId="489587F4">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9.3</w:t>
      </w:r>
      <w:r>
        <w:rPr>
          <w:rFonts w:hint="eastAsia" w:ascii="仿宋" w:hAnsi="仿宋" w:eastAsia="仿宋" w:cs="仿宋"/>
          <w:b/>
          <w:sz w:val="24"/>
          <w:szCs w:val="24"/>
        </w:rPr>
        <w:t>响应文件的组成</w:t>
      </w:r>
    </w:p>
    <w:p w14:paraId="49EE84A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供应商编写的响应文件应包括下列内容：</w:t>
      </w:r>
    </w:p>
    <w:p w14:paraId="52E0432F">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一</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商务部分</w:t>
      </w:r>
    </w:p>
    <w:p w14:paraId="6A010016">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1</w:t>
      </w:r>
      <w:r>
        <w:rPr>
          <w:rFonts w:hint="eastAsia" w:ascii="仿宋" w:hAnsi="仿宋" w:eastAsia="仿宋" w:cs="仿宋"/>
          <w:b w:val="0"/>
          <w:bCs w:val="0"/>
          <w:sz w:val="24"/>
          <w:szCs w:val="24"/>
          <w:highlight w:val="none"/>
        </w:rPr>
        <w:t>、磋商响应声明</w:t>
      </w:r>
    </w:p>
    <w:p w14:paraId="4233D1A8">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附件 1－1法定代表人身份证明扫描件(法定代表人参加磋商) </w:t>
      </w:r>
    </w:p>
    <w:p w14:paraId="256BC08F">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1－2法定代表人授权书(授权代表参加磋商)</w:t>
      </w:r>
    </w:p>
    <w:p w14:paraId="7EC7AF16">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2、报价一览表</w:t>
      </w:r>
    </w:p>
    <w:p w14:paraId="73076731">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2－1 报价一览表</w:t>
      </w:r>
    </w:p>
    <w:p w14:paraId="337B3920">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3、商务条款偏离表(格式附后) </w:t>
      </w:r>
    </w:p>
    <w:p w14:paraId="41569405">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4、磋商保证金</w:t>
      </w:r>
    </w:p>
    <w:p w14:paraId="548C6F60">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5、供应商的资格证明材料</w:t>
      </w:r>
    </w:p>
    <w:p w14:paraId="78DDB79C">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5－1供应商基本情况表(格式附后)</w:t>
      </w:r>
    </w:p>
    <w:p w14:paraId="04CA298C">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5－2关于满足《中华人民共和国政府采购法》第二十二条的承诺(格式附后)</w:t>
      </w:r>
    </w:p>
    <w:p w14:paraId="775B2852">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6、提供符合政府采购政策的证明材料</w:t>
      </w:r>
    </w:p>
    <w:p w14:paraId="1CE979BE">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6－1</w:t>
      </w:r>
      <w:r>
        <w:rPr>
          <w:rFonts w:hint="eastAsia" w:ascii="仿宋" w:hAnsi="仿宋" w:eastAsia="仿宋" w:cs="仿宋"/>
          <w:b w:val="0"/>
          <w:bCs w:val="0"/>
          <w:sz w:val="24"/>
          <w:szCs w:val="24"/>
          <w:highlight w:val="none"/>
          <w:lang w:val="en-US" w:eastAsia="zh-CN"/>
        </w:rPr>
        <w:tab/>
      </w:r>
      <w:r>
        <w:rPr>
          <w:rFonts w:hint="eastAsia" w:ascii="仿宋" w:hAnsi="仿宋" w:eastAsia="仿宋" w:cs="仿宋"/>
          <w:b w:val="0"/>
          <w:bCs w:val="0"/>
          <w:sz w:val="24"/>
          <w:szCs w:val="24"/>
          <w:highlight w:val="none"/>
          <w:lang w:val="en-US" w:eastAsia="zh-CN"/>
        </w:rPr>
        <w:t>中小企业声明函(格式附后)</w:t>
      </w:r>
    </w:p>
    <w:p w14:paraId="11E1DEEF">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7、供应商业绩证明材料</w:t>
      </w:r>
    </w:p>
    <w:p w14:paraId="12F9D07A">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8、供应商认为需提供的其他资料</w:t>
      </w:r>
    </w:p>
    <w:p w14:paraId="128F0F17">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二</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技术部分</w:t>
      </w:r>
    </w:p>
    <w:p w14:paraId="7ED5A155">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en-US"/>
        </w:rPr>
      </w:pPr>
      <w:r>
        <w:rPr>
          <w:rFonts w:hint="eastAsia" w:ascii="仿宋" w:hAnsi="仿宋" w:eastAsia="仿宋" w:cs="仿宋"/>
          <w:b w:val="0"/>
          <w:bCs w:val="0"/>
          <w:sz w:val="24"/>
          <w:szCs w:val="24"/>
          <w:highlight w:val="none"/>
          <w:lang w:val="en-US" w:eastAsia="zh-CN"/>
        </w:rPr>
        <w:t>1、</w:t>
      </w:r>
      <w:r>
        <w:rPr>
          <w:rFonts w:hint="eastAsia" w:ascii="仿宋" w:hAnsi="仿宋" w:eastAsia="仿宋" w:cs="仿宋"/>
          <w:b w:val="0"/>
          <w:bCs w:val="0"/>
          <w:sz w:val="24"/>
          <w:szCs w:val="24"/>
          <w:highlight w:val="none"/>
          <w:lang w:val="en-US" w:eastAsia="en-US"/>
        </w:rPr>
        <w:t>技术响应与偏离表</w:t>
      </w:r>
    </w:p>
    <w:p w14:paraId="43F2C982">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2、</w:t>
      </w:r>
      <w:r>
        <w:rPr>
          <w:rFonts w:hint="eastAsia" w:ascii="仿宋" w:hAnsi="仿宋" w:eastAsia="仿宋" w:cs="仿宋"/>
          <w:b w:val="0"/>
          <w:bCs w:val="0"/>
          <w:sz w:val="24"/>
          <w:szCs w:val="24"/>
          <w:highlight w:val="none"/>
        </w:rPr>
        <w:t>供应商认为有必要提供的声明及其他资料</w:t>
      </w:r>
    </w:p>
    <w:p w14:paraId="27EA4B30">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9.4</w:t>
      </w:r>
      <w:r>
        <w:rPr>
          <w:rFonts w:hint="eastAsia" w:ascii="仿宋" w:hAnsi="仿宋" w:eastAsia="仿宋" w:cs="仿宋"/>
          <w:b/>
          <w:sz w:val="24"/>
          <w:szCs w:val="24"/>
        </w:rPr>
        <w:t>响应文件格式</w:t>
      </w:r>
    </w:p>
    <w:p w14:paraId="58461C7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供应商应按磋商文件的范本格式认真填写。</w:t>
      </w:r>
    </w:p>
    <w:p w14:paraId="690E4FEE">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9.5</w:t>
      </w:r>
      <w:r>
        <w:rPr>
          <w:rFonts w:hint="eastAsia" w:ascii="仿宋" w:hAnsi="仿宋" w:eastAsia="仿宋" w:cs="仿宋"/>
          <w:b/>
          <w:sz w:val="24"/>
          <w:szCs w:val="24"/>
        </w:rPr>
        <w:t>报价及货币单位</w:t>
      </w:r>
    </w:p>
    <w:p w14:paraId="4060B05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9.5.1</w:t>
      </w:r>
      <w:r>
        <w:rPr>
          <w:rFonts w:hint="eastAsia" w:ascii="仿宋" w:hAnsi="仿宋" w:eastAsia="仿宋" w:cs="仿宋"/>
          <w:sz w:val="24"/>
          <w:szCs w:val="24"/>
        </w:rPr>
        <w:t>供应商应在报价表中标明其提供的所有服务及其完成本项目相关工作范围内所有费用的总价，采购人不接受有任何选择性报价。</w:t>
      </w:r>
    </w:p>
    <w:p w14:paraId="5AA4CB4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9.5.2</w:t>
      </w:r>
      <w:r>
        <w:rPr>
          <w:rFonts w:hint="eastAsia" w:ascii="仿宋" w:hAnsi="仿宋" w:eastAsia="仿宋" w:cs="仿宋"/>
          <w:sz w:val="24"/>
          <w:szCs w:val="24"/>
        </w:rPr>
        <w:t>报价应包括以下内容：</w:t>
      </w:r>
    </w:p>
    <w:p w14:paraId="4708A925">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rPr>
        <w:t>所有报价应包括服务所需的一切费用（如</w:t>
      </w:r>
      <w:r>
        <w:rPr>
          <w:rFonts w:hint="eastAsia" w:ascii="仿宋" w:hAnsi="仿宋" w:eastAsia="仿宋" w:cs="仿宋"/>
          <w:spacing w:val="-1"/>
          <w:kern w:val="0"/>
          <w:sz w:val="24"/>
          <w:szCs w:val="24"/>
          <w:lang w:val="en-US" w:eastAsia="en-US"/>
        </w:rPr>
        <w:t>调研费、设计费、运费、拆除费、搬运、人工、安装、辅材、税金等一切与本项目相关费用</w:t>
      </w:r>
      <w:r>
        <w:rPr>
          <w:rFonts w:hint="eastAsia" w:ascii="仿宋" w:hAnsi="仿宋" w:eastAsia="仿宋" w:cs="仿宋"/>
          <w:sz w:val="24"/>
          <w:szCs w:val="24"/>
        </w:rPr>
        <w:t>等）</w:t>
      </w:r>
      <w:r>
        <w:rPr>
          <w:rFonts w:hint="eastAsia" w:ascii="仿宋" w:hAnsi="仿宋" w:eastAsia="仿宋" w:cs="仿宋"/>
          <w:sz w:val="24"/>
          <w:szCs w:val="24"/>
          <w:lang w:eastAsia="zh-CN"/>
        </w:rPr>
        <w:t>。</w:t>
      </w:r>
    </w:p>
    <w:p w14:paraId="144832A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报价按磋商文件中价格表的格式填写，以人民币报价。</w:t>
      </w:r>
    </w:p>
    <w:p w14:paraId="31155A1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供应商的价格必须保证在</w:t>
      </w:r>
      <w:r>
        <w:rPr>
          <w:rFonts w:hint="eastAsia" w:ascii="仿宋" w:hAnsi="仿宋" w:eastAsia="仿宋" w:cs="仿宋"/>
          <w:sz w:val="24"/>
          <w:szCs w:val="24"/>
          <w:lang w:eastAsia="zh-CN"/>
        </w:rPr>
        <w:t>磋商</w:t>
      </w:r>
      <w:r>
        <w:rPr>
          <w:rFonts w:hint="eastAsia" w:ascii="仿宋" w:hAnsi="仿宋" w:eastAsia="仿宋" w:cs="仿宋"/>
          <w:sz w:val="24"/>
          <w:szCs w:val="24"/>
        </w:rPr>
        <w:t>有效期及服务期限内固定不变。</w:t>
      </w:r>
    </w:p>
    <w:p w14:paraId="1ABF9A8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不接受任何变通或有任何选择性的报价。报价必须唯一、确定、严格。当在单价和总价之间出现任何差异时，以单价为准，除非单价有明显的小数点错误，则以合计价格修正单价。</w:t>
      </w:r>
    </w:p>
    <w:p w14:paraId="5A709FC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供应商不得以低于成本的报价竞标，也不得以其他方式弄虚作假，骗取中标。</w:t>
      </w:r>
    </w:p>
    <w:p w14:paraId="59CF144C">
      <w:pPr>
        <w:tabs>
          <w:tab w:val="left" w:pos="1185"/>
        </w:tabs>
        <w:spacing w:line="360" w:lineRule="auto"/>
        <w:ind w:firstLine="480" w:firstLineChars="200"/>
        <w:rPr>
          <w:rFonts w:hint="eastAsia" w:ascii="仿宋" w:hAnsi="仿宋" w:eastAsia="仿宋" w:cs="仿宋"/>
          <w:b/>
          <w:sz w:val="24"/>
          <w:szCs w:val="24"/>
        </w:rPr>
      </w:pPr>
      <w:r>
        <w:rPr>
          <w:rFonts w:hint="eastAsia" w:ascii="仿宋" w:hAnsi="仿宋" w:eastAsia="仿宋" w:cs="仿宋"/>
          <w:sz w:val="24"/>
          <w:szCs w:val="24"/>
          <w:lang w:val="en-US" w:eastAsia="zh-CN"/>
        </w:rPr>
        <w:t>10.</w:t>
      </w:r>
      <w:r>
        <w:rPr>
          <w:rFonts w:hint="eastAsia" w:ascii="仿宋" w:hAnsi="仿宋" w:eastAsia="仿宋" w:cs="仿宋"/>
          <w:b/>
          <w:sz w:val="24"/>
          <w:szCs w:val="24"/>
        </w:rPr>
        <w:t>招标代理费</w:t>
      </w:r>
    </w:p>
    <w:p w14:paraId="30AD1EC7">
      <w:pPr>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参照国家计委计价格【2002】1980号、发改办价格【2003】857号、【2011】534号文</w:t>
      </w:r>
      <w:r>
        <w:rPr>
          <w:rFonts w:hint="eastAsia" w:ascii="仿宋" w:hAnsi="仿宋" w:eastAsia="仿宋" w:cs="仿宋"/>
          <w:sz w:val="24"/>
          <w:szCs w:val="24"/>
          <w:lang w:val="en-US" w:eastAsia="zh-CN"/>
        </w:rPr>
        <w:t>计取</w:t>
      </w:r>
      <w:r>
        <w:rPr>
          <w:rFonts w:hint="eastAsia" w:ascii="仿宋" w:hAnsi="仿宋" w:eastAsia="仿宋" w:cs="仿宋"/>
          <w:sz w:val="24"/>
          <w:szCs w:val="24"/>
          <w:lang w:val="en-US"/>
        </w:rPr>
        <w:t>，</w:t>
      </w:r>
      <w:r>
        <w:rPr>
          <w:rFonts w:hint="eastAsia" w:ascii="仿宋" w:hAnsi="仿宋" w:eastAsia="仿宋" w:cs="仿宋"/>
          <w:sz w:val="24"/>
          <w:szCs w:val="24"/>
          <w:lang w:val="en-US" w:eastAsia="zh-CN"/>
        </w:rPr>
        <w:t>不足3000元按3000元计取，</w:t>
      </w:r>
      <w:r>
        <w:rPr>
          <w:rFonts w:hint="eastAsia" w:ascii="仿宋" w:hAnsi="仿宋" w:eastAsia="仿宋" w:cs="仿宋"/>
          <w:sz w:val="24"/>
          <w:szCs w:val="24"/>
          <w:lang w:val="en-US"/>
        </w:rPr>
        <w:t>本项目招标代理服务费由</w:t>
      </w:r>
      <w:r>
        <w:rPr>
          <w:rFonts w:hint="eastAsia" w:ascii="仿宋" w:hAnsi="仿宋" w:eastAsia="仿宋" w:cs="仿宋"/>
          <w:sz w:val="24"/>
          <w:szCs w:val="24"/>
          <w:lang w:val="en-US" w:eastAsia="zh-CN"/>
        </w:rPr>
        <w:t>成交</w:t>
      </w:r>
      <w:r>
        <w:rPr>
          <w:rFonts w:hint="eastAsia" w:ascii="仿宋" w:hAnsi="仿宋" w:eastAsia="仿宋" w:cs="仿宋"/>
          <w:sz w:val="24"/>
          <w:szCs w:val="24"/>
          <w:lang w:val="en-US"/>
        </w:rPr>
        <w:t>人支付。</w:t>
      </w:r>
      <w:r>
        <w:rPr>
          <w:rFonts w:hint="eastAsia" w:ascii="仿宋" w:hAnsi="仿宋" w:eastAsia="仿宋" w:cs="仿宋"/>
          <w:sz w:val="24"/>
          <w:szCs w:val="24"/>
          <w:lang w:val="en-US" w:eastAsia="zh-CN"/>
        </w:rPr>
        <w:t>成交</w:t>
      </w:r>
      <w:r>
        <w:rPr>
          <w:rFonts w:hint="eastAsia" w:ascii="仿宋" w:hAnsi="仿宋" w:eastAsia="仿宋" w:cs="仿宋"/>
          <w:sz w:val="24"/>
          <w:szCs w:val="24"/>
          <w:lang w:val="en-US"/>
        </w:rPr>
        <w:t>单位须在领取成交通知书时一次性付清招标代理服务费。</w:t>
      </w:r>
    </w:p>
    <w:p w14:paraId="6220445A">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11.</w:t>
      </w:r>
      <w:r>
        <w:rPr>
          <w:rFonts w:hint="eastAsia" w:ascii="仿宋" w:hAnsi="仿宋" w:eastAsia="仿宋" w:cs="仿宋"/>
          <w:b/>
          <w:sz w:val="24"/>
          <w:szCs w:val="24"/>
        </w:rPr>
        <w:t>服务计划</w:t>
      </w:r>
    </w:p>
    <w:p w14:paraId="360C6D5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供应商可以针对本次招标项目的实际需求拟定完善的服务计划。</w:t>
      </w:r>
    </w:p>
    <w:p w14:paraId="0B7B6A66">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12.</w:t>
      </w:r>
      <w:r>
        <w:rPr>
          <w:rFonts w:hint="eastAsia" w:ascii="仿宋" w:hAnsi="仿宋" w:eastAsia="仿宋" w:cs="仿宋"/>
          <w:b/>
          <w:sz w:val="24"/>
          <w:szCs w:val="24"/>
          <w:lang w:eastAsia="zh-CN"/>
        </w:rPr>
        <w:t>磋商</w:t>
      </w:r>
      <w:r>
        <w:rPr>
          <w:rFonts w:hint="eastAsia" w:ascii="仿宋" w:hAnsi="仿宋" w:eastAsia="仿宋" w:cs="仿宋"/>
          <w:b/>
          <w:sz w:val="24"/>
          <w:szCs w:val="24"/>
        </w:rPr>
        <w:t>有效期</w:t>
      </w:r>
    </w:p>
    <w:p w14:paraId="3E97460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12</w:t>
      </w:r>
      <w:r>
        <w:rPr>
          <w:rFonts w:hint="eastAsia" w:ascii="仿宋" w:hAnsi="仿宋" w:eastAsia="仿宋" w:cs="仿宋"/>
          <w:sz w:val="24"/>
          <w:szCs w:val="24"/>
        </w:rPr>
        <w:t>.1响应文件从开标之日起，</w:t>
      </w:r>
      <w:r>
        <w:rPr>
          <w:rFonts w:hint="eastAsia" w:ascii="仿宋" w:hAnsi="仿宋" w:eastAsia="仿宋" w:cs="仿宋"/>
          <w:sz w:val="24"/>
          <w:szCs w:val="24"/>
          <w:lang w:eastAsia="zh-CN"/>
        </w:rPr>
        <w:t>磋商</w:t>
      </w:r>
      <w:r>
        <w:rPr>
          <w:rFonts w:hint="eastAsia" w:ascii="仿宋" w:hAnsi="仿宋" w:eastAsia="仿宋" w:cs="仿宋"/>
          <w:sz w:val="24"/>
          <w:szCs w:val="24"/>
        </w:rPr>
        <w:t>有效期为</w:t>
      </w:r>
      <w:r>
        <w:rPr>
          <w:rFonts w:hint="eastAsia" w:ascii="仿宋" w:hAnsi="仿宋" w:eastAsia="仿宋" w:cs="仿宋"/>
          <w:sz w:val="24"/>
          <w:szCs w:val="24"/>
          <w:u w:val="single"/>
        </w:rPr>
        <w:t xml:space="preserve"> 90</w:t>
      </w:r>
      <w:r>
        <w:rPr>
          <w:rFonts w:hint="eastAsia" w:ascii="仿宋" w:hAnsi="仿宋" w:eastAsia="仿宋" w:cs="仿宋"/>
          <w:sz w:val="24"/>
          <w:szCs w:val="24"/>
        </w:rPr>
        <w:t>日历日（如不满足将导致废标）。</w:t>
      </w:r>
    </w:p>
    <w:p w14:paraId="54B67C6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12</w:t>
      </w:r>
      <w:r>
        <w:rPr>
          <w:rFonts w:hint="eastAsia" w:ascii="仿宋" w:hAnsi="仿宋" w:eastAsia="仿宋" w:cs="仿宋"/>
          <w:sz w:val="24"/>
          <w:szCs w:val="24"/>
        </w:rPr>
        <w:t>.2在特殊情况下，</w:t>
      </w:r>
      <w:r>
        <w:rPr>
          <w:rFonts w:hint="eastAsia" w:ascii="仿宋" w:hAnsi="仿宋" w:eastAsia="仿宋" w:cs="仿宋"/>
          <w:sz w:val="24"/>
          <w:szCs w:val="24"/>
          <w:lang w:val="en-US" w:eastAsia="zh-CN"/>
        </w:rPr>
        <w:t>采购</w:t>
      </w:r>
      <w:r>
        <w:rPr>
          <w:rFonts w:hint="eastAsia" w:ascii="仿宋" w:hAnsi="仿宋" w:eastAsia="仿宋" w:cs="仿宋"/>
          <w:sz w:val="24"/>
          <w:szCs w:val="24"/>
        </w:rPr>
        <w:t>方可与供应商协商延长响应文件的有效期。</w:t>
      </w:r>
    </w:p>
    <w:p w14:paraId="71E6937D">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13</w:t>
      </w:r>
      <w:r>
        <w:rPr>
          <w:rFonts w:hint="eastAsia" w:ascii="仿宋" w:hAnsi="仿宋" w:eastAsia="仿宋" w:cs="仿宋"/>
          <w:b/>
          <w:sz w:val="24"/>
          <w:szCs w:val="24"/>
        </w:rPr>
        <w:t>.响应文件的签署规定</w:t>
      </w:r>
    </w:p>
    <w:p w14:paraId="585E85C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14</w:t>
      </w:r>
      <w:r>
        <w:rPr>
          <w:rFonts w:hint="eastAsia" w:ascii="仿宋" w:hAnsi="仿宋" w:eastAsia="仿宋" w:cs="仿宋"/>
          <w:sz w:val="24"/>
          <w:szCs w:val="24"/>
        </w:rPr>
        <w:t>.1　响应文件应清楚工整，不允许修改。</w:t>
      </w:r>
    </w:p>
    <w:p w14:paraId="513EC14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15</w:t>
      </w:r>
      <w:r>
        <w:rPr>
          <w:rFonts w:hint="eastAsia" w:ascii="仿宋" w:hAnsi="仿宋" w:eastAsia="仿宋" w:cs="仿宋"/>
          <w:sz w:val="24"/>
          <w:szCs w:val="24"/>
        </w:rPr>
        <w:t>.2　响应文件应由法人代表或法人授权代表在规定的签章处逐一签署或加盖单位公章</w:t>
      </w:r>
      <w:r>
        <w:rPr>
          <w:rFonts w:hint="eastAsia" w:ascii="仿宋" w:hAnsi="仿宋" w:eastAsia="仿宋" w:cs="仿宋"/>
          <w:bCs/>
          <w:sz w:val="24"/>
          <w:szCs w:val="24"/>
        </w:rPr>
        <w:t>，响应文件方为有效。</w:t>
      </w:r>
    </w:p>
    <w:p w14:paraId="4EBF81C3">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w:t>
      </w:r>
      <w:r>
        <w:rPr>
          <w:rFonts w:hint="eastAsia" w:ascii="仿宋" w:hAnsi="仿宋" w:eastAsia="仿宋" w:cs="仿宋"/>
          <w:b/>
          <w:sz w:val="24"/>
          <w:szCs w:val="24"/>
          <w:lang w:val="en-US" w:eastAsia="zh-CN"/>
        </w:rPr>
        <w:t>6</w:t>
      </w:r>
      <w:r>
        <w:rPr>
          <w:rFonts w:hint="eastAsia" w:ascii="仿宋" w:hAnsi="仿宋" w:eastAsia="仿宋" w:cs="仿宋"/>
          <w:b/>
          <w:sz w:val="24"/>
          <w:szCs w:val="24"/>
        </w:rPr>
        <w:t xml:space="preserve">. </w:t>
      </w:r>
      <w:r>
        <w:rPr>
          <w:rFonts w:hint="eastAsia" w:ascii="仿宋" w:hAnsi="仿宋" w:eastAsia="仿宋" w:cs="仿宋"/>
          <w:b/>
          <w:sz w:val="24"/>
          <w:szCs w:val="24"/>
          <w:lang w:eastAsia="zh-CN"/>
        </w:rPr>
        <w:t>磋商</w:t>
      </w:r>
      <w:r>
        <w:rPr>
          <w:rFonts w:hint="eastAsia" w:ascii="仿宋" w:hAnsi="仿宋" w:eastAsia="仿宋" w:cs="仿宋"/>
          <w:b/>
          <w:sz w:val="24"/>
          <w:szCs w:val="24"/>
        </w:rPr>
        <w:t xml:space="preserve">保证金 </w:t>
      </w:r>
    </w:p>
    <w:p w14:paraId="149C2C5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6</w:t>
      </w:r>
      <w:r>
        <w:rPr>
          <w:rFonts w:hint="eastAsia" w:ascii="仿宋" w:hAnsi="仿宋" w:eastAsia="仿宋" w:cs="仿宋"/>
          <w:sz w:val="24"/>
          <w:szCs w:val="24"/>
        </w:rPr>
        <w:t>.1招标方因供应商的违规行为而受到损害时将不予退还供应商的</w:t>
      </w:r>
      <w:r>
        <w:rPr>
          <w:rFonts w:hint="eastAsia" w:ascii="仿宋" w:hAnsi="仿宋" w:eastAsia="仿宋" w:cs="仿宋"/>
          <w:sz w:val="24"/>
          <w:szCs w:val="24"/>
          <w:lang w:eastAsia="zh-CN"/>
        </w:rPr>
        <w:t>磋商</w:t>
      </w:r>
      <w:r>
        <w:rPr>
          <w:rFonts w:hint="eastAsia" w:ascii="仿宋" w:hAnsi="仿宋" w:eastAsia="仿宋" w:cs="仿宋"/>
          <w:sz w:val="24"/>
          <w:szCs w:val="24"/>
        </w:rPr>
        <w:t>保证金，将其作为所受损害的补偿。</w:t>
      </w:r>
    </w:p>
    <w:p w14:paraId="2CFA0E9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6</w:t>
      </w:r>
      <w:r>
        <w:rPr>
          <w:rFonts w:hint="eastAsia" w:ascii="仿宋" w:hAnsi="仿宋" w:eastAsia="仿宋" w:cs="仿宋"/>
          <w:sz w:val="24"/>
          <w:szCs w:val="24"/>
        </w:rPr>
        <w:t>.2</w:t>
      </w:r>
      <w:r>
        <w:rPr>
          <w:rFonts w:hint="eastAsia" w:ascii="仿宋" w:hAnsi="仿宋" w:eastAsia="仿宋" w:cs="仿宋"/>
          <w:sz w:val="24"/>
          <w:szCs w:val="24"/>
          <w:lang w:eastAsia="zh-CN"/>
        </w:rPr>
        <w:t>磋商</w:t>
      </w:r>
      <w:r>
        <w:rPr>
          <w:rFonts w:hint="eastAsia" w:ascii="仿宋" w:hAnsi="仿宋" w:eastAsia="仿宋" w:cs="仿宋"/>
          <w:sz w:val="24"/>
          <w:szCs w:val="24"/>
        </w:rPr>
        <w:t>保证金提交要求（见供应商须知前附表）</w:t>
      </w:r>
    </w:p>
    <w:p w14:paraId="187F8F66">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w:t>
      </w:r>
      <w:r>
        <w:rPr>
          <w:rFonts w:hint="eastAsia" w:ascii="仿宋" w:hAnsi="仿宋" w:eastAsia="仿宋" w:cs="仿宋"/>
          <w:b/>
          <w:sz w:val="24"/>
          <w:szCs w:val="24"/>
          <w:lang w:val="en-US" w:eastAsia="zh-CN"/>
        </w:rPr>
        <w:t>7</w:t>
      </w:r>
      <w:r>
        <w:rPr>
          <w:rFonts w:hint="eastAsia" w:ascii="仿宋" w:hAnsi="仿宋" w:eastAsia="仿宋" w:cs="仿宋"/>
          <w:b/>
          <w:sz w:val="24"/>
          <w:szCs w:val="24"/>
        </w:rPr>
        <w:t>.响应文件的递交</w:t>
      </w:r>
    </w:p>
    <w:p w14:paraId="727B74A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7</w:t>
      </w:r>
      <w:r>
        <w:rPr>
          <w:rFonts w:hint="eastAsia" w:ascii="仿宋" w:hAnsi="仿宋" w:eastAsia="仿宋" w:cs="仿宋"/>
          <w:sz w:val="24"/>
          <w:szCs w:val="24"/>
        </w:rPr>
        <w:t xml:space="preserve">.1加密的电子响应文件应在递交截止时间前通过政采云平台上传完成。 </w:t>
      </w:r>
    </w:p>
    <w:p w14:paraId="651D45E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7</w:t>
      </w:r>
      <w:r>
        <w:rPr>
          <w:rFonts w:hint="eastAsia" w:ascii="仿宋" w:hAnsi="仿宋" w:eastAsia="仿宋" w:cs="仿宋"/>
          <w:sz w:val="24"/>
          <w:szCs w:val="24"/>
        </w:rPr>
        <w:t>.2响应文件开启当日，供应商无需到达开标现场，仅需通过政采云平台“不见面”开标大厅完成远程解密。大厅操作提示：①在开标前一小时在系统进行在线签到；②在30分钟内完成在线解密；</w:t>
      </w:r>
      <w:r>
        <w:rPr>
          <w:rFonts w:hint="eastAsia" w:ascii="仿宋" w:hAnsi="仿宋" w:eastAsia="仿宋" w:cs="仿宋"/>
          <w:sz w:val="24"/>
          <w:szCs w:val="24"/>
          <w:highlight w:val="none"/>
        </w:rPr>
        <w:t>③在开标结束后</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0分钟内完成“开标一览表”在线签章。</w:t>
      </w:r>
      <w:r>
        <w:rPr>
          <w:rFonts w:hint="eastAsia" w:ascii="仿宋" w:hAnsi="仿宋" w:eastAsia="仿宋" w:cs="仿宋"/>
          <w:sz w:val="24"/>
          <w:szCs w:val="24"/>
        </w:rPr>
        <w:t>注意：如未在规定时间进行以上操作，将导致投标（响应）无效。</w:t>
      </w:r>
    </w:p>
    <w:p w14:paraId="1080FB7D">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w:t>
      </w:r>
      <w:r>
        <w:rPr>
          <w:rFonts w:hint="eastAsia" w:ascii="仿宋" w:hAnsi="仿宋" w:eastAsia="仿宋" w:cs="仿宋"/>
          <w:b/>
          <w:sz w:val="24"/>
          <w:szCs w:val="24"/>
          <w:lang w:val="en-US" w:eastAsia="zh-CN"/>
        </w:rPr>
        <w:t>8</w:t>
      </w:r>
      <w:r>
        <w:rPr>
          <w:rFonts w:hint="eastAsia" w:ascii="仿宋" w:hAnsi="仿宋" w:eastAsia="仿宋" w:cs="仿宋"/>
          <w:b/>
          <w:sz w:val="24"/>
          <w:szCs w:val="24"/>
        </w:rPr>
        <w:t>.</w:t>
      </w:r>
      <w:r>
        <w:rPr>
          <w:rFonts w:hint="eastAsia" w:ascii="仿宋" w:hAnsi="仿宋" w:eastAsia="仿宋" w:cs="仿宋"/>
          <w:b/>
          <w:sz w:val="24"/>
          <w:szCs w:val="24"/>
          <w:lang w:eastAsia="zh-CN"/>
        </w:rPr>
        <w:t>磋商</w:t>
      </w:r>
      <w:r>
        <w:rPr>
          <w:rFonts w:hint="eastAsia" w:ascii="仿宋" w:hAnsi="仿宋" w:eastAsia="仿宋" w:cs="仿宋"/>
          <w:b/>
          <w:sz w:val="24"/>
          <w:szCs w:val="24"/>
        </w:rPr>
        <w:t>截止时间</w:t>
      </w:r>
    </w:p>
    <w:p w14:paraId="6A8D9E5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8</w:t>
      </w:r>
      <w:r>
        <w:rPr>
          <w:rFonts w:hint="eastAsia" w:ascii="仿宋" w:hAnsi="仿宋" w:eastAsia="仿宋" w:cs="仿宋"/>
          <w:sz w:val="24"/>
          <w:szCs w:val="24"/>
        </w:rPr>
        <w:t>.1响应文件的递交截止日期为采购公告所规定的时间。</w:t>
      </w:r>
    </w:p>
    <w:p w14:paraId="1B70039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8</w:t>
      </w:r>
      <w:r>
        <w:rPr>
          <w:rFonts w:hint="eastAsia" w:ascii="仿宋" w:hAnsi="仿宋" w:eastAsia="仿宋" w:cs="仿宋"/>
          <w:sz w:val="24"/>
          <w:szCs w:val="24"/>
        </w:rPr>
        <w:t>.2加密的电子响应文件应在递交截止时间前通过政采云平台上传完成，在此之后上传的响应文件为无效</w:t>
      </w:r>
      <w:r>
        <w:rPr>
          <w:rFonts w:hint="eastAsia" w:ascii="仿宋" w:hAnsi="仿宋" w:eastAsia="仿宋" w:cs="仿宋"/>
          <w:sz w:val="24"/>
          <w:szCs w:val="24"/>
          <w:lang w:eastAsia="zh-CN"/>
        </w:rPr>
        <w:t>磋商</w:t>
      </w:r>
      <w:r>
        <w:rPr>
          <w:rFonts w:hint="eastAsia" w:ascii="仿宋" w:hAnsi="仿宋" w:eastAsia="仿宋" w:cs="仿宋"/>
          <w:sz w:val="24"/>
          <w:szCs w:val="24"/>
        </w:rPr>
        <w:t>，响应文件将一律被拒绝。</w:t>
      </w:r>
    </w:p>
    <w:p w14:paraId="35246EE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8</w:t>
      </w:r>
      <w:r>
        <w:rPr>
          <w:rFonts w:hint="eastAsia" w:ascii="仿宋" w:hAnsi="仿宋" w:eastAsia="仿宋" w:cs="仿宋"/>
          <w:sz w:val="24"/>
          <w:szCs w:val="24"/>
        </w:rPr>
        <w:t>.3出现因磋商文件的修改而推迟</w:t>
      </w:r>
      <w:r>
        <w:rPr>
          <w:rFonts w:hint="eastAsia" w:ascii="仿宋" w:hAnsi="仿宋" w:eastAsia="仿宋" w:cs="仿宋"/>
          <w:sz w:val="24"/>
          <w:szCs w:val="24"/>
          <w:lang w:eastAsia="zh-CN"/>
        </w:rPr>
        <w:t>磋商</w:t>
      </w:r>
      <w:r>
        <w:rPr>
          <w:rFonts w:hint="eastAsia" w:ascii="仿宋" w:hAnsi="仿宋" w:eastAsia="仿宋" w:cs="仿宋"/>
          <w:sz w:val="24"/>
          <w:szCs w:val="24"/>
        </w:rPr>
        <w:t>截止时间的情况时，供应商则须按采购人的变更公告通知重新规定的</w:t>
      </w:r>
      <w:r>
        <w:rPr>
          <w:rFonts w:hint="eastAsia" w:ascii="仿宋" w:hAnsi="仿宋" w:eastAsia="仿宋" w:cs="仿宋"/>
          <w:sz w:val="24"/>
          <w:szCs w:val="24"/>
          <w:lang w:eastAsia="zh-CN"/>
        </w:rPr>
        <w:t>磋商</w:t>
      </w:r>
      <w:r>
        <w:rPr>
          <w:rFonts w:hint="eastAsia" w:ascii="仿宋" w:hAnsi="仿宋" w:eastAsia="仿宋" w:cs="仿宋"/>
          <w:sz w:val="24"/>
          <w:szCs w:val="24"/>
        </w:rPr>
        <w:t>时间递交。</w:t>
      </w:r>
    </w:p>
    <w:p w14:paraId="5BB9AF2D">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w:t>
      </w:r>
      <w:r>
        <w:rPr>
          <w:rFonts w:hint="eastAsia" w:ascii="仿宋" w:hAnsi="仿宋" w:eastAsia="仿宋" w:cs="仿宋"/>
          <w:b/>
          <w:sz w:val="24"/>
          <w:szCs w:val="24"/>
          <w:lang w:val="en-US" w:eastAsia="zh-CN"/>
        </w:rPr>
        <w:t>9.</w:t>
      </w:r>
      <w:r>
        <w:rPr>
          <w:rFonts w:hint="eastAsia" w:ascii="仿宋" w:hAnsi="仿宋" w:eastAsia="仿宋" w:cs="仿宋"/>
          <w:b/>
          <w:sz w:val="24"/>
          <w:szCs w:val="24"/>
        </w:rPr>
        <w:t>响应文件的修改和撤销</w:t>
      </w:r>
    </w:p>
    <w:p w14:paraId="083549F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9</w:t>
      </w:r>
      <w:r>
        <w:rPr>
          <w:rFonts w:hint="eastAsia" w:ascii="仿宋" w:hAnsi="仿宋" w:eastAsia="仿宋" w:cs="仿宋"/>
          <w:sz w:val="24"/>
          <w:szCs w:val="24"/>
        </w:rPr>
        <w:t>.1响应文件上传成功后，在</w:t>
      </w:r>
      <w:r>
        <w:rPr>
          <w:rFonts w:hint="eastAsia" w:ascii="仿宋" w:hAnsi="仿宋" w:eastAsia="仿宋" w:cs="仿宋"/>
          <w:sz w:val="24"/>
          <w:szCs w:val="24"/>
          <w:lang w:eastAsia="zh-CN"/>
        </w:rPr>
        <w:t>磋商</w:t>
      </w:r>
      <w:r>
        <w:rPr>
          <w:rFonts w:hint="eastAsia" w:ascii="仿宋" w:hAnsi="仿宋" w:eastAsia="仿宋" w:cs="仿宋"/>
          <w:sz w:val="24"/>
          <w:szCs w:val="24"/>
        </w:rPr>
        <w:t>截止时间前，供应商可撤回响应文件，修改内容。</w:t>
      </w:r>
    </w:p>
    <w:p w14:paraId="7044A82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操作路径：登录政采云平台-【项目采购】-【响应文件上传】</w:t>
      </w:r>
    </w:p>
    <w:p w14:paraId="1140575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具体操作：在进行中标签页下，选择状态为已上传，在操作栏点击[撤回]按钮进行撤回；也可点击[查看]按钮，点击页面右上角的[撤回]按钮进行撤回。</w:t>
      </w:r>
    </w:p>
    <w:p w14:paraId="628E3E5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9</w:t>
      </w:r>
      <w:r>
        <w:rPr>
          <w:rFonts w:hint="eastAsia" w:ascii="仿宋" w:hAnsi="仿宋" w:eastAsia="仿宋" w:cs="仿宋"/>
          <w:sz w:val="24"/>
          <w:szCs w:val="24"/>
        </w:rPr>
        <w:t>.2供应商不得在开标后至</w:t>
      </w:r>
      <w:r>
        <w:rPr>
          <w:rFonts w:hint="eastAsia" w:ascii="仿宋" w:hAnsi="仿宋" w:eastAsia="仿宋" w:cs="仿宋"/>
          <w:sz w:val="24"/>
          <w:szCs w:val="24"/>
          <w:lang w:eastAsia="zh-CN"/>
        </w:rPr>
        <w:t>磋商</w:t>
      </w:r>
      <w:r>
        <w:rPr>
          <w:rFonts w:hint="eastAsia" w:ascii="仿宋" w:hAnsi="仿宋" w:eastAsia="仿宋" w:cs="仿宋"/>
          <w:sz w:val="24"/>
          <w:szCs w:val="24"/>
        </w:rPr>
        <w:t>有效期期满前撤销响应文件。否则采购人将没收其</w:t>
      </w:r>
      <w:r>
        <w:rPr>
          <w:rFonts w:hint="eastAsia" w:ascii="仿宋" w:hAnsi="仿宋" w:eastAsia="仿宋" w:cs="仿宋"/>
          <w:sz w:val="24"/>
          <w:szCs w:val="24"/>
          <w:lang w:eastAsia="zh-CN"/>
        </w:rPr>
        <w:t>磋商</w:t>
      </w:r>
      <w:r>
        <w:rPr>
          <w:rFonts w:hint="eastAsia" w:ascii="仿宋" w:hAnsi="仿宋" w:eastAsia="仿宋" w:cs="仿宋"/>
          <w:sz w:val="24"/>
          <w:szCs w:val="24"/>
        </w:rPr>
        <w:t>保证金。</w:t>
      </w:r>
    </w:p>
    <w:p w14:paraId="2D11D19C">
      <w:pPr>
        <w:spacing w:line="360" w:lineRule="auto"/>
        <w:ind w:firstLine="482" w:firstLineChars="200"/>
        <w:jc w:val="center"/>
        <w:rPr>
          <w:rFonts w:hint="eastAsia" w:ascii="仿宋" w:hAnsi="仿宋" w:eastAsia="仿宋" w:cs="仿宋"/>
          <w:b/>
          <w:sz w:val="24"/>
          <w:szCs w:val="24"/>
        </w:rPr>
      </w:pPr>
      <w:r>
        <w:rPr>
          <w:rFonts w:hint="eastAsia" w:ascii="仿宋" w:hAnsi="仿宋" w:eastAsia="仿宋" w:cs="仿宋"/>
          <w:b/>
          <w:sz w:val="24"/>
          <w:szCs w:val="24"/>
        </w:rPr>
        <w:t>开标</w:t>
      </w:r>
    </w:p>
    <w:p w14:paraId="1FA71B6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20.</w:t>
      </w:r>
      <w:r>
        <w:rPr>
          <w:rFonts w:hint="eastAsia" w:ascii="仿宋" w:hAnsi="仿宋" w:eastAsia="仿宋" w:cs="仿宋"/>
          <w:sz w:val="24"/>
          <w:szCs w:val="24"/>
        </w:rPr>
        <w:t>本次采购按磋商文件中约定的时间和地点进行。</w:t>
      </w:r>
    </w:p>
    <w:p w14:paraId="78E6525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21.</w:t>
      </w:r>
      <w:r>
        <w:rPr>
          <w:rFonts w:hint="eastAsia" w:ascii="仿宋" w:hAnsi="仿宋" w:eastAsia="仿宋" w:cs="仿宋"/>
          <w:sz w:val="24"/>
          <w:szCs w:val="24"/>
        </w:rPr>
        <w:t>开标时将通过政采云平台“不见面”开标大厅对响应文件完成远程解密，并在解密后进行唱标。唱标以供应商提交的响应文件中“报价一览表”的内容为准，并对唱标内容作以记录。</w:t>
      </w:r>
    </w:p>
    <w:p w14:paraId="40C2A54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若采购人宣读的内容与响应文件不符时，供应商有权在开标现场提出异议，经监督人员当场核查确认之后，可重新宣读其响应文件。若供应商现场未提出异议，则认为供应商已确认采购人宣读的结果。</w:t>
      </w:r>
    </w:p>
    <w:p w14:paraId="0316DC0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开标由代理机构主持，邀请监督部门人员现场全过程监督。</w:t>
      </w:r>
    </w:p>
    <w:p w14:paraId="18C669A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22.</w:t>
      </w:r>
      <w:r>
        <w:rPr>
          <w:rFonts w:hint="eastAsia" w:ascii="仿宋" w:hAnsi="仿宋" w:eastAsia="仿宋" w:cs="仿宋"/>
          <w:sz w:val="24"/>
          <w:szCs w:val="24"/>
        </w:rPr>
        <w:t>开标和唱标的顺序，按照政采云平台上的先后顺序依次进行。</w:t>
      </w:r>
    </w:p>
    <w:p w14:paraId="49466505">
      <w:pPr>
        <w:spacing w:line="360" w:lineRule="auto"/>
        <w:ind w:firstLine="480" w:firstLineChars="200"/>
        <w:jc w:val="left"/>
        <w:rPr>
          <w:rFonts w:hint="eastAsia" w:ascii="仿宋" w:hAnsi="仿宋" w:eastAsia="仿宋" w:cs="仿宋"/>
          <w:bCs/>
          <w:sz w:val="24"/>
          <w:szCs w:val="24"/>
        </w:rPr>
      </w:pPr>
      <w:r>
        <w:rPr>
          <w:rFonts w:hint="eastAsia" w:ascii="仿宋" w:hAnsi="仿宋" w:eastAsia="仿宋" w:cs="仿宋"/>
          <w:sz w:val="24"/>
          <w:szCs w:val="24"/>
          <w:lang w:val="en-US" w:eastAsia="zh-CN"/>
        </w:rPr>
        <w:t>23.</w:t>
      </w:r>
      <w:r>
        <w:rPr>
          <w:rFonts w:hint="eastAsia" w:ascii="仿宋" w:hAnsi="仿宋" w:eastAsia="仿宋" w:cs="仿宋"/>
          <w:bCs/>
          <w:sz w:val="24"/>
          <w:szCs w:val="24"/>
        </w:rPr>
        <w:t>无效的响应文件</w:t>
      </w:r>
    </w:p>
    <w:p w14:paraId="7CA6398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w:t>
      </w:r>
      <w:r>
        <w:rPr>
          <w:rFonts w:hint="eastAsia" w:ascii="仿宋" w:hAnsi="仿宋" w:eastAsia="仿宋" w:cs="仿宋"/>
          <w:sz w:val="24"/>
          <w:szCs w:val="24"/>
        </w:rPr>
        <w:t>开标时响应文件出现下列情形之一的应当作为无效响应文件，不得进入评审：</w:t>
      </w:r>
    </w:p>
    <w:p w14:paraId="49F3214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24.1</w:t>
      </w:r>
      <w:r>
        <w:rPr>
          <w:rFonts w:hint="eastAsia" w:ascii="仿宋" w:hAnsi="仿宋" w:eastAsia="仿宋" w:cs="仿宋"/>
          <w:sz w:val="24"/>
          <w:szCs w:val="24"/>
        </w:rPr>
        <w:t>未在政采云系统进行在线签到的；</w:t>
      </w:r>
    </w:p>
    <w:p w14:paraId="5BCC376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24.2</w:t>
      </w:r>
      <w:r>
        <w:rPr>
          <w:rFonts w:hint="eastAsia" w:ascii="仿宋" w:hAnsi="仿宋" w:eastAsia="仿宋" w:cs="仿宋"/>
          <w:sz w:val="24"/>
          <w:szCs w:val="24"/>
        </w:rPr>
        <w:t>未在30分钟内完成在线解密的；</w:t>
      </w:r>
    </w:p>
    <w:p w14:paraId="232F61C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24.3</w:t>
      </w:r>
      <w:r>
        <w:rPr>
          <w:rFonts w:hint="eastAsia" w:ascii="仿宋" w:hAnsi="仿宋" w:eastAsia="仿宋" w:cs="仿宋"/>
          <w:sz w:val="24"/>
          <w:szCs w:val="24"/>
          <w:highlight w:val="none"/>
        </w:rPr>
        <w:t>唱标结束后30分钟内未完成“开标一览表”在线签章的；</w:t>
      </w:r>
    </w:p>
    <w:p w14:paraId="3AA2033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24.4</w:t>
      </w:r>
      <w:r>
        <w:rPr>
          <w:rFonts w:hint="eastAsia" w:ascii="仿宋" w:hAnsi="仿宋" w:eastAsia="仿宋" w:cs="仿宋"/>
          <w:sz w:val="24"/>
          <w:szCs w:val="24"/>
        </w:rPr>
        <w:t>供应商未按照磋商文件要求提供</w:t>
      </w:r>
      <w:r>
        <w:rPr>
          <w:rFonts w:hint="eastAsia" w:ascii="仿宋" w:hAnsi="仿宋" w:eastAsia="仿宋" w:cs="仿宋"/>
          <w:sz w:val="24"/>
          <w:szCs w:val="24"/>
          <w:lang w:eastAsia="zh-CN"/>
        </w:rPr>
        <w:t>磋商</w:t>
      </w:r>
      <w:r>
        <w:rPr>
          <w:rFonts w:hint="eastAsia" w:ascii="仿宋" w:hAnsi="仿宋" w:eastAsia="仿宋" w:cs="仿宋"/>
          <w:sz w:val="24"/>
          <w:szCs w:val="24"/>
        </w:rPr>
        <w:t>保证金的；</w:t>
      </w:r>
    </w:p>
    <w:p w14:paraId="48E054E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24.5</w:t>
      </w:r>
      <w:r>
        <w:rPr>
          <w:rFonts w:hint="eastAsia" w:ascii="仿宋" w:hAnsi="仿宋" w:eastAsia="仿宋" w:cs="仿宋"/>
          <w:sz w:val="24"/>
          <w:szCs w:val="24"/>
        </w:rPr>
        <w:t>有效证件不齐全的供应商的响应文件。</w:t>
      </w:r>
    </w:p>
    <w:p w14:paraId="47E28753">
      <w:pPr>
        <w:spacing w:line="360" w:lineRule="auto"/>
        <w:ind w:firstLine="482" w:firstLineChars="200"/>
        <w:jc w:val="center"/>
        <w:rPr>
          <w:rFonts w:hint="eastAsia" w:ascii="仿宋" w:hAnsi="仿宋" w:eastAsia="仿宋" w:cs="仿宋"/>
          <w:b/>
          <w:sz w:val="24"/>
          <w:szCs w:val="24"/>
        </w:rPr>
      </w:pPr>
      <w:r>
        <w:rPr>
          <w:rFonts w:hint="eastAsia" w:ascii="仿宋" w:hAnsi="仿宋" w:eastAsia="仿宋" w:cs="仿宋"/>
          <w:b/>
          <w:sz w:val="24"/>
          <w:szCs w:val="24"/>
        </w:rPr>
        <w:t>评 审</w:t>
      </w:r>
    </w:p>
    <w:p w14:paraId="5C01E343">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25.</w:t>
      </w:r>
      <w:r>
        <w:rPr>
          <w:rFonts w:hint="eastAsia" w:ascii="仿宋" w:hAnsi="仿宋" w:eastAsia="仿宋" w:cs="仿宋"/>
          <w:b/>
          <w:sz w:val="24"/>
          <w:szCs w:val="24"/>
        </w:rPr>
        <w:t>评审过程的保密性</w:t>
      </w:r>
    </w:p>
    <w:p w14:paraId="557CA315">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25</w:t>
      </w:r>
      <w:r>
        <w:rPr>
          <w:rFonts w:hint="eastAsia" w:ascii="仿宋" w:hAnsi="仿宋" w:eastAsia="仿宋" w:cs="仿宋"/>
          <w:spacing w:val="-2"/>
          <w:sz w:val="24"/>
          <w:szCs w:val="24"/>
        </w:rPr>
        <w:t>.1开标后直到授予供应商签订合同为止，凡是属于审查、澄清、评价和比较的有关资料以及授标建议等内容，</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成员或参与评审的有关工作人员均不得向供应商或其他无关的人员透露，违者给予警告、取消担任</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成员的资格。</w:t>
      </w:r>
    </w:p>
    <w:p w14:paraId="0A01454F">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25</w:t>
      </w:r>
      <w:r>
        <w:rPr>
          <w:rFonts w:hint="eastAsia" w:ascii="仿宋" w:hAnsi="仿宋" w:eastAsia="仿宋" w:cs="仿宋"/>
          <w:spacing w:val="-2"/>
          <w:sz w:val="24"/>
          <w:szCs w:val="24"/>
        </w:rPr>
        <w:t>.2 供应商在评审过程中，所进行的力图影响评审结果的以及不符合《中华人民共和国政府采购法》以及本次招标的有关规定的活动，将被取消其中标资格。</w:t>
      </w:r>
    </w:p>
    <w:p w14:paraId="24B0F9B4">
      <w:pPr>
        <w:spacing w:line="360" w:lineRule="auto"/>
        <w:ind w:firstLine="482" w:firstLineChars="200"/>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26.</w:t>
      </w:r>
      <w:r>
        <w:rPr>
          <w:rFonts w:hint="eastAsia" w:ascii="仿宋" w:hAnsi="仿宋" w:eastAsia="仿宋" w:cs="仿宋"/>
          <w:b/>
          <w:sz w:val="24"/>
          <w:szCs w:val="24"/>
          <w:lang w:eastAsia="zh-CN"/>
        </w:rPr>
        <w:t>磋商小组</w:t>
      </w:r>
    </w:p>
    <w:p w14:paraId="578E6654">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.1采购人将根据《中华人民共和国政府采购法》的规定，依法组建本次招标的</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，负责本次采购项目的评审活动。</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负责向采购人推荐</w:t>
      </w:r>
      <w:r>
        <w:rPr>
          <w:rFonts w:hint="eastAsia" w:ascii="仿宋" w:hAnsi="仿宋" w:eastAsia="仿宋" w:cs="仿宋"/>
          <w:spacing w:val="-2"/>
          <w:sz w:val="24"/>
          <w:szCs w:val="24"/>
          <w:lang w:val="en-US" w:eastAsia="zh-CN"/>
        </w:rPr>
        <w:t>成交</w:t>
      </w:r>
      <w:r>
        <w:rPr>
          <w:rFonts w:hint="eastAsia" w:ascii="仿宋" w:hAnsi="仿宋" w:eastAsia="仿宋" w:cs="仿宋"/>
          <w:spacing w:val="-2"/>
          <w:sz w:val="24"/>
          <w:szCs w:val="24"/>
        </w:rPr>
        <w:t>候选人或者根据采购人的授权直接确定</w:t>
      </w:r>
      <w:r>
        <w:rPr>
          <w:rFonts w:hint="eastAsia" w:ascii="仿宋" w:hAnsi="仿宋" w:eastAsia="仿宋" w:cs="仿宋"/>
          <w:spacing w:val="-2"/>
          <w:sz w:val="24"/>
          <w:szCs w:val="24"/>
          <w:lang w:val="en-US" w:eastAsia="zh-CN"/>
        </w:rPr>
        <w:t>成交供应商</w:t>
      </w:r>
      <w:r>
        <w:rPr>
          <w:rFonts w:hint="eastAsia" w:ascii="仿宋" w:hAnsi="仿宋" w:eastAsia="仿宋" w:cs="仿宋"/>
          <w:spacing w:val="-2"/>
          <w:sz w:val="24"/>
          <w:szCs w:val="24"/>
        </w:rPr>
        <w:t>。</w:t>
      </w:r>
    </w:p>
    <w:p w14:paraId="72DD7FE1">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成员名单于开标前确定。</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成员名单在</w:t>
      </w:r>
      <w:r>
        <w:rPr>
          <w:rFonts w:hint="eastAsia" w:ascii="仿宋" w:hAnsi="仿宋" w:eastAsia="仿宋" w:cs="仿宋"/>
          <w:spacing w:val="-2"/>
          <w:sz w:val="24"/>
          <w:szCs w:val="24"/>
          <w:lang w:eastAsia="zh-CN"/>
        </w:rPr>
        <w:t>成交结果</w:t>
      </w:r>
      <w:r>
        <w:rPr>
          <w:rFonts w:hint="eastAsia" w:ascii="仿宋" w:hAnsi="仿宋" w:eastAsia="仿宋" w:cs="仿宋"/>
          <w:spacing w:val="-2"/>
          <w:sz w:val="24"/>
          <w:szCs w:val="24"/>
        </w:rPr>
        <w:t>确定前保密。</w:t>
      </w:r>
    </w:p>
    <w:p w14:paraId="0D021F61">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由采购人或熟悉相关业务的代表以及有关技术、经济等方面的人员组成，成员为三人及以上的单数，其中技术、经济等方面的成员不少于成员总数的三分之二。</w:t>
      </w:r>
    </w:p>
    <w:p w14:paraId="06C1EB92">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.4按前款规定，</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的成员，由采购人采取随机抽取的方式确定或者直接确定的方式。</w:t>
      </w:r>
    </w:p>
    <w:p w14:paraId="6302B7F2">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.5评审专家</w:t>
      </w:r>
      <w:r>
        <w:rPr>
          <w:rFonts w:hint="eastAsia" w:ascii="仿宋" w:hAnsi="仿宋" w:eastAsia="仿宋" w:cs="仿宋"/>
          <w:spacing w:val="-2"/>
          <w:sz w:val="24"/>
          <w:szCs w:val="24"/>
          <w:lang w:eastAsia="zh-CN"/>
        </w:rPr>
        <w:t>（</w:t>
      </w:r>
      <w:r>
        <w:rPr>
          <w:rFonts w:hint="eastAsia" w:ascii="仿宋" w:hAnsi="仿宋" w:eastAsia="仿宋" w:cs="仿宋"/>
          <w:spacing w:val="-2"/>
          <w:sz w:val="24"/>
          <w:szCs w:val="24"/>
          <w:lang w:val="en-US" w:eastAsia="zh-CN"/>
        </w:rPr>
        <w:t>磋商小组专家成员</w:t>
      </w:r>
      <w:r>
        <w:rPr>
          <w:rFonts w:hint="eastAsia" w:ascii="仿宋" w:hAnsi="仿宋" w:eastAsia="仿宋" w:cs="仿宋"/>
          <w:spacing w:val="-2"/>
          <w:sz w:val="24"/>
          <w:szCs w:val="24"/>
          <w:lang w:eastAsia="zh-CN"/>
        </w:rPr>
        <w:t>）</w:t>
      </w:r>
      <w:r>
        <w:rPr>
          <w:rFonts w:hint="eastAsia" w:ascii="仿宋" w:hAnsi="仿宋" w:eastAsia="仿宋" w:cs="仿宋"/>
          <w:spacing w:val="-2"/>
          <w:sz w:val="24"/>
          <w:szCs w:val="24"/>
        </w:rPr>
        <w:t>应符合下列条件：</w:t>
      </w:r>
    </w:p>
    <w:p w14:paraId="0B1F1E8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1</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具有良好的职业道德，廉洁自律，遵纪守法,无行贿、受贿、欺诈等不良信用记录；</w:t>
      </w:r>
    </w:p>
    <w:p w14:paraId="63E5C7F4">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具有中级专业技术职称或同等专业水平且从事相关领域工作满8年,或者具有高级专业技术职称或同等专业水平；</w:t>
      </w:r>
    </w:p>
    <w:p w14:paraId="593D92ED">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熟悉政府采购相关政策法规；</w:t>
      </w:r>
    </w:p>
    <w:p w14:paraId="4BB2765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4</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承诺以独立身份参加评审工作,依法履行评审专家工作职责并承担相应法律责任的中国公民；</w:t>
      </w:r>
    </w:p>
    <w:p w14:paraId="4D7D1C7C">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5</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身体健康，能够承担评审工作；</w:t>
      </w:r>
    </w:p>
    <w:p w14:paraId="094D8520">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6</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申请成为评审专家前三年内,无《政府采购评审专家管理办法》中规定的不良行为记录。</w:t>
      </w:r>
    </w:p>
    <w:p w14:paraId="44BA2A6C">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有下列情形之一的，不得担任</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成员：</w:t>
      </w:r>
    </w:p>
    <w:p w14:paraId="34F65E9D">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1</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参加采购活动前三年内,与供应商存在劳动关系,或者担任过供应商的董事、监事,或者是供应商的控股股东或实际控制人；</w:t>
      </w:r>
    </w:p>
    <w:p w14:paraId="607C050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与供应商的法定代表人或者负责人有夫妻、直系血亲、三代以内旁系血亲或者近姻亲关系；</w:t>
      </w:r>
    </w:p>
    <w:p w14:paraId="58C568BC">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与供应商有其他可能影响政府采购活动公平、公正进行的关系。</w:t>
      </w:r>
    </w:p>
    <w:p w14:paraId="2F8DF409">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.6</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成员应当客观、公正地履行职责，遵守职业道德，并对所提出的评审意见承担个人责任。</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 xml:space="preserve">成员不得与任何供应商或者与招标结果有利害关系的人员进行私下接触，不得收受供应商、中介人、其他有利害关系人的财物或者其他好处。 </w:t>
      </w:r>
    </w:p>
    <w:p w14:paraId="20F00B81">
      <w:pPr>
        <w:spacing w:line="360" w:lineRule="auto"/>
        <w:ind w:firstLine="472" w:firstLineChars="200"/>
        <w:rPr>
          <w:rFonts w:hint="eastAsia" w:ascii="仿宋" w:hAnsi="仿宋" w:eastAsia="仿宋" w:cs="仿宋"/>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.7</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成员和与本次评审活动有关的工作人员，不得透露对响应文件的评审和比较、</w:t>
      </w:r>
      <w:r>
        <w:rPr>
          <w:rFonts w:hint="eastAsia" w:ascii="仿宋" w:hAnsi="仿宋" w:eastAsia="仿宋" w:cs="仿宋"/>
          <w:spacing w:val="-2"/>
          <w:sz w:val="24"/>
          <w:szCs w:val="24"/>
          <w:lang w:val="en-US" w:eastAsia="zh-CN"/>
        </w:rPr>
        <w:t>成交</w:t>
      </w:r>
      <w:r>
        <w:rPr>
          <w:rFonts w:hint="eastAsia" w:ascii="仿宋" w:hAnsi="仿宋" w:eastAsia="仿宋" w:cs="仿宋"/>
          <w:spacing w:val="-2"/>
          <w:sz w:val="24"/>
          <w:szCs w:val="24"/>
        </w:rPr>
        <w:t>候选人的推荐情况以及与评审有关的其他情况。与评审活动有关的工作人员，是指</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成员以外的、因参与评审监督工作或者事务性工作而知悉有关评审情况的所有人员。</w:t>
      </w:r>
    </w:p>
    <w:p w14:paraId="1EED98AB">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27.</w:t>
      </w:r>
      <w:r>
        <w:rPr>
          <w:rFonts w:hint="eastAsia" w:ascii="仿宋" w:hAnsi="仿宋" w:eastAsia="仿宋" w:cs="仿宋"/>
          <w:b/>
          <w:sz w:val="24"/>
          <w:szCs w:val="24"/>
        </w:rPr>
        <w:t>评审的准备</w:t>
      </w:r>
    </w:p>
    <w:p w14:paraId="617942E9">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27.</w:t>
      </w:r>
      <w:r>
        <w:rPr>
          <w:rFonts w:hint="eastAsia" w:ascii="仿宋" w:hAnsi="仿宋" w:eastAsia="仿宋" w:cs="仿宋"/>
          <w:spacing w:val="-2"/>
          <w:sz w:val="24"/>
          <w:szCs w:val="24"/>
        </w:rPr>
        <w:t>1</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的成员应当熟悉并认真研究磋商文件，至少应了解和熟悉以下内容：</w:t>
      </w:r>
    </w:p>
    <w:p w14:paraId="1DE305D7">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1</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招标目的。</w:t>
      </w:r>
    </w:p>
    <w:p w14:paraId="62126C34">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招标项目的范围、性质。</w:t>
      </w:r>
    </w:p>
    <w:p w14:paraId="1A0270A5">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磋商文件中规定的主要技术要求、标准和商务条款。</w:t>
      </w:r>
    </w:p>
    <w:p w14:paraId="014BFD95">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4</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磋商文件规定的评审标准、评审方法和在评审过程中应考虑的相关因素。</w:t>
      </w:r>
    </w:p>
    <w:p w14:paraId="7F2675B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27.</w:t>
      </w:r>
      <w:r>
        <w:rPr>
          <w:rFonts w:hint="eastAsia" w:ascii="仿宋" w:hAnsi="仿宋" w:eastAsia="仿宋" w:cs="仿宋"/>
          <w:spacing w:val="-2"/>
          <w:sz w:val="24"/>
          <w:szCs w:val="24"/>
        </w:rPr>
        <w:t>2采购人应当向</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提供评审所需的重要信息和数据。</w:t>
      </w:r>
    </w:p>
    <w:p w14:paraId="6152FF8D">
      <w:pPr>
        <w:spacing w:line="360" w:lineRule="auto"/>
        <w:ind w:firstLine="472" w:firstLineChars="200"/>
        <w:rPr>
          <w:rFonts w:hint="eastAsia" w:ascii="仿宋" w:hAnsi="仿宋" w:eastAsia="仿宋" w:cs="仿宋"/>
          <w:sz w:val="24"/>
          <w:szCs w:val="24"/>
        </w:rPr>
      </w:pPr>
      <w:r>
        <w:rPr>
          <w:rFonts w:hint="eastAsia" w:ascii="仿宋" w:hAnsi="仿宋" w:eastAsia="仿宋" w:cs="仿宋"/>
          <w:spacing w:val="-2"/>
          <w:sz w:val="24"/>
          <w:szCs w:val="24"/>
          <w:lang w:val="en-US" w:eastAsia="zh-CN"/>
        </w:rPr>
        <w:t>27.</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应当根据磋商文件规定的评审标准和方法，对响应文件进行系统地评审和比较。磋商文件中没有规定的标准和方法不得作为评审的依据。</w:t>
      </w:r>
    </w:p>
    <w:p w14:paraId="4C0FD54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28</w:t>
      </w:r>
      <w:r>
        <w:rPr>
          <w:rFonts w:hint="eastAsia" w:ascii="仿宋" w:hAnsi="仿宋" w:eastAsia="仿宋" w:cs="仿宋"/>
          <w:b/>
          <w:sz w:val="24"/>
          <w:szCs w:val="24"/>
        </w:rPr>
        <w:t>.评审依据及评审办法</w:t>
      </w:r>
    </w:p>
    <w:p w14:paraId="58B543E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.1评审依据为磋商文件。</w:t>
      </w:r>
    </w:p>
    <w:p w14:paraId="640AD4F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.2本次采购项目采用综合评分法。</w:t>
      </w:r>
    </w:p>
    <w:p w14:paraId="15A14ED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.3采购人不接受不符合国家有关部门相关规定的</w:t>
      </w:r>
      <w:r>
        <w:rPr>
          <w:rFonts w:hint="eastAsia" w:ascii="仿宋" w:hAnsi="仿宋" w:eastAsia="仿宋" w:cs="仿宋"/>
          <w:sz w:val="24"/>
          <w:szCs w:val="24"/>
          <w:lang w:eastAsia="zh-CN"/>
        </w:rPr>
        <w:t>磋商</w:t>
      </w:r>
      <w:r>
        <w:rPr>
          <w:rFonts w:hint="eastAsia" w:ascii="仿宋" w:hAnsi="仿宋" w:eastAsia="仿宋" w:cs="仿宋"/>
          <w:sz w:val="24"/>
          <w:szCs w:val="24"/>
        </w:rPr>
        <w:t>报价或优惠方案。</w:t>
      </w:r>
    </w:p>
    <w:p w14:paraId="3650D32A">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9</w:t>
      </w:r>
      <w:r>
        <w:rPr>
          <w:rFonts w:hint="eastAsia" w:ascii="仿宋" w:hAnsi="仿宋" w:eastAsia="仿宋" w:cs="仿宋"/>
          <w:b/>
          <w:sz w:val="24"/>
          <w:szCs w:val="24"/>
        </w:rPr>
        <w:t>.评审程序及评审因素</w:t>
      </w:r>
    </w:p>
    <w:p w14:paraId="335BFA57">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9</w:t>
      </w:r>
      <w:r>
        <w:rPr>
          <w:rFonts w:hint="eastAsia" w:ascii="仿宋" w:hAnsi="仿宋" w:eastAsia="仿宋" w:cs="仿宋"/>
          <w:b/>
          <w:sz w:val="24"/>
          <w:szCs w:val="24"/>
        </w:rPr>
        <w:t>.1评审程序</w:t>
      </w:r>
    </w:p>
    <w:p w14:paraId="18F64F90">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成立</w:t>
      </w:r>
      <w:r>
        <w:rPr>
          <w:rFonts w:hint="eastAsia" w:ascii="仿宋" w:hAnsi="仿宋" w:eastAsia="仿宋" w:cs="仿宋"/>
          <w:b/>
          <w:bCs/>
          <w:spacing w:val="-2"/>
          <w:sz w:val="24"/>
          <w:szCs w:val="24"/>
          <w:lang w:val="en-US" w:eastAsia="zh-CN"/>
        </w:rPr>
        <w:t>磋商小组</w:t>
      </w:r>
      <w:r>
        <w:rPr>
          <w:rFonts w:hint="eastAsia" w:ascii="仿宋" w:hAnsi="仿宋" w:eastAsia="仿宋" w:cs="仿宋"/>
          <w:b/>
          <w:sz w:val="24"/>
          <w:szCs w:val="24"/>
        </w:rPr>
        <w:t>→资格审查→初步评审（符合性审查表）→详细评审（商务、技术部分评审及报价得分计算）→推荐成交候选人→完成评审报告。</w:t>
      </w:r>
    </w:p>
    <w:p w14:paraId="190CDCC2">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9</w:t>
      </w:r>
      <w:r>
        <w:rPr>
          <w:rFonts w:hint="eastAsia" w:ascii="仿宋" w:hAnsi="仿宋" w:eastAsia="仿宋" w:cs="仿宋"/>
          <w:b/>
          <w:sz w:val="24"/>
          <w:szCs w:val="24"/>
        </w:rPr>
        <w:t>.2对响应文件的评估和比较</w:t>
      </w:r>
    </w:p>
    <w:p w14:paraId="55AA8C11">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对实质性响应的响应文件进行评估和比较。</w:t>
      </w:r>
    </w:p>
    <w:p w14:paraId="03C2A481">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9</w:t>
      </w:r>
      <w:r>
        <w:rPr>
          <w:rFonts w:hint="eastAsia" w:ascii="仿宋" w:hAnsi="仿宋" w:eastAsia="仿宋" w:cs="仿宋"/>
          <w:b/>
          <w:sz w:val="24"/>
          <w:szCs w:val="24"/>
        </w:rPr>
        <w:t>.3 初步评审</w:t>
      </w:r>
    </w:p>
    <w:p w14:paraId="3CF583A9">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.3.1资格审查未通过的，其响应文件无效。</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对响应文件的有效性、完整性和响应程度进行审查时，可以书面方式要求供应商对响应文件中含义不明确、对同类问题表述不一致或者有明显文字和计算错误的内容作必要的澄清、说明或补正。供应商的澄清、说明或补正应以书面方式进行,并不得超出响应文件的范围或者改变响应文件的实质性内容。响应文件中的大写金额和小写金额不一致的以大写金额为准。</w:t>
      </w:r>
    </w:p>
    <w:p w14:paraId="454A522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.3.2采购方不接受不符合国家有关部门相关规定的</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报价或优惠方案。</w:t>
      </w:r>
    </w:p>
    <w:p w14:paraId="6D40F5BF">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.3.3在评审过程中，</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发现供应商以他人名义</w:t>
      </w:r>
      <w:r>
        <w:rPr>
          <w:rFonts w:hint="eastAsia" w:ascii="仿宋" w:hAnsi="仿宋" w:eastAsia="仿宋" w:cs="仿宋"/>
          <w:spacing w:val="-2"/>
          <w:sz w:val="24"/>
          <w:szCs w:val="24"/>
          <w:lang w:val="en-US" w:eastAsia="zh-CN"/>
        </w:rPr>
        <w:t>投标</w:t>
      </w:r>
      <w:r>
        <w:rPr>
          <w:rFonts w:hint="eastAsia" w:ascii="仿宋" w:hAnsi="仿宋" w:eastAsia="仿宋" w:cs="仿宋"/>
          <w:spacing w:val="-2"/>
          <w:sz w:val="24"/>
          <w:szCs w:val="24"/>
        </w:rPr>
        <w:t>、串通投标、以行贿手段谋取中标或者以其他弄虚作假方式</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的，该供应商的</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将被否决。</w:t>
      </w:r>
    </w:p>
    <w:p w14:paraId="62B58F9E">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.3.4供应商的资格条件不符合国家有关规定和磋商文件要求的，或者拒不按照要求对响应文件进行澄清、说明或补正的，</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可以否决其</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w:t>
      </w:r>
    </w:p>
    <w:p w14:paraId="4207A6F6">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.3.5</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应当审查每一个响应文件是否对磋商文件提出的所有实质性要求和条件做出响应。未能在实质上响应的</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，其</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将被否决。</w:t>
      </w:r>
    </w:p>
    <w:p w14:paraId="10600D20">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.3.6供应商不得误导、干扰采购方的评审活动，否则将废除其</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w:t>
      </w:r>
    </w:p>
    <w:p w14:paraId="35BA5AB0">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20.3.7</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根据上述规定否决不合格</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，因有效</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不足本次评标办法规定数量而使得</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明显缺乏竞争性时，根据《中华人民共和国政府采购法》的相关，将作流标处理。</w:t>
      </w:r>
    </w:p>
    <w:p w14:paraId="43D581C8">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.3.8响应文件的澄清</w:t>
      </w:r>
    </w:p>
    <w:p w14:paraId="3C3AB4E4">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.3.8.1为有助于对响应文件进行审查、评估和比较，采购方组建的</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将对认为需要（不是每一个）的供应商进行询标，请</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澄清其</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内容，</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有责任按照采购方通知的时间、地点指派专人进行答疑和澄清。询标时</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代表应作书面记录，所有澄清的答复必须是书面形式。</w:t>
      </w:r>
    </w:p>
    <w:p w14:paraId="516D26FF">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.3.8.2重要澄清的答复应是书面的，但不得对</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的价格、技术指标和参数等内容进行实质性修改。澄清文件须由</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法定代表人或法人授权代表签章和加盖</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公章并作为响应文件的组成部分。</w:t>
      </w:r>
    </w:p>
    <w:p w14:paraId="3CC3C0C6">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.3.8.3供应商的澄清不得对</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内容进行实质性修改。</w:t>
      </w:r>
    </w:p>
    <w:p w14:paraId="75B48EB4">
      <w:pPr>
        <w:keepNext w:val="0"/>
        <w:keepLines w:val="0"/>
        <w:pageBreakBefore w:val="0"/>
        <w:kinsoku/>
        <w:wordWrap/>
        <w:overflowPunct/>
        <w:topLinePunct w:val="0"/>
        <w:autoSpaceDE/>
        <w:autoSpaceDN/>
        <w:bidi w:val="0"/>
        <w:spacing w:line="360" w:lineRule="auto"/>
        <w:ind w:firstLine="562" w:firstLineChars="200"/>
        <w:jc w:val="center"/>
        <w:textAlignment w:val="auto"/>
        <w:rPr>
          <w:rFonts w:hint="eastAsia" w:ascii="仿宋" w:hAnsi="仿宋" w:eastAsia="仿宋"/>
          <w:b/>
          <w:bCs/>
          <w:sz w:val="28"/>
          <w:szCs w:val="28"/>
          <w:highlight w:val="none"/>
        </w:rPr>
      </w:pPr>
      <w:r>
        <w:rPr>
          <w:rFonts w:hint="eastAsia" w:ascii="仿宋" w:hAnsi="仿宋" w:eastAsia="仿宋"/>
          <w:b/>
          <w:bCs/>
          <w:sz w:val="28"/>
          <w:szCs w:val="28"/>
          <w:highlight w:val="none"/>
        </w:rPr>
        <w:t>资格审查标准</w:t>
      </w:r>
    </w:p>
    <w:tbl>
      <w:tblPr>
        <w:tblStyle w:val="21"/>
        <w:tblW w:w="5220" w:type="pct"/>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4392"/>
        <w:gridCol w:w="5380"/>
      </w:tblGrid>
      <w:tr w14:paraId="39D5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47" w:type="pct"/>
            <w:noWrap w:val="0"/>
            <w:vAlign w:val="center"/>
          </w:tcPr>
          <w:p w14:paraId="2C15615C">
            <w:pPr>
              <w:keepNext w:val="0"/>
              <w:keepLines w:val="0"/>
              <w:pageBreakBefore w:val="0"/>
              <w:kinsoku/>
              <w:wordWrap/>
              <w:overflowPunct/>
              <w:topLinePunct w:val="0"/>
              <w:autoSpaceDE/>
              <w:autoSpaceDN/>
              <w:bidi w:val="0"/>
              <w:snapToGrid w:val="0"/>
              <w:textAlignment w:val="auto"/>
              <w:rPr>
                <w:rFonts w:ascii="仿宋" w:hAnsi="仿宋" w:eastAsia="仿宋" w:cs="仿宋_GB2312"/>
                <w:bCs/>
                <w:sz w:val="21"/>
                <w:szCs w:val="21"/>
                <w:highlight w:val="none"/>
              </w:rPr>
            </w:pPr>
            <w:r>
              <w:rPr>
                <w:rFonts w:hint="eastAsia" w:ascii="仿宋" w:hAnsi="仿宋" w:eastAsia="仿宋" w:cs="仿宋_GB2312"/>
                <w:b/>
                <w:bCs w:val="0"/>
                <w:sz w:val="21"/>
                <w:szCs w:val="21"/>
                <w:highlight w:val="none"/>
              </w:rPr>
              <w:t>序号</w:t>
            </w:r>
          </w:p>
        </w:tc>
        <w:tc>
          <w:tcPr>
            <w:tcW w:w="2136" w:type="pct"/>
            <w:noWrap w:val="0"/>
            <w:vAlign w:val="center"/>
          </w:tcPr>
          <w:p w14:paraId="35EBA312">
            <w:pPr>
              <w:pStyle w:val="54"/>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审查要求</w:t>
            </w:r>
          </w:p>
        </w:tc>
        <w:tc>
          <w:tcPr>
            <w:tcW w:w="2616" w:type="pct"/>
            <w:noWrap w:val="0"/>
            <w:vAlign w:val="center"/>
          </w:tcPr>
          <w:p w14:paraId="0D368084">
            <w:pPr>
              <w:pStyle w:val="54"/>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审查内容和审查标准</w:t>
            </w:r>
          </w:p>
        </w:tc>
      </w:tr>
      <w:tr w14:paraId="646E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47" w:type="pct"/>
            <w:noWrap w:val="0"/>
            <w:vAlign w:val="center"/>
          </w:tcPr>
          <w:p w14:paraId="0407D541">
            <w:pPr>
              <w:snapToGrid w:val="0"/>
              <w:jc w:val="center"/>
              <w:rPr>
                <w:rFonts w:hint="eastAsia" w:ascii="仿宋" w:hAnsi="仿宋" w:eastAsia="仿宋" w:cs="仿宋_GB2312"/>
                <w:sz w:val="21"/>
                <w:szCs w:val="21"/>
                <w:highlight w:val="none"/>
              </w:rPr>
            </w:pPr>
            <w:r>
              <w:rPr>
                <w:rFonts w:hint="eastAsia" w:ascii="仿宋" w:hAnsi="仿宋" w:eastAsia="仿宋" w:cs="仿宋_GB2312"/>
                <w:sz w:val="21"/>
                <w:szCs w:val="21"/>
                <w:highlight w:val="none"/>
              </w:rPr>
              <w:t>1</w:t>
            </w:r>
          </w:p>
        </w:tc>
        <w:tc>
          <w:tcPr>
            <w:tcW w:w="2136" w:type="pct"/>
            <w:noWrap w:val="0"/>
            <w:vAlign w:val="center"/>
          </w:tcPr>
          <w:p w14:paraId="25FE57BA">
            <w:pPr>
              <w:pStyle w:val="54"/>
              <w:adjustRightInd w:val="0"/>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具有独立承担民事责任的能力</w:t>
            </w:r>
          </w:p>
        </w:tc>
        <w:tc>
          <w:tcPr>
            <w:tcW w:w="2616" w:type="pct"/>
            <w:noWrap w:val="0"/>
            <w:vAlign w:val="center"/>
          </w:tcPr>
          <w:p w14:paraId="76BE94B6">
            <w:pPr>
              <w:pStyle w:val="54"/>
              <w:adjustRightInd w:val="0"/>
              <w:snapToGrid w:val="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lang w:val="en-US" w:eastAsia="zh-CN"/>
              </w:rPr>
              <w:t>为企业（包括合伙企业）的，应提供有效的“营业执照”；</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lang w:val="en-US" w:eastAsia="zh-CN"/>
              </w:rPr>
              <w:t>是非企业机构的，应提供有效的“执业许可证”、“登记证书”等证明文件;</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lang w:val="en-US" w:eastAsia="zh-CN"/>
              </w:rPr>
              <w:t>是个体工商户的，应提供有效的“个体工商户营业执照”；</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lang w:val="en-US" w:eastAsia="zh-CN"/>
              </w:rPr>
              <w:t>是自然人的，应提供有效的自然人身份证明。”（上述资料须复印件加盖印章）</w:t>
            </w:r>
          </w:p>
          <w:p w14:paraId="6596F7EC">
            <w:pPr>
              <w:pStyle w:val="54"/>
              <w:adjustRightInd w:val="0"/>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分支机构参加投标的，应提供该分支机构或其所属法人/其他组织的相应证明文件；同时还应提供其所属法人/其他组织出具的授权其参与本项目的授权书（格式自拟，须加盖其所属法人/其他组织的印章）；对于银行、保险、石油石化、电力、电信等行业的分支机构，可以提供上述授权，也可以提供其所属法人/其他组织的有关文件或制度等能够证明授权其独立开展业务的证明材料。</w:t>
            </w:r>
          </w:p>
        </w:tc>
      </w:tr>
      <w:tr w14:paraId="51AB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47" w:type="pct"/>
            <w:noWrap w:val="0"/>
            <w:vAlign w:val="center"/>
          </w:tcPr>
          <w:p w14:paraId="227A094D">
            <w:pPr>
              <w:snapToGrid w:val="0"/>
              <w:jc w:val="center"/>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2</w:t>
            </w:r>
          </w:p>
        </w:tc>
        <w:tc>
          <w:tcPr>
            <w:tcW w:w="2136" w:type="pct"/>
            <w:noWrap w:val="0"/>
            <w:vAlign w:val="center"/>
          </w:tcPr>
          <w:p w14:paraId="52C4FAD9">
            <w:pPr>
              <w:pStyle w:val="54"/>
              <w:adjustRightInd w:val="0"/>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具有良好的商业信誉和健全的财务会计制度</w:t>
            </w:r>
          </w:p>
        </w:tc>
        <w:tc>
          <w:tcPr>
            <w:tcW w:w="2616" w:type="pct"/>
            <w:noWrap w:val="0"/>
            <w:vAlign w:val="center"/>
          </w:tcPr>
          <w:p w14:paraId="3DECBC24">
            <w:pPr>
              <w:pStyle w:val="54"/>
              <w:adjustRightInd w:val="0"/>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须提供本单位上一年度（2024年度或</w:t>
            </w:r>
            <w:r>
              <w:rPr>
                <w:rFonts w:hint="eastAsia" w:ascii="仿宋" w:hAnsi="仿宋" w:eastAsia="仿宋" w:cs="仿宋"/>
                <w:sz w:val="21"/>
                <w:szCs w:val="21"/>
                <w:highlight w:val="none"/>
                <w:lang w:val="en-US" w:eastAsia="zh-CN"/>
              </w:rPr>
              <w:t>2025年度</w:t>
            </w:r>
            <w:r>
              <w:rPr>
                <w:rFonts w:hint="eastAsia" w:ascii="仿宋" w:hAnsi="仿宋" w:eastAsia="仿宋" w:cs="仿宋"/>
                <w:sz w:val="21"/>
                <w:szCs w:val="21"/>
                <w:highlight w:val="none"/>
                <w:lang w:eastAsia="zh-CN"/>
              </w:rPr>
              <w:t>）由会计师事务所出具的财务审计报告或财务报表（财务报表至少包含资产负债表、利润表、现金流量表或财务状况变动表等）或提供开标日前三个月内银行出具的资信证明；（供应商成立不足一年的提供截止开标前近3个月</w:t>
            </w:r>
            <w:r>
              <w:rPr>
                <w:rFonts w:hint="eastAsia" w:ascii="仿宋" w:hAnsi="仿宋" w:eastAsia="仿宋" w:cs="仿宋"/>
                <w:sz w:val="21"/>
                <w:szCs w:val="21"/>
                <w:highlight w:val="none"/>
                <w:lang w:val="en-US" w:eastAsia="zh-CN"/>
              </w:rPr>
              <w:t>任意一个月</w:t>
            </w:r>
            <w:r>
              <w:rPr>
                <w:rFonts w:hint="eastAsia" w:ascii="仿宋" w:hAnsi="仿宋" w:eastAsia="仿宋" w:cs="仿宋"/>
                <w:sz w:val="21"/>
                <w:szCs w:val="21"/>
                <w:highlight w:val="none"/>
                <w:lang w:eastAsia="zh-CN"/>
              </w:rPr>
              <w:t>的财务报表和截止开标前近1个月基本开户银行出具的资信证明；另：部分其他组织或自然人，没有经审计的财务报告，应当提供截止开标前近3个月的银行出具的资信证明。）；</w:t>
            </w:r>
          </w:p>
        </w:tc>
      </w:tr>
      <w:tr w14:paraId="20CBC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47" w:type="pct"/>
            <w:noWrap w:val="0"/>
            <w:vAlign w:val="center"/>
          </w:tcPr>
          <w:p w14:paraId="435696DB">
            <w:pPr>
              <w:snapToGrid w:val="0"/>
              <w:jc w:val="center"/>
              <w:rPr>
                <w:rFonts w:hint="eastAsia" w:ascii="仿宋" w:hAnsi="仿宋" w:eastAsia="仿宋" w:cs="仿宋_GB2312"/>
                <w:sz w:val="21"/>
                <w:szCs w:val="21"/>
                <w:highlight w:val="none"/>
                <w:lang w:eastAsia="zh-CN"/>
              </w:rPr>
            </w:pPr>
            <w:r>
              <w:rPr>
                <w:rFonts w:hint="eastAsia" w:ascii="仿宋" w:hAnsi="仿宋" w:eastAsia="仿宋" w:cs="仿宋_GB2312"/>
                <w:sz w:val="21"/>
                <w:szCs w:val="21"/>
                <w:highlight w:val="none"/>
                <w:lang w:val="en-US" w:eastAsia="zh-CN"/>
              </w:rPr>
              <w:t>3</w:t>
            </w:r>
          </w:p>
        </w:tc>
        <w:tc>
          <w:tcPr>
            <w:tcW w:w="2136" w:type="pct"/>
            <w:noWrap w:val="0"/>
            <w:vAlign w:val="center"/>
          </w:tcPr>
          <w:p w14:paraId="1BF0D64B">
            <w:pPr>
              <w:pStyle w:val="54"/>
              <w:adjustRightInd w:val="0"/>
              <w:snapToGrid w:val="0"/>
              <w:jc w:val="center"/>
              <w:rPr>
                <w:rFonts w:hint="eastAsia" w:ascii="仿宋" w:hAnsi="仿宋" w:eastAsia="仿宋" w:cs="宋体"/>
                <w:sz w:val="21"/>
                <w:szCs w:val="21"/>
                <w:highlight w:val="none"/>
              </w:rPr>
            </w:pPr>
            <w:r>
              <w:rPr>
                <w:rFonts w:hint="eastAsia" w:ascii="仿宋" w:hAnsi="仿宋" w:eastAsia="仿宋" w:cs="宋体"/>
                <w:sz w:val="21"/>
                <w:szCs w:val="21"/>
                <w:highlight w:val="none"/>
              </w:rPr>
              <w:t>具有履行合同所必需的设备和专业技术能力</w:t>
            </w:r>
          </w:p>
        </w:tc>
        <w:tc>
          <w:tcPr>
            <w:tcW w:w="2616" w:type="pct"/>
            <w:noWrap w:val="0"/>
            <w:vAlign w:val="center"/>
          </w:tcPr>
          <w:p w14:paraId="4346BDAB">
            <w:pPr>
              <w:pStyle w:val="54"/>
              <w:adjustRightInd w:val="0"/>
              <w:snapToGrid w:val="0"/>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须提供具备履行合同所必需的设备和专业技术能力的证明材料或承诺书；</w:t>
            </w:r>
          </w:p>
        </w:tc>
      </w:tr>
      <w:tr w14:paraId="77BF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47" w:type="pct"/>
            <w:noWrap w:val="0"/>
            <w:vAlign w:val="center"/>
          </w:tcPr>
          <w:p w14:paraId="531C2B67">
            <w:pPr>
              <w:snapToGrid w:val="0"/>
              <w:jc w:val="center"/>
              <w:rPr>
                <w:rFonts w:hint="eastAsia" w:ascii="仿宋" w:hAnsi="仿宋" w:eastAsia="仿宋" w:cs="仿宋_GB2312"/>
                <w:sz w:val="21"/>
                <w:szCs w:val="21"/>
                <w:highlight w:val="none"/>
                <w:lang w:eastAsia="zh-CN"/>
              </w:rPr>
            </w:pPr>
            <w:r>
              <w:rPr>
                <w:rFonts w:hint="eastAsia" w:ascii="仿宋" w:hAnsi="仿宋" w:eastAsia="仿宋" w:cs="仿宋_GB2312"/>
                <w:sz w:val="21"/>
                <w:szCs w:val="21"/>
                <w:highlight w:val="none"/>
                <w:lang w:val="en-US" w:eastAsia="zh-CN"/>
              </w:rPr>
              <w:t>4</w:t>
            </w:r>
          </w:p>
        </w:tc>
        <w:tc>
          <w:tcPr>
            <w:tcW w:w="2136" w:type="pct"/>
            <w:noWrap w:val="0"/>
            <w:vAlign w:val="center"/>
          </w:tcPr>
          <w:p w14:paraId="6E4D124A">
            <w:pPr>
              <w:pStyle w:val="20"/>
              <w:widowControl/>
              <w:adjustRightInd w:val="0"/>
              <w:snapToGrid w:val="0"/>
              <w:spacing w:before="0" w:beforeAutospacing="0" w:after="0" w:afterAutospacing="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有依法缴纳税收和依法缴纳社会保障资金的记录</w:t>
            </w:r>
          </w:p>
        </w:tc>
        <w:tc>
          <w:tcPr>
            <w:tcW w:w="2616" w:type="pct"/>
            <w:noWrap w:val="0"/>
            <w:vAlign w:val="center"/>
          </w:tcPr>
          <w:p w14:paraId="225058A6">
            <w:pPr>
              <w:pStyle w:val="20"/>
              <w:widowControl/>
              <w:adjustRightInd w:val="0"/>
              <w:snapToGrid w:val="0"/>
              <w:spacing w:before="0" w:beforeAutospacing="0" w:after="0" w:afterAutospacing="0"/>
              <w:jc w:val="both"/>
              <w:rPr>
                <w:rFonts w:hint="eastAsia" w:ascii="仿宋" w:hAnsi="仿宋" w:eastAsia="仿宋" w:cs="宋体"/>
                <w:color w:val="000000"/>
                <w:sz w:val="21"/>
                <w:szCs w:val="21"/>
                <w:highlight w:val="none"/>
                <w:lang w:eastAsia="zh-CN"/>
              </w:rPr>
            </w:pPr>
            <w:r>
              <w:rPr>
                <w:rFonts w:hint="eastAsia" w:ascii="仿宋" w:hAnsi="仿宋" w:eastAsia="仿宋" w:cs="仿宋"/>
                <w:sz w:val="21"/>
                <w:szCs w:val="21"/>
                <w:highlight w:val="none"/>
              </w:rPr>
              <w:t>须提供响应文件递交截止日期之前6个月内任意一个月的完税证明及缴纳社保记录；</w:t>
            </w:r>
            <w:r>
              <w:rPr>
                <w:rFonts w:hint="eastAsia" w:ascii="仿宋" w:hAnsi="仿宋" w:eastAsia="仿宋" w:cs="仿宋"/>
                <w:color w:val="000000"/>
                <w:sz w:val="21"/>
                <w:szCs w:val="21"/>
                <w:highlight w:val="none"/>
                <w:lang w:eastAsia="zh-CN"/>
              </w:rPr>
              <w:t>（</w:t>
            </w:r>
            <w:r>
              <w:rPr>
                <w:rFonts w:hint="eastAsia" w:ascii="仿宋" w:hAnsi="仿宋" w:eastAsia="仿宋" w:cs="仿宋"/>
                <w:sz w:val="21"/>
                <w:szCs w:val="21"/>
                <w:highlight w:val="none"/>
              </w:rPr>
              <w:t>依法免税、依法不需要缴纳社会保障资金的应提供相应文件说明</w:t>
            </w:r>
            <w:r>
              <w:rPr>
                <w:rFonts w:hint="eastAsia" w:ascii="仿宋" w:hAnsi="仿宋" w:eastAsia="仿宋" w:cs="仿宋"/>
                <w:color w:val="000000"/>
                <w:sz w:val="21"/>
                <w:szCs w:val="21"/>
                <w:highlight w:val="none"/>
                <w:lang w:eastAsia="zh-CN"/>
              </w:rPr>
              <w:t>）</w:t>
            </w:r>
          </w:p>
        </w:tc>
      </w:tr>
      <w:tr w14:paraId="1077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47" w:type="pct"/>
            <w:noWrap w:val="0"/>
            <w:vAlign w:val="center"/>
          </w:tcPr>
          <w:p w14:paraId="13894A15">
            <w:pPr>
              <w:snapToGrid w:val="0"/>
              <w:jc w:val="center"/>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5</w:t>
            </w:r>
          </w:p>
        </w:tc>
        <w:tc>
          <w:tcPr>
            <w:tcW w:w="2136" w:type="pct"/>
            <w:noWrap w:val="0"/>
            <w:vAlign w:val="center"/>
          </w:tcPr>
          <w:p w14:paraId="6193CF24">
            <w:pPr>
              <w:pStyle w:val="20"/>
              <w:widowControl/>
              <w:adjustRightInd w:val="0"/>
              <w:snapToGrid w:val="0"/>
              <w:spacing w:before="0" w:beforeAutospacing="0" w:after="0" w:afterAutospacing="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参加政府采购活动前三年内，在经营活动中没有重大违法记录</w:t>
            </w:r>
          </w:p>
        </w:tc>
        <w:tc>
          <w:tcPr>
            <w:tcW w:w="2616" w:type="pct"/>
            <w:noWrap w:val="0"/>
            <w:vAlign w:val="center"/>
          </w:tcPr>
          <w:p w14:paraId="7426A764">
            <w:pPr>
              <w:pStyle w:val="20"/>
              <w:widowControl/>
              <w:adjustRightInd w:val="0"/>
              <w:snapToGrid w:val="0"/>
              <w:spacing w:before="0" w:beforeAutospacing="0" w:after="0" w:afterAutospacing="0"/>
              <w:jc w:val="both"/>
              <w:rPr>
                <w:rFonts w:hint="eastAsia" w:ascii="仿宋" w:hAnsi="仿宋" w:eastAsia="仿宋" w:cs="宋体"/>
                <w:color w:val="000000"/>
                <w:sz w:val="21"/>
                <w:szCs w:val="21"/>
                <w:highlight w:val="none"/>
                <w:lang w:eastAsia="zh-CN"/>
              </w:rPr>
            </w:pPr>
            <w:r>
              <w:rPr>
                <w:rFonts w:hint="eastAsia" w:ascii="仿宋" w:hAnsi="仿宋" w:eastAsia="仿宋" w:cs="仿宋"/>
                <w:sz w:val="21"/>
                <w:szCs w:val="21"/>
                <w:highlight w:val="none"/>
                <w:lang w:eastAsia="zh-CN"/>
              </w:rPr>
              <w:t>须提供供应商</w:t>
            </w:r>
            <w:r>
              <w:rPr>
                <w:rFonts w:hint="eastAsia" w:ascii="仿宋" w:hAnsi="仿宋" w:eastAsia="仿宋" w:cs="仿宋"/>
                <w:sz w:val="21"/>
                <w:szCs w:val="21"/>
                <w:highlight w:val="none"/>
              </w:rPr>
              <w:t>声明函</w:t>
            </w:r>
            <w:r>
              <w:rPr>
                <w:rFonts w:hint="eastAsia" w:ascii="仿宋" w:hAnsi="仿宋" w:eastAsia="仿宋" w:cs="仿宋"/>
                <w:sz w:val="21"/>
                <w:szCs w:val="21"/>
                <w:highlight w:val="none"/>
                <w:lang w:eastAsia="zh-CN"/>
              </w:rPr>
              <w:t>原件扫描件</w:t>
            </w:r>
          </w:p>
        </w:tc>
      </w:tr>
      <w:tr w14:paraId="6DA9D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47" w:type="pct"/>
            <w:noWrap w:val="0"/>
            <w:vAlign w:val="center"/>
          </w:tcPr>
          <w:p w14:paraId="31F98247">
            <w:pPr>
              <w:snapToGrid w:val="0"/>
              <w:jc w:val="center"/>
              <w:rPr>
                <w:rFonts w:hint="default"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6</w:t>
            </w:r>
          </w:p>
        </w:tc>
        <w:tc>
          <w:tcPr>
            <w:tcW w:w="2136" w:type="pct"/>
            <w:noWrap w:val="0"/>
            <w:vAlign w:val="center"/>
          </w:tcPr>
          <w:p w14:paraId="6B96A8D4">
            <w:pPr>
              <w:pStyle w:val="54"/>
              <w:widowControl/>
              <w:adjustRightInd w:val="0"/>
              <w:snapToGrid w:val="0"/>
              <w:spacing w:before="0" w:beforeAutospacing="0" w:after="0" w:afterAutospacing="0"/>
              <w:jc w:val="center"/>
              <w:rPr>
                <w:rFonts w:hint="eastAsia" w:ascii="仿宋" w:hAnsi="仿宋" w:eastAsia="仿宋" w:cs="仿宋"/>
                <w:sz w:val="21"/>
                <w:szCs w:val="21"/>
                <w:highlight w:val="none"/>
              </w:rPr>
            </w:pPr>
            <w:r>
              <w:rPr>
                <w:rFonts w:hint="eastAsia" w:ascii="仿宋" w:hAnsi="仿宋" w:eastAsia="仿宋" w:cs="仿宋"/>
                <w:color w:val="000000"/>
                <w:kern w:val="0"/>
                <w:sz w:val="21"/>
                <w:szCs w:val="21"/>
                <w:highlight w:val="none"/>
                <w:lang w:val="en-US" w:eastAsia="zh-CN" w:bidi="ar-SA"/>
              </w:rPr>
              <w:t>法律、行政法规规定的其他条件</w:t>
            </w:r>
          </w:p>
        </w:tc>
        <w:tc>
          <w:tcPr>
            <w:tcW w:w="2616" w:type="pct"/>
            <w:noWrap w:val="0"/>
            <w:vAlign w:val="center"/>
          </w:tcPr>
          <w:p w14:paraId="6B3861CD">
            <w:pPr>
              <w:pStyle w:val="54"/>
              <w:widowControl/>
              <w:adjustRightInd w:val="0"/>
              <w:snapToGrid w:val="0"/>
              <w:spacing w:before="0" w:beforeAutospacing="0" w:after="0" w:afterAutospacing="0"/>
              <w:jc w:val="left"/>
              <w:rPr>
                <w:rFonts w:hint="eastAsia" w:ascii="仿宋" w:hAnsi="仿宋" w:eastAsia="仿宋" w:cs="仿宋"/>
                <w:sz w:val="21"/>
                <w:szCs w:val="21"/>
                <w:highlight w:val="none"/>
                <w:lang w:eastAsia="zh-CN"/>
              </w:rPr>
            </w:pPr>
            <w:r>
              <w:rPr>
                <w:rFonts w:hint="eastAsia" w:ascii="仿宋" w:hAnsi="仿宋" w:eastAsia="仿宋" w:cs="仿宋"/>
                <w:color w:val="000000"/>
                <w:kern w:val="0"/>
                <w:sz w:val="21"/>
                <w:szCs w:val="21"/>
                <w:highlight w:val="none"/>
                <w:lang w:val="en-US" w:eastAsia="zh-CN" w:bidi="ar-SA"/>
              </w:rPr>
              <w:t>提供承诺函</w:t>
            </w:r>
          </w:p>
        </w:tc>
      </w:tr>
      <w:tr w14:paraId="6D929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47" w:type="pct"/>
            <w:noWrap w:val="0"/>
            <w:vAlign w:val="center"/>
          </w:tcPr>
          <w:p w14:paraId="3B51371F">
            <w:pPr>
              <w:snapToGrid w:val="0"/>
              <w:jc w:val="center"/>
              <w:rPr>
                <w:rFonts w:hint="default"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7</w:t>
            </w:r>
          </w:p>
        </w:tc>
        <w:tc>
          <w:tcPr>
            <w:tcW w:w="2136" w:type="pct"/>
            <w:noWrap w:val="0"/>
            <w:vAlign w:val="center"/>
          </w:tcPr>
          <w:p w14:paraId="4FDC084D">
            <w:pPr>
              <w:pStyle w:val="20"/>
              <w:widowControl/>
              <w:adjustRightInd w:val="0"/>
              <w:snapToGrid w:val="0"/>
              <w:spacing w:before="0" w:beforeAutospacing="0" w:after="0" w:afterAutospacing="0"/>
              <w:jc w:val="center"/>
              <w:rPr>
                <w:rFonts w:hint="eastAsia" w:ascii="仿宋" w:hAnsi="仿宋" w:eastAsia="仿宋" w:cs="仿宋"/>
                <w:color w:val="auto"/>
                <w:sz w:val="21"/>
                <w:szCs w:val="21"/>
                <w:highlight w:val="none"/>
                <w:lang w:eastAsia="zh-CN"/>
              </w:rPr>
            </w:pPr>
            <w:r>
              <w:rPr>
                <w:rFonts w:hint="eastAsia" w:ascii="仿宋" w:hAnsi="仿宋" w:eastAsia="仿宋" w:cs="仿宋"/>
                <w:color w:val="000000"/>
                <w:sz w:val="21"/>
                <w:szCs w:val="21"/>
                <w:highlight w:val="none"/>
                <w:lang w:eastAsia="zh-CN"/>
              </w:rPr>
              <w:t>供应商须具有建设行政主管部门颁发的工程监理综合资质或具备房屋建筑工程监理乙级（含）及以上资质</w:t>
            </w:r>
          </w:p>
        </w:tc>
        <w:tc>
          <w:tcPr>
            <w:tcW w:w="2616" w:type="pct"/>
            <w:noWrap w:val="0"/>
            <w:vAlign w:val="center"/>
          </w:tcPr>
          <w:p w14:paraId="66A0FB9E">
            <w:pPr>
              <w:pStyle w:val="20"/>
              <w:widowControl/>
              <w:adjustRightInd w:val="0"/>
              <w:snapToGrid w:val="0"/>
              <w:spacing w:before="0" w:beforeAutospacing="0" w:after="0" w:afterAutospacing="0"/>
              <w:jc w:val="both"/>
              <w:rPr>
                <w:rFonts w:hint="eastAsia" w:ascii="仿宋" w:hAnsi="仿宋" w:eastAsia="仿宋" w:cs="宋体"/>
                <w:color w:val="auto"/>
                <w:sz w:val="21"/>
                <w:szCs w:val="21"/>
                <w:highlight w:val="none"/>
                <w:lang w:val="en-US" w:eastAsia="zh-CN" w:bidi="ar-SA"/>
              </w:rPr>
            </w:pPr>
            <w:r>
              <w:rPr>
                <w:rFonts w:hint="eastAsia" w:ascii="仿宋" w:hAnsi="仿宋" w:eastAsia="仿宋" w:cs="宋体"/>
                <w:color w:val="000000"/>
                <w:sz w:val="21"/>
                <w:szCs w:val="21"/>
                <w:highlight w:val="none"/>
                <w:lang w:val="en-US" w:eastAsia="zh-CN" w:bidi="ar-SA"/>
              </w:rPr>
              <w:t>提供相关证明材料扫描件并加盖单位公章</w:t>
            </w:r>
          </w:p>
        </w:tc>
      </w:tr>
      <w:tr w14:paraId="0CACD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47" w:type="pct"/>
            <w:shd w:val="clear" w:color="auto" w:fill="auto"/>
            <w:noWrap w:val="0"/>
            <w:vAlign w:val="center"/>
          </w:tcPr>
          <w:p w14:paraId="3F9BD07A">
            <w:pPr>
              <w:snapToGrid w:val="0"/>
              <w:jc w:val="center"/>
              <w:rPr>
                <w:rFonts w:hint="eastAsia" w:ascii="仿宋" w:hAnsi="仿宋" w:eastAsia="仿宋" w:cs="仿宋_GB2312"/>
                <w:kern w:val="2"/>
                <w:sz w:val="21"/>
                <w:szCs w:val="21"/>
                <w:highlight w:val="none"/>
                <w:lang w:val="en-US" w:eastAsia="zh-CN" w:bidi="ar-SA"/>
              </w:rPr>
            </w:pPr>
            <w:r>
              <w:rPr>
                <w:rFonts w:hint="eastAsia" w:ascii="仿宋" w:hAnsi="仿宋" w:eastAsia="仿宋" w:cs="仿宋_GB2312"/>
                <w:sz w:val="21"/>
                <w:szCs w:val="21"/>
                <w:highlight w:val="none"/>
                <w:lang w:val="en-US" w:eastAsia="zh-CN"/>
              </w:rPr>
              <w:t>8</w:t>
            </w:r>
          </w:p>
        </w:tc>
        <w:tc>
          <w:tcPr>
            <w:tcW w:w="2136" w:type="pct"/>
            <w:noWrap w:val="0"/>
            <w:vAlign w:val="center"/>
          </w:tcPr>
          <w:p w14:paraId="400B5FE9">
            <w:pPr>
              <w:pStyle w:val="20"/>
              <w:widowControl/>
              <w:adjustRightInd w:val="0"/>
              <w:snapToGrid w:val="0"/>
              <w:spacing w:before="0" w:beforeAutospacing="0" w:after="0" w:afterAutospacing="0"/>
              <w:jc w:val="center"/>
              <w:rPr>
                <w:rFonts w:hint="eastAsia" w:ascii="仿宋" w:hAnsi="仿宋" w:eastAsia="仿宋" w:cs="仿宋"/>
                <w:color w:val="auto"/>
                <w:sz w:val="21"/>
                <w:szCs w:val="21"/>
                <w:highlight w:val="none"/>
                <w:lang w:eastAsia="zh-CN"/>
              </w:rPr>
            </w:pPr>
            <w:r>
              <w:rPr>
                <w:rFonts w:hint="eastAsia" w:ascii="仿宋" w:hAnsi="仿宋" w:eastAsia="仿宋" w:cs="仿宋"/>
                <w:color w:val="000000"/>
                <w:sz w:val="21"/>
                <w:szCs w:val="21"/>
                <w:highlight w:val="none"/>
                <w:lang w:eastAsia="zh-CN"/>
              </w:rPr>
              <w:t>总监理工程师须具有国家注册监理工程师注册证书（房屋建筑工程专业），须在本单位注册且在有效期,不接受临时注册</w:t>
            </w:r>
          </w:p>
        </w:tc>
        <w:tc>
          <w:tcPr>
            <w:tcW w:w="2616" w:type="pct"/>
            <w:noWrap w:val="0"/>
            <w:vAlign w:val="center"/>
          </w:tcPr>
          <w:p w14:paraId="0C682886">
            <w:pPr>
              <w:pStyle w:val="20"/>
              <w:widowControl/>
              <w:adjustRightInd w:val="0"/>
              <w:snapToGrid w:val="0"/>
              <w:spacing w:before="0" w:beforeAutospacing="0" w:after="0" w:afterAutospacing="0"/>
              <w:jc w:val="both"/>
              <w:rPr>
                <w:rFonts w:hint="eastAsia" w:ascii="仿宋" w:hAnsi="仿宋" w:eastAsia="仿宋" w:cs="宋体"/>
                <w:color w:val="auto"/>
                <w:sz w:val="21"/>
                <w:szCs w:val="21"/>
                <w:highlight w:val="none"/>
                <w:lang w:val="en-US" w:eastAsia="zh-CN" w:bidi="ar-SA"/>
              </w:rPr>
            </w:pPr>
            <w:r>
              <w:rPr>
                <w:rFonts w:hint="eastAsia" w:ascii="仿宋" w:hAnsi="仿宋" w:eastAsia="仿宋" w:cs="宋体"/>
                <w:color w:val="000000"/>
                <w:sz w:val="21"/>
                <w:szCs w:val="21"/>
                <w:highlight w:val="none"/>
                <w:lang w:val="en-US" w:eastAsia="zh-CN" w:bidi="ar-SA"/>
              </w:rPr>
              <w:t>提供相关证明材料扫描件并加盖单位公章</w:t>
            </w:r>
          </w:p>
        </w:tc>
      </w:tr>
      <w:tr w14:paraId="35D0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47" w:type="pct"/>
            <w:shd w:val="clear" w:color="auto" w:fill="auto"/>
            <w:noWrap w:val="0"/>
            <w:vAlign w:val="center"/>
          </w:tcPr>
          <w:p w14:paraId="2337AEE9">
            <w:pPr>
              <w:snapToGrid w:val="0"/>
              <w:jc w:val="center"/>
              <w:rPr>
                <w:rFonts w:hint="default" w:ascii="仿宋" w:hAnsi="仿宋" w:eastAsia="仿宋" w:cs="仿宋_GB2312"/>
                <w:kern w:val="2"/>
                <w:sz w:val="21"/>
                <w:szCs w:val="21"/>
                <w:highlight w:val="none"/>
                <w:lang w:val="en-US" w:eastAsia="zh-CN" w:bidi="ar-SA"/>
              </w:rPr>
            </w:pPr>
            <w:r>
              <w:rPr>
                <w:rFonts w:hint="eastAsia" w:ascii="仿宋" w:hAnsi="仿宋" w:eastAsia="仿宋" w:cs="仿宋_GB2312"/>
                <w:sz w:val="21"/>
                <w:szCs w:val="21"/>
                <w:highlight w:val="none"/>
                <w:lang w:val="en-US" w:eastAsia="zh-CN"/>
              </w:rPr>
              <w:t>9</w:t>
            </w:r>
          </w:p>
        </w:tc>
        <w:tc>
          <w:tcPr>
            <w:tcW w:w="2136" w:type="pct"/>
            <w:noWrap w:val="0"/>
            <w:vAlign w:val="center"/>
          </w:tcPr>
          <w:p w14:paraId="4A4A38DC">
            <w:pPr>
              <w:pStyle w:val="20"/>
              <w:widowControl/>
              <w:adjustRightInd w:val="0"/>
              <w:snapToGrid w:val="0"/>
              <w:spacing w:before="0" w:beforeAutospacing="0" w:after="0" w:afterAutospacing="0"/>
              <w:jc w:val="center"/>
              <w:rPr>
                <w:rFonts w:hint="eastAsia" w:ascii="仿宋" w:hAnsi="仿宋" w:eastAsia="仿宋" w:cs="仿宋"/>
                <w:color w:val="000000"/>
                <w:kern w:val="0"/>
                <w:sz w:val="21"/>
                <w:szCs w:val="21"/>
                <w:highlight w:val="none"/>
                <w:lang w:val="en-US" w:eastAsia="zh-CN" w:bidi="ar-SA"/>
              </w:rPr>
            </w:pPr>
            <w:r>
              <w:rPr>
                <w:rFonts w:hint="eastAsia" w:ascii="仿宋" w:hAnsi="仿宋" w:eastAsia="仿宋" w:cs="仿宋"/>
                <w:color w:val="auto"/>
                <w:sz w:val="21"/>
                <w:szCs w:val="21"/>
                <w:highlight w:val="none"/>
                <w:lang w:eastAsia="zh-CN"/>
              </w:rPr>
              <w:t>在“信用中国”（www.creditchina.gov.cn）和中国政府采购网（www.ccgp.gov.cn）网站上未被列入失信被执行人、重大税收违法案件当事人名单以及政府采购严重违法失信行为记录名单（</w:t>
            </w:r>
            <w:r>
              <w:rPr>
                <w:rFonts w:hint="eastAsia" w:ascii="仿宋" w:hAnsi="仿宋" w:eastAsia="仿宋" w:cs="仿宋"/>
                <w:color w:val="auto"/>
                <w:sz w:val="21"/>
                <w:szCs w:val="21"/>
                <w:highlight w:val="none"/>
                <w:lang w:val="en-US" w:eastAsia="zh-CN"/>
              </w:rPr>
              <w:t>查询时间为</w:t>
            </w:r>
            <w:r>
              <w:rPr>
                <w:rFonts w:hint="eastAsia" w:ascii="仿宋" w:hAnsi="仿宋" w:eastAsia="仿宋" w:cs="宋体"/>
                <w:color w:val="auto"/>
                <w:sz w:val="21"/>
                <w:szCs w:val="21"/>
                <w:highlight w:val="none"/>
                <w:lang w:val="en-US" w:eastAsia="zh-CN" w:bidi="ar-SA"/>
              </w:rPr>
              <w:t>自公告发布之日后）</w:t>
            </w:r>
          </w:p>
        </w:tc>
        <w:tc>
          <w:tcPr>
            <w:tcW w:w="2616" w:type="pct"/>
            <w:noWrap w:val="0"/>
            <w:vAlign w:val="center"/>
          </w:tcPr>
          <w:p w14:paraId="6461298B">
            <w:pPr>
              <w:pStyle w:val="20"/>
              <w:widowControl/>
              <w:adjustRightInd w:val="0"/>
              <w:snapToGrid w:val="0"/>
              <w:spacing w:before="0" w:beforeAutospacing="0" w:after="0" w:afterAutospacing="0"/>
              <w:jc w:val="both"/>
              <w:rPr>
                <w:rFonts w:hint="eastAsia" w:ascii="仿宋" w:hAnsi="仿宋" w:eastAsia="仿宋" w:cs="仿宋"/>
                <w:color w:val="000000"/>
                <w:kern w:val="0"/>
                <w:sz w:val="21"/>
                <w:szCs w:val="21"/>
                <w:highlight w:val="none"/>
                <w:lang w:val="en-US" w:eastAsia="zh-CN" w:bidi="ar-SA"/>
              </w:rPr>
            </w:pPr>
            <w:r>
              <w:rPr>
                <w:rFonts w:hint="eastAsia" w:ascii="仿宋" w:hAnsi="仿宋" w:eastAsia="仿宋" w:cs="宋体"/>
                <w:color w:val="auto"/>
                <w:sz w:val="21"/>
                <w:szCs w:val="21"/>
                <w:highlight w:val="none"/>
                <w:lang w:val="en-US" w:eastAsia="zh-CN" w:bidi="ar-SA"/>
              </w:rPr>
              <w:t>提供查询结果的网页打印页作为查询记录和证据，与其他采购文件一并保存。查询结果以采购人或采购代理机构查询结果为准。</w:t>
            </w:r>
          </w:p>
        </w:tc>
      </w:tr>
      <w:tr w14:paraId="25E7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47" w:type="pct"/>
            <w:shd w:val="clear" w:color="auto" w:fill="auto"/>
            <w:noWrap w:val="0"/>
            <w:vAlign w:val="center"/>
          </w:tcPr>
          <w:p w14:paraId="5F8471B6">
            <w:pPr>
              <w:snapToGrid w:val="0"/>
              <w:jc w:val="center"/>
              <w:rPr>
                <w:rFonts w:hint="default" w:ascii="仿宋" w:hAnsi="仿宋" w:eastAsia="仿宋" w:cs="仿宋_GB2312"/>
                <w:kern w:val="2"/>
                <w:sz w:val="21"/>
                <w:szCs w:val="21"/>
                <w:highlight w:val="none"/>
                <w:lang w:val="en-US" w:eastAsia="zh-CN" w:bidi="ar-SA"/>
              </w:rPr>
            </w:pPr>
            <w:r>
              <w:rPr>
                <w:rFonts w:hint="eastAsia" w:ascii="仿宋" w:hAnsi="仿宋" w:eastAsia="仿宋" w:cs="仿宋_GB2312"/>
                <w:sz w:val="21"/>
                <w:szCs w:val="21"/>
                <w:highlight w:val="none"/>
                <w:lang w:val="en-US" w:eastAsia="zh-CN"/>
              </w:rPr>
              <w:t>10</w:t>
            </w:r>
          </w:p>
        </w:tc>
        <w:tc>
          <w:tcPr>
            <w:tcW w:w="2136" w:type="pct"/>
            <w:noWrap w:val="0"/>
            <w:vAlign w:val="center"/>
          </w:tcPr>
          <w:p w14:paraId="0D351336">
            <w:pPr>
              <w:pStyle w:val="20"/>
              <w:widowControl/>
              <w:adjustRightInd w:val="0"/>
              <w:snapToGrid w:val="0"/>
              <w:spacing w:before="0" w:beforeAutospacing="0" w:after="0" w:afterAutospacing="0"/>
              <w:jc w:val="center"/>
              <w:rPr>
                <w:rFonts w:hint="default" w:ascii="仿宋" w:hAnsi="仿宋" w:eastAsia="仿宋" w:cs="宋体"/>
                <w:color w:val="auto"/>
                <w:sz w:val="21"/>
                <w:szCs w:val="21"/>
                <w:highlight w:val="none"/>
                <w:lang w:val="en-US" w:eastAsia="zh-CN" w:bidi="ar-SA"/>
              </w:rPr>
            </w:pPr>
            <w:r>
              <w:rPr>
                <w:rFonts w:hint="eastAsia" w:ascii="仿宋" w:hAnsi="仿宋" w:eastAsia="仿宋" w:cs="仿宋"/>
                <w:color w:val="auto"/>
                <w:sz w:val="21"/>
                <w:szCs w:val="21"/>
                <w:highlight w:val="none"/>
              </w:rPr>
              <w:t>其他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2616" w:type="pct"/>
            <w:noWrap w:val="0"/>
            <w:vAlign w:val="center"/>
          </w:tcPr>
          <w:p w14:paraId="6F16E3AF">
            <w:pPr>
              <w:pStyle w:val="20"/>
              <w:widowControl/>
              <w:adjustRightInd w:val="0"/>
              <w:snapToGrid w:val="0"/>
              <w:spacing w:before="0" w:beforeAutospacing="0" w:after="0" w:afterAutospacing="0"/>
              <w:jc w:val="both"/>
              <w:rPr>
                <w:rFonts w:hint="eastAsia" w:ascii="仿宋" w:hAnsi="仿宋" w:eastAsia="仿宋" w:cs="宋体"/>
                <w:color w:val="auto"/>
                <w:sz w:val="21"/>
                <w:szCs w:val="21"/>
                <w:highlight w:val="none"/>
                <w:lang w:val="en-US" w:eastAsia="zh-CN" w:bidi="ar-SA"/>
              </w:rPr>
            </w:pPr>
            <w:r>
              <w:rPr>
                <w:rFonts w:hint="eastAsia" w:ascii="仿宋" w:hAnsi="仿宋" w:eastAsia="仿宋" w:cs="仿宋"/>
                <w:sz w:val="21"/>
                <w:szCs w:val="21"/>
                <w:highlight w:val="none"/>
                <w:lang w:eastAsia="zh-CN"/>
              </w:rPr>
              <w:t>须提供供应商</w:t>
            </w:r>
            <w:r>
              <w:rPr>
                <w:rFonts w:hint="eastAsia" w:ascii="仿宋" w:hAnsi="仿宋" w:eastAsia="仿宋" w:cs="仿宋"/>
                <w:sz w:val="21"/>
                <w:szCs w:val="21"/>
                <w:highlight w:val="none"/>
              </w:rPr>
              <w:t>声明函</w:t>
            </w:r>
            <w:r>
              <w:rPr>
                <w:rFonts w:hint="eastAsia" w:ascii="仿宋" w:hAnsi="仿宋" w:eastAsia="仿宋" w:cs="仿宋"/>
                <w:sz w:val="21"/>
                <w:szCs w:val="21"/>
                <w:highlight w:val="none"/>
                <w:lang w:eastAsia="zh-CN"/>
              </w:rPr>
              <w:t>原件扫描件</w:t>
            </w:r>
          </w:p>
        </w:tc>
      </w:tr>
      <w:tr w14:paraId="3E57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47" w:type="pct"/>
            <w:noWrap w:val="0"/>
            <w:vAlign w:val="center"/>
          </w:tcPr>
          <w:p w14:paraId="36471BC6">
            <w:pPr>
              <w:snapToGrid w:val="0"/>
              <w:jc w:val="center"/>
              <w:rPr>
                <w:rFonts w:hint="default"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11</w:t>
            </w:r>
          </w:p>
        </w:tc>
        <w:tc>
          <w:tcPr>
            <w:tcW w:w="2136" w:type="pct"/>
            <w:noWrap w:val="0"/>
            <w:vAlign w:val="center"/>
          </w:tcPr>
          <w:p w14:paraId="530F4EF3">
            <w:pPr>
              <w:pStyle w:val="20"/>
              <w:widowControl/>
              <w:adjustRightInd w:val="0"/>
              <w:snapToGrid w:val="0"/>
              <w:spacing w:before="0" w:beforeAutospacing="0" w:after="0" w:afterAutospacing="0"/>
              <w:jc w:val="center"/>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落实政府采购政策需满足的资格要</w:t>
            </w:r>
            <w:r>
              <w:rPr>
                <w:rFonts w:hint="eastAsia" w:ascii="仿宋" w:hAnsi="仿宋" w:eastAsia="仿宋" w:cs="仿宋"/>
                <w:color w:val="auto"/>
                <w:sz w:val="21"/>
                <w:szCs w:val="21"/>
                <w:highlight w:val="none"/>
              </w:rPr>
              <w:t>求</w:t>
            </w:r>
          </w:p>
        </w:tc>
        <w:tc>
          <w:tcPr>
            <w:tcW w:w="2616" w:type="pct"/>
            <w:noWrap w:val="0"/>
            <w:vAlign w:val="center"/>
          </w:tcPr>
          <w:p w14:paraId="7D97137C">
            <w:pPr>
              <w:pStyle w:val="20"/>
              <w:widowControl/>
              <w:adjustRightInd w:val="0"/>
              <w:snapToGrid w:val="0"/>
              <w:spacing w:before="0" w:beforeAutospacing="0" w:after="0" w:afterAutospacing="0"/>
              <w:jc w:val="both"/>
              <w:rPr>
                <w:rFonts w:hint="eastAsia" w:ascii="仿宋" w:hAnsi="仿宋" w:eastAsia="仿宋" w:cs="仿宋"/>
                <w:sz w:val="21"/>
                <w:szCs w:val="21"/>
                <w:highlight w:val="none"/>
                <w:lang w:eastAsia="zh-CN"/>
              </w:rPr>
            </w:pPr>
            <w:r>
              <w:rPr>
                <w:rFonts w:hint="eastAsia" w:ascii="仿宋" w:hAnsi="仿宋" w:eastAsia="仿宋" w:cs="仿宋"/>
                <w:kern w:val="0"/>
                <w:sz w:val="21"/>
                <w:szCs w:val="21"/>
                <w:highlight w:val="none"/>
                <w:lang w:val="en-US" w:eastAsia="zh-CN"/>
              </w:rPr>
              <w:t>提供《</w:t>
            </w:r>
            <w:r>
              <w:rPr>
                <w:rFonts w:hint="eastAsia" w:ascii="仿宋" w:hAnsi="仿宋" w:eastAsia="仿宋" w:cs="仿宋"/>
                <w:color w:val="auto"/>
                <w:kern w:val="2"/>
                <w:sz w:val="21"/>
                <w:szCs w:val="21"/>
                <w:highlight w:val="none"/>
                <w:lang w:val="en-US" w:eastAsia="zh-CN" w:bidi="ar-SA"/>
              </w:rPr>
              <w:t>中小企业声明函</w:t>
            </w:r>
            <w:r>
              <w:rPr>
                <w:rFonts w:hint="eastAsia" w:ascii="仿宋" w:hAnsi="仿宋" w:eastAsia="仿宋" w:cs="仿宋"/>
                <w:kern w:val="0"/>
                <w:sz w:val="21"/>
                <w:szCs w:val="21"/>
                <w:highlight w:val="none"/>
                <w:lang w:val="en-US" w:eastAsia="zh-CN"/>
              </w:rPr>
              <w:t>》</w:t>
            </w:r>
            <w:r>
              <w:rPr>
                <w:rFonts w:hint="eastAsia" w:ascii="仿宋" w:hAnsi="仿宋" w:eastAsia="仿宋" w:cs="仿宋"/>
                <w:sz w:val="21"/>
                <w:szCs w:val="21"/>
                <w:highlight w:val="none"/>
                <w:lang w:eastAsia="zh-CN"/>
              </w:rPr>
              <w:t>原件扫描件</w:t>
            </w:r>
          </w:p>
        </w:tc>
      </w:tr>
      <w:tr w14:paraId="727EF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5000" w:type="pct"/>
            <w:gridSpan w:val="3"/>
            <w:noWrap w:val="0"/>
            <w:vAlign w:val="center"/>
          </w:tcPr>
          <w:p w14:paraId="3F16225F">
            <w:pPr>
              <w:snapToGrid w:val="0"/>
              <w:rPr>
                <w:rFonts w:hint="eastAsia" w:ascii="仿宋" w:hAnsi="仿宋" w:eastAsia="仿宋" w:cs="宋体"/>
                <w:sz w:val="21"/>
                <w:szCs w:val="21"/>
                <w:highlight w:val="none"/>
              </w:rPr>
            </w:pPr>
            <w:r>
              <w:rPr>
                <w:rFonts w:hint="eastAsia" w:ascii="仿宋" w:hAnsi="仿宋" w:eastAsia="仿宋" w:cs="宋体"/>
                <w:sz w:val="21"/>
                <w:szCs w:val="21"/>
                <w:highlight w:val="none"/>
              </w:rPr>
              <w:t>注：以上审查资料</w:t>
            </w:r>
            <w:r>
              <w:rPr>
                <w:rFonts w:hint="eastAsia" w:ascii="仿宋" w:hAnsi="仿宋" w:eastAsia="仿宋" w:cs="宋体"/>
                <w:sz w:val="21"/>
                <w:szCs w:val="21"/>
                <w:highlight w:val="none"/>
                <w:lang w:val="en-US" w:eastAsia="zh-CN"/>
              </w:rPr>
              <w:t>必须按</w:t>
            </w:r>
            <w:r>
              <w:rPr>
                <w:rFonts w:hint="eastAsia" w:ascii="仿宋" w:hAnsi="仿宋" w:eastAsia="仿宋" w:cs="宋体"/>
                <w:sz w:val="21"/>
                <w:szCs w:val="21"/>
                <w:highlight w:val="none"/>
              </w:rPr>
              <w:t>要求提供，未按要求提供资料的</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以及资格评审中有一项不满足审查标准的，</w:t>
            </w:r>
            <w:r>
              <w:rPr>
                <w:rFonts w:hint="eastAsia" w:ascii="仿宋" w:hAnsi="仿宋" w:eastAsia="仿宋" w:cs="宋体"/>
                <w:color w:val="000000"/>
                <w:sz w:val="21"/>
                <w:szCs w:val="21"/>
                <w:highlight w:val="none"/>
              </w:rPr>
              <w:t>采购人或者采购代理机构应当</w:t>
            </w:r>
            <w:r>
              <w:rPr>
                <w:rFonts w:hint="eastAsia" w:ascii="仿宋" w:hAnsi="仿宋" w:eastAsia="仿宋" w:cs="宋体"/>
                <w:sz w:val="21"/>
                <w:szCs w:val="21"/>
                <w:highlight w:val="none"/>
              </w:rPr>
              <w:t>认定该</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不通过资格审查，不得进入下一阶段评审。如果造成</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不足三个的，则认定本次招标的</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数量没有竞争力，宣布本次招标失败。采购人将重新组织招标活动。</w:t>
            </w:r>
          </w:p>
        </w:tc>
      </w:tr>
    </w:tbl>
    <w:p w14:paraId="4AFC825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b/>
          <w:bCs/>
          <w:sz w:val="24"/>
          <w:szCs w:val="24"/>
        </w:rPr>
      </w:pPr>
    </w:p>
    <w:p w14:paraId="7FBC0D9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b/>
          <w:bCs/>
          <w:sz w:val="24"/>
          <w:szCs w:val="24"/>
        </w:rPr>
      </w:pPr>
    </w:p>
    <w:p w14:paraId="0E66067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sz w:val="24"/>
          <w:szCs w:val="24"/>
        </w:rPr>
      </w:pPr>
      <w:r>
        <w:rPr>
          <w:rFonts w:hint="eastAsia" w:ascii="仿宋" w:hAnsi="仿宋" w:eastAsia="仿宋" w:cs="仿宋"/>
          <w:b/>
          <w:bCs/>
          <w:sz w:val="24"/>
          <w:szCs w:val="24"/>
        </w:rPr>
        <w:t>初步评审－符合性检查表</w:t>
      </w:r>
    </w:p>
    <w:tbl>
      <w:tblPr>
        <w:tblStyle w:val="21"/>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71"/>
        <w:gridCol w:w="625"/>
        <w:gridCol w:w="1421"/>
        <w:gridCol w:w="6086"/>
        <w:gridCol w:w="642"/>
        <w:gridCol w:w="658"/>
      </w:tblGrid>
      <w:tr w14:paraId="65DC1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9" w:hRule="atLeast"/>
          <w:jc w:val="center"/>
        </w:trPr>
        <w:tc>
          <w:tcPr>
            <w:tcW w:w="1096" w:type="dxa"/>
            <w:gridSpan w:val="2"/>
            <w:vMerge w:val="restart"/>
            <w:vAlign w:val="center"/>
          </w:tcPr>
          <w:p w14:paraId="187CC9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bookmarkStart w:id="5" w:name="EBf97f626d7f2349dc98726a51f37130cf"/>
            <w:r>
              <w:rPr>
                <w:rFonts w:hint="eastAsia" w:ascii="仿宋" w:hAnsi="仿宋" w:eastAsia="仿宋" w:cs="仿宋"/>
                <w:b/>
                <w:bCs/>
                <w:sz w:val="21"/>
                <w:szCs w:val="21"/>
              </w:rPr>
              <w:t>评分因素</w:t>
            </w:r>
          </w:p>
        </w:tc>
        <w:tc>
          <w:tcPr>
            <w:tcW w:w="1421" w:type="dxa"/>
            <w:vMerge w:val="restart"/>
            <w:vAlign w:val="center"/>
          </w:tcPr>
          <w:p w14:paraId="5F1297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评分点</w:t>
            </w:r>
          </w:p>
        </w:tc>
        <w:tc>
          <w:tcPr>
            <w:tcW w:w="6086" w:type="dxa"/>
            <w:vMerge w:val="restart"/>
            <w:vAlign w:val="center"/>
          </w:tcPr>
          <w:p w14:paraId="0AFE65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评分标准</w:t>
            </w:r>
          </w:p>
        </w:tc>
        <w:tc>
          <w:tcPr>
            <w:tcW w:w="1300" w:type="dxa"/>
            <w:gridSpan w:val="2"/>
            <w:vAlign w:val="center"/>
          </w:tcPr>
          <w:p w14:paraId="19CEFC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评审意见</w:t>
            </w:r>
          </w:p>
        </w:tc>
      </w:tr>
      <w:tr w14:paraId="66CE5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6" w:hRule="atLeast"/>
          <w:jc w:val="center"/>
        </w:trPr>
        <w:tc>
          <w:tcPr>
            <w:tcW w:w="1096" w:type="dxa"/>
            <w:gridSpan w:val="2"/>
            <w:vMerge w:val="continue"/>
            <w:vAlign w:val="center"/>
          </w:tcPr>
          <w:p w14:paraId="2C7C1C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Merge w:val="continue"/>
            <w:vAlign w:val="center"/>
          </w:tcPr>
          <w:p w14:paraId="7993B7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086" w:type="dxa"/>
            <w:vMerge w:val="continue"/>
            <w:vAlign w:val="center"/>
          </w:tcPr>
          <w:p w14:paraId="29808C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42" w:type="dxa"/>
            <w:vAlign w:val="center"/>
          </w:tcPr>
          <w:p w14:paraId="613D67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是</w:t>
            </w:r>
          </w:p>
          <w:p w14:paraId="15D88F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c>
          <w:tcPr>
            <w:tcW w:w="658" w:type="dxa"/>
            <w:vAlign w:val="center"/>
          </w:tcPr>
          <w:p w14:paraId="561D86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否</w:t>
            </w:r>
          </w:p>
          <w:p w14:paraId="4263BC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r>
      <w:tr w14:paraId="38DFF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1" w:hRule="atLeast"/>
          <w:jc w:val="center"/>
        </w:trPr>
        <w:tc>
          <w:tcPr>
            <w:tcW w:w="471" w:type="dxa"/>
            <w:vMerge w:val="restart"/>
            <w:vAlign w:val="center"/>
          </w:tcPr>
          <w:p w14:paraId="5E3281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初步评审</w:t>
            </w:r>
          </w:p>
        </w:tc>
        <w:tc>
          <w:tcPr>
            <w:tcW w:w="625" w:type="dxa"/>
            <w:vMerge w:val="restart"/>
            <w:vAlign w:val="center"/>
          </w:tcPr>
          <w:p w14:paraId="69CD08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符合性检查</w:t>
            </w:r>
          </w:p>
        </w:tc>
        <w:tc>
          <w:tcPr>
            <w:tcW w:w="1421" w:type="dxa"/>
            <w:vAlign w:val="center"/>
          </w:tcPr>
          <w:p w14:paraId="023C26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磋商保证金</w:t>
            </w:r>
          </w:p>
        </w:tc>
        <w:tc>
          <w:tcPr>
            <w:tcW w:w="6086" w:type="dxa"/>
            <w:vAlign w:val="center"/>
          </w:tcPr>
          <w:p w14:paraId="5A521F6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按照</w:t>
            </w:r>
            <w:r>
              <w:rPr>
                <w:rFonts w:hint="eastAsia" w:ascii="仿宋" w:hAnsi="仿宋" w:eastAsia="仿宋" w:cs="仿宋"/>
                <w:b w:val="0"/>
                <w:bCs w:val="0"/>
                <w:sz w:val="21"/>
                <w:szCs w:val="21"/>
                <w:lang w:eastAsia="zh-CN"/>
              </w:rPr>
              <w:t>竞争性磋商文件</w:t>
            </w:r>
            <w:r>
              <w:rPr>
                <w:rFonts w:hint="eastAsia" w:ascii="仿宋" w:hAnsi="仿宋" w:eastAsia="仿宋" w:cs="仿宋"/>
                <w:b w:val="0"/>
                <w:bCs w:val="0"/>
                <w:sz w:val="21"/>
                <w:szCs w:val="21"/>
              </w:rPr>
              <w:t>的规定提交</w:t>
            </w:r>
            <w:r>
              <w:rPr>
                <w:rFonts w:hint="eastAsia" w:ascii="仿宋" w:hAnsi="仿宋" w:eastAsia="仿宋" w:cs="仿宋"/>
                <w:b w:val="0"/>
                <w:bCs w:val="0"/>
                <w:sz w:val="21"/>
                <w:szCs w:val="21"/>
                <w:lang w:eastAsia="zh-CN"/>
              </w:rPr>
              <w:t>磋商</w:t>
            </w:r>
            <w:r>
              <w:rPr>
                <w:rFonts w:hint="eastAsia" w:ascii="仿宋" w:hAnsi="仿宋" w:eastAsia="仿宋" w:cs="仿宋"/>
                <w:b w:val="0"/>
                <w:bCs w:val="0"/>
                <w:sz w:val="21"/>
                <w:szCs w:val="21"/>
              </w:rPr>
              <w:t>保证金的</w:t>
            </w:r>
          </w:p>
        </w:tc>
        <w:tc>
          <w:tcPr>
            <w:tcW w:w="642" w:type="dxa"/>
          </w:tcPr>
          <w:p w14:paraId="259603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5F451B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37C9E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jc w:val="center"/>
        </w:trPr>
        <w:tc>
          <w:tcPr>
            <w:tcW w:w="471" w:type="dxa"/>
            <w:vMerge w:val="continue"/>
          </w:tcPr>
          <w:p w14:paraId="35EFAB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36AE77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39C958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eastAsia="zh-CN"/>
              </w:rPr>
              <w:t>磋商</w:t>
            </w:r>
            <w:r>
              <w:rPr>
                <w:rFonts w:hint="eastAsia" w:ascii="仿宋" w:hAnsi="仿宋" w:eastAsia="仿宋" w:cs="仿宋"/>
                <w:b w:val="0"/>
                <w:bCs w:val="0"/>
                <w:sz w:val="21"/>
                <w:szCs w:val="21"/>
                <w:highlight w:val="none"/>
              </w:rPr>
              <w:t>有效期</w:t>
            </w:r>
          </w:p>
        </w:tc>
        <w:tc>
          <w:tcPr>
            <w:tcW w:w="6086" w:type="dxa"/>
            <w:vAlign w:val="center"/>
          </w:tcPr>
          <w:p w14:paraId="7FF03AA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eastAsia="zh-CN"/>
              </w:rPr>
              <w:t>响应文件中承诺的磋商</w:t>
            </w:r>
            <w:r>
              <w:rPr>
                <w:rFonts w:hint="eastAsia" w:ascii="仿宋" w:hAnsi="仿宋" w:eastAsia="仿宋" w:cs="仿宋"/>
                <w:b w:val="0"/>
                <w:bCs w:val="0"/>
                <w:sz w:val="21"/>
                <w:szCs w:val="21"/>
                <w:highlight w:val="none"/>
              </w:rPr>
              <w:t>有效期</w:t>
            </w:r>
            <w:r>
              <w:rPr>
                <w:rFonts w:hint="eastAsia" w:ascii="仿宋" w:hAnsi="仿宋" w:eastAsia="仿宋" w:cs="仿宋"/>
                <w:b w:val="0"/>
                <w:bCs w:val="0"/>
                <w:sz w:val="21"/>
                <w:szCs w:val="21"/>
                <w:highlight w:val="none"/>
                <w:lang w:eastAsia="zh-CN"/>
              </w:rPr>
              <w:t>满足竞争性磋商文件中的</w:t>
            </w:r>
            <w:r>
              <w:rPr>
                <w:rFonts w:hint="eastAsia" w:ascii="仿宋" w:hAnsi="仿宋" w:eastAsia="仿宋" w:cs="仿宋"/>
                <w:b w:val="0"/>
                <w:bCs w:val="0"/>
                <w:sz w:val="21"/>
                <w:szCs w:val="21"/>
                <w:highlight w:val="none"/>
                <w:lang w:val="en-US" w:eastAsia="zh-CN"/>
              </w:rPr>
              <w:t>规定</w:t>
            </w:r>
          </w:p>
        </w:tc>
        <w:tc>
          <w:tcPr>
            <w:tcW w:w="642" w:type="dxa"/>
          </w:tcPr>
          <w:p w14:paraId="644362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1F1F99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3E8F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jc w:val="center"/>
        </w:trPr>
        <w:tc>
          <w:tcPr>
            <w:tcW w:w="471" w:type="dxa"/>
            <w:vMerge w:val="continue"/>
          </w:tcPr>
          <w:p w14:paraId="183B2F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1799E5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16DBA4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合同履约期限</w:t>
            </w:r>
          </w:p>
        </w:tc>
        <w:tc>
          <w:tcPr>
            <w:tcW w:w="6086" w:type="dxa"/>
            <w:vAlign w:val="center"/>
          </w:tcPr>
          <w:p w14:paraId="02BB1C8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响应文件中承诺的合同履约期限满足竞争性磋商文件中的</w:t>
            </w:r>
            <w:r>
              <w:rPr>
                <w:rFonts w:hint="eastAsia" w:ascii="仿宋" w:hAnsi="仿宋" w:eastAsia="仿宋" w:cs="仿宋"/>
                <w:b w:val="0"/>
                <w:bCs w:val="0"/>
                <w:sz w:val="21"/>
                <w:szCs w:val="21"/>
                <w:highlight w:val="none"/>
                <w:lang w:val="en-US" w:eastAsia="zh-CN"/>
              </w:rPr>
              <w:t>规定</w:t>
            </w:r>
          </w:p>
        </w:tc>
        <w:tc>
          <w:tcPr>
            <w:tcW w:w="642" w:type="dxa"/>
          </w:tcPr>
          <w:p w14:paraId="15F60F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76E97D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7FB17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3" w:hRule="atLeast"/>
          <w:jc w:val="center"/>
        </w:trPr>
        <w:tc>
          <w:tcPr>
            <w:tcW w:w="471" w:type="dxa"/>
            <w:vMerge w:val="continue"/>
          </w:tcPr>
          <w:p w14:paraId="6DDCF11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29ED11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5C96F3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响应文件签署、盖章</w:t>
            </w:r>
          </w:p>
        </w:tc>
        <w:tc>
          <w:tcPr>
            <w:tcW w:w="6086" w:type="dxa"/>
            <w:vAlign w:val="center"/>
          </w:tcPr>
          <w:p w14:paraId="2A4F341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响应文件是否按照竞争性磋商文件规定</w:t>
            </w:r>
            <w:r>
              <w:rPr>
                <w:rFonts w:hint="eastAsia" w:ascii="仿宋" w:hAnsi="仿宋" w:eastAsia="仿宋" w:cs="仿宋"/>
                <w:b w:val="0"/>
                <w:bCs w:val="0"/>
                <w:sz w:val="21"/>
                <w:szCs w:val="21"/>
                <w:lang w:val="en-US" w:eastAsia="zh-CN"/>
              </w:rPr>
              <w:t>的</w:t>
            </w:r>
            <w:r>
              <w:rPr>
                <w:rFonts w:hint="eastAsia" w:ascii="仿宋" w:hAnsi="仿宋" w:eastAsia="仿宋" w:cs="仿宋"/>
                <w:b w:val="0"/>
                <w:bCs w:val="0"/>
                <w:sz w:val="21"/>
                <w:szCs w:val="21"/>
              </w:rPr>
              <w:t>要求签署、盖章</w:t>
            </w:r>
          </w:p>
        </w:tc>
        <w:tc>
          <w:tcPr>
            <w:tcW w:w="642" w:type="dxa"/>
          </w:tcPr>
          <w:p w14:paraId="6F87D6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6B00F3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2896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dxa"/>
            <w:vMerge w:val="continue"/>
          </w:tcPr>
          <w:p w14:paraId="147622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519867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4A87AC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lang w:eastAsia="zh-CN"/>
              </w:rPr>
              <w:t>磋商</w:t>
            </w:r>
            <w:r>
              <w:rPr>
                <w:rFonts w:hint="eastAsia" w:ascii="仿宋" w:hAnsi="仿宋" w:eastAsia="仿宋" w:cs="仿宋"/>
                <w:b w:val="0"/>
                <w:bCs w:val="0"/>
                <w:sz w:val="21"/>
                <w:szCs w:val="21"/>
              </w:rPr>
              <w:t>报价</w:t>
            </w:r>
          </w:p>
        </w:tc>
        <w:tc>
          <w:tcPr>
            <w:tcW w:w="6086" w:type="dxa"/>
            <w:vAlign w:val="center"/>
          </w:tcPr>
          <w:p w14:paraId="672C39F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报价</w:t>
            </w:r>
            <w:r>
              <w:rPr>
                <w:rFonts w:hint="eastAsia" w:ascii="仿宋" w:hAnsi="仿宋" w:eastAsia="仿宋" w:cs="仿宋"/>
                <w:b w:val="0"/>
                <w:bCs w:val="0"/>
                <w:sz w:val="21"/>
                <w:szCs w:val="21"/>
                <w:lang w:eastAsia="zh-CN"/>
              </w:rPr>
              <w:t>未</w:t>
            </w:r>
            <w:r>
              <w:rPr>
                <w:rFonts w:hint="eastAsia" w:ascii="仿宋" w:hAnsi="仿宋" w:eastAsia="仿宋" w:cs="仿宋"/>
                <w:b w:val="0"/>
                <w:bCs w:val="0"/>
                <w:sz w:val="21"/>
                <w:szCs w:val="21"/>
              </w:rPr>
              <w:t>超过</w:t>
            </w:r>
            <w:r>
              <w:rPr>
                <w:rFonts w:hint="eastAsia" w:ascii="仿宋" w:hAnsi="仿宋" w:eastAsia="仿宋" w:cs="仿宋"/>
                <w:b w:val="0"/>
                <w:bCs w:val="0"/>
                <w:sz w:val="21"/>
                <w:szCs w:val="21"/>
                <w:lang w:eastAsia="zh-CN"/>
              </w:rPr>
              <w:t>竞争性磋商文件</w:t>
            </w:r>
            <w:r>
              <w:rPr>
                <w:rFonts w:hint="eastAsia" w:ascii="仿宋" w:hAnsi="仿宋" w:eastAsia="仿宋" w:cs="仿宋"/>
                <w:b w:val="0"/>
                <w:bCs w:val="0"/>
                <w:sz w:val="21"/>
                <w:szCs w:val="21"/>
              </w:rPr>
              <w:t>中规定的预算金额或者最高限价</w:t>
            </w:r>
          </w:p>
        </w:tc>
        <w:tc>
          <w:tcPr>
            <w:tcW w:w="642" w:type="dxa"/>
          </w:tcPr>
          <w:p w14:paraId="4689A5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774B4B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63B6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dxa"/>
            <w:vMerge w:val="continue"/>
          </w:tcPr>
          <w:p w14:paraId="757551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7E883D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025C420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实质性响应</w:t>
            </w:r>
          </w:p>
        </w:tc>
        <w:tc>
          <w:tcPr>
            <w:tcW w:w="6086" w:type="dxa"/>
            <w:vAlign w:val="center"/>
          </w:tcPr>
          <w:p w14:paraId="5A08FD5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lang w:eastAsia="zh-CN"/>
              </w:rPr>
              <w:t>响应文件满足竞争性磋商文件中实质性条款的要求和商务要求</w:t>
            </w:r>
          </w:p>
        </w:tc>
        <w:tc>
          <w:tcPr>
            <w:tcW w:w="642" w:type="dxa"/>
          </w:tcPr>
          <w:p w14:paraId="74B522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7F5102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359B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6" w:hRule="atLeast"/>
          <w:jc w:val="center"/>
        </w:trPr>
        <w:tc>
          <w:tcPr>
            <w:tcW w:w="471" w:type="dxa"/>
            <w:vMerge w:val="continue"/>
          </w:tcPr>
          <w:p w14:paraId="349D26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30510E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538E9E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其他条件</w:t>
            </w:r>
          </w:p>
        </w:tc>
        <w:tc>
          <w:tcPr>
            <w:tcW w:w="6086" w:type="dxa"/>
            <w:vAlign w:val="center"/>
          </w:tcPr>
          <w:p w14:paraId="3A21F5B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lang w:val="en-US" w:eastAsia="zh-CN"/>
              </w:rPr>
              <w:t>响应</w:t>
            </w:r>
            <w:r>
              <w:rPr>
                <w:rFonts w:hint="eastAsia" w:ascii="仿宋" w:hAnsi="仿宋" w:eastAsia="仿宋" w:cs="仿宋"/>
                <w:b w:val="0"/>
                <w:bCs w:val="0"/>
                <w:sz w:val="21"/>
                <w:szCs w:val="21"/>
              </w:rPr>
              <w:t>文件</w:t>
            </w:r>
            <w:r>
              <w:rPr>
                <w:rFonts w:hint="eastAsia" w:ascii="仿宋" w:hAnsi="仿宋" w:eastAsia="仿宋" w:cs="仿宋"/>
                <w:b w:val="0"/>
                <w:bCs w:val="0"/>
                <w:sz w:val="21"/>
                <w:szCs w:val="21"/>
                <w:lang w:eastAsia="zh-CN"/>
              </w:rPr>
              <w:t>是否</w:t>
            </w:r>
            <w:r>
              <w:rPr>
                <w:rFonts w:hint="eastAsia" w:ascii="仿宋" w:hAnsi="仿宋" w:eastAsia="仿宋" w:cs="仿宋"/>
                <w:b w:val="0"/>
                <w:bCs w:val="0"/>
                <w:sz w:val="21"/>
                <w:szCs w:val="21"/>
              </w:rPr>
              <w:t>含有采购人不能接受的附加条件</w:t>
            </w:r>
          </w:p>
        </w:tc>
        <w:tc>
          <w:tcPr>
            <w:tcW w:w="642" w:type="dxa"/>
          </w:tcPr>
          <w:p w14:paraId="501A34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3EBB2E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101BB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4" w:hRule="atLeast"/>
          <w:jc w:val="center"/>
        </w:trPr>
        <w:tc>
          <w:tcPr>
            <w:tcW w:w="471" w:type="dxa"/>
            <w:vMerge w:val="continue"/>
          </w:tcPr>
          <w:p w14:paraId="53625E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647EA2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56769B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val="en-US" w:eastAsia="zh-CN"/>
              </w:rPr>
              <w:t>无效情形</w:t>
            </w:r>
          </w:p>
        </w:tc>
        <w:tc>
          <w:tcPr>
            <w:tcW w:w="6086" w:type="dxa"/>
            <w:vAlign w:val="center"/>
          </w:tcPr>
          <w:p w14:paraId="22B91B4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法律、法规和</w:t>
            </w:r>
            <w:r>
              <w:rPr>
                <w:rFonts w:hint="eastAsia" w:ascii="仿宋" w:hAnsi="仿宋" w:eastAsia="仿宋" w:cs="仿宋"/>
                <w:b w:val="0"/>
                <w:bCs w:val="0"/>
                <w:sz w:val="21"/>
                <w:szCs w:val="21"/>
                <w:lang w:val="en-US" w:eastAsia="zh-CN"/>
              </w:rPr>
              <w:t>磋商</w:t>
            </w:r>
            <w:r>
              <w:rPr>
                <w:rFonts w:hint="eastAsia" w:ascii="仿宋" w:hAnsi="仿宋" w:eastAsia="仿宋" w:cs="仿宋"/>
                <w:b w:val="0"/>
                <w:bCs w:val="0"/>
                <w:sz w:val="21"/>
                <w:szCs w:val="21"/>
              </w:rPr>
              <w:t>文件规定的其他无效情形</w:t>
            </w:r>
          </w:p>
        </w:tc>
        <w:tc>
          <w:tcPr>
            <w:tcW w:w="642" w:type="dxa"/>
          </w:tcPr>
          <w:p w14:paraId="5F9AAA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6534EC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5A4EC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3" w:hRule="atLeast"/>
          <w:jc w:val="center"/>
        </w:trPr>
        <w:tc>
          <w:tcPr>
            <w:tcW w:w="9903" w:type="dxa"/>
            <w:gridSpan w:val="6"/>
            <w:vAlign w:val="center"/>
          </w:tcPr>
          <w:p w14:paraId="42F1666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sz w:val="21"/>
                <w:szCs w:val="21"/>
              </w:rPr>
            </w:pPr>
            <w:r>
              <w:rPr>
                <w:rFonts w:hint="eastAsia" w:ascii="仿宋" w:hAnsi="仿宋" w:eastAsia="仿宋" w:cs="仿宋"/>
                <w:b/>
                <w:bCs/>
                <w:sz w:val="21"/>
                <w:szCs w:val="21"/>
              </w:rPr>
              <w:t>注：以上检查内容必须全部符合检查标准，否则为无效标。</w:t>
            </w:r>
          </w:p>
        </w:tc>
      </w:tr>
      <w:bookmarkEnd w:id="5"/>
    </w:tbl>
    <w:p w14:paraId="375B9813">
      <w:pPr>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注：提交的图表、影印件、查询记录等文件须清晰完整，因文字模糊专家辨识造成审查不合格的由响应人自行承担相应责任。</w:t>
      </w:r>
    </w:p>
    <w:p w14:paraId="168175FF">
      <w:pPr>
        <w:pStyle w:val="29"/>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2</w:t>
      </w:r>
      <w:r>
        <w:rPr>
          <w:rFonts w:hint="eastAsia" w:ascii="仿宋" w:hAnsi="仿宋" w:eastAsia="仿宋" w:cs="仿宋"/>
          <w:b/>
          <w:color w:val="auto"/>
          <w:sz w:val="24"/>
          <w:szCs w:val="24"/>
          <w:lang w:val="en-US" w:eastAsia="zh-CN"/>
        </w:rPr>
        <w:t>9</w:t>
      </w:r>
      <w:r>
        <w:rPr>
          <w:rFonts w:hint="eastAsia" w:ascii="仿宋" w:hAnsi="仿宋" w:eastAsia="仿宋" w:cs="仿宋"/>
          <w:b/>
          <w:color w:val="auto"/>
          <w:sz w:val="24"/>
          <w:szCs w:val="24"/>
        </w:rPr>
        <w:t xml:space="preserve">.4详细评审 </w:t>
      </w:r>
    </w:p>
    <w:p w14:paraId="6DABE26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2</w:t>
      </w:r>
      <w:r>
        <w:rPr>
          <w:rFonts w:hint="eastAsia" w:ascii="仿宋" w:hAnsi="仿宋" w:eastAsia="仿宋" w:cs="仿宋"/>
          <w:sz w:val="24"/>
          <w:szCs w:val="24"/>
          <w:lang w:val="en-US" w:eastAsia="zh-CN"/>
        </w:rPr>
        <w:t>9</w:t>
      </w:r>
      <w:r>
        <w:rPr>
          <w:rFonts w:hint="eastAsia" w:ascii="仿宋" w:hAnsi="仿宋" w:eastAsia="仿宋" w:cs="仿宋"/>
          <w:sz w:val="24"/>
          <w:szCs w:val="24"/>
        </w:rPr>
        <w:t>.</w:t>
      </w:r>
      <w:r>
        <w:rPr>
          <w:rFonts w:hint="eastAsia" w:ascii="仿宋" w:hAnsi="仿宋" w:eastAsia="仿宋" w:cs="仿宋"/>
          <w:sz w:val="24"/>
          <w:szCs w:val="24"/>
          <w:lang w:val="en-US" w:eastAsia="zh-CN"/>
        </w:rPr>
        <w:t>4.1</w:t>
      </w:r>
      <w:r>
        <w:rPr>
          <w:rFonts w:hint="eastAsia" w:ascii="仿宋" w:hAnsi="仿宋" w:eastAsia="仿宋" w:cs="仿宋"/>
          <w:spacing w:val="-2"/>
          <w:sz w:val="24"/>
          <w:szCs w:val="24"/>
        </w:rPr>
        <w:t>经初步评审合格的响应文件，</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当根据磋商文件确定的评审标准和方法，对其技术和商务部分作进一步详细评审和比较。</w:t>
      </w:r>
    </w:p>
    <w:p w14:paraId="5273E4B7">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磋商小组</w:t>
      </w:r>
      <w:r>
        <w:rPr>
          <w:rFonts w:hint="eastAsia" w:ascii="仿宋" w:hAnsi="仿宋" w:eastAsia="仿宋" w:cs="仿宋"/>
          <w:sz w:val="24"/>
          <w:szCs w:val="24"/>
        </w:rPr>
        <w:t>将采用综合评分法对响应文件所载明的供应商的响应报价、技术、商务响应文件的编制质量等内容进行打分，依据得分从高到低的顺序最终确定成交候选人，</w:t>
      </w:r>
      <w:r>
        <w:rPr>
          <w:rFonts w:hint="eastAsia" w:ascii="仿宋" w:hAnsi="仿宋" w:eastAsia="仿宋" w:cs="仿宋"/>
          <w:b/>
          <w:sz w:val="24"/>
          <w:szCs w:val="24"/>
        </w:rPr>
        <w:t>最低报价不作为成交的唯一依据。</w:t>
      </w:r>
    </w:p>
    <w:p w14:paraId="74FD9543">
      <w:pPr>
        <w:keepNext w:val="0"/>
        <w:keepLines w:val="0"/>
        <w:pageBreakBefore w:val="0"/>
        <w:widowControl w:val="0"/>
        <w:kinsoku/>
        <w:wordWrap/>
        <w:overflowPunct/>
        <w:topLinePunct w:val="0"/>
        <w:bidi w:val="0"/>
        <w:adjustRightInd w:val="0"/>
        <w:snapToGrid w:val="0"/>
        <w:spacing w:line="360" w:lineRule="auto"/>
        <w:ind w:firstLine="474" w:firstLineChars="200"/>
        <w:textAlignment w:val="auto"/>
        <w:rPr>
          <w:rFonts w:hint="eastAsia" w:ascii="仿宋" w:hAnsi="仿宋" w:eastAsia="仿宋" w:cs="仿宋"/>
          <w:b/>
          <w:spacing w:val="-2"/>
          <w:sz w:val="24"/>
          <w:szCs w:val="24"/>
        </w:rPr>
      </w:pPr>
      <w:r>
        <w:rPr>
          <w:rFonts w:hint="eastAsia" w:ascii="仿宋" w:hAnsi="仿宋" w:eastAsia="仿宋" w:cs="仿宋"/>
          <w:b/>
          <w:spacing w:val="-2"/>
          <w:sz w:val="24"/>
          <w:szCs w:val="24"/>
        </w:rPr>
        <w:t>2</w:t>
      </w:r>
      <w:r>
        <w:rPr>
          <w:rFonts w:hint="eastAsia" w:ascii="仿宋" w:hAnsi="仿宋" w:eastAsia="仿宋" w:cs="仿宋"/>
          <w:b/>
          <w:spacing w:val="-2"/>
          <w:sz w:val="24"/>
          <w:szCs w:val="24"/>
          <w:lang w:val="en-US" w:eastAsia="zh-CN"/>
        </w:rPr>
        <w:t>9</w:t>
      </w:r>
      <w:r>
        <w:rPr>
          <w:rFonts w:hint="eastAsia" w:ascii="仿宋" w:hAnsi="仿宋" w:eastAsia="仿宋" w:cs="仿宋"/>
          <w:b/>
          <w:spacing w:val="-2"/>
          <w:sz w:val="24"/>
          <w:szCs w:val="24"/>
        </w:rPr>
        <w:t>.4.</w:t>
      </w:r>
      <w:r>
        <w:rPr>
          <w:rFonts w:hint="eastAsia" w:ascii="仿宋" w:hAnsi="仿宋" w:eastAsia="仿宋" w:cs="仿宋"/>
          <w:b/>
          <w:spacing w:val="-2"/>
          <w:sz w:val="24"/>
          <w:szCs w:val="24"/>
          <w:lang w:val="en-US" w:eastAsia="zh-CN"/>
        </w:rPr>
        <w:t>2</w:t>
      </w:r>
      <w:r>
        <w:rPr>
          <w:rFonts w:hint="eastAsia" w:ascii="仿宋" w:hAnsi="仿宋" w:eastAsia="仿宋" w:cs="仿宋"/>
          <w:b/>
          <w:spacing w:val="-2"/>
          <w:sz w:val="24"/>
          <w:szCs w:val="24"/>
        </w:rPr>
        <w:t>评审因素及标准(详见评分细则)</w:t>
      </w:r>
    </w:p>
    <w:p w14:paraId="773153B1">
      <w:pPr>
        <w:pStyle w:val="29"/>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报价评分标准：</w:t>
      </w:r>
    </w:p>
    <w:p w14:paraId="14661289">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综合评分法中的价格分统一采用低价优先法计算，即满足磋商文件要求且最后报价最低的供应商的价格为磋商基准价，其价格分为满分。</w:t>
      </w:r>
    </w:p>
    <w:p w14:paraId="2093EABD">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价格分占</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0</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权重；商务技术占</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0</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权重</w:t>
      </w:r>
      <w:r>
        <w:rPr>
          <w:rFonts w:hint="eastAsia" w:ascii="仿宋" w:hAnsi="仿宋" w:eastAsia="仿宋" w:cs="仿宋"/>
          <w:color w:val="auto"/>
          <w:sz w:val="24"/>
          <w:szCs w:val="24"/>
          <w:lang w:eastAsia="zh-CN"/>
        </w:rPr>
        <w:t>；</w:t>
      </w:r>
    </w:p>
    <w:p w14:paraId="2A6E49EF">
      <w:pPr>
        <w:pStyle w:val="29"/>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注：</w:t>
      </w:r>
      <w:r>
        <w:rPr>
          <w:rFonts w:hint="eastAsia" w:ascii="仿宋" w:hAnsi="仿宋" w:eastAsia="仿宋" w:cs="仿宋"/>
          <w:color w:val="auto"/>
          <w:sz w:val="24"/>
          <w:szCs w:val="24"/>
          <w:lang w:eastAsia="zh-CN"/>
        </w:rPr>
        <w:t>投标文件报价出现前后不一致的，除招标文件另有规定外，按照下列规定修正：</w:t>
      </w:r>
    </w:p>
    <w:p w14:paraId="2602213C">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(一)投标文件中开标一览表(报价表)内容与投标文件中相应内容不一致的，以开标一览表(报价表)为准;</w:t>
      </w:r>
    </w:p>
    <w:p w14:paraId="415229C4">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(二)大写金额和小写金额不一致的，以大写金额为准;</w:t>
      </w:r>
    </w:p>
    <w:p w14:paraId="6F396F42">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(三)单价金额小数点或者百分比有明显错位的，以开标一览表的总价为准，并修改单价;</w:t>
      </w:r>
    </w:p>
    <w:p w14:paraId="0299B6A5">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(四)总价金额与按单价汇总金额不一致的，以单价金额计算结果为准。</w:t>
      </w:r>
    </w:p>
    <w:p w14:paraId="271DA0D3">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同时出现两种以上不一致的，按照前款规定的顺序修正。修正后的报价按照本办法第五十一条第二款的规定经投标人确认后产生约束力，投标人不确认的，其投标无效。</w:t>
      </w:r>
    </w:p>
    <w:p w14:paraId="23F8B885">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详细评审：评标基准价=有效</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报价的最低值，有效</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报价等于基准值的得满分</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0分，</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报价得分=（评标基准价/</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报价）×价格权重×100。</w:t>
      </w:r>
    </w:p>
    <w:p w14:paraId="418B8AE2">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供应商在</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过程中，所进行的力图影</w:t>
      </w:r>
      <w:r>
        <w:rPr>
          <w:rFonts w:hint="eastAsia" w:ascii="仿宋" w:hAnsi="仿宋" w:eastAsia="仿宋" w:cs="仿宋"/>
          <w:color w:val="auto"/>
          <w:sz w:val="24"/>
          <w:szCs w:val="24"/>
          <w:lang w:val="en-US" w:eastAsia="zh-CN"/>
        </w:rPr>
        <w:t>响磋商结果的不</w:t>
      </w:r>
      <w:r>
        <w:rPr>
          <w:rFonts w:hint="eastAsia" w:ascii="仿宋" w:hAnsi="仿宋" w:eastAsia="仿宋" w:cs="仿宋"/>
          <w:color w:val="auto"/>
          <w:sz w:val="24"/>
          <w:szCs w:val="24"/>
        </w:rPr>
        <w:t>符合</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规则的活动，可能导致其被取消成交资格。</w:t>
      </w:r>
    </w:p>
    <w:p w14:paraId="756ED763">
      <w:pPr>
        <w:pStyle w:val="29"/>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与磋商文件有重大偏离的响应文件将被拒绝。</w:t>
      </w:r>
    </w:p>
    <w:p w14:paraId="78210B8E">
      <w:pPr>
        <w:pStyle w:val="12"/>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详细评审--商务技术打分表</w:t>
      </w:r>
    </w:p>
    <w:tbl>
      <w:tblPr>
        <w:tblStyle w:val="45"/>
        <w:tblpPr w:leftFromText="180" w:rightFromText="180" w:vertAnchor="text" w:horzAnchor="page" w:tblpXSpec="center" w:tblpY="846"/>
        <w:tblOverlap w:val="never"/>
        <w:tblW w:w="99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046"/>
        <w:gridCol w:w="787"/>
        <w:gridCol w:w="7468"/>
      </w:tblGrid>
      <w:tr w14:paraId="09017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75" w:type="dxa"/>
            <w:tcBorders>
              <w:tl2br w:val="nil"/>
            </w:tcBorders>
            <w:shd w:val="clear" w:color="auto" w:fill="FFFFFF"/>
            <w:vAlign w:val="center"/>
          </w:tcPr>
          <w:p w14:paraId="4F28415E">
            <w:pPr>
              <w:keepNext w:val="0"/>
              <w:keepLines w:val="0"/>
              <w:pageBreakBefore w:val="0"/>
              <w:widowControl w:val="0"/>
              <w:kinsoku/>
              <w:wordWrap/>
              <w:overflowPunct/>
              <w:topLinePunct w:val="0"/>
              <w:autoSpaceDE/>
              <w:autoSpaceDN/>
              <w:bidi w:val="0"/>
              <w:adjustRightInd/>
              <w:snapToGrid w:val="0"/>
              <w:spacing w:before="0" w:line="240" w:lineRule="auto"/>
              <w:ind w:left="97" w:right="0"/>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序号</w:t>
            </w:r>
          </w:p>
        </w:tc>
        <w:tc>
          <w:tcPr>
            <w:tcW w:w="1046" w:type="dxa"/>
            <w:shd w:val="clear" w:color="auto" w:fill="FFFFFF"/>
            <w:vAlign w:val="center"/>
          </w:tcPr>
          <w:p w14:paraId="3D7E8941">
            <w:pPr>
              <w:keepNext w:val="0"/>
              <w:keepLines w:val="0"/>
              <w:pageBreakBefore w:val="0"/>
              <w:widowControl w:val="0"/>
              <w:kinsoku/>
              <w:wordWrap/>
              <w:overflowPunct/>
              <w:topLinePunct w:val="0"/>
              <w:autoSpaceDE/>
              <w:autoSpaceDN/>
              <w:bidi w:val="0"/>
              <w:adjustRightInd/>
              <w:snapToGrid w:val="0"/>
              <w:spacing w:before="0" w:line="240" w:lineRule="auto"/>
              <w:ind w:right="0" w:rightChars="0"/>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评审内容</w:t>
            </w:r>
          </w:p>
        </w:tc>
        <w:tc>
          <w:tcPr>
            <w:tcW w:w="787" w:type="dxa"/>
            <w:shd w:val="clear" w:color="auto" w:fill="FFFFFF"/>
            <w:vAlign w:val="center"/>
          </w:tcPr>
          <w:p w14:paraId="78ECF3C8">
            <w:pPr>
              <w:keepNext w:val="0"/>
              <w:keepLines w:val="0"/>
              <w:pageBreakBefore w:val="0"/>
              <w:widowControl w:val="0"/>
              <w:kinsoku/>
              <w:wordWrap/>
              <w:overflowPunct/>
              <w:topLinePunct w:val="0"/>
              <w:autoSpaceDE/>
              <w:autoSpaceDN/>
              <w:bidi w:val="0"/>
              <w:adjustRightInd/>
              <w:snapToGrid w:val="0"/>
              <w:spacing w:line="240" w:lineRule="auto"/>
              <w:ind w:left="154"/>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单项</w:t>
            </w:r>
          </w:p>
          <w:p w14:paraId="043D382D">
            <w:pPr>
              <w:keepNext w:val="0"/>
              <w:keepLines w:val="0"/>
              <w:pageBreakBefore w:val="0"/>
              <w:widowControl w:val="0"/>
              <w:kinsoku/>
              <w:wordWrap/>
              <w:overflowPunct/>
              <w:topLinePunct w:val="0"/>
              <w:autoSpaceDE/>
              <w:autoSpaceDN/>
              <w:bidi w:val="0"/>
              <w:adjustRightInd/>
              <w:snapToGrid w:val="0"/>
              <w:spacing w:before="0" w:line="240" w:lineRule="auto"/>
              <w:ind w:left="154"/>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分值</w:t>
            </w:r>
          </w:p>
        </w:tc>
        <w:tc>
          <w:tcPr>
            <w:tcW w:w="7468" w:type="dxa"/>
            <w:shd w:val="clear" w:color="auto" w:fill="FFFFFF"/>
            <w:vAlign w:val="center"/>
          </w:tcPr>
          <w:p w14:paraId="04124302">
            <w:pPr>
              <w:keepNext w:val="0"/>
              <w:keepLines w:val="0"/>
              <w:pageBreakBefore w:val="0"/>
              <w:widowControl w:val="0"/>
              <w:kinsoku/>
              <w:wordWrap/>
              <w:overflowPunct/>
              <w:topLinePunct w:val="0"/>
              <w:autoSpaceDE/>
              <w:autoSpaceDN/>
              <w:bidi w:val="0"/>
              <w:adjustRightInd/>
              <w:snapToGrid w:val="0"/>
              <w:spacing w:before="0" w:line="240" w:lineRule="auto"/>
              <w:ind w:right="0" w:rightChars="0"/>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评分范围</w:t>
            </w:r>
          </w:p>
        </w:tc>
      </w:tr>
      <w:tr w14:paraId="12D45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675" w:type="dxa"/>
            <w:shd w:val="clear" w:color="auto" w:fill="FFFFFF"/>
            <w:vAlign w:val="center"/>
          </w:tcPr>
          <w:p w14:paraId="4BFFA4D0">
            <w:pPr>
              <w:keepNext w:val="0"/>
              <w:keepLines w:val="0"/>
              <w:pageBreakBefore w:val="0"/>
              <w:widowControl w:val="0"/>
              <w:kinsoku/>
              <w:wordWrap/>
              <w:overflowPunct/>
              <w:topLinePunct w:val="0"/>
              <w:autoSpaceDE/>
              <w:autoSpaceDN/>
              <w:bidi w:val="0"/>
              <w:adjustRightInd/>
              <w:snapToGrid w:val="0"/>
              <w:spacing w:before="0" w:line="240" w:lineRule="auto"/>
              <w:ind w:left="9"/>
              <w:jc w:val="center"/>
              <w:textAlignment w:val="auto"/>
              <w:rPr>
                <w:rFonts w:hint="eastAsia" w:ascii="仿宋" w:hAnsi="仿宋" w:eastAsia="仿宋" w:cs="仿宋"/>
                <w:color w:val="000000"/>
                <w:sz w:val="21"/>
                <w:szCs w:val="21"/>
                <w:highlight w:val="none"/>
                <w:lang w:eastAsia="en-US"/>
              </w:rPr>
            </w:pPr>
            <w:r>
              <w:rPr>
                <w:rFonts w:hint="eastAsia" w:ascii="仿宋" w:hAnsi="仿宋" w:eastAsia="仿宋" w:cs="仿宋"/>
                <w:color w:val="000000"/>
                <w:sz w:val="21"/>
                <w:szCs w:val="21"/>
                <w:highlight w:val="none"/>
                <w:lang w:eastAsia="en-US"/>
              </w:rPr>
              <w:t>1</w:t>
            </w:r>
          </w:p>
        </w:tc>
        <w:tc>
          <w:tcPr>
            <w:tcW w:w="1046" w:type="dxa"/>
            <w:shd w:val="clear" w:color="auto" w:fill="FFFFFF"/>
            <w:vAlign w:val="center"/>
          </w:tcPr>
          <w:p w14:paraId="43ABFFE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en-US"/>
              </w:rPr>
            </w:pPr>
            <w:r>
              <w:rPr>
                <w:rFonts w:hint="eastAsia" w:ascii="仿宋" w:hAnsi="仿宋" w:eastAsia="仿宋" w:cs="仿宋"/>
                <w:color w:val="000000"/>
                <w:sz w:val="21"/>
                <w:szCs w:val="21"/>
                <w:highlight w:val="none"/>
                <w:lang w:eastAsia="en-US"/>
              </w:rPr>
              <w:t>企业业绩</w:t>
            </w:r>
          </w:p>
        </w:tc>
        <w:tc>
          <w:tcPr>
            <w:tcW w:w="787" w:type="dxa"/>
            <w:shd w:val="clear" w:color="auto" w:fill="FFFFFF"/>
            <w:vAlign w:val="center"/>
          </w:tcPr>
          <w:p w14:paraId="05F01853">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15</w:t>
            </w:r>
          </w:p>
        </w:tc>
        <w:tc>
          <w:tcPr>
            <w:tcW w:w="7468" w:type="dxa"/>
            <w:shd w:val="clear" w:color="auto" w:fill="FFFFFF"/>
            <w:vAlign w:val="center"/>
          </w:tcPr>
          <w:p w14:paraId="031E9849">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供应商</w:t>
            </w:r>
            <w:r>
              <w:rPr>
                <w:rFonts w:hint="eastAsia" w:ascii="仿宋" w:hAnsi="仿宋" w:eastAsia="仿宋" w:cs="仿宋"/>
                <w:color w:val="000000"/>
                <w:sz w:val="21"/>
                <w:szCs w:val="21"/>
                <w:highlight w:val="none"/>
                <w:lang w:eastAsia="zh-CN"/>
              </w:rPr>
              <w:t>提供近三年类似项目业绩（</w:t>
            </w:r>
            <w:r>
              <w:rPr>
                <w:rFonts w:hint="eastAsia" w:ascii="仿宋" w:hAnsi="仿宋" w:eastAsia="仿宋" w:cs="仿宋"/>
                <w:color w:val="000000"/>
                <w:sz w:val="21"/>
                <w:szCs w:val="21"/>
                <w:highlight w:val="none"/>
                <w:lang w:val="en-US" w:eastAsia="zh-CN"/>
              </w:rPr>
              <w:t>2023年1月1日至今</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lang w:val="en-US" w:eastAsia="zh-CN"/>
              </w:rPr>
              <w:t>每提供一项有效业绩得3分，本项满分15分。</w:t>
            </w:r>
            <w:r>
              <w:rPr>
                <w:rFonts w:hint="eastAsia" w:ascii="仿宋" w:hAnsi="仿宋" w:eastAsia="仿宋" w:cs="仿宋"/>
                <w:color w:val="000000"/>
                <w:sz w:val="21"/>
                <w:szCs w:val="21"/>
                <w:highlight w:val="none"/>
                <w:lang w:eastAsia="zh-CN"/>
              </w:rPr>
              <w:t>（需提供清晰</w:t>
            </w:r>
            <w:r>
              <w:rPr>
                <w:rFonts w:hint="eastAsia" w:ascii="仿宋" w:hAnsi="仿宋" w:eastAsia="仿宋" w:cs="仿宋"/>
                <w:color w:val="000000"/>
                <w:sz w:val="21"/>
                <w:szCs w:val="21"/>
                <w:highlight w:val="none"/>
                <w:lang w:val="en-US" w:eastAsia="zh-CN"/>
              </w:rPr>
              <w:t>的中标通知书或合同</w:t>
            </w:r>
            <w:r>
              <w:rPr>
                <w:rFonts w:hint="eastAsia" w:ascii="仿宋" w:hAnsi="仿宋" w:eastAsia="仿宋" w:cs="仿宋"/>
                <w:color w:val="000000"/>
                <w:sz w:val="21"/>
                <w:szCs w:val="21"/>
                <w:highlight w:val="none"/>
                <w:lang w:eastAsia="zh-CN"/>
              </w:rPr>
              <w:t>复印件并加盖供应商公章，否则不予计算业绩）。</w:t>
            </w:r>
          </w:p>
        </w:tc>
      </w:tr>
      <w:tr w14:paraId="334F0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jc w:val="center"/>
        </w:trPr>
        <w:tc>
          <w:tcPr>
            <w:tcW w:w="675" w:type="dxa"/>
            <w:shd w:val="clear" w:color="auto" w:fill="FFFFFF"/>
            <w:vAlign w:val="center"/>
          </w:tcPr>
          <w:p w14:paraId="01859B85">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en-US" w:bidi="ar-SA"/>
              </w:rPr>
            </w:pPr>
            <w:r>
              <w:rPr>
                <w:rFonts w:hint="eastAsia" w:ascii="仿宋" w:hAnsi="仿宋" w:eastAsia="仿宋" w:cs="仿宋"/>
                <w:color w:val="000000"/>
                <w:kern w:val="0"/>
                <w:sz w:val="21"/>
                <w:szCs w:val="21"/>
                <w:highlight w:val="none"/>
                <w:lang w:eastAsia="en-US"/>
              </w:rPr>
              <w:t>2</w:t>
            </w:r>
          </w:p>
        </w:tc>
        <w:tc>
          <w:tcPr>
            <w:tcW w:w="1046" w:type="dxa"/>
            <w:shd w:val="clear" w:color="auto" w:fill="FFFFFF"/>
            <w:vAlign w:val="center"/>
          </w:tcPr>
          <w:p w14:paraId="3E7CBEB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val="en-US" w:eastAsia="en-US"/>
              </w:rPr>
            </w:pPr>
            <w:r>
              <w:rPr>
                <w:rFonts w:hint="eastAsia" w:ascii="仿宋" w:hAnsi="仿宋" w:eastAsia="仿宋" w:cs="仿宋"/>
                <w:color w:val="000000"/>
                <w:sz w:val="21"/>
                <w:szCs w:val="21"/>
                <w:highlight w:val="none"/>
                <w:lang w:val="en-US" w:eastAsia="en-US"/>
              </w:rPr>
              <w:t>项目负责人</w:t>
            </w:r>
          </w:p>
          <w:p w14:paraId="7B1B895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en-US"/>
              </w:rPr>
            </w:pPr>
          </w:p>
        </w:tc>
        <w:tc>
          <w:tcPr>
            <w:tcW w:w="787" w:type="dxa"/>
            <w:shd w:val="clear" w:color="auto" w:fill="FFFFFF"/>
            <w:vAlign w:val="center"/>
          </w:tcPr>
          <w:p w14:paraId="79B4C035">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11</w:t>
            </w:r>
          </w:p>
        </w:tc>
        <w:tc>
          <w:tcPr>
            <w:tcW w:w="7468" w:type="dxa"/>
            <w:shd w:val="clear" w:color="auto" w:fill="FFFFFF"/>
            <w:vAlign w:val="center"/>
          </w:tcPr>
          <w:p w14:paraId="172A85CF">
            <w:pPr>
              <w:keepNext w:val="0"/>
              <w:keepLines w:val="0"/>
              <w:pageBreakBefore w:val="0"/>
              <w:widowControl w:val="0"/>
              <w:numPr>
                <w:ilvl w:val="-1"/>
                <w:numId w:val="0"/>
              </w:numPr>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1.项目负责人（总监理工程师）具有工程类中级及以上职称的得3分；具有工程类高级及以上职称的得5分；未提供不得分。</w:t>
            </w:r>
          </w:p>
          <w:p w14:paraId="2ABE7B7B">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注：需提供身份证、职称证书、注册证、劳动合同或社保。</w:t>
            </w:r>
          </w:p>
          <w:p w14:paraId="6CDD40B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（扫描件加盖供应商公章）</w:t>
            </w:r>
          </w:p>
          <w:p w14:paraId="1D64E046">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2.项目负责人业绩：提供项目负责人近三年（2023年1月1日-至今）（以合同签订时间为准）类似项目业绩，每提供一项得3分，最高得6分。</w:t>
            </w:r>
          </w:p>
          <w:p w14:paraId="26FE5F4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注：需提供中标（成交）通知书或合同关键页。</w:t>
            </w:r>
          </w:p>
          <w:p w14:paraId="0CB4384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eastAsia="zh-CN"/>
              </w:rPr>
              <w:t>需提供清晰</w:t>
            </w:r>
            <w:r>
              <w:rPr>
                <w:rFonts w:hint="eastAsia" w:ascii="仿宋" w:hAnsi="仿宋" w:eastAsia="仿宋" w:cs="仿宋"/>
                <w:color w:val="000000"/>
                <w:sz w:val="21"/>
                <w:szCs w:val="21"/>
                <w:highlight w:val="none"/>
                <w:lang w:val="en-US" w:eastAsia="zh-CN"/>
              </w:rPr>
              <w:t>的中标通知书或合同</w:t>
            </w:r>
            <w:r>
              <w:rPr>
                <w:rFonts w:hint="eastAsia" w:ascii="仿宋" w:hAnsi="仿宋" w:eastAsia="仿宋" w:cs="仿宋"/>
                <w:color w:val="000000"/>
                <w:sz w:val="21"/>
                <w:szCs w:val="21"/>
                <w:highlight w:val="none"/>
                <w:lang w:eastAsia="zh-CN"/>
              </w:rPr>
              <w:t>复印件并加盖供应商公章，</w:t>
            </w:r>
            <w:r>
              <w:rPr>
                <w:rFonts w:hint="eastAsia" w:ascii="仿宋" w:hAnsi="仿宋" w:eastAsia="仿宋" w:cs="仿宋"/>
                <w:color w:val="000000"/>
                <w:sz w:val="21"/>
                <w:szCs w:val="21"/>
                <w:highlight w:val="none"/>
                <w:lang w:val="en-US" w:eastAsia="zh-CN"/>
              </w:rPr>
              <w:t>业绩证明材料须反映项目负责人）</w:t>
            </w:r>
          </w:p>
        </w:tc>
      </w:tr>
      <w:tr w14:paraId="512B2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jc w:val="center"/>
        </w:trPr>
        <w:tc>
          <w:tcPr>
            <w:tcW w:w="675" w:type="dxa"/>
            <w:shd w:val="clear" w:color="auto" w:fill="FFFFFF"/>
            <w:vAlign w:val="center"/>
          </w:tcPr>
          <w:p w14:paraId="620C9A5E">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3</w:t>
            </w:r>
          </w:p>
        </w:tc>
        <w:tc>
          <w:tcPr>
            <w:tcW w:w="1046" w:type="dxa"/>
            <w:shd w:val="clear" w:color="auto" w:fill="FFFFFF"/>
            <w:vAlign w:val="center"/>
          </w:tcPr>
          <w:p w14:paraId="73B75040">
            <w:pPr>
              <w:pStyle w:val="59"/>
              <w:kinsoku/>
              <w:autoSpaceDE/>
              <w:autoSpaceDN/>
              <w:snapToGrid w:val="0"/>
              <w:spacing w:line="240" w:lineRule="auto"/>
              <w:ind w:left="62"/>
              <w:jc w:val="center"/>
              <w:rPr>
                <w:rFonts w:hint="eastAsia" w:ascii="仿宋" w:hAnsi="仿宋" w:eastAsia="仿宋" w:cs="仿宋"/>
                <w:color w:val="000000"/>
                <w:kern w:val="2"/>
                <w:sz w:val="21"/>
                <w:szCs w:val="21"/>
                <w:highlight w:val="none"/>
                <w:lang w:val="en-US" w:eastAsia="en-US" w:bidi="ar-SA"/>
              </w:rPr>
            </w:pPr>
            <w:r>
              <w:rPr>
                <w:rFonts w:hint="eastAsia" w:ascii="仿宋" w:hAnsi="仿宋" w:eastAsia="仿宋" w:cs="仿宋"/>
                <w:color w:val="000000"/>
                <w:kern w:val="2"/>
                <w:sz w:val="21"/>
                <w:szCs w:val="21"/>
                <w:highlight w:val="none"/>
                <w:lang w:val="en-US" w:eastAsia="zh-CN" w:bidi="ar-SA"/>
              </w:rPr>
              <w:t>项目组专业人员</w:t>
            </w:r>
          </w:p>
        </w:tc>
        <w:tc>
          <w:tcPr>
            <w:tcW w:w="787" w:type="dxa"/>
            <w:shd w:val="clear" w:color="auto" w:fill="FFFFFF"/>
            <w:vAlign w:val="center"/>
          </w:tcPr>
          <w:p w14:paraId="75AF406A">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6</w:t>
            </w:r>
          </w:p>
        </w:tc>
        <w:tc>
          <w:tcPr>
            <w:tcW w:w="7468" w:type="dxa"/>
            <w:shd w:val="clear" w:color="auto" w:fill="FFFFFF"/>
            <w:vAlign w:val="center"/>
          </w:tcPr>
          <w:p w14:paraId="32D25081">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需根据本项目监理服务内容拟派项目团队人员（不含总监理工程师），拟派人员需熟悉监理工作任务，具有同类工作经验，至少需包含以下人员（职务）：</w:t>
            </w:r>
          </w:p>
          <w:p w14:paraId="0F83CF6D">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专业监理工程师不少于3人：须具有监理员培训合格证书，在本单位注册且在有效期内，满足得3分；每增加1名有效人员加1分；本项最高得6分。</w:t>
            </w:r>
          </w:p>
          <w:p w14:paraId="58520EA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注：需同时提供以下证明材料：①提供各人员相对应的资格证书（注册类证书）；②有效期内的劳动合同或本单位为其缴纳的社保证明材料；③身份证、职称证（如有）、上岗证（如有）。</w:t>
            </w:r>
          </w:p>
          <w:p w14:paraId="4594827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所有材料须提供原件彩色扫描件并加盖单位公章，残缺不全、模糊难辨或未完整提供不予计分。</w:t>
            </w:r>
          </w:p>
        </w:tc>
      </w:tr>
      <w:tr w14:paraId="3AE89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675" w:type="dxa"/>
            <w:shd w:val="clear" w:color="auto" w:fill="FFFFFF"/>
            <w:vAlign w:val="center"/>
          </w:tcPr>
          <w:p w14:paraId="54D76B4C">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4</w:t>
            </w:r>
          </w:p>
        </w:tc>
        <w:tc>
          <w:tcPr>
            <w:tcW w:w="1046" w:type="dxa"/>
            <w:shd w:val="clear" w:color="auto" w:fill="FFFFFF"/>
            <w:vAlign w:val="center"/>
          </w:tcPr>
          <w:p w14:paraId="27600A7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履约承诺</w:t>
            </w:r>
          </w:p>
        </w:tc>
        <w:tc>
          <w:tcPr>
            <w:tcW w:w="787" w:type="dxa"/>
            <w:shd w:val="clear" w:color="auto" w:fill="FFFFFF"/>
            <w:vAlign w:val="center"/>
          </w:tcPr>
          <w:p w14:paraId="16531811">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w:t>
            </w:r>
          </w:p>
        </w:tc>
        <w:tc>
          <w:tcPr>
            <w:tcW w:w="7468" w:type="dxa"/>
            <w:shd w:val="clear" w:color="auto" w:fill="FFFFFF"/>
            <w:vAlign w:val="center"/>
          </w:tcPr>
          <w:p w14:paraId="0678CE4A">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供应商</w:t>
            </w:r>
            <w:r>
              <w:rPr>
                <w:rFonts w:hint="eastAsia" w:ascii="仿宋" w:hAnsi="仿宋" w:eastAsia="仿宋" w:cs="仿宋"/>
                <w:color w:val="000000"/>
                <w:sz w:val="21"/>
                <w:szCs w:val="21"/>
                <w:highlight w:val="none"/>
                <w:lang w:val="en-US" w:eastAsia="zh-CN"/>
              </w:rPr>
              <w:t>需承诺项目监理工作人员</w:t>
            </w:r>
            <w:r>
              <w:rPr>
                <w:rFonts w:hint="eastAsia" w:ascii="仿宋" w:hAnsi="仿宋" w:eastAsia="仿宋" w:cs="仿宋"/>
                <w:b w:val="0"/>
                <w:bCs/>
                <w:color w:val="000000"/>
                <w:sz w:val="21"/>
                <w:szCs w:val="21"/>
                <w:highlight w:val="none"/>
                <w:lang w:val="en-US" w:eastAsia="zh-CN"/>
              </w:rPr>
              <w:t>未尽到</w:t>
            </w:r>
            <w:r>
              <w:rPr>
                <w:rFonts w:hint="eastAsia" w:ascii="仿宋" w:hAnsi="仿宋" w:eastAsia="仿宋" w:cs="仿宋"/>
                <w:color w:val="000000"/>
                <w:sz w:val="21"/>
                <w:szCs w:val="21"/>
                <w:highlight w:val="none"/>
                <w:lang w:val="en-US" w:eastAsia="zh-CN"/>
              </w:rPr>
              <w:t>监理职责做出处理方案的承诺；提供承诺得1分，不提供不得分。（格式自拟）</w:t>
            </w:r>
          </w:p>
        </w:tc>
      </w:tr>
      <w:tr w14:paraId="43095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675" w:type="dxa"/>
            <w:shd w:val="clear" w:color="auto" w:fill="FFFFFF"/>
            <w:vAlign w:val="center"/>
          </w:tcPr>
          <w:p w14:paraId="1259EB1B">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5</w:t>
            </w:r>
          </w:p>
        </w:tc>
        <w:tc>
          <w:tcPr>
            <w:tcW w:w="1046" w:type="dxa"/>
            <w:shd w:val="clear" w:color="auto" w:fill="FFFFFF"/>
            <w:vAlign w:val="center"/>
          </w:tcPr>
          <w:p w14:paraId="2851C39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进度保证方案</w:t>
            </w:r>
          </w:p>
        </w:tc>
        <w:tc>
          <w:tcPr>
            <w:tcW w:w="787" w:type="dxa"/>
            <w:shd w:val="clear" w:color="auto" w:fill="FFFFFF"/>
            <w:vAlign w:val="center"/>
          </w:tcPr>
          <w:p w14:paraId="1E43DF7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10</w:t>
            </w:r>
          </w:p>
        </w:tc>
        <w:tc>
          <w:tcPr>
            <w:tcW w:w="7468" w:type="dxa"/>
            <w:shd w:val="clear" w:color="auto" w:fill="FFFFFF"/>
            <w:vAlign w:val="center"/>
          </w:tcPr>
          <w:p w14:paraId="543F04EE">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投标供应商提供</w:t>
            </w:r>
            <w:r>
              <w:rPr>
                <w:rFonts w:hint="eastAsia" w:ascii="仿宋" w:hAnsi="仿宋" w:eastAsia="仿宋" w:cs="仿宋"/>
                <w:color w:val="000000"/>
                <w:sz w:val="21"/>
                <w:szCs w:val="21"/>
                <w:highlight w:val="none"/>
                <w:lang w:eastAsia="zh-CN"/>
              </w:rPr>
              <w:t>完整</w:t>
            </w:r>
            <w:r>
              <w:rPr>
                <w:rFonts w:hint="eastAsia" w:ascii="仿宋" w:hAnsi="仿宋" w:eastAsia="仿宋" w:cs="仿宋"/>
                <w:color w:val="000000"/>
                <w:sz w:val="21"/>
                <w:szCs w:val="21"/>
                <w:highlight w:val="none"/>
                <w:lang w:val="en-GB" w:eastAsia="zh-CN"/>
              </w:rPr>
              <w:t>进度控制方案</w:t>
            </w:r>
            <w:r>
              <w:rPr>
                <w:rFonts w:hint="eastAsia" w:ascii="仿宋" w:hAnsi="仿宋" w:eastAsia="仿宋" w:cs="仿宋"/>
                <w:color w:val="000000"/>
                <w:sz w:val="21"/>
                <w:szCs w:val="21"/>
                <w:highlight w:val="none"/>
                <w:lang w:eastAsia="zh-CN"/>
              </w:rPr>
              <w:t>、详细、思路清晰、能体现预控水平和全面控制水平，</w:t>
            </w:r>
            <w:r>
              <w:rPr>
                <w:rFonts w:hint="eastAsia" w:ascii="仿宋" w:hAnsi="仿宋" w:eastAsia="仿宋" w:cs="仿宋"/>
                <w:color w:val="000000"/>
                <w:sz w:val="21"/>
                <w:szCs w:val="21"/>
                <w:highlight w:val="none"/>
                <w:lang w:val="en-US" w:eastAsia="zh-CN"/>
              </w:rPr>
              <w:t>包含但不限于：</w:t>
            </w:r>
          </w:p>
          <w:p w14:paraId="4D01A1C1">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①进度</w:t>
            </w:r>
            <w:r>
              <w:rPr>
                <w:rFonts w:hint="eastAsia" w:ascii="仿宋" w:hAnsi="仿宋" w:eastAsia="仿宋" w:cs="仿宋"/>
                <w:color w:val="000000"/>
                <w:sz w:val="21"/>
                <w:szCs w:val="21"/>
                <w:highlight w:val="none"/>
                <w:lang w:eastAsia="zh-CN"/>
              </w:rPr>
              <w:t>控制目标；</w:t>
            </w:r>
          </w:p>
          <w:p w14:paraId="2F27161F">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②进度控制计划；</w:t>
            </w:r>
          </w:p>
          <w:p w14:paraId="2A667F7C">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③</w:t>
            </w:r>
            <w:r>
              <w:rPr>
                <w:rFonts w:hint="eastAsia" w:ascii="仿宋" w:hAnsi="仿宋" w:eastAsia="仿宋" w:cs="仿宋"/>
                <w:color w:val="000000"/>
                <w:sz w:val="21"/>
                <w:szCs w:val="21"/>
                <w:highlight w:val="none"/>
                <w:lang w:val="en-US" w:eastAsia="zh-CN"/>
              </w:rPr>
              <w:t>进度</w:t>
            </w:r>
            <w:r>
              <w:rPr>
                <w:rFonts w:hint="eastAsia" w:ascii="仿宋" w:hAnsi="仿宋" w:eastAsia="仿宋" w:cs="仿宋"/>
                <w:color w:val="000000"/>
                <w:sz w:val="21"/>
                <w:szCs w:val="21"/>
                <w:highlight w:val="none"/>
                <w:lang w:eastAsia="zh-CN"/>
              </w:rPr>
              <w:t>节点把控；</w:t>
            </w:r>
          </w:p>
          <w:p w14:paraId="1D992213">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④</w:t>
            </w:r>
            <w:r>
              <w:rPr>
                <w:rFonts w:hint="eastAsia" w:ascii="仿宋" w:hAnsi="仿宋" w:eastAsia="仿宋" w:cs="仿宋"/>
                <w:color w:val="000000"/>
                <w:sz w:val="21"/>
                <w:szCs w:val="21"/>
                <w:highlight w:val="none"/>
                <w:lang w:val="en-US" w:eastAsia="zh-CN"/>
              </w:rPr>
              <w:t>进度</w:t>
            </w:r>
            <w:r>
              <w:rPr>
                <w:rFonts w:hint="eastAsia" w:ascii="仿宋" w:hAnsi="仿宋" w:eastAsia="仿宋" w:cs="仿宋"/>
                <w:color w:val="000000"/>
                <w:sz w:val="21"/>
                <w:szCs w:val="21"/>
                <w:highlight w:val="none"/>
                <w:lang w:eastAsia="zh-CN"/>
              </w:rPr>
              <w:t>控制措施；</w:t>
            </w:r>
          </w:p>
          <w:p w14:paraId="16F1C0E1">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⑤减少工程延期发生的防范对策。</w:t>
            </w:r>
          </w:p>
          <w:p w14:paraId="45828470">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以上方案内容完整清晰明确且科学合理、可行性高具有针对性并满足采购需求的得10分，每缺少一项内容扣2分；每有一项内容不完整或未能满足采购需求的或每有一处不具有针对性或逻辑性错误且不完整的扣1分；扣完为止。</w:t>
            </w:r>
          </w:p>
          <w:p w14:paraId="22C80A4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2BD33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675" w:type="dxa"/>
            <w:shd w:val="clear" w:color="auto" w:fill="FFFFFF"/>
            <w:vAlign w:val="center"/>
          </w:tcPr>
          <w:p w14:paraId="72C982B9">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6</w:t>
            </w:r>
          </w:p>
        </w:tc>
        <w:tc>
          <w:tcPr>
            <w:tcW w:w="1046" w:type="dxa"/>
            <w:shd w:val="clear" w:color="auto" w:fill="FFFFFF"/>
            <w:vAlign w:val="center"/>
          </w:tcPr>
          <w:p w14:paraId="2707CA3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质量控制措施</w:t>
            </w:r>
          </w:p>
        </w:tc>
        <w:tc>
          <w:tcPr>
            <w:tcW w:w="787" w:type="dxa"/>
            <w:shd w:val="clear" w:color="auto" w:fill="FFFFFF"/>
            <w:vAlign w:val="center"/>
          </w:tcPr>
          <w:p w14:paraId="5F65098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8</w:t>
            </w:r>
          </w:p>
        </w:tc>
        <w:tc>
          <w:tcPr>
            <w:tcW w:w="7468" w:type="dxa"/>
            <w:shd w:val="clear" w:color="auto" w:fill="FFFFFF"/>
            <w:vAlign w:val="center"/>
          </w:tcPr>
          <w:p w14:paraId="403830A6">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供应商根据本项目需求提供详细的质量控制措施，内容包含但不限于：</w:t>
            </w:r>
          </w:p>
          <w:p w14:paraId="7A5181C0">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①质量目标；</w:t>
            </w:r>
          </w:p>
          <w:p w14:paraId="67D1A058">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②质量保证体系；</w:t>
            </w:r>
          </w:p>
          <w:p w14:paraId="6397E389">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③重点难点分析（质量方面）；</w:t>
            </w:r>
          </w:p>
          <w:p w14:paraId="1592FE7E">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④主要分部、分项工程（工序）质量控制措施等内容。</w:t>
            </w:r>
          </w:p>
          <w:p w14:paraId="0A487EAB">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以上方案内容完整清晰明确且科学合理、可行性高具有针对性并满足采购需求的得8分，每缺少一项内容扣2分；每有一项内容不完整或未能满足采购需求的或每有一处不具有针对性或逻辑性错误且不完整的扣1分；扣完为止。</w:t>
            </w:r>
          </w:p>
          <w:p w14:paraId="59531F7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6DF22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675" w:type="dxa"/>
            <w:shd w:val="clear" w:color="auto" w:fill="FFFFFF"/>
            <w:vAlign w:val="center"/>
          </w:tcPr>
          <w:p w14:paraId="5709E2BB">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7</w:t>
            </w:r>
          </w:p>
        </w:tc>
        <w:tc>
          <w:tcPr>
            <w:tcW w:w="1046" w:type="dxa"/>
            <w:shd w:val="clear" w:color="auto" w:fill="FFFFFF"/>
            <w:vAlign w:val="center"/>
          </w:tcPr>
          <w:p w14:paraId="5C53838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安全控制</w:t>
            </w:r>
            <w:r>
              <w:rPr>
                <w:rFonts w:hint="eastAsia" w:ascii="仿宋" w:hAnsi="仿宋" w:eastAsia="仿宋" w:cs="仿宋"/>
                <w:color w:val="000000"/>
                <w:sz w:val="21"/>
                <w:szCs w:val="21"/>
                <w:highlight w:val="none"/>
                <w:lang w:val="en-US" w:eastAsia="zh-CN"/>
              </w:rPr>
              <w:t>措施</w:t>
            </w:r>
          </w:p>
        </w:tc>
        <w:tc>
          <w:tcPr>
            <w:tcW w:w="787" w:type="dxa"/>
            <w:shd w:val="clear" w:color="auto" w:fill="FFFFFF"/>
            <w:vAlign w:val="center"/>
          </w:tcPr>
          <w:p w14:paraId="230E8B5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8</w:t>
            </w:r>
          </w:p>
        </w:tc>
        <w:tc>
          <w:tcPr>
            <w:tcW w:w="7468" w:type="dxa"/>
            <w:shd w:val="clear" w:color="auto" w:fill="FFFFFF"/>
            <w:vAlign w:val="center"/>
          </w:tcPr>
          <w:p w14:paraId="50E464B0">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根据供应商提供的安全生产管理的监理工作方案，内容描述清晰、可行、目标明确，措施得力且符合本项目实际需求，</w:t>
            </w:r>
            <w:r>
              <w:rPr>
                <w:rFonts w:hint="eastAsia" w:ascii="仿宋" w:hAnsi="仿宋" w:eastAsia="仿宋" w:cs="仿宋"/>
                <w:color w:val="000000"/>
                <w:sz w:val="21"/>
                <w:szCs w:val="21"/>
                <w:highlight w:val="none"/>
                <w:lang w:val="en-US" w:eastAsia="zh-CN"/>
              </w:rPr>
              <w:t>包含但不限于：</w:t>
            </w:r>
          </w:p>
          <w:p w14:paraId="3304350F">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①</w:t>
            </w:r>
            <w:r>
              <w:rPr>
                <w:rFonts w:hint="eastAsia" w:ascii="仿宋" w:hAnsi="仿宋" w:eastAsia="仿宋" w:cs="仿宋"/>
                <w:color w:val="000000"/>
                <w:sz w:val="21"/>
                <w:szCs w:val="21"/>
                <w:highlight w:val="none"/>
                <w:lang w:eastAsia="zh-CN"/>
              </w:rPr>
              <w:t>安全生产管理的监理工作目标；</w:t>
            </w:r>
          </w:p>
          <w:p w14:paraId="3622322C">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②</w:t>
            </w:r>
            <w:r>
              <w:rPr>
                <w:rFonts w:hint="eastAsia" w:ascii="仿宋" w:hAnsi="仿宋" w:eastAsia="仿宋" w:cs="仿宋"/>
                <w:color w:val="000000"/>
                <w:sz w:val="21"/>
                <w:szCs w:val="21"/>
                <w:highlight w:val="none"/>
                <w:lang w:eastAsia="zh-CN"/>
              </w:rPr>
              <w:t>工作制度责任清晰；</w:t>
            </w:r>
          </w:p>
          <w:p w14:paraId="78E51079">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③</w:t>
            </w:r>
            <w:r>
              <w:rPr>
                <w:rFonts w:hint="eastAsia" w:ascii="仿宋" w:hAnsi="仿宋" w:eastAsia="仿宋" w:cs="仿宋"/>
                <w:color w:val="000000"/>
                <w:sz w:val="21"/>
                <w:szCs w:val="21"/>
                <w:highlight w:val="none"/>
                <w:lang w:eastAsia="zh-CN"/>
              </w:rPr>
              <w:t>管理方法；</w:t>
            </w:r>
          </w:p>
          <w:p w14:paraId="510EC0EB">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④</w:t>
            </w:r>
            <w:r>
              <w:rPr>
                <w:rFonts w:hint="eastAsia" w:ascii="仿宋" w:hAnsi="仿宋" w:eastAsia="仿宋" w:cs="仿宋"/>
                <w:color w:val="000000"/>
                <w:sz w:val="21"/>
                <w:szCs w:val="21"/>
                <w:highlight w:val="none"/>
                <w:lang w:eastAsia="zh-CN"/>
              </w:rPr>
              <w:t>安全生产管理。</w:t>
            </w:r>
          </w:p>
          <w:p w14:paraId="63490E22">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以上方案内容完整清晰明确且科学合理、可行性高具有针对性并满足采购需求的得8分，每缺少一项内容扣2分；每有一项内容不完整或未能满足采购需求的或每有一处不具有针对性或逻辑性错误且不完整的扣1分；扣完为止。</w:t>
            </w:r>
          </w:p>
          <w:p w14:paraId="40152A6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22D24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675" w:type="dxa"/>
            <w:shd w:val="clear" w:color="auto" w:fill="FFFFFF"/>
            <w:vAlign w:val="center"/>
          </w:tcPr>
          <w:p w14:paraId="231A75AF">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8</w:t>
            </w:r>
          </w:p>
        </w:tc>
        <w:tc>
          <w:tcPr>
            <w:tcW w:w="1046" w:type="dxa"/>
            <w:shd w:val="clear" w:color="auto" w:fill="FFFFFF"/>
            <w:vAlign w:val="center"/>
          </w:tcPr>
          <w:p w14:paraId="57B10CA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组织协调方案</w:t>
            </w:r>
          </w:p>
        </w:tc>
        <w:tc>
          <w:tcPr>
            <w:tcW w:w="787" w:type="dxa"/>
            <w:shd w:val="clear" w:color="auto" w:fill="FFFFFF"/>
            <w:vAlign w:val="center"/>
          </w:tcPr>
          <w:p w14:paraId="303915C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9</w:t>
            </w:r>
          </w:p>
        </w:tc>
        <w:tc>
          <w:tcPr>
            <w:tcW w:w="7468" w:type="dxa"/>
            <w:shd w:val="clear" w:color="auto" w:fill="FFFFFF"/>
            <w:vAlign w:val="center"/>
          </w:tcPr>
          <w:p w14:paraId="0DE91035">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根据供应商提供的组织协调方案包含但不限于：</w:t>
            </w:r>
          </w:p>
          <w:p w14:paraId="75F3BDBD">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①协调的程序；</w:t>
            </w:r>
          </w:p>
          <w:p w14:paraId="0DE67EAC">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②协调的方法；</w:t>
            </w:r>
          </w:p>
          <w:p w14:paraId="678EDE40">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③协调措施。</w:t>
            </w:r>
          </w:p>
          <w:p w14:paraId="0B556A29">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以上方案内容完整清晰明确且科学合理、可行性高具有针对性并满足采购需求的得9分，每缺少一项内容扣3分；每有一项内容不完整或未能满足采购需求的或每有一处不具有针对性或逻辑性错误且不完整的扣1分；扣完为止。</w:t>
            </w:r>
          </w:p>
          <w:p w14:paraId="029C854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w:t>
            </w:r>
            <w:r>
              <w:rPr>
                <w:rFonts w:hint="eastAsia" w:ascii="仿宋" w:hAnsi="仿宋" w:eastAsia="仿宋" w:cs="仿宋"/>
                <w:color w:val="000000"/>
                <w:sz w:val="21"/>
                <w:szCs w:val="21"/>
                <w:highlight w:val="none"/>
                <w:lang w:eastAsia="zh-CN"/>
              </w:rPr>
              <w:t>情况不符；⑦该项内容套用其他项目内容。)</w:t>
            </w:r>
          </w:p>
        </w:tc>
      </w:tr>
      <w:tr w14:paraId="669E8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675" w:type="dxa"/>
            <w:shd w:val="clear" w:color="auto" w:fill="FFFFFF"/>
            <w:vAlign w:val="center"/>
          </w:tcPr>
          <w:p w14:paraId="342E504B">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9</w:t>
            </w:r>
          </w:p>
        </w:tc>
        <w:tc>
          <w:tcPr>
            <w:tcW w:w="1046" w:type="dxa"/>
            <w:shd w:val="clear" w:color="auto" w:fill="FFFFFF"/>
            <w:vAlign w:val="center"/>
          </w:tcPr>
          <w:p w14:paraId="3C52DCE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项目管理组织架构</w:t>
            </w:r>
          </w:p>
        </w:tc>
        <w:tc>
          <w:tcPr>
            <w:tcW w:w="787" w:type="dxa"/>
            <w:shd w:val="clear" w:color="auto" w:fill="FFFFFF"/>
            <w:vAlign w:val="center"/>
          </w:tcPr>
          <w:p w14:paraId="1718F3D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9</w:t>
            </w:r>
          </w:p>
        </w:tc>
        <w:tc>
          <w:tcPr>
            <w:tcW w:w="7468" w:type="dxa"/>
            <w:shd w:val="clear" w:color="auto" w:fill="FFFFFF"/>
            <w:vAlign w:val="center"/>
          </w:tcPr>
          <w:p w14:paraId="71851146">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供应商提供了项目管理组织架构包含但不限于：</w:t>
            </w:r>
          </w:p>
          <w:p w14:paraId="13FD4B1D">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①项目管理组织架构； </w:t>
            </w:r>
          </w:p>
          <w:p w14:paraId="566C7966">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②拟投入本项目各岗位人员安排；</w:t>
            </w:r>
          </w:p>
          <w:p w14:paraId="29D01393">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③岗位人员上岗培训及安全教育。 以上方案内容完整清晰明确且科学合理、可行性高具有针对性并满足采购需求的得9分，每缺少一项内容扣3分；每有一项内容不完整或未能满足采购需求的或每有一处不具有针对性或逻辑性错误且不完整的扣1分；扣完为止。</w:t>
            </w:r>
          </w:p>
          <w:p w14:paraId="5FD22A9B">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w:t>
            </w:r>
            <w:r>
              <w:rPr>
                <w:rFonts w:hint="eastAsia" w:ascii="仿宋" w:hAnsi="仿宋" w:eastAsia="仿宋" w:cs="仿宋"/>
                <w:color w:val="000000"/>
                <w:sz w:val="21"/>
                <w:szCs w:val="21"/>
                <w:highlight w:val="none"/>
                <w:lang w:eastAsia="zh-CN"/>
              </w:rPr>
              <w:t>情况不符；⑦该项内容套用其他项目内容。)</w:t>
            </w:r>
          </w:p>
        </w:tc>
      </w:tr>
      <w:tr w14:paraId="3158E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675" w:type="dxa"/>
            <w:shd w:val="clear" w:color="auto" w:fill="FFFFFF"/>
            <w:vAlign w:val="center"/>
          </w:tcPr>
          <w:p w14:paraId="6EF2A84B">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en-US" w:bidi="ar-SA"/>
              </w:rPr>
            </w:pPr>
            <w:r>
              <w:rPr>
                <w:rFonts w:hint="eastAsia" w:ascii="仿宋" w:hAnsi="仿宋" w:eastAsia="仿宋" w:cs="仿宋"/>
                <w:color w:val="000000"/>
                <w:kern w:val="0"/>
                <w:sz w:val="21"/>
                <w:szCs w:val="21"/>
                <w:highlight w:val="none"/>
                <w:lang w:val="en-US" w:eastAsia="zh-CN"/>
              </w:rPr>
              <w:t>10</w:t>
            </w:r>
          </w:p>
        </w:tc>
        <w:tc>
          <w:tcPr>
            <w:tcW w:w="1046" w:type="dxa"/>
            <w:shd w:val="clear" w:color="auto" w:fill="FFFFFF"/>
            <w:vAlign w:val="center"/>
          </w:tcPr>
          <w:p w14:paraId="19C25E4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变更控制方案</w:t>
            </w:r>
          </w:p>
        </w:tc>
        <w:tc>
          <w:tcPr>
            <w:tcW w:w="787" w:type="dxa"/>
            <w:shd w:val="clear" w:color="auto" w:fill="FFFFFF"/>
            <w:vAlign w:val="center"/>
          </w:tcPr>
          <w:p w14:paraId="0353F09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8</w:t>
            </w:r>
          </w:p>
        </w:tc>
        <w:tc>
          <w:tcPr>
            <w:tcW w:w="7468" w:type="dxa"/>
            <w:shd w:val="clear" w:color="auto" w:fill="FFFFFF"/>
            <w:vAlign w:val="center"/>
          </w:tcPr>
          <w:p w14:paraId="650734B0">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根据供应商提供的变更控制方案包含但不限于：</w:t>
            </w:r>
          </w:p>
          <w:p w14:paraId="30349448">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①建立变更控制管理流程；</w:t>
            </w:r>
          </w:p>
          <w:p w14:paraId="5D966133">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②对项目中出现的采购需求；</w:t>
            </w:r>
          </w:p>
          <w:p w14:paraId="1D179A0D">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③施工进度成本；</w:t>
            </w:r>
          </w:p>
          <w:p w14:paraId="2855934F">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④合同变更等制定合理的计划。</w:t>
            </w:r>
          </w:p>
          <w:p w14:paraId="4583757C">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以上方案内容完整清晰明确且科学合理、可行性高具有针对性并满足采购需求的得8分，每缺少一项内容扣2分；每有一项内容不完整或未能满足采购需求的或每有一处不具有针对性或逻辑性错误且不完整的扣1分；扣完为止。</w:t>
            </w:r>
          </w:p>
          <w:p w14:paraId="52992BA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7181A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675" w:type="dxa"/>
            <w:shd w:val="clear" w:color="auto" w:fill="FFFFFF"/>
            <w:vAlign w:val="center"/>
          </w:tcPr>
          <w:p w14:paraId="194D4E0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 w:val="21"/>
                <w:szCs w:val="21"/>
                <w:highlight w:val="none"/>
                <w:lang w:val="en-US" w:eastAsia="zh-CN"/>
              </w:rPr>
              <w:t>11</w:t>
            </w:r>
          </w:p>
        </w:tc>
        <w:tc>
          <w:tcPr>
            <w:tcW w:w="1046" w:type="dxa"/>
            <w:shd w:val="clear" w:color="auto" w:fill="FFFFFF"/>
            <w:vAlign w:val="center"/>
          </w:tcPr>
          <w:p w14:paraId="5C3F81D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val="en-US" w:eastAsia="en-US"/>
              </w:rPr>
            </w:pPr>
            <w:r>
              <w:rPr>
                <w:rFonts w:hint="eastAsia" w:ascii="仿宋" w:hAnsi="仿宋" w:eastAsia="仿宋" w:cs="仿宋"/>
                <w:color w:val="000000"/>
                <w:sz w:val="21"/>
                <w:szCs w:val="21"/>
                <w:highlight w:val="none"/>
                <w:lang w:val="en-US" w:eastAsia="zh-CN"/>
              </w:rPr>
              <w:t>监理工作重点、难点</w:t>
            </w:r>
          </w:p>
        </w:tc>
        <w:tc>
          <w:tcPr>
            <w:tcW w:w="787" w:type="dxa"/>
            <w:shd w:val="clear" w:color="auto" w:fill="FFFFFF"/>
            <w:vAlign w:val="center"/>
          </w:tcPr>
          <w:p w14:paraId="7A85870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w:t>
            </w:r>
          </w:p>
        </w:tc>
        <w:tc>
          <w:tcPr>
            <w:tcW w:w="7468" w:type="dxa"/>
            <w:shd w:val="clear" w:color="auto" w:fill="FFFFFF"/>
            <w:vAlign w:val="center"/>
          </w:tcPr>
          <w:p w14:paraId="24090636">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根据供应商针对本项目提供的以下两方面内容进行综合评审：</w:t>
            </w:r>
          </w:p>
          <w:p w14:paraId="61ECA451">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①针对本项目重点、难点分析；</w:t>
            </w:r>
          </w:p>
          <w:p w14:paraId="38C8DE29">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②相应解决方案。</w:t>
            </w:r>
          </w:p>
          <w:p w14:paraId="1042B893">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以上方案内容完整全面且科学合理、与项目技术需求吻合可行性高、思路清晰、层次结构细化，有具体详细的阐述且符合项目需求的得5分，每有一项内容缺失的扣2.5分，每有一项不适用本项目或无针对性或不够详实的扣1分（不适用本项目或无针对性或不够详实是指存在与项目实际情况无关、不符合现行规范要求、相关描述不全面，套用其他方案、凭空编造、逻辑漏洞、科学原理错误以及不可能实现的夸大情形等情况）。</w:t>
            </w:r>
          </w:p>
        </w:tc>
      </w:tr>
      <w:tr w14:paraId="318AA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jc w:val="center"/>
        </w:trPr>
        <w:tc>
          <w:tcPr>
            <w:tcW w:w="1721" w:type="dxa"/>
            <w:gridSpan w:val="2"/>
            <w:shd w:val="clear" w:color="auto" w:fill="FFFFFF"/>
            <w:vAlign w:val="center"/>
          </w:tcPr>
          <w:p w14:paraId="15766D19">
            <w:pPr>
              <w:keepNext w:val="0"/>
              <w:keepLines w:val="0"/>
              <w:pageBreakBefore w:val="0"/>
              <w:widowControl w:val="0"/>
              <w:kinsoku/>
              <w:wordWrap/>
              <w:overflowPunct/>
              <w:topLinePunct w:val="0"/>
              <w:autoSpaceDE/>
              <w:autoSpaceDN/>
              <w:bidi w:val="0"/>
              <w:adjustRightInd/>
              <w:snapToGrid w:val="0"/>
              <w:spacing w:before="0" w:line="240" w:lineRule="auto"/>
              <w:ind w:right="0"/>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合计</w:t>
            </w:r>
          </w:p>
        </w:tc>
        <w:tc>
          <w:tcPr>
            <w:tcW w:w="787" w:type="dxa"/>
            <w:shd w:val="clear" w:color="auto" w:fill="FFFFFF"/>
            <w:vAlign w:val="center"/>
          </w:tcPr>
          <w:p w14:paraId="5B873196">
            <w:pPr>
              <w:keepNext w:val="0"/>
              <w:keepLines w:val="0"/>
              <w:pageBreakBefore w:val="0"/>
              <w:widowControl w:val="0"/>
              <w:kinsoku/>
              <w:wordWrap/>
              <w:overflowPunct/>
              <w:topLinePunct w:val="0"/>
              <w:autoSpaceDE/>
              <w:autoSpaceDN/>
              <w:bidi w:val="0"/>
              <w:adjustRightInd/>
              <w:snapToGrid w:val="0"/>
              <w:spacing w:before="0" w:line="240" w:lineRule="auto"/>
              <w:ind w:right="0"/>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val="en-US" w:eastAsia="zh-CN"/>
              </w:rPr>
              <w:t>9</w:t>
            </w:r>
            <w:r>
              <w:rPr>
                <w:rFonts w:hint="eastAsia" w:ascii="仿宋" w:hAnsi="仿宋" w:eastAsia="仿宋" w:cs="仿宋"/>
                <w:color w:val="000000"/>
                <w:kern w:val="0"/>
                <w:sz w:val="21"/>
                <w:szCs w:val="21"/>
                <w:highlight w:val="none"/>
                <w:lang w:eastAsia="en-US"/>
              </w:rPr>
              <w:t>0</w:t>
            </w:r>
          </w:p>
        </w:tc>
        <w:tc>
          <w:tcPr>
            <w:tcW w:w="7468" w:type="dxa"/>
            <w:shd w:val="clear" w:color="auto" w:fill="FFFFFF"/>
            <w:vAlign w:val="center"/>
          </w:tcPr>
          <w:p w14:paraId="652C148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kern w:val="0"/>
                <w:sz w:val="21"/>
                <w:szCs w:val="21"/>
                <w:highlight w:val="none"/>
                <w:lang w:val="en-US" w:eastAsia="zh-CN"/>
              </w:rPr>
            </w:pPr>
          </w:p>
        </w:tc>
      </w:tr>
    </w:tbl>
    <w:p w14:paraId="7BB333B4">
      <w:pPr>
        <w:pageBreakBefore/>
        <w:snapToGrid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价格评审</w:t>
      </w:r>
    </w:p>
    <w:tbl>
      <w:tblPr>
        <w:tblStyle w:val="21"/>
        <w:tblpPr w:leftFromText="180" w:rightFromText="180" w:vertAnchor="text" w:horzAnchor="page" w:tblpX="1038" w:tblpY="78"/>
        <w:tblOverlap w:val="never"/>
        <w:tblW w:w="985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480"/>
        <w:gridCol w:w="8377"/>
      </w:tblGrid>
      <w:tr w14:paraId="754099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518" w:hRule="atLeast"/>
        </w:trPr>
        <w:tc>
          <w:tcPr>
            <w:tcW w:w="1480"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59C3040C">
            <w:pPr>
              <w:autoSpaceDE/>
              <w:autoSpaceDN/>
              <w:snapToGrid w:val="0"/>
              <w:spacing w:line="240" w:lineRule="auto"/>
              <w:ind w:left="58" w:right="55"/>
              <w:jc w:val="center"/>
              <w:rPr>
                <w:rFonts w:hint="eastAsia" w:ascii="仿宋" w:hAnsi="仿宋" w:eastAsia="仿宋" w:cs="仿宋"/>
                <w:color w:val="000000"/>
                <w:sz w:val="21"/>
                <w:szCs w:val="21"/>
              </w:rPr>
            </w:pPr>
            <w:r>
              <w:rPr>
                <w:rFonts w:hint="eastAsia" w:ascii="仿宋" w:hAnsi="仿宋" w:eastAsia="仿宋" w:cs="仿宋"/>
                <w:color w:val="000000"/>
                <w:sz w:val="21"/>
                <w:szCs w:val="21"/>
              </w:rPr>
              <w:t>报价得分计算方法</w:t>
            </w:r>
          </w:p>
        </w:tc>
        <w:tc>
          <w:tcPr>
            <w:tcW w:w="83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5DA4E">
            <w:pPr>
              <w:tabs>
                <w:tab w:val="left" w:pos="1889"/>
              </w:tabs>
              <w:autoSpaceDE/>
              <w:autoSpaceDN/>
              <w:snapToGrid w:val="0"/>
              <w:spacing w:line="240" w:lineRule="auto"/>
              <w:ind w:left="-2" w:leftChars="0"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价格分采用低价</w:t>
            </w:r>
            <w:r>
              <w:rPr>
                <w:rFonts w:hint="eastAsia" w:ascii="仿宋" w:hAnsi="仿宋" w:eastAsia="仿宋" w:cs="仿宋"/>
                <w:color w:val="000000"/>
                <w:sz w:val="21"/>
                <w:szCs w:val="21"/>
                <w:highlight w:val="none"/>
              </w:rPr>
              <w:t>优先法计算，即满足采购文件要求且价格最</w:t>
            </w:r>
            <w:r>
              <w:rPr>
                <w:rFonts w:hint="eastAsia" w:ascii="仿宋" w:hAnsi="仿宋" w:eastAsia="仿宋" w:cs="仿宋"/>
                <w:color w:val="000000"/>
                <w:sz w:val="21"/>
                <w:szCs w:val="21"/>
                <w:highlight w:val="none"/>
                <w:lang w:val="en-US" w:eastAsia="zh-CN"/>
              </w:rPr>
              <w:t>低</w:t>
            </w:r>
            <w:r>
              <w:rPr>
                <w:rFonts w:hint="eastAsia" w:ascii="仿宋" w:hAnsi="仿宋" w:eastAsia="仿宋" w:cs="仿宋"/>
                <w:color w:val="000000"/>
                <w:sz w:val="21"/>
                <w:szCs w:val="21"/>
                <w:highlight w:val="none"/>
              </w:rPr>
              <w:t>的报价为评标基准价，其价格分为满分。其</w:t>
            </w:r>
            <w:r>
              <w:rPr>
                <w:rFonts w:hint="eastAsia" w:ascii="仿宋" w:hAnsi="仿宋" w:eastAsia="仿宋" w:cs="仿宋"/>
                <w:color w:val="000000"/>
                <w:sz w:val="21"/>
                <w:szCs w:val="21"/>
              </w:rPr>
              <w:t>他供应商的价格分统一按照下列公式计算：</w:t>
            </w:r>
          </w:p>
          <w:p w14:paraId="2AE5FD27">
            <w:pPr>
              <w:tabs>
                <w:tab w:val="left" w:pos="1889"/>
              </w:tabs>
              <w:autoSpaceDE/>
              <w:autoSpaceDN/>
              <w:snapToGrid w:val="0"/>
              <w:spacing w:line="240" w:lineRule="auto"/>
              <w:ind w:left="-2" w:leftChars="0" w:firstLine="0" w:firstLineChars="0"/>
              <w:rPr>
                <w:rFonts w:hint="eastAsia" w:ascii="仿宋" w:hAnsi="仿宋" w:eastAsia="仿宋" w:cs="仿宋"/>
                <w:color w:val="000000"/>
                <w:sz w:val="21"/>
                <w:szCs w:val="21"/>
              </w:rPr>
            </w:pPr>
            <w:r>
              <w:rPr>
                <w:rFonts w:hint="eastAsia" w:ascii="仿宋" w:hAnsi="仿宋" w:eastAsia="仿宋" w:cs="仿宋"/>
                <w:color w:val="000000"/>
                <w:sz w:val="21"/>
                <w:szCs w:val="21"/>
              </w:rPr>
              <w:t>磋商报价得分=（磋商基准价</w:t>
            </w:r>
            <w:r>
              <w:rPr>
                <w:rFonts w:hint="eastAsia" w:ascii="仿宋" w:hAnsi="仿宋" w:eastAsia="仿宋" w:cs="仿宋"/>
                <w:color w:val="000000"/>
                <w:sz w:val="21"/>
                <w:szCs w:val="21"/>
                <w:lang w:val="en-US" w:eastAsia="zh-CN"/>
              </w:rPr>
              <w:t>/</w:t>
            </w:r>
            <w:r>
              <w:rPr>
                <w:rFonts w:hint="eastAsia" w:ascii="仿宋" w:hAnsi="仿宋" w:eastAsia="仿宋" w:cs="仿宋"/>
                <w:color w:val="000000"/>
                <w:sz w:val="21"/>
                <w:szCs w:val="21"/>
              </w:rPr>
              <w:t>最后报价）×</w:t>
            </w:r>
            <w:r>
              <w:rPr>
                <w:rFonts w:hint="eastAsia" w:ascii="仿宋" w:hAnsi="仿宋" w:eastAsia="仿宋" w:cs="仿宋"/>
                <w:color w:val="000000"/>
                <w:sz w:val="21"/>
                <w:szCs w:val="21"/>
                <w:lang w:val="en-US" w:eastAsia="zh-CN"/>
              </w:rPr>
              <w:t>1</w:t>
            </w:r>
            <w:r>
              <w:rPr>
                <w:rFonts w:hint="eastAsia" w:ascii="仿宋" w:hAnsi="仿宋" w:eastAsia="仿宋" w:cs="仿宋"/>
                <w:color w:val="000000"/>
                <w:sz w:val="21"/>
                <w:szCs w:val="21"/>
              </w:rPr>
              <w:t>0%×100</w:t>
            </w:r>
          </w:p>
          <w:p w14:paraId="124146FF">
            <w:pPr>
              <w:tabs>
                <w:tab w:val="left" w:pos="1889"/>
              </w:tabs>
              <w:autoSpaceDE/>
              <w:autoSpaceDN/>
              <w:snapToGrid w:val="0"/>
              <w:spacing w:line="240" w:lineRule="auto"/>
              <w:rPr>
                <w:rFonts w:hint="eastAsia" w:ascii="仿宋" w:hAnsi="仿宋" w:eastAsia="仿宋" w:cs="仿宋"/>
                <w:color w:val="000000"/>
                <w:sz w:val="21"/>
                <w:szCs w:val="21"/>
                <w:lang w:eastAsia="zh-CN"/>
              </w:rPr>
            </w:pPr>
            <w:r>
              <w:rPr>
                <w:rFonts w:hint="eastAsia" w:ascii="仿宋" w:hAnsi="仿宋" w:eastAsia="仿宋" w:cs="仿宋"/>
                <w:b w:val="0"/>
                <w:bCs/>
                <w:color w:val="000000"/>
                <w:sz w:val="21"/>
                <w:szCs w:val="21"/>
                <w:lang w:eastAsia="zh-CN"/>
              </w:rPr>
              <w:t>注：因本项目可兼投，不可兼中，开标顺序按照标段顺序进行，前一标段已中标单位不参与下一标段的价格评审。</w:t>
            </w:r>
          </w:p>
        </w:tc>
      </w:tr>
    </w:tbl>
    <w:tbl>
      <w:tblPr>
        <w:tblStyle w:val="21"/>
        <w:tblpPr w:leftFromText="180" w:rightFromText="180" w:vertAnchor="text" w:horzAnchor="page" w:tblpX="1139" w:tblpY="-5799"/>
        <w:tblOverlap w:val="never"/>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0"/>
      </w:tblGrid>
      <w:tr w14:paraId="0379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0" w:type="dxa"/>
            <w:tcBorders>
              <w:top w:val="single" w:color="000000" w:sz="4" w:space="0"/>
              <w:left w:val="single" w:color="000000" w:sz="4" w:space="0"/>
              <w:bottom w:val="single" w:color="000000" w:sz="4" w:space="0"/>
              <w:right w:val="single" w:color="000000" w:sz="4" w:space="0"/>
              <w:tl2br w:val="nil"/>
            </w:tcBorders>
            <w:shd w:val="clear" w:color="auto" w:fill="FFFFFF"/>
            <w:noWrap w:val="0"/>
            <w:vAlign w:val="top"/>
          </w:tcPr>
          <w:p w14:paraId="213AA56D">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en-US" w:eastAsia="zh-CN"/>
              </w:rPr>
              <w:t xml:space="preserve">    </w:t>
            </w:r>
            <w:r>
              <w:rPr>
                <w:rFonts w:hint="eastAsia" w:ascii="仿宋" w:hAnsi="仿宋" w:eastAsia="仿宋" w:cs="仿宋"/>
                <w:bCs/>
                <w:color w:val="000000"/>
                <w:kern w:val="2"/>
                <w:sz w:val="21"/>
                <w:szCs w:val="21"/>
                <w:lang w:val="zh-CN"/>
              </w:rPr>
              <w:t>根据中华人民共和国财政部、工业和信息化部《关于印发《政府采购促进中小企业发展管理办法》的通知》（财库[20</w:t>
            </w:r>
            <w:r>
              <w:rPr>
                <w:rFonts w:hint="eastAsia" w:ascii="仿宋" w:hAnsi="仿宋" w:eastAsia="仿宋" w:cs="仿宋"/>
                <w:bCs/>
                <w:color w:val="000000"/>
                <w:kern w:val="2"/>
                <w:sz w:val="21"/>
                <w:szCs w:val="21"/>
                <w:lang w:val="en-US"/>
              </w:rPr>
              <w:t>20</w:t>
            </w:r>
            <w:r>
              <w:rPr>
                <w:rFonts w:hint="eastAsia" w:ascii="仿宋" w:hAnsi="仿宋" w:eastAsia="仿宋" w:cs="仿宋"/>
                <w:bCs/>
                <w:color w:val="000000"/>
                <w:kern w:val="2"/>
                <w:sz w:val="21"/>
                <w:szCs w:val="21"/>
                <w:lang w:val="zh-CN"/>
              </w:rPr>
              <w:t>]</w:t>
            </w:r>
            <w:r>
              <w:rPr>
                <w:rFonts w:hint="eastAsia" w:ascii="仿宋" w:hAnsi="仿宋" w:eastAsia="仿宋" w:cs="仿宋"/>
                <w:bCs/>
                <w:color w:val="000000"/>
                <w:kern w:val="2"/>
                <w:sz w:val="21"/>
                <w:szCs w:val="21"/>
                <w:lang w:val="en-US"/>
              </w:rPr>
              <w:t>46</w:t>
            </w:r>
            <w:r>
              <w:rPr>
                <w:rFonts w:hint="eastAsia" w:ascii="仿宋" w:hAnsi="仿宋" w:eastAsia="仿宋" w:cs="仿宋"/>
                <w:bCs/>
                <w:color w:val="000000"/>
                <w:kern w:val="2"/>
                <w:sz w:val="21"/>
                <w:szCs w:val="21"/>
                <w:lang w:val="zh-CN"/>
              </w:rPr>
              <w:t>号文）文件的规定,属于中小企业评审优惠内容及幅度如下:</w:t>
            </w:r>
          </w:p>
          <w:p w14:paraId="6B1A90E2">
            <w:pPr>
              <w:pStyle w:val="9"/>
              <w:numPr>
                <w:ilvl w:val="0"/>
                <w:numId w:val="3"/>
              </w:numPr>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中小企业(含中型、小型、微型企业)应当同时符合以下条件:</w:t>
            </w:r>
          </w:p>
          <w:p w14:paraId="1587DA13">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en-US"/>
              </w:rPr>
              <w:t>1</w:t>
            </w:r>
            <w:r>
              <w:rPr>
                <w:rFonts w:hint="eastAsia" w:ascii="仿宋" w:hAnsi="仿宋" w:eastAsia="仿宋" w:cs="仿宋"/>
                <w:bCs/>
                <w:color w:val="000000"/>
                <w:kern w:val="2"/>
                <w:sz w:val="21"/>
                <w:szCs w:val="21"/>
                <w:lang w:val="en-US" w:eastAsia="zh-CN"/>
              </w:rPr>
              <w:t>.</w:t>
            </w:r>
            <w:r>
              <w:rPr>
                <w:rFonts w:hint="eastAsia" w:ascii="仿宋" w:hAnsi="仿宋" w:eastAsia="仿宋" w:cs="仿宋"/>
                <w:bCs/>
                <w:color w:val="000000"/>
                <w:kern w:val="2"/>
                <w:sz w:val="21"/>
                <w:szCs w:val="21"/>
                <w:lang w:val="zh-CN"/>
              </w:rPr>
              <w:t>符合中小企业划分标准(按《关于印发中小企业划型标准规定的通知》(工信部联企业(2011)300号)执行)</w:t>
            </w:r>
          </w:p>
          <w:p w14:paraId="1A63CD6B">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2</w:t>
            </w:r>
            <w:r>
              <w:rPr>
                <w:rFonts w:hint="eastAsia" w:ascii="仿宋" w:hAnsi="仿宋" w:eastAsia="仿宋" w:cs="仿宋"/>
                <w:bCs/>
                <w:color w:val="000000"/>
                <w:kern w:val="2"/>
                <w:sz w:val="21"/>
                <w:szCs w:val="21"/>
                <w:lang w:val="en-US" w:eastAsia="zh-CN"/>
              </w:rPr>
              <w:t>.</w:t>
            </w:r>
            <w:r>
              <w:rPr>
                <w:rFonts w:hint="eastAsia" w:ascii="仿宋" w:hAnsi="仿宋" w:eastAsia="仿宋" w:cs="仿宋"/>
                <w:bCs/>
                <w:color w:val="000000"/>
                <w:kern w:val="2"/>
                <w:sz w:val="21"/>
                <w:szCs w:val="21"/>
                <w:lang w:val="zh-CN"/>
              </w:rPr>
              <w:t>提供本企业制造的货物、承担的项目或者服务,或者提供其他中小企业制造的货物。</w:t>
            </w:r>
          </w:p>
          <w:p w14:paraId="174E15B8">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本项所称货物不包括使用大型企业注册商标的货物;</w:t>
            </w:r>
          </w:p>
          <w:p w14:paraId="04CB6787">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3</w:t>
            </w:r>
            <w:r>
              <w:rPr>
                <w:rFonts w:hint="eastAsia" w:ascii="仿宋" w:hAnsi="仿宋" w:eastAsia="仿宋" w:cs="仿宋"/>
                <w:bCs/>
                <w:color w:val="000000"/>
                <w:kern w:val="2"/>
                <w:sz w:val="21"/>
                <w:szCs w:val="21"/>
                <w:lang w:val="en-US" w:eastAsia="zh-CN"/>
              </w:rPr>
              <w:t>.</w:t>
            </w:r>
            <w:r>
              <w:rPr>
                <w:rFonts w:hint="eastAsia" w:ascii="仿宋" w:hAnsi="仿宋" w:eastAsia="仿宋" w:cs="仿宋"/>
                <w:bCs/>
                <w:color w:val="000000"/>
                <w:kern w:val="2"/>
                <w:sz w:val="21"/>
                <w:szCs w:val="21"/>
                <w:lang w:val="zh-CN"/>
              </w:rPr>
              <w:t>小型、微型企业提供中型企业制造的货物的,视同为中型企业。</w:t>
            </w:r>
          </w:p>
          <w:p w14:paraId="1AE6D188">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(二)价格扣除办法:</w:t>
            </w:r>
          </w:p>
          <w:p w14:paraId="53588981">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color w:val="000000"/>
                <w:szCs w:val="21"/>
              </w:rPr>
              <w:t>本项目为非专门面向中小企业采购项目，根据《政府采购促进中小企业发展管理办法》（财库[2020]46 号）及《关于进一步加大政府采购支持中小企业力度的通知》（财库〔2022〕19 号）的规定，对符合的中小企业给予10%的价格扣除，用扣除后的价格参加评审。</w:t>
            </w:r>
            <w:r>
              <w:rPr>
                <w:rFonts w:hint="eastAsia" w:ascii="仿宋" w:hAnsi="仿宋" w:eastAsia="仿宋" w:cs="仿宋"/>
                <w:bCs/>
                <w:color w:val="000000"/>
                <w:kern w:val="2"/>
                <w:sz w:val="21"/>
                <w:szCs w:val="21"/>
                <w:lang w:val="zh-CN"/>
              </w:rPr>
              <w:t>；</w:t>
            </w:r>
          </w:p>
          <w:p w14:paraId="09AD409A">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(三)小型和微型企业适用价格扣除办法时应提供的相关资料:</w:t>
            </w:r>
          </w:p>
          <w:p w14:paraId="3197441A">
            <w:pPr>
              <w:pStyle w:val="9"/>
              <w:snapToGrid w:val="0"/>
              <w:spacing w:after="0"/>
              <w:rPr>
                <w:rFonts w:hint="eastAsia" w:ascii="仿宋" w:hAnsi="仿宋" w:eastAsia="仿宋" w:cs="仿宋"/>
                <w:color w:val="000000"/>
                <w:sz w:val="21"/>
                <w:szCs w:val="21"/>
              </w:rPr>
            </w:pPr>
            <w:r>
              <w:rPr>
                <w:rFonts w:hint="eastAsia" w:ascii="仿宋" w:hAnsi="仿宋" w:eastAsia="仿宋" w:cs="仿宋"/>
                <w:bCs/>
                <w:color w:val="000000"/>
                <w:kern w:val="2"/>
                <w:sz w:val="21"/>
                <w:szCs w:val="21"/>
                <w:lang w:val="zh-CN"/>
              </w:rPr>
              <w:t>《中小企业声明函》或残疾人福利性单位声明函。</w:t>
            </w:r>
          </w:p>
          <w:p w14:paraId="184F3906">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en-US" w:eastAsia="zh-CN"/>
              </w:rPr>
              <w:t>供应商</w:t>
            </w:r>
            <w:r>
              <w:rPr>
                <w:rFonts w:hint="eastAsia" w:ascii="仿宋" w:hAnsi="仿宋" w:eastAsia="仿宋" w:cs="仿宋"/>
                <w:bCs/>
                <w:color w:val="000000"/>
                <w:kern w:val="2"/>
                <w:sz w:val="21"/>
                <w:szCs w:val="21"/>
                <w:lang w:val="zh-CN"/>
              </w:rPr>
              <w:t>应提供以上材料,否则将不给予价格扣除。</w:t>
            </w:r>
          </w:p>
          <w:p w14:paraId="68769345">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若所供应产品为进口产品的,不适用《政府采购促进中小企业发展暂行办法》。</w:t>
            </w:r>
          </w:p>
          <w:p w14:paraId="4549275E">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残疾人福利性单位、监狱企业仅需提供声明函,不须要提供其他证明材料。</w:t>
            </w:r>
          </w:p>
        </w:tc>
      </w:tr>
    </w:tbl>
    <w:p w14:paraId="1B5DC03C">
      <w:pPr>
        <w:pStyle w:val="12"/>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center"/>
        <w:textAlignment w:val="auto"/>
        <w:rPr>
          <w:rFonts w:hint="eastAsia" w:ascii="仿宋" w:hAnsi="仿宋" w:eastAsia="仿宋" w:cs="仿宋"/>
          <w:b/>
          <w:bCs/>
          <w:sz w:val="24"/>
          <w:szCs w:val="24"/>
        </w:rPr>
      </w:pPr>
    </w:p>
    <w:p w14:paraId="67EC18A1">
      <w:pPr>
        <w:keepNext w:val="0"/>
        <w:keepLines w:val="0"/>
        <w:pageBreakBefore w:val="0"/>
        <w:widowControl w:val="0"/>
        <w:tabs>
          <w:tab w:val="left" w:pos="4900"/>
        </w:tabs>
        <w:kinsoku/>
        <w:wordWrap/>
        <w:overflowPunct/>
        <w:topLinePunct w:val="0"/>
        <w:autoSpaceDE/>
        <w:autoSpaceDN/>
        <w:bidi w:val="0"/>
        <w:adjustRightInd/>
        <w:snapToGrid w:val="0"/>
        <w:spacing w:line="360" w:lineRule="auto"/>
        <w:ind w:firstLine="482" w:firstLineChars="200"/>
        <w:jc w:val="center"/>
        <w:textAlignment w:val="auto"/>
        <w:rPr>
          <w:rFonts w:hint="eastAsia" w:ascii="仿宋" w:hAnsi="仿宋" w:eastAsia="仿宋" w:cs="仿宋"/>
          <w:b/>
          <w:sz w:val="24"/>
          <w:szCs w:val="24"/>
        </w:rPr>
      </w:pPr>
      <w:r>
        <w:rPr>
          <w:rFonts w:hint="eastAsia" w:ascii="仿宋" w:hAnsi="仿宋" w:eastAsia="仿宋" w:cs="仿宋"/>
          <w:b/>
          <w:sz w:val="24"/>
          <w:szCs w:val="24"/>
        </w:rPr>
        <w:t>详细评审标准</w:t>
      </w:r>
    </w:p>
    <w:p w14:paraId="36AE3EB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1）客观评审因素</w:t>
      </w:r>
      <w:r>
        <w:rPr>
          <w:rFonts w:hint="eastAsia" w:ascii="仿宋" w:hAnsi="仿宋" w:eastAsia="仿宋" w:cs="仿宋"/>
          <w:b/>
          <w:bCs/>
          <w:sz w:val="24"/>
          <w:szCs w:val="24"/>
          <w:lang w:eastAsia="zh-CN"/>
        </w:rPr>
        <w:t>磋商小组</w:t>
      </w:r>
      <w:r>
        <w:rPr>
          <w:rFonts w:hint="eastAsia" w:ascii="仿宋" w:hAnsi="仿宋" w:eastAsia="仿宋" w:cs="仿宋"/>
          <w:b/>
          <w:bCs/>
          <w:sz w:val="24"/>
          <w:szCs w:val="24"/>
        </w:rPr>
        <w:t>协商打分，主观评审因素</w:t>
      </w:r>
      <w:r>
        <w:rPr>
          <w:rFonts w:hint="eastAsia" w:ascii="仿宋" w:hAnsi="仿宋" w:eastAsia="仿宋" w:cs="仿宋"/>
          <w:b/>
          <w:bCs/>
          <w:sz w:val="24"/>
          <w:szCs w:val="24"/>
          <w:lang w:eastAsia="zh-CN"/>
        </w:rPr>
        <w:t>磋商小组</w:t>
      </w:r>
      <w:r>
        <w:rPr>
          <w:rFonts w:hint="eastAsia" w:ascii="仿宋" w:hAnsi="仿宋" w:eastAsia="仿宋" w:cs="仿宋"/>
          <w:b/>
          <w:bCs/>
          <w:sz w:val="24"/>
          <w:szCs w:val="24"/>
        </w:rPr>
        <w:t>成员独立打分</w:t>
      </w:r>
    </w:p>
    <w:p w14:paraId="230ECA8E">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2）若出现综合得分相同的，按最终报价由低到高顺序排列名次；得分且最终报价相同的，按技术指标得分顺序排列名次。</w:t>
      </w:r>
    </w:p>
    <w:p w14:paraId="026FCEA0">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低于成本价不正当竞争预防措施：</w:t>
      </w:r>
    </w:p>
    <w:p w14:paraId="3F17252D">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（一）评审中出现下列情形之一的，评审委员会应当启动异常低价投标（响应）审查程序：</w:t>
      </w:r>
    </w:p>
    <w:p w14:paraId="29287BD1">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1.投标（响应）报价低于全部通过符合性审查供应商投标（响应）报价平均值50%的，即投标（响应）报价&lt;全部通过符合性审查供应商投标（响应）报价平均值×50%；</w:t>
      </w:r>
    </w:p>
    <w:p w14:paraId="08F0EF09">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2.投标（响应）报价低于通过符合性审查的次低报价供应商投标（响应）报价50%的，即投标（响应）报价&lt;通过符合性审查的次低报价供应商投标（响应）报价×50%；</w:t>
      </w:r>
    </w:p>
    <w:p w14:paraId="445F6737">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3.投标（响应）报价低于采购项目最高限价45%的，即投标（响应）报价&lt;采购项目最高限价×45%；</w:t>
      </w:r>
    </w:p>
    <w:p w14:paraId="0257A730">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4.评审委员会基于专业判断，认为供应商报价过低，有可能影响产品质量或者不能诚信履约的其他情形。</w:t>
      </w:r>
    </w:p>
    <w:p w14:paraId="76A92941">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采购人可以结合具体项目实际情况，提高上述第1项至第3项中启动异常低价投标（响应）审查的数值标准，但是最高不得超过65%。</w:t>
      </w:r>
    </w:p>
    <w:p w14:paraId="2E5EDA6B">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相关法律法规对供应商报价有规定的，从其规定。</w:t>
      </w:r>
    </w:p>
    <w:p w14:paraId="705E97D7">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2EDF22F">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8B48BE0">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0E13C2E">
      <w:pPr>
        <w:pStyle w:val="12"/>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b/>
          <w:bCs/>
          <w:sz w:val="24"/>
          <w:szCs w:val="24"/>
          <w:highlight w:val="none"/>
        </w:rPr>
      </w:pPr>
      <w:r>
        <w:rPr>
          <w:rFonts w:hint="eastAsia" w:ascii="仿宋" w:hAnsi="仿宋" w:eastAsia="仿宋" w:cs="仿宋"/>
          <w:kern w:val="0"/>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FB095AF">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30.</w:t>
      </w:r>
      <w:r>
        <w:rPr>
          <w:rFonts w:hint="eastAsia" w:ascii="仿宋" w:hAnsi="仿宋" w:eastAsia="仿宋" w:cs="仿宋"/>
          <w:b/>
          <w:bCs/>
          <w:sz w:val="24"/>
          <w:szCs w:val="24"/>
        </w:rPr>
        <w:t>定标原则</w:t>
      </w:r>
    </w:p>
    <w:p w14:paraId="13783F9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.1综合评分法，是指响应文件满足磋商文件全部实质性要求且按评分因素的量化指标评审得分最高的供应商为成交候选供应商的评审方法。</w:t>
      </w:r>
    </w:p>
    <w:p w14:paraId="1FF3FEA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.2</w:t>
      </w:r>
      <w:r>
        <w:rPr>
          <w:rFonts w:hint="eastAsia" w:ascii="仿宋" w:hAnsi="仿宋" w:eastAsia="仿宋" w:cs="仿宋"/>
          <w:sz w:val="24"/>
          <w:szCs w:val="24"/>
          <w:lang w:eastAsia="zh-CN"/>
        </w:rPr>
        <w:t>磋商小组</w:t>
      </w:r>
      <w:r>
        <w:rPr>
          <w:rFonts w:hint="eastAsia" w:ascii="仿宋" w:hAnsi="仿宋" w:eastAsia="仿宋" w:cs="仿宋"/>
          <w:sz w:val="24"/>
          <w:szCs w:val="24"/>
        </w:rPr>
        <w:t>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22E970B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.3采购人根据</w:t>
      </w:r>
      <w:r>
        <w:rPr>
          <w:rFonts w:hint="eastAsia" w:ascii="仿宋" w:hAnsi="仿宋" w:eastAsia="仿宋" w:cs="仿宋"/>
          <w:sz w:val="24"/>
          <w:szCs w:val="24"/>
          <w:lang w:eastAsia="zh-CN"/>
        </w:rPr>
        <w:t>磋商小组</w:t>
      </w:r>
      <w:r>
        <w:rPr>
          <w:rFonts w:hint="eastAsia" w:ascii="仿宋" w:hAnsi="仿宋" w:eastAsia="仿宋" w:cs="仿宋"/>
          <w:sz w:val="24"/>
          <w:szCs w:val="24"/>
        </w:rPr>
        <w:t>的评审报告，应当确定排名第一的成交候选人为成交人。排名第一的成交候选人放弃成交、因不可抗力不能履行合同、不按照磋商文件要求提交履约保证金，或者被查实存在影响成交结果的违法行为等情形，不符合成交条件的，采购人可以按照</w:t>
      </w:r>
      <w:r>
        <w:rPr>
          <w:rFonts w:hint="eastAsia" w:ascii="仿宋" w:hAnsi="仿宋" w:eastAsia="仿宋" w:cs="仿宋"/>
          <w:sz w:val="24"/>
          <w:szCs w:val="24"/>
          <w:lang w:eastAsia="zh-CN"/>
        </w:rPr>
        <w:t>磋商小组</w:t>
      </w:r>
      <w:r>
        <w:rPr>
          <w:rFonts w:hint="eastAsia" w:ascii="仿宋" w:hAnsi="仿宋" w:eastAsia="仿宋" w:cs="仿宋"/>
          <w:sz w:val="24"/>
          <w:szCs w:val="24"/>
        </w:rPr>
        <w:t>提出的成交候选人名单排序依次确定其他成交候选人为成交人，也可以重新采购。</w:t>
      </w:r>
    </w:p>
    <w:p w14:paraId="5053B56A">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注：若供应商报价中出现赠送、免费等字样需在备注中进行说明。若其单项或总体报价严重低于其他供应商报价，需向本项目</w:t>
      </w:r>
      <w:r>
        <w:rPr>
          <w:rFonts w:hint="eastAsia" w:ascii="仿宋" w:hAnsi="仿宋" w:eastAsia="仿宋" w:cs="仿宋"/>
          <w:b/>
          <w:bCs/>
          <w:sz w:val="24"/>
          <w:szCs w:val="24"/>
          <w:lang w:eastAsia="zh-CN"/>
        </w:rPr>
        <w:t>磋商小组</w:t>
      </w:r>
      <w:r>
        <w:rPr>
          <w:rFonts w:hint="eastAsia" w:ascii="仿宋" w:hAnsi="仿宋" w:eastAsia="仿宋" w:cs="仿宋"/>
          <w:b/>
          <w:bCs/>
          <w:sz w:val="24"/>
          <w:szCs w:val="24"/>
        </w:rPr>
        <w:t>做出陈述和答疑，</w:t>
      </w:r>
      <w:r>
        <w:rPr>
          <w:rFonts w:hint="eastAsia" w:ascii="仿宋" w:hAnsi="仿宋" w:eastAsia="仿宋" w:cs="仿宋"/>
          <w:b/>
          <w:bCs/>
          <w:sz w:val="24"/>
          <w:szCs w:val="24"/>
          <w:lang w:eastAsia="zh-CN"/>
        </w:rPr>
        <w:t>磋商小组</w:t>
      </w:r>
      <w:r>
        <w:rPr>
          <w:rFonts w:hint="eastAsia" w:ascii="仿宋" w:hAnsi="仿宋" w:eastAsia="仿宋" w:cs="仿宋"/>
          <w:b/>
          <w:bCs/>
          <w:sz w:val="24"/>
          <w:szCs w:val="24"/>
        </w:rPr>
        <w:t>依据其陈述和答疑内容评定其是否满足磋商文件要求。（若其陈述和答疑内容不满足招标要求，则视为无效标处理）。</w:t>
      </w:r>
    </w:p>
    <w:p w14:paraId="1D968DF0">
      <w:pPr>
        <w:keepNext w:val="0"/>
        <w:keepLines w:val="0"/>
        <w:pageBreakBefore w:val="0"/>
        <w:widowControl w:val="0"/>
        <w:kinsoku/>
        <w:wordWrap/>
        <w:overflowPunct/>
        <w:topLinePunct w:val="0"/>
        <w:bidi w:val="0"/>
        <w:snapToGrid w:val="0"/>
        <w:spacing w:line="360" w:lineRule="auto"/>
        <w:ind w:firstLine="482" w:firstLineChars="200"/>
        <w:jc w:val="center"/>
        <w:textAlignment w:val="auto"/>
        <w:rPr>
          <w:rFonts w:hint="eastAsia" w:ascii="仿宋" w:hAnsi="仿宋" w:eastAsia="仿宋" w:cs="仿宋"/>
          <w:b/>
          <w:sz w:val="24"/>
          <w:szCs w:val="24"/>
        </w:rPr>
      </w:pPr>
      <w:r>
        <w:rPr>
          <w:rFonts w:hint="eastAsia" w:ascii="仿宋" w:hAnsi="仿宋" w:eastAsia="仿宋" w:cs="仿宋"/>
          <w:b/>
          <w:sz w:val="24"/>
          <w:szCs w:val="24"/>
        </w:rPr>
        <w:t>授予合同</w:t>
      </w:r>
    </w:p>
    <w:p w14:paraId="229A261B">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lang w:val="en-US" w:eastAsia="zh-CN"/>
        </w:rPr>
        <w:t>31.</w:t>
      </w:r>
      <w:r>
        <w:rPr>
          <w:rFonts w:hint="eastAsia" w:ascii="仿宋" w:hAnsi="仿宋" w:eastAsia="仿宋" w:cs="仿宋"/>
          <w:bCs/>
          <w:sz w:val="24"/>
          <w:szCs w:val="24"/>
        </w:rPr>
        <w:t>合同授予标准</w:t>
      </w:r>
    </w:p>
    <w:p w14:paraId="5CC75A2B">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31</w:t>
      </w:r>
      <w:r>
        <w:rPr>
          <w:rFonts w:hint="eastAsia" w:ascii="仿宋" w:hAnsi="仿宋" w:eastAsia="仿宋" w:cs="仿宋"/>
          <w:bCs/>
          <w:spacing w:val="-2"/>
          <w:sz w:val="24"/>
          <w:szCs w:val="24"/>
        </w:rPr>
        <w:t>.1合同将授予被确定为实质上响应磋商文件要求且综合评分得分最高的供应商。</w:t>
      </w:r>
    </w:p>
    <w:p w14:paraId="79C5ED8E">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31</w:t>
      </w:r>
      <w:r>
        <w:rPr>
          <w:rFonts w:hint="eastAsia" w:ascii="仿宋" w:hAnsi="仿宋" w:eastAsia="仿宋" w:cs="仿宋"/>
          <w:bCs/>
          <w:spacing w:val="-2"/>
          <w:sz w:val="24"/>
          <w:szCs w:val="24"/>
        </w:rPr>
        <w:t>.2最低</w:t>
      </w:r>
      <w:r>
        <w:rPr>
          <w:rFonts w:hint="eastAsia" w:ascii="仿宋" w:hAnsi="仿宋" w:eastAsia="仿宋" w:cs="仿宋"/>
          <w:bCs/>
          <w:spacing w:val="-2"/>
          <w:sz w:val="24"/>
          <w:szCs w:val="24"/>
          <w:lang w:val="en-US" w:eastAsia="zh-CN"/>
        </w:rPr>
        <w:t>磋商报</w:t>
      </w:r>
      <w:r>
        <w:rPr>
          <w:rFonts w:hint="eastAsia" w:ascii="仿宋" w:hAnsi="仿宋" w:eastAsia="仿宋" w:cs="仿宋"/>
          <w:bCs/>
          <w:spacing w:val="-2"/>
          <w:sz w:val="24"/>
          <w:szCs w:val="24"/>
        </w:rPr>
        <w:t>价不一定是被授予合同的保证。</w:t>
      </w:r>
    </w:p>
    <w:p w14:paraId="5782387A">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31</w:t>
      </w:r>
      <w:r>
        <w:rPr>
          <w:rFonts w:hint="eastAsia" w:ascii="仿宋" w:hAnsi="仿宋" w:eastAsia="仿宋" w:cs="仿宋"/>
          <w:bCs/>
          <w:spacing w:val="-2"/>
          <w:sz w:val="24"/>
          <w:szCs w:val="24"/>
        </w:rPr>
        <w:t>.3如果确定该供应商不能无条件圆满履行合同，采购人将对下一个可能中标的供应商资格做出类似的审查。</w:t>
      </w:r>
    </w:p>
    <w:p w14:paraId="4221173F">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sz w:val="24"/>
          <w:szCs w:val="24"/>
          <w:lang w:eastAsia="zh-CN"/>
        </w:rPr>
      </w:pPr>
      <w:r>
        <w:rPr>
          <w:rFonts w:hint="eastAsia" w:ascii="仿宋" w:hAnsi="仿宋" w:eastAsia="仿宋" w:cs="仿宋"/>
          <w:bCs/>
          <w:sz w:val="24"/>
          <w:szCs w:val="24"/>
          <w:highlight w:val="none"/>
          <w:lang w:val="en-US" w:eastAsia="zh-CN"/>
        </w:rPr>
        <w:t>32.</w:t>
      </w:r>
      <w:r>
        <w:rPr>
          <w:rFonts w:hint="eastAsia" w:ascii="仿宋" w:hAnsi="仿宋" w:eastAsia="仿宋" w:cs="仿宋"/>
          <w:bCs/>
          <w:sz w:val="24"/>
          <w:szCs w:val="24"/>
          <w:lang w:eastAsia="zh-CN"/>
        </w:rPr>
        <w:t>成交通知书</w:t>
      </w:r>
    </w:p>
    <w:p w14:paraId="6630910B">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32</w:t>
      </w:r>
      <w:r>
        <w:rPr>
          <w:rFonts w:hint="eastAsia" w:ascii="仿宋" w:hAnsi="仿宋" w:eastAsia="仿宋" w:cs="仿宋"/>
          <w:bCs/>
          <w:spacing w:val="-2"/>
          <w:sz w:val="24"/>
          <w:szCs w:val="24"/>
        </w:rPr>
        <w:t>.1在公告</w:t>
      </w:r>
      <w:r>
        <w:rPr>
          <w:rFonts w:hint="eastAsia" w:ascii="仿宋" w:hAnsi="仿宋" w:eastAsia="仿宋" w:cs="仿宋"/>
          <w:bCs/>
          <w:spacing w:val="-2"/>
          <w:sz w:val="24"/>
          <w:szCs w:val="24"/>
          <w:lang w:eastAsia="zh-CN"/>
        </w:rPr>
        <w:t>成交结果</w:t>
      </w:r>
      <w:r>
        <w:rPr>
          <w:rFonts w:hint="eastAsia" w:ascii="仿宋" w:hAnsi="仿宋" w:eastAsia="仿宋" w:cs="仿宋"/>
          <w:bCs/>
          <w:spacing w:val="-2"/>
          <w:sz w:val="24"/>
          <w:szCs w:val="24"/>
        </w:rPr>
        <w:t>的同时，采购人或者采购代理机构应当向中标人发出</w:t>
      </w:r>
      <w:r>
        <w:rPr>
          <w:rFonts w:hint="eastAsia" w:ascii="仿宋" w:hAnsi="仿宋" w:eastAsia="仿宋" w:cs="仿宋"/>
          <w:bCs/>
          <w:spacing w:val="-2"/>
          <w:sz w:val="24"/>
          <w:szCs w:val="24"/>
          <w:lang w:eastAsia="zh-CN"/>
        </w:rPr>
        <w:t>成交通知书</w:t>
      </w:r>
      <w:r>
        <w:rPr>
          <w:rFonts w:hint="eastAsia" w:ascii="仿宋" w:hAnsi="仿宋" w:eastAsia="仿宋" w:cs="仿宋"/>
          <w:bCs/>
          <w:spacing w:val="-2"/>
          <w:sz w:val="24"/>
          <w:szCs w:val="24"/>
        </w:rPr>
        <w:t>，《</w:t>
      </w:r>
      <w:r>
        <w:rPr>
          <w:rFonts w:hint="eastAsia" w:ascii="仿宋" w:hAnsi="仿宋" w:eastAsia="仿宋" w:cs="仿宋"/>
          <w:bCs/>
          <w:spacing w:val="-2"/>
          <w:sz w:val="24"/>
          <w:szCs w:val="24"/>
          <w:lang w:eastAsia="zh-CN"/>
        </w:rPr>
        <w:t>成交通知书</w:t>
      </w:r>
      <w:r>
        <w:rPr>
          <w:rFonts w:hint="eastAsia" w:ascii="仿宋" w:hAnsi="仿宋" w:eastAsia="仿宋" w:cs="仿宋"/>
          <w:bCs/>
          <w:spacing w:val="-2"/>
          <w:sz w:val="24"/>
          <w:szCs w:val="24"/>
        </w:rPr>
        <w:t>》一经发出即发生法律效力。</w:t>
      </w:r>
    </w:p>
    <w:p w14:paraId="1F48A343">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33</w:t>
      </w:r>
      <w:r>
        <w:rPr>
          <w:rFonts w:hint="eastAsia" w:ascii="仿宋" w:hAnsi="仿宋" w:eastAsia="仿宋" w:cs="仿宋"/>
          <w:bCs/>
          <w:spacing w:val="-2"/>
          <w:sz w:val="24"/>
          <w:szCs w:val="24"/>
        </w:rPr>
        <w:t>.《</w:t>
      </w:r>
      <w:r>
        <w:rPr>
          <w:rFonts w:hint="eastAsia" w:ascii="仿宋" w:hAnsi="仿宋" w:eastAsia="仿宋" w:cs="仿宋"/>
          <w:bCs/>
          <w:spacing w:val="-2"/>
          <w:sz w:val="24"/>
          <w:szCs w:val="24"/>
          <w:lang w:eastAsia="zh-CN"/>
        </w:rPr>
        <w:t>成交通知书</w:t>
      </w:r>
      <w:r>
        <w:rPr>
          <w:rFonts w:hint="eastAsia" w:ascii="仿宋" w:hAnsi="仿宋" w:eastAsia="仿宋" w:cs="仿宋"/>
          <w:bCs/>
          <w:spacing w:val="-2"/>
          <w:sz w:val="24"/>
          <w:szCs w:val="24"/>
        </w:rPr>
        <w:t>》将作为签订合同的依据。</w:t>
      </w:r>
    </w:p>
    <w:p w14:paraId="6BC19BC1">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lang w:val="en-US" w:eastAsia="zh-CN"/>
        </w:rPr>
        <w:t>34.</w:t>
      </w:r>
      <w:r>
        <w:rPr>
          <w:rFonts w:hint="eastAsia" w:ascii="仿宋" w:hAnsi="仿宋" w:eastAsia="仿宋" w:cs="仿宋"/>
          <w:bCs/>
          <w:sz w:val="24"/>
          <w:szCs w:val="24"/>
        </w:rPr>
        <w:t>签订合同</w:t>
      </w:r>
    </w:p>
    <w:p w14:paraId="354784D2">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34</w:t>
      </w:r>
      <w:r>
        <w:rPr>
          <w:rFonts w:hint="eastAsia" w:ascii="仿宋" w:hAnsi="仿宋" w:eastAsia="仿宋" w:cs="仿宋"/>
          <w:bCs/>
          <w:spacing w:val="-2"/>
          <w:sz w:val="24"/>
          <w:szCs w:val="24"/>
        </w:rPr>
        <w:t>.1</w:t>
      </w:r>
      <w:r>
        <w:rPr>
          <w:rFonts w:hint="eastAsia" w:ascii="仿宋" w:hAnsi="仿宋" w:eastAsia="仿宋" w:cs="仿宋"/>
          <w:bCs/>
          <w:spacing w:val="-2"/>
          <w:sz w:val="24"/>
          <w:szCs w:val="24"/>
          <w:lang w:val="en-US" w:eastAsia="zh-CN"/>
        </w:rPr>
        <w:t>成交供应商</w:t>
      </w:r>
      <w:r>
        <w:rPr>
          <w:rFonts w:hint="eastAsia" w:ascii="仿宋" w:hAnsi="仿宋" w:eastAsia="仿宋" w:cs="仿宋"/>
          <w:bCs/>
          <w:spacing w:val="-2"/>
          <w:sz w:val="24"/>
          <w:szCs w:val="24"/>
        </w:rPr>
        <w:t>按照公开招标和</w:t>
      </w:r>
      <w:r>
        <w:rPr>
          <w:rFonts w:hint="eastAsia" w:ascii="仿宋" w:hAnsi="仿宋" w:eastAsia="仿宋" w:cs="仿宋"/>
          <w:bCs/>
          <w:spacing w:val="-2"/>
          <w:sz w:val="24"/>
          <w:szCs w:val="24"/>
          <w:lang w:val="en-US" w:eastAsia="zh-CN"/>
        </w:rPr>
        <w:t>成交供应商</w:t>
      </w:r>
      <w:r>
        <w:rPr>
          <w:rFonts w:hint="eastAsia" w:ascii="仿宋" w:hAnsi="仿宋" w:eastAsia="仿宋" w:cs="仿宋"/>
          <w:bCs/>
          <w:spacing w:val="-2"/>
          <w:sz w:val="24"/>
          <w:szCs w:val="24"/>
        </w:rPr>
        <w:t>所响应文件中的约定与买方签订书面合同，所签订的合同不得对公开招标和</w:t>
      </w:r>
      <w:r>
        <w:rPr>
          <w:rFonts w:hint="eastAsia" w:ascii="仿宋" w:hAnsi="仿宋" w:eastAsia="仿宋" w:cs="仿宋"/>
          <w:bCs/>
          <w:spacing w:val="-2"/>
          <w:sz w:val="24"/>
          <w:szCs w:val="24"/>
          <w:lang w:val="en-US" w:eastAsia="zh-CN"/>
        </w:rPr>
        <w:t>成交供应商</w:t>
      </w:r>
      <w:r>
        <w:rPr>
          <w:rFonts w:hint="eastAsia" w:ascii="仿宋" w:hAnsi="仿宋" w:eastAsia="仿宋" w:cs="仿宋"/>
          <w:bCs/>
          <w:spacing w:val="-2"/>
          <w:sz w:val="24"/>
          <w:szCs w:val="24"/>
        </w:rPr>
        <w:t>的响应文件作实质性修改。</w:t>
      </w:r>
    </w:p>
    <w:p w14:paraId="0F4BB62B">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34</w:t>
      </w:r>
      <w:r>
        <w:rPr>
          <w:rFonts w:hint="eastAsia" w:ascii="仿宋" w:hAnsi="仿宋" w:eastAsia="仿宋" w:cs="仿宋"/>
          <w:bCs/>
          <w:spacing w:val="-2"/>
          <w:sz w:val="24"/>
          <w:szCs w:val="24"/>
        </w:rPr>
        <w:t>.2如</w:t>
      </w:r>
      <w:r>
        <w:rPr>
          <w:rFonts w:hint="eastAsia" w:ascii="仿宋" w:hAnsi="仿宋" w:eastAsia="仿宋" w:cs="仿宋"/>
          <w:bCs/>
          <w:spacing w:val="-2"/>
          <w:sz w:val="24"/>
          <w:szCs w:val="24"/>
          <w:lang w:val="en-US" w:eastAsia="zh-CN"/>
        </w:rPr>
        <w:t>成交供应商</w:t>
      </w:r>
      <w:r>
        <w:rPr>
          <w:rFonts w:hint="eastAsia" w:ascii="仿宋" w:hAnsi="仿宋" w:eastAsia="仿宋" w:cs="仿宋"/>
          <w:bCs/>
          <w:spacing w:val="-2"/>
          <w:sz w:val="24"/>
          <w:szCs w:val="24"/>
        </w:rPr>
        <w:t>拒签合同，则按违约处理。采购人没收其</w:t>
      </w:r>
      <w:r>
        <w:rPr>
          <w:rFonts w:hint="eastAsia" w:ascii="仿宋" w:hAnsi="仿宋" w:eastAsia="仿宋" w:cs="仿宋"/>
          <w:bCs/>
          <w:spacing w:val="-2"/>
          <w:sz w:val="24"/>
          <w:szCs w:val="24"/>
          <w:lang w:eastAsia="zh-CN"/>
        </w:rPr>
        <w:t>磋商</w:t>
      </w:r>
      <w:r>
        <w:rPr>
          <w:rFonts w:hint="eastAsia" w:ascii="仿宋" w:hAnsi="仿宋" w:eastAsia="仿宋" w:cs="仿宋"/>
          <w:bCs/>
          <w:spacing w:val="-2"/>
          <w:sz w:val="24"/>
          <w:szCs w:val="24"/>
        </w:rPr>
        <w:t>保证金。</w:t>
      </w:r>
    </w:p>
    <w:p w14:paraId="643C56F9">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34</w:t>
      </w:r>
      <w:r>
        <w:rPr>
          <w:rFonts w:hint="eastAsia" w:ascii="仿宋" w:hAnsi="仿宋" w:eastAsia="仿宋" w:cs="仿宋"/>
          <w:bCs/>
          <w:spacing w:val="-2"/>
          <w:sz w:val="24"/>
          <w:szCs w:val="24"/>
        </w:rPr>
        <w:t>.3磋商文件、</w:t>
      </w:r>
      <w:r>
        <w:rPr>
          <w:rFonts w:hint="eastAsia" w:ascii="仿宋" w:hAnsi="仿宋" w:eastAsia="仿宋" w:cs="仿宋"/>
          <w:bCs/>
          <w:spacing w:val="-2"/>
          <w:sz w:val="24"/>
          <w:szCs w:val="24"/>
          <w:lang w:eastAsia="zh-CN"/>
        </w:rPr>
        <w:t>成交供应商</w:t>
      </w:r>
      <w:r>
        <w:rPr>
          <w:rFonts w:hint="eastAsia" w:ascii="仿宋" w:hAnsi="仿宋" w:eastAsia="仿宋" w:cs="仿宋"/>
          <w:bCs/>
          <w:spacing w:val="-2"/>
          <w:sz w:val="24"/>
          <w:szCs w:val="24"/>
        </w:rPr>
        <w:t>的响应文件及其澄清文件等，均为签订合同的依据。</w:t>
      </w:r>
    </w:p>
    <w:p w14:paraId="63DF2E69">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34</w:t>
      </w:r>
      <w:r>
        <w:rPr>
          <w:rFonts w:hint="eastAsia" w:ascii="仿宋" w:hAnsi="仿宋" w:eastAsia="仿宋" w:cs="仿宋"/>
          <w:bCs/>
          <w:spacing w:val="-2"/>
          <w:sz w:val="24"/>
          <w:szCs w:val="24"/>
        </w:rPr>
        <w:t>.4不允许中标人将中标项目分包或转交他人承担。特殊情况下，中标人必须与采购人协商后共同决定将合同标的中的部分由第三方承担服务责任，但</w:t>
      </w:r>
      <w:r>
        <w:rPr>
          <w:rFonts w:hint="eastAsia" w:ascii="仿宋" w:hAnsi="仿宋" w:eastAsia="仿宋" w:cs="仿宋"/>
          <w:bCs/>
          <w:spacing w:val="-2"/>
          <w:sz w:val="24"/>
          <w:szCs w:val="24"/>
          <w:lang w:eastAsia="zh-CN"/>
        </w:rPr>
        <w:t>成交供应商</w:t>
      </w:r>
      <w:r>
        <w:rPr>
          <w:rFonts w:hint="eastAsia" w:ascii="仿宋" w:hAnsi="仿宋" w:eastAsia="仿宋" w:cs="仿宋"/>
          <w:bCs/>
          <w:spacing w:val="-2"/>
          <w:sz w:val="24"/>
          <w:szCs w:val="24"/>
        </w:rPr>
        <w:t>必须对合同标的的全部内容向采购人负责，并保证第三方提供的服务符合磋商文件的约定和响应文件的承诺及相关约定。</w:t>
      </w:r>
    </w:p>
    <w:bookmarkEnd w:id="4"/>
    <w:p w14:paraId="28C91703">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签订商务合同</w:t>
      </w:r>
    </w:p>
    <w:p w14:paraId="060B5D69">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.1采购人与成交供应商应当在成交通知书发出之日起30日内，按照磋商文件确定的事项签订政府采购合同。</w:t>
      </w:r>
    </w:p>
    <w:p w14:paraId="3AF76FB3">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rPr>
        <w:t>成交通知书对采购人和成交供应商均具有法律效力。成交通知书发出后，采购人改变成交结果的，或者成交供应商放弃成交项目的，应当依法承担法律责任。</w:t>
      </w:r>
    </w:p>
    <w:p w14:paraId="03FC1ECB">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.2成交合同不得转让。合同分包需在响应文件中予以说明，并需经采购人同意。否则，采购人有权取消成交供应商的成交资格。</w:t>
      </w:r>
    </w:p>
    <w:p w14:paraId="28A19EC9">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.3磋商文件要求成交供应商提交履约磋商保证金的，供应商应当以支票、汇票、本票或者金融机构、担保机构出具的保函等非现金形式提交。</w:t>
      </w:r>
    </w:p>
    <w:p w14:paraId="77FA9213">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.4成交供应商拒绝与采购人签订合同的，采购人可以按照评审报告推荐的</w:t>
      </w:r>
    </w:p>
    <w:p w14:paraId="6480A7BE">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rPr>
        <w:t>成交候选人名单排序，确定下一候选人为成交供应商，也可以重新开展政府采购活动。</w:t>
      </w:r>
    </w:p>
    <w:p w14:paraId="32D0BA33">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.5政府采购合同的双方当事人不得擅自变更、中止或者终止合同。</w:t>
      </w:r>
    </w:p>
    <w:p w14:paraId="0483C845">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rPr>
        <w:t>政府采购合同继续履行将损害国家利益和社会公共利益的，双方当事人应当变更、中止或者终止合同。有过错的一方应当承担赔偿责任，双方都有过错的，各自承担相应的责任。</w:t>
      </w:r>
    </w:p>
    <w:p w14:paraId="20CDF14E">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36</w:t>
      </w:r>
      <w:r>
        <w:rPr>
          <w:rFonts w:hint="eastAsia" w:ascii="仿宋" w:hAnsi="仿宋" w:eastAsia="仿宋" w:cs="仿宋"/>
          <w:bCs/>
          <w:spacing w:val="-2"/>
          <w:sz w:val="24"/>
          <w:szCs w:val="24"/>
        </w:rPr>
        <w:t>.商务合同的组成</w:t>
      </w:r>
    </w:p>
    <w:p w14:paraId="41EECCA4">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36</w:t>
      </w:r>
      <w:r>
        <w:rPr>
          <w:rFonts w:hint="eastAsia" w:ascii="仿宋" w:hAnsi="仿宋" w:eastAsia="仿宋" w:cs="仿宋"/>
          <w:bCs/>
          <w:spacing w:val="-2"/>
          <w:sz w:val="24"/>
          <w:szCs w:val="24"/>
        </w:rPr>
        <w:t>.1下列文件均为商务合同不可分割的组成部分：</w:t>
      </w:r>
    </w:p>
    <w:p w14:paraId="7B07D432">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1</w:t>
      </w: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成交通知书；</w:t>
      </w:r>
    </w:p>
    <w:p w14:paraId="4E1C4409">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2</w:t>
      </w: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成交供应商的响应文件；</w:t>
      </w:r>
    </w:p>
    <w:p w14:paraId="7BB2CD6C">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3</w:t>
      </w: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供应商澄清、说明或补正文件；</w:t>
      </w:r>
    </w:p>
    <w:p w14:paraId="024FBE68">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sz w:val="24"/>
          <w:szCs w:val="24"/>
        </w:rPr>
      </w:pP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4</w:t>
      </w: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磋商文件。</w:t>
      </w:r>
    </w:p>
    <w:p w14:paraId="2197471E">
      <w:pPr>
        <w:pStyle w:val="29"/>
        <w:keepNext w:val="0"/>
        <w:keepLines w:val="0"/>
        <w:pageBreakBefore w:val="0"/>
        <w:widowControl w:val="0"/>
        <w:kinsoku/>
        <w:wordWrap/>
        <w:overflowPunct/>
        <w:topLinePunct w:val="0"/>
        <w:bidi w:val="0"/>
        <w:snapToGrid w:val="0"/>
        <w:spacing w:line="360" w:lineRule="auto"/>
        <w:ind w:firstLine="482" w:firstLineChars="200"/>
        <w:jc w:val="both"/>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37.</w:t>
      </w:r>
      <w:r>
        <w:rPr>
          <w:rFonts w:hint="eastAsia" w:ascii="仿宋" w:hAnsi="仿宋" w:eastAsia="仿宋" w:cs="仿宋"/>
          <w:b/>
          <w:bCs/>
          <w:color w:val="auto"/>
          <w:sz w:val="24"/>
          <w:szCs w:val="24"/>
        </w:rPr>
        <w:t>采购人更改采购服务期限的权利</w:t>
      </w:r>
    </w:p>
    <w:p w14:paraId="115040B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政府采购合同履行中，采购人需追加与合同标的相同的服务的，在不改变合同其他条款的前提下，可以与供应商协商签订补充合同，但所有补充合同的采购金额不得超过原合同采购金额的10%。</w:t>
      </w:r>
    </w:p>
    <w:p w14:paraId="0365CB1B">
      <w:pPr>
        <w:pStyle w:val="29"/>
        <w:keepNext w:val="0"/>
        <w:keepLines w:val="0"/>
        <w:pageBreakBefore w:val="0"/>
        <w:widowControl w:val="0"/>
        <w:kinsoku/>
        <w:wordWrap/>
        <w:overflowPunct/>
        <w:topLinePunct w:val="0"/>
        <w:bidi w:val="0"/>
        <w:snapToGrid w:val="0"/>
        <w:spacing w:line="360" w:lineRule="auto"/>
        <w:ind w:firstLine="482" w:firstLineChars="200"/>
        <w:jc w:val="both"/>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38.</w:t>
      </w:r>
      <w:r>
        <w:rPr>
          <w:rFonts w:hint="eastAsia" w:ascii="仿宋" w:hAnsi="仿宋" w:eastAsia="仿宋" w:cs="仿宋"/>
          <w:b/>
          <w:bCs/>
          <w:color w:val="auto"/>
          <w:sz w:val="24"/>
          <w:szCs w:val="24"/>
        </w:rPr>
        <w:t>其他事项</w:t>
      </w:r>
    </w:p>
    <w:p w14:paraId="2E1F5DF6">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w:t>
      </w:r>
      <w:r>
        <w:rPr>
          <w:rFonts w:hint="eastAsia" w:ascii="仿宋" w:hAnsi="仿宋" w:eastAsia="仿宋" w:cs="仿宋"/>
          <w:bCs/>
          <w:color w:val="auto"/>
          <w:spacing w:val="-2"/>
          <w:sz w:val="24"/>
          <w:szCs w:val="24"/>
          <w:lang w:val="en-US" w:eastAsia="zh-CN"/>
        </w:rPr>
        <w:t>8.1</w:t>
      </w:r>
      <w:r>
        <w:rPr>
          <w:rFonts w:hint="eastAsia" w:ascii="仿宋" w:hAnsi="仿宋" w:eastAsia="仿宋" w:cs="仿宋"/>
          <w:bCs/>
          <w:color w:val="auto"/>
          <w:spacing w:val="-2"/>
          <w:sz w:val="24"/>
          <w:szCs w:val="24"/>
        </w:rPr>
        <w:t>本磋商文件是根据《中华人民共和国政府采购法》、《政府采购竞争性磋商采购方式管理暂行办法》的规定编制，解释权属</w:t>
      </w:r>
      <w:r>
        <w:rPr>
          <w:rFonts w:hint="eastAsia" w:ascii="仿宋" w:hAnsi="仿宋" w:eastAsia="仿宋" w:cs="仿宋"/>
          <w:bCs/>
          <w:color w:val="auto"/>
          <w:spacing w:val="-2"/>
          <w:sz w:val="24"/>
          <w:szCs w:val="24"/>
          <w:lang w:eastAsia="zh-CN"/>
        </w:rPr>
        <w:t>中合安建工程管理有限公司</w:t>
      </w:r>
      <w:r>
        <w:rPr>
          <w:rFonts w:hint="eastAsia" w:ascii="仿宋" w:hAnsi="仿宋" w:eastAsia="仿宋" w:cs="仿宋"/>
          <w:bCs/>
          <w:color w:val="auto"/>
          <w:spacing w:val="-2"/>
          <w:sz w:val="24"/>
          <w:szCs w:val="24"/>
        </w:rPr>
        <w:t>。</w:t>
      </w:r>
    </w:p>
    <w:p w14:paraId="10E33EB7">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w:t>
      </w:r>
      <w:r>
        <w:rPr>
          <w:rFonts w:hint="eastAsia" w:ascii="仿宋" w:hAnsi="仿宋" w:eastAsia="仿宋" w:cs="仿宋"/>
          <w:bCs/>
          <w:color w:val="auto"/>
          <w:spacing w:val="-2"/>
          <w:sz w:val="24"/>
          <w:szCs w:val="24"/>
          <w:lang w:val="en-US" w:eastAsia="zh-CN"/>
        </w:rPr>
        <w:t>8.2</w:t>
      </w:r>
      <w:r>
        <w:rPr>
          <w:rFonts w:hint="eastAsia" w:ascii="仿宋" w:hAnsi="仿宋" w:eastAsia="仿宋" w:cs="仿宋"/>
          <w:bCs/>
          <w:color w:val="auto"/>
          <w:spacing w:val="-2"/>
          <w:sz w:val="24"/>
          <w:szCs w:val="24"/>
        </w:rPr>
        <w:t>参与本次磋商的供应商应当有商务、技术人员对</w:t>
      </w:r>
      <w:r>
        <w:rPr>
          <w:rFonts w:hint="eastAsia" w:ascii="仿宋" w:hAnsi="仿宋" w:eastAsia="仿宋" w:cs="仿宋"/>
          <w:bCs/>
          <w:color w:val="auto"/>
          <w:spacing w:val="-2"/>
          <w:sz w:val="24"/>
          <w:szCs w:val="24"/>
          <w:lang w:eastAsia="zh-CN"/>
        </w:rPr>
        <w:t>磋商小组</w:t>
      </w:r>
      <w:r>
        <w:rPr>
          <w:rFonts w:hint="eastAsia" w:ascii="仿宋" w:hAnsi="仿宋" w:eastAsia="仿宋" w:cs="仿宋"/>
          <w:bCs/>
          <w:color w:val="auto"/>
          <w:spacing w:val="-2"/>
          <w:sz w:val="24"/>
          <w:szCs w:val="24"/>
        </w:rPr>
        <w:t>提出商务、技术问题进行答疑。</w:t>
      </w:r>
    </w:p>
    <w:p w14:paraId="65D50F0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bookmarkStart w:id="6" w:name="_Toc148434319"/>
      <w:bookmarkStart w:id="7" w:name="_Toc149723968"/>
      <w:bookmarkStart w:id="8" w:name="_Toc414448313"/>
      <w:bookmarkStart w:id="9" w:name="_Toc417600059"/>
      <w:bookmarkStart w:id="10" w:name="_Toc16526"/>
      <w:r>
        <w:rPr>
          <w:rFonts w:hint="eastAsia" w:ascii="仿宋" w:hAnsi="仿宋" w:eastAsia="仿宋" w:cs="仿宋"/>
          <w:bCs/>
          <w:color w:val="auto"/>
          <w:spacing w:val="-2"/>
          <w:sz w:val="24"/>
          <w:szCs w:val="24"/>
          <w:lang w:val="en-US" w:eastAsia="zh-CN"/>
        </w:rPr>
        <w:t>39.</w:t>
      </w:r>
      <w:r>
        <w:rPr>
          <w:rFonts w:hint="eastAsia" w:ascii="仿宋" w:hAnsi="仿宋" w:eastAsia="仿宋" w:cs="仿宋"/>
          <w:bCs/>
          <w:color w:val="auto"/>
          <w:spacing w:val="-2"/>
          <w:sz w:val="24"/>
          <w:szCs w:val="24"/>
        </w:rPr>
        <w:t>处罚、询问、质疑</w:t>
      </w:r>
      <w:bookmarkEnd w:id="6"/>
      <w:bookmarkEnd w:id="7"/>
      <w:r>
        <w:rPr>
          <w:rFonts w:hint="eastAsia" w:ascii="仿宋" w:hAnsi="仿宋" w:eastAsia="仿宋" w:cs="仿宋"/>
          <w:bCs/>
          <w:color w:val="auto"/>
          <w:spacing w:val="-2"/>
          <w:sz w:val="24"/>
          <w:szCs w:val="24"/>
        </w:rPr>
        <w:t>和投诉</w:t>
      </w:r>
      <w:bookmarkEnd w:id="8"/>
      <w:bookmarkEnd w:id="9"/>
      <w:bookmarkEnd w:id="10"/>
    </w:p>
    <w:p w14:paraId="17D3DB3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w:t>
      </w:r>
      <w:r>
        <w:rPr>
          <w:rFonts w:hint="eastAsia" w:ascii="仿宋" w:hAnsi="仿宋" w:eastAsia="仿宋" w:cs="仿宋"/>
          <w:bCs/>
          <w:color w:val="auto"/>
          <w:spacing w:val="-2"/>
          <w:sz w:val="24"/>
          <w:szCs w:val="24"/>
          <w:lang w:val="en-US" w:eastAsia="zh-CN"/>
        </w:rPr>
        <w:t>9</w:t>
      </w:r>
      <w:r>
        <w:rPr>
          <w:rFonts w:hint="eastAsia" w:ascii="仿宋" w:hAnsi="仿宋" w:eastAsia="仿宋" w:cs="仿宋"/>
          <w:bCs/>
          <w:color w:val="auto"/>
          <w:spacing w:val="-2"/>
          <w:sz w:val="24"/>
          <w:szCs w:val="24"/>
        </w:rPr>
        <w:t>.1处罚</w:t>
      </w:r>
    </w:p>
    <w:p w14:paraId="2B455504">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发生下列情况之一，供应商的磋商保证金不予退还：</w:t>
      </w:r>
    </w:p>
    <w:p w14:paraId="091746A8">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（1）开标后在</w:t>
      </w:r>
      <w:r>
        <w:rPr>
          <w:rFonts w:hint="eastAsia" w:ascii="仿宋" w:hAnsi="仿宋" w:eastAsia="仿宋" w:cs="仿宋"/>
          <w:bCs/>
          <w:color w:val="auto"/>
          <w:spacing w:val="-2"/>
          <w:sz w:val="24"/>
          <w:szCs w:val="24"/>
          <w:lang w:val="en-US" w:eastAsia="zh-CN"/>
        </w:rPr>
        <w:t>磋商</w:t>
      </w:r>
      <w:r>
        <w:rPr>
          <w:rFonts w:hint="eastAsia" w:ascii="仿宋" w:hAnsi="仿宋" w:eastAsia="仿宋" w:cs="仿宋"/>
          <w:bCs/>
          <w:color w:val="auto"/>
          <w:spacing w:val="-2"/>
          <w:sz w:val="24"/>
          <w:szCs w:val="24"/>
        </w:rPr>
        <w:t>有效期内，供应商撤回其投标；</w:t>
      </w:r>
    </w:p>
    <w:p w14:paraId="4BF1E8D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（2）提供虚假材料谋取中标、成交的；</w:t>
      </w:r>
    </w:p>
    <w:p w14:paraId="27D1E3D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（3）成交供应商未按本竞争性磋商文件规定签约；</w:t>
      </w:r>
    </w:p>
    <w:p w14:paraId="07DFEC2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（4）成交供应商在签约后5个工作日内，未能按竞争性磋商文件的规定提交合同履约磋商保证金或开具可接受的合同履约磋商保证金保函（视为不具备签订合同条件）或合同履约磋商保证金保函弄虚作假的；</w:t>
      </w:r>
    </w:p>
    <w:p w14:paraId="62C20CF4">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（5）成交供应商未能按竞争性磋商文件规定缴纳招标代理服务费。</w:t>
      </w:r>
    </w:p>
    <w:p w14:paraId="7632D02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供应商有下列情形之一的,处以政府采购项目中标金额千分之五以上千分之十以下的罚款, 列入不良行为记录名单,在一至三年内禁止参加政府采购活动,并予以通报,有违法所得的,并处没收违法所得,情节严重的,由工商行政管理机关吊销营业执照；构成犯罪的，依法追究刑事责任：</w:t>
      </w:r>
    </w:p>
    <w:p w14:paraId="5D9F92C9">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1）提供虚假材料谋取中标的；</w:t>
      </w:r>
    </w:p>
    <w:p w14:paraId="6B0BD301">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2）采取不正当手段诋毁、排挤其他供应商的；</w:t>
      </w:r>
    </w:p>
    <w:p w14:paraId="76EFA5F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3）与采购人、其他供应商或者采购代理机构恶意串通的；</w:t>
      </w:r>
    </w:p>
    <w:p w14:paraId="304E747E">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4）向采购人、采购代理机构行贿或者提供其他不正当利益的；</w:t>
      </w:r>
    </w:p>
    <w:p w14:paraId="59981A7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5）在招标采购过程中与采购人进行协商磋商的、不按照竞争性磋商文件和成交供应商的响应文件订立合同，或者与采购人另行订立背离合同实质性内容的协议的；</w:t>
      </w:r>
    </w:p>
    <w:p w14:paraId="722DDC68">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6）拒绝有关部门监督检查或者提供虚假情况的。</w:t>
      </w:r>
    </w:p>
    <w:p w14:paraId="5F81F279">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供应商有前款1）至5）项情形之一的，中标无效。</w:t>
      </w:r>
    </w:p>
    <w:p w14:paraId="79F20C9D">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39.2询问</w:t>
      </w:r>
    </w:p>
    <w:p w14:paraId="51DB336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供应商有权就磋商程序或签订合同的事宜提出询问；供应商对采购事项有疑问的，可以向采购人提出询问。</w:t>
      </w:r>
    </w:p>
    <w:p w14:paraId="0AED3AC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39.3质疑与投诉</w:t>
      </w:r>
    </w:p>
    <w:p w14:paraId="48F4DDDC">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供应商认为磋商文件、采购过程、中标或者成交结果使自己的权益受到损害的，可以在知道或者应知其权益受到损害之日起7个工作日内，向采购人、采购代理机构提出质疑。供应商须在法定质疑期内一次性提出针对同一采购程序环节的质疑。</w:t>
      </w:r>
    </w:p>
    <w:p w14:paraId="0CF48625">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（2）质疑函的必备内容</w:t>
      </w:r>
    </w:p>
    <w:p w14:paraId="13D063A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1）供应商提交的质疑函必须注明单位名称、地址、邮编、可供查询的单位和法定代表人的电话号码、联系人电话；</w:t>
      </w:r>
    </w:p>
    <w:p w14:paraId="10CA949B">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2）质疑项目的名称、编号；</w:t>
      </w:r>
    </w:p>
    <w:p w14:paraId="79654D4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3）具体质疑事项和与质疑事项相关的请求；</w:t>
      </w:r>
    </w:p>
    <w:p w14:paraId="62878668">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4）事实依据；</w:t>
      </w:r>
    </w:p>
    <w:p w14:paraId="645893BD">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5）提起质疑的日期；</w:t>
      </w:r>
    </w:p>
    <w:p w14:paraId="07BEE918">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6）质疑函须加盖单位公章，由法定代表人签章。</w:t>
      </w:r>
    </w:p>
    <w:p w14:paraId="1BA0D00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7）委托代理人递交质疑函的，还须提交委托质疑事项的授权委托书（附法定代表人和被授权人的身份证正反面），加盖单位公章和法定代表人签章和被授权人签章，同时出示被授权人身份证。</w:t>
      </w:r>
    </w:p>
    <w:p w14:paraId="365ABD67">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（3）质疑应符合下列条件：</w:t>
      </w:r>
    </w:p>
    <w:p w14:paraId="2730FA0C">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1）质疑人是参与所质疑项目的采购活动的供应商；</w:t>
      </w:r>
    </w:p>
    <w:p w14:paraId="331834D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2）质疑函内容符合相关的规定；</w:t>
      </w:r>
    </w:p>
    <w:p w14:paraId="3AE969E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3）在规定的有效期限内提起质疑；</w:t>
      </w:r>
    </w:p>
    <w:p w14:paraId="1A7FC1AD">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4）招投标监管部门规定的其他条件。</w:t>
      </w:r>
    </w:p>
    <w:p w14:paraId="72665321">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（4）采购人在收到供应商的书面质疑后七个工作日内作出答复，并以书面形式通知质疑供应商和其他有关供应商，但答复的内容不涉及商业秘密。</w:t>
      </w:r>
    </w:p>
    <w:p w14:paraId="3A32F16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5）提出质疑的供应商对答复不满意的，可以在答复期满后十五个工作日内向同级政府招标监督管理部门投诉。政府招标监督管理部门应当在收到投诉三十个工作日内，对投诉事项作出处理决定，并以书面形式通知投诉人和与投诉事项相关的当事人。</w:t>
      </w:r>
    </w:p>
    <w:p w14:paraId="1089D1DD">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bookmarkStart w:id="11" w:name="_Toc414448314"/>
      <w:bookmarkStart w:id="12" w:name="_Toc22210"/>
      <w:bookmarkStart w:id="13" w:name="_Toc417600060"/>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纪律和监督</w:t>
      </w:r>
      <w:bookmarkEnd w:id="11"/>
      <w:bookmarkEnd w:id="12"/>
      <w:bookmarkEnd w:id="13"/>
      <w:bookmarkStart w:id="14" w:name="_Hlt46143102"/>
      <w:bookmarkEnd w:id="14"/>
      <w:bookmarkStart w:id="15" w:name="_Hlt42228925"/>
      <w:bookmarkEnd w:id="15"/>
      <w:bookmarkStart w:id="16" w:name="_Hlt42155898"/>
      <w:bookmarkEnd w:id="16"/>
      <w:bookmarkStart w:id="17" w:name="_Hlt42235894"/>
      <w:bookmarkEnd w:id="17"/>
      <w:bookmarkStart w:id="18" w:name="_Hlt42156005"/>
      <w:bookmarkEnd w:id="18"/>
      <w:bookmarkStart w:id="19" w:name="_Hlt46200272"/>
      <w:bookmarkEnd w:id="19"/>
    </w:p>
    <w:p w14:paraId="55B18F35">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.1对采购人纪律要求</w:t>
      </w:r>
    </w:p>
    <w:p w14:paraId="03EE0A5B">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采购人不得泄漏采购活动中应当保密的情况和资料，不得与供应商串通损害国家利益、社会公共利益或者他人合法权益。</w:t>
      </w:r>
    </w:p>
    <w:p w14:paraId="1F42872E">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.2对供应商的纪律要求</w:t>
      </w:r>
    </w:p>
    <w:p w14:paraId="1693A94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供应商不得相互串通或者与采购人串通，不得向采购人或者磋商小组成员行贿谋取中标，不得以他人名义或者以其他方式弄虚作假骗取中标，供应商不得以任何方式干扰、影响评审工作。</w:t>
      </w:r>
    </w:p>
    <w:p w14:paraId="0912C9F9">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.3对磋商小组成员的纪律要求</w:t>
      </w:r>
    </w:p>
    <w:p w14:paraId="0DE724E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磋商小组成员不得收受他人的财物或者其他好处，不得向他人透漏对响应文件的评审和比较、中标候选人的推荐情况以及评审有关的其他情况。在评审活动中，磋商小组成员不得擅离职守，影响评审程序正常进行，不得使用“评审办法”没有规定的评审因素和标准进行评审。</w:t>
      </w:r>
    </w:p>
    <w:p w14:paraId="6C27CEE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.4对与评审活动有关的工作人员的纪律要求</w:t>
      </w:r>
    </w:p>
    <w:p w14:paraId="0D5530D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与评审活动有关的工作人员不得收受他人的财物或者其他好处，不得向他人透漏对响应文件的评审和比较、中标候选人的推荐情况以及评审有关的其他情况。在评审活动中，与评审活动有关的工作人员不得擅离职守，影响评审程序正常进行。</w:t>
      </w:r>
    </w:p>
    <w:p w14:paraId="28D9D59E">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.5监督</w:t>
      </w:r>
    </w:p>
    <w:p w14:paraId="186DED18">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供应商和其他利害关系人认为本次招标活动违反法律、法规和规章规定的，有权向有关行政监督部门反映（投诉）。</w:t>
      </w:r>
    </w:p>
    <w:p w14:paraId="7D10D09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bookmarkStart w:id="20" w:name="_Toc20348"/>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磋商</w:t>
      </w:r>
      <w:bookmarkEnd w:id="20"/>
      <w:r>
        <w:rPr>
          <w:rFonts w:hint="eastAsia" w:ascii="仿宋" w:hAnsi="仿宋" w:eastAsia="仿宋" w:cs="仿宋"/>
          <w:bCs/>
          <w:color w:val="auto"/>
          <w:spacing w:val="-2"/>
          <w:sz w:val="24"/>
          <w:szCs w:val="24"/>
        </w:rPr>
        <w:t>保证金</w:t>
      </w:r>
    </w:p>
    <w:p w14:paraId="25A11DAF">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.1磋商保证金用于保护采购人在本次采购免受因供应商的行为而蒙受损失。</w:t>
      </w:r>
    </w:p>
    <w:p w14:paraId="1BE25CC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.2供应商应向采购人提交本竞争性磋商文件第二部分规定数额的磋商保证金，并作为其响应的一部分。</w:t>
      </w:r>
    </w:p>
    <w:p w14:paraId="3705CE54">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.3供应商可以通过电汇金方式交纳磋商保证金。</w:t>
      </w:r>
    </w:p>
    <w:p w14:paraId="0A14786B">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.4未按规定提交投磋商证金的响应，将被视为自动放弃予以拒绝。</w:t>
      </w:r>
    </w:p>
    <w:p w14:paraId="66E3DDA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5成交供应商的磋商保证金将在成交供应商与采购人签订合同、提交履约磋商保证金后退还（由采购代理机构退还），未成交供商磋商保证金在成交合同公示后，同成交供应商磋商保证金一起退还（由采购代理机构退还）。</w:t>
      </w:r>
    </w:p>
    <w:p w14:paraId="293BDBFB">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bookmarkStart w:id="21" w:name="_Toc9595"/>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履约磋商保证金（保函）</w:t>
      </w:r>
      <w:bookmarkEnd w:id="21"/>
    </w:p>
    <w:p w14:paraId="5E9D8087">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.1履约磋商保证金用于保护采购人在本次合同履约过程中免受因供应商的行为而蒙受损失；</w:t>
      </w:r>
    </w:p>
    <w:p w14:paraId="0394B2D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lang w:val="en-US" w:eastAsia="zh-CN"/>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2成交供应商收到《成交通知书》，正式签订合同后5个工作日内，须按竞争性磋商文件的规定提交合同履约磋商保证金（保函），履约磋商保证金（保函）金额不得超过合同总额的10%，由采购人和中标人协商执行。</w:t>
      </w:r>
      <w:r>
        <w:rPr>
          <w:rFonts w:hint="eastAsia" w:ascii="仿宋" w:hAnsi="仿宋" w:eastAsia="仿宋" w:cs="仿宋"/>
          <w:bCs/>
          <w:color w:val="auto"/>
          <w:spacing w:val="-2"/>
          <w:sz w:val="24"/>
          <w:szCs w:val="24"/>
          <w:lang w:val="en-US" w:eastAsia="zh-CN"/>
        </w:rPr>
        <w:t>本项目无需缴纳履约保证金。</w:t>
      </w:r>
    </w:p>
    <w:p w14:paraId="35AFF6A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.3供应商可以通过支票、电汇、银行保函等非现金方式交纳履约磋商保证金。</w:t>
      </w:r>
    </w:p>
    <w:p w14:paraId="75B20075">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.4成交供应商自行承担与按规定提供履约保证金（保函）有关的全部费用。</w:t>
      </w:r>
    </w:p>
    <w:p w14:paraId="35E1EE7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.5如果成交供应商未能按合同规定履行其义务，采购人有权没收履约磋商保证金。</w:t>
      </w:r>
    </w:p>
    <w:p w14:paraId="6CF08D4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.6成交供应商提交的履约保证金（保函）在验收合格经采购人确认后以电汇方式退还。</w:t>
      </w:r>
    </w:p>
    <w:p w14:paraId="65F7EB63">
      <w:pPr>
        <w:pStyle w:val="29"/>
        <w:keepNext w:val="0"/>
        <w:keepLines w:val="0"/>
        <w:pageBreakBefore/>
        <w:widowControl w:val="0"/>
        <w:numPr>
          <w:ilvl w:val="0"/>
          <w:numId w:val="0"/>
        </w:numPr>
        <w:kinsoku/>
        <w:wordWrap/>
        <w:overflowPunct/>
        <w:topLinePunct w:val="0"/>
        <w:autoSpaceDE w:val="0"/>
        <w:autoSpaceDN w:val="0"/>
        <w:bidi w:val="0"/>
        <w:adjustRightInd w:val="0"/>
        <w:snapToGrid/>
        <w:spacing w:line="360" w:lineRule="auto"/>
        <w:ind w:firstLine="643" w:firstLineChars="200"/>
        <w:jc w:val="center"/>
        <w:textAlignment w:val="auto"/>
        <w:outlineLvl w:val="0"/>
        <w:rPr>
          <w:rFonts w:hint="eastAsia" w:ascii="仿宋" w:hAnsi="仿宋" w:eastAsia="仿宋" w:cs="仿宋"/>
          <w:b/>
          <w:color w:val="auto"/>
          <w:sz w:val="32"/>
          <w:szCs w:val="32"/>
        </w:rPr>
      </w:pPr>
      <w:bookmarkStart w:id="22" w:name="_Toc8573"/>
      <w:r>
        <w:rPr>
          <w:rFonts w:hint="eastAsia" w:ascii="仿宋" w:hAnsi="仿宋" w:eastAsia="仿宋" w:cs="仿宋"/>
          <w:b/>
          <w:color w:val="auto"/>
          <w:kern w:val="2"/>
          <w:sz w:val="32"/>
          <w:szCs w:val="32"/>
          <w:lang w:val="en-US" w:eastAsia="zh-CN" w:bidi="ar-SA"/>
        </w:rPr>
        <w:t>第三部分</w:t>
      </w:r>
      <w:r>
        <w:rPr>
          <w:rFonts w:hint="eastAsia" w:ascii="仿宋" w:hAnsi="仿宋" w:eastAsia="仿宋" w:cs="仿宋"/>
          <w:b/>
          <w:color w:val="auto"/>
          <w:sz w:val="32"/>
          <w:szCs w:val="32"/>
          <w:lang w:val="en-US" w:eastAsia="zh-CN"/>
        </w:rPr>
        <w:t xml:space="preserve"> </w:t>
      </w:r>
      <w:r>
        <w:rPr>
          <w:rFonts w:hint="eastAsia" w:ascii="仿宋" w:hAnsi="仿宋" w:eastAsia="仿宋" w:cs="仿宋"/>
          <w:b/>
          <w:color w:val="auto"/>
          <w:sz w:val="32"/>
          <w:szCs w:val="32"/>
        </w:rPr>
        <w:t>采购需求</w:t>
      </w:r>
      <w:bookmarkEnd w:id="22"/>
    </w:p>
    <w:p w14:paraId="1AA4EEF7">
      <w:pPr>
        <w:numPr>
          <w:ilvl w:val="-1"/>
          <w:numId w:val="0"/>
        </w:numPr>
        <w:snapToGrid w:val="0"/>
        <w:spacing w:line="360" w:lineRule="auto"/>
        <w:ind w:left="0" w:leftChars="0" w:firstLine="480" w:firstLineChars="200"/>
        <w:rPr>
          <w:rFonts w:hint="eastAsia" w:ascii="仿宋" w:hAnsi="仿宋" w:eastAsia="仿宋" w:cs="仿宋"/>
          <w:sz w:val="24"/>
          <w:szCs w:val="24"/>
          <w:lang w:val="en-US" w:eastAsia="zh-CN"/>
        </w:rPr>
      </w:pPr>
      <w:bookmarkStart w:id="23" w:name="_Toc24690"/>
      <w:r>
        <w:rPr>
          <w:rFonts w:hint="eastAsia" w:ascii="仿宋" w:hAnsi="仿宋" w:eastAsia="仿宋" w:cs="仿宋"/>
          <w:sz w:val="24"/>
          <w:szCs w:val="24"/>
          <w:lang w:val="en-US" w:eastAsia="zh-CN"/>
        </w:rPr>
        <w:t>1.工程项目实施期限主要集中在6.20-8.25暑期期间。</w:t>
      </w:r>
    </w:p>
    <w:p w14:paraId="78ED5153">
      <w:pPr>
        <w:numPr>
          <w:ilvl w:val="-1"/>
          <w:numId w:val="0"/>
        </w:numPr>
        <w:snapToGrid w:val="0"/>
        <w:spacing w:line="360" w:lineRule="auto"/>
        <w:ind w:left="0" w:leftChars="0"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2.一标段包含国际交流中心改造、校园中心区人行道改造、4号学生宿舍楼维修改造等8个项目，总投资预算1346万元，监理费预算约27万元；</w:t>
      </w:r>
    </w:p>
    <w:p w14:paraId="747136F3">
      <w:pPr>
        <w:numPr>
          <w:ilvl w:val="-1"/>
          <w:numId w:val="0"/>
        </w:numPr>
        <w:snapToGrid w:val="0"/>
        <w:spacing w:line="360" w:lineRule="auto"/>
        <w:ind w:left="0" w:leftChars="0"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二标段包含1#风雨操场外立面升级改造、八一会堂外立面升级改造、勤学楼维修改造等8个项目，总投资预算1375万元，监理费预算约27万元；</w:t>
      </w:r>
    </w:p>
    <w:p w14:paraId="0B152CF7">
      <w:pPr>
        <w:numPr>
          <w:ilvl w:val="-1"/>
          <w:numId w:val="0"/>
        </w:numPr>
        <w:snapToGrid w:val="0"/>
        <w:spacing w:line="360" w:lineRule="auto"/>
        <w:ind w:left="0" w:leftChars="0"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三标段包含19号宿舍楼卫生间维修、食品工程中心改造、校园中心区景观提升等7个项目，总投资预算1407万元，监理费预算约26万元。</w:t>
      </w:r>
    </w:p>
    <w:p w14:paraId="3462F57D">
      <w:pPr>
        <w:numPr>
          <w:ilvl w:val="-1"/>
          <w:numId w:val="0"/>
        </w:numPr>
        <w:snapToGrid w:val="0"/>
        <w:spacing w:line="360" w:lineRule="auto"/>
        <w:ind w:left="0" w:leftChars="0"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3.各标段项目实施过程中，如项目取消或另有新增项目，则需签订补充协议，监理费计算依据各项目投资预算占比同比例扣除/新增监理费用。</w:t>
      </w:r>
    </w:p>
    <w:p w14:paraId="7B944C82">
      <w:pPr>
        <w:adjustRightInd w:val="0"/>
        <w:snapToGrid w:val="0"/>
        <w:spacing w:before="156" w:beforeLines="50" w:line="360" w:lineRule="auto"/>
        <w:ind w:firstLine="480" w:firstLineChars="200"/>
        <w:jc w:val="left"/>
        <w:outlineLvl w:val="0"/>
        <w:rPr>
          <w:rStyle w:val="31"/>
          <w:rFonts w:hint="eastAsia" w:ascii="仿宋" w:hAnsi="仿宋" w:eastAsia="仿宋" w:cs="仿宋"/>
          <w:b/>
          <w:sz w:val="32"/>
          <w:szCs w:val="32"/>
        </w:rPr>
      </w:pPr>
      <w:r>
        <w:rPr>
          <w:rFonts w:hint="eastAsia" w:ascii="仿宋" w:hAnsi="仿宋" w:eastAsia="仿宋" w:cs="仿宋"/>
          <w:sz w:val="24"/>
          <w:szCs w:val="24"/>
          <w:lang w:val="en-US" w:eastAsia="zh-CN"/>
        </w:rPr>
        <w:t>4.可兼投不得兼中，但需根据标段内施工项目数量配备足量的专业监理工程师，以保证建设工程质量。</w:t>
      </w:r>
    </w:p>
    <w:p w14:paraId="04173F07">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39698BD8">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630BECE7">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4AC6EA97">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52AAAB5C">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27E5EBF3">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5F320D6D">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60BEA030">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1FB91B50">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5E22837D">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71171C7B">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338A195D">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r>
        <w:rPr>
          <w:rStyle w:val="31"/>
          <w:rFonts w:hint="eastAsia" w:ascii="仿宋" w:hAnsi="仿宋" w:eastAsia="仿宋" w:cs="仿宋"/>
          <w:b/>
          <w:sz w:val="32"/>
          <w:szCs w:val="32"/>
        </w:rPr>
        <w:t>第</w:t>
      </w:r>
      <w:r>
        <w:rPr>
          <w:rStyle w:val="31"/>
          <w:rFonts w:hint="eastAsia" w:ascii="仿宋" w:hAnsi="仿宋" w:eastAsia="仿宋" w:cs="仿宋"/>
          <w:b/>
          <w:sz w:val="32"/>
          <w:szCs w:val="32"/>
          <w:lang w:val="en-US" w:eastAsia="zh-CN"/>
        </w:rPr>
        <w:t>四</w:t>
      </w:r>
      <w:r>
        <w:rPr>
          <w:rStyle w:val="31"/>
          <w:rFonts w:hint="eastAsia" w:ascii="仿宋" w:hAnsi="仿宋" w:eastAsia="仿宋" w:cs="仿宋"/>
          <w:b/>
          <w:sz w:val="32"/>
          <w:szCs w:val="32"/>
        </w:rPr>
        <w:t>部分 合同</w:t>
      </w:r>
      <w:bookmarkEnd w:id="23"/>
    </w:p>
    <w:p w14:paraId="3F10F39B">
      <w:pPr>
        <w:pStyle w:val="9"/>
        <w:pageBreakBefore w:val="0"/>
        <w:kinsoku/>
        <w:wordWrap/>
        <w:topLinePunct w:val="0"/>
        <w:bidi w:val="0"/>
        <w:spacing w:before="229" w:line="227" w:lineRule="auto"/>
        <w:ind w:left="3029"/>
        <w:rPr>
          <w:rFonts w:hint="eastAsia" w:ascii="仿宋" w:hAnsi="仿宋" w:eastAsia="仿宋" w:cs="仿宋"/>
          <w:spacing w:val="7"/>
          <w:sz w:val="20"/>
          <w:szCs w:val="20"/>
        </w:rPr>
      </w:pPr>
      <w:r>
        <w:rPr>
          <w:rFonts w:hint="eastAsia" w:ascii="仿宋" w:hAnsi="仿宋" w:eastAsia="仿宋" w:cs="仿宋"/>
          <w:spacing w:val="7"/>
          <w:sz w:val="20"/>
          <w:szCs w:val="20"/>
        </w:rPr>
        <w:t>（以最终签订合同模板为准）</w:t>
      </w:r>
    </w:p>
    <w:p w14:paraId="15817CAF">
      <w:pPr>
        <w:tabs>
          <w:tab w:val="left" w:pos="7665"/>
        </w:tabs>
        <w:spacing w:line="400" w:lineRule="exact"/>
        <w:ind w:firstLine="482" w:firstLineChars="200"/>
        <w:jc w:val="center"/>
        <w:rPr>
          <w:rFonts w:hint="eastAsia" w:ascii="仿宋" w:hAnsi="仿宋" w:eastAsia="仿宋" w:cs="仿宋"/>
          <w:b/>
          <w:bCs/>
          <w:sz w:val="24"/>
          <w:szCs w:val="24"/>
        </w:rPr>
      </w:pPr>
    </w:p>
    <w:p w14:paraId="7669D9CD">
      <w:pPr>
        <w:spacing w:line="360" w:lineRule="auto"/>
        <w:jc w:val="center"/>
        <w:rPr>
          <w:rFonts w:hint="default" w:ascii="Times New Roman" w:hAnsi="Times New Roman" w:eastAsia="仿宋" w:cs="Times New Roman"/>
          <w:b/>
          <w:bCs/>
          <w:color w:val="auto"/>
          <w:sz w:val="52"/>
          <w:szCs w:val="52"/>
        </w:rPr>
      </w:pPr>
    </w:p>
    <w:p w14:paraId="7A76024F">
      <w:pPr>
        <w:spacing w:line="360" w:lineRule="auto"/>
        <w:jc w:val="center"/>
        <w:rPr>
          <w:rFonts w:hint="default" w:ascii="Times New Roman" w:hAnsi="Times New Roman" w:eastAsia="仿宋" w:cs="Times New Roman"/>
          <w:b/>
          <w:bCs/>
          <w:color w:val="auto"/>
          <w:sz w:val="52"/>
          <w:szCs w:val="52"/>
        </w:rPr>
      </w:pPr>
    </w:p>
    <w:p w14:paraId="64823389">
      <w:pPr>
        <w:pStyle w:val="2"/>
        <w:rPr>
          <w:rFonts w:hint="default" w:ascii="Times New Roman" w:hAnsi="Times New Roman" w:eastAsia="仿宋" w:cs="Times New Roman"/>
          <w:b/>
          <w:bCs/>
          <w:color w:val="auto"/>
          <w:sz w:val="52"/>
          <w:szCs w:val="52"/>
        </w:rPr>
      </w:pPr>
    </w:p>
    <w:p w14:paraId="220D0B44">
      <w:pPr>
        <w:rPr>
          <w:rFonts w:hint="default" w:ascii="Times New Roman" w:hAnsi="Times New Roman" w:eastAsia="仿宋" w:cs="Times New Roman"/>
          <w:b/>
          <w:bCs/>
          <w:color w:val="auto"/>
          <w:sz w:val="52"/>
          <w:szCs w:val="52"/>
        </w:rPr>
      </w:pPr>
    </w:p>
    <w:p w14:paraId="5062F170">
      <w:pPr>
        <w:pStyle w:val="2"/>
        <w:rPr>
          <w:rFonts w:hint="default" w:ascii="Times New Roman" w:hAnsi="Times New Roman" w:eastAsia="仿宋" w:cs="Times New Roman"/>
          <w:b/>
          <w:bCs/>
          <w:color w:val="auto"/>
          <w:sz w:val="52"/>
          <w:szCs w:val="52"/>
        </w:rPr>
      </w:pPr>
    </w:p>
    <w:p w14:paraId="5DB02A79">
      <w:pPr>
        <w:spacing w:line="360" w:lineRule="auto"/>
        <w:jc w:val="center"/>
        <w:rPr>
          <w:rFonts w:hint="default" w:ascii="Times New Roman" w:hAnsi="Times New Roman" w:eastAsia="仿宋" w:cs="Times New Roman"/>
          <w:b/>
          <w:bCs/>
          <w:color w:val="auto"/>
          <w:sz w:val="52"/>
          <w:szCs w:val="52"/>
        </w:rPr>
      </w:pPr>
    </w:p>
    <w:p w14:paraId="6BC4FE0B">
      <w:pPr>
        <w:pStyle w:val="5"/>
        <w:numPr>
          <w:ilvl w:val="0"/>
          <w:numId w:val="0"/>
        </w:numPr>
        <w:ind w:leftChars="0"/>
        <w:rPr>
          <w:rFonts w:hint="default"/>
        </w:rPr>
      </w:pPr>
    </w:p>
    <w:p w14:paraId="4DD17D0D">
      <w:pPr>
        <w:spacing w:line="360" w:lineRule="auto"/>
        <w:jc w:val="center"/>
        <w:rPr>
          <w:rFonts w:hint="default" w:ascii="Times New Roman" w:hAnsi="Times New Roman" w:eastAsia="仿宋" w:cs="Times New Roman"/>
          <w:b/>
          <w:bCs/>
          <w:color w:val="auto"/>
          <w:sz w:val="52"/>
          <w:szCs w:val="52"/>
        </w:rPr>
      </w:pPr>
      <w:r>
        <w:rPr>
          <w:rFonts w:hint="default" w:ascii="Times New Roman" w:hAnsi="Times New Roman" w:eastAsia="仿宋" w:cs="Times New Roman"/>
          <w:b/>
          <w:bCs/>
          <w:color w:val="auto"/>
          <w:sz w:val="52"/>
          <w:szCs w:val="52"/>
        </w:rPr>
        <w:t>建设工程监理合同</w:t>
      </w:r>
    </w:p>
    <w:p w14:paraId="3C24EC46">
      <w:pPr>
        <w:spacing w:line="360" w:lineRule="auto"/>
        <w:jc w:val="center"/>
        <w:rPr>
          <w:rFonts w:hint="default" w:ascii="Times New Roman" w:hAnsi="Times New Roman" w:eastAsia="仿宋" w:cs="Times New Roman"/>
          <w:b/>
          <w:bCs/>
          <w:color w:val="auto"/>
          <w:sz w:val="52"/>
          <w:szCs w:val="52"/>
        </w:rPr>
      </w:pPr>
    </w:p>
    <w:p w14:paraId="31FFB71A">
      <w:pPr>
        <w:spacing w:line="360" w:lineRule="auto"/>
        <w:jc w:val="both"/>
        <w:rPr>
          <w:rFonts w:hint="default" w:ascii="Times New Roman" w:hAnsi="Times New Roman" w:eastAsia="仿宋" w:cs="Times New Roman"/>
          <w:b/>
          <w:bCs/>
          <w:color w:val="auto"/>
          <w:sz w:val="32"/>
          <w:szCs w:val="32"/>
          <w:lang w:val="en-US" w:eastAsia="zh-CN"/>
        </w:rPr>
      </w:pPr>
      <w:r>
        <w:rPr>
          <w:rFonts w:hint="default" w:ascii="Times New Roman" w:hAnsi="Times New Roman" w:eastAsia="仿宋" w:cs="Times New Roman"/>
          <w:b/>
          <w:bCs/>
          <w:color w:val="auto"/>
          <w:sz w:val="28"/>
          <w:szCs w:val="28"/>
          <w:lang w:eastAsia="zh-CN"/>
        </w:rPr>
        <w:t>项目名称：</w:t>
      </w:r>
      <w:r>
        <w:rPr>
          <w:rFonts w:hint="default" w:ascii="Times New Roman" w:hAnsi="Times New Roman" w:eastAsia="仿宋" w:cs="Times New Roman"/>
          <w:b/>
          <w:bCs/>
          <w:color w:val="auto"/>
          <w:sz w:val="32"/>
          <w:szCs w:val="32"/>
          <w:u w:val="single"/>
          <w:lang w:val="en-US" w:eastAsia="zh-CN"/>
        </w:rPr>
        <w:t xml:space="preserve">                                          </w:t>
      </w:r>
    </w:p>
    <w:p w14:paraId="2E755E77">
      <w:pPr>
        <w:spacing w:line="360" w:lineRule="auto"/>
        <w:jc w:val="center"/>
        <w:rPr>
          <w:rFonts w:hint="default" w:ascii="Times New Roman" w:hAnsi="Times New Roman" w:eastAsia="仿宋" w:cs="Times New Roman"/>
          <w:b/>
          <w:bCs/>
          <w:color w:val="auto"/>
          <w:sz w:val="52"/>
          <w:szCs w:val="52"/>
        </w:rPr>
      </w:pPr>
    </w:p>
    <w:p w14:paraId="217825D1">
      <w:pPr>
        <w:spacing w:line="360" w:lineRule="auto"/>
        <w:jc w:val="center"/>
        <w:rPr>
          <w:rFonts w:hint="default" w:ascii="Times New Roman" w:hAnsi="Times New Roman" w:eastAsia="仿宋" w:cs="Times New Roman"/>
          <w:bCs/>
          <w:color w:val="auto"/>
          <w:sz w:val="28"/>
          <w:szCs w:val="28"/>
        </w:rPr>
      </w:pPr>
    </w:p>
    <w:p w14:paraId="17ABFD9E">
      <w:pPr>
        <w:spacing w:line="360" w:lineRule="auto"/>
        <w:jc w:val="both"/>
        <w:rPr>
          <w:rFonts w:hint="default" w:ascii="Times New Roman" w:hAnsi="Times New Roman" w:eastAsia="仿宋" w:cs="Times New Roman"/>
          <w:b/>
          <w:bCs/>
          <w:color w:val="auto"/>
          <w:sz w:val="28"/>
          <w:szCs w:val="28"/>
        </w:rPr>
      </w:pPr>
    </w:p>
    <w:p w14:paraId="5FB93946">
      <w:pPr>
        <w:spacing w:line="360" w:lineRule="auto"/>
        <w:rPr>
          <w:rFonts w:hint="default" w:ascii="Times New Roman" w:hAnsi="Times New Roman" w:eastAsia="仿宋" w:cs="Times New Roman"/>
          <w:b/>
          <w:bCs/>
          <w:color w:val="auto"/>
          <w:sz w:val="28"/>
          <w:szCs w:val="28"/>
        </w:rPr>
      </w:pPr>
    </w:p>
    <w:p w14:paraId="37B92EFC">
      <w:pPr>
        <w:spacing w:line="360" w:lineRule="auto"/>
        <w:jc w:val="center"/>
        <w:rPr>
          <w:rFonts w:hint="default" w:ascii="Times New Roman" w:hAnsi="Times New Roman" w:eastAsia="仿宋" w:cs="Times New Roman"/>
          <w:b/>
          <w:color w:val="auto"/>
          <w:sz w:val="28"/>
          <w:szCs w:val="28"/>
        </w:rPr>
      </w:pPr>
      <w:r>
        <w:rPr>
          <w:rFonts w:hint="default" w:ascii="Times New Roman" w:hAnsi="Times New Roman" w:eastAsia="仿宋" w:cs="Times New Roman"/>
          <w:b/>
          <w:bCs/>
          <w:color w:val="auto"/>
          <w:sz w:val="28"/>
          <w:szCs w:val="28"/>
        </w:rPr>
        <w:t xml:space="preserve">  住房和城乡建设部</w:t>
      </w:r>
      <w:r>
        <w:rPr>
          <w:rFonts w:hint="default" w:ascii="Times New Roman" w:hAnsi="Times New Roman" w:eastAsia="仿宋" w:cs="Times New Roman"/>
          <w:b/>
          <w:color w:val="auto"/>
          <w:sz w:val="28"/>
          <w:szCs w:val="28"/>
        </w:rPr>
        <w:t>制定</w:t>
      </w:r>
    </w:p>
    <w:p w14:paraId="78C52F3F">
      <w:pPr>
        <w:spacing w:line="360" w:lineRule="auto"/>
        <w:jc w:val="center"/>
        <w:rPr>
          <w:rFonts w:hint="default" w:ascii="Times New Roman" w:hAnsi="Times New Roman" w:eastAsia="仿宋" w:cs="Times New Roman"/>
          <w:b/>
          <w:color w:val="auto"/>
          <w:sz w:val="28"/>
          <w:szCs w:val="28"/>
        </w:rPr>
      </w:pPr>
      <w:r>
        <w:rPr>
          <w:rFonts w:hint="default" w:ascii="Times New Roman" w:hAnsi="Times New Roman" w:eastAsia="仿宋" w:cs="Times New Roman"/>
          <w:b/>
          <w:bCs/>
          <w:color w:val="auto"/>
          <w:sz w:val="28"/>
          <w:szCs w:val="28"/>
        </w:rPr>
        <w:t xml:space="preserve">  国家工商行政管理总局</w:t>
      </w:r>
    </w:p>
    <w:p w14:paraId="07D48587">
      <w:pPr>
        <w:spacing w:line="360" w:lineRule="auto"/>
        <w:jc w:val="center"/>
        <w:rPr>
          <w:rFonts w:hint="default" w:ascii="Times New Roman" w:hAnsi="Times New Roman" w:eastAsia="仿宋" w:cs="Times New Roman"/>
          <w:b/>
          <w:bCs/>
          <w:color w:val="auto"/>
          <w:sz w:val="28"/>
          <w:szCs w:val="28"/>
        </w:rPr>
      </w:pPr>
    </w:p>
    <w:p w14:paraId="0E7D0E1D">
      <w:pPr>
        <w:spacing w:line="360" w:lineRule="auto"/>
        <w:jc w:val="center"/>
        <w:rPr>
          <w:rFonts w:hint="default" w:ascii="Times New Roman" w:hAnsi="Times New Roman" w:eastAsia="仿宋" w:cs="Times New Roman"/>
          <w:b/>
          <w:bCs/>
          <w:color w:val="auto"/>
          <w:sz w:val="28"/>
          <w:szCs w:val="28"/>
        </w:rPr>
      </w:pPr>
    </w:p>
    <w:p w14:paraId="77ADF257">
      <w:pPr>
        <w:spacing w:line="360" w:lineRule="auto"/>
        <w:jc w:val="center"/>
        <w:rPr>
          <w:rFonts w:hint="default" w:ascii="Times New Roman" w:hAnsi="Times New Roman" w:eastAsia="仿宋" w:cs="Times New Roman"/>
          <w:b/>
          <w:bCs/>
          <w:color w:val="auto"/>
          <w:sz w:val="28"/>
          <w:szCs w:val="28"/>
          <w:lang w:val="en-US" w:eastAsia="zh-CN"/>
        </w:rPr>
      </w:pPr>
      <w:r>
        <w:rPr>
          <w:rFonts w:hint="default" w:ascii="Times New Roman" w:hAnsi="Times New Roman" w:eastAsia="仿宋" w:cs="Times New Roman"/>
          <w:b/>
          <w:bCs/>
          <w:color w:val="auto"/>
          <w:sz w:val="28"/>
          <w:szCs w:val="28"/>
          <w:lang w:eastAsia="zh-CN"/>
        </w:rPr>
        <w:t>签订日期：</w:t>
      </w:r>
      <w:r>
        <w:rPr>
          <w:rFonts w:hint="default" w:ascii="Times New Roman" w:hAnsi="Times New Roman" w:eastAsia="仿宋" w:cs="Times New Roman"/>
          <w:b/>
          <w:bCs/>
          <w:color w:val="auto"/>
          <w:sz w:val="28"/>
          <w:szCs w:val="28"/>
          <w:lang w:val="en-US" w:eastAsia="zh-CN"/>
        </w:rPr>
        <w:t xml:space="preserve">   年   月   日</w:t>
      </w:r>
    </w:p>
    <w:p w14:paraId="374F53A2">
      <w:pPr>
        <w:pageBreakBefore/>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第一部分协议书</w:t>
      </w:r>
    </w:p>
    <w:p w14:paraId="5C51341B">
      <w:pPr>
        <w:tabs>
          <w:tab w:val="left" w:pos="3120"/>
        </w:tabs>
        <w:spacing w:line="360" w:lineRule="auto"/>
        <w:ind w:firstLine="562" w:firstLineChars="200"/>
        <w:jc w:val="center"/>
        <w:rPr>
          <w:rFonts w:hint="eastAsia" w:ascii="仿宋" w:hAnsi="仿宋" w:eastAsia="仿宋" w:cs="仿宋"/>
          <w:b/>
          <w:bCs/>
          <w:sz w:val="28"/>
          <w:szCs w:val="28"/>
        </w:rPr>
      </w:pPr>
    </w:p>
    <w:p w14:paraId="183E943C">
      <w:pPr>
        <w:adjustRightInd w:val="0"/>
        <w:snapToGrid w:val="0"/>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委托人（全称）：</w:t>
      </w:r>
    </w:p>
    <w:p w14:paraId="73EA1DC3">
      <w:pPr>
        <w:adjustRightInd w:val="0"/>
        <w:snapToGrid w:val="0"/>
        <w:spacing w:line="360" w:lineRule="auto"/>
        <w:ind w:firstLine="482" w:firstLineChars="200"/>
        <w:rPr>
          <w:rFonts w:hint="eastAsia" w:ascii="仿宋" w:hAnsi="仿宋" w:eastAsia="仿宋" w:cs="仿宋"/>
          <w:sz w:val="24"/>
          <w:szCs w:val="24"/>
        </w:rPr>
      </w:pPr>
      <w:r>
        <w:rPr>
          <w:rFonts w:hint="eastAsia" w:ascii="仿宋" w:hAnsi="仿宋" w:eastAsia="仿宋" w:cs="仿宋"/>
          <w:b/>
          <w:sz w:val="24"/>
          <w:szCs w:val="24"/>
        </w:rPr>
        <w:t>监理人（全称）：</w:t>
      </w:r>
    </w:p>
    <w:p w14:paraId="2C60146F">
      <w:pPr>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根据《中华人民共和国民法典》、《中华人民共和国建筑法》及其他有关法律、法规，遵循平等、自愿、公平和诚信的原则，双方就下述工程委托监理与相关服务事项协商一致，订立本合同。</w:t>
      </w:r>
    </w:p>
    <w:p w14:paraId="217DD255">
      <w:pPr>
        <w:snapToGrid w:val="0"/>
        <w:spacing w:line="360" w:lineRule="auto"/>
        <w:ind w:firstLine="477" w:firstLineChars="198"/>
        <w:outlineLvl w:val="0"/>
        <w:rPr>
          <w:rFonts w:hint="eastAsia" w:ascii="仿宋" w:hAnsi="仿宋" w:eastAsia="仿宋" w:cs="仿宋"/>
          <w:b/>
          <w:sz w:val="24"/>
          <w:szCs w:val="24"/>
        </w:rPr>
      </w:pPr>
      <w:r>
        <w:rPr>
          <w:rFonts w:hint="eastAsia" w:ascii="仿宋" w:hAnsi="仿宋" w:eastAsia="仿宋" w:cs="仿宋"/>
          <w:b/>
          <w:sz w:val="24"/>
          <w:szCs w:val="24"/>
        </w:rPr>
        <w:t>一、工程概况</w:t>
      </w:r>
    </w:p>
    <w:p w14:paraId="29A7E428">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1. 工程名称：</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94811BD">
      <w:pPr>
        <w:adjustRightInd w:val="0"/>
        <w:snapToGrid w:val="0"/>
        <w:spacing w:line="360" w:lineRule="auto"/>
        <w:ind w:firstLine="475" w:firstLineChars="198"/>
        <w:rPr>
          <w:rFonts w:hint="eastAsia" w:ascii="仿宋" w:hAnsi="仿宋" w:eastAsia="仿宋" w:cs="仿宋"/>
          <w:sz w:val="24"/>
          <w:szCs w:val="24"/>
          <w:lang w:eastAsia="zh-CN"/>
        </w:rPr>
      </w:pPr>
      <w:r>
        <w:rPr>
          <w:rFonts w:hint="eastAsia" w:ascii="仿宋" w:hAnsi="仿宋" w:eastAsia="仿宋" w:cs="仿宋"/>
          <w:sz w:val="24"/>
          <w:szCs w:val="24"/>
        </w:rPr>
        <w:t>2. 工程地点：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w:t>
      </w:r>
    </w:p>
    <w:p w14:paraId="5D77E45C">
      <w:pPr>
        <w:adjustRightInd w:val="0"/>
        <w:snapToGrid w:val="0"/>
        <w:spacing w:line="360" w:lineRule="auto"/>
        <w:ind w:firstLine="475" w:firstLineChars="198"/>
        <w:rPr>
          <w:rFonts w:hint="eastAsia" w:ascii="仿宋" w:hAnsi="仿宋" w:eastAsia="仿宋" w:cs="仿宋"/>
          <w:sz w:val="24"/>
          <w:szCs w:val="24"/>
          <w:u w:val="single"/>
          <w:lang w:eastAsia="zh-CN"/>
        </w:rPr>
      </w:pPr>
      <w:r>
        <w:rPr>
          <w:rFonts w:hint="eastAsia" w:ascii="仿宋" w:hAnsi="仿宋" w:eastAsia="仿宋" w:cs="仿宋"/>
          <w:sz w:val="24"/>
          <w:szCs w:val="24"/>
        </w:rPr>
        <w:t>3. 工程规模：</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w:t>
      </w:r>
    </w:p>
    <w:p w14:paraId="231B2C41">
      <w:pPr>
        <w:adjustRightInd w:val="0"/>
        <w:snapToGrid w:val="0"/>
        <w:spacing w:line="360" w:lineRule="auto"/>
        <w:ind w:firstLine="475" w:firstLineChars="198"/>
        <w:jc w:val="left"/>
        <w:rPr>
          <w:rFonts w:hint="eastAsia" w:ascii="仿宋" w:hAnsi="仿宋" w:eastAsia="仿宋" w:cs="仿宋"/>
          <w:sz w:val="24"/>
          <w:szCs w:val="24"/>
        </w:rPr>
      </w:pPr>
      <w:r>
        <w:rPr>
          <w:rFonts w:hint="eastAsia" w:ascii="仿宋" w:hAnsi="仿宋" w:eastAsia="仿宋" w:cs="仿宋"/>
          <w:sz w:val="24"/>
          <w:szCs w:val="24"/>
        </w:rPr>
        <w:t>4. 工程</w:t>
      </w:r>
      <w:r>
        <w:rPr>
          <w:rFonts w:hint="eastAsia" w:ascii="仿宋" w:hAnsi="仿宋" w:eastAsia="仿宋" w:cs="仿宋"/>
          <w:kern w:val="0"/>
          <w:sz w:val="24"/>
          <w:szCs w:val="24"/>
        </w:rPr>
        <w:t>概算投资额</w:t>
      </w:r>
      <w:r>
        <w:rPr>
          <w:rFonts w:hint="eastAsia" w:ascii="仿宋" w:hAnsi="仿宋" w:eastAsia="仿宋" w:cs="仿宋"/>
          <w:sz w:val="24"/>
          <w:szCs w:val="24"/>
        </w:rPr>
        <w:t>：</w:t>
      </w:r>
      <w:r>
        <w:rPr>
          <w:rFonts w:hint="eastAsia" w:ascii="仿宋" w:hAnsi="仿宋" w:eastAsia="仿宋" w:cs="仿宋"/>
          <w:sz w:val="24"/>
          <w:szCs w:val="24"/>
          <w:u w:val="single"/>
        </w:rPr>
        <w:t xml:space="preserve">    万元</w:t>
      </w:r>
      <w:r>
        <w:rPr>
          <w:rFonts w:hint="eastAsia" w:ascii="仿宋" w:hAnsi="仿宋" w:eastAsia="仿宋" w:cs="仿宋"/>
          <w:sz w:val="24"/>
          <w:szCs w:val="24"/>
        </w:rPr>
        <w:t>。</w:t>
      </w:r>
    </w:p>
    <w:p w14:paraId="2D2161E6">
      <w:pPr>
        <w:snapToGrid w:val="0"/>
        <w:spacing w:line="360" w:lineRule="auto"/>
        <w:ind w:firstLine="477" w:firstLineChars="198"/>
        <w:rPr>
          <w:rFonts w:hint="eastAsia" w:ascii="仿宋" w:hAnsi="仿宋" w:eastAsia="仿宋" w:cs="仿宋"/>
          <w:b/>
          <w:sz w:val="24"/>
          <w:szCs w:val="24"/>
        </w:rPr>
      </w:pPr>
      <w:r>
        <w:rPr>
          <w:rFonts w:hint="eastAsia" w:ascii="仿宋" w:hAnsi="仿宋" w:eastAsia="仿宋" w:cs="仿宋"/>
          <w:b/>
          <w:sz w:val="24"/>
          <w:szCs w:val="24"/>
        </w:rPr>
        <w:t>二、词语限定</w:t>
      </w:r>
    </w:p>
    <w:p w14:paraId="17CB2A26">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协议书中相关词语的含义与通用条件中的定义与解释相同。</w:t>
      </w:r>
    </w:p>
    <w:p w14:paraId="53869C5B">
      <w:pPr>
        <w:snapToGrid w:val="0"/>
        <w:spacing w:line="360" w:lineRule="auto"/>
        <w:ind w:firstLine="477" w:firstLineChars="198"/>
        <w:outlineLvl w:val="0"/>
        <w:rPr>
          <w:rFonts w:hint="eastAsia" w:ascii="仿宋" w:hAnsi="仿宋" w:eastAsia="仿宋" w:cs="仿宋"/>
          <w:b/>
          <w:sz w:val="24"/>
          <w:szCs w:val="24"/>
        </w:rPr>
      </w:pPr>
      <w:r>
        <w:rPr>
          <w:rFonts w:hint="eastAsia" w:ascii="仿宋" w:hAnsi="仿宋" w:eastAsia="仿宋" w:cs="仿宋"/>
          <w:b/>
          <w:sz w:val="24"/>
          <w:szCs w:val="24"/>
        </w:rPr>
        <w:t>三、组成本合同的文件</w:t>
      </w:r>
    </w:p>
    <w:p w14:paraId="005FBBB6">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1. 协议书；</w:t>
      </w:r>
    </w:p>
    <w:p w14:paraId="4A1847BB">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2. 中标通知书（适用于招标工程）或委托书（适用于非招标工程）；</w:t>
      </w:r>
    </w:p>
    <w:p w14:paraId="6502AD5C">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3. 投标文件（适用于招标工程）或监理与相关服务建议书（适用于非招标工程）；</w:t>
      </w:r>
    </w:p>
    <w:p w14:paraId="7D882B10">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4. 专用条件；</w:t>
      </w:r>
    </w:p>
    <w:p w14:paraId="70A5BC04">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5. 通用条件；</w:t>
      </w:r>
    </w:p>
    <w:p w14:paraId="0F764FFF">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6. 附录，即：</w:t>
      </w:r>
    </w:p>
    <w:p w14:paraId="49291820">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附录A  相关服务的范围和内容</w:t>
      </w:r>
    </w:p>
    <w:p w14:paraId="1C71EBD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附录B  委托人派遣的人员和提供的</w:t>
      </w:r>
      <w:r>
        <w:rPr>
          <w:rFonts w:hint="eastAsia" w:ascii="仿宋" w:hAnsi="仿宋" w:eastAsia="仿宋" w:cs="仿宋"/>
          <w:bCs/>
          <w:sz w:val="24"/>
          <w:szCs w:val="24"/>
        </w:rPr>
        <w:t>房屋、资料</w:t>
      </w:r>
      <w:r>
        <w:rPr>
          <w:rFonts w:hint="eastAsia" w:ascii="仿宋" w:hAnsi="仿宋" w:eastAsia="仿宋" w:cs="仿宋"/>
          <w:sz w:val="24"/>
          <w:szCs w:val="24"/>
        </w:rPr>
        <w:t>、设备</w:t>
      </w:r>
    </w:p>
    <w:p w14:paraId="253DE724">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本合同签订后，双方依法签订的补充协议也是本合同文件的组成部分。</w:t>
      </w:r>
    </w:p>
    <w:p w14:paraId="03EBD03F">
      <w:pPr>
        <w:snapToGrid w:val="0"/>
        <w:spacing w:line="360" w:lineRule="auto"/>
        <w:ind w:firstLine="477" w:firstLineChars="198"/>
        <w:outlineLvl w:val="0"/>
        <w:rPr>
          <w:rFonts w:hint="eastAsia" w:ascii="仿宋" w:hAnsi="仿宋" w:eastAsia="仿宋" w:cs="仿宋"/>
          <w:b/>
          <w:sz w:val="24"/>
          <w:szCs w:val="24"/>
        </w:rPr>
      </w:pPr>
      <w:r>
        <w:rPr>
          <w:rFonts w:hint="eastAsia" w:ascii="仿宋" w:hAnsi="仿宋" w:eastAsia="仿宋" w:cs="仿宋"/>
          <w:b/>
          <w:sz w:val="24"/>
          <w:szCs w:val="24"/>
        </w:rPr>
        <w:t>四、总监理工程师</w:t>
      </w:r>
    </w:p>
    <w:p w14:paraId="375DB738">
      <w:pPr>
        <w:adjustRightInd w:val="0"/>
        <w:snapToGrid w:val="0"/>
        <w:spacing w:line="360" w:lineRule="auto"/>
        <w:ind w:firstLine="475" w:firstLineChars="198"/>
        <w:rPr>
          <w:rFonts w:hint="eastAsia" w:ascii="仿宋" w:hAnsi="仿宋" w:eastAsia="仿宋" w:cs="仿宋"/>
          <w:kern w:val="0"/>
          <w:sz w:val="24"/>
          <w:szCs w:val="24"/>
        </w:rPr>
      </w:pPr>
      <w:r>
        <w:rPr>
          <w:rFonts w:hint="eastAsia" w:ascii="仿宋" w:hAnsi="仿宋" w:eastAsia="仿宋" w:cs="仿宋"/>
          <w:kern w:val="0"/>
          <w:sz w:val="24"/>
          <w:szCs w:val="24"/>
        </w:rPr>
        <w:t>总监理工程师姓名：，身份证号码：，注册号：。</w:t>
      </w:r>
    </w:p>
    <w:p w14:paraId="7BB21F66">
      <w:pPr>
        <w:snapToGrid w:val="0"/>
        <w:spacing w:line="360" w:lineRule="auto"/>
        <w:ind w:firstLine="477" w:firstLineChars="198"/>
        <w:outlineLvl w:val="0"/>
        <w:rPr>
          <w:rFonts w:hint="eastAsia" w:ascii="仿宋" w:hAnsi="仿宋" w:eastAsia="仿宋" w:cs="仿宋"/>
          <w:b/>
          <w:sz w:val="24"/>
          <w:szCs w:val="24"/>
        </w:rPr>
      </w:pPr>
      <w:r>
        <w:rPr>
          <w:rFonts w:hint="eastAsia" w:ascii="仿宋" w:hAnsi="仿宋" w:eastAsia="仿宋" w:cs="仿宋"/>
          <w:b/>
          <w:sz w:val="24"/>
          <w:szCs w:val="24"/>
        </w:rPr>
        <w:t>五、签约酬金</w:t>
      </w:r>
    </w:p>
    <w:p w14:paraId="573AD107">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签约酬金（大写）：（¥）。</w:t>
      </w:r>
    </w:p>
    <w:p w14:paraId="76ECF662">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包括：</w:t>
      </w:r>
    </w:p>
    <w:p w14:paraId="0921FCFC">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1. 监理酬金：</w:t>
      </w:r>
      <w:r>
        <w:rPr>
          <w:rFonts w:hint="eastAsia" w:ascii="仿宋" w:hAnsi="仿宋" w:eastAsia="仿宋" w:cs="仿宋"/>
          <w:sz w:val="24"/>
          <w:szCs w:val="24"/>
          <w:lang w:val="en-US" w:eastAsia="zh-CN"/>
        </w:rPr>
        <w:t xml:space="preserve">  </w:t>
      </w:r>
    </w:p>
    <w:p w14:paraId="6AFF1086">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2. 相关服务酬金：</w:t>
      </w:r>
    </w:p>
    <w:p w14:paraId="04A6D0D2">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其中：</w:t>
      </w:r>
    </w:p>
    <w:p w14:paraId="35CAB4E7">
      <w:pPr>
        <w:adjustRightInd w:val="0"/>
        <w:snapToGrid w:val="0"/>
        <w:spacing w:line="360" w:lineRule="auto"/>
        <w:ind w:firstLine="960" w:firstLineChars="400"/>
        <w:rPr>
          <w:rFonts w:hint="eastAsia" w:ascii="仿宋" w:hAnsi="仿宋" w:eastAsia="仿宋" w:cs="仿宋"/>
          <w:sz w:val="24"/>
          <w:szCs w:val="24"/>
        </w:rPr>
      </w:pPr>
      <w:r>
        <w:rPr>
          <w:rFonts w:hint="eastAsia" w:ascii="仿宋" w:hAnsi="仿宋" w:eastAsia="仿宋" w:cs="仿宋"/>
          <w:kern w:val="0"/>
          <w:sz w:val="24"/>
          <w:szCs w:val="24"/>
        </w:rPr>
        <w:t>（1）勘察阶段服务</w:t>
      </w:r>
      <w:r>
        <w:rPr>
          <w:rFonts w:hint="eastAsia" w:ascii="仿宋" w:hAnsi="仿宋" w:eastAsia="仿宋" w:cs="仿宋"/>
          <w:sz w:val="24"/>
          <w:szCs w:val="24"/>
        </w:rPr>
        <w:t>酬金：</w:t>
      </w:r>
    </w:p>
    <w:p w14:paraId="0B5E0C1C">
      <w:pPr>
        <w:adjustRightInd w:val="0"/>
        <w:snapToGrid w:val="0"/>
        <w:spacing w:line="360" w:lineRule="auto"/>
        <w:ind w:firstLine="960" w:firstLineChars="400"/>
        <w:rPr>
          <w:rFonts w:hint="eastAsia" w:ascii="仿宋" w:hAnsi="仿宋" w:eastAsia="仿宋" w:cs="仿宋"/>
          <w:sz w:val="24"/>
          <w:szCs w:val="24"/>
        </w:rPr>
      </w:pPr>
      <w:r>
        <w:rPr>
          <w:rFonts w:hint="eastAsia" w:ascii="仿宋" w:hAnsi="仿宋" w:eastAsia="仿宋" w:cs="仿宋"/>
          <w:kern w:val="0"/>
          <w:sz w:val="24"/>
          <w:szCs w:val="24"/>
        </w:rPr>
        <w:t>（2）设计阶段服务</w:t>
      </w:r>
      <w:r>
        <w:rPr>
          <w:rFonts w:hint="eastAsia" w:ascii="仿宋" w:hAnsi="仿宋" w:eastAsia="仿宋" w:cs="仿宋"/>
          <w:sz w:val="24"/>
          <w:szCs w:val="24"/>
        </w:rPr>
        <w:t>酬金：</w:t>
      </w:r>
    </w:p>
    <w:p w14:paraId="2AA7D76F">
      <w:pPr>
        <w:adjustRightInd w:val="0"/>
        <w:snapToGrid w:val="0"/>
        <w:spacing w:line="360" w:lineRule="auto"/>
        <w:ind w:firstLine="960" w:firstLineChars="400"/>
        <w:rPr>
          <w:rFonts w:hint="eastAsia" w:ascii="仿宋" w:hAnsi="仿宋" w:eastAsia="仿宋" w:cs="仿宋"/>
          <w:sz w:val="24"/>
          <w:szCs w:val="24"/>
        </w:rPr>
      </w:pPr>
      <w:r>
        <w:rPr>
          <w:rFonts w:hint="eastAsia" w:ascii="仿宋" w:hAnsi="仿宋" w:eastAsia="仿宋" w:cs="仿宋"/>
          <w:kern w:val="0"/>
          <w:sz w:val="24"/>
          <w:szCs w:val="24"/>
        </w:rPr>
        <w:t>（3）保修阶段服务</w:t>
      </w:r>
      <w:r>
        <w:rPr>
          <w:rFonts w:hint="eastAsia" w:ascii="仿宋" w:hAnsi="仿宋" w:eastAsia="仿宋" w:cs="仿宋"/>
          <w:sz w:val="24"/>
          <w:szCs w:val="24"/>
        </w:rPr>
        <w:t>酬金：</w:t>
      </w:r>
    </w:p>
    <w:p w14:paraId="039FAD91">
      <w:pPr>
        <w:adjustRightInd w:val="0"/>
        <w:snapToGrid w:val="0"/>
        <w:spacing w:line="360" w:lineRule="auto"/>
        <w:ind w:firstLine="960" w:firstLineChars="400"/>
        <w:rPr>
          <w:rFonts w:hint="eastAsia" w:ascii="仿宋" w:hAnsi="仿宋" w:eastAsia="仿宋" w:cs="仿宋"/>
          <w:sz w:val="24"/>
          <w:szCs w:val="24"/>
        </w:rPr>
      </w:pPr>
      <w:r>
        <w:rPr>
          <w:rFonts w:hint="eastAsia" w:ascii="仿宋" w:hAnsi="仿宋" w:eastAsia="仿宋" w:cs="仿宋"/>
          <w:kern w:val="0"/>
          <w:sz w:val="24"/>
          <w:szCs w:val="24"/>
        </w:rPr>
        <w:t>（4）</w:t>
      </w:r>
      <w:r>
        <w:rPr>
          <w:rFonts w:hint="eastAsia" w:ascii="仿宋" w:hAnsi="仿宋" w:eastAsia="仿宋" w:cs="仿宋"/>
          <w:sz w:val="24"/>
          <w:szCs w:val="24"/>
        </w:rPr>
        <w:t>其他相关服务酬金：</w:t>
      </w:r>
    </w:p>
    <w:p w14:paraId="1C960469">
      <w:pPr>
        <w:snapToGrid w:val="0"/>
        <w:spacing w:line="360" w:lineRule="auto"/>
        <w:ind w:firstLine="477" w:firstLineChars="198"/>
        <w:outlineLvl w:val="0"/>
        <w:rPr>
          <w:rFonts w:hint="eastAsia" w:ascii="仿宋" w:hAnsi="仿宋" w:eastAsia="仿宋" w:cs="仿宋"/>
          <w:b/>
          <w:sz w:val="24"/>
          <w:szCs w:val="24"/>
        </w:rPr>
      </w:pPr>
      <w:r>
        <w:rPr>
          <w:rFonts w:hint="eastAsia" w:ascii="仿宋" w:hAnsi="仿宋" w:eastAsia="仿宋" w:cs="仿宋"/>
          <w:b/>
          <w:sz w:val="24"/>
          <w:szCs w:val="24"/>
        </w:rPr>
        <w:t>六、期限</w:t>
      </w:r>
    </w:p>
    <w:p w14:paraId="40192964">
      <w:pPr>
        <w:adjustRightInd w:val="0"/>
        <w:snapToGrid w:val="0"/>
        <w:spacing w:line="360" w:lineRule="auto"/>
        <w:ind w:firstLine="600" w:firstLineChars="250"/>
        <w:jc w:val="left"/>
        <w:rPr>
          <w:rFonts w:hint="eastAsia" w:ascii="仿宋" w:hAnsi="仿宋" w:eastAsia="仿宋" w:cs="仿宋"/>
          <w:sz w:val="24"/>
          <w:szCs w:val="24"/>
        </w:rPr>
      </w:pPr>
      <w:r>
        <w:rPr>
          <w:rFonts w:hint="eastAsia" w:ascii="仿宋" w:hAnsi="仿宋" w:eastAsia="仿宋" w:cs="仿宋"/>
          <w:kern w:val="0"/>
          <w:sz w:val="24"/>
          <w:szCs w:val="24"/>
        </w:rPr>
        <w:t xml:space="preserve">1. </w:t>
      </w:r>
      <w:r>
        <w:rPr>
          <w:rFonts w:hint="eastAsia" w:ascii="仿宋" w:hAnsi="仿宋" w:eastAsia="仿宋" w:cs="仿宋"/>
          <w:sz w:val="24"/>
          <w:szCs w:val="24"/>
        </w:rPr>
        <w:t>监理期限：</w:t>
      </w:r>
    </w:p>
    <w:p w14:paraId="76F8490C">
      <w:pPr>
        <w:adjustRightInd w:val="0"/>
        <w:snapToGrid w:val="0"/>
        <w:spacing w:line="360" w:lineRule="auto"/>
        <w:ind w:firstLine="600" w:firstLineChars="250"/>
        <w:jc w:val="left"/>
        <w:rPr>
          <w:rFonts w:hint="eastAsia" w:ascii="仿宋" w:hAnsi="仿宋" w:eastAsia="仿宋" w:cs="仿宋"/>
          <w:sz w:val="24"/>
          <w:szCs w:val="24"/>
        </w:rPr>
      </w:pPr>
      <w:r>
        <w:rPr>
          <w:rFonts w:hint="eastAsia" w:ascii="仿宋" w:hAnsi="仿宋" w:eastAsia="仿宋" w:cs="仿宋"/>
          <w:sz w:val="24"/>
          <w:szCs w:val="24"/>
        </w:rPr>
        <w:t>自年月日始，至年月日止。</w:t>
      </w:r>
    </w:p>
    <w:p w14:paraId="5B8BC4A7">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kern w:val="0"/>
          <w:sz w:val="24"/>
          <w:szCs w:val="24"/>
        </w:rPr>
        <w:t xml:space="preserve">2. </w:t>
      </w:r>
      <w:r>
        <w:rPr>
          <w:rFonts w:hint="eastAsia" w:ascii="仿宋" w:hAnsi="仿宋" w:eastAsia="仿宋" w:cs="仿宋"/>
          <w:sz w:val="24"/>
          <w:szCs w:val="24"/>
        </w:rPr>
        <w:t>相关服务期限：</w:t>
      </w:r>
    </w:p>
    <w:p w14:paraId="78361743">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kern w:val="0"/>
          <w:sz w:val="24"/>
          <w:szCs w:val="24"/>
        </w:rPr>
        <w:t>（1）勘察阶段</w:t>
      </w:r>
      <w:r>
        <w:rPr>
          <w:rFonts w:hint="eastAsia" w:ascii="仿宋" w:hAnsi="仿宋" w:eastAsia="仿宋" w:cs="仿宋"/>
          <w:sz w:val="24"/>
          <w:szCs w:val="24"/>
        </w:rPr>
        <w:t>服务期限自年月日始，至年月日止。</w:t>
      </w:r>
    </w:p>
    <w:p w14:paraId="4BE6CD95">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kern w:val="0"/>
          <w:sz w:val="24"/>
          <w:szCs w:val="24"/>
        </w:rPr>
        <w:t>（2）设计阶段</w:t>
      </w:r>
      <w:r>
        <w:rPr>
          <w:rFonts w:hint="eastAsia" w:ascii="仿宋" w:hAnsi="仿宋" w:eastAsia="仿宋" w:cs="仿宋"/>
          <w:sz w:val="24"/>
          <w:szCs w:val="24"/>
        </w:rPr>
        <w:t>服务期限自年月日始，至年月日止。</w:t>
      </w:r>
    </w:p>
    <w:p w14:paraId="47D8A1C4">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kern w:val="0"/>
          <w:sz w:val="24"/>
          <w:szCs w:val="24"/>
        </w:rPr>
        <w:t>（3）保修阶段</w:t>
      </w:r>
      <w:r>
        <w:rPr>
          <w:rFonts w:hint="eastAsia" w:ascii="仿宋" w:hAnsi="仿宋" w:eastAsia="仿宋" w:cs="仿宋"/>
          <w:sz w:val="24"/>
          <w:szCs w:val="24"/>
        </w:rPr>
        <w:t>服务期限自年月日始，至年月日止。</w:t>
      </w:r>
    </w:p>
    <w:p w14:paraId="73A98097">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kern w:val="0"/>
          <w:sz w:val="24"/>
          <w:szCs w:val="24"/>
        </w:rPr>
        <w:t>（4）</w:t>
      </w:r>
      <w:r>
        <w:rPr>
          <w:rFonts w:hint="eastAsia" w:ascii="仿宋" w:hAnsi="仿宋" w:eastAsia="仿宋" w:cs="仿宋"/>
          <w:sz w:val="24"/>
          <w:szCs w:val="24"/>
        </w:rPr>
        <w:t>其他相关服务期限自年月日始，至年月日止。</w:t>
      </w:r>
    </w:p>
    <w:p w14:paraId="75CC29BA">
      <w:pPr>
        <w:snapToGrid w:val="0"/>
        <w:spacing w:line="360" w:lineRule="auto"/>
        <w:ind w:firstLine="477" w:firstLineChars="198"/>
        <w:outlineLvl w:val="0"/>
        <w:rPr>
          <w:rFonts w:hint="eastAsia" w:ascii="仿宋" w:hAnsi="仿宋" w:eastAsia="仿宋" w:cs="仿宋"/>
          <w:b/>
          <w:sz w:val="24"/>
          <w:szCs w:val="24"/>
        </w:rPr>
      </w:pPr>
      <w:r>
        <w:rPr>
          <w:rFonts w:hint="eastAsia" w:ascii="仿宋" w:hAnsi="仿宋" w:eastAsia="仿宋" w:cs="仿宋"/>
          <w:b/>
          <w:sz w:val="24"/>
          <w:szCs w:val="24"/>
        </w:rPr>
        <w:t>七、双方承诺</w:t>
      </w:r>
    </w:p>
    <w:p w14:paraId="4081FDB2">
      <w:pPr>
        <w:snapToGrid w:val="0"/>
        <w:spacing w:line="360" w:lineRule="auto"/>
        <w:ind w:firstLine="475" w:firstLineChars="198"/>
        <w:outlineLvl w:val="0"/>
        <w:rPr>
          <w:rFonts w:hint="eastAsia" w:ascii="仿宋" w:hAnsi="仿宋" w:eastAsia="仿宋" w:cs="仿宋"/>
          <w:b/>
          <w:sz w:val="24"/>
          <w:szCs w:val="24"/>
        </w:rPr>
      </w:pPr>
      <w:r>
        <w:rPr>
          <w:rFonts w:hint="eastAsia" w:ascii="仿宋" w:hAnsi="仿宋" w:eastAsia="仿宋" w:cs="仿宋"/>
          <w:sz w:val="24"/>
          <w:szCs w:val="24"/>
        </w:rPr>
        <w:t>1. 监理人向委托人承诺，按照本合同约定</w:t>
      </w:r>
      <w:r>
        <w:rPr>
          <w:rFonts w:hint="eastAsia" w:ascii="仿宋" w:hAnsi="仿宋" w:eastAsia="仿宋" w:cs="仿宋"/>
          <w:kern w:val="0"/>
          <w:sz w:val="24"/>
          <w:szCs w:val="24"/>
        </w:rPr>
        <w:t>提供</w:t>
      </w:r>
      <w:r>
        <w:rPr>
          <w:rFonts w:hint="eastAsia" w:ascii="仿宋" w:hAnsi="仿宋" w:eastAsia="仿宋" w:cs="仿宋"/>
          <w:sz w:val="24"/>
          <w:szCs w:val="24"/>
        </w:rPr>
        <w:t>监理与相关服务。</w:t>
      </w:r>
    </w:p>
    <w:p w14:paraId="726B8A87">
      <w:pPr>
        <w:snapToGrid w:val="0"/>
        <w:spacing w:line="360" w:lineRule="auto"/>
        <w:ind w:firstLine="475" w:firstLineChars="198"/>
        <w:outlineLvl w:val="0"/>
        <w:rPr>
          <w:rFonts w:hint="eastAsia" w:ascii="仿宋" w:hAnsi="仿宋" w:eastAsia="仿宋" w:cs="仿宋"/>
          <w:sz w:val="24"/>
          <w:szCs w:val="24"/>
        </w:rPr>
      </w:pPr>
      <w:r>
        <w:rPr>
          <w:rFonts w:hint="eastAsia" w:ascii="仿宋" w:hAnsi="仿宋" w:eastAsia="仿宋" w:cs="仿宋"/>
          <w:sz w:val="24"/>
          <w:szCs w:val="24"/>
        </w:rPr>
        <w:t>2. 委托人向监理人承诺，按照本合同约定派遣相应的人员，提供</w:t>
      </w:r>
      <w:r>
        <w:rPr>
          <w:rFonts w:hint="eastAsia" w:ascii="仿宋" w:hAnsi="仿宋" w:eastAsia="仿宋" w:cs="仿宋"/>
          <w:bCs/>
          <w:sz w:val="24"/>
          <w:szCs w:val="24"/>
        </w:rPr>
        <w:t>房屋、资料</w:t>
      </w:r>
      <w:r>
        <w:rPr>
          <w:rFonts w:hint="eastAsia" w:ascii="仿宋" w:hAnsi="仿宋" w:eastAsia="仿宋" w:cs="仿宋"/>
          <w:sz w:val="24"/>
          <w:szCs w:val="24"/>
        </w:rPr>
        <w:t>、设备，并按本合同约定支付酬金。</w:t>
      </w:r>
    </w:p>
    <w:p w14:paraId="1E011EAB">
      <w:pPr>
        <w:snapToGrid w:val="0"/>
        <w:spacing w:line="360" w:lineRule="auto"/>
        <w:ind w:firstLine="477" w:firstLineChars="198"/>
        <w:outlineLvl w:val="0"/>
        <w:rPr>
          <w:rFonts w:hint="eastAsia" w:ascii="仿宋" w:hAnsi="仿宋" w:eastAsia="仿宋" w:cs="仿宋"/>
          <w:b/>
          <w:sz w:val="24"/>
          <w:szCs w:val="24"/>
        </w:rPr>
      </w:pPr>
      <w:r>
        <w:rPr>
          <w:rFonts w:hint="eastAsia" w:ascii="仿宋" w:hAnsi="仿宋" w:eastAsia="仿宋" w:cs="仿宋"/>
          <w:b/>
          <w:sz w:val="24"/>
          <w:szCs w:val="24"/>
        </w:rPr>
        <w:t>八、合同订立</w:t>
      </w:r>
    </w:p>
    <w:p w14:paraId="254055B4">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1. 订立时间：年月日。</w:t>
      </w:r>
    </w:p>
    <w:p w14:paraId="32C3D56A">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2. 订立地点：。</w:t>
      </w:r>
    </w:p>
    <w:p w14:paraId="6E235A80">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3. 本合同一式份，具有同等法律效力，双方各执份。</w:t>
      </w:r>
    </w:p>
    <w:p w14:paraId="3DE881D2">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委托人：</w:t>
      </w:r>
      <w:r>
        <w:rPr>
          <w:rFonts w:hint="eastAsia" w:ascii="仿宋" w:hAnsi="仿宋" w:eastAsia="仿宋" w:cs="仿宋"/>
          <w:sz w:val="24"/>
          <w:szCs w:val="24"/>
          <w:u w:val="single"/>
        </w:rPr>
        <w:t>（盖章）</w:t>
      </w:r>
      <w:r>
        <w:rPr>
          <w:rFonts w:hint="eastAsia" w:ascii="仿宋" w:hAnsi="仿宋" w:eastAsia="仿宋" w:cs="仿宋"/>
          <w:sz w:val="24"/>
          <w:szCs w:val="24"/>
        </w:rPr>
        <w:t>监理人：</w:t>
      </w:r>
      <w:r>
        <w:rPr>
          <w:rFonts w:hint="eastAsia" w:ascii="仿宋" w:hAnsi="仿宋" w:eastAsia="仿宋" w:cs="仿宋"/>
          <w:sz w:val="24"/>
          <w:szCs w:val="24"/>
          <w:u w:val="single"/>
        </w:rPr>
        <w:t>（盖章）</w:t>
      </w:r>
    </w:p>
    <w:p w14:paraId="5CE71714">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住所：住所：</w:t>
      </w:r>
    </w:p>
    <w:p w14:paraId="59AB7DD4">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邮政编码：邮政编码：</w:t>
      </w:r>
    </w:p>
    <w:p w14:paraId="41165470">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法定代表人或其授权法定代表人或其授权</w:t>
      </w:r>
    </w:p>
    <w:p w14:paraId="45296DB3">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的代理人：</w:t>
      </w:r>
      <w:r>
        <w:rPr>
          <w:rFonts w:hint="eastAsia" w:ascii="仿宋" w:hAnsi="仿宋" w:eastAsia="仿宋" w:cs="仿宋"/>
          <w:sz w:val="24"/>
          <w:szCs w:val="24"/>
          <w:u w:val="single"/>
        </w:rPr>
        <w:t>（签字）</w:t>
      </w:r>
      <w:r>
        <w:rPr>
          <w:rFonts w:hint="eastAsia" w:ascii="仿宋" w:hAnsi="仿宋" w:eastAsia="仿宋" w:cs="仿宋"/>
          <w:sz w:val="24"/>
          <w:szCs w:val="24"/>
        </w:rPr>
        <w:t>的代理人：</w:t>
      </w:r>
      <w:r>
        <w:rPr>
          <w:rFonts w:hint="eastAsia" w:ascii="仿宋" w:hAnsi="仿宋" w:eastAsia="仿宋" w:cs="仿宋"/>
          <w:sz w:val="24"/>
          <w:szCs w:val="24"/>
          <w:u w:val="single"/>
        </w:rPr>
        <w:t>（签字）</w:t>
      </w:r>
    </w:p>
    <w:p w14:paraId="752B8A47">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开户银行：开户银行：</w:t>
      </w:r>
    </w:p>
    <w:p w14:paraId="4BB2A5E0">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账号：账号：</w:t>
      </w:r>
    </w:p>
    <w:p w14:paraId="2091D7A3">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电话：电话：</w:t>
      </w:r>
    </w:p>
    <w:p w14:paraId="381E225B">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传真：传真：</w:t>
      </w:r>
    </w:p>
    <w:p w14:paraId="5ED9954E">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电子邮箱：电子邮箱：</w:t>
      </w:r>
    </w:p>
    <w:p w14:paraId="1AAFB02A">
      <w:pPr>
        <w:pageBreakBefore/>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第二部分通用条件</w:t>
      </w:r>
    </w:p>
    <w:p w14:paraId="7CFF3ACF">
      <w:pPr>
        <w:snapToGrid w:val="0"/>
        <w:spacing w:line="360" w:lineRule="auto"/>
        <w:rPr>
          <w:rFonts w:hint="eastAsia" w:ascii="仿宋" w:hAnsi="仿宋" w:eastAsia="仿宋" w:cs="仿宋"/>
          <w:b/>
          <w:sz w:val="24"/>
          <w:szCs w:val="24"/>
        </w:rPr>
      </w:pPr>
      <w:r>
        <w:rPr>
          <w:rFonts w:hint="eastAsia" w:ascii="仿宋" w:hAnsi="仿宋" w:eastAsia="仿宋" w:cs="仿宋"/>
          <w:b/>
          <w:sz w:val="24"/>
          <w:szCs w:val="24"/>
        </w:rPr>
        <w:t>1. 定义与解释</w:t>
      </w:r>
    </w:p>
    <w:p w14:paraId="6C118FAC">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1.1 </w:t>
      </w:r>
      <w:r>
        <w:rPr>
          <w:rFonts w:hint="eastAsia" w:ascii="仿宋" w:hAnsi="仿宋" w:eastAsia="仿宋" w:cs="仿宋"/>
          <w:bCs/>
          <w:sz w:val="24"/>
          <w:szCs w:val="24"/>
        </w:rPr>
        <w:t>定义</w:t>
      </w:r>
    </w:p>
    <w:p w14:paraId="38DB7987">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除根据上下文另有其意义外，组成本合同的全部文件中的下列名词和用语应具有本款所赋予的含义：</w:t>
      </w:r>
    </w:p>
    <w:p w14:paraId="3002130C">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1.1.1 “工程”是指按照本合同约定实施监理与相关服务的建设工程。</w:t>
      </w:r>
    </w:p>
    <w:p w14:paraId="27245E7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1.1.2 “委托人”是指本合同中委托监理与相关服务的一方，及其合法的继承人或受让人。</w:t>
      </w:r>
    </w:p>
    <w:p w14:paraId="657665D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1.1.3 “监理人”是指本合同中提供监理与相关服务的一方，及其合法的继承人。</w:t>
      </w:r>
    </w:p>
    <w:p w14:paraId="7E04AFDD">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1.1.4 “承包人”是指在工程范围内与委托人签订勘察、设计、施工等有关合同的当事人，及其合法的继承人。</w:t>
      </w:r>
    </w:p>
    <w:p w14:paraId="44345313">
      <w:pPr>
        <w:pStyle w:val="13"/>
        <w:snapToGrid w:val="0"/>
        <w:spacing w:line="360" w:lineRule="auto"/>
        <w:ind w:firstLine="570"/>
        <w:rPr>
          <w:rFonts w:hint="eastAsia" w:ascii="仿宋" w:hAnsi="仿宋" w:eastAsia="仿宋" w:cs="仿宋"/>
          <w:sz w:val="24"/>
          <w:szCs w:val="24"/>
        </w:rPr>
      </w:pPr>
      <w:r>
        <w:rPr>
          <w:rFonts w:hint="eastAsia" w:ascii="仿宋" w:hAnsi="仿宋" w:eastAsia="仿宋" w:cs="仿宋"/>
          <w:sz w:val="24"/>
          <w:szCs w:val="24"/>
        </w:rPr>
        <w:t>1.1.5 “监理”是指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38EA6F8F">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1.1.6 “相关服务”是指监理人受委托人的委托，按照本合同约定，在勘察、设计、保修等阶段提供的服务活动。</w:t>
      </w:r>
    </w:p>
    <w:p w14:paraId="5C5D0090">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1.1.7 “正常工作”指本合同订立时通用条件和专用条件中约定的监理人的工作。</w:t>
      </w:r>
    </w:p>
    <w:p w14:paraId="2B74FA2E">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1.1.8 “附加工作”是指本合同约定的正常工作以外监理人的工作。</w:t>
      </w:r>
    </w:p>
    <w:p w14:paraId="65DDFF37">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1.1.9 “项目监理机构”是指监理人派驻工程负责履行本合同的组织机构。</w:t>
      </w:r>
    </w:p>
    <w:p w14:paraId="5971E2F6">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1.1.10 “总监理工程师”是指由监理人的法定代表人书面授权，全面负责履行本合同、主持项目监理机构工作的注册监理工程师。</w:t>
      </w:r>
    </w:p>
    <w:p w14:paraId="24882BAC">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1.1.11 “酬金”是指监理人履行本合同义务，委托人按照本合同约定给付监理人的金额。</w:t>
      </w:r>
    </w:p>
    <w:p w14:paraId="501D14DE">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1.1.12 “正常工作</w:t>
      </w:r>
      <w:r>
        <w:rPr>
          <w:rFonts w:hint="eastAsia" w:ascii="仿宋" w:hAnsi="仿宋" w:eastAsia="仿宋" w:cs="仿宋"/>
          <w:kern w:val="0"/>
          <w:sz w:val="24"/>
          <w:szCs w:val="24"/>
        </w:rPr>
        <w:t>酬金”</w:t>
      </w:r>
      <w:r>
        <w:rPr>
          <w:rFonts w:hint="eastAsia" w:ascii="仿宋" w:hAnsi="仿宋" w:eastAsia="仿宋" w:cs="仿宋"/>
          <w:sz w:val="24"/>
          <w:szCs w:val="24"/>
        </w:rPr>
        <w:t>是指监理人完成正常工作，委托人应给付监理人并在协议书中载明的签约</w:t>
      </w:r>
      <w:r>
        <w:rPr>
          <w:rFonts w:hint="eastAsia" w:ascii="仿宋" w:hAnsi="仿宋" w:eastAsia="仿宋" w:cs="仿宋"/>
          <w:kern w:val="0"/>
          <w:sz w:val="24"/>
          <w:szCs w:val="24"/>
        </w:rPr>
        <w:t>酬金额</w:t>
      </w:r>
      <w:r>
        <w:rPr>
          <w:rFonts w:hint="eastAsia" w:ascii="仿宋" w:hAnsi="仿宋" w:eastAsia="仿宋" w:cs="仿宋"/>
          <w:sz w:val="24"/>
          <w:szCs w:val="24"/>
        </w:rPr>
        <w:t>。</w:t>
      </w:r>
    </w:p>
    <w:p w14:paraId="3BC69A6A">
      <w:pPr>
        <w:adjustRightInd w:val="0"/>
        <w:snapToGrid w:val="0"/>
        <w:spacing w:line="360" w:lineRule="auto"/>
        <w:ind w:firstLine="475" w:firstLineChars="198"/>
        <w:rPr>
          <w:rFonts w:hint="eastAsia" w:ascii="仿宋" w:hAnsi="仿宋" w:eastAsia="仿宋" w:cs="仿宋"/>
          <w:sz w:val="24"/>
          <w:szCs w:val="24"/>
        </w:rPr>
      </w:pPr>
      <w:r>
        <w:rPr>
          <w:rFonts w:hint="eastAsia" w:ascii="仿宋" w:hAnsi="仿宋" w:eastAsia="仿宋" w:cs="仿宋"/>
          <w:sz w:val="24"/>
          <w:szCs w:val="24"/>
        </w:rPr>
        <w:t>1.1.13 “附加工作酬金”是指监理人完成附加工作，委托人应给付监理人的金额。</w:t>
      </w:r>
    </w:p>
    <w:p w14:paraId="61C99DB7">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1.1.14 “一方”是指委托人或监理人；“双方”是指委托人和监理人；“第三方”是指除委托人和监理人以外的有关方。</w:t>
      </w:r>
    </w:p>
    <w:p w14:paraId="47AD0348">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1.1.15 “书面形式”是指合同书、信件和数据电文（包括电报、电传、传真、电子数据交换和电子邮件）等可以有形地表现所载内容的形式。</w:t>
      </w:r>
    </w:p>
    <w:p w14:paraId="2BF98E98">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1.1.16 “天”是指第一天零时至第二天零时的时间。</w:t>
      </w:r>
    </w:p>
    <w:p w14:paraId="618A9F98">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1.1.17“月”是指按公历从一个月中任何一天开始的一个公历月时间。</w:t>
      </w:r>
    </w:p>
    <w:p w14:paraId="4BF6A1E1">
      <w:pPr>
        <w:adjustRightInd w:val="0"/>
        <w:snapToGrid w:val="0"/>
        <w:spacing w:line="360" w:lineRule="auto"/>
        <w:ind w:firstLine="645"/>
        <w:rPr>
          <w:rFonts w:hint="eastAsia" w:ascii="仿宋" w:hAnsi="仿宋" w:eastAsia="仿宋" w:cs="仿宋"/>
          <w:sz w:val="24"/>
          <w:szCs w:val="24"/>
        </w:rPr>
      </w:pPr>
      <w:r>
        <w:rPr>
          <w:rFonts w:hint="eastAsia" w:ascii="仿宋" w:hAnsi="仿宋" w:eastAsia="仿宋" w:cs="仿宋"/>
          <w:sz w:val="24"/>
          <w:szCs w:val="24"/>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09233AF0">
      <w:pPr>
        <w:adjustRightInd w:val="0"/>
        <w:snapToGrid w:val="0"/>
        <w:spacing w:line="360" w:lineRule="auto"/>
        <w:ind w:left="210" w:leftChars="100"/>
        <w:rPr>
          <w:rFonts w:hint="eastAsia" w:ascii="仿宋" w:hAnsi="仿宋" w:eastAsia="仿宋" w:cs="仿宋"/>
          <w:sz w:val="24"/>
          <w:szCs w:val="24"/>
        </w:rPr>
      </w:pPr>
      <w:r>
        <w:rPr>
          <w:rFonts w:hint="eastAsia" w:ascii="仿宋" w:hAnsi="仿宋" w:eastAsia="仿宋" w:cs="仿宋"/>
          <w:bCs/>
          <w:sz w:val="24"/>
          <w:szCs w:val="24"/>
        </w:rPr>
        <w:t xml:space="preserve">1.2 </w:t>
      </w:r>
      <w:r>
        <w:rPr>
          <w:rFonts w:hint="eastAsia" w:ascii="仿宋" w:hAnsi="仿宋" w:eastAsia="仿宋" w:cs="仿宋"/>
          <w:sz w:val="24"/>
          <w:szCs w:val="24"/>
        </w:rPr>
        <w:t>解释</w:t>
      </w:r>
    </w:p>
    <w:p w14:paraId="3CD171BE">
      <w:pPr>
        <w:tabs>
          <w:tab w:val="left" w:pos="6140"/>
        </w:tabs>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1.2.1本合同使用中文书写、解释和说明。如专用条件约定使用两种及以上语言文字时，应以中文为准。</w:t>
      </w:r>
    </w:p>
    <w:p w14:paraId="5E9E2840">
      <w:pPr>
        <w:tabs>
          <w:tab w:val="left" w:pos="6140"/>
        </w:tabs>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1.2.2 组成本合同的下列文件彼此应能相互解释、互为说明。除专用条件另有约定外，本合同文件的解释顺序如下：</w:t>
      </w:r>
    </w:p>
    <w:p w14:paraId="6835B4E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（1）协议书；</w:t>
      </w:r>
    </w:p>
    <w:p w14:paraId="2AE80F5D">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（2）中标通知书（适用于招标工程）或委托书（适用于非招标工程）；</w:t>
      </w:r>
    </w:p>
    <w:p w14:paraId="37D67FB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（3）专用条件及附录A、附录B；</w:t>
      </w:r>
    </w:p>
    <w:p w14:paraId="1214997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（4）通用条件；</w:t>
      </w:r>
    </w:p>
    <w:p w14:paraId="3AF01733">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（5）投标文件（适用于招标工程）或监理与相关服务建议书（适用于非招标工程）。</w:t>
      </w:r>
    </w:p>
    <w:p w14:paraId="1D5EDB9E">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双方签订的补充协议与其他文件发生矛盾或歧义时，属于同一类内容的文件，应以最新签署的为准。</w:t>
      </w:r>
    </w:p>
    <w:p w14:paraId="45D1BB9C">
      <w:pPr>
        <w:snapToGrid w:val="0"/>
        <w:spacing w:line="360" w:lineRule="auto"/>
        <w:rPr>
          <w:rFonts w:hint="eastAsia" w:ascii="仿宋" w:hAnsi="仿宋" w:eastAsia="仿宋" w:cs="仿宋"/>
          <w:b/>
          <w:sz w:val="24"/>
          <w:szCs w:val="24"/>
        </w:rPr>
      </w:pPr>
      <w:r>
        <w:rPr>
          <w:rFonts w:hint="eastAsia" w:ascii="仿宋" w:hAnsi="仿宋" w:eastAsia="仿宋" w:cs="仿宋"/>
          <w:b/>
          <w:sz w:val="24"/>
          <w:szCs w:val="24"/>
        </w:rPr>
        <w:t>2. 监理人的义务</w:t>
      </w:r>
    </w:p>
    <w:p w14:paraId="3DF96656">
      <w:pPr>
        <w:adjustRightInd w:val="0"/>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2.1 监理的范围和工作内容</w:t>
      </w:r>
    </w:p>
    <w:p w14:paraId="0FF1AF15">
      <w:pPr>
        <w:adjustRightInd w:val="0"/>
        <w:snapToGrid w:val="0"/>
        <w:spacing w:line="360" w:lineRule="auto"/>
        <w:ind w:left="420" w:leftChars="200"/>
        <w:rPr>
          <w:rFonts w:hint="eastAsia" w:ascii="仿宋" w:hAnsi="仿宋" w:eastAsia="仿宋" w:cs="仿宋"/>
          <w:sz w:val="24"/>
          <w:szCs w:val="24"/>
        </w:rPr>
      </w:pPr>
      <w:r>
        <w:rPr>
          <w:rFonts w:hint="eastAsia" w:ascii="仿宋" w:hAnsi="仿宋" w:eastAsia="仿宋" w:cs="仿宋"/>
          <w:sz w:val="24"/>
          <w:szCs w:val="24"/>
        </w:rPr>
        <w:t>2.1.1 监理范围在专用条件中约定。</w:t>
      </w:r>
    </w:p>
    <w:p w14:paraId="53EE72B3">
      <w:pPr>
        <w:adjustRightInd w:val="0"/>
        <w:snapToGrid w:val="0"/>
        <w:spacing w:line="360" w:lineRule="auto"/>
        <w:ind w:left="420" w:leftChars="200"/>
        <w:rPr>
          <w:rFonts w:hint="eastAsia" w:ascii="仿宋" w:hAnsi="仿宋" w:eastAsia="仿宋" w:cs="仿宋"/>
          <w:sz w:val="24"/>
          <w:szCs w:val="24"/>
        </w:rPr>
      </w:pPr>
      <w:r>
        <w:rPr>
          <w:rFonts w:hint="eastAsia" w:ascii="仿宋" w:hAnsi="仿宋" w:eastAsia="仿宋" w:cs="仿宋"/>
          <w:sz w:val="24"/>
          <w:szCs w:val="24"/>
        </w:rPr>
        <w:t>2.1.2 除专用条件另有约定外，监理工作内容包括：</w:t>
      </w:r>
    </w:p>
    <w:p w14:paraId="3EE30D66">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（1）收到工程设计文件后编制监理规划，并在第一次工地会议7天前报委托人。根据有关规定和监理工作需要，编制监理实施细则；</w:t>
      </w:r>
    </w:p>
    <w:p w14:paraId="6331F8B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（2）熟悉工程设计文件，并参加由委托人主持的图纸会审和设计交底会议；</w:t>
      </w:r>
    </w:p>
    <w:p w14:paraId="4854EF3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（3）参加由委托人主持的第一次工地会议；主持监理例会并根据工程需要主持或参加专题会议；</w:t>
      </w:r>
    </w:p>
    <w:p w14:paraId="6578341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（4）审查施工承包人提交的施工组织设计，重点审查其中的质量安全技术措施、专项施工方案与工程建设强制性标准的符合性；</w:t>
      </w:r>
    </w:p>
    <w:p w14:paraId="5759BDB7">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（5）检查施工承包人工程质量、安全生产管理制度及组织机构和人员资格；</w:t>
      </w:r>
    </w:p>
    <w:p w14:paraId="4B331077">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（6）检查施工承包人专职安全生产管理人员的配备情况；</w:t>
      </w:r>
    </w:p>
    <w:p w14:paraId="687723B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（7）审查施工承包人提交的施工进度计划，核查承包人对施工进度计划的调整；</w:t>
      </w:r>
    </w:p>
    <w:p w14:paraId="3A7C224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（8）检查施工承包人的试验室；</w:t>
      </w:r>
    </w:p>
    <w:p w14:paraId="4984A2EB">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（9）审核施工分包人资质条件；</w:t>
      </w:r>
    </w:p>
    <w:p w14:paraId="66389CA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（10）查验施工承包人的施工测量放线成果；</w:t>
      </w:r>
    </w:p>
    <w:p w14:paraId="0E1402EF">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（11）审查工程开工条件，对条件具备的签发开工令；</w:t>
      </w:r>
    </w:p>
    <w:p w14:paraId="4D206E47">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（12）审查施工承包人报送的工程材料、构配件、设备质量证明文件的有效性和符合性，并按规定对用于工程的材料采取平行检验或见证取样方式进行抽检；</w:t>
      </w:r>
    </w:p>
    <w:p w14:paraId="1594585C">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（13）审核施工承包人提交的工程款支付申请，签发或出具工程款支付证书，并报委托人审核、批准；</w:t>
      </w:r>
    </w:p>
    <w:p w14:paraId="0D67107C">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（14）在巡视、旁站和检验过程中，发现工程质量、施工安全存在事故隐患的，要求施工承包人整改并报委托人；</w:t>
      </w:r>
    </w:p>
    <w:p w14:paraId="33D53988">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（15）经委托人同意，签发工程暂停令和复工令；</w:t>
      </w:r>
    </w:p>
    <w:p w14:paraId="4E52B334">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（16）审查施工承包人提交的采用新材料、新工艺、新技术、新设备的论证材料及相关验收标准；</w:t>
      </w:r>
    </w:p>
    <w:p w14:paraId="2C757C6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（17）验收隐蔽工程、分部分项工程；</w:t>
      </w:r>
    </w:p>
    <w:p w14:paraId="49CBE92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（18）审查施工承包人提交的工程变更申请，协调处理施工进度调整、费用索赔、合同争议等事项；</w:t>
      </w:r>
    </w:p>
    <w:p w14:paraId="4CE4BC7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（19）审查施工承包人提交的竣工验收申请，编写工程质量评估报告；</w:t>
      </w:r>
    </w:p>
    <w:p w14:paraId="7579ED2B">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（20）参加工程竣工验收，签署竣工验收意见；</w:t>
      </w:r>
    </w:p>
    <w:p w14:paraId="267F7893">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（21）审查施工承包人提交的竣工结算申请并报委托人；</w:t>
      </w:r>
    </w:p>
    <w:p w14:paraId="27368E7E">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（22）编制、整理工程监理归档文件并报委托人。</w:t>
      </w:r>
    </w:p>
    <w:p w14:paraId="10A67B5B">
      <w:pPr>
        <w:snapToGrid w:val="0"/>
        <w:spacing w:line="360" w:lineRule="auto"/>
        <w:ind w:left="420" w:leftChars="200" w:firstLine="120" w:firstLineChars="50"/>
        <w:rPr>
          <w:rFonts w:hint="eastAsia" w:ascii="仿宋" w:hAnsi="仿宋" w:eastAsia="仿宋" w:cs="仿宋"/>
          <w:sz w:val="24"/>
          <w:szCs w:val="24"/>
        </w:rPr>
      </w:pPr>
      <w:r>
        <w:rPr>
          <w:rFonts w:hint="eastAsia" w:ascii="仿宋" w:hAnsi="仿宋" w:eastAsia="仿宋" w:cs="仿宋"/>
          <w:sz w:val="24"/>
          <w:szCs w:val="24"/>
        </w:rPr>
        <w:t>2.1.3 相关服务的范围和内容在附录A中约定。</w:t>
      </w:r>
    </w:p>
    <w:p w14:paraId="17DFC331">
      <w:pPr>
        <w:snapToGrid w:val="0"/>
        <w:spacing w:line="360" w:lineRule="auto"/>
        <w:ind w:firstLine="240" w:firstLineChars="100"/>
        <w:rPr>
          <w:rFonts w:hint="eastAsia" w:ascii="仿宋" w:hAnsi="仿宋" w:eastAsia="仿宋" w:cs="仿宋"/>
          <w:bCs/>
          <w:sz w:val="24"/>
          <w:szCs w:val="24"/>
        </w:rPr>
      </w:pPr>
      <w:r>
        <w:rPr>
          <w:rFonts w:hint="eastAsia" w:ascii="仿宋" w:hAnsi="仿宋" w:eastAsia="仿宋" w:cs="仿宋"/>
          <w:sz w:val="24"/>
          <w:szCs w:val="24"/>
        </w:rPr>
        <w:t xml:space="preserve">2.2 </w:t>
      </w:r>
      <w:r>
        <w:rPr>
          <w:rFonts w:hint="eastAsia" w:ascii="仿宋" w:hAnsi="仿宋" w:eastAsia="仿宋" w:cs="仿宋"/>
          <w:bCs/>
          <w:sz w:val="24"/>
          <w:szCs w:val="24"/>
        </w:rPr>
        <w:t>监理与相关服务依据</w:t>
      </w:r>
    </w:p>
    <w:p w14:paraId="49B3C57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2.2.1 监理依据包括：</w:t>
      </w:r>
    </w:p>
    <w:p w14:paraId="379C54D3">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（1）适用的法律、行政法规及部门规章；</w:t>
      </w:r>
    </w:p>
    <w:p w14:paraId="3E3260C6">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（2）与工程有关的标准；</w:t>
      </w:r>
    </w:p>
    <w:p w14:paraId="7D2A5571">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（3）工程设计及有关文件；</w:t>
      </w:r>
    </w:p>
    <w:p w14:paraId="5D25193E">
      <w:pPr>
        <w:adjustRightInd w:val="0"/>
        <w:snapToGrid w:val="0"/>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（4）本合同及委托人与第三方签订的与实施工程有关的其他合同。</w:t>
      </w:r>
    </w:p>
    <w:p w14:paraId="75FFFBD8">
      <w:pPr>
        <w:snapToGrid w:val="0"/>
        <w:spacing w:line="360" w:lineRule="auto"/>
        <w:ind w:left="210" w:leftChars="100" w:firstLine="480" w:firstLineChars="200"/>
        <w:rPr>
          <w:rFonts w:hint="eastAsia" w:ascii="仿宋" w:hAnsi="仿宋" w:eastAsia="仿宋" w:cs="仿宋"/>
          <w:bCs/>
          <w:sz w:val="24"/>
          <w:szCs w:val="24"/>
        </w:rPr>
      </w:pPr>
      <w:r>
        <w:rPr>
          <w:rFonts w:hint="eastAsia" w:ascii="仿宋" w:hAnsi="仿宋" w:eastAsia="仿宋" w:cs="仿宋"/>
          <w:bCs/>
          <w:sz w:val="24"/>
          <w:szCs w:val="24"/>
        </w:rPr>
        <w:t>双方根据工程的行业和地域特点，在专用条件中具体约定监理依据。</w:t>
      </w:r>
    </w:p>
    <w:p w14:paraId="42038B3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2.2.2 相关服务依据在专用条件中约定。</w:t>
      </w:r>
    </w:p>
    <w:p w14:paraId="0279FB7A">
      <w:pPr>
        <w:snapToGrid w:val="0"/>
        <w:spacing w:line="360" w:lineRule="auto"/>
        <w:ind w:firstLine="240" w:firstLineChars="100"/>
        <w:rPr>
          <w:rFonts w:hint="eastAsia" w:ascii="仿宋" w:hAnsi="仿宋" w:eastAsia="仿宋" w:cs="仿宋"/>
          <w:kern w:val="0"/>
          <w:sz w:val="24"/>
          <w:szCs w:val="24"/>
        </w:rPr>
      </w:pPr>
      <w:r>
        <w:rPr>
          <w:rFonts w:hint="eastAsia" w:ascii="仿宋" w:hAnsi="仿宋" w:eastAsia="仿宋" w:cs="仿宋"/>
          <w:kern w:val="0"/>
          <w:sz w:val="24"/>
          <w:szCs w:val="24"/>
        </w:rPr>
        <w:t>2.3 项目监理机构和人员</w:t>
      </w:r>
    </w:p>
    <w:p w14:paraId="180F319F">
      <w:pPr>
        <w:adjustRightInd w:val="0"/>
        <w:snapToGrid w:val="0"/>
        <w:spacing w:line="360" w:lineRule="auto"/>
        <w:ind w:firstLine="645"/>
        <w:rPr>
          <w:rFonts w:hint="eastAsia" w:ascii="仿宋" w:hAnsi="仿宋" w:eastAsia="仿宋" w:cs="仿宋"/>
          <w:kern w:val="0"/>
          <w:sz w:val="24"/>
          <w:szCs w:val="24"/>
        </w:rPr>
      </w:pPr>
      <w:r>
        <w:rPr>
          <w:rFonts w:hint="eastAsia" w:ascii="仿宋" w:hAnsi="仿宋" w:eastAsia="仿宋" w:cs="仿宋"/>
          <w:kern w:val="0"/>
          <w:sz w:val="24"/>
          <w:szCs w:val="24"/>
        </w:rPr>
        <w:t>2.3.1 监理人应组建满足工作需要的项目监理机构，配备必要的检测设备。项目监理机构的主要人员应具有相应的资格条件。</w:t>
      </w:r>
    </w:p>
    <w:p w14:paraId="6BAB54FD">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2.3.2本合同履行过程中，总监理工程师及重要岗位监理人员应保持相对稳定，以保证监理工作正常进行。</w:t>
      </w:r>
    </w:p>
    <w:p w14:paraId="0DCA11AD">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050D8006">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2.3.4 监理人应及时更换有下列情形之一的监理人员：</w:t>
      </w:r>
    </w:p>
    <w:p w14:paraId="7EDF1D83">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（1）严重过失行为的；</w:t>
      </w:r>
    </w:p>
    <w:p w14:paraId="5B3D6284">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（2）有违法行为不能履行职责的；</w:t>
      </w:r>
    </w:p>
    <w:p w14:paraId="0AAB53E3">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（3）涉嫌犯罪的；</w:t>
      </w:r>
    </w:p>
    <w:p w14:paraId="29F0AE93">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（4）不能胜任岗位职责的；</w:t>
      </w:r>
    </w:p>
    <w:p w14:paraId="4F86B322">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（5）严重违反职业道德的；</w:t>
      </w:r>
    </w:p>
    <w:p w14:paraId="4EDA573A">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（6）专用条件约定的其他情形。</w:t>
      </w:r>
    </w:p>
    <w:p w14:paraId="6F3C29AB">
      <w:pPr>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2.3.5 委托人可要求监理人更换不能胜任本职工作的项目监理机构人员。</w:t>
      </w:r>
    </w:p>
    <w:p w14:paraId="1F0CF5B9">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2.4 履行职责</w:t>
      </w:r>
    </w:p>
    <w:p w14:paraId="2DE9772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监理人应遵循职业道德准则和行为规范，严格按照法律法规、工程建设有关标准及本合同履行职责。</w:t>
      </w:r>
    </w:p>
    <w:p w14:paraId="190625D6">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2.4.1 在监理与相关服务范围内，委托人和承包人提出的意见和要求，监理人应及时提出处置意见。当委托人与承包人之间发生合同争议时，监理人应协助委托人、承包人协商解决。</w:t>
      </w:r>
    </w:p>
    <w:p w14:paraId="1C46AB7F">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2.4.2 当委托人与承包人之间的合同争议提交仲裁机构仲裁或人民法院审理时，监理人应提供必要的证明资料。</w:t>
      </w:r>
    </w:p>
    <w:p w14:paraId="7008D105">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2.4.3 监理人应在专用条件约定的授权范围内，处理委托人与承包人所签订合同的变更事宜。如果变更超过授权范围，应以书面形式报委托人批准。</w:t>
      </w:r>
    </w:p>
    <w:p w14:paraId="46F654C3">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在紧急情况下，为了保护财产和人身安全，监理人所发出的指令未能事先报委托人批准时，应在发出指令后的24小时内以书面形式报委托人。</w:t>
      </w:r>
    </w:p>
    <w:p w14:paraId="3F72A9C6">
      <w:pPr>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2.4.4 除专用条件另有约定外，监理人发现承包人的人员不能胜任本职工作的，有权要求承包人予以调换。</w:t>
      </w:r>
    </w:p>
    <w:p w14:paraId="7856CC1A">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2.5 提交报告</w:t>
      </w:r>
    </w:p>
    <w:p w14:paraId="46494110">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监理人应按专用条件约定的种类、时间和份数向委托人提交监理与相关服务的报告。</w:t>
      </w:r>
    </w:p>
    <w:p w14:paraId="22B23782">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2.6 文件资料</w:t>
      </w:r>
    </w:p>
    <w:p w14:paraId="457F6A50">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在本合同履行期内，监理人应在现场保留工作所用的图纸、报告及记录监理工</w:t>
      </w:r>
      <w:r>
        <w:rPr>
          <w:rFonts w:hint="eastAsia" w:ascii="仿宋" w:hAnsi="仿宋" w:eastAsia="仿宋" w:cs="仿宋"/>
          <w:sz w:val="24"/>
          <w:szCs w:val="24"/>
        </w:rPr>
        <w:t>作的相关文件。工程竣工后，应当按照档案管理规定将监理有关文件归档。</w:t>
      </w:r>
    </w:p>
    <w:p w14:paraId="748510B5">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2.7 使用委托人的财产</w:t>
      </w:r>
    </w:p>
    <w:p w14:paraId="6F05A37E">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3F0AA453">
      <w:pPr>
        <w:snapToGrid w:val="0"/>
        <w:spacing w:line="360" w:lineRule="auto"/>
        <w:rPr>
          <w:rFonts w:hint="eastAsia" w:ascii="仿宋" w:hAnsi="仿宋" w:eastAsia="仿宋" w:cs="仿宋"/>
          <w:b/>
          <w:kern w:val="0"/>
          <w:sz w:val="24"/>
          <w:szCs w:val="24"/>
        </w:rPr>
      </w:pPr>
      <w:r>
        <w:rPr>
          <w:rFonts w:hint="eastAsia" w:ascii="仿宋" w:hAnsi="仿宋" w:eastAsia="仿宋" w:cs="仿宋"/>
          <w:b/>
          <w:kern w:val="0"/>
          <w:sz w:val="24"/>
          <w:szCs w:val="24"/>
        </w:rPr>
        <w:t>3．委托人的义务</w:t>
      </w:r>
    </w:p>
    <w:p w14:paraId="4B51602F">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3.1 告知</w:t>
      </w:r>
    </w:p>
    <w:p w14:paraId="74A3AF92">
      <w:pPr>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委托人应在委托人与承包人签订的合同中明确监理人、总监理工程师和授予项目监理机构的权限。如有变更，应及时通知承包人。</w:t>
      </w:r>
    </w:p>
    <w:p w14:paraId="0AD59D6F">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3.2 提供资料</w:t>
      </w:r>
    </w:p>
    <w:p w14:paraId="7F36B6DF">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委托人应按照附录B约定，无偿向监理人提供工程有关的资料。</w:t>
      </w:r>
      <w:r>
        <w:rPr>
          <w:rFonts w:hint="eastAsia" w:ascii="仿宋" w:hAnsi="仿宋" w:eastAsia="仿宋" w:cs="仿宋"/>
          <w:sz w:val="24"/>
          <w:szCs w:val="24"/>
        </w:rPr>
        <w:t>在本合同履行过程中，委托人应及时向监理人提供最新的与工程有关的资料。</w:t>
      </w:r>
    </w:p>
    <w:p w14:paraId="502FD182">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3.3 提供工作条件</w:t>
      </w:r>
    </w:p>
    <w:p w14:paraId="2B521B5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委托人应为监理人完成监理与相关服务提供必要的条件。</w:t>
      </w:r>
    </w:p>
    <w:p w14:paraId="402A994B">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 xml:space="preserve">3.3.1 </w:t>
      </w:r>
      <w:r>
        <w:rPr>
          <w:rFonts w:hint="eastAsia" w:ascii="仿宋" w:hAnsi="仿宋" w:eastAsia="仿宋" w:cs="仿宋"/>
          <w:sz w:val="24"/>
          <w:szCs w:val="24"/>
        </w:rPr>
        <w:t>委托人应按照附录B约定，派遣相应的人员，提供房屋、设备，供监理人</w:t>
      </w:r>
      <w:r>
        <w:rPr>
          <w:rFonts w:hint="eastAsia" w:ascii="仿宋" w:hAnsi="仿宋" w:eastAsia="仿宋" w:cs="仿宋"/>
          <w:kern w:val="0"/>
          <w:sz w:val="24"/>
          <w:szCs w:val="24"/>
        </w:rPr>
        <w:t>无偿</w:t>
      </w:r>
      <w:r>
        <w:rPr>
          <w:rFonts w:hint="eastAsia" w:ascii="仿宋" w:hAnsi="仿宋" w:eastAsia="仿宋" w:cs="仿宋"/>
          <w:sz w:val="24"/>
          <w:szCs w:val="24"/>
        </w:rPr>
        <w:t>使用。</w:t>
      </w:r>
    </w:p>
    <w:p w14:paraId="2B65066F">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 xml:space="preserve">3.3.2 </w:t>
      </w:r>
      <w:r>
        <w:rPr>
          <w:rFonts w:hint="eastAsia" w:ascii="仿宋" w:hAnsi="仿宋" w:eastAsia="仿宋" w:cs="仿宋"/>
          <w:sz w:val="24"/>
          <w:szCs w:val="24"/>
        </w:rPr>
        <w:t>委托人应负责协调工程建设中所有外部关系，为监理人履行本合同提供必要的外部条件。</w:t>
      </w:r>
    </w:p>
    <w:p w14:paraId="622B2024">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3.4 委托人代表</w:t>
      </w:r>
    </w:p>
    <w:p w14:paraId="683D879E">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委托人应授权一名熟悉工程情况的代表，负责与监理人联系。委托人应在双方签订本合同后7天内，将委托人代表的姓名和职责书面告知监理人。当委托人更换委托人代表时，应提前7天通知监理人。</w:t>
      </w:r>
    </w:p>
    <w:p w14:paraId="3FD3FFBD">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3.5 委托人意见或要求</w:t>
      </w:r>
    </w:p>
    <w:p w14:paraId="7F4FFBB2">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在本合同约定的监理与相关服务工作范围内，委托人对承包人的任何意见或要求应通知监理人，由监理人向承包人发出相应指令。</w:t>
      </w:r>
    </w:p>
    <w:p w14:paraId="39441EE5">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3.6 答复</w:t>
      </w:r>
    </w:p>
    <w:p w14:paraId="5475B692">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委托人应在专用条件约定的时间内，对监理人以书面形式提交并要求作出决定的事宜，给予书面答复。逾期未答复的，视为委托人认可。</w:t>
      </w:r>
    </w:p>
    <w:p w14:paraId="70BA0FC7">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3.7 支付</w:t>
      </w:r>
    </w:p>
    <w:p w14:paraId="2E2E4E25">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委托人应按本合同约定，向监理人支付酬金。</w:t>
      </w:r>
    </w:p>
    <w:p w14:paraId="21A04AF1">
      <w:pPr>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4. 违约责任</w:t>
      </w:r>
    </w:p>
    <w:p w14:paraId="355C76CA">
      <w:pPr>
        <w:snapToGrid w:val="0"/>
        <w:spacing w:line="360" w:lineRule="auto"/>
        <w:ind w:left="210" w:leftChars="100"/>
        <w:rPr>
          <w:rFonts w:hint="eastAsia" w:ascii="仿宋" w:hAnsi="仿宋" w:eastAsia="仿宋" w:cs="仿宋"/>
          <w:kern w:val="0"/>
          <w:sz w:val="24"/>
          <w:szCs w:val="24"/>
        </w:rPr>
      </w:pPr>
      <w:r>
        <w:rPr>
          <w:rFonts w:hint="eastAsia" w:ascii="仿宋" w:hAnsi="仿宋" w:eastAsia="仿宋" w:cs="仿宋"/>
          <w:kern w:val="0"/>
          <w:sz w:val="24"/>
          <w:szCs w:val="24"/>
        </w:rPr>
        <w:t>4.1 监理人的违约责任</w:t>
      </w:r>
    </w:p>
    <w:p w14:paraId="1018F77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监理人未履行本合同义务的，应承担相应的责任。</w:t>
      </w:r>
    </w:p>
    <w:p w14:paraId="09E05322">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4.1.1 因监理人违反本合同约定</w:t>
      </w:r>
      <w:r>
        <w:rPr>
          <w:rFonts w:hint="eastAsia" w:ascii="仿宋" w:hAnsi="仿宋" w:eastAsia="仿宋" w:cs="仿宋"/>
          <w:sz w:val="24"/>
          <w:szCs w:val="24"/>
        </w:rPr>
        <w:t>给委托人造成损失的，监理人应当赔偿委托人损失</w:t>
      </w:r>
      <w:r>
        <w:rPr>
          <w:rFonts w:hint="eastAsia" w:ascii="仿宋" w:hAnsi="仿宋" w:eastAsia="仿宋" w:cs="仿宋"/>
          <w:kern w:val="0"/>
          <w:sz w:val="24"/>
          <w:szCs w:val="24"/>
        </w:rPr>
        <w:t>。赔偿金额的确定方法在专用条件中约定。监理人承担部分赔偿责任的，其承担赔偿金额由双方协商确定。</w:t>
      </w:r>
    </w:p>
    <w:p w14:paraId="4597BEA5">
      <w:pPr>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4.1.2 监理人向委托人的索赔不成立时，监理人应赔偿委托人由此发生的费用。</w:t>
      </w:r>
    </w:p>
    <w:p w14:paraId="034C0BEB">
      <w:pPr>
        <w:snapToGrid w:val="0"/>
        <w:spacing w:line="360" w:lineRule="auto"/>
        <w:ind w:firstLine="240" w:firstLineChars="100"/>
        <w:rPr>
          <w:rFonts w:hint="eastAsia" w:ascii="仿宋" w:hAnsi="仿宋" w:eastAsia="仿宋" w:cs="仿宋"/>
          <w:kern w:val="0"/>
          <w:sz w:val="24"/>
          <w:szCs w:val="24"/>
        </w:rPr>
      </w:pPr>
      <w:r>
        <w:rPr>
          <w:rFonts w:hint="eastAsia" w:ascii="仿宋" w:hAnsi="仿宋" w:eastAsia="仿宋" w:cs="仿宋"/>
          <w:kern w:val="0"/>
          <w:sz w:val="24"/>
          <w:szCs w:val="24"/>
        </w:rPr>
        <w:t>4.2 委托人的违约责任</w:t>
      </w:r>
    </w:p>
    <w:p w14:paraId="5B4E72E9">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委托人未履行本合同义务的，应承担相应的责任。</w:t>
      </w:r>
    </w:p>
    <w:p w14:paraId="06B74DA6">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4.2.1 委托人违反本合同约定造成监理人损失的，委托人应予以赔偿。</w:t>
      </w:r>
    </w:p>
    <w:p w14:paraId="5EA224ED">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4.2.2 委托人向监理人的索赔不成立时，应赔偿监理人由此引起的费用。</w:t>
      </w:r>
    </w:p>
    <w:p w14:paraId="53502EF0">
      <w:pPr>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sz w:val="24"/>
          <w:szCs w:val="24"/>
        </w:rPr>
        <w:t xml:space="preserve">4.2.3 </w:t>
      </w:r>
      <w:r>
        <w:rPr>
          <w:rFonts w:hint="eastAsia" w:ascii="仿宋" w:hAnsi="仿宋" w:eastAsia="仿宋" w:cs="仿宋"/>
          <w:kern w:val="0"/>
          <w:sz w:val="24"/>
          <w:szCs w:val="24"/>
        </w:rPr>
        <w:t>委托人未能按期支付</w:t>
      </w:r>
      <w:r>
        <w:rPr>
          <w:rFonts w:hint="eastAsia" w:ascii="仿宋" w:hAnsi="仿宋" w:eastAsia="仿宋" w:cs="仿宋"/>
          <w:sz w:val="24"/>
          <w:szCs w:val="24"/>
        </w:rPr>
        <w:t>酬金</w:t>
      </w:r>
      <w:r>
        <w:rPr>
          <w:rFonts w:hint="eastAsia" w:ascii="仿宋" w:hAnsi="仿宋" w:eastAsia="仿宋" w:cs="仿宋"/>
          <w:kern w:val="0"/>
          <w:sz w:val="24"/>
          <w:szCs w:val="24"/>
        </w:rPr>
        <w:t>超过28天，应按专用条件约定支付逾期付款利息。</w:t>
      </w:r>
    </w:p>
    <w:p w14:paraId="3B56700E">
      <w:pPr>
        <w:snapToGrid w:val="0"/>
        <w:spacing w:line="360" w:lineRule="auto"/>
        <w:ind w:firstLine="240" w:firstLineChars="100"/>
        <w:rPr>
          <w:rFonts w:hint="eastAsia" w:ascii="仿宋" w:hAnsi="仿宋" w:eastAsia="仿宋" w:cs="仿宋"/>
          <w:kern w:val="0"/>
          <w:sz w:val="24"/>
          <w:szCs w:val="24"/>
        </w:rPr>
      </w:pPr>
      <w:r>
        <w:rPr>
          <w:rFonts w:hint="eastAsia" w:ascii="仿宋" w:hAnsi="仿宋" w:eastAsia="仿宋" w:cs="仿宋"/>
          <w:kern w:val="0"/>
          <w:sz w:val="24"/>
          <w:szCs w:val="24"/>
        </w:rPr>
        <w:t>4.3 除外责任</w:t>
      </w:r>
    </w:p>
    <w:p w14:paraId="2D1E55BA">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因非监理人的原因，且监理人无过错，发生工程质量事故、安全事故、工期延误等造成的损失，监理人不承担赔偿责任。</w:t>
      </w:r>
    </w:p>
    <w:p w14:paraId="3C37AE32">
      <w:pPr>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因不可抗力导致本合同全部或部分不能履行时，双方各自承担其因此而造成的损失、损害。</w:t>
      </w:r>
    </w:p>
    <w:p w14:paraId="0CE525B9">
      <w:pPr>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5. 支付</w:t>
      </w:r>
    </w:p>
    <w:p w14:paraId="3B9647D7">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5.1 </w:t>
      </w:r>
      <w:r>
        <w:rPr>
          <w:rFonts w:hint="eastAsia" w:ascii="仿宋" w:hAnsi="仿宋" w:eastAsia="仿宋" w:cs="仿宋"/>
          <w:bCs/>
          <w:sz w:val="24"/>
          <w:szCs w:val="24"/>
        </w:rPr>
        <w:t>支付货币</w:t>
      </w:r>
    </w:p>
    <w:p w14:paraId="6909CCA8">
      <w:pPr>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除专用条件另有约定外，酬金均以人民币支付。涉及外币支付的，所采用的货币种类、比例和汇率在专用条件中约定。</w:t>
      </w:r>
    </w:p>
    <w:p w14:paraId="4A027AB3">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5.2 支付申请</w:t>
      </w:r>
    </w:p>
    <w:p w14:paraId="17B47E0C">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监理人应在本合同约定的每次应付款时间的7天前，向委托人提交支付申请书。支付申请书应当说明当期应付款总额，并列出当期应支付的款项及其金额。</w:t>
      </w:r>
    </w:p>
    <w:p w14:paraId="673E4327">
      <w:pPr>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5.3 支付酬金</w:t>
      </w:r>
    </w:p>
    <w:p w14:paraId="051E808A">
      <w:pPr>
        <w:snapToGrid w:val="0"/>
        <w:spacing w:line="360" w:lineRule="auto"/>
        <w:ind w:firstLine="480"/>
        <w:rPr>
          <w:rFonts w:hint="eastAsia" w:ascii="仿宋" w:hAnsi="仿宋" w:eastAsia="仿宋" w:cs="仿宋"/>
          <w:sz w:val="24"/>
          <w:szCs w:val="24"/>
        </w:rPr>
      </w:pPr>
      <w:r>
        <w:rPr>
          <w:rFonts w:hint="eastAsia" w:ascii="仿宋" w:hAnsi="仿宋" w:eastAsia="仿宋" w:cs="仿宋"/>
          <w:sz w:val="24"/>
          <w:szCs w:val="24"/>
        </w:rPr>
        <w:t>支付的酬金包括正常工作酬金、附加工作酬金、合理化建议奖励金额及费用。</w:t>
      </w:r>
    </w:p>
    <w:p w14:paraId="310A727A">
      <w:pPr>
        <w:snapToGrid w:val="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  5.4 </w:t>
      </w:r>
      <w:r>
        <w:rPr>
          <w:rFonts w:hint="eastAsia" w:ascii="仿宋" w:hAnsi="仿宋" w:eastAsia="仿宋" w:cs="仿宋"/>
          <w:bCs/>
          <w:sz w:val="24"/>
          <w:szCs w:val="24"/>
        </w:rPr>
        <w:t>有争议部分的付款</w:t>
      </w:r>
    </w:p>
    <w:p w14:paraId="5D2BDDDF">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委托人对监理人提交的支付申请书有异议时，应当在收到监理人提交的支付申请书后7天内，以书面形式向监理人发出异议通知。无异议部分的款项应按期支付，有异议部分的款项按第7条约定办理。</w:t>
      </w:r>
    </w:p>
    <w:p w14:paraId="730D7E68">
      <w:pPr>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6. 合同生效、变更、暂停、解除与终止</w:t>
      </w:r>
    </w:p>
    <w:p w14:paraId="3160E1FE">
      <w:pPr>
        <w:snapToGrid w:val="0"/>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6.1生效</w:t>
      </w:r>
    </w:p>
    <w:p w14:paraId="2D73CD1E">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除法律另有规定或者专用条件另有约定外，委托人和监理人的法定代表人或其授权代理人在协议书上签字并盖单位章后本合同生效。</w:t>
      </w:r>
    </w:p>
    <w:p w14:paraId="37368AD7">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6.2</w:t>
      </w:r>
      <w:r>
        <w:rPr>
          <w:rFonts w:hint="eastAsia" w:ascii="仿宋" w:hAnsi="仿宋" w:eastAsia="仿宋" w:cs="仿宋"/>
          <w:bCs/>
          <w:sz w:val="24"/>
          <w:szCs w:val="24"/>
        </w:rPr>
        <w:t>变更</w:t>
      </w:r>
    </w:p>
    <w:p w14:paraId="67A5BFF0">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6.2.1 任何一方提出变更请求时，双方经协商一致后可进行变更。</w:t>
      </w:r>
    </w:p>
    <w:p w14:paraId="777E0F30">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3C23A94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56E4B91D">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6.2.4合同签订后，遇有与工程相关的法律法规、标准颁布或修订的，双方应遵照执行。由此引起监理与相关服务的范围、时间、酬金变化的，双方应通过协商进行相应调整。</w:t>
      </w:r>
    </w:p>
    <w:p w14:paraId="7CC047E9">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6.2.5 因非监理人原因造成工程概算投资额或建筑安装工程费增加时，正常工作酬金应作相应调整。调整方法在专用条件中约定。</w:t>
      </w:r>
    </w:p>
    <w:p w14:paraId="415DD886">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6.2.6 因工程规模、监理范围的变化导致监理人的正常工作量减少时，正常工作酬金应作相应调整。调整方法在专用条件中约定。</w:t>
      </w:r>
    </w:p>
    <w:p w14:paraId="4D7DFD09">
      <w:pPr>
        <w:snapToGrid w:val="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  6.3 暂停与</w:t>
      </w:r>
      <w:r>
        <w:rPr>
          <w:rFonts w:hint="eastAsia" w:ascii="仿宋" w:hAnsi="仿宋" w:eastAsia="仿宋" w:cs="仿宋"/>
          <w:bCs/>
          <w:sz w:val="24"/>
          <w:szCs w:val="24"/>
        </w:rPr>
        <w:t>解除</w:t>
      </w:r>
    </w:p>
    <w:p w14:paraId="7DD156D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除双方协商一致可以解除本合同外，当一方无正当理由未履行本合同约定的义务时，另一方可以根据本合同约定暂停履行本合同直至解除本合同。</w:t>
      </w:r>
    </w:p>
    <w:p w14:paraId="7194CC7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2FD2DA3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因解除本合同或解除监理人的部分义务导致监理人遭受的损失，除依法可以免除责任的情况外，应由委托人予以补偿，补偿金额由双方协商确定。</w:t>
      </w:r>
    </w:p>
    <w:p w14:paraId="1C432E6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解除本合同的协议必须采取书面形式，协议未达成之前，本合同仍然有效。</w:t>
      </w:r>
    </w:p>
    <w:p w14:paraId="0488685D">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0F542C64">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ascii="仿宋" w:hAnsi="仿宋" w:eastAsia="仿宋" w:cs="仿宋"/>
          <w:kern w:val="0"/>
          <w:sz w:val="24"/>
          <w:szCs w:val="24"/>
        </w:rPr>
        <w:t>的</w:t>
      </w:r>
      <w:r>
        <w:rPr>
          <w:rFonts w:hint="eastAsia" w:ascii="仿宋" w:hAnsi="仿宋" w:eastAsia="仿宋" w:cs="仿宋"/>
          <w:sz w:val="24"/>
          <w:szCs w:val="24"/>
        </w:rPr>
        <w:t>酬金支付至本合同解除日，且应承担第4.2款约定的责任。</w:t>
      </w:r>
    </w:p>
    <w:p w14:paraId="263820A8">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仿宋" w:hAnsi="仿宋" w:eastAsia="仿宋" w:cs="仿宋"/>
          <w:kern w:val="0"/>
          <w:sz w:val="24"/>
          <w:szCs w:val="24"/>
        </w:rPr>
        <w:t>的</w:t>
      </w:r>
      <w:r>
        <w:rPr>
          <w:rFonts w:hint="eastAsia" w:ascii="仿宋" w:hAnsi="仿宋" w:eastAsia="仿宋" w:cs="仿宋"/>
          <w:sz w:val="24"/>
          <w:szCs w:val="24"/>
        </w:rPr>
        <w:t>酬金支付至</w:t>
      </w:r>
      <w:r>
        <w:rPr>
          <w:rFonts w:hint="eastAsia" w:ascii="仿宋" w:hAnsi="仿宋" w:eastAsia="仿宋" w:cs="仿宋"/>
          <w:kern w:val="0"/>
          <w:sz w:val="24"/>
          <w:szCs w:val="24"/>
        </w:rPr>
        <w:t>限期改正通知到达监理人之日</w:t>
      </w:r>
      <w:r>
        <w:rPr>
          <w:rFonts w:hint="eastAsia" w:ascii="仿宋" w:hAnsi="仿宋" w:eastAsia="仿宋" w:cs="仿宋"/>
          <w:sz w:val="24"/>
          <w:szCs w:val="24"/>
        </w:rPr>
        <w:t>，但监理人应承担第4.1款约定的责任。</w:t>
      </w:r>
    </w:p>
    <w:p w14:paraId="00B06BFE">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4B7BEB9B">
      <w:pPr>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sz w:val="24"/>
          <w:szCs w:val="24"/>
        </w:rPr>
        <w:t>6.3.5 因不可抗力致使本合同部分或全部不能履行时，一方应立即通知另一方，可暂停或解除本合同。</w:t>
      </w:r>
    </w:p>
    <w:p w14:paraId="2F5641A7">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6.3.6 本合同解除后，本合同约定的有关结算、清理、争议解决方式的条件仍然有效。</w:t>
      </w:r>
    </w:p>
    <w:p w14:paraId="2AB10F87">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6.4 </w:t>
      </w:r>
      <w:r>
        <w:rPr>
          <w:rFonts w:hint="eastAsia" w:ascii="仿宋" w:hAnsi="仿宋" w:eastAsia="仿宋" w:cs="仿宋"/>
          <w:bCs/>
          <w:sz w:val="24"/>
          <w:szCs w:val="24"/>
        </w:rPr>
        <w:t>终止</w:t>
      </w:r>
    </w:p>
    <w:p w14:paraId="50ED66BF">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以下条件全部满足时，本合同即告终止：</w:t>
      </w:r>
    </w:p>
    <w:p w14:paraId="4167834E">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（1）监理人完成本合同约定的全部工作；</w:t>
      </w:r>
    </w:p>
    <w:p w14:paraId="4FDDBD18">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（2）委托人与监理人结清并支付全部酬金。</w:t>
      </w:r>
    </w:p>
    <w:p w14:paraId="2159BBB1">
      <w:pPr>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7. 争议解决</w:t>
      </w:r>
    </w:p>
    <w:p w14:paraId="0FCEFC97">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7.1</w:t>
      </w:r>
      <w:r>
        <w:rPr>
          <w:rFonts w:hint="eastAsia" w:ascii="仿宋" w:hAnsi="仿宋" w:eastAsia="仿宋" w:cs="仿宋"/>
          <w:bCs/>
          <w:sz w:val="24"/>
          <w:szCs w:val="24"/>
        </w:rPr>
        <w:t>协商</w:t>
      </w:r>
    </w:p>
    <w:p w14:paraId="27432C38">
      <w:pPr>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双方应本着诚信原则协商解决彼此间的争议。</w:t>
      </w:r>
    </w:p>
    <w:p w14:paraId="2FDF0FCE">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7.2</w:t>
      </w:r>
      <w:r>
        <w:rPr>
          <w:rFonts w:hint="eastAsia" w:ascii="仿宋" w:hAnsi="仿宋" w:eastAsia="仿宋" w:cs="仿宋"/>
          <w:bCs/>
          <w:sz w:val="24"/>
          <w:szCs w:val="24"/>
        </w:rPr>
        <w:t>调解</w:t>
      </w:r>
    </w:p>
    <w:p w14:paraId="1002BBAC">
      <w:pPr>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如果双方不能在14天内或双方商定的其他时间内解决本合同争议，可以将其提交给专用条件约定的或事后达成协议的调解人进行调解。</w:t>
      </w:r>
    </w:p>
    <w:p w14:paraId="6980AA88">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7.3</w:t>
      </w:r>
      <w:r>
        <w:rPr>
          <w:rFonts w:hint="eastAsia" w:ascii="仿宋" w:hAnsi="仿宋" w:eastAsia="仿宋" w:cs="仿宋"/>
          <w:bCs/>
          <w:sz w:val="24"/>
          <w:szCs w:val="24"/>
        </w:rPr>
        <w:t>仲裁或诉讼</w:t>
      </w:r>
    </w:p>
    <w:p w14:paraId="68777B6C">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双方均有权不经调解直接向专用条件约定的仲裁机构申请仲裁或向有管辖权的人民法院提起诉讼。</w:t>
      </w:r>
    </w:p>
    <w:p w14:paraId="598875A0">
      <w:pPr>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8. 其他</w:t>
      </w:r>
    </w:p>
    <w:p w14:paraId="4A01129A">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8.1 </w:t>
      </w:r>
      <w:r>
        <w:rPr>
          <w:rFonts w:hint="eastAsia" w:ascii="仿宋" w:hAnsi="仿宋" w:eastAsia="仿宋" w:cs="仿宋"/>
          <w:bCs/>
          <w:sz w:val="24"/>
          <w:szCs w:val="24"/>
        </w:rPr>
        <w:t>外出考察费用</w:t>
      </w:r>
    </w:p>
    <w:p w14:paraId="6078B43A">
      <w:pPr>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经委托人同意，监理人员外出考察发生的费用由委托人审核后支付。</w:t>
      </w:r>
    </w:p>
    <w:p w14:paraId="358A2EE4">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8.2 </w:t>
      </w:r>
      <w:r>
        <w:rPr>
          <w:rFonts w:hint="eastAsia" w:ascii="仿宋" w:hAnsi="仿宋" w:eastAsia="仿宋" w:cs="仿宋"/>
          <w:bCs/>
          <w:sz w:val="24"/>
          <w:szCs w:val="24"/>
        </w:rPr>
        <w:t>检测费用</w:t>
      </w:r>
    </w:p>
    <w:p w14:paraId="4BE6F862">
      <w:pPr>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委托人要求监理人进行的材料和设备检测所发生的费用，由委托人支付，支付时间在专用条件中约定。</w:t>
      </w:r>
    </w:p>
    <w:p w14:paraId="3EFE10E8">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8.3 </w:t>
      </w:r>
      <w:r>
        <w:rPr>
          <w:rFonts w:hint="eastAsia" w:ascii="仿宋" w:hAnsi="仿宋" w:eastAsia="仿宋" w:cs="仿宋"/>
          <w:bCs/>
          <w:sz w:val="24"/>
          <w:szCs w:val="24"/>
        </w:rPr>
        <w:t>咨询费用</w:t>
      </w:r>
    </w:p>
    <w:p w14:paraId="50D86167">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经委托人同意，根据工程需要由监理人组织的相关咨询论证会以及聘请相关专家等发生的费用由委托人支付，支付时间在专用条件中约定。</w:t>
      </w:r>
    </w:p>
    <w:p w14:paraId="0D35C9E4">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8.4 </w:t>
      </w:r>
      <w:r>
        <w:rPr>
          <w:rFonts w:hint="eastAsia" w:ascii="仿宋" w:hAnsi="仿宋" w:eastAsia="仿宋" w:cs="仿宋"/>
          <w:bCs/>
          <w:sz w:val="24"/>
          <w:szCs w:val="24"/>
        </w:rPr>
        <w:t>奖励</w:t>
      </w:r>
    </w:p>
    <w:p w14:paraId="3C4CFBCB">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监理人在服务过程中提出的合理化建议，使委托人获得经济效益的，双方在专用条件中约定奖励金额的确定方法。奖励金额在合理化建议被采纳后，与最近一期的正常工作酬金同期支付。</w:t>
      </w:r>
    </w:p>
    <w:p w14:paraId="7117B4A8">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8.5 </w:t>
      </w:r>
      <w:r>
        <w:rPr>
          <w:rFonts w:hint="eastAsia" w:ascii="仿宋" w:hAnsi="仿宋" w:eastAsia="仿宋" w:cs="仿宋"/>
          <w:bCs/>
          <w:sz w:val="24"/>
          <w:szCs w:val="24"/>
        </w:rPr>
        <w:t>守法诚信</w:t>
      </w:r>
    </w:p>
    <w:p w14:paraId="0D5B6B72">
      <w:pPr>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监理人及其工作人员不得从与实施工程有关的第三方处获得任何经济利益。</w:t>
      </w:r>
    </w:p>
    <w:p w14:paraId="17287628">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8.6 </w:t>
      </w:r>
      <w:r>
        <w:rPr>
          <w:rFonts w:hint="eastAsia" w:ascii="仿宋" w:hAnsi="仿宋" w:eastAsia="仿宋" w:cs="仿宋"/>
          <w:bCs/>
          <w:sz w:val="24"/>
          <w:szCs w:val="24"/>
        </w:rPr>
        <w:t>保密</w:t>
      </w:r>
    </w:p>
    <w:p w14:paraId="7518E102">
      <w:pPr>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双方不得泄露对方申明的保密资料，亦不得泄露与实施工程有关的第三方所提供的保密资料，保密事项在专用条件中约定。</w:t>
      </w:r>
    </w:p>
    <w:p w14:paraId="25A9B361">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8.7 </w:t>
      </w:r>
      <w:r>
        <w:rPr>
          <w:rFonts w:hint="eastAsia" w:ascii="仿宋" w:hAnsi="仿宋" w:eastAsia="仿宋" w:cs="仿宋"/>
          <w:bCs/>
          <w:sz w:val="24"/>
          <w:szCs w:val="24"/>
        </w:rPr>
        <w:t>通知</w:t>
      </w:r>
    </w:p>
    <w:p w14:paraId="4FC1938B">
      <w:pPr>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本合同涉及的通知均应当采用书面形式，并在送达对方时生效，收件人应书面签收。</w:t>
      </w:r>
    </w:p>
    <w:p w14:paraId="06BF0103">
      <w:pPr>
        <w:snapToGrid w:val="0"/>
        <w:spacing w:line="360" w:lineRule="auto"/>
        <w:ind w:left="210" w:leftChars="100"/>
        <w:rPr>
          <w:rFonts w:hint="eastAsia" w:ascii="仿宋" w:hAnsi="仿宋" w:eastAsia="仿宋" w:cs="仿宋"/>
          <w:bCs/>
          <w:sz w:val="24"/>
          <w:szCs w:val="24"/>
        </w:rPr>
      </w:pPr>
      <w:r>
        <w:rPr>
          <w:rFonts w:hint="eastAsia" w:ascii="仿宋" w:hAnsi="仿宋" w:eastAsia="仿宋" w:cs="仿宋"/>
          <w:sz w:val="24"/>
          <w:szCs w:val="24"/>
        </w:rPr>
        <w:t xml:space="preserve">8.8 </w:t>
      </w:r>
      <w:r>
        <w:rPr>
          <w:rFonts w:hint="eastAsia" w:ascii="仿宋" w:hAnsi="仿宋" w:eastAsia="仿宋" w:cs="仿宋"/>
          <w:bCs/>
          <w:sz w:val="24"/>
          <w:szCs w:val="24"/>
        </w:rPr>
        <w:t>著作权</w:t>
      </w:r>
    </w:p>
    <w:p w14:paraId="7CB1CB04">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监理人对其编制的文件拥有著作权。</w:t>
      </w:r>
    </w:p>
    <w:p w14:paraId="53F63F56">
      <w:pPr>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4CF2A06A">
      <w:pPr>
        <w:adjustRightInd w:val="0"/>
        <w:snapToGrid w:val="0"/>
        <w:spacing w:line="360" w:lineRule="auto"/>
        <w:rPr>
          <w:rFonts w:hint="eastAsia" w:ascii="仿宋" w:hAnsi="仿宋" w:eastAsia="仿宋" w:cs="仿宋"/>
          <w:kern w:val="0"/>
          <w:sz w:val="24"/>
          <w:szCs w:val="24"/>
        </w:rPr>
      </w:pPr>
    </w:p>
    <w:p w14:paraId="07AED78E">
      <w:pPr>
        <w:pageBreakBefore/>
        <w:spacing w:line="360" w:lineRule="auto"/>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第三部分  专用条款</w:t>
      </w:r>
    </w:p>
    <w:p w14:paraId="1CD50C93">
      <w:pPr>
        <w:adjustRightInd w:val="0"/>
        <w:snapToGrid w:val="0"/>
        <w:spacing w:beforeLines="0" w:afterLines="0"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1. 定义与解释</w:t>
      </w:r>
    </w:p>
    <w:p w14:paraId="4940CCC2">
      <w:pPr>
        <w:adjustRightInd w:val="0"/>
        <w:snapToGrid w:val="0"/>
        <w:spacing w:beforeLines="0" w:afterLines="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1.2  解释</w:t>
      </w:r>
    </w:p>
    <w:p w14:paraId="59C996D2">
      <w:pPr>
        <w:adjustRightInd w:val="0"/>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1.2.1 本合同文件除使用中文外，还可用</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7A2FCB2D">
      <w:pPr>
        <w:adjustRightInd w:val="0"/>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1.2.2 约定本合同文件的解释顺序为：</w:t>
      </w:r>
      <w:r>
        <w:rPr>
          <w:rFonts w:hint="eastAsia" w:ascii="仿宋" w:hAnsi="仿宋" w:eastAsia="仿宋" w:cs="仿宋"/>
          <w:color w:val="000000"/>
          <w:sz w:val="24"/>
          <w:szCs w:val="24"/>
          <w:u w:val="single"/>
        </w:rPr>
        <w:t xml:space="preserve">1、专用条款；2、通用条款        </w:t>
      </w:r>
      <w:r>
        <w:rPr>
          <w:rFonts w:hint="eastAsia" w:ascii="仿宋" w:hAnsi="仿宋" w:eastAsia="仿宋" w:cs="仿宋"/>
          <w:color w:val="000000"/>
          <w:sz w:val="24"/>
          <w:szCs w:val="24"/>
        </w:rPr>
        <w:t>。</w:t>
      </w:r>
    </w:p>
    <w:p w14:paraId="3A00626E">
      <w:pPr>
        <w:adjustRightInd w:val="0"/>
        <w:snapToGrid w:val="0"/>
        <w:spacing w:beforeLines="0" w:afterLines="0"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2. 监理人义务</w:t>
      </w:r>
    </w:p>
    <w:p w14:paraId="5C5BD4B0">
      <w:pPr>
        <w:adjustRightInd w:val="0"/>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2.1 监理的范围和</w:t>
      </w:r>
      <w:r>
        <w:rPr>
          <w:rFonts w:hint="eastAsia" w:ascii="仿宋" w:hAnsi="仿宋" w:eastAsia="仿宋" w:cs="仿宋"/>
          <w:bCs/>
          <w:color w:val="000000"/>
          <w:sz w:val="24"/>
          <w:szCs w:val="24"/>
        </w:rPr>
        <w:t>内容</w:t>
      </w:r>
    </w:p>
    <w:p w14:paraId="184B6A6C">
      <w:pPr>
        <w:adjustRightInd w:val="0"/>
        <w:snapToGrid w:val="0"/>
        <w:spacing w:beforeLines="0" w:afterLines="0"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2.1.1 监理范围包括：</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                                </w:t>
      </w:r>
    </w:p>
    <w:p w14:paraId="7DD2FA12">
      <w:pPr>
        <w:pStyle w:val="7"/>
        <w:snapToGrid w:val="0"/>
        <w:spacing w:beforeLines="0" w:afterLines="0"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2.1.2 监理工作内容还包括：</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w:t>
      </w:r>
    </w:p>
    <w:p w14:paraId="1FBCB65E">
      <w:pPr>
        <w:snapToGrid w:val="0"/>
        <w:spacing w:beforeLines="0" w:afterLines="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2.2 监理与相关服务依据</w:t>
      </w:r>
    </w:p>
    <w:p w14:paraId="59502311">
      <w:pPr>
        <w:adjustRightInd w:val="0"/>
        <w:snapToGrid w:val="0"/>
        <w:spacing w:beforeLines="0" w:afterLines="0" w:line="360" w:lineRule="auto"/>
        <w:ind w:firstLine="480" w:firstLineChars="200"/>
        <w:rPr>
          <w:rFonts w:hint="eastAsia" w:ascii="仿宋" w:hAnsi="仿宋" w:eastAsia="仿宋" w:cs="仿宋"/>
          <w:color w:val="000000"/>
          <w:kern w:val="0"/>
          <w:sz w:val="24"/>
          <w:szCs w:val="24"/>
          <w:u w:val="single"/>
        </w:rPr>
      </w:pPr>
      <w:r>
        <w:rPr>
          <w:rFonts w:hint="eastAsia" w:ascii="仿宋" w:hAnsi="仿宋" w:eastAsia="仿宋" w:cs="仿宋"/>
          <w:color w:val="000000"/>
          <w:sz w:val="24"/>
          <w:szCs w:val="24"/>
        </w:rPr>
        <w:t>2.2.1 监理依据包括：</w:t>
      </w:r>
      <w:r>
        <w:rPr>
          <w:rFonts w:hint="eastAsia" w:ascii="仿宋" w:hAnsi="仿宋" w:eastAsia="仿宋" w:cs="仿宋"/>
          <w:color w:val="000000"/>
          <w:sz w:val="24"/>
          <w:szCs w:val="24"/>
          <w:u w:val="single"/>
        </w:rPr>
        <w:t>1、监</w:t>
      </w:r>
      <w:r>
        <w:rPr>
          <w:rFonts w:hint="eastAsia" w:ascii="仿宋" w:hAnsi="仿宋" w:eastAsia="仿宋" w:cs="仿宋"/>
          <w:color w:val="000000"/>
          <w:kern w:val="0"/>
          <w:sz w:val="24"/>
          <w:szCs w:val="24"/>
          <w:u w:val="single"/>
        </w:rPr>
        <w:t>理合同；2</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rPr>
        <w:t>委托人与施工承包商签定的施工合同（含招标文件、技术规范）；3</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rPr>
        <w:t>《</w:t>
      </w:r>
      <w:r>
        <w:rPr>
          <w:rFonts w:hint="eastAsia" w:ascii="仿宋" w:hAnsi="仿宋" w:eastAsia="仿宋" w:cs="仿宋"/>
          <w:color w:val="000000"/>
          <w:kern w:val="0"/>
          <w:sz w:val="24"/>
          <w:szCs w:val="24"/>
          <w:u w:val="single"/>
          <w:lang w:eastAsia="zh-CN"/>
        </w:rPr>
        <w:t>中华人民共和国民法典</w:t>
      </w:r>
      <w:r>
        <w:rPr>
          <w:rFonts w:hint="eastAsia" w:ascii="仿宋" w:hAnsi="仿宋" w:eastAsia="仿宋" w:cs="仿宋"/>
          <w:color w:val="000000"/>
          <w:kern w:val="0"/>
          <w:sz w:val="24"/>
          <w:szCs w:val="24"/>
          <w:u w:val="single"/>
        </w:rPr>
        <w:t>》</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rPr>
        <w:t>4</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rPr>
        <w:t>《建设工程质量管理条例》</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rPr>
        <w:t>5</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rPr>
        <w:t>《建设工程安全生产管理条例》</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rPr>
        <w:t>6</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rPr>
        <w:t>《建设工程监理规范》（GB/T50319-2014）</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lang w:val="en-US" w:eastAsia="zh-CN"/>
        </w:rPr>
        <w:t>7、《煤炭建设工程监理与项目管理规范》(标准编号:NB/T51014-2014)；8</w:t>
      </w:r>
      <w:r>
        <w:rPr>
          <w:rFonts w:hint="eastAsia" w:ascii="仿宋" w:hAnsi="仿宋" w:eastAsia="仿宋" w:cs="仿宋"/>
          <w:color w:val="000000"/>
          <w:kern w:val="0"/>
          <w:sz w:val="24"/>
          <w:szCs w:val="24"/>
          <w:u w:val="single"/>
        </w:rPr>
        <w:t>、国家和自治区有关监理的政策、法规等文件</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lang w:val="en-US" w:eastAsia="zh-CN"/>
        </w:rPr>
        <w:t>9</w:t>
      </w:r>
      <w:r>
        <w:rPr>
          <w:rFonts w:hint="eastAsia" w:ascii="仿宋" w:hAnsi="仿宋" w:eastAsia="仿宋" w:cs="仿宋"/>
          <w:color w:val="000000"/>
          <w:kern w:val="0"/>
          <w:sz w:val="24"/>
          <w:szCs w:val="24"/>
          <w:u w:val="single"/>
        </w:rPr>
        <w:t>、国家有关工程建设的标准和规定</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lang w:val="en-US" w:eastAsia="zh-CN"/>
        </w:rPr>
        <w:t>10</w:t>
      </w:r>
      <w:r>
        <w:rPr>
          <w:rFonts w:hint="eastAsia" w:ascii="仿宋" w:hAnsi="仿宋" w:eastAsia="仿宋" w:cs="仿宋"/>
          <w:color w:val="000000"/>
          <w:kern w:val="0"/>
          <w:sz w:val="24"/>
          <w:szCs w:val="24"/>
          <w:u w:val="single"/>
        </w:rPr>
        <w:t>、上级有关部门在工程实施阶段下发的相关法令、法规及政策文件及其他委托人的管理文件。</w:t>
      </w:r>
    </w:p>
    <w:p w14:paraId="27688F89">
      <w:pPr>
        <w:adjustRightInd w:val="0"/>
        <w:snapToGrid w:val="0"/>
        <w:spacing w:beforeLines="0" w:afterLines="0" w:line="360" w:lineRule="auto"/>
        <w:ind w:firstLine="480" w:firstLineChars="200"/>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2.2.2 相关服务依据包括：</w:t>
      </w:r>
      <w:r>
        <w:rPr>
          <w:rFonts w:hint="eastAsia" w:ascii="仿宋" w:hAnsi="仿宋" w:eastAsia="仿宋" w:cs="仿宋"/>
          <w:color w:val="000000"/>
          <w:kern w:val="0"/>
          <w:sz w:val="24"/>
          <w:szCs w:val="24"/>
          <w:u w:val="single"/>
        </w:rPr>
        <w:t>《煤炭建设工程监理与项目管理规范》(标准编号:NB/T51014-2014)</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rPr>
        <w:t xml:space="preserve">《建设工程监理规范》（GB50319-2014）、《建设工程工程量清单计价规范》（GB50500-2014）、《工程建设标准强制性条文》、《设备工程监理规范》（GB50231-2010）及其他各专业施工规范、技术标准、法规文件等。当以上标准不一致时，按标准高的执行。 </w:t>
      </w:r>
    </w:p>
    <w:p w14:paraId="20051B15">
      <w:pPr>
        <w:snapToGrid w:val="0"/>
        <w:spacing w:beforeLines="0" w:afterLines="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2.3</w:t>
      </w:r>
      <w:r>
        <w:rPr>
          <w:rFonts w:hint="eastAsia" w:ascii="仿宋" w:hAnsi="仿宋" w:eastAsia="仿宋" w:cs="仿宋"/>
          <w:color w:val="000000"/>
          <w:kern w:val="0"/>
          <w:sz w:val="24"/>
          <w:szCs w:val="24"/>
        </w:rPr>
        <w:t>项目监理机构和人员</w:t>
      </w:r>
    </w:p>
    <w:p w14:paraId="593C800A">
      <w:pPr>
        <w:adjustRightInd w:val="0"/>
        <w:snapToGrid w:val="0"/>
        <w:spacing w:beforeLines="0" w:afterLines="0" w:line="360" w:lineRule="auto"/>
        <w:ind w:firstLine="480" w:firstLineChars="200"/>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2.3.4 更换监理人员的其他情形：</w:t>
      </w:r>
      <w:r>
        <w:rPr>
          <w:rFonts w:hint="eastAsia" w:ascii="仿宋" w:hAnsi="仿宋" w:eastAsia="仿宋" w:cs="仿宋"/>
          <w:color w:val="000000"/>
          <w:kern w:val="0"/>
          <w:sz w:val="24"/>
          <w:szCs w:val="24"/>
          <w:u w:val="single"/>
        </w:rPr>
        <w:t xml:space="preserve"> 未经委托人同意，监理单位擅自更换总监、计量工程师及监理组关键人员，监理单位应支付合同总价</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u w:val="single"/>
        </w:rPr>
        <w:t>%的违约金。经委托人批准，更换总监，支付</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u w:val="single"/>
        </w:rPr>
        <w:t>元违约金；每更换监理组关键人员一名，支付</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u w:val="single"/>
        </w:rPr>
        <w:t>元违约金。</w:t>
      </w:r>
    </w:p>
    <w:p w14:paraId="4F30BC37">
      <w:pPr>
        <w:snapToGrid w:val="0"/>
        <w:spacing w:beforeLines="0" w:afterLines="0" w:line="360" w:lineRule="auto"/>
        <w:ind w:firstLine="235" w:firstLineChars="98"/>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 </w:t>
      </w:r>
      <w:r>
        <w:rPr>
          <w:rFonts w:hint="eastAsia" w:ascii="仿宋" w:hAnsi="仿宋" w:eastAsia="仿宋" w:cs="仿宋"/>
          <w:color w:val="000000"/>
          <w:kern w:val="0"/>
          <w:sz w:val="24"/>
          <w:szCs w:val="24"/>
        </w:rPr>
        <w:t>履行职责</w:t>
      </w:r>
    </w:p>
    <w:p w14:paraId="049C92C3">
      <w:pPr>
        <w:adjustRightInd w:val="0"/>
        <w:snapToGrid w:val="0"/>
        <w:spacing w:beforeLines="0" w:afterLines="0"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2.4.3 对监理人的授权范围：</w:t>
      </w:r>
      <w:r>
        <w:rPr>
          <w:rFonts w:hint="eastAsia" w:ascii="仿宋" w:hAnsi="仿宋" w:eastAsia="仿宋" w:cs="仿宋"/>
          <w:color w:val="000000"/>
          <w:sz w:val="24"/>
          <w:szCs w:val="24"/>
          <w:u w:val="single"/>
        </w:rPr>
        <w:t xml:space="preserve">                     </w:t>
      </w:r>
    </w:p>
    <w:p w14:paraId="0792D6C0">
      <w:pPr>
        <w:adjustRightInd w:val="0"/>
        <w:snapToGrid w:val="0"/>
        <w:spacing w:beforeLines="0" w:afterLines="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监理人负责对工程质量、工程进度、工程安全负责，协调施工单位。对发生的经济签证进行现场核实，并报甲方确认后方可签字  </w:t>
      </w:r>
      <w:r>
        <w:rPr>
          <w:rFonts w:hint="eastAsia" w:ascii="仿宋" w:hAnsi="仿宋" w:eastAsia="仿宋" w:cs="仿宋"/>
          <w:color w:val="000000"/>
          <w:sz w:val="24"/>
          <w:szCs w:val="24"/>
        </w:rPr>
        <w:t>。</w:t>
      </w:r>
    </w:p>
    <w:p w14:paraId="35622241">
      <w:pPr>
        <w:adjustRightInd w:val="0"/>
        <w:snapToGrid w:val="0"/>
        <w:spacing w:beforeLines="0" w:afterLines="0" w:line="360" w:lineRule="auto"/>
        <w:ind w:firstLine="480" w:firstLineChars="200"/>
        <w:outlineLvl w:val="0"/>
        <w:rPr>
          <w:rFonts w:hint="eastAsia" w:ascii="仿宋" w:hAnsi="仿宋" w:eastAsia="仿宋" w:cs="仿宋"/>
          <w:color w:val="000000"/>
          <w:sz w:val="24"/>
          <w:szCs w:val="24"/>
        </w:rPr>
      </w:pPr>
      <w:r>
        <w:rPr>
          <w:rFonts w:hint="eastAsia" w:ascii="仿宋" w:hAnsi="仿宋" w:eastAsia="仿宋" w:cs="仿宋"/>
          <w:color w:val="000000"/>
          <w:sz w:val="24"/>
          <w:szCs w:val="24"/>
        </w:rPr>
        <w:t>在涉及工程延期</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天内和（或）金额</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万元内的变更，监理人不需请示委托人即可向承包人发布变更通知。</w:t>
      </w:r>
    </w:p>
    <w:p w14:paraId="15AB14FC">
      <w:pPr>
        <w:pStyle w:val="7"/>
        <w:snapToGrid w:val="0"/>
        <w:spacing w:beforeLines="0" w:afterLines="0" w:line="360" w:lineRule="auto"/>
        <w:rPr>
          <w:rFonts w:hint="eastAsia" w:ascii="仿宋" w:hAnsi="仿宋" w:eastAsia="仿宋" w:cs="仿宋"/>
          <w:color w:val="000000"/>
          <w:sz w:val="24"/>
          <w:szCs w:val="24"/>
          <w:u w:val="single"/>
        </w:rPr>
      </w:pPr>
      <w:r>
        <w:rPr>
          <w:rFonts w:hint="eastAsia" w:ascii="仿宋" w:hAnsi="仿宋" w:eastAsia="仿宋" w:cs="仿宋"/>
          <w:color w:val="000000"/>
          <w:kern w:val="0"/>
          <w:sz w:val="24"/>
          <w:szCs w:val="24"/>
        </w:rPr>
        <w:t>2.4.4 监理人有权要求承包人调换其人员</w:t>
      </w:r>
      <w:r>
        <w:rPr>
          <w:rFonts w:hint="eastAsia" w:ascii="仿宋" w:hAnsi="仿宋" w:eastAsia="仿宋" w:cs="仿宋"/>
          <w:color w:val="000000"/>
          <w:sz w:val="24"/>
          <w:szCs w:val="24"/>
        </w:rPr>
        <w:t>的限制条件：</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w:t>
      </w:r>
    </w:p>
    <w:p w14:paraId="10C8359E">
      <w:pPr>
        <w:adjustRightInd w:val="0"/>
        <w:snapToGrid w:val="0"/>
        <w:spacing w:beforeLines="0" w:afterLines="0" w:line="360" w:lineRule="auto"/>
        <w:rPr>
          <w:rFonts w:hint="eastAsia" w:ascii="仿宋" w:hAnsi="仿宋" w:eastAsia="仿宋" w:cs="仿宋"/>
          <w:color w:val="000000"/>
          <w:sz w:val="24"/>
          <w:szCs w:val="24"/>
        </w:rPr>
      </w:pPr>
      <w:r>
        <w:rPr>
          <w:rFonts w:hint="eastAsia" w:ascii="仿宋" w:hAnsi="仿宋" w:eastAsia="仿宋" w:cs="仿宋"/>
          <w:color w:val="000000"/>
          <w:kern w:val="0"/>
          <w:sz w:val="24"/>
          <w:szCs w:val="24"/>
        </w:rPr>
        <w:t xml:space="preserve"> 2.5 </w:t>
      </w:r>
      <w:r>
        <w:rPr>
          <w:rFonts w:hint="eastAsia" w:ascii="仿宋" w:hAnsi="仿宋" w:eastAsia="仿宋" w:cs="仿宋"/>
          <w:color w:val="000000"/>
          <w:sz w:val="24"/>
          <w:szCs w:val="24"/>
        </w:rPr>
        <w:t>提交</w:t>
      </w:r>
      <w:r>
        <w:rPr>
          <w:rFonts w:hint="eastAsia" w:ascii="仿宋" w:hAnsi="仿宋" w:eastAsia="仿宋" w:cs="仿宋"/>
          <w:color w:val="000000"/>
          <w:kern w:val="0"/>
          <w:sz w:val="24"/>
          <w:szCs w:val="24"/>
        </w:rPr>
        <w:t>报告</w:t>
      </w:r>
    </w:p>
    <w:p w14:paraId="57043201">
      <w:pPr>
        <w:snapToGrid w:val="0"/>
        <w:spacing w:beforeLines="0" w:afterLines="0" w:line="360" w:lineRule="auto"/>
        <w:rPr>
          <w:rFonts w:hint="eastAsia" w:ascii="仿宋" w:hAnsi="仿宋" w:eastAsia="仿宋" w:cs="仿宋"/>
          <w:color w:val="000000"/>
          <w:kern w:val="0"/>
          <w:sz w:val="24"/>
          <w:szCs w:val="24"/>
          <w:u w:val="single"/>
          <w:lang w:val="en-US" w:eastAsia="zh-CN"/>
        </w:rPr>
      </w:pPr>
      <w:r>
        <w:rPr>
          <w:rFonts w:hint="eastAsia" w:ascii="仿宋" w:hAnsi="仿宋" w:eastAsia="仿宋" w:cs="仿宋"/>
          <w:color w:val="000000"/>
          <w:sz w:val="24"/>
          <w:szCs w:val="24"/>
        </w:rPr>
        <w:t>监理人应提交报告的种类(</w:t>
      </w:r>
      <w:r>
        <w:rPr>
          <w:rFonts w:hint="eastAsia" w:ascii="仿宋" w:hAnsi="仿宋" w:eastAsia="仿宋" w:cs="仿宋"/>
          <w:color w:val="000000"/>
          <w:kern w:val="0"/>
          <w:sz w:val="24"/>
          <w:szCs w:val="24"/>
        </w:rPr>
        <w:t>包括监理规划、监理月报及约定的专项报告)</w:t>
      </w:r>
      <w:r>
        <w:rPr>
          <w:rFonts w:hint="eastAsia" w:ascii="仿宋" w:hAnsi="仿宋" w:eastAsia="仿宋" w:cs="仿宋"/>
          <w:color w:val="000000"/>
          <w:sz w:val="24"/>
          <w:szCs w:val="24"/>
        </w:rPr>
        <w:t>、时间和份数</w:t>
      </w: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具体以实际签订合同为准。</w:t>
      </w:r>
    </w:p>
    <w:p w14:paraId="4A7E86A7">
      <w:pPr>
        <w:snapToGrid w:val="0"/>
        <w:spacing w:beforeLines="0" w:afterLines="0"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2.7 使用委托人的财产</w:t>
      </w:r>
    </w:p>
    <w:p w14:paraId="3140E93B">
      <w:pPr>
        <w:snapToGrid w:val="0"/>
        <w:spacing w:beforeLines="0" w:afterLines="0" w:line="360" w:lineRule="auto"/>
        <w:rPr>
          <w:rFonts w:hint="eastAsia" w:ascii="仿宋" w:hAnsi="仿宋" w:eastAsia="仿宋" w:cs="仿宋"/>
          <w:color w:val="000000"/>
          <w:sz w:val="24"/>
          <w:szCs w:val="24"/>
        </w:rPr>
      </w:pPr>
      <w:r>
        <w:rPr>
          <w:rFonts w:hint="eastAsia" w:ascii="仿宋" w:hAnsi="仿宋" w:eastAsia="仿宋" w:cs="仿宋"/>
          <w:color w:val="000000"/>
          <w:kern w:val="0"/>
          <w:sz w:val="24"/>
          <w:szCs w:val="24"/>
        </w:rPr>
        <w:t xml:space="preserve">     </w:t>
      </w:r>
      <w:r>
        <w:rPr>
          <w:rFonts w:hint="eastAsia" w:ascii="仿宋" w:hAnsi="仿宋" w:eastAsia="仿宋" w:cs="仿宋"/>
          <w:color w:val="000000"/>
          <w:sz w:val="24"/>
          <w:szCs w:val="24"/>
        </w:rPr>
        <w:t>附录B中由委托人无偿提供的房屋、设备的所有权属于：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p>
    <w:p w14:paraId="245DD952">
      <w:pPr>
        <w:snapToGrid w:val="0"/>
        <w:spacing w:beforeLines="0" w:afterLines="0"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sz w:val="24"/>
          <w:szCs w:val="24"/>
        </w:rPr>
        <w:t>监理人应在竣工验收后</w:t>
      </w:r>
      <w:r>
        <w:rPr>
          <w:rFonts w:hint="eastAsia" w:ascii="仿宋" w:hAnsi="仿宋" w:eastAsia="仿宋" w:cs="仿宋"/>
          <w:color w:val="000000"/>
          <w:sz w:val="24"/>
          <w:szCs w:val="24"/>
          <w:u w:val="single"/>
        </w:rPr>
        <w:t xml:space="preserve"> 7</w:t>
      </w:r>
      <w:r>
        <w:rPr>
          <w:rFonts w:hint="eastAsia" w:ascii="仿宋" w:hAnsi="仿宋" w:eastAsia="仿宋" w:cs="仿宋"/>
          <w:color w:val="000000"/>
          <w:sz w:val="24"/>
          <w:szCs w:val="24"/>
        </w:rPr>
        <w:t>天内移交委托人无偿提供的房屋、设备，移交的时间和方式为：</w:t>
      </w:r>
      <w:r>
        <w:rPr>
          <w:rFonts w:hint="eastAsia" w:ascii="仿宋" w:hAnsi="仿宋" w:eastAsia="仿宋" w:cs="仿宋"/>
          <w:color w:val="000000"/>
          <w:sz w:val="24"/>
          <w:szCs w:val="24"/>
          <w:u w:val="single"/>
        </w:rPr>
        <w:t xml:space="preserve">现场移交，原物返还  </w:t>
      </w:r>
      <w:r>
        <w:rPr>
          <w:rFonts w:hint="eastAsia" w:ascii="仿宋" w:hAnsi="仿宋" w:eastAsia="仿宋" w:cs="仿宋"/>
          <w:color w:val="000000"/>
          <w:sz w:val="24"/>
          <w:szCs w:val="24"/>
        </w:rPr>
        <w:t>。</w:t>
      </w:r>
    </w:p>
    <w:p w14:paraId="5E07C2C0">
      <w:pPr>
        <w:adjustRightInd w:val="0"/>
        <w:snapToGrid w:val="0"/>
        <w:spacing w:beforeLines="0" w:afterLines="0" w:line="360" w:lineRule="auto"/>
        <w:rPr>
          <w:rFonts w:hint="eastAsia" w:ascii="仿宋" w:hAnsi="仿宋" w:eastAsia="仿宋" w:cs="仿宋"/>
          <w:b/>
          <w:color w:val="000000"/>
          <w:sz w:val="24"/>
          <w:szCs w:val="24"/>
        </w:rPr>
      </w:pPr>
      <w:r>
        <w:rPr>
          <w:rFonts w:hint="eastAsia" w:ascii="仿宋" w:hAnsi="仿宋" w:eastAsia="仿宋" w:cs="仿宋"/>
          <w:b/>
          <w:color w:val="000000"/>
          <w:kern w:val="0"/>
          <w:sz w:val="24"/>
          <w:szCs w:val="24"/>
        </w:rPr>
        <w:t xml:space="preserve">3. 委托人义务  </w:t>
      </w:r>
    </w:p>
    <w:p w14:paraId="59FA7FD3">
      <w:pPr>
        <w:snapToGrid w:val="0"/>
        <w:spacing w:beforeLines="0" w:afterLines="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kern w:val="0"/>
          <w:sz w:val="24"/>
          <w:szCs w:val="24"/>
        </w:rPr>
        <w:t>3.4 委托人代表</w:t>
      </w:r>
    </w:p>
    <w:p w14:paraId="41D3CCEF">
      <w:pPr>
        <w:adjustRightInd w:val="0"/>
        <w:snapToGrid w:val="0"/>
        <w:spacing w:beforeLines="0" w:afterLines="0"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委托人代表为：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882AEE4">
      <w:pPr>
        <w:adjustRightInd w:val="0"/>
        <w:snapToGrid w:val="0"/>
        <w:spacing w:beforeLines="0" w:afterLines="0" w:line="360" w:lineRule="auto"/>
        <w:ind w:firstLine="235" w:firstLineChars="98"/>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3.6 答复</w:t>
      </w:r>
    </w:p>
    <w:p w14:paraId="26BE6A1B">
      <w:pPr>
        <w:adjustRightInd w:val="0"/>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委托人同意在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天内，对监理人书面提交并要求做出决定的事宜给予书面答复。</w:t>
      </w:r>
    </w:p>
    <w:p w14:paraId="7482D01A">
      <w:pPr>
        <w:snapToGrid w:val="0"/>
        <w:spacing w:beforeLines="0" w:afterLines="0"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 违约责任</w:t>
      </w:r>
    </w:p>
    <w:p w14:paraId="594D7C7C">
      <w:pPr>
        <w:snapToGrid w:val="0"/>
        <w:spacing w:beforeLines="0" w:afterLines="0" w:line="360" w:lineRule="auto"/>
        <w:ind w:left="210" w:leftChars="1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4.1 监理人的违约责任</w:t>
      </w:r>
    </w:p>
    <w:p w14:paraId="60563AF0">
      <w:pPr>
        <w:adjustRightInd w:val="0"/>
        <w:snapToGrid w:val="0"/>
        <w:spacing w:beforeLines="0" w:afterLines="0" w:line="360" w:lineRule="auto"/>
        <w:ind w:firstLine="480" w:firstLineChars="200"/>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4.1.1监理人赔偿金额按下列方法确定：</w:t>
      </w:r>
      <w:r>
        <w:rPr>
          <w:rFonts w:hint="eastAsia" w:ascii="仿宋" w:hAnsi="仿宋" w:eastAsia="仿宋" w:cs="仿宋"/>
          <w:color w:val="000000"/>
          <w:kern w:val="0"/>
          <w:sz w:val="24"/>
          <w:szCs w:val="24"/>
          <w:u w:val="single"/>
        </w:rPr>
        <w:t>无</w:t>
      </w:r>
    </w:p>
    <w:p w14:paraId="74A38959">
      <w:pPr>
        <w:adjustRightInd w:val="0"/>
        <w:snapToGrid w:val="0"/>
        <w:spacing w:beforeLines="0" w:afterLines="0"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sz w:val="24"/>
          <w:szCs w:val="24"/>
        </w:rPr>
        <w:t>赔偿金＝直接经济损失×正常工作酬金÷工程概算</w:t>
      </w:r>
      <w:r>
        <w:rPr>
          <w:rFonts w:hint="eastAsia" w:ascii="仿宋" w:hAnsi="仿宋" w:eastAsia="仿宋" w:cs="仿宋"/>
          <w:color w:val="000000"/>
          <w:kern w:val="0"/>
          <w:sz w:val="24"/>
          <w:szCs w:val="24"/>
        </w:rPr>
        <w:t>投资额（或建筑安装工程费）</w:t>
      </w:r>
    </w:p>
    <w:p w14:paraId="09684075">
      <w:pPr>
        <w:snapToGrid w:val="0"/>
        <w:spacing w:beforeLines="0" w:afterLines="0" w:line="360" w:lineRule="auto"/>
        <w:ind w:firstLine="240" w:firstLineChars="1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4.2 委托人的违约责任</w:t>
      </w:r>
    </w:p>
    <w:p w14:paraId="7BE2923B">
      <w:pPr>
        <w:snapToGrid w:val="0"/>
        <w:spacing w:beforeLines="0" w:afterLines="0" w:line="360" w:lineRule="auto"/>
        <w:rPr>
          <w:rFonts w:hint="default" w:ascii="仿宋" w:hAnsi="仿宋" w:eastAsia="仿宋" w:cs="仿宋"/>
          <w:color w:val="000000"/>
          <w:kern w:val="0"/>
          <w:sz w:val="24"/>
          <w:szCs w:val="24"/>
          <w:u w:val="single"/>
          <w:lang w:val="en-US" w:eastAsia="zh-CN"/>
        </w:rPr>
      </w:pPr>
      <w:r>
        <w:rPr>
          <w:rFonts w:hint="eastAsia" w:ascii="仿宋" w:hAnsi="仿宋" w:eastAsia="仿宋" w:cs="仿宋"/>
          <w:color w:val="000000"/>
          <w:kern w:val="0"/>
          <w:sz w:val="24"/>
          <w:szCs w:val="24"/>
        </w:rPr>
        <w:t>4.2.3 委托人逾期付款利息按下列方法确定：</w:t>
      </w:r>
      <w:r>
        <w:rPr>
          <w:rFonts w:hint="eastAsia" w:ascii="仿宋" w:hAnsi="仿宋" w:eastAsia="仿宋" w:cs="仿宋"/>
          <w:color w:val="000000"/>
          <w:kern w:val="0"/>
          <w:sz w:val="24"/>
          <w:szCs w:val="24"/>
          <w:lang w:val="en-US" w:eastAsia="zh-CN"/>
        </w:rPr>
        <w:t xml:space="preserve"> </w:t>
      </w:r>
    </w:p>
    <w:p w14:paraId="21F18685">
      <w:pPr>
        <w:snapToGrid w:val="0"/>
        <w:spacing w:beforeLines="0" w:afterLines="0" w:line="360" w:lineRule="auto"/>
        <w:rPr>
          <w:rFonts w:hint="eastAsia" w:ascii="仿宋" w:hAnsi="仿宋" w:eastAsia="仿宋" w:cs="仿宋"/>
          <w:b/>
          <w:color w:val="000000"/>
          <w:sz w:val="24"/>
          <w:szCs w:val="24"/>
        </w:rPr>
      </w:pPr>
      <w:r>
        <w:rPr>
          <w:rFonts w:hint="eastAsia" w:ascii="仿宋" w:hAnsi="仿宋" w:eastAsia="仿宋" w:cs="仿宋"/>
          <w:b/>
          <w:bCs/>
          <w:color w:val="000000"/>
          <w:sz w:val="24"/>
          <w:szCs w:val="24"/>
        </w:rPr>
        <w:t>5. 支付</w:t>
      </w:r>
    </w:p>
    <w:p w14:paraId="45351758">
      <w:pPr>
        <w:snapToGrid w:val="0"/>
        <w:spacing w:beforeLines="0" w:afterLines="0" w:line="360" w:lineRule="auto"/>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  5.1 </w:t>
      </w:r>
      <w:r>
        <w:rPr>
          <w:rFonts w:hint="eastAsia" w:ascii="仿宋" w:hAnsi="仿宋" w:eastAsia="仿宋" w:cs="仿宋"/>
          <w:bCs/>
          <w:color w:val="000000"/>
          <w:sz w:val="24"/>
          <w:szCs w:val="24"/>
        </w:rPr>
        <w:t>支付货币</w:t>
      </w:r>
    </w:p>
    <w:p w14:paraId="27F61B04">
      <w:pPr>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币种为：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，比例为：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，汇率为：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4C0BC2DA">
      <w:pPr>
        <w:snapToGrid w:val="0"/>
        <w:spacing w:beforeLines="0" w:afterLines="0" w:line="360" w:lineRule="auto"/>
        <w:ind w:firstLine="240" w:firstLineChars="1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5.3 合同价款的支付</w:t>
      </w:r>
    </w:p>
    <w:p w14:paraId="54D860A4">
      <w:pPr>
        <w:snapToGrid w:val="0"/>
        <w:spacing w:beforeLines="0" w:afterLines="0"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正常合同价款</w:t>
      </w:r>
      <w:r>
        <w:rPr>
          <w:rFonts w:hint="eastAsia" w:ascii="仿宋" w:hAnsi="仿宋" w:eastAsia="仿宋" w:cs="仿宋"/>
          <w:color w:val="000000"/>
          <w:sz w:val="24"/>
          <w:szCs w:val="24"/>
        </w:rPr>
        <w:t>的</w:t>
      </w:r>
      <w:r>
        <w:rPr>
          <w:rFonts w:hint="eastAsia" w:ascii="仿宋" w:hAnsi="仿宋" w:eastAsia="仿宋" w:cs="仿宋"/>
          <w:color w:val="000000"/>
          <w:kern w:val="0"/>
          <w:sz w:val="24"/>
          <w:szCs w:val="24"/>
        </w:rPr>
        <w:t>支付</w:t>
      </w:r>
      <w:r>
        <w:rPr>
          <w:rFonts w:hint="eastAsia" w:ascii="仿宋" w:hAnsi="仿宋" w:eastAsia="仿宋" w:cs="仿宋"/>
          <w:color w:val="000000"/>
          <w:sz w:val="24"/>
          <w:szCs w:val="24"/>
        </w:rPr>
        <w:t>：最终根据财政资金拨付情况进行支付</w:t>
      </w:r>
    </w:p>
    <w:tbl>
      <w:tblPr>
        <w:tblStyle w:val="21"/>
        <w:tblW w:w="931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9"/>
        <w:gridCol w:w="2919"/>
        <w:gridCol w:w="2895"/>
        <w:gridCol w:w="1943"/>
      </w:tblGrid>
      <w:tr w14:paraId="2793C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noWrap w:val="0"/>
            <w:vAlign w:val="center"/>
          </w:tcPr>
          <w:p w14:paraId="10333AE9">
            <w:pPr>
              <w:snapToGrid w:val="0"/>
              <w:spacing w:beforeLines="0" w:afterLines="0"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支付次数</w:t>
            </w:r>
          </w:p>
        </w:tc>
        <w:tc>
          <w:tcPr>
            <w:tcW w:w="2919" w:type="dxa"/>
            <w:noWrap w:val="0"/>
            <w:vAlign w:val="center"/>
          </w:tcPr>
          <w:p w14:paraId="481C66C3">
            <w:pPr>
              <w:snapToGrid w:val="0"/>
              <w:spacing w:beforeLines="0" w:afterLines="0"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支付时间</w:t>
            </w:r>
          </w:p>
        </w:tc>
        <w:tc>
          <w:tcPr>
            <w:tcW w:w="2895" w:type="dxa"/>
            <w:noWrap w:val="0"/>
            <w:vAlign w:val="top"/>
          </w:tcPr>
          <w:p w14:paraId="69117D9D">
            <w:pPr>
              <w:snapToGrid w:val="0"/>
              <w:spacing w:beforeLines="0" w:afterLines="0"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支付比例</w:t>
            </w:r>
          </w:p>
        </w:tc>
        <w:tc>
          <w:tcPr>
            <w:tcW w:w="1943" w:type="dxa"/>
            <w:noWrap w:val="0"/>
            <w:vAlign w:val="center"/>
          </w:tcPr>
          <w:p w14:paraId="7C1C1D93">
            <w:pPr>
              <w:snapToGrid w:val="0"/>
              <w:spacing w:beforeLines="0" w:afterLines="0"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支付金额（万元）</w:t>
            </w:r>
          </w:p>
        </w:tc>
      </w:tr>
      <w:tr w14:paraId="76A8A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noWrap w:val="0"/>
            <w:vAlign w:val="top"/>
          </w:tcPr>
          <w:p w14:paraId="24372EA8">
            <w:pPr>
              <w:snapToGrid w:val="0"/>
              <w:spacing w:beforeLines="0" w:afterLines="0" w:line="360" w:lineRule="auto"/>
              <w:rPr>
                <w:rFonts w:hint="eastAsia" w:ascii="仿宋" w:hAnsi="仿宋" w:eastAsia="仿宋" w:cs="仿宋"/>
                <w:color w:val="000000"/>
                <w:sz w:val="24"/>
                <w:szCs w:val="24"/>
                <w:highlight w:val="yellow"/>
              </w:rPr>
            </w:pPr>
          </w:p>
        </w:tc>
        <w:tc>
          <w:tcPr>
            <w:tcW w:w="2919" w:type="dxa"/>
            <w:noWrap w:val="0"/>
            <w:vAlign w:val="top"/>
          </w:tcPr>
          <w:p w14:paraId="19D6F2A5">
            <w:pPr>
              <w:snapToGrid w:val="0"/>
              <w:spacing w:beforeLines="0" w:afterLines="0" w:line="360" w:lineRule="auto"/>
              <w:jc w:val="center"/>
              <w:rPr>
                <w:rFonts w:hint="eastAsia" w:ascii="仿宋" w:hAnsi="仿宋" w:eastAsia="仿宋" w:cs="仿宋"/>
                <w:color w:val="000000"/>
                <w:sz w:val="24"/>
                <w:szCs w:val="24"/>
                <w:highlight w:val="yellow"/>
              </w:rPr>
            </w:pPr>
          </w:p>
        </w:tc>
        <w:tc>
          <w:tcPr>
            <w:tcW w:w="2895" w:type="dxa"/>
            <w:noWrap w:val="0"/>
            <w:vAlign w:val="top"/>
          </w:tcPr>
          <w:p w14:paraId="1546DB01">
            <w:pPr>
              <w:snapToGrid w:val="0"/>
              <w:spacing w:beforeLines="0" w:afterLines="0" w:line="360" w:lineRule="auto"/>
              <w:rPr>
                <w:rFonts w:hint="eastAsia" w:ascii="仿宋" w:hAnsi="仿宋" w:eastAsia="仿宋" w:cs="仿宋"/>
                <w:color w:val="000000"/>
                <w:sz w:val="24"/>
                <w:szCs w:val="24"/>
                <w:highlight w:val="yellow"/>
              </w:rPr>
            </w:pPr>
          </w:p>
        </w:tc>
        <w:tc>
          <w:tcPr>
            <w:tcW w:w="1943" w:type="dxa"/>
            <w:noWrap w:val="0"/>
            <w:vAlign w:val="top"/>
          </w:tcPr>
          <w:p w14:paraId="466A07E9">
            <w:pPr>
              <w:snapToGrid w:val="0"/>
              <w:spacing w:beforeLines="0" w:afterLines="0" w:line="360" w:lineRule="auto"/>
              <w:rPr>
                <w:rFonts w:hint="eastAsia" w:ascii="仿宋" w:hAnsi="仿宋" w:eastAsia="仿宋" w:cs="仿宋"/>
                <w:color w:val="000000"/>
                <w:sz w:val="24"/>
                <w:szCs w:val="24"/>
                <w:highlight w:val="yellow"/>
              </w:rPr>
            </w:pPr>
          </w:p>
        </w:tc>
      </w:tr>
      <w:tr w14:paraId="3C930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noWrap w:val="0"/>
            <w:vAlign w:val="top"/>
          </w:tcPr>
          <w:p w14:paraId="03F351FD">
            <w:pPr>
              <w:snapToGrid w:val="0"/>
              <w:spacing w:beforeLines="0" w:afterLines="0" w:line="360" w:lineRule="auto"/>
              <w:rPr>
                <w:rFonts w:hint="eastAsia" w:ascii="仿宋" w:hAnsi="仿宋" w:eastAsia="仿宋" w:cs="仿宋"/>
                <w:color w:val="000000"/>
                <w:sz w:val="24"/>
                <w:szCs w:val="24"/>
                <w:highlight w:val="yellow"/>
              </w:rPr>
            </w:pPr>
          </w:p>
        </w:tc>
        <w:tc>
          <w:tcPr>
            <w:tcW w:w="2919" w:type="dxa"/>
            <w:noWrap w:val="0"/>
            <w:vAlign w:val="top"/>
          </w:tcPr>
          <w:p w14:paraId="5C07C49A">
            <w:pPr>
              <w:snapToGrid w:val="0"/>
              <w:spacing w:beforeLines="0" w:afterLines="0" w:line="360" w:lineRule="auto"/>
              <w:rPr>
                <w:rFonts w:hint="eastAsia" w:ascii="仿宋" w:hAnsi="仿宋" w:eastAsia="仿宋" w:cs="仿宋"/>
                <w:color w:val="000000"/>
                <w:sz w:val="24"/>
                <w:szCs w:val="24"/>
                <w:highlight w:val="yellow"/>
              </w:rPr>
            </w:pPr>
          </w:p>
        </w:tc>
        <w:tc>
          <w:tcPr>
            <w:tcW w:w="2895" w:type="dxa"/>
            <w:noWrap w:val="0"/>
            <w:vAlign w:val="top"/>
          </w:tcPr>
          <w:p w14:paraId="586B44D7">
            <w:pPr>
              <w:snapToGrid w:val="0"/>
              <w:spacing w:beforeLines="0" w:afterLines="0" w:line="360" w:lineRule="auto"/>
              <w:rPr>
                <w:rFonts w:hint="eastAsia" w:ascii="仿宋" w:hAnsi="仿宋" w:eastAsia="仿宋" w:cs="仿宋"/>
                <w:color w:val="000000"/>
                <w:sz w:val="24"/>
                <w:szCs w:val="24"/>
                <w:highlight w:val="yellow"/>
              </w:rPr>
            </w:pPr>
          </w:p>
        </w:tc>
        <w:tc>
          <w:tcPr>
            <w:tcW w:w="1943" w:type="dxa"/>
            <w:noWrap w:val="0"/>
            <w:vAlign w:val="top"/>
          </w:tcPr>
          <w:p w14:paraId="0F46DE47">
            <w:pPr>
              <w:snapToGrid w:val="0"/>
              <w:spacing w:beforeLines="0" w:afterLines="0" w:line="360" w:lineRule="auto"/>
              <w:rPr>
                <w:rFonts w:hint="eastAsia" w:ascii="仿宋" w:hAnsi="仿宋" w:eastAsia="仿宋" w:cs="仿宋"/>
                <w:color w:val="000000"/>
                <w:sz w:val="24"/>
                <w:szCs w:val="24"/>
                <w:highlight w:val="yellow"/>
              </w:rPr>
            </w:pPr>
          </w:p>
        </w:tc>
      </w:tr>
      <w:tr w14:paraId="78C3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noWrap w:val="0"/>
            <w:vAlign w:val="top"/>
          </w:tcPr>
          <w:p w14:paraId="65847CD7">
            <w:pPr>
              <w:snapToGrid w:val="0"/>
              <w:spacing w:beforeLines="0" w:afterLines="0" w:line="360" w:lineRule="auto"/>
              <w:rPr>
                <w:rFonts w:hint="eastAsia" w:ascii="仿宋" w:hAnsi="仿宋" w:eastAsia="仿宋" w:cs="仿宋"/>
                <w:color w:val="000000"/>
                <w:sz w:val="24"/>
                <w:szCs w:val="24"/>
                <w:highlight w:val="yellow"/>
              </w:rPr>
            </w:pPr>
          </w:p>
        </w:tc>
        <w:tc>
          <w:tcPr>
            <w:tcW w:w="2919" w:type="dxa"/>
            <w:noWrap w:val="0"/>
            <w:vAlign w:val="top"/>
          </w:tcPr>
          <w:p w14:paraId="207CB110">
            <w:pPr>
              <w:snapToGrid w:val="0"/>
              <w:spacing w:beforeLines="0" w:afterLines="0" w:line="360" w:lineRule="auto"/>
              <w:rPr>
                <w:rFonts w:hint="eastAsia" w:ascii="仿宋" w:hAnsi="仿宋" w:eastAsia="仿宋" w:cs="仿宋"/>
                <w:color w:val="000000"/>
                <w:sz w:val="24"/>
                <w:szCs w:val="24"/>
                <w:highlight w:val="yellow"/>
              </w:rPr>
            </w:pPr>
          </w:p>
        </w:tc>
        <w:tc>
          <w:tcPr>
            <w:tcW w:w="2895" w:type="dxa"/>
            <w:noWrap w:val="0"/>
            <w:vAlign w:val="top"/>
          </w:tcPr>
          <w:p w14:paraId="17C66788">
            <w:pPr>
              <w:snapToGrid w:val="0"/>
              <w:spacing w:beforeLines="0" w:afterLines="0" w:line="360" w:lineRule="auto"/>
              <w:rPr>
                <w:rFonts w:hint="eastAsia" w:ascii="仿宋" w:hAnsi="仿宋" w:eastAsia="仿宋" w:cs="仿宋"/>
                <w:color w:val="000000"/>
                <w:sz w:val="24"/>
                <w:szCs w:val="24"/>
                <w:highlight w:val="yellow"/>
              </w:rPr>
            </w:pPr>
          </w:p>
        </w:tc>
        <w:tc>
          <w:tcPr>
            <w:tcW w:w="1943" w:type="dxa"/>
            <w:noWrap w:val="0"/>
            <w:vAlign w:val="top"/>
          </w:tcPr>
          <w:p w14:paraId="372075CB">
            <w:pPr>
              <w:snapToGrid w:val="0"/>
              <w:spacing w:beforeLines="0" w:afterLines="0" w:line="360" w:lineRule="auto"/>
              <w:rPr>
                <w:rFonts w:hint="eastAsia" w:ascii="仿宋" w:hAnsi="仿宋" w:eastAsia="仿宋" w:cs="仿宋"/>
                <w:color w:val="000000"/>
                <w:sz w:val="24"/>
                <w:szCs w:val="24"/>
                <w:highlight w:val="yellow"/>
              </w:rPr>
            </w:pPr>
          </w:p>
        </w:tc>
      </w:tr>
      <w:tr w14:paraId="28FCC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noWrap w:val="0"/>
            <w:vAlign w:val="top"/>
          </w:tcPr>
          <w:p w14:paraId="43EEE019">
            <w:pPr>
              <w:snapToGrid w:val="0"/>
              <w:spacing w:beforeLines="0" w:afterLines="0" w:line="360" w:lineRule="auto"/>
              <w:rPr>
                <w:rFonts w:hint="eastAsia" w:ascii="仿宋" w:hAnsi="仿宋" w:eastAsia="仿宋" w:cs="仿宋"/>
                <w:color w:val="000000"/>
                <w:sz w:val="24"/>
                <w:szCs w:val="24"/>
                <w:highlight w:val="yellow"/>
              </w:rPr>
            </w:pPr>
          </w:p>
        </w:tc>
        <w:tc>
          <w:tcPr>
            <w:tcW w:w="2919" w:type="dxa"/>
            <w:noWrap w:val="0"/>
            <w:vAlign w:val="top"/>
          </w:tcPr>
          <w:p w14:paraId="5E3ED2F2">
            <w:pPr>
              <w:snapToGrid w:val="0"/>
              <w:spacing w:beforeLines="0" w:afterLines="0" w:line="360" w:lineRule="auto"/>
              <w:rPr>
                <w:rFonts w:hint="eastAsia" w:ascii="仿宋" w:hAnsi="仿宋" w:eastAsia="仿宋" w:cs="仿宋"/>
                <w:color w:val="000000"/>
                <w:sz w:val="24"/>
                <w:szCs w:val="24"/>
                <w:highlight w:val="yellow"/>
              </w:rPr>
            </w:pPr>
          </w:p>
        </w:tc>
        <w:tc>
          <w:tcPr>
            <w:tcW w:w="2895" w:type="dxa"/>
            <w:noWrap w:val="0"/>
            <w:vAlign w:val="top"/>
          </w:tcPr>
          <w:p w14:paraId="09EBF092">
            <w:pPr>
              <w:snapToGrid w:val="0"/>
              <w:spacing w:beforeLines="0" w:afterLines="0" w:line="360" w:lineRule="auto"/>
              <w:rPr>
                <w:rFonts w:hint="eastAsia" w:ascii="仿宋" w:hAnsi="仿宋" w:eastAsia="仿宋" w:cs="仿宋"/>
                <w:color w:val="000000"/>
                <w:sz w:val="24"/>
                <w:szCs w:val="24"/>
                <w:highlight w:val="yellow"/>
              </w:rPr>
            </w:pPr>
          </w:p>
        </w:tc>
        <w:tc>
          <w:tcPr>
            <w:tcW w:w="1943" w:type="dxa"/>
            <w:noWrap w:val="0"/>
            <w:vAlign w:val="top"/>
          </w:tcPr>
          <w:p w14:paraId="2A02B52C">
            <w:pPr>
              <w:snapToGrid w:val="0"/>
              <w:spacing w:beforeLines="0" w:afterLines="0" w:line="360" w:lineRule="auto"/>
              <w:rPr>
                <w:rFonts w:hint="eastAsia" w:ascii="仿宋" w:hAnsi="仿宋" w:eastAsia="仿宋" w:cs="仿宋"/>
                <w:color w:val="000000"/>
                <w:sz w:val="24"/>
                <w:szCs w:val="24"/>
                <w:highlight w:val="yellow"/>
              </w:rPr>
            </w:pPr>
          </w:p>
        </w:tc>
      </w:tr>
      <w:tr w14:paraId="498E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9" w:type="dxa"/>
            <w:noWrap w:val="0"/>
            <w:vAlign w:val="top"/>
          </w:tcPr>
          <w:p w14:paraId="073AB527">
            <w:pPr>
              <w:snapToGrid w:val="0"/>
              <w:spacing w:beforeLines="0" w:afterLines="0" w:line="360" w:lineRule="auto"/>
              <w:rPr>
                <w:rFonts w:hint="eastAsia" w:ascii="仿宋" w:hAnsi="仿宋" w:eastAsia="仿宋" w:cs="仿宋"/>
                <w:color w:val="000000"/>
                <w:sz w:val="24"/>
                <w:szCs w:val="24"/>
                <w:highlight w:val="yellow"/>
              </w:rPr>
            </w:pPr>
          </w:p>
        </w:tc>
        <w:tc>
          <w:tcPr>
            <w:tcW w:w="2919" w:type="dxa"/>
            <w:noWrap w:val="0"/>
            <w:vAlign w:val="top"/>
          </w:tcPr>
          <w:p w14:paraId="322D962C">
            <w:pPr>
              <w:snapToGrid w:val="0"/>
              <w:spacing w:beforeLines="0" w:afterLines="0" w:line="360" w:lineRule="auto"/>
              <w:rPr>
                <w:rFonts w:hint="eastAsia" w:ascii="仿宋" w:hAnsi="仿宋" w:eastAsia="仿宋" w:cs="仿宋"/>
                <w:color w:val="000000"/>
                <w:sz w:val="24"/>
                <w:szCs w:val="24"/>
                <w:highlight w:val="yellow"/>
              </w:rPr>
            </w:pPr>
          </w:p>
        </w:tc>
        <w:tc>
          <w:tcPr>
            <w:tcW w:w="2895" w:type="dxa"/>
            <w:noWrap w:val="0"/>
            <w:vAlign w:val="top"/>
          </w:tcPr>
          <w:p w14:paraId="44E33316">
            <w:pPr>
              <w:snapToGrid w:val="0"/>
              <w:spacing w:beforeLines="0" w:afterLines="0" w:line="360" w:lineRule="auto"/>
              <w:rPr>
                <w:rFonts w:hint="eastAsia" w:ascii="仿宋" w:hAnsi="仿宋" w:eastAsia="仿宋" w:cs="仿宋"/>
                <w:color w:val="000000"/>
                <w:sz w:val="24"/>
                <w:szCs w:val="24"/>
                <w:highlight w:val="yellow"/>
              </w:rPr>
            </w:pPr>
          </w:p>
        </w:tc>
        <w:tc>
          <w:tcPr>
            <w:tcW w:w="1943" w:type="dxa"/>
            <w:noWrap w:val="0"/>
            <w:vAlign w:val="top"/>
          </w:tcPr>
          <w:p w14:paraId="585327D9">
            <w:pPr>
              <w:snapToGrid w:val="0"/>
              <w:spacing w:beforeLines="0" w:afterLines="0" w:line="360" w:lineRule="auto"/>
              <w:rPr>
                <w:rFonts w:hint="eastAsia" w:ascii="仿宋" w:hAnsi="仿宋" w:eastAsia="仿宋" w:cs="仿宋"/>
                <w:color w:val="000000"/>
                <w:sz w:val="24"/>
                <w:szCs w:val="24"/>
                <w:highlight w:val="yellow"/>
              </w:rPr>
            </w:pPr>
          </w:p>
        </w:tc>
      </w:tr>
    </w:tbl>
    <w:p w14:paraId="2B5394FC">
      <w:pPr>
        <w:snapToGrid w:val="0"/>
        <w:spacing w:beforeLines="0" w:afterLines="0" w:line="360" w:lineRule="auto"/>
        <w:rPr>
          <w:rFonts w:hint="eastAsia" w:ascii="仿宋" w:hAnsi="仿宋" w:eastAsia="仿宋" w:cs="仿宋"/>
          <w:b/>
          <w:bCs/>
          <w:color w:val="000000"/>
          <w:sz w:val="24"/>
          <w:szCs w:val="24"/>
        </w:rPr>
      </w:pPr>
      <w:r>
        <w:rPr>
          <w:rFonts w:hint="eastAsia" w:ascii="仿宋" w:hAnsi="仿宋" w:eastAsia="仿宋" w:cs="仿宋"/>
          <w:bCs/>
          <w:color w:val="000000"/>
          <w:sz w:val="24"/>
          <w:szCs w:val="24"/>
        </w:rPr>
        <w:t>6</w:t>
      </w:r>
      <w:r>
        <w:rPr>
          <w:rFonts w:hint="eastAsia" w:ascii="仿宋" w:hAnsi="仿宋" w:eastAsia="仿宋" w:cs="仿宋"/>
          <w:b/>
          <w:bCs/>
          <w:color w:val="000000"/>
          <w:sz w:val="24"/>
          <w:szCs w:val="24"/>
        </w:rPr>
        <w:t>. 合同生效、变更、暂停、解除与终止</w:t>
      </w:r>
    </w:p>
    <w:p w14:paraId="30592142">
      <w:pPr>
        <w:adjustRightInd w:val="0"/>
        <w:snapToGrid w:val="0"/>
        <w:spacing w:beforeLines="0" w:afterLines="0" w:line="360" w:lineRule="auto"/>
        <w:ind w:firstLine="240" w:firstLineChars="100"/>
        <w:rPr>
          <w:rFonts w:hint="eastAsia" w:ascii="仿宋" w:hAnsi="仿宋" w:eastAsia="仿宋" w:cs="仿宋"/>
          <w:color w:val="000000"/>
          <w:sz w:val="24"/>
          <w:szCs w:val="24"/>
        </w:rPr>
      </w:pPr>
      <w:r>
        <w:rPr>
          <w:rFonts w:hint="eastAsia" w:ascii="仿宋" w:hAnsi="仿宋" w:eastAsia="仿宋" w:cs="仿宋"/>
          <w:color w:val="000000"/>
          <w:sz w:val="24"/>
          <w:szCs w:val="24"/>
        </w:rPr>
        <w:t>6.1 生效</w:t>
      </w:r>
    </w:p>
    <w:p w14:paraId="0DACABC6">
      <w:pPr>
        <w:adjustRightInd w:val="0"/>
        <w:snapToGrid w:val="0"/>
        <w:spacing w:beforeLines="0" w:afterLines="0"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本合同生效条件：</w:t>
      </w:r>
      <w:r>
        <w:rPr>
          <w:rFonts w:hint="eastAsia" w:ascii="仿宋" w:hAnsi="仿宋" w:eastAsia="仿宋" w:cs="仿宋"/>
          <w:color w:val="000000"/>
          <w:sz w:val="24"/>
          <w:szCs w:val="24"/>
          <w:u w:val="single"/>
        </w:rPr>
        <w:t xml:space="preserve"> 甲乙双方法定代表人（负责人）或授权代理人签字并加盖公章之日起生效 </w:t>
      </w:r>
      <w:r>
        <w:rPr>
          <w:rFonts w:hint="eastAsia" w:ascii="仿宋" w:hAnsi="仿宋" w:eastAsia="仿宋" w:cs="仿宋"/>
          <w:color w:val="000000"/>
          <w:sz w:val="24"/>
          <w:szCs w:val="24"/>
        </w:rPr>
        <w:t>。</w:t>
      </w:r>
    </w:p>
    <w:p w14:paraId="416A0B09">
      <w:pPr>
        <w:adjustRightInd w:val="0"/>
        <w:snapToGrid w:val="0"/>
        <w:spacing w:beforeLines="0" w:afterLines="0" w:line="360" w:lineRule="auto"/>
        <w:ind w:firstLine="235" w:firstLineChars="98"/>
        <w:rPr>
          <w:rFonts w:hint="eastAsia" w:ascii="仿宋" w:hAnsi="仿宋" w:eastAsia="仿宋" w:cs="仿宋"/>
          <w:color w:val="000000"/>
          <w:sz w:val="24"/>
          <w:szCs w:val="24"/>
        </w:rPr>
      </w:pPr>
      <w:r>
        <w:rPr>
          <w:rFonts w:hint="eastAsia" w:ascii="仿宋" w:hAnsi="仿宋" w:eastAsia="仿宋" w:cs="仿宋"/>
          <w:color w:val="000000"/>
          <w:sz w:val="24"/>
          <w:szCs w:val="24"/>
        </w:rPr>
        <w:t>6.2 变更</w:t>
      </w:r>
    </w:p>
    <w:p w14:paraId="04A155A7">
      <w:pPr>
        <w:adjustRightInd w:val="0"/>
        <w:snapToGrid w:val="0"/>
        <w:spacing w:beforeLines="0" w:afterLines="0"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6.2.2 除不可抗力外， 因非监理人原因导致本合同期限延长时，附加工作酬金按下列方法确定：</w:t>
      </w:r>
      <w:r>
        <w:rPr>
          <w:rFonts w:hint="eastAsia" w:ascii="仿宋" w:hAnsi="仿宋" w:eastAsia="仿宋" w:cs="仿宋"/>
          <w:color w:val="000000"/>
          <w:sz w:val="24"/>
          <w:szCs w:val="24"/>
          <w:u w:val="single"/>
        </w:rPr>
        <w:t>无。</w:t>
      </w:r>
    </w:p>
    <w:p w14:paraId="06B9C42B">
      <w:pPr>
        <w:adjustRightInd w:val="0"/>
        <w:snapToGrid w:val="0"/>
        <w:spacing w:beforeLines="0" w:afterLines="0"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6.2.3附加工作酬金按下列方法确定：</w:t>
      </w:r>
      <w:r>
        <w:rPr>
          <w:rFonts w:hint="eastAsia" w:ascii="仿宋" w:hAnsi="仿宋" w:eastAsia="仿宋" w:cs="仿宋"/>
          <w:color w:val="000000"/>
          <w:sz w:val="24"/>
          <w:szCs w:val="24"/>
          <w:u w:val="single"/>
        </w:rPr>
        <w:t>无。</w:t>
      </w:r>
    </w:p>
    <w:p w14:paraId="584725B7">
      <w:pPr>
        <w:adjustRightInd w:val="0"/>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6.2.5 正常工作酬金增加额按下列方法确定： </w:t>
      </w:r>
    </w:p>
    <w:p w14:paraId="4CD0CD14">
      <w:pPr>
        <w:adjustRightInd w:val="0"/>
        <w:snapToGrid w:val="0"/>
        <w:spacing w:beforeLines="0" w:afterLines="0" w:line="360" w:lineRule="auto"/>
        <w:ind w:firstLine="480"/>
        <w:rPr>
          <w:rFonts w:hint="eastAsia" w:ascii="仿宋" w:hAnsi="仿宋" w:eastAsia="仿宋" w:cs="仿宋"/>
          <w:color w:val="000000"/>
          <w:kern w:val="0"/>
          <w:sz w:val="24"/>
          <w:szCs w:val="24"/>
        </w:rPr>
      </w:pPr>
      <w:r>
        <w:rPr>
          <w:rFonts w:hint="eastAsia" w:ascii="仿宋" w:hAnsi="仿宋" w:eastAsia="仿宋" w:cs="仿宋"/>
          <w:color w:val="000000"/>
          <w:sz w:val="24"/>
          <w:szCs w:val="24"/>
        </w:rPr>
        <w:t>正常工作酬金增加额</w:t>
      </w:r>
      <w:r>
        <w:rPr>
          <w:rFonts w:hint="eastAsia" w:ascii="仿宋" w:hAnsi="仿宋" w:eastAsia="仿宋" w:cs="仿宋"/>
          <w:color w:val="000000"/>
          <w:kern w:val="0"/>
          <w:sz w:val="24"/>
          <w:szCs w:val="24"/>
        </w:rPr>
        <w:t>=工程投资额</w:t>
      </w:r>
      <w:r>
        <w:rPr>
          <w:rFonts w:hint="eastAsia" w:ascii="仿宋" w:hAnsi="仿宋" w:eastAsia="仿宋" w:cs="仿宋"/>
          <w:color w:val="000000"/>
          <w:sz w:val="24"/>
          <w:szCs w:val="24"/>
        </w:rPr>
        <w:t>或建筑安装工程费</w:t>
      </w:r>
      <w:r>
        <w:rPr>
          <w:rFonts w:hint="eastAsia" w:ascii="仿宋" w:hAnsi="仿宋" w:eastAsia="仿宋" w:cs="仿宋"/>
          <w:color w:val="000000"/>
          <w:kern w:val="0"/>
          <w:sz w:val="24"/>
          <w:szCs w:val="24"/>
        </w:rPr>
        <w:t>增加额×正常工作酬金÷工程概算投资额（或建筑安装工程费）</w:t>
      </w:r>
    </w:p>
    <w:p w14:paraId="4F3CE133">
      <w:pPr>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6.2.6 因工程规模、监理范围的变化导致监理人的正常工作量减少时，按减少工作量的比例从协议书约定的正常工作酬金中扣减相同比例的酬金。</w:t>
      </w:r>
    </w:p>
    <w:p w14:paraId="10583092">
      <w:pPr>
        <w:snapToGrid w:val="0"/>
        <w:spacing w:beforeLines="0" w:afterLines="0" w:line="360" w:lineRule="auto"/>
        <w:rPr>
          <w:rFonts w:hint="eastAsia" w:ascii="仿宋" w:hAnsi="仿宋" w:eastAsia="仿宋" w:cs="仿宋"/>
          <w:b/>
          <w:color w:val="000000"/>
          <w:sz w:val="24"/>
          <w:szCs w:val="24"/>
        </w:rPr>
      </w:pPr>
      <w:r>
        <w:rPr>
          <w:rFonts w:hint="eastAsia" w:ascii="仿宋" w:hAnsi="仿宋" w:eastAsia="仿宋" w:cs="仿宋"/>
          <w:b/>
          <w:bCs/>
          <w:color w:val="000000"/>
          <w:sz w:val="24"/>
          <w:szCs w:val="24"/>
        </w:rPr>
        <w:t>7. 争议解决</w:t>
      </w:r>
    </w:p>
    <w:p w14:paraId="34295BD4">
      <w:pPr>
        <w:snapToGrid w:val="0"/>
        <w:spacing w:beforeLines="0" w:afterLines="0" w:line="360" w:lineRule="auto"/>
        <w:ind w:firstLine="235" w:firstLineChars="98"/>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 </w:t>
      </w:r>
      <w:r>
        <w:rPr>
          <w:rFonts w:hint="eastAsia" w:ascii="仿宋" w:hAnsi="仿宋" w:eastAsia="仿宋" w:cs="仿宋"/>
          <w:bCs/>
          <w:color w:val="000000"/>
          <w:sz w:val="24"/>
          <w:szCs w:val="24"/>
        </w:rPr>
        <w:t>调解</w:t>
      </w:r>
    </w:p>
    <w:p w14:paraId="6A8803ED">
      <w:pPr>
        <w:snapToGrid w:val="0"/>
        <w:spacing w:beforeLines="0" w:afterLines="0" w:line="360" w:lineRule="auto"/>
        <w:ind w:firstLine="470" w:firstLineChars="196"/>
        <w:rPr>
          <w:rFonts w:hint="eastAsia" w:ascii="仿宋" w:hAnsi="仿宋" w:eastAsia="仿宋" w:cs="仿宋"/>
          <w:color w:val="000000"/>
          <w:sz w:val="24"/>
          <w:szCs w:val="24"/>
        </w:rPr>
      </w:pPr>
      <w:r>
        <w:rPr>
          <w:rFonts w:hint="eastAsia" w:ascii="仿宋" w:hAnsi="仿宋" w:eastAsia="仿宋" w:cs="仿宋"/>
          <w:color w:val="000000"/>
          <w:sz w:val="24"/>
          <w:szCs w:val="24"/>
        </w:rPr>
        <w:t>本合同争议进行调解时，可提交</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进行调解。</w:t>
      </w:r>
    </w:p>
    <w:p w14:paraId="616C808B">
      <w:pPr>
        <w:snapToGrid w:val="0"/>
        <w:spacing w:beforeLines="0" w:afterLines="0" w:line="360" w:lineRule="auto"/>
        <w:ind w:firstLine="235" w:firstLineChars="98"/>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 </w:t>
      </w:r>
      <w:r>
        <w:rPr>
          <w:rFonts w:hint="eastAsia" w:ascii="仿宋" w:hAnsi="仿宋" w:eastAsia="仿宋" w:cs="仿宋"/>
          <w:bCs/>
          <w:color w:val="000000"/>
          <w:sz w:val="24"/>
          <w:szCs w:val="24"/>
        </w:rPr>
        <w:t>仲裁或诉讼</w:t>
      </w:r>
    </w:p>
    <w:p w14:paraId="0D638F96">
      <w:pPr>
        <w:adjustRightInd w:val="0"/>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合同争议的最终解决方式为下列第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w:t>
      </w:r>
    </w:p>
    <w:p w14:paraId="1B25DCE6">
      <w:pPr>
        <w:adjustRightInd w:val="0"/>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（1）提请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仲裁委员会进行仲裁。</w:t>
      </w:r>
    </w:p>
    <w:p w14:paraId="01B62BD2">
      <w:pPr>
        <w:adjustRightInd w:val="0"/>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（2）向</w:t>
      </w:r>
      <w:r>
        <w:rPr>
          <w:rFonts w:hint="eastAsia" w:ascii="仿宋" w:hAnsi="仿宋" w:eastAsia="仿宋" w:cs="仿宋"/>
          <w:color w:val="000000"/>
          <w:sz w:val="24"/>
          <w:szCs w:val="24"/>
          <w:u w:val="single"/>
        </w:rPr>
        <w:t xml:space="preserve">     合同签订地有管辖权的  </w:t>
      </w:r>
      <w:r>
        <w:rPr>
          <w:rFonts w:hint="eastAsia" w:ascii="仿宋" w:hAnsi="仿宋" w:eastAsia="仿宋" w:cs="仿宋"/>
          <w:color w:val="000000"/>
          <w:sz w:val="24"/>
          <w:szCs w:val="24"/>
        </w:rPr>
        <w:t>人民法院提起诉讼。</w:t>
      </w:r>
    </w:p>
    <w:p w14:paraId="358ED91A">
      <w:pPr>
        <w:adjustRightInd w:val="0"/>
        <w:snapToGrid w:val="0"/>
        <w:spacing w:beforeLines="0" w:afterLines="0"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 其他</w:t>
      </w:r>
    </w:p>
    <w:p w14:paraId="14FCE25F">
      <w:pPr>
        <w:adjustRightInd w:val="0"/>
        <w:snapToGrid w:val="0"/>
        <w:spacing w:beforeLines="0" w:afterLines="0" w:line="360" w:lineRule="auto"/>
        <w:rPr>
          <w:rFonts w:hint="eastAsia" w:ascii="仿宋" w:hAnsi="仿宋" w:eastAsia="仿宋" w:cs="仿宋"/>
          <w:bCs/>
          <w:color w:val="000000"/>
          <w:sz w:val="24"/>
          <w:szCs w:val="24"/>
        </w:rPr>
      </w:pPr>
      <w:r>
        <w:rPr>
          <w:rFonts w:hint="eastAsia" w:ascii="仿宋" w:hAnsi="仿宋" w:eastAsia="仿宋" w:cs="仿宋"/>
          <w:b/>
          <w:bCs/>
          <w:color w:val="000000"/>
          <w:sz w:val="24"/>
          <w:szCs w:val="24"/>
        </w:rPr>
        <w:t xml:space="preserve">  </w:t>
      </w:r>
      <w:r>
        <w:rPr>
          <w:rFonts w:hint="eastAsia" w:ascii="仿宋" w:hAnsi="仿宋" w:eastAsia="仿宋" w:cs="仿宋"/>
          <w:bCs/>
          <w:color w:val="000000"/>
          <w:sz w:val="24"/>
          <w:szCs w:val="24"/>
        </w:rPr>
        <w:t>8.2 检测费用</w:t>
      </w:r>
    </w:p>
    <w:p w14:paraId="5694070E">
      <w:pPr>
        <w:adjustRightInd w:val="0"/>
        <w:snapToGrid w:val="0"/>
        <w:spacing w:beforeLines="0" w:afterLines="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委托人应在检测工作完成后</w:t>
      </w:r>
      <w:r>
        <w:rPr>
          <w:rFonts w:hint="eastAsia" w:ascii="仿宋" w:hAnsi="仿宋" w:eastAsia="仿宋" w:cs="仿宋"/>
          <w:color w:val="000000"/>
          <w:sz w:val="24"/>
          <w:szCs w:val="24"/>
          <w:u w:val="single"/>
        </w:rPr>
        <w:t xml:space="preserve">     </w:t>
      </w:r>
      <w:r>
        <w:rPr>
          <w:rFonts w:hint="eastAsia" w:ascii="仿宋" w:hAnsi="仿宋" w:eastAsia="仿宋" w:cs="仿宋"/>
          <w:bCs/>
          <w:color w:val="000000"/>
          <w:sz w:val="24"/>
          <w:szCs w:val="24"/>
        </w:rPr>
        <w:t>天内支付检测费用。</w:t>
      </w:r>
    </w:p>
    <w:p w14:paraId="7E62FA7E">
      <w:pPr>
        <w:adjustRightInd w:val="0"/>
        <w:snapToGrid w:val="0"/>
        <w:spacing w:beforeLines="0" w:afterLines="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8.3 咨询费用</w:t>
      </w:r>
    </w:p>
    <w:p w14:paraId="05FB84EC">
      <w:pPr>
        <w:adjustRightInd w:val="0"/>
        <w:snapToGrid w:val="0"/>
        <w:spacing w:beforeLines="0" w:afterLines="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委托人应在咨询工作完成后</w:t>
      </w:r>
      <w:r>
        <w:rPr>
          <w:rFonts w:hint="eastAsia" w:ascii="仿宋" w:hAnsi="仿宋" w:eastAsia="仿宋" w:cs="仿宋"/>
          <w:color w:val="000000"/>
          <w:sz w:val="24"/>
          <w:szCs w:val="24"/>
          <w:u w:val="single"/>
        </w:rPr>
        <w:t xml:space="preserve">   /  </w:t>
      </w:r>
      <w:r>
        <w:rPr>
          <w:rFonts w:hint="eastAsia" w:ascii="仿宋" w:hAnsi="仿宋" w:eastAsia="仿宋" w:cs="仿宋"/>
          <w:bCs/>
          <w:color w:val="000000"/>
          <w:sz w:val="24"/>
          <w:szCs w:val="24"/>
        </w:rPr>
        <w:t>天内支付咨询费用。</w:t>
      </w:r>
    </w:p>
    <w:p w14:paraId="11F538B0">
      <w:pPr>
        <w:snapToGrid w:val="0"/>
        <w:spacing w:beforeLines="0" w:afterLines="0" w:line="360" w:lineRule="auto"/>
        <w:ind w:firstLine="235" w:firstLineChars="98"/>
        <w:rPr>
          <w:rFonts w:hint="eastAsia" w:ascii="仿宋" w:hAnsi="仿宋" w:eastAsia="仿宋" w:cs="仿宋"/>
          <w:color w:val="000000"/>
          <w:sz w:val="24"/>
          <w:szCs w:val="24"/>
        </w:rPr>
      </w:pPr>
      <w:r>
        <w:rPr>
          <w:rFonts w:hint="eastAsia" w:ascii="仿宋" w:hAnsi="仿宋" w:eastAsia="仿宋" w:cs="仿宋"/>
          <w:color w:val="000000"/>
          <w:sz w:val="24"/>
          <w:szCs w:val="24"/>
        </w:rPr>
        <w:t>8.4 奖励</w:t>
      </w:r>
    </w:p>
    <w:p w14:paraId="507B7BD0">
      <w:pPr>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合理化建议的奖励金额按下列方法确定为：</w:t>
      </w:r>
    </w:p>
    <w:p w14:paraId="6F17521F">
      <w:pPr>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奖励金额＝工程投资节省额×奖励金额的比率；</w:t>
      </w:r>
    </w:p>
    <w:p w14:paraId="6C05BB31">
      <w:pPr>
        <w:snapToGrid w:val="0"/>
        <w:spacing w:beforeLines="0" w:afterLines="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奖励金额的比率为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824EC4C">
      <w:pPr>
        <w:adjustRightInd w:val="0"/>
        <w:snapToGrid w:val="0"/>
        <w:spacing w:beforeLines="0" w:afterLines="0" w:line="360" w:lineRule="auto"/>
        <w:ind w:firstLine="235" w:firstLineChars="98"/>
        <w:rPr>
          <w:rFonts w:hint="eastAsia" w:ascii="仿宋" w:hAnsi="仿宋" w:eastAsia="仿宋" w:cs="仿宋"/>
          <w:color w:val="000000"/>
          <w:sz w:val="24"/>
          <w:szCs w:val="24"/>
        </w:rPr>
      </w:pPr>
      <w:r>
        <w:rPr>
          <w:rFonts w:hint="eastAsia" w:ascii="仿宋" w:hAnsi="仿宋" w:eastAsia="仿宋" w:cs="仿宋"/>
          <w:color w:val="000000"/>
          <w:sz w:val="24"/>
          <w:szCs w:val="24"/>
        </w:rPr>
        <w:t>8.6 保密</w:t>
      </w:r>
    </w:p>
    <w:p w14:paraId="4B5A485F">
      <w:pPr>
        <w:adjustRightInd w:val="0"/>
        <w:snapToGrid w:val="0"/>
        <w:spacing w:beforeLines="0" w:afterLines="0"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委托人申明的保密事项和期限：</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42200DA1">
      <w:pPr>
        <w:adjustRightInd w:val="0"/>
        <w:snapToGrid w:val="0"/>
        <w:spacing w:beforeLines="0" w:afterLines="0"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监理人申明的保密事项和期限：</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15FBAE1E">
      <w:pPr>
        <w:adjustRightInd w:val="0"/>
        <w:snapToGrid w:val="0"/>
        <w:spacing w:beforeLines="0" w:afterLines="0"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第三方申明的保密事项和期限：</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1FBC5E1E">
      <w:pPr>
        <w:snapToGrid w:val="0"/>
        <w:spacing w:beforeLines="0" w:afterLines="0" w:line="360" w:lineRule="auto"/>
        <w:ind w:firstLine="235" w:firstLineChars="98"/>
        <w:rPr>
          <w:rFonts w:hint="eastAsia" w:ascii="仿宋" w:hAnsi="仿宋" w:eastAsia="仿宋" w:cs="仿宋"/>
          <w:bCs/>
          <w:color w:val="000000"/>
          <w:sz w:val="24"/>
          <w:szCs w:val="24"/>
        </w:rPr>
      </w:pPr>
      <w:r>
        <w:rPr>
          <w:rFonts w:hint="eastAsia" w:ascii="仿宋" w:hAnsi="仿宋" w:eastAsia="仿宋" w:cs="仿宋"/>
          <w:color w:val="000000"/>
          <w:sz w:val="24"/>
          <w:szCs w:val="24"/>
        </w:rPr>
        <w:t>8.8</w:t>
      </w:r>
      <w:r>
        <w:rPr>
          <w:rFonts w:hint="eastAsia" w:ascii="仿宋" w:hAnsi="仿宋" w:eastAsia="仿宋" w:cs="仿宋"/>
          <w:bCs/>
          <w:color w:val="000000"/>
          <w:sz w:val="24"/>
          <w:szCs w:val="24"/>
        </w:rPr>
        <w:t>著作权</w:t>
      </w:r>
    </w:p>
    <w:p w14:paraId="71C4D6FB">
      <w:pPr>
        <w:snapToGrid w:val="0"/>
        <w:spacing w:beforeLines="0" w:afterLines="0"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监理人在本合同履行期间及本合同终止后两年内出版涉及本工程的有关监理与相关服务的资料的限制条件：</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1A9ADE65">
      <w:pPr>
        <w:adjustRightInd w:val="0"/>
        <w:snapToGrid w:val="0"/>
        <w:spacing w:before="0" w:beforeLines="0" w:after="0" w:afterLines="0" w:line="360" w:lineRule="auto"/>
        <w:ind w:firstLine="240" w:firstLineChars="100"/>
        <w:rPr>
          <w:rFonts w:hint="eastAsia" w:ascii="仿宋" w:hAnsi="仿宋" w:eastAsia="仿宋" w:cs="仿宋"/>
          <w:color w:val="000000"/>
          <w:sz w:val="24"/>
          <w:szCs w:val="24"/>
        </w:rPr>
      </w:pPr>
      <w:r>
        <w:rPr>
          <w:rFonts w:hint="eastAsia" w:ascii="仿宋" w:hAnsi="仿宋" w:eastAsia="仿宋" w:cs="仿宋"/>
          <w:color w:val="000000"/>
          <w:sz w:val="24"/>
          <w:szCs w:val="24"/>
        </w:rPr>
        <w:t>9. 补充条款</w:t>
      </w:r>
    </w:p>
    <w:p w14:paraId="5328DBF7">
      <w:pPr>
        <w:spacing w:line="360" w:lineRule="auto"/>
        <w:jc w:val="both"/>
        <w:rPr>
          <w:rStyle w:val="31"/>
          <w:rFonts w:hint="eastAsia" w:ascii="仿宋" w:hAnsi="仿宋" w:eastAsia="仿宋" w:cs="仿宋"/>
          <w:b/>
          <w:szCs w:val="28"/>
        </w:rPr>
      </w:pPr>
    </w:p>
    <w:p w14:paraId="5D24CA84">
      <w:pPr>
        <w:spacing w:line="360" w:lineRule="auto"/>
        <w:jc w:val="center"/>
        <w:rPr>
          <w:rStyle w:val="31"/>
          <w:rFonts w:hint="eastAsia" w:ascii="仿宋" w:hAnsi="仿宋" w:eastAsia="仿宋" w:cs="仿宋"/>
          <w:b/>
          <w:szCs w:val="28"/>
        </w:rPr>
      </w:pPr>
    </w:p>
    <w:p w14:paraId="63721C49">
      <w:pPr>
        <w:spacing w:line="360" w:lineRule="auto"/>
        <w:jc w:val="center"/>
        <w:rPr>
          <w:rStyle w:val="31"/>
          <w:rFonts w:hint="eastAsia" w:ascii="仿宋" w:hAnsi="仿宋" w:eastAsia="仿宋" w:cs="仿宋"/>
          <w:b/>
          <w:szCs w:val="28"/>
        </w:rPr>
      </w:pPr>
    </w:p>
    <w:p w14:paraId="55A2EFAB">
      <w:pPr>
        <w:spacing w:line="360" w:lineRule="auto"/>
        <w:jc w:val="center"/>
        <w:rPr>
          <w:rStyle w:val="31"/>
          <w:rFonts w:hint="eastAsia" w:ascii="仿宋" w:hAnsi="仿宋" w:eastAsia="仿宋" w:cs="仿宋"/>
          <w:b/>
          <w:szCs w:val="28"/>
        </w:rPr>
      </w:pPr>
    </w:p>
    <w:p w14:paraId="4137C3DC">
      <w:pPr>
        <w:spacing w:line="360" w:lineRule="auto"/>
        <w:jc w:val="center"/>
        <w:rPr>
          <w:rStyle w:val="31"/>
          <w:rFonts w:hint="eastAsia" w:ascii="仿宋" w:hAnsi="仿宋" w:eastAsia="仿宋" w:cs="仿宋"/>
          <w:b/>
          <w:szCs w:val="28"/>
        </w:rPr>
      </w:pPr>
    </w:p>
    <w:p w14:paraId="18504F82">
      <w:pPr>
        <w:spacing w:line="360" w:lineRule="auto"/>
        <w:jc w:val="center"/>
        <w:rPr>
          <w:rStyle w:val="31"/>
          <w:rFonts w:hint="eastAsia" w:ascii="仿宋" w:hAnsi="仿宋" w:eastAsia="仿宋" w:cs="仿宋"/>
          <w:b/>
          <w:szCs w:val="28"/>
        </w:rPr>
      </w:pPr>
    </w:p>
    <w:p w14:paraId="0DF9779A">
      <w:pPr>
        <w:rPr>
          <w:rStyle w:val="31"/>
          <w:rFonts w:hint="eastAsia" w:ascii="仿宋" w:hAnsi="仿宋" w:eastAsia="仿宋" w:cs="仿宋"/>
          <w:b/>
          <w:szCs w:val="28"/>
        </w:rPr>
      </w:pPr>
      <w:r>
        <w:rPr>
          <w:rStyle w:val="31"/>
          <w:rFonts w:hint="eastAsia" w:ascii="仿宋" w:hAnsi="仿宋" w:eastAsia="仿宋" w:cs="仿宋"/>
          <w:b/>
          <w:szCs w:val="28"/>
        </w:rPr>
        <w:br w:type="page"/>
      </w:r>
    </w:p>
    <w:p w14:paraId="609690EB">
      <w:pPr>
        <w:spacing w:line="360" w:lineRule="auto"/>
        <w:ind w:firstLine="643" w:firstLineChars="200"/>
        <w:jc w:val="center"/>
        <w:outlineLvl w:val="0"/>
        <w:rPr>
          <w:rStyle w:val="31"/>
          <w:rFonts w:hint="eastAsia" w:ascii="仿宋" w:hAnsi="仿宋" w:eastAsia="仿宋" w:cs="仿宋"/>
          <w:b/>
          <w:sz w:val="32"/>
          <w:szCs w:val="32"/>
        </w:rPr>
      </w:pPr>
      <w:bookmarkStart w:id="24" w:name="_Toc21493"/>
      <w:r>
        <w:rPr>
          <w:rStyle w:val="31"/>
          <w:rFonts w:hint="eastAsia" w:ascii="仿宋" w:hAnsi="仿宋" w:eastAsia="仿宋" w:cs="仿宋"/>
          <w:b/>
          <w:sz w:val="32"/>
          <w:szCs w:val="32"/>
        </w:rPr>
        <w:t>第</w:t>
      </w:r>
      <w:r>
        <w:rPr>
          <w:rStyle w:val="31"/>
          <w:rFonts w:hint="eastAsia" w:ascii="仿宋" w:hAnsi="仿宋" w:eastAsia="仿宋" w:cs="仿宋"/>
          <w:b/>
          <w:sz w:val="32"/>
          <w:szCs w:val="32"/>
          <w:lang w:val="en-US" w:eastAsia="zh-CN"/>
        </w:rPr>
        <w:t>五</w:t>
      </w:r>
      <w:r>
        <w:rPr>
          <w:rStyle w:val="31"/>
          <w:rFonts w:hint="eastAsia" w:ascii="仿宋" w:hAnsi="仿宋" w:eastAsia="仿宋" w:cs="仿宋"/>
          <w:b/>
          <w:sz w:val="32"/>
          <w:szCs w:val="32"/>
        </w:rPr>
        <w:t>部分 响应文件格式及附件</w:t>
      </w:r>
      <w:bookmarkEnd w:id="24"/>
    </w:p>
    <w:p w14:paraId="761E5BD4">
      <w:pPr>
        <w:autoSpaceDE w:val="0"/>
        <w:autoSpaceDN w:val="0"/>
        <w:spacing w:before="197"/>
        <w:ind w:right="891"/>
        <w:jc w:val="center"/>
        <w:outlineLvl w:val="9"/>
        <w:rPr>
          <w:rFonts w:hint="eastAsia" w:ascii="仿宋" w:hAnsi="仿宋" w:eastAsia="仿宋" w:cs="仿宋"/>
          <w:kern w:val="0"/>
          <w:sz w:val="28"/>
          <w:szCs w:val="28"/>
          <w:highlight w:val="none"/>
        </w:rPr>
      </w:pPr>
      <w:r>
        <w:rPr>
          <w:rFonts w:hint="eastAsia" w:ascii="仿宋" w:hAnsi="仿宋" w:eastAsia="仿宋" w:cs="仿宋"/>
          <w:spacing w:val="13"/>
          <w:kern w:val="0"/>
          <w:sz w:val="28"/>
          <w:szCs w:val="28"/>
          <w:highlight w:val="none"/>
        </w:rPr>
        <w:t>一</w:t>
      </w:r>
      <w:r>
        <w:rPr>
          <w:rFonts w:hint="eastAsia" w:ascii="仿宋" w:hAnsi="仿宋" w:eastAsia="仿宋" w:cs="仿宋"/>
          <w:spacing w:val="13"/>
          <w:kern w:val="0"/>
          <w:sz w:val="28"/>
          <w:szCs w:val="28"/>
          <w:highlight w:val="none"/>
          <w:lang w:eastAsia="zh-CN"/>
        </w:rPr>
        <w:t>、</w:t>
      </w:r>
      <w:r>
        <w:rPr>
          <w:rFonts w:hint="eastAsia" w:ascii="仿宋" w:hAnsi="仿宋" w:eastAsia="仿宋" w:cs="仿宋"/>
          <w:spacing w:val="13"/>
          <w:kern w:val="0"/>
          <w:sz w:val="28"/>
          <w:szCs w:val="28"/>
          <w:highlight w:val="none"/>
        </w:rPr>
        <w:t>商务部分</w:t>
      </w:r>
    </w:p>
    <w:p w14:paraId="54AA4171">
      <w:pPr>
        <w:autoSpaceDE w:val="0"/>
        <w:autoSpaceDN w:val="0"/>
        <w:spacing w:before="1"/>
        <w:jc w:val="left"/>
        <w:rPr>
          <w:rFonts w:hint="eastAsia" w:ascii="仿宋" w:hAnsi="仿宋" w:eastAsia="仿宋" w:cs="仿宋"/>
          <w:kern w:val="0"/>
          <w:sz w:val="28"/>
          <w:szCs w:val="28"/>
          <w:highlight w:val="none"/>
        </w:rPr>
      </w:pPr>
    </w:p>
    <w:p w14:paraId="42254136">
      <w:pPr>
        <w:keepNext w:val="0"/>
        <w:keepLines w:val="0"/>
        <w:pageBreakBefore w:val="0"/>
        <w:widowControl w:val="0"/>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、磋商响应声明</w:t>
      </w:r>
    </w:p>
    <w:p w14:paraId="0A7CA621">
      <w:pPr>
        <w:keepNext w:val="0"/>
        <w:keepLines w:val="0"/>
        <w:pageBreakBefore w:val="0"/>
        <w:widowControl w:val="0"/>
        <w:tabs>
          <w:tab w:val="left" w:pos="2253"/>
        </w:tabs>
        <w:kinsoku/>
        <w:wordWrap/>
        <w:overflowPunct/>
        <w:topLinePunct w:val="0"/>
        <w:autoSpaceDE w:val="0"/>
        <w:autoSpaceDN w:val="0"/>
        <w:bidi w:val="0"/>
        <w:adjustRightInd/>
        <w:snapToGrid w:val="0"/>
        <w:spacing w:line="360" w:lineRule="auto"/>
        <w:ind w:right="0"/>
        <w:jc w:val="left"/>
        <w:textAlignment w:val="auto"/>
        <w:rPr>
          <w:rFonts w:hint="eastAsia" w:ascii="仿宋" w:hAnsi="仿宋" w:eastAsia="仿宋" w:cs="仿宋"/>
          <w:spacing w:val="-57"/>
          <w:kern w:val="0"/>
          <w:sz w:val="24"/>
          <w:szCs w:val="24"/>
          <w:highlight w:val="none"/>
        </w:rPr>
      </w:pPr>
      <w:r>
        <w:rPr>
          <w:rFonts w:hint="eastAsia" w:ascii="仿宋" w:hAnsi="仿宋" w:eastAsia="仿宋" w:cs="仿宋"/>
          <w:kern w:val="0"/>
          <w:sz w:val="24"/>
          <w:szCs w:val="24"/>
          <w:highlight w:val="none"/>
        </w:rPr>
        <w:t>附件</w:t>
      </w:r>
      <w:r>
        <w:rPr>
          <w:rFonts w:hint="eastAsia" w:ascii="仿宋" w:hAnsi="仿宋" w:eastAsia="仿宋" w:cs="仿宋"/>
          <w:spacing w:val="-61"/>
          <w:kern w:val="0"/>
          <w:sz w:val="24"/>
          <w:szCs w:val="24"/>
          <w:highlight w:val="none"/>
        </w:rPr>
        <w:t xml:space="preserve"> </w:t>
      </w:r>
      <w:r>
        <w:rPr>
          <w:rFonts w:hint="eastAsia" w:ascii="仿宋" w:hAnsi="仿宋" w:eastAsia="仿宋" w:cs="仿宋"/>
          <w:kern w:val="0"/>
          <w:sz w:val="24"/>
          <w:szCs w:val="24"/>
          <w:highlight w:val="none"/>
        </w:rPr>
        <w:t>1－1</w:t>
      </w:r>
      <w:r>
        <w:rPr>
          <w:rFonts w:hint="eastAsia" w:ascii="仿宋" w:hAnsi="仿宋" w:eastAsia="仿宋" w:cs="仿宋"/>
          <w:spacing w:val="-1"/>
          <w:kern w:val="0"/>
          <w:sz w:val="24"/>
          <w:szCs w:val="24"/>
          <w:highlight w:val="none"/>
        </w:rPr>
        <w:t>法定</w:t>
      </w:r>
      <w:r>
        <w:rPr>
          <w:rFonts w:hint="eastAsia" w:ascii="仿宋" w:hAnsi="仿宋" w:eastAsia="仿宋" w:cs="仿宋"/>
          <w:kern w:val="0"/>
          <w:sz w:val="24"/>
          <w:szCs w:val="24"/>
          <w:highlight w:val="none"/>
        </w:rPr>
        <w:t>代表人身份证明</w:t>
      </w:r>
      <w:r>
        <w:rPr>
          <w:rFonts w:hint="eastAsia" w:ascii="仿宋" w:hAnsi="仿宋" w:eastAsia="仿宋" w:cs="仿宋"/>
          <w:kern w:val="0"/>
          <w:sz w:val="24"/>
          <w:szCs w:val="24"/>
          <w:highlight w:val="none"/>
          <w:lang w:eastAsia="zh-CN"/>
        </w:rPr>
        <w:t>扫描件</w:t>
      </w:r>
      <w:r>
        <w:rPr>
          <w:rFonts w:hint="eastAsia" w:ascii="仿宋" w:hAnsi="仿宋" w:eastAsia="仿宋" w:cs="仿宋"/>
          <w:kern w:val="0"/>
          <w:sz w:val="24"/>
          <w:szCs w:val="24"/>
          <w:highlight w:val="none"/>
        </w:rPr>
        <w:t>(法定代表人参加磋商)</w:t>
      </w:r>
      <w:r>
        <w:rPr>
          <w:rFonts w:hint="eastAsia" w:ascii="仿宋" w:hAnsi="仿宋" w:eastAsia="仿宋" w:cs="仿宋"/>
          <w:spacing w:val="-57"/>
          <w:kern w:val="0"/>
          <w:sz w:val="24"/>
          <w:szCs w:val="24"/>
          <w:highlight w:val="none"/>
        </w:rPr>
        <w:t xml:space="preserve"> </w:t>
      </w:r>
    </w:p>
    <w:p w14:paraId="250E032A">
      <w:pPr>
        <w:keepNext w:val="0"/>
        <w:keepLines w:val="0"/>
        <w:pageBreakBefore w:val="0"/>
        <w:widowControl w:val="0"/>
        <w:tabs>
          <w:tab w:val="left" w:pos="2253"/>
        </w:tabs>
        <w:kinsoku/>
        <w:wordWrap/>
        <w:overflowPunct/>
        <w:topLinePunct w:val="0"/>
        <w:autoSpaceDE w:val="0"/>
        <w:autoSpaceDN w:val="0"/>
        <w:bidi w:val="0"/>
        <w:adjustRightInd/>
        <w:snapToGrid w:val="0"/>
        <w:spacing w:line="360" w:lineRule="auto"/>
        <w:ind w:right="3251"/>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附件</w:t>
      </w:r>
      <w:r>
        <w:rPr>
          <w:rFonts w:hint="eastAsia" w:ascii="仿宋" w:hAnsi="仿宋" w:eastAsia="仿宋" w:cs="仿宋"/>
          <w:spacing w:val="-61"/>
          <w:kern w:val="0"/>
          <w:sz w:val="24"/>
          <w:szCs w:val="24"/>
          <w:highlight w:val="none"/>
        </w:rPr>
        <w:t xml:space="preserve"> </w:t>
      </w:r>
      <w:r>
        <w:rPr>
          <w:rFonts w:hint="eastAsia" w:ascii="仿宋" w:hAnsi="仿宋" w:eastAsia="仿宋" w:cs="仿宋"/>
          <w:kern w:val="0"/>
          <w:sz w:val="24"/>
          <w:szCs w:val="24"/>
          <w:highlight w:val="none"/>
        </w:rPr>
        <w:t>1－2法定代表人授权书(授权代表参加磋商)</w:t>
      </w:r>
    </w:p>
    <w:p w14:paraId="09B2833A">
      <w:pPr>
        <w:keepNext w:val="0"/>
        <w:keepLines w:val="0"/>
        <w:pageBreakBefore w:val="0"/>
        <w:widowControl w:val="0"/>
        <w:tabs>
          <w:tab w:val="left" w:pos="2253"/>
        </w:tabs>
        <w:kinsoku/>
        <w:wordWrap/>
        <w:overflowPunct/>
        <w:topLinePunct w:val="0"/>
        <w:autoSpaceDE w:val="0"/>
        <w:autoSpaceDN w:val="0"/>
        <w:bidi w:val="0"/>
        <w:adjustRightInd/>
        <w:snapToGrid w:val="0"/>
        <w:spacing w:line="360" w:lineRule="auto"/>
        <w:ind w:right="3810"/>
        <w:jc w:val="left"/>
        <w:textAlignment w:val="auto"/>
        <w:rPr>
          <w:rFonts w:hint="eastAsia" w:ascii="仿宋" w:hAnsi="仿宋" w:eastAsia="仿宋" w:cs="仿宋"/>
          <w:kern w:val="0"/>
          <w:sz w:val="24"/>
          <w:szCs w:val="24"/>
          <w:highlight w:val="none"/>
        </w:rPr>
      </w:pPr>
      <w:r>
        <w:rPr>
          <w:rFonts w:hint="eastAsia" w:ascii="仿宋" w:hAnsi="仿宋" w:eastAsia="仿宋" w:cs="仿宋"/>
          <w:spacing w:val="-57"/>
          <w:kern w:val="0"/>
          <w:sz w:val="24"/>
          <w:szCs w:val="24"/>
          <w:highlight w:val="none"/>
        </w:rPr>
        <w:t xml:space="preserve"> </w:t>
      </w:r>
      <w:r>
        <w:rPr>
          <w:rFonts w:hint="eastAsia" w:ascii="仿宋" w:hAnsi="仿宋" w:eastAsia="仿宋" w:cs="仿宋"/>
          <w:kern w:val="0"/>
          <w:sz w:val="24"/>
          <w:szCs w:val="24"/>
          <w:highlight w:val="none"/>
          <w:lang w:val="en-US" w:eastAsia="zh-CN"/>
        </w:rPr>
        <w:t>2</w:t>
      </w:r>
      <w:r>
        <w:rPr>
          <w:rFonts w:hint="eastAsia" w:ascii="仿宋" w:hAnsi="仿宋" w:eastAsia="仿宋" w:cs="仿宋"/>
          <w:kern w:val="0"/>
          <w:sz w:val="24"/>
          <w:szCs w:val="24"/>
          <w:highlight w:val="none"/>
        </w:rPr>
        <w:t>、报价一览表</w:t>
      </w:r>
    </w:p>
    <w:p w14:paraId="74EB5E22">
      <w:pPr>
        <w:keepNext w:val="0"/>
        <w:keepLines w:val="0"/>
        <w:pageBreakBefore w:val="0"/>
        <w:widowControl w:val="0"/>
        <w:tabs>
          <w:tab w:val="left" w:pos="3780"/>
          <w:tab w:val="left" w:pos="4420"/>
        </w:tabs>
        <w:kinsoku/>
        <w:wordWrap/>
        <w:overflowPunct/>
        <w:topLinePunct w:val="0"/>
        <w:autoSpaceDE w:val="0"/>
        <w:autoSpaceDN w:val="0"/>
        <w:bidi w:val="0"/>
        <w:adjustRightInd/>
        <w:snapToGrid w:val="0"/>
        <w:spacing w:line="360" w:lineRule="auto"/>
        <w:ind w:right="5330" w:rightChars="0"/>
        <w:textAlignment w:val="auto"/>
        <w:rPr>
          <w:rFonts w:hint="eastAsia" w:ascii="仿宋" w:hAnsi="仿宋" w:eastAsia="仿宋" w:cs="仿宋"/>
          <w:spacing w:val="-58"/>
          <w:kern w:val="0"/>
          <w:sz w:val="24"/>
          <w:szCs w:val="24"/>
          <w:highlight w:val="none"/>
        </w:rPr>
      </w:pPr>
      <w:r>
        <w:rPr>
          <w:rFonts w:hint="eastAsia" w:ascii="仿宋" w:hAnsi="仿宋" w:eastAsia="仿宋" w:cs="仿宋"/>
          <w:spacing w:val="-22"/>
          <w:kern w:val="0"/>
          <w:sz w:val="24"/>
          <w:szCs w:val="24"/>
          <w:highlight w:val="none"/>
        </w:rPr>
        <w:t xml:space="preserve">附件 </w:t>
      </w:r>
      <w:r>
        <w:rPr>
          <w:rFonts w:hint="eastAsia" w:ascii="仿宋" w:hAnsi="仿宋" w:eastAsia="仿宋" w:cs="仿宋"/>
          <w:spacing w:val="-1"/>
          <w:kern w:val="0"/>
          <w:sz w:val="24"/>
          <w:szCs w:val="24"/>
          <w:highlight w:val="none"/>
        </w:rPr>
        <w:t>2－1</w:t>
      </w:r>
      <w:r>
        <w:rPr>
          <w:rFonts w:hint="eastAsia" w:ascii="仿宋" w:hAnsi="仿宋" w:eastAsia="仿宋" w:cs="仿宋"/>
          <w:spacing w:val="4"/>
          <w:kern w:val="0"/>
          <w:sz w:val="24"/>
          <w:szCs w:val="24"/>
          <w:highlight w:val="none"/>
        </w:rPr>
        <w:t xml:space="preserve"> </w:t>
      </w:r>
      <w:r>
        <w:rPr>
          <w:rFonts w:hint="eastAsia" w:ascii="仿宋" w:hAnsi="仿宋" w:eastAsia="仿宋" w:cs="仿宋"/>
          <w:spacing w:val="-1"/>
          <w:kern w:val="0"/>
          <w:sz w:val="24"/>
          <w:szCs w:val="24"/>
          <w:highlight w:val="none"/>
        </w:rPr>
        <w:t>报价一览表</w:t>
      </w:r>
    </w:p>
    <w:p w14:paraId="412A10B4">
      <w:pPr>
        <w:keepNext w:val="0"/>
        <w:keepLines w:val="0"/>
        <w:pageBreakBefore w:val="0"/>
        <w:widowControl w:val="0"/>
        <w:kinsoku/>
        <w:wordWrap/>
        <w:overflowPunct/>
        <w:topLinePunct w:val="0"/>
        <w:autoSpaceDE w:val="0"/>
        <w:autoSpaceDN w:val="0"/>
        <w:bidi w:val="0"/>
        <w:adjustRightInd/>
        <w:snapToGrid w:val="0"/>
        <w:spacing w:line="360" w:lineRule="auto"/>
        <w:ind w:right="5130" w:rightChars="0"/>
        <w:jc w:val="left"/>
        <w:textAlignment w:val="auto"/>
        <w:rPr>
          <w:rFonts w:hint="eastAsia" w:ascii="仿宋" w:hAnsi="仿宋" w:eastAsia="仿宋" w:cs="仿宋"/>
          <w:spacing w:val="-57"/>
          <w:kern w:val="0"/>
          <w:sz w:val="24"/>
          <w:szCs w:val="24"/>
          <w:highlight w:val="none"/>
        </w:rPr>
      </w:pPr>
      <w:r>
        <w:rPr>
          <w:rFonts w:hint="eastAsia" w:ascii="仿宋" w:hAnsi="仿宋" w:eastAsia="仿宋" w:cs="仿宋"/>
          <w:spacing w:val="-1"/>
          <w:kern w:val="0"/>
          <w:sz w:val="24"/>
          <w:szCs w:val="24"/>
          <w:highlight w:val="none"/>
          <w:lang w:val="en-US" w:eastAsia="zh-CN"/>
        </w:rPr>
        <w:t>3</w:t>
      </w:r>
      <w:r>
        <w:rPr>
          <w:rFonts w:hint="eastAsia" w:ascii="仿宋" w:hAnsi="仿宋" w:eastAsia="仿宋" w:cs="仿宋"/>
          <w:spacing w:val="-1"/>
          <w:kern w:val="0"/>
          <w:sz w:val="24"/>
          <w:szCs w:val="24"/>
          <w:highlight w:val="none"/>
        </w:rPr>
        <w:t>、商务条款偏离表</w:t>
      </w:r>
    </w:p>
    <w:p w14:paraId="605CDE07">
      <w:pPr>
        <w:keepNext w:val="0"/>
        <w:keepLines w:val="0"/>
        <w:pageBreakBefore w:val="0"/>
        <w:widowControl w:val="0"/>
        <w:kinsoku/>
        <w:wordWrap/>
        <w:overflowPunct/>
        <w:topLinePunct w:val="0"/>
        <w:autoSpaceDE w:val="0"/>
        <w:autoSpaceDN w:val="0"/>
        <w:bidi w:val="0"/>
        <w:adjustRightInd/>
        <w:snapToGrid w:val="0"/>
        <w:spacing w:line="360" w:lineRule="auto"/>
        <w:ind w:right="6431"/>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4</w:t>
      </w:r>
      <w:r>
        <w:rPr>
          <w:rFonts w:hint="eastAsia" w:ascii="仿宋" w:hAnsi="仿宋" w:eastAsia="仿宋" w:cs="仿宋"/>
          <w:kern w:val="0"/>
          <w:sz w:val="24"/>
          <w:szCs w:val="24"/>
          <w:highlight w:val="none"/>
        </w:rPr>
        <w:t>、磋商保证金</w:t>
      </w:r>
    </w:p>
    <w:p w14:paraId="3ED91D87">
      <w:pPr>
        <w:keepNext w:val="0"/>
        <w:keepLines w:val="0"/>
        <w:pageBreakBefore w:val="0"/>
        <w:widowControl w:val="0"/>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、供应商的资格证明材料</w:t>
      </w:r>
    </w:p>
    <w:p w14:paraId="46B2282F">
      <w:pPr>
        <w:keepNext w:val="0"/>
        <w:keepLines w:val="0"/>
        <w:pageBreakBefore w:val="0"/>
        <w:widowControl w:val="0"/>
        <w:tabs>
          <w:tab w:val="left" w:pos="2651"/>
        </w:tabs>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附件 5－1供应商基本情况表</w:t>
      </w:r>
    </w:p>
    <w:p w14:paraId="2D5BDD63">
      <w:pPr>
        <w:keepNext w:val="0"/>
        <w:keepLines w:val="0"/>
        <w:pageBreakBefore w:val="0"/>
        <w:widowControl w:val="0"/>
        <w:kinsoku/>
        <w:wordWrap/>
        <w:overflowPunct/>
        <w:topLinePunct w:val="0"/>
        <w:bidi w:val="0"/>
        <w:adjustRightInd/>
        <w:snapToGrid w:val="0"/>
        <w:spacing w:line="360" w:lineRule="auto"/>
        <w:ind w:left="0" w:firstLine="0"/>
        <w:jc w:val="both"/>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kern w:val="0"/>
          <w:sz w:val="24"/>
          <w:szCs w:val="24"/>
          <w:highlight w:val="none"/>
        </w:rPr>
        <w:t>附件 5－</w:t>
      </w:r>
      <w:r>
        <w:rPr>
          <w:rFonts w:hint="eastAsia" w:ascii="仿宋" w:hAnsi="仿宋" w:eastAsia="仿宋" w:cs="仿宋"/>
          <w:kern w:val="0"/>
          <w:sz w:val="24"/>
          <w:szCs w:val="24"/>
          <w:highlight w:val="none"/>
          <w:lang w:val="en-US" w:eastAsia="zh-CN"/>
        </w:rPr>
        <w:t>2关于</w:t>
      </w:r>
      <w:r>
        <w:rPr>
          <w:rFonts w:hint="eastAsia" w:ascii="仿宋" w:hAnsi="仿宋" w:eastAsia="仿宋" w:cs="仿宋"/>
          <w:kern w:val="0"/>
          <w:sz w:val="24"/>
          <w:szCs w:val="24"/>
          <w:highlight w:val="none"/>
        </w:rPr>
        <w:t>满足《中华人民共和国政府采购法》第二十二条</w:t>
      </w:r>
      <w:r>
        <w:rPr>
          <w:rFonts w:hint="eastAsia" w:ascii="仿宋" w:hAnsi="仿宋" w:eastAsia="仿宋" w:cs="仿宋"/>
          <w:kern w:val="0"/>
          <w:sz w:val="24"/>
          <w:szCs w:val="24"/>
          <w:highlight w:val="none"/>
          <w:lang w:val="en-US" w:eastAsia="zh-CN"/>
        </w:rPr>
        <w:t>的承诺</w:t>
      </w:r>
    </w:p>
    <w:p w14:paraId="143ECD4E">
      <w:pPr>
        <w:keepNext w:val="0"/>
        <w:keepLines w:val="0"/>
        <w:pageBreakBefore w:val="0"/>
        <w:widowControl w:val="0"/>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6</w:t>
      </w:r>
      <w:r>
        <w:rPr>
          <w:rFonts w:hint="eastAsia" w:ascii="仿宋" w:hAnsi="仿宋" w:eastAsia="仿宋" w:cs="仿宋"/>
          <w:kern w:val="0"/>
          <w:sz w:val="24"/>
          <w:szCs w:val="24"/>
          <w:highlight w:val="none"/>
        </w:rPr>
        <w:t>、提供符合政府采购政策的证明材料</w:t>
      </w:r>
    </w:p>
    <w:p w14:paraId="5A618F72">
      <w:pPr>
        <w:pStyle w:val="9"/>
        <w:keepNext w:val="0"/>
        <w:keepLines w:val="0"/>
        <w:pageBreakBefore w:val="0"/>
        <w:widowControl w:val="0"/>
        <w:kinsoku/>
        <w:wordWrap/>
        <w:overflowPunct/>
        <w:topLinePunct w:val="0"/>
        <w:bidi w:val="0"/>
        <w:adjustRightInd/>
        <w:snapToGrid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w w:val="95"/>
          <w:kern w:val="0"/>
          <w:sz w:val="24"/>
          <w:szCs w:val="24"/>
          <w:highlight w:val="none"/>
        </w:rPr>
        <w:t>附件</w:t>
      </w:r>
      <w:r>
        <w:rPr>
          <w:rFonts w:hint="eastAsia" w:ascii="仿宋" w:hAnsi="仿宋" w:eastAsia="仿宋" w:cs="仿宋"/>
          <w:spacing w:val="-37"/>
          <w:w w:val="95"/>
          <w:kern w:val="0"/>
          <w:sz w:val="24"/>
          <w:szCs w:val="24"/>
          <w:highlight w:val="none"/>
        </w:rPr>
        <w:t xml:space="preserve"> </w:t>
      </w:r>
      <w:r>
        <w:rPr>
          <w:rFonts w:hint="eastAsia" w:ascii="仿宋" w:hAnsi="仿宋" w:eastAsia="仿宋" w:cs="仿宋"/>
          <w:w w:val="95"/>
          <w:kern w:val="0"/>
          <w:sz w:val="24"/>
          <w:szCs w:val="24"/>
          <w:highlight w:val="none"/>
        </w:rPr>
        <w:t>6－1</w:t>
      </w:r>
      <w:r>
        <w:rPr>
          <w:rFonts w:hint="eastAsia" w:ascii="仿宋" w:hAnsi="仿宋" w:eastAsia="仿宋" w:cs="仿宋"/>
          <w:w w:val="95"/>
          <w:kern w:val="0"/>
          <w:sz w:val="24"/>
          <w:szCs w:val="24"/>
          <w:highlight w:val="none"/>
          <w:lang w:val="en-US" w:eastAsia="zh-CN"/>
        </w:rPr>
        <w:t xml:space="preserve"> </w:t>
      </w:r>
      <w:r>
        <w:rPr>
          <w:rFonts w:hint="eastAsia" w:ascii="仿宋" w:hAnsi="仿宋" w:eastAsia="仿宋" w:cs="仿宋"/>
          <w:kern w:val="0"/>
          <w:sz w:val="24"/>
          <w:szCs w:val="24"/>
          <w:highlight w:val="none"/>
        </w:rPr>
        <w:t>中小企业声明函</w:t>
      </w:r>
    </w:p>
    <w:p w14:paraId="261AA368">
      <w:pPr>
        <w:keepNext w:val="0"/>
        <w:keepLines w:val="0"/>
        <w:pageBreakBefore w:val="0"/>
        <w:widowControl w:val="0"/>
        <w:tabs>
          <w:tab w:val="left" w:pos="2651"/>
        </w:tabs>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7</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eastAsia="zh-CN"/>
        </w:rPr>
        <w:t>供应商业绩证明材料</w:t>
      </w:r>
    </w:p>
    <w:p w14:paraId="6E865D54">
      <w:pPr>
        <w:keepNext w:val="0"/>
        <w:keepLines w:val="0"/>
        <w:pageBreakBefore w:val="0"/>
        <w:widowControl w:val="0"/>
        <w:tabs>
          <w:tab w:val="left" w:pos="2651"/>
        </w:tabs>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8</w:t>
      </w:r>
      <w:r>
        <w:rPr>
          <w:rFonts w:hint="eastAsia" w:ascii="仿宋" w:hAnsi="仿宋" w:eastAsia="仿宋" w:cs="仿宋"/>
          <w:kern w:val="0"/>
          <w:sz w:val="24"/>
          <w:szCs w:val="24"/>
          <w:highlight w:val="none"/>
        </w:rPr>
        <w:t>、供应商认为需提供的其他资料</w:t>
      </w:r>
    </w:p>
    <w:p w14:paraId="7994CC58">
      <w:pPr>
        <w:tabs>
          <w:tab w:val="left" w:pos="2651"/>
        </w:tabs>
        <w:autoSpaceDE w:val="0"/>
        <w:autoSpaceDN w:val="0"/>
        <w:spacing w:line="276" w:lineRule="auto"/>
        <w:jc w:val="left"/>
        <w:outlineLvl w:val="9"/>
        <w:rPr>
          <w:rFonts w:hint="eastAsia" w:ascii="仿宋" w:hAnsi="仿宋" w:eastAsia="仿宋" w:cs="仿宋"/>
          <w:kern w:val="0"/>
          <w:sz w:val="28"/>
          <w:szCs w:val="28"/>
        </w:rPr>
      </w:pPr>
    </w:p>
    <w:p w14:paraId="55E55991">
      <w:pPr>
        <w:autoSpaceDE w:val="0"/>
        <w:autoSpaceDN w:val="0"/>
        <w:spacing w:before="197" w:line="276" w:lineRule="auto"/>
        <w:ind w:right="891"/>
        <w:jc w:val="center"/>
        <w:outlineLvl w:val="9"/>
        <w:rPr>
          <w:rFonts w:hint="eastAsia" w:ascii="仿宋" w:hAnsi="仿宋" w:eastAsia="仿宋" w:cs="仿宋"/>
          <w:spacing w:val="13"/>
          <w:kern w:val="0"/>
          <w:sz w:val="28"/>
          <w:szCs w:val="28"/>
        </w:rPr>
      </w:pPr>
    </w:p>
    <w:p w14:paraId="2EAE8B89">
      <w:pPr>
        <w:autoSpaceDE w:val="0"/>
        <w:autoSpaceDN w:val="0"/>
        <w:spacing w:before="197" w:line="276" w:lineRule="auto"/>
        <w:ind w:right="891"/>
        <w:jc w:val="both"/>
        <w:outlineLvl w:val="9"/>
        <w:rPr>
          <w:rFonts w:hint="eastAsia" w:ascii="仿宋" w:hAnsi="仿宋" w:eastAsia="仿宋" w:cs="仿宋"/>
          <w:spacing w:val="13"/>
          <w:kern w:val="0"/>
          <w:sz w:val="28"/>
          <w:szCs w:val="28"/>
        </w:rPr>
      </w:pPr>
    </w:p>
    <w:p w14:paraId="4EB320A1">
      <w:pPr>
        <w:autoSpaceDE w:val="0"/>
        <w:autoSpaceDN w:val="0"/>
        <w:spacing w:before="197" w:line="276" w:lineRule="auto"/>
        <w:ind w:right="891"/>
        <w:jc w:val="both"/>
        <w:outlineLvl w:val="9"/>
        <w:rPr>
          <w:rFonts w:hint="eastAsia" w:ascii="仿宋" w:hAnsi="仿宋" w:eastAsia="仿宋" w:cs="仿宋"/>
          <w:spacing w:val="13"/>
          <w:kern w:val="0"/>
          <w:sz w:val="28"/>
          <w:szCs w:val="28"/>
        </w:rPr>
      </w:pPr>
    </w:p>
    <w:p w14:paraId="7910D6F8">
      <w:pPr>
        <w:autoSpaceDE w:val="0"/>
        <w:autoSpaceDN w:val="0"/>
        <w:spacing w:before="197" w:line="276" w:lineRule="auto"/>
        <w:ind w:right="891"/>
        <w:jc w:val="both"/>
        <w:outlineLvl w:val="9"/>
        <w:rPr>
          <w:rFonts w:hint="eastAsia" w:ascii="仿宋" w:hAnsi="仿宋" w:eastAsia="仿宋" w:cs="仿宋"/>
          <w:spacing w:val="13"/>
          <w:kern w:val="0"/>
          <w:sz w:val="28"/>
          <w:szCs w:val="28"/>
        </w:rPr>
      </w:pPr>
    </w:p>
    <w:p w14:paraId="78495C36">
      <w:pPr>
        <w:autoSpaceDE w:val="0"/>
        <w:autoSpaceDN w:val="0"/>
        <w:spacing w:before="197" w:line="276" w:lineRule="auto"/>
        <w:ind w:right="891"/>
        <w:jc w:val="both"/>
        <w:outlineLvl w:val="9"/>
        <w:rPr>
          <w:rFonts w:hint="eastAsia" w:ascii="仿宋" w:hAnsi="仿宋" w:eastAsia="仿宋" w:cs="仿宋"/>
          <w:spacing w:val="13"/>
          <w:kern w:val="0"/>
          <w:sz w:val="28"/>
          <w:szCs w:val="28"/>
        </w:rPr>
      </w:pPr>
    </w:p>
    <w:p w14:paraId="13101C54">
      <w:pPr>
        <w:pStyle w:val="2"/>
        <w:rPr>
          <w:rFonts w:hint="eastAsia" w:ascii="仿宋" w:hAnsi="仿宋" w:eastAsia="仿宋" w:cs="仿宋"/>
          <w:spacing w:val="13"/>
          <w:kern w:val="0"/>
          <w:sz w:val="28"/>
          <w:szCs w:val="28"/>
        </w:rPr>
      </w:pPr>
    </w:p>
    <w:p w14:paraId="330095CA">
      <w:pPr>
        <w:rPr>
          <w:rFonts w:hint="eastAsia"/>
        </w:rPr>
      </w:pPr>
    </w:p>
    <w:p w14:paraId="15EBDF29">
      <w:pPr>
        <w:pStyle w:val="11"/>
        <w:outlineLvl w:val="9"/>
        <w:rPr>
          <w:rFonts w:hint="eastAsia" w:ascii="仿宋" w:hAnsi="仿宋" w:eastAsia="仿宋" w:cs="仿宋"/>
        </w:rPr>
      </w:pPr>
    </w:p>
    <w:p w14:paraId="7FA14AD0">
      <w:pPr>
        <w:pStyle w:val="12"/>
        <w:rPr>
          <w:rFonts w:hint="eastAsia" w:ascii="仿宋" w:hAnsi="仿宋" w:eastAsia="仿宋" w:cs="仿宋"/>
        </w:rPr>
      </w:pPr>
    </w:p>
    <w:p w14:paraId="58BD409C">
      <w:pPr>
        <w:pStyle w:val="18"/>
        <w:rPr>
          <w:rFonts w:hint="eastAsia"/>
        </w:rPr>
      </w:pPr>
    </w:p>
    <w:p w14:paraId="2AAB762F">
      <w:pPr>
        <w:numPr>
          <w:ilvl w:val="0"/>
          <w:numId w:val="0"/>
        </w:numPr>
        <w:autoSpaceDE w:val="0"/>
        <w:autoSpaceDN w:val="0"/>
        <w:spacing w:before="197" w:line="276" w:lineRule="auto"/>
        <w:ind w:right="891" w:rightChars="0"/>
        <w:jc w:val="center"/>
        <w:outlineLvl w:val="9"/>
        <w:rPr>
          <w:rFonts w:hint="eastAsia" w:ascii="仿宋" w:hAnsi="仿宋" w:eastAsia="仿宋" w:cs="仿宋"/>
          <w:spacing w:val="13"/>
          <w:kern w:val="0"/>
          <w:sz w:val="28"/>
          <w:szCs w:val="28"/>
        </w:rPr>
      </w:pPr>
      <w:r>
        <w:rPr>
          <w:rFonts w:hint="eastAsia" w:ascii="仿宋" w:hAnsi="仿宋" w:eastAsia="仿宋" w:cs="仿宋"/>
          <w:spacing w:val="13"/>
          <w:kern w:val="0"/>
          <w:sz w:val="28"/>
          <w:szCs w:val="28"/>
          <w:lang w:val="en-US" w:eastAsia="zh-CN" w:bidi="ar-SA"/>
        </w:rPr>
        <w:t>二、</w:t>
      </w:r>
      <w:r>
        <w:rPr>
          <w:rFonts w:hint="eastAsia" w:ascii="仿宋" w:hAnsi="仿宋" w:eastAsia="仿宋" w:cs="仿宋"/>
          <w:spacing w:val="13"/>
          <w:kern w:val="0"/>
          <w:sz w:val="28"/>
          <w:szCs w:val="28"/>
        </w:rPr>
        <w:t>技术部分</w:t>
      </w:r>
    </w:p>
    <w:p w14:paraId="15A2C776">
      <w:pPr>
        <w:pStyle w:val="9"/>
        <w:numPr>
          <w:ilvl w:val="0"/>
          <w:numId w:val="0"/>
        </w:numPr>
        <w:rPr>
          <w:rFonts w:hint="eastAsia" w:ascii="仿宋" w:hAnsi="仿宋" w:eastAsia="仿宋" w:cs="仿宋"/>
          <w:sz w:val="28"/>
          <w:szCs w:val="28"/>
        </w:rPr>
      </w:pPr>
    </w:p>
    <w:p w14:paraId="2E827461">
      <w:pPr>
        <w:pStyle w:val="9"/>
        <w:numPr>
          <w:ilvl w:val="0"/>
          <w:numId w:val="0"/>
        </w:numPr>
        <w:spacing w:line="360" w:lineRule="auto"/>
        <w:jc w:val="both"/>
        <w:rPr>
          <w:rFonts w:hint="eastAsia" w:ascii="仿宋" w:hAnsi="仿宋" w:eastAsia="仿宋" w:cs="仿宋"/>
          <w:kern w:val="2"/>
          <w:sz w:val="24"/>
          <w:szCs w:val="24"/>
          <w:lang w:val="en-US" w:eastAsia="en-US" w:bidi="ar-SA"/>
        </w:rPr>
      </w:pPr>
      <w:r>
        <w:rPr>
          <w:rFonts w:hint="eastAsia" w:ascii="仿宋" w:hAnsi="仿宋" w:eastAsia="仿宋" w:cs="仿宋"/>
          <w:kern w:val="2"/>
          <w:sz w:val="24"/>
          <w:szCs w:val="24"/>
          <w:lang w:val="en-US" w:eastAsia="zh-CN" w:bidi="ar-SA"/>
        </w:rPr>
        <w:t>1、</w:t>
      </w:r>
      <w:r>
        <w:rPr>
          <w:rFonts w:hint="eastAsia" w:ascii="仿宋" w:hAnsi="仿宋" w:eastAsia="仿宋" w:cs="仿宋"/>
          <w:kern w:val="2"/>
          <w:sz w:val="24"/>
          <w:szCs w:val="24"/>
          <w:lang w:val="en-US" w:eastAsia="en-US" w:bidi="ar-SA"/>
        </w:rPr>
        <w:t>技术响应与偏离表</w:t>
      </w:r>
    </w:p>
    <w:p w14:paraId="1972D5FB">
      <w:pPr>
        <w:pStyle w:val="9"/>
        <w:numPr>
          <w:ilvl w:val="0"/>
          <w:numId w:val="0"/>
        </w:numPr>
        <w:spacing w:line="360" w:lineRule="auto"/>
        <w:jc w:val="both"/>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2、供应商认为有必要提供的声明及其他资料</w:t>
      </w:r>
    </w:p>
    <w:p w14:paraId="21BE7E96">
      <w:pPr>
        <w:autoSpaceDE w:val="0"/>
        <w:autoSpaceDN w:val="0"/>
        <w:spacing w:before="115"/>
        <w:jc w:val="center"/>
        <w:outlineLvl w:val="9"/>
        <w:rPr>
          <w:rFonts w:hint="eastAsia" w:ascii="仿宋" w:hAnsi="仿宋" w:eastAsia="仿宋" w:cs="仿宋"/>
          <w:spacing w:val="13"/>
          <w:kern w:val="0"/>
          <w:sz w:val="28"/>
          <w:szCs w:val="28"/>
        </w:rPr>
      </w:pPr>
    </w:p>
    <w:p w14:paraId="7DCE2949">
      <w:pPr>
        <w:autoSpaceDE w:val="0"/>
        <w:autoSpaceDN w:val="0"/>
        <w:spacing w:before="115"/>
        <w:jc w:val="center"/>
        <w:outlineLvl w:val="9"/>
        <w:rPr>
          <w:rFonts w:hint="eastAsia" w:ascii="仿宋" w:hAnsi="仿宋" w:eastAsia="仿宋" w:cs="仿宋"/>
          <w:spacing w:val="13"/>
          <w:kern w:val="0"/>
          <w:sz w:val="28"/>
          <w:szCs w:val="28"/>
        </w:rPr>
      </w:pPr>
    </w:p>
    <w:p w14:paraId="68095901">
      <w:pPr>
        <w:autoSpaceDE w:val="0"/>
        <w:autoSpaceDN w:val="0"/>
        <w:spacing w:before="115"/>
        <w:jc w:val="center"/>
        <w:outlineLvl w:val="9"/>
        <w:rPr>
          <w:rFonts w:hint="eastAsia" w:ascii="仿宋" w:hAnsi="仿宋" w:eastAsia="仿宋" w:cs="仿宋"/>
          <w:spacing w:val="13"/>
          <w:kern w:val="0"/>
          <w:sz w:val="28"/>
          <w:szCs w:val="28"/>
        </w:rPr>
      </w:pPr>
    </w:p>
    <w:p w14:paraId="778C3595">
      <w:pPr>
        <w:autoSpaceDE w:val="0"/>
        <w:autoSpaceDN w:val="0"/>
        <w:spacing w:before="115"/>
        <w:jc w:val="center"/>
        <w:outlineLvl w:val="9"/>
        <w:rPr>
          <w:rFonts w:hint="eastAsia" w:ascii="仿宋" w:hAnsi="仿宋" w:eastAsia="仿宋" w:cs="仿宋"/>
          <w:spacing w:val="13"/>
          <w:kern w:val="0"/>
          <w:sz w:val="28"/>
          <w:szCs w:val="28"/>
        </w:rPr>
      </w:pPr>
    </w:p>
    <w:p w14:paraId="11122E01">
      <w:pPr>
        <w:autoSpaceDE w:val="0"/>
        <w:autoSpaceDN w:val="0"/>
        <w:spacing w:before="115"/>
        <w:jc w:val="center"/>
        <w:outlineLvl w:val="9"/>
        <w:rPr>
          <w:rFonts w:hint="eastAsia" w:ascii="仿宋" w:hAnsi="仿宋" w:eastAsia="仿宋" w:cs="仿宋"/>
          <w:spacing w:val="13"/>
          <w:kern w:val="0"/>
          <w:sz w:val="28"/>
          <w:szCs w:val="28"/>
        </w:rPr>
      </w:pPr>
    </w:p>
    <w:p w14:paraId="3187CEA3">
      <w:pPr>
        <w:autoSpaceDE w:val="0"/>
        <w:autoSpaceDN w:val="0"/>
        <w:spacing w:before="115"/>
        <w:jc w:val="center"/>
        <w:outlineLvl w:val="9"/>
        <w:rPr>
          <w:rFonts w:hint="eastAsia" w:ascii="仿宋" w:hAnsi="仿宋" w:eastAsia="仿宋" w:cs="仿宋"/>
          <w:spacing w:val="13"/>
          <w:kern w:val="0"/>
          <w:sz w:val="28"/>
          <w:szCs w:val="28"/>
        </w:rPr>
      </w:pPr>
    </w:p>
    <w:p w14:paraId="70AC9CF5">
      <w:pPr>
        <w:autoSpaceDE w:val="0"/>
        <w:autoSpaceDN w:val="0"/>
        <w:spacing w:before="115"/>
        <w:jc w:val="center"/>
        <w:outlineLvl w:val="9"/>
        <w:rPr>
          <w:rFonts w:hint="eastAsia" w:ascii="仿宋" w:hAnsi="仿宋" w:eastAsia="仿宋" w:cs="仿宋"/>
          <w:spacing w:val="13"/>
          <w:kern w:val="0"/>
          <w:sz w:val="28"/>
          <w:szCs w:val="28"/>
        </w:rPr>
      </w:pPr>
    </w:p>
    <w:p w14:paraId="10713D16">
      <w:pPr>
        <w:autoSpaceDE w:val="0"/>
        <w:autoSpaceDN w:val="0"/>
        <w:spacing w:before="115"/>
        <w:jc w:val="center"/>
        <w:outlineLvl w:val="9"/>
        <w:rPr>
          <w:rFonts w:hint="eastAsia" w:ascii="仿宋" w:hAnsi="仿宋" w:eastAsia="仿宋" w:cs="仿宋"/>
          <w:spacing w:val="13"/>
          <w:kern w:val="0"/>
          <w:sz w:val="28"/>
          <w:szCs w:val="28"/>
        </w:rPr>
      </w:pPr>
    </w:p>
    <w:p w14:paraId="1C341A44">
      <w:pPr>
        <w:autoSpaceDE w:val="0"/>
        <w:autoSpaceDN w:val="0"/>
        <w:spacing w:before="115"/>
        <w:jc w:val="center"/>
        <w:outlineLvl w:val="9"/>
        <w:rPr>
          <w:rFonts w:hint="eastAsia" w:ascii="仿宋" w:hAnsi="仿宋" w:eastAsia="仿宋" w:cs="仿宋"/>
          <w:spacing w:val="13"/>
          <w:kern w:val="0"/>
          <w:sz w:val="28"/>
          <w:szCs w:val="28"/>
        </w:rPr>
      </w:pPr>
    </w:p>
    <w:p w14:paraId="41089A9C">
      <w:pPr>
        <w:autoSpaceDE w:val="0"/>
        <w:autoSpaceDN w:val="0"/>
        <w:spacing w:before="115"/>
        <w:jc w:val="center"/>
        <w:outlineLvl w:val="9"/>
        <w:rPr>
          <w:rFonts w:hint="eastAsia" w:ascii="仿宋" w:hAnsi="仿宋" w:eastAsia="仿宋" w:cs="仿宋"/>
          <w:spacing w:val="13"/>
          <w:kern w:val="0"/>
          <w:sz w:val="28"/>
          <w:szCs w:val="28"/>
        </w:rPr>
      </w:pPr>
    </w:p>
    <w:p w14:paraId="2232F0A6">
      <w:pPr>
        <w:autoSpaceDE w:val="0"/>
        <w:autoSpaceDN w:val="0"/>
        <w:spacing w:before="115"/>
        <w:jc w:val="center"/>
        <w:outlineLvl w:val="9"/>
        <w:rPr>
          <w:rFonts w:hint="eastAsia" w:ascii="仿宋" w:hAnsi="仿宋" w:eastAsia="仿宋" w:cs="仿宋"/>
          <w:spacing w:val="13"/>
          <w:kern w:val="0"/>
          <w:sz w:val="28"/>
          <w:szCs w:val="28"/>
        </w:rPr>
      </w:pPr>
    </w:p>
    <w:p w14:paraId="6B33D3D7">
      <w:pPr>
        <w:autoSpaceDE w:val="0"/>
        <w:autoSpaceDN w:val="0"/>
        <w:spacing w:before="115"/>
        <w:jc w:val="center"/>
        <w:outlineLvl w:val="9"/>
        <w:rPr>
          <w:rFonts w:hint="eastAsia" w:ascii="仿宋" w:hAnsi="仿宋" w:eastAsia="仿宋" w:cs="仿宋"/>
          <w:spacing w:val="13"/>
          <w:kern w:val="0"/>
          <w:sz w:val="28"/>
          <w:szCs w:val="28"/>
        </w:rPr>
      </w:pPr>
    </w:p>
    <w:p w14:paraId="6315C83C">
      <w:pPr>
        <w:autoSpaceDE w:val="0"/>
        <w:autoSpaceDN w:val="0"/>
        <w:spacing w:before="115"/>
        <w:jc w:val="center"/>
        <w:outlineLvl w:val="9"/>
        <w:rPr>
          <w:rFonts w:hint="eastAsia" w:ascii="仿宋" w:hAnsi="仿宋" w:eastAsia="仿宋" w:cs="仿宋"/>
          <w:spacing w:val="13"/>
          <w:kern w:val="0"/>
          <w:sz w:val="28"/>
          <w:szCs w:val="28"/>
        </w:rPr>
      </w:pPr>
    </w:p>
    <w:p w14:paraId="532F4360">
      <w:pPr>
        <w:autoSpaceDE w:val="0"/>
        <w:autoSpaceDN w:val="0"/>
        <w:spacing w:before="115"/>
        <w:jc w:val="center"/>
        <w:outlineLvl w:val="9"/>
        <w:rPr>
          <w:rFonts w:hint="eastAsia" w:ascii="仿宋" w:hAnsi="仿宋" w:eastAsia="仿宋" w:cs="仿宋"/>
          <w:spacing w:val="13"/>
          <w:kern w:val="0"/>
          <w:sz w:val="28"/>
          <w:szCs w:val="28"/>
        </w:rPr>
      </w:pPr>
    </w:p>
    <w:p w14:paraId="2F9B25B4">
      <w:pPr>
        <w:autoSpaceDE w:val="0"/>
        <w:autoSpaceDN w:val="0"/>
        <w:spacing w:before="115"/>
        <w:jc w:val="center"/>
        <w:outlineLvl w:val="9"/>
        <w:rPr>
          <w:rFonts w:hint="eastAsia" w:ascii="仿宋" w:hAnsi="仿宋" w:eastAsia="仿宋" w:cs="仿宋"/>
          <w:spacing w:val="13"/>
          <w:kern w:val="0"/>
          <w:sz w:val="28"/>
          <w:szCs w:val="28"/>
        </w:rPr>
      </w:pPr>
    </w:p>
    <w:p w14:paraId="41AD7CD8">
      <w:pPr>
        <w:pStyle w:val="9"/>
        <w:outlineLvl w:val="9"/>
        <w:rPr>
          <w:rFonts w:hint="eastAsia" w:ascii="仿宋" w:hAnsi="仿宋" w:eastAsia="仿宋" w:cs="仿宋"/>
          <w:spacing w:val="13"/>
          <w:kern w:val="0"/>
          <w:sz w:val="28"/>
          <w:szCs w:val="28"/>
        </w:rPr>
      </w:pPr>
    </w:p>
    <w:p w14:paraId="20358803">
      <w:pPr>
        <w:pStyle w:val="12"/>
        <w:outlineLvl w:val="9"/>
        <w:rPr>
          <w:rFonts w:hint="eastAsia" w:ascii="仿宋" w:hAnsi="仿宋" w:eastAsia="仿宋" w:cs="仿宋"/>
          <w:spacing w:val="13"/>
          <w:kern w:val="0"/>
          <w:sz w:val="28"/>
          <w:szCs w:val="28"/>
        </w:rPr>
      </w:pPr>
    </w:p>
    <w:p w14:paraId="07CC3695">
      <w:pPr>
        <w:pStyle w:val="12"/>
        <w:outlineLvl w:val="9"/>
        <w:rPr>
          <w:rFonts w:hint="eastAsia" w:ascii="仿宋" w:hAnsi="仿宋" w:eastAsia="仿宋" w:cs="仿宋"/>
          <w:spacing w:val="13"/>
          <w:kern w:val="0"/>
          <w:sz w:val="28"/>
          <w:szCs w:val="28"/>
        </w:rPr>
      </w:pPr>
    </w:p>
    <w:p w14:paraId="62DF74A6">
      <w:pPr>
        <w:pStyle w:val="12"/>
        <w:outlineLvl w:val="9"/>
        <w:rPr>
          <w:rFonts w:hint="eastAsia" w:ascii="仿宋" w:hAnsi="仿宋" w:eastAsia="仿宋" w:cs="仿宋"/>
          <w:spacing w:val="13"/>
          <w:kern w:val="0"/>
          <w:sz w:val="28"/>
          <w:szCs w:val="28"/>
        </w:rPr>
      </w:pPr>
    </w:p>
    <w:p w14:paraId="4DB70905">
      <w:pPr>
        <w:pStyle w:val="12"/>
        <w:outlineLvl w:val="9"/>
        <w:rPr>
          <w:rFonts w:hint="eastAsia" w:ascii="仿宋" w:hAnsi="仿宋" w:eastAsia="仿宋" w:cs="仿宋"/>
          <w:spacing w:val="13"/>
          <w:kern w:val="0"/>
          <w:sz w:val="28"/>
          <w:szCs w:val="28"/>
        </w:rPr>
      </w:pPr>
    </w:p>
    <w:p w14:paraId="3FCBDC83">
      <w:pPr>
        <w:autoSpaceDE w:val="0"/>
        <w:autoSpaceDN w:val="0"/>
        <w:spacing w:before="115"/>
        <w:jc w:val="center"/>
        <w:outlineLvl w:val="9"/>
        <w:rPr>
          <w:rFonts w:hint="eastAsia" w:ascii="仿宋" w:hAnsi="仿宋" w:eastAsia="仿宋" w:cs="仿宋"/>
          <w:spacing w:val="13"/>
          <w:kern w:val="0"/>
          <w:sz w:val="28"/>
          <w:szCs w:val="28"/>
        </w:rPr>
      </w:pPr>
    </w:p>
    <w:p w14:paraId="309E2FDE">
      <w:pPr>
        <w:autoSpaceDE w:val="0"/>
        <w:autoSpaceDN w:val="0"/>
        <w:spacing w:before="115"/>
        <w:jc w:val="center"/>
        <w:outlineLvl w:val="9"/>
        <w:rPr>
          <w:rFonts w:hint="eastAsia" w:ascii="仿宋" w:hAnsi="仿宋" w:eastAsia="仿宋" w:cs="仿宋"/>
          <w:spacing w:val="13"/>
          <w:kern w:val="0"/>
          <w:sz w:val="28"/>
          <w:szCs w:val="28"/>
        </w:rPr>
      </w:pPr>
    </w:p>
    <w:p w14:paraId="004483A9">
      <w:pPr>
        <w:autoSpaceDE w:val="0"/>
        <w:autoSpaceDN w:val="0"/>
        <w:spacing w:before="115"/>
        <w:jc w:val="center"/>
        <w:outlineLvl w:val="9"/>
        <w:rPr>
          <w:rFonts w:hint="eastAsia" w:ascii="仿宋" w:hAnsi="仿宋" w:eastAsia="仿宋" w:cs="仿宋"/>
          <w:spacing w:val="13"/>
          <w:kern w:val="0"/>
          <w:sz w:val="28"/>
          <w:szCs w:val="28"/>
        </w:rPr>
      </w:pPr>
    </w:p>
    <w:p w14:paraId="5DBCDDCC">
      <w:pPr>
        <w:rPr>
          <w:rFonts w:hint="eastAsia" w:ascii="仿宋" w:hAnsi="仿宋" w:eastAsia="仿宋" w:cs="仿宋"/>
          <w:spacing w:val="13"/>
          <w:kern w:val="0"/>
          <w:sz w:val="28"/>
          <w:szCs w:val="28"/>
        </w:rPr>
      </w:pPr>
      <w:r>
        <w:rPr>
          <w:rFonts w:hint="eastAsia" w:ascii="仿宋" w:hAnsi="仿宋" w:eastAsia="仿宋" w:cs="仿宋"/>
          <w:spacing w:val="13"/>
          <w:kern w:val="0"/>
          <w:sz w:val="28"/>
          <w:szCs w:val="28"/>
        </w:rPr>
        <w:br w:type="page"/>
      </w:r>
    </w:p>
    <w:p w14:paraId="3BF5B5C4">
      <w:pPr>
        <w:autoSpaceDE w:val="0"/>
        <w:autoSpaceDN w:val="0"/>
        <w:spacing w:before="115"/>
        <w:jc w:val="center"/>
        <w:outlineLvl w:val="1"/>
        <w:rPr>
          <w:rFonts w:hint="eastAsia" w:ascii="仿宋" w:hAnsi="仿宋" w:eastAsia="仿宋" w:cs="仿宋"/>
          <w:kern w:val="0"/>
          <w:sz w:val="28"/>
          <w:szCs w:val="28"/>
        </w:rPr>
      </w:pPr>
      <w:r>
        <w:rPr>
          <w:rFonts w:hint="eastAsia" w:ascii="仿宋" w:hAnsi="仿宋" w:eastAsia="仿宋" w:cs="仿宋"/>
          <w:spacing w:val="13"/>
          <w:kern w:val="0"/>
          <w:sz w:val="28"/>
          <w:szCs w:val="28"/>
        </w:rPr>
        <w:t>一</w:t>
      </w:r>
      <w:r>
        <w:rPr>
          <w:rFonts w:hint="eastAsia" w:ascii="仿宋" w:hAnsi="仿宋" w:eastAsia="仿宋" w:cs="仿宋"/>
          <w:spacing w:val="13"/>
          <w:kern w:val="0"/>
          <w:sz w:val="28"/>
          <w:szCs w:val="28"/>
          <w:lang w:eastAsia="zh-CN"/>
        </w:rPr>
        <w:t>、</w:t>
      </w:r>
      <w:r>
        <w:rPr>
          <w:rFonts w:hint="eastAsia" w:ascii="仿宋" w:hAnsi="仿宋" w:eastAsia="仿宋" w:cs="仿宋"/>
          <w:spacing w:val="13"/>
          <w:kern w:val="0"/>
          <w:sz w:val="28"/>
          <w:szCs w:val="28"/>
        </w:rPr>
        <w:t>商务部分</w:t>
      </w:r>
    </w:p>
    <w:p w14:paraId="4CFCF7D6">
      <w:pPr>
        <w:autoSpaceDE w:val="0"/>
        <w:autoSpaceDN w:val="0"/>
        <w:spacing w:before="81"/>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、磋商响应声明</w:t>
      </w:r>
    </w:p>
    <w:p w14:paraId="12980CB7">
      <w:pPr>
        <w:autoSpaceDE w:val="0"/>
        <w:autoSpaceDN w:val="0"/>
        <w:spacing w:before="12"/>
        <w:jc w:val="left"/>
        <w:rPr>
          <w:rFonts w:hint="eastAsia" w:ascii="仿宋" w:hAnsi="仿宋" w:eastAsia="仿宋" w:cs="仿宋"/>
          <w:kern w:val="0"/>
          <w:sz w:val="24"/>
          <w:szCs w:val="24"/>
        </w:rPr>
      </w:pPr>
    </w:p>
    <w:p w14:paraId="4D83956F">
      <w:pPr>
        <w:autoSpaceDE w:val="0"/>
        <w:autoSpaceDN w:val="0"/>
        <w:spacing w:before="67"/>
        <w:ind w:right="891"/>
        <w:jc w:val="center"/>
        <w:outlineLvl w:val="9"/>
        <w:rPr>
          <w:rFonts w:hint="eastAsia" w:ascii="仿宋" w:hAnsi="仿宋" w:eastAsia="仿宋" w:cs="仿宋"/>
          <w:b/>
          <w:bCs/>
          <w:w w:val="95"/>
          <w:kern w:val="0"/>
          <w:sz w:val="24"/>
          <w:szCs w:val="24"/>
        </w:rPr>
      </w:pPr>
      <w:r>
        <w:rPr>
          <w:rFonts w:hint="eastAsia" w:ascii="仿宋" w:hAnsi="仿宋" w:eastAsia="仿宋" w:cs="仿宋"/>
          <w:b/>
          <w:bCs/>
          <w:w w:val="95"/>
          <w:kern w:val="0"/>
          <w:sz w:val="24"/>
          <w:szCs w:val="24"/>
        </w:rPr>
        <w:t>磋商响应声明</w:t>
      </w:r>
    </w:p>
    <w:p w14:paraId="0CCAB194">
      <w:pPr>
        <w:pStyle w:val="9"/>
        <w:rPr>
          <w:rFonts w:hint="eastAsia"/>
        </w:rPr>
      </w:pPr>
    </w:p>
    <w:p w14:paraId="544F9D78">
      <w:pPr>
        <w:keepNext w:val="0"/>
        <w:keepLines w:val="0"/>
        <w:pageBreakBefore w:val="0"/>
        <w:widowControl w:val="0"/>
        <w:tabs>
          <w:tab w:val="left" w:pos="2193"/>
        </w:tabs>
        <w:kinsoku/>
        <w:wordWrap/>
        <w:overflowPunct/>
        <w:topLinePunct w:val="0"/>
        <w:autoSpaceDE w:val="0"/>
        <w:autoSpaceDN w:val="0"/>
        <w:bidi w:val="0"/>
        <w:adjustRightInd/>
        <w:snapToGrid w:val="0"/>
        <w:spacing w:before="199"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致</w:t>
      </w:r>
      <w:r>
        <w:rPr>
          <w:rFonts w:hint="eastAsia" w:ascii="仿宋" w:hAnsi="仿宋" w:eastAsia="仿宋" w:cs="仿宋"/>
          <w:kern w:val="0"/>
          <w:sz w:val="24"/>
          <w:szCs w:val="24"/>
          <w:u w:val="single"/>
        </w:rPr>
        <w:tab/>
      </w:r>
      <w:r>
        <w:rPr>
          <w:rFonts w:hint="eastAsia" w:ascii="仿宋" w:hAnsi="仿宋" w:eastAsia="仿宋" w:cs="仿宋"/>
          <w:kern w:val="0"/>
          <w:sz w:val="24"/>
          <w:szCs w:val="24"/>
        </w:rPr>
        <w:t>(采购人或采购代理机构)：</w:t>
      </w:r>
    </w:p>
    <w:p w14:paraId="7669CBEB">
      <w:pPr>
        <w:keepNext w:val="0"/>
        <w:keepLines w:val="0"/>
        <w:pageBreakBefore w:val="0"/>
        <w:widowControl w:val="0"/>
        <w:tabs>
          <w:tab w:val="left" w:pos="4353"/>
          <w:tab w:val="left" w:pos="10203"/>
        </w:tabs>
        <w:kinsoku/>
        <w:wordWrap/>
        <w:overflowPunct/>
        <w:topLinePunct w:val="0"/>
        <w:autoSpaceDE w:val="0"/>
        <w:autoSpaceDN w:val="0"/>
        <w:bidi w:val="0"/>
        <w:adjustRightInd/>
        <w:snapToGrid w:val="0"/>
        <w:spacing w:before="182" w:line="360" w:lineRule="auto"/>
        <w:ind w:right="380"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我方已仔细研究了</w:t>
      </w:r>
      <w:r>
        <w:rPr>
          <w:rFonts w:hint="eastAsia" w:ascii="仿宋" w:hAnsi="仿宋" w:eastAsia="仿宋" w:cs="仿宋"/>
          <w:kern w:val="0"/>
          <w:sz w:val="24"/>
          <w:szCs w:val="24"/>
          <w:u w:val="single"/>
        </w:rPr>
        <w:tab/>
      </w:r>
      <w:r>
        <w:rPr>
          <w:rFonts w:hint="eastAsia" w:ascii="仿宋" w:hAnsi="仿宋" w:eastAsia="仿宋" w:cs="仿宋"/>
          <w:kern w:val="0"/>
          <w:sz w:val="24"/>
          <w:szCs w:val="24"/>
        </w:rPr>
        <w:t>(项目名称)的竞争性采购文件(项目编号：</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spacing w:val="-1"/>
          <w:kern w:val="0"/>
          <w:sz w:val="24"/>
          <w:szCs w:val="24"/>
        </w:rPr>
        <w:t>)</w:t>
      </w:r>
      <w:r>
        <w:rPr>
          <w:rFonts w:hint="eastAsia" w:ascii="仿宋" w:hAnsi="仿宋" w:eastAsia="仿宋" w:cs="仿宋"/>
          <w:spacing w:val="-117"/>
          <w:kern w:val="0"/>
          <w:sz w:val="24"/>
          <w:szCs w:val="24"/>
        </w:rPr>
        <w:t xml:space="preserve"> </w:t>
      </w:r>
      <w:r>
        <w:rPr>
          <w:rFonts w:hint="eastAsia" w:ascii="仿宋" w:hAnsi="仿宋" w:eastAsia="仿宋" w:cs="仿宋"/>
          <w:spacing w:val="-1"/>
          <w:kern w:val="0"/>
          <w:sz w:val="24"/>
          <w:szCs w:val="24"/>
        </w:rPr>
        <w:t>的全部内容，知悉参加竞争性磋商的风险，我方承诺接受采购文件的</w:t>
      </w:r>
      <w:r>
        <w:rPr>
          <w:rFonts w:hint="eastAsia" w:ascii="仿宋" w:hAnsi="仿宋" w:eastAsia="仿宋" w:cs="仿宋"/>
          <w:kern w:val="0"/>
          <w:sz w:val="24"/>
          <w:szCs w:val="24"/>
        </w:rPr>
        <w:t>全部条款且无任何异议。</w:t>
      </w:r>
    </w:p>
    <w:p w14:paraId="0DD761B9">
      <w:pPr>
        <w:keepNext w:val="0"/>
        <w:keepLines w:val="0"/>
        <w:pageBreakBefore w:val="0"/>
        <w:widowControl w:val="0"/>
        <w:kinsoku/>
        <w:wordWrap/>
        <w:overflowPunct/>
        <w:topLinePunct w:val="0"/>
        <w:autoSpaceDE w:val="0"/>
        <w:autoSpaceDN w:val="0"/>
        <w:bidi w:val="0"/>
        <w:adjustRightInd/>
        <w:snapToGrid w:val="0"/>
        <w:spacing w:before="1"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一、我方同意在磋商响应有效期内遵守本响应文件中的承诺，且在此期限期满之前均具有法律约束力。</w:t>
      </w:r>
    </w:p>
    <w:p w14:paraId="7161170E">
      <w:pPr>
        <w:keepNext w:val="0"/>
        <w:keepLines w:val="0"/>
        <w:pageBreakBefore w:val="0"/>
        <w:widowControl w:val="0"/>
        <w:tabs>
          <w:tab w:val="left" w:pos="5112"/>
          <w:tab w:val="left" w:pos="6806"/>
          <w:tab w:val="left" w:pos="9238"/>
        </w:tabs>
        <w:kinsoku/>
        <w:wordWrap/>
        <w:overflowPunct/>
        <w:topLinePunct w:val="0"/>
        <w:autoSpaceDE w:val="0"/>
        <w:autoSpaceDN w:val="0"/>
        <w:bidi w:val="0"/>
        <w:adjustRightInd/>
        <w:snapToGrid w:val="0"/>
        <w:spacing w:before="3"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二、我方提交纸质响应文件正本</w:t>
      </w:r>
      <w:r>
        <w:rPr>
          <w:rFonts w:hint="eastAsia" w:ascii="仿宋" w:hAnsi="仿宋" w:eastAsia="仿宋" w:cs="仿宋"/>
          <w:kern w:val="0"/>
          <w:sz w:val="24"/>
          <w:szCs w:val="24"/>
          <w:u w:val="single"/>
          <w:lang w:val="en-US" w:eastAsia="zh-CN"/>
        </w:rPr>
        <w:t>/</w:t>
      </w:r>
      <w:r>
        <w:rPr>
          <w:rFonts w:hint="eastAsia" w:ascii="仿宋" w:hAnsi="仿宋" w:eastAsia="仿宋" w:cs="仿宋"/>
          <w:kern w:val="0"/>
          <w:sz w:val="24"/>
          <w:szCs w:val="24"/>
        </w:rPr>
        <w:t>份和副本</w:t>
      </w:r>
      <w:r>
        <w:rPr>
          <w:rFonts w:hint="eastAsia" w:ascii="仿宋" w:hAnsi="仿宋" w:eastAsia="仿宋" w:cs="仿宋"/>
          <w:kern w:val="0"/>
          <w:sz w:val="24"/>
          <w:szCs w:val="24"/>
          <w:u w:val="single"/>
          <w:lang w:val="en-US" w:eastAsia="zh-CN"/>
        </w:rPr>
        <w:t>/</w:t>
      </w:r>
      <w:r>
        <w:rPr>
          <w:rFonts w:hint="eastAsia" w:ascii="仿宋" w:hAnsi="仿宋" w:eastAsia="仿宋" w:cs="仿宋"/>
          <w:kern w:val="0"/>
          <w:sz w:val="24"/>
          <w:szCs w:val="24"/>
        </w:rPr>
        <w:t>份，电子响应文件</w:t>
      </w:r>
      <w:r>
        <w:rPr>
          <w:rFonts w:hint="eastAsia" w:ascii="仿宋" w:hAnsi="仿宋" w:eastAsia="仿宋" w:cs="仿宋"/>
          <w:kern w:val="0"/>
          <w:sz w:val="24"/>
          <w:szCs w:val="24"/>
          <w:u w:val="single"/>
        </w:rPr>
        <w:tab/>
      </w:r>
      <w:r>
        <w:rPr>
          <w:rFonts w:hint="eastAsia" w:ascii="仿宋" w:hAnsi="仿宋" w:eastAsia="仿宋" w:cs="仿宋"/>
          <w:kern w:val="0"/>
          <w:sz w:val="24"/>
          <w:szCs w:val="24"/>
        </w:rPr>
        <w:t>套，并保证响应文件提供的数据和材料是真实、准确的。否则，愿承担《政府采购法》第七十七条规定的法律责任。</w:t>
      </w:r>
    </w:p>
    <w:p w14:paraId="589FD677">
      <w:pPr>
        <w:keepNext w:val="0"/>
        <w:keepLines w:val="0"/>
        <w:pageBreakBefore w:val="0"/>
        <w:widowControl w:val="0"/>
        <w:kinsoku/>
        <w:wordWrap/>
        <w:overflowPunct/>
        <w:topLinePunct w:val="0"/>
        <w:autoSpaceDE w:val="0"/>
        <w:autoSpaceDN w:val="0"/>
        <w:bidi w:val="0"/>
        <w:adjustRightInd/>
        <w:snapToGrid w:val="0"/>
        <w:spacing w:before="2"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三、我方愿意向贵方提供任何与本项采购有关的数据、情况和技术资料。若贵方需要，</w:t>
      </w:r>
      <w:r>
        <w:rPr>
          <w:rFonts w:hint="eastAsia" w:ascii="仿宋" w:hAnsi="仿宋" w:eastAsia="仿宋" w:cs="仿宋"/>
          <w:spacing w:val="-117"/>
          <w:kern w:val="0"/>
          <w:sz w:val="24"/>
          <w:szCs w:val="24"/>
        </w:rPr>
        <w:t xml:space="preserve"> </w:t>
      </w:r>
      <w:r>
        <w:rPr>
          <w:rFonts w:hint="eastAsia" w:ascii="仿宋" w:hAnsi="仿宋" w:eastAsia="仿宋" w:cs="仿宋"/>
          <w:kern w:val="0"/>
          <w:sz w:val="24"/>
          <w:szCs w:val="24"/>
        </w:rPr>
        <w:t>我方愿意提供我方作出的一切承诺的证明材料。</w:t>
      </w:r>
    </w:p>
    <w:p w14:paraId="679F0B05">
      <w:pPr>
        <w:keepNext w:val="0"/>
        <w:keepLines w:val="0"/>
        <w:pageBreakBefore w:val="0"/>
        <w:widowControl w:val="0"/>
        <w:kinsoku/>
        <w:wordWrap/>
        <w:overflowPunct/>
        <w:topLinePunct w:val="0"/>
        <w:autoSpaceDE w:val="0"/>
        <w:autoSpaceDN w:val="0"/>
        <w:bidi w:val="0"/>
        <w:adjustRightInd/>
        <w:snapToGrid w:val="0"/>
        <w:spacing w:before="2"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四、我方愿意按采购文件规定和磋商小组要求重新提交响应文件和最后报价。</w:t>
      </w:r>
    </w:p>
    <w:p w14:paraId="77391D51">
      <w:pPr>
        <w:keepNext w:val="0"/>
        <w:keepLines w:val="0"/>
        <w:pageBreakBefore w:val="0"/>
        <w:widowControl w:val="0"/>
        <w:kinsoku/>
        <w:wordWrap/>
        <w:overflowPunct/>
        <w:topLinePunct w:val="0"/>
        <w:autoSpaceDE w:val="0"/>
        <w:autoSpaceDN w:val="0"/>
        <w:bidi w:val="0"/>
        <w:adjustRightInd/>
        <w:snapToGrid w:val="0"/>
        <w:spacing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五、我方承诺遵守《政府采购法》的有关规定，保证在获得成交资格后，按照采购文件确定的事项签订政府采购合同，履行双方所签订的合同，并承担合同规定的责任和义务。</w:t>
      </w:r>
    </w:p>
    <w:p w14:paraId="6FEEABFF">
      <w:pPr>
        <w:keepNext w:val="0"/>
        <w:keepLines w:val="0"/>
        <w:pageBreakBefore w:val="0"/>
        <w:widowControl w:val="0"/>
        <w:tabs>
          <w:tab w:val="left" w:pos="4648"/>
        </w:tabs>
        <w:kinsoku/>
        <w:wordWrap/>
        <w:overflowPunct/>
        <w:topLinePunct w:val="0"/>
        <w:autoSpaceDE w:val="0"/>
        <w:autoSpaceDN w:val="0"/>
        <w:bidi w:val="0"/>
        <w:adjustRightInd/>
        <w:snapToGrid w:val="0"/>
        <w:spacing w:line="360" w:lineRule="auto"/>
        <w:ind w:right="5810"/>
        <w:jc w:val="left"/>
        <w:textAlignment w:val="auto"/>
        <w:rPr>
          <w:rFonts w:hint="eastAsia" w:ascii="仿宋" w:hAnsi="仿宋" w:eastAsia="仿宋" w:cs="仿宋"/>
          <w:spacing w:val="-117"/>
          <w:kern w:val="0"/>
          <w:sz w:val="24"/>
          <w:szCs w:val="24"/>
        </w:rPr>
      </w:pPr>
    </w:p>
    <w:p w14:paraId="09D5A0B1">
      <w:pPr>
        <w:keepNext w:val="0"/>
        <w:keepLines w:val="0"/>
        <w:pageBreakBefore w:val="0"/>
        <w:widowControl w:val="0"/>
        <w:tabs>
          <w:tab w:val="left" w:pos="4648"/>
        </w:tabs>
        <w:kinsoku/>
        <w:wordWrap/>
        <w:overflowPunct/>
        <w:topLinePunct w:val="0"/>
        <w:autoSpaceDE w:val="0"/>
        <w:autoSpaceDN w:val="0"/>
        <w:bidi w:val="0"/>
        <w:adjustRightInd/>
        <w:snapToGrid w:val="0"/>
        <w:spacing w:line="360" w:lineRule="auto"/>
        <w:ind w:right="5810"/>
        <w:jc w:val="left"/>
        <w:textAlignment w:val="auto"/>
        <w:rPr>
          <w:rFonts w:hint="eastAsia" w:ascii="仿宋" w:hAnsi="仿宋" w:eastAsia="仿宋" w:cs="仿宋"/>
          <w:spacing w:val="-117"/>
          <w:kern w:val="0"/>
          <w:sz w:val="24"/>
          <w:szCs w:val="24"/>
        </w:rPr>
      </w:pPr>
    </w:p>
    <w:p w14:paraId="2A637A86">
      <w:pPr>
        <w:keepNext w:val="0"/>
        <w:keepLines w:val="0"/>
        <w:pageBreakBefore w:val="0"/>
        <w:widowControl w:val="0"/>
        <w:tabs>
          <w:tab w:val="left" w:pos="4648"/>
        </w:tabs>
        <w:kinsoku/>
        <w:wordWrap/>
        <w:overflowPunct/>
        <w:topLinePunct w:val="0"/>
        <w:autoSpaceDE w:val="0"/>
        <w:autoSpaceDN w:val="0"/>
        <w:bidi w:val="0"/>
        <w:adjustRightInd/>
        <w:snapToGrid w:val="0"/>
        <w:spacing w:line="360" w:lineRule="auto"/>
        <w:ind w:right="5810"/>
        <w:jc w:val="left"/>
        <w:textAlignment w:val="auto"/>
        <w:rPr>
          <w:rFonts w:hint="eastAsia" w:ascii="仿宋" w:hAnsi="仿宋" w:eastAsia="仿宋" w:cs="仿宋"/>
          <w:spacing w:val="-117"/>
          <w:kern w:val="0"/>
          <w:sz w:val="24"/>
          <w:szCs w:val="24"/>
        </w:rPr>
      </w:pPr>
    </w:p>
    <w:p w14:paraId="5331C6FE">
      <w:pPr>
        <w:keepNext w:val="0"/>
        <w:keepLines w:val="0"/>
        <w:pageBreakBefore w:val="0"/>
        <w:widowControl w:val="0"/>
        <w:kinsoku/>
        <w:wordWrap/>
        <w:overflowPunct/>
        <w:topLinePunct w:val="0"/>
        <w:autoSpaceDE w:val="0"/>
        <w:autoSpaceDN w:val="0"/>
        <w:bidi w:val="0"/>
        <w:adjustRightInd/>
        <w:snapToGrid w:val="0"/>
        <w:spacing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 xml:space="preserve">供应商名称(公章)： </w:t>
      </w:r>
      <w:r>
        <w:rPr>
          <w:rFonts w:hint="eastAsia" w:ascii="仿宋" w:hAnsi="仿宋" w:eastAsia="仿宋" w:cs="仿宋"/>
          <w:kern w:val="0"/>
          <w:sz w:val="24"/>
          <w:szCs w:val="24"/>
        </w:rPr>
        <w:tab/>
      </w:r>
    </w:p>
    <w:p w14:paraId="31FE5226">
      <w:pPr>
        <w:keepNext w:val="0"/>
        <w:keepLines w:val="0"/>
        <w:pageBreakBefore w:val="0"/>
        <w:widowControl w:val="0"/>
        <w:kinsoku/>
        <w:wordWrap/>
        <w:overflowPunct/>
        <w:topLinePunct w:val="0"/>
        <w:autoSpaceDE w:val="0"/>
        <w:autoSpaceDN w:val="0"/>
        <w:bidi w:val="0"/>
        <w:adjustRightInd/>
        <w:snapToGrid w:val="0"/>
        <w:spacing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 xml:space="preserve">法定代表人或授权代表(签字或盖章)： </w:t>
      </w:r>
      <w:r>
        <w:rPr>
          <w:rFonts w:hint="eastAsia" w:ascii="仿宋" w:hAnsi="仿宋" w:eastAsia="仿宋" w:cs="仿宋"/>
          <w:kern w:val="0"/>
          <w:sz w:val="24"/>
          <w:szCs w:val="24"/>
        </w:rPr>
        <w:tab/>
      </w:r>
    </w:p>
    <w:p w14:paraId="254CDC19">
      <w:pPr>
        <w:keepNext w:val="0"/>
        <w:keepLines w:val="0"/>
        <w:pageBreakBefore w:val="0"/>
        <w:widowControl w:val="0"/>
        <w:kinsoku/>
        <w:wordWrap/>
        <w:overflowPunct/>
        <w:topLinePunct w:val="0"/>
        <w:autoSpaceDE w:val="0"/>
        <w:autoSpaceDN w:val="0"/>
        <w:bidi w:val="0"/>
        <w:adjustRightInd/>
        <w:snapToGrid w:val="0"/>
        <w:spacing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日期：</w:t>
      </w:r>
      <w:r>
        <w:rPr>
          <w:rFonts w:hint="eastAsia" w:ascii="仿宋" w:hAnsi="仿宋" w:eastAsia="仿宋" w:cs="仿宋"/>
          <w:kern w:val="0"/>
          <w:sz w:val="24"/>
          <w:szCs w:val="24"/>
        </w:rPr>
        <w:tab/>
      </w:r>
      <w:r>
        <w:rPr>
          <w:rFonts w:hint="eastAsia" w:ascii="仿宋" w:hAnsi="仿宋" w:eastAsia="仿宋" w:cs="仿宋"/>
          <w:kern w:val="0"/>
          <w:sz w:val="24"/>
          <w:szCs w:val="24"/>
        </w:rPr>
        <w:t>年</w:t>
      </w:r>
      <w:r>
        <w:rPr>
          <w:rFonts w:hint="eastAsia" w:ascii="仿宋" w:hAnsi="仿宋" w:eastAsia="仿宋" w:cs="仿宋"/>
          <w:kern w:val="0"/>
          <w:sz w:val="24"/>
          <w:szCs w:val="24"/>
        </w:rPr>
        <w:tab/>
      </w:r>
      <w:r>
        <w:rPr>
          <w:rFonts w:hint="eastAsia" w:ascii="仿宋" w:hAnsi="仿宋" w:eastAsia="仿宋" w:cs="仿宋"/>
          <w:kern w:val="0"/>
          <w:sz w:val="24"/>
          <w:szCs w:val="24"/>
        </w:rPr>
        <w:t>月</w:t>
      </w:r>
      <w:r>
        <w:rPr>
          <w:rFonts w:hint="eastAsia" w:ascii="仿宋" w:hAnsi="仿宋" w:eastAsia="仿宋" w:cs="仿宋"/>
          <w:kern w:val="0"/>
          <w:sz w:val="24"/>
          <w:szCs w:val="24"/>
        </w:rPr>
        <w:tab/>
      </w:r>
      <w:r>
        <w:rPr>
          <w:rFonts w:hint="eastAsia" w:ascii="仿宋" w:hAnsi="仿宋" w:eastAsia="仿宋" w:cs="仿宋"/>
          <w:kern w:val="0"/>
          <w:sz w:val="24"/>
          <w:szCs w:val="24"/>
        </w:rPr>
        <w:t>日</w:t>
      </w:r>
    </w:p>
    <w:p w14:paraId="05927263">
      <w:pPr>
        <w:autoSpaceDE w:val="0"/>
        <w:autoSpaceDN w:val="0"/>
        <w:jc w:val="left"/>
        <w:rPr>
          <w:rFonts w:hint="eastAsia" w:ascii="仿宋" w:hAnsi="仿宋" w:eastAsia="仿宋" w:cs="仿宋"/>
          <w:kern w:val="0"/>
          <w:sz w:val="24"/>
          <w:szCs w:val="24"/>
        </w:rPr>
        <w:sectPr>
          <w:headerReference r:id="rId9" w:type="default"/>
          <w:footerReference r:id="rId10" w:type="default"/>
          <w:pgSz w:w="11911" w:h="16838"/>
          <w:pgMar w:top="1440" w:right="1140" w:bottom="1440" w:left="1140" w:header="850" w:footer="1088" w:gutter="0"/>
          <w:pgNumType w:fmt="decimal" w:start="1"/>
          <w:cols w:space="0" w:num="1"/>
          <w:rtlGutter w:val="0"/>
          <w:docGrid w:linePitch="0" w:charSpace="0"/>
        </w:sectPr>
      </w:pPr>
    </w:p>
    <w:p w14:paraId="2DC5DB9F">
      <w:pPr>
        <w:tabs>
          <w:tab w:val="left" w:pos="2733"/>
        </w:tabs>
        <w:autoSpaceDE w:val="0"/>
        <w:autoSpaceDN w:val="0"/>
        <w:spacing w:before="100"/>
        <w:jc w:val="both"/>
        <w:rPr>
          <w:rFonts w:hint="eastAsia" w:ascii="仿宋" w:hAnsi="仿宋" w:eastAsia="仿宋" w:cs="仿宋"/>
          <w:kern w:val="0"/>
          <w:sz w:val="24"/>
          <w:szCs w:val="24"/>
        </w:rPr>
      </w:pPr>
      <w:r>
        <w:rPr>
          <w:rFonts w:hint="eastAsia" w:ascii="仿宋" w:hAnsi="仿宋" w:eastAsia="仿宋" w:cs="仿宋"/>
          <w:kern w:val="0"/>
          <w:sz w:val="24"/>
          <w:szCs w:val="24"/>
        </w:rPr>
        <w:t>附件</w:t>
      </w:r>
      <w:r>
        <w:rPr>
          <w:rFonts w:hint="eastAsia" w:ascii="仿宋" w:hAnsi="仿宋" w:eastAsia="仿宋" w:cs="仿宋"/>
          <w:spacing w:val="-60"/>
          <w:kern w:val="0"/>
          <w:sz w:val="24"/>
          <w:szCs w:val="24"/>
        </w:rPr>
        <w:t xml:space="preserve"> </w:t>
      </w:r>
      <w:r>
        <w:rPr>
          <w:rFonts w:hint="eastAsia" w:ascii="仿宋" w:hAnsi="仿宋" w:eastAsia="仿宋" w:cs="仿宋"/>
          <w:kern w:val="0"/>
          <w:sz w:val="24"/>
          <w:szCs w:val="24"/>
        </w:rPr>
        <w:t>1－1</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法定代表人身份证明(法定代表人参加磋商)</w:t>
      </w:r>
    </w:p>
    <w:p w14:paraId="705930E5">
      <w:pPr>
        <w:autoSpaceDE w:val="0"/>
        <w:autoSpaceDN w:val="0"/>
        <w:adjustRightInd w:val="0"/>
        <w:spacing w:line="360" w:lineRule="auto"/>
        <w:jc w:val="center"/>
        <w:rPr>
          <w:rFonts w:hint="eastAsia" w:ascii="仿宋" w:hAnsi="仿宋" w:eastAsia="仿宋" w:cs="仿宋"/>
          <w:b/>
          <w:kern w:val="0"/>
          <w:sz w:val="24"/>
          <w:szCs w:val="24"/>
        </w:rPr>
      </w:pPr>
    </w:p>
    <w:p w14:paraId="15C0F972">
      <w:pPr>
        <w:autoSpaceDE w:val="0"/>
        <w:autoSpaceDN w:val="0"/>
        <w:adjustRightInd w:val="0"/>
        <w:spacing w:line="360" w:lineRule="auto"/>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1、法定代表人身份证明</w:t>
      </w:r>
    </w:p>
    <w:p w14:paraId="635A9F11">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采购人：</w:t>
      </w:r>
      <w:r>
        <w:rPr>
          <w:rFonts w:hint="eastAsia" w:ascii="仿宋" w:hAnsi="仿宋" w:eastAsia="仿宋" w:cs="仿宋"/>
          <w:kern w:val="0"/>
          <w:sz w:val="24"/>
          <w:szCs w:val="24"/>
          <w:u w:val="single"/>
        </w:rPr>
        <w:t xml:space="preserve">                                            </w:t>
      </w:r>
    </w:p>
    <w:p w14:paraId="70F63359">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兹证明</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同志在我单位任</w:t>
      </w:r>
      <w:r>
        <w:rPr>
          <w:rFonts w:hint="eastAsia" w:ascii="仿宋" w:hAnsi="仿宋" w:eastAsia="仿宋" w:cs="仿宋"/>
          <w:kern w:val="0"/>
          <w:sz w:val="24"/>
          <w:szCs w:val="24"/>
          <w:u w:val="single"/>
        </w:rPr>
        <w:t>（职务）</w:t>
      </w:r>
      <w:r>
        <w:rPr>
          <w:rFonts w:hint="eastAsia" w:ascii="仿宋" w:hAnsi="仿宋" w:eastAsia="仿宋" w:cs="仿宋"/>
          <w:kern w:val="0"/>
          <w:sz w:val="24"/>
          <w:szCs w:val="24"/>
        </w:rPr>
        <w:t>，是我单位的法定代表人。</w:t>
      </w:r>
    </w:p>
    <w:p w14:paraId="073DDDE9">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附法定代表人基本情况：</w:t>
      </w:r>
    </w:p>
    <w:p w14:paraId="06C0A8B6">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姓名</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性别</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年龄</w:t>
      </w:r>
      <w:r>
        <w:rPr>
          <w:rFonts w:hint="eastAsia" w:ascii="仿宋" w:hAnsi="仿宋" w:eastAsia="仿宋" w:cs="仿宋"/>
          <w:kern w:val="0"/>
          <w:sz w:val="24"/>
          <w:szCs w:val="24"/>
          <w:u w:val="single"/>
        </w:rPr>
        <w:t xml:space="preserve">     </w:t>
      </w:r>
    </w:p>
    <w:p w14:paraId="4826B699">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身份证号码：</w:t>
      </w:r>
      <w:r>
        <w:rPr>
          <w:rFonts w:hint="eastAsia" w:ascii="仿宋" w:hAnsi="仿宋" w:eastAsia="仿宋" w:cs="仿宋"/>
          <w:kern w:val="0"/>
          <w:sz w:val="24"/>
          <w:szCs w:val="24"/>
          <w:u w:val="single"/>
        </w:rPr>
        <w:t xml:space="preserve">                </w:t>
      </w:r>
    </w:p>
    <w:p w14:paraId="780CD174">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通讯地址：</w:t>
      </w:r>
      <w:r>
        <w:rPr>
          <w:rFonts w:hint="eastAsia" w:ascii="仿宋" w:hAnsi="仿宋" w:eastAsia="仿宋" w:cs="仿宋"/>
          <w:kern w:val="0"/>
          <w:sz w:val="24"/>
          <w:szCs w:val="24"/>
          <w:u w:val="single"/>
        </w:rPr>
        <w:t xml:space="preserve">                  </w:t>
      </w:r>
    </w:p>
    <w:p w14:paraId="63890FE8">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电话号码：</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邮编：</w:t>
      </w:r>
      <w:r>
        <w:rPr>
          <w:rFonts w:hint="eastAsia" w:ascii="仿宋" w:hAnsi="仿宋" w:eastAsia="仿宋" w:cs="仿宋"/>
          <w:kern w:val="0"/>
          <w:sz w:val="24"/>
          <w:szCs w:val="24"/>
          <w:u w:val="single"/>
        </w:rPr>
        <w:t xml:space="preserve">           </w:t>
      </w:r>
    </w:p>
    <w:p w14:paraId="24A43756">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3FF8BB8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018F246E">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w:t>
      </w:r>
      <w:r>
        <w:rPr>
          <w:rFonts w:hint="eastAsia" w:ascii="仿宋" w:hAnsi="仿宋" w:eastAsia="仿宋" w:cs="仿宋"/>
          <w:kern w:val="0"/>
          <w:sz w:val="24"/>
          <w:szCs w:val="24"/>
          <w:u w:val="single"/>
        </w:rPr>
        <w:t>（全称）（盖章）</w:t>
      </w:r>
    </w:p>
    <w:p w14:paraId="152276E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法定代表人：</w:t>
      </w:r>
      <w:r>
        <w:rPr>
          <w:rFonts w:hint="eastAsia" w:ascii="仿宋" w:hAnsi="仿宋" w:eastAsia="仿宋" w:cs="仿宋"/>
          <w:kern w:val="0"/>
          <w:sz w:val="24"/>
          <w:szCs w:val="24"/>
          <w:u w:val="single"/>
        </w:rPr>
        <w:t>（</w:t>
      </w:r>
      <w:r>
        <w:rPr>
          <w:rFonts w:hint="eastAsia" w:ascii="仿宋" w:hAnsi="仿宋" w:eastAsia="仿宋" w:cs="仿宋"/>
          <w:kern w:val="0"/>
          <w:sz w:val="24"/>
          <w:szCs w:val="24"/>
          <w:u w:val="single"/>
          <w:lang w:val="en-US" w:eastAsia="zh-CN"/>
        </w:rPr>
        <w:t>签字或</w:t>
      </w:r>
      <w:r>
        <w:rPr>
          <w:rFonts w:hint="eastAsia" w:ascii="仿宋" w:hAnsi="仿宋" w:eastAsia="仿宋" w:cs="仿宋"/>
          <w:kern w:val="0"/>
          <w:sz w:val="24"/>
          <w:szCs w:val="24"/>
          <w:u w:val="single"/>
        </w:rPr>
        <w:t>盖章）</w:t>
      </w:r>
    </w:p>
    <w:p w14:paraId="3C96747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2011AEEE">
      <w:pPr>
        <w:keepNext w:val="0"/>
        <w:keepLines w:val="0"/>
        <w:pageBreakBefore w:val="0"/>
        <w:widowControl w:val="0"/>
        <w:kinsoku/>
        <w:wordWrap/>
        <w:overflowPunct/>
        <w:topLinePunct w:val="0"/>
        <w:autoSpaceDE w:val="0"/>
        <w:autoSpaceDN w:val="0"/>
        <w:bidi w:val="0"/>
        <w:adjustRightInd w:val="0"/>
        <w:snapToGrid w:val="0"/>
        <w:spacing w:line="360" w:lineRule="auto"/>
        <w:ind w:firstLine="361" w:firstLineChars="150"/>
        <w:jc w:val="left"/>
        <w:textAlignment w:val="auto"/>
        <w:rPr>
          <w:rFonts w:hint="eastAsia" w:ascii="仿宋" w:hAnsi="仿宋" w:eastAsia="仿宋" w:cs="仿宋"/>
          <w:b/>
          <w:kern w:val="0"/>
          <w:sz w:val="24"/>
          <w:szCs w:val="24"/>
        </w:rPr>
      </w:pPr>
      <w:r>
        <w:rPr>
          <w:rFonts w:hint="eastAsia" w:ascii="仿宋" w:hAnsi="仿宋" w:eastAsia="仿宋" w:cs="仿宋"/>
          <w:b/>
          <w:kern w:val="0"/>
          <w:sz w:val="24"/>
          <w:szCs w:val="24"/>
        </w:rPr>
        <w:t>附：法定代表人《居民身份证》</w:t>
      </w:r>
      <w:r>
        <w:rPr>
          <w:rFonts w:hint="eastAsia" w:ascii="仿宋" w:hAnsi="仿宋" w:eastAsia="仿宋" w:cs="仿宋"/>
          <w:b/>
          <w:kern w:val="0"/>
          <w:sz w:val="24"/>
          <w:szCs w:val="24"/>
          <w:lang w:val="en-US" w:eastAsia="zh-CN"/>
        </w:rPr>
        <w:t>扫描</w:t>
      </w:r>
      <w:r>
        <w:rPr>
          <w:rFonts w:hint="eastAsia" w:ascii="仿宋" w:hAnsi="仿宋" w:eastAsia="仿宋" w:cs="仿宋"/>
          <w:b/>
          <w:kern w:val="0"/>
          <w:sz w:val="24"/>
          <w:szCs w:val="24"/>
        </w:rPr>
        <w:t>件正反面</w:t>
      </w:r>
    </w:p>
    <w:p w14:paraId="67DAEA07">
      <w:pPr>
        <w:autoSpaceDE w:val="0"/>
        <w:autoSpaceDN w:val="0"/>
        <w:jc w:val="left"/>
        <w:rPr>
          <w:rFonts w:hint="eastAsia" w:ascii="仿宋" w:hAnsi="仿宋" w:eastAsia="仿宋" w:cs="仿宋"/>
          <w:kern w:val="0"/>
          <w:sz w:val="24"/>
          <w:szCs w:val="24"/>
        </w:rPr>
      </w:pPr>
    </w:p>
    <w:p w14:paraId="1124935F">
      <w:pPr>
        <w:autoSpaceDE w:val="0"/>
        <w:autoSpaceDN w:val="0"/>
        <w:spacing w:before="3"/>
        <w:jc w:val="left"/>
        <w:rPr>
          <w:rFonts w:hint="eastAsia" w:ascii="仿宋" w:hAnsi="仿宋" w:eastAsia="仿宋" w:cs="仿宋"/>
          <w:kern w:val="0"/>
          <w:sz w:val="24"/>
          <w:szCs w:val="24"/>
        </w:rPr>
      </w:pPr>
    </w:p>
    <w:p w14:paraId="164C9882">
      <w:pPr>
        <w:autoSpaceDE w:val="0"/>
        <w:autoSpaceDN w:val="0"/>
        <w:spacing w:before="10"/>
        <w:jc w:val="left"/>
        <w:rPr>
          <w:rFonts w:hint="eastAsia" w:ascii="仿宋" w:hAnsi="仿宋" w:eastAsia="仿宋" w:cs="仿宋"/>
          <w:kern w:val="0"/>
          <w:sz w:val="24"/>
          <w:szCs w:val="24"/>
        </w:rPr>
      </w:pPr>
    </w:p>
    <w:p w14:paraId="695A7F10">
      <w:pPr>
        <w:autoSpaceDE w:val="0"/>
        <w:autoSpaceDN w:val="0"/>
        <w:spacing w:before="67"/>
        <w:jc w:val="left"/>
        <w:rPr>
          <w:rFonts w:hint="eastAsia" w:ascii="仿宋" w:hAnsi="仿宋" w:eastAsia="仿宋" w:cs="仿宋"/>
          <w:spacing w:val="-3"/>
          <w:w w:val="95"/>
          <w:kern w:val="0"/>
          <w:sz w:val="24"/>
          <w:szCs w:val="24"/>
        </w:rPr>
      </w:pPr>
    </w:p>
    <w:p w14:paraId="1AA0607F">
      <w:pPr>
        <w:autoSpaceDE w:val="0"/>
        <w:autoSpaceDN w:val="0"/>
        <w:spacing w:before="67"/>
        <w:jc w:val="left"/>
        <w:rPr>
          <w:rFonts w:hint="eastAsia" w:ascii="仿宋" w:hAnsi="仿宋" w:eastAsia="仿宋" w:cs="仿宋"/>
          <w:spacing w:val="-3"/>
          <w:w w:val="95"/>
          <w:kern w:val="0"/>
          <w:sz w:val="24"/>
          <w:szCs w:val="24"/>
        </w:rPr>
      </w:pPr>
    </w:p>
    <w:p w14:paraId="42548A83">
      <w:pPr>
        <w:autoSpaceDE w:val="0"/>
        <w:autoSpaceDN w:val="0"/>
        <w:spacing w:before="67"/>
        <w:jc w:val="left"/>
        <w:rPr>
          <w:rFonts w:hint="eastAsia" w:ascii="仿宋" w:hAnsi="仿宋" w:eastAsia="仿宋" w:cs="仿宋"/>
          <w:spacing w:val="-3"/>
          <w:w w:val="95"/>
          <w:kern w:val="0"/>
          <w:sz w:val="24"/>
          <w:szCs w:val="24"/>
        </w:rPr>
      </w:pPr>
    </w:p>
    <w:p w14:paraId="687A1A28">
      <w:pPr>
        <w:autoSpaceDE w:val="0"/>
        <w:autoSpaceDN w:val="0"/>
        <w:spacing w:before="67"/>
        <w:jc w:val="left"/>
        <w:rPr>
          <w:rFonts w:hint="eastAsia" w:ascii="仿宋" w:hAnsi="仿宋" w:eastAsia="仿宋" w:cs="仿宋"/>
          <w:spacing w:val="-3"/>
          <w:w w:val="95"/>
          <w:kern w:val="0"/>
          <w:sz w:val="24"/>
          <w:szCs w:val="24"/>
        </w:rPr>
      </w:pPr>
    </w:p>
    <w:p w14:paraId="43A38668">
      <w:pPr>
        <w:autoSpaceDE w:val="0"/>
        <w:autoSpaceDN w:val="0"/>
        <w:spacing w:before="67"/>
        <w:jc w:val="left"/>
        <w:rPr>
          <w:rFonts w:hint="eastAsia" w:ascii="仿宋" w:hAnsi="仿宋" w:eastAsia="仿宋" w:cs="仿宋"/>
          <w:spacing w:val="-3"/>
          <w:w w:val="95"/>
          <w:kern w:val="0"/>
          <w:sz w:val="24"/>
          <w:szCs w:val="24"/>
        </w:rPr>
      </w:pPr>
    </w:p>
    <w:p w14:paraId="0DB3F4B3">
      <w:pPr>
        <w:autoSpaceDE w:val="0"/>
        <w:autoSpaceDN w:val="0"/>
        <w:spacing w:before="67"/>
        <w:jc w:val="left"/>
        <w:rPr>
          <w:rFonts w:hint="eastAsia" w:ascii="仿宋" w:hAnsi="仿宋" w:eastAsia="仿宋" w:cs="仿宋"/>
          <w:spacing w:val="-3"/>
          <w:w w:val="95"/>
          <w:kern w:val="0"/>
          <w:sz w:val="24"/>
          <w:szCs w:val="24"/>
        </w:rPr>
      </w:pPr>
    </w:p>
    <w:p w14:paraId="1B0C12B7">
      <w:pPr>
        <w:autoSpaceDE w:val="0"/>
        <w:autoSpaceDN w:val="0"/>
        <w:spacing w:before="67"/>
        <w:jc w:val="left"/>
        <w:rPr>
          <w:rFonts w:hint="eastAsia" w:ascii="仿宋" w:hAnsi="仿宋" w:eastAsia="仿宋" w:cs="仿宋"/>
          <w:spacing w:val="-3"/>
          <w:w w:val="95"/>
          <w:kern w:val="0"/>
          <w:sz w:val="24"/>
          <w:szCs w:val="24"/>
        </w:rPr>
      </w:pPr>
    </w:p>
    <w:p w14:paraId="125D31E6">
      <w:pPr>
        <w:autoSpaceDE w:val="0"/>
        <w:autoSpaceDN w:val="0"/>
        <w:spacing w:before="67"/>
        <w:jc w:val="left"/>
        <w:rPr>
          <w:rFonts w:hint="eastAsia" w:ascii="仿宋" w:hAnsi="仿宋" w:eastAsia="仿宋" w:cs="仿宋"/>
          <w:spacing w:val="-3"/>
          <w:w w:val="95"/>
          <w:kern w:val="0"/>
          <w:sz w:val="24"/>
          <w:szCs w:val="24"/>
        </w:rPr>
      </w:pPr>
    </w:p>
    <w:p w14:paraId="6FA1FD35">
      <w:pPr>
        <w:autoSpaceDE w:val="0"/>
        <w:autoSpaceDN w:val="0"/>
        <w:spacing w:before="67"/>
        <w:jc w:val="left"/>
        <w:rPr>
          <w:rFonts w:hint="eastAsia" w:ascii="仿宋" w:hAnsi="仿宋" w:eastAsia="仿宋" w:cs="仿宋"/>
          <w:spacing w:val="-3"/>
          <w:w w:val="95"/>
          <w:kern w:val="0"/>
          <w:sz w:val="24"/>
          <w:szCs w:val="24"/>
        </w:rPr>
      </w:pPr>
    </w:p>
    <w:p w14:paraId="059B166C">
      <w:pPr>
        <w:autoSpaceDE w:val="0"/>
        <w:autoSpaceDN w:val="0"/>
        <w:spacing w:before="67"/>
        <w:jc w:val="left"/>
        <w:rPr>
          <w:rFonts w:hint="eastAsia" w:ascii="仿宋" w:hAnsi="仿宋" w:eastAsia="仿宋" w:cs="仿宋"/>
          <w:spacing w:val="-3"/>
          <w:w w:val="95"/>
          <w:kern w:val="0"/>
          <w:sz w:val="24"/>
          <w:szCs w:val="24"/>
        </w:rPr>
      </w:pPr>
    </w:p>
    <w:p w14:paraId="7951A90C">
      <w:pPr>
        <w:autoSpaceDE w:val="0"/>
        <w:autoSpaceDN w:val="0"/>
        <w:spacing w:before="67"/>
        <w:jc w:val="left"/>
        <w:rPr>
          <w:rFonts w:hint="eastAsia" w:ascii="仿宋" w:hAnsi="仿宋" w:eastAsia="仿宋" w:cs="仿宋"/>
          <w:spacing w:val="-3"/>
          <w:w w:val="95"/>
          <w:kern w:val="0"/>
          <w:sz w:val="24"/>
          <w:szCs w:val="24"/>
        </w:rPr>
      </w:pPr>
    </w:p>
    <w:p w14:paraId="2F9B4C3F">
      <w:pPr>
        <w:rPr>
          <w:rFonts w:hint="eastAsia" w:ascii="仿宋" w:hAnsi="仿宋" w:eastAsia="仿宋" w:cs="仿宋"/>
          <w:spacing w:val="-3"/>
          <w:w w:val="95"/>
          <w:kern w:val="0"/>
          <w:sz w:val="24"/>
          <w:szCs w:val="24"/>
        </w:rPr>
      </w:pPr>
      <w:r>
        <w:rPr>
          <w:rFonts w:hint="eastAsia" w:ascii="仿宋" w:hAnsi="仿宋" w:eastAsia="仿宋" w:cs="仿宋"/>
          <w:spacing w:val="-3"/>
          <w:w w:val="95"/>
          <w:kern w:val="0"/>
          <w:sz w:val="24"/>
          <w:szCs w:val="24"/>
        </w:rPr>
        <w:br w:type="page"/>
      </w:r>
    </w:p>
    <w:p w14:paraId="5C5ED1AA">
      <w:pPr>
        <w:autoSpaceDE w:val="0"/>
        <w:autoSpaceDN w:val="0"/>
        <w:spacing w:before="67"/>
        <w:jc w:val="left"/>
        <w:rPr>
          <w:rFonts w:hint="eastAsia" w:ascii="仿宋" w:hAnsi="仿宋" w:eastAsia="仿宋" w:cs="仿宋"/>
          <w:kern w:val="0"/>
          <w:sz w:val="24"/>
          <w:szCs w:val="24"/>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1－2</w:t>
      </w:r>
    </w:p>
    <w:p w14:paraId="38806667">
      <w:pPr>
        <w:autoSpaceDE w:val="0"/>
        <w:autoSpaceDN w:val="0"/>
        <w:spacing w:before="2"/>
        <w:jc w:val="left"/>
        <w:rPr>
          <w:rFonts w:hint="eastAsia" w:ascii="仿宋" w:hAnsi="仿宋" w:eastAsia="仿宋" w:cs="仿宋"/>
          <w:kern w:val="0"/>
          <w:sz w:val="24"/>
          <w:szCs w:val="24"/>
        </w:rPr>
      </w:pPr>
    </w:p>
    <w:p w14:paraId="20181DA8">
      <w:pPr>
        <w:autoSpaceDE w:val="0"/>
        <w:autoSpaceDN w:val="0"/>
        <w:spacing w:before="74"/>
        <w:ind w:right="891"/>
        <w:jc w:val="center"/>
        <w:outlineLvl w:val="9"/>
        <w:rPr>
          <w:rFonts w:hint="eastAsia" w:ascii="仿宋" w:hAnsi="仿宋" w:eastAsia="仿宋" w:cs="仿宋"/>
          <w:b/>
          <w:bCs/>
          <w:kern w:val="0"/>
          <w:sz w:val="24"/>
          <w:szCs w:val="24"/>
        </w:rPr>
      </w:pPr>
      <w:r>
        <w:rPr>
          <w:rFonts w:hint="eastAsia" w:ascii="仿宋" w:hAnsi="仿宋" w:eastAsia="仿宋" w:cs="仿宋"/>
          <w:b/>
          <w:bCs/>
          <w:w w:val="95"/>
          <w:kern w:val="0"/>
          <w:sz w:val="24"/>
          <w:szCs w:val="24"/>
        </w:rPr>
        <w:t>法定代表人授权委托书(授权代表参加磋商)</w:t>
      </w:r>
    </w:p>
    <w:p w14:paraId="0C1DE4A9">
      <w:pPr>
        <w:keepNext w:val="0"/>
        <w:keepLines w:val="0"/>
        <w:pageBreakBefore w:val="0"/>
        <w:widowControl w:val="0"/>
        <w:kinsoku/>
        <w:wordWrap/>
        <w:overflowPunct/>
        <w:topLinePunct w:val="0"/>
        <w:autoSpaceDE w:val="0"/>
        <w:autoSpaceDN w:val="0"/>
        <w:bidi w:val="0"/>
        <w:snapToGrid w:val="0"/>
        <w:spacing w:before="5" w:line="360" w:lineRule="auto"/>
        <w:jc w:val="left"/>
        <w:textAlignment w:val="auto"/>
        <w:rPr>
          <w:rFonts w:hint="eastAsia" w:ascii="仿宋" w:hAnsi="仿宋" w:eastAsia="仿宋" w:cs="仿宋"/>
          <w:b/>
          <w:kern w:val="0"/>
          <w:sz w:val="24"/>
          <w:szCs w:val="24"/>
        </w:rPr>
      </w:pPr>
    </w:p>
    <w:p w14:paraId="06AE831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本授权书声明：注册于</w:t>
      </w:r>
      <w:r>
        <w:rPr>
          <w:rFonts w:hint="eastAsia" w:ascii="仿宋" w:hAnsi="仿宋" w:eastAsia="仿宋" w:cs="仿宋"/>
          <w:kern w:val="0"/>
          <w:sz w:val="24"/>
          <w:szCs w:val="24"/>
          <w:u w:val="single"/>
        </w:rPr>
        <w:t>（地区的名称）</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（公司名称）</w:t>
      </w:r>
      <w:r>
        <w:rPr>
          <w:rFonts w:hint="eastAsia" w:ascii="仿宋" w:hAnsi="仿宋" w:eastAsia="仿宋" w:cs="仿宋"/>
          <w:kern w:val="0"/>
          <w:sz w:val="24"/>
          <w:szCs w:val="24"/>
        </w:rPr>
        <w:t>，在下面盖章的法定代表人</w:t>
      </w:r>
      <w:r>
        <w:rPr>
          <w:rFonts w:hint="eastAsia" w:ascii="仿宋" w:hAnsi="仿宋" w:eastAsia="仿宋" w:cs="仿宋"/>
          <w:kern w:val="0"/>
          <w:sz w:val="24"/>
          <w:szCs w:val="24"/>
          <w:u w:val="single"/>
        </w:rPr>
        <w:t>（姓名、职务）</w:t>
      </w:r>
      <w:r>
        <w:rPr>
          <w:rFonts w:hint="eastAsia" w:ascii="仿宋" w:hAnsi="仿宋" w:eastAsia="仿宋" w:cs="仿宋"/>
          <w:kern w:val="0"/>
          <w:sz w:val="24"/>
          <w:szCs w:val="24"/>
        </w:rPr>
        <w:t>，代表本公司委托在下面签字的</w:t>
      </w:r>
      <w:r>
        <w:rPr>
          <w:rFonts w:hint="eastAsia" w:ascii="仿宋" w:hAnsi="仿宋" w:eastAsia="仿宋" w:cs="仿宋"/>
          <w:kern w:val="0"/>
          <w:sz w:val="24"/>
          <w:szCs w:val="24"/>
          <w:u w:val="single"/>
        </w:rPr>
        <w:t>（被授权人的姓名、职务）</w:t>
      </w:r>
      <w:r>
        <w:rPr>
          <w:rFonts w:hint="eastAsia" w:ascii="仿宋" w:hAnsi="仿宋" w:eastAsia="仿宋" w:cs="仿宋"/>
          <w:kern w:val="0"/>
          <w:sz w:val="24"/>
          <w:szCs w:val="24"/>
        </w:rPr>
        <w:t>为本公司的合法代理人，就</w:t>
      </w:r>
      <w:r>
        <w:rPr>
          <w:rFonts w:hint="eastAsia" w:ascii="仿宋" w:hAnsi="仿宋" w:eastAsia="仿宋" w:cs="仿宋"/>
          <w:kern w:val="0"/>
          <w:sz w:val="24"/>
          <w:szCs w:val="24"/>
          <w:u w:val="single"/>
        </w:rPr>
        <w:t>（项目名称）</w:t>
      </w:r>
      <w:r>
        <w:rPr>
          <w:rFonts w:hint="eastAsia" w:ascii="仿宋" w:hAnsi="仿宋" w:eastAsia="仿宋" w:cs="仿宋"/>
          <w:kern w:val="0"/>
          <w:sz w:val="24"/>
          <w:szCs w:val="24"/>
        </w:rPr>
        <w:t>的</w:t>
      </w:r>
      <w:r>
        <w:rPr>
          <w:rFonts w:hint="eastAsia" w:ascii="仿宋" w:hAnsi="仿宋" w:eastAsia="仿宋" w:cs="仿宋"/>
          <w:kern w:val="0"/>
          <w:sz w:val="24"/>
          <w:szCs w:val="24"/>
          <w:lang w:val="en-US" w:eastAsia="zh-CN"/>
        </w:rPr>
        <w:t>磋商</w:t>
      </w:r>
      <w:r>
        <w:rPr>
          <w:rFonts w:hint="eastAsia" w:ascii="仿宋" w:hAnsi="仿宋" w:eastAsia="仿宋" w:cs="仿宋"/>
          <w:kern w:val="0"/>
          <w:sz w:val="24"/>
          <w:szCs w:val="24"/>
        </w:rPr>
        <w:t>，以本公司的名义处理一切与之有关的事务。</w:t>
      </w:r>
    </w:p>
    <w:p w14:paraId="4ACC8500">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本授权书于</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年</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月</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日签字生效，代理人无转委托权，特此声明。</w:t>
      </w:r>
    </w:p>
    <w:p w14:paraId="0F4795A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b/>
          <w:bCs/>
          <w:kern w:val="0"/>
          <w:sz w:val="24"/>
          <w:szCs w:val="24"/>
        </w:rPr>
        <w:t>附：</w:t>
      </w:r>
      <w:r>
        <w:rPr>
          <w:rFonts w:hint="eastAsia" w:ascii="仿宋" w:hAnsi="仿宋" w:eastAsia="仿宋" w:cs="仿宋"/>
          <w:b/>
          <w:bCs/>
          <w:kern w:val="0"/>
          <w:sz w:val="24"/>
          <w:szCs w:val="24"/>
          <w:lang w:val="en-US" w:eastAsia="zh-CN"/>
        </w:rPr>
        <w:t>被授权人</w:t>
      </w:r>
      <w:r>
        <w:rPr>
          <w:rFonts w:hint="eastAsia" w:ascii="仿宋" w:hAnsi="仿宋" w:eastAsia="仿宋" w:cs="仿宋"/>
          <w:b/>
          <w:bCs/>
          <w:kern w:val="0"/>
          <w:sz w:val="24"/>
          <w:szCs w:val="24"/>
        </w:rPr>
        <w:t>的身份证</w:t>
      </w:r>
      <w:r>
        <w:rPr>
          <w:rFonts w:hint="eastAsia" w:ascii="仿宋" w:hAnsi="仿宋" w:eastAsia="仿宋" w:cs="仿宋"/>
          <w:b/>
          <w:bCs/>
          <w:kern w:val="0"/>
          <w:sz w:val="24"/>
          <w:szCs w:val="24"/>
          <w:lang w:eastAsia="zh-CN"/>
        </w:rPr>
        <w:t>扫描件</w:t>
      </w:r>
      <w:r>
        <w:rPr>
          <w:rFonts w:hint="eastAsia" w:ascii="仿宋" w:hAnsi="仿宋" w:eastAsia="仿宋" w:cs="仿宋"/>
          <w:b/>
          <w:bCs/>
          <w:kern w:val="0"/>
          <w:sz w:val="24"/>
          <w:szCs w:val="24"/>
        </w:rPr>
        <w:t>（加盖单位公章）</w:t>
      </w:r>
    </w:p>
    <w:p w14:paraId="64271115">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60E6C24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78B7445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481DA68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w:t>
      </w:r>
      <w:r>
        <w:rPr>
          <w:rFonts w:hint="eastAsia" w:ascii="仿宋" w:hAnsi="仿宋" w:eastAsia="仿宋" w:cs="仿宋"/>
          <w:kern w:val="0"/>
          <w:sz w:val="24"/>
          <w:szCs w:val="24"/>
          <w:u w:val="single"/>
        </w:rPr>
        <w:t>（全称）（盖章）</w:t>
      </w:r>
    </w:p>
    <w:p w14:paraId="77078F2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法定代表人：</w:t>
      </w:r>
      <w:r>
        <w:rPr>
          <w:rFonts w:hint="eastAsia" w:ascii="仿宋" w:hAnsi="仿宋" w:eastAsia="仿宋" w:cs="仿宋"/>
          <w:kern w:val="0"/>
          <w:sz w:val="24"/>
          <w:szCs w:val="24"/>
          <w:u w:val="single"/>
        </w:rPr>
        <w:t>（</w:t>
      </w:r>
      <w:r>
        <w:rPr>
          <w:rFonts w:hint="eastAsia" w:ascii="仿宋" w:hAnsi="仿宋" w:eastAsia="仿宋" w:cs="仿宋"/>
          <w:kern w:val="0"/>
          <w:sz w:val="24"/>
          <w:szCs w:val="24"/>
          <w:u w:val="single"/>
          <w:lang w:val="en-US" w:eastAsia="zh-CN"/>
        </w:rPr>
        <w:t>签字或</w:t>
      </w:r>
      <w:r>
        <w:rPr>
          <w:rFonts w:hint="eastAsia" w:ascii="仿宋" w:hAnsi="仿宋" w:eastAsia="仿宋" w:cs="仿宋"/>
          <w:kern w:val="0"/>
          <w:sz w:val="24"/>
          <w:szCs w:val="24"/>
          <w:u w:val="single"/>
        </w:rPr>
        <w:t>盖章）</w:t>
      </w:r>
    </w:p>
    <w:p w14:paraId="58BE9FB7">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身份证号码：</w:t>
      </w:r>
      <w:r>
        <w:rPr>
          <w:rFonts w:hint="eastAsia" w:ascii="仿宋" w:hAnsi="仿宋" w:eastAsia="仿宋" w:cs="仿宋"/>
          <w:kern w:val="0"/>
          <w:sz w:val="24"/>
          <w:szCs w:val="24"/>
          <w:u w:val="single"/>
        </w:rPr>
        <w:t xml:space="preserve">                 </w:t>
      </w:r>
    </w:p>
    <w:p w14:paraId="35AB216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委托代理人签字：</w:t>
      </w:r>
      <w:r>
        <w:rPr>
          <w:rFonts w:hint="eastAsia" w:ascii="仿宋" w:hAnsi="仿宋" w:eastAsia="仿宋" w:cs="仿宋"/>
          <w:kern w:val="0"/>
          <w:sz w:val="24"/>
          <w:szCs w:val="24"/>
          <w:u w:val="single"/>
        </w:rPr>
        <w:t xml:space="preserve">             </w:t>
      </w:r>
    </w:p>
    <w:p w14:paraId="6938280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身份证号码：</w:t>
      </w:r>
      <w:r>
        <w:rPr>
          <w:rFonts w:hint="eastAsia" w:ascii="仿宋" w:hAnsi="仿宋" w:eastAsia="仿宋" w:cs="仿宋"/>
          <w:kern w:val="0"/>
          <w:sz w:val="24"/>
          <w:szCs w:val="24"/>
          <w:u w:val="single"/>
        </w:rPr>
        <w:t xml:space="preserve">                 </w:t>
      </w:r>
    </w:p>
    <w:p w14:paraId="5851A175">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授权日期：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398F80B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2C1BDD1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51D5BEE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注：1.法定代表人盖章必须是相关主管行政部门备案的法定代表人印章。不得使用其他印章或是电子版签名。</w:t>
      </w:r>
    </w:p>
    <w:p w14:paraId="6BFF198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2、</w:t>
      </w: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的委托代理人作为公司的代表前来参加</w:t>
      </w:r>
      <w:r>
        <w:rPr>
          <w:rFonts w:hint="eastAsia" w:ascii="仿宋" w:hAnsi="仿宋" w:eastAsia="仿宋" w:cs="仿宋"/>
          <w:kern w:val="0"/>
          <w:sz w:val="24"/>
          <w:szCs w:val="24"/>
          <w:lang w:eastAsia="zh-CN"/>
        </w:rPr>
        <w:t>磋商</w:t>
      </w:r>
      <w:r>
        <w:rPr>
          <w:rFonts w:hint="eastAsia" w:ascii="仿宋" w:hAnsi="仿宋" w:eastAsia="仿宋" w:cs="仿宋"/>
          <w:kern w:val="0"/>
          <w:sz w:val="24"/>
          <w:szCs w:val="24"/>
        </w:rPr>
        <w:t>的</w:t>
      </w: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，须提供此项证明文件。</w:t>
      </w:r>
    </w:p>
    <w:p w14:paraId="417E4490">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br w:type="page"/>
      </w:r>
    </w:p>
    <w:p w14:paraId="64224714">
      <w:pPr>
        <w:autoSpaceDE w:val="0"/>
        <w:autoSpaceDN w:val="0"/>
        <w:spacing w:before="62"/>
        <w:jc w:val="left"/>
        <w:outlineLvl w:val="9"/>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2</w:t>
      </w:r>
      <w:r>
        <w:rPr>
          <w:rFonts w:hint="eastAsia" w:ascii="仿宋" w:hAnsi="仿宋" w:eastAsia="仿宋" w:cs="仿宋"/>
          <w:b/>
          <w:bCs/>
          <w:kern w:val="0"/>
          <w:sz w:val="24"/>
          <w:szCs w:val="24"/>
        </w:rPr>
        <w:t>、报价一览表及分项价格表</w:t>
      </w:r>
    </w:p>
    <w:p w14:paraId="29574FF5">
      <w:pPr>
        <w:autoSpaceDE w:val="0"/>
        <w:autoSpaceDN w:val="0"/>
        <w:spacing w:before="3"/>
        <w:jc w:val="left"/>
        <w:rPr>
          <w:rFonts w:hint="eastAsia" w:ascii="仿宋" w:hAnsi="仿宋" w:eastAsia="仿宋" w:cs="仿宋"/>
          <w:kern w:val="0"/>
          <w:sz w:val="24"/>
          <w:szCs w:val="24"/>
        </w:rPr>
      </w:pPr>
    </w:p>
    <w:p w14:paraId="56B45AA6">
      <w:pPr>
        <w:autoSpaceDE w:val="0"/>
        <w:autoSpaceDN w:val="0"/>
        <w:jc w:val="left"/>
        <w:rPr>
          <w:rFonts w:hint="eastAsia" w:ascii="仿宋" w:hAnsi="仿宋" w:eastAsia="仿宋" w:cs="仿宋"/>
          <w:kern w:val="0"/>
          <w:sz w:val="24"/>
          <w:szCs w:val="24"/>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2－1</w:t>
      </w:r>
    </w:p>
    <w:p w14:paraId="731054DA">
      <w:pPr>
        <w:autoSpaceDE w:val="0"/>
        <w:autoSpaceDN w:val="0"/>
        <w:jc w:val="left"/>
        <w:rPr>
          <w:rFonts w:hint="eastAsia" w:ascii="仿宋" w:hAnsi="仿宋" w:eastAsia="仿宋" w:cs="仿宋"/>
          <w:kern w:val="0"/>
          <w:sz w:val="24"/>
          <w:szCs w:val="24"/>
        </w:rPr>
      </w:pPr>
    </w:p>
    <w:p w14:paraId="09612C41">
      <w:pPr>
        <w:autoSpaceDE w:val="0"/>
        <w:autoSpaceDN w:val="0"/>
        <w:spacing w:before="61"/>
        <w:ind w:right="891"/>
        <w:jc w:val="center"/>
        <w:outlineLvl w:val="9"/>
        <w:rPr>
          <w:rFonts w:hint="eastAsia" w:ascii="仿宋" w:hAnsi="仿宋" w:eastAsia="仿宋" w:cs="仿宋"/>
          <w:kern w:val="0"/>
          <w:sz w:val="24"/>
          <w:szCs w:val="24"/>
        </w:rPr>
      </w:pPr>
      <w:r>
        <w:rPr>
          <w:rFonts w:hint="eastAsia" w:ascii="仿宋" w:hAnsi="仿宋" w:eastAsia="仿宋" w:cs="仿宋"/>
          <w:b/>
          <w:bCs/>
          <w:kern w:val="0"/>
          <w:sz w:val="24"/>
          <w:szCs w:val="24"/>
        </w:rPr>
        <w:t>报价一览表</w:t>
      </w:r>
    </w:p>
    <w:p w14:paraId="5940C10B">
      <w:pPr>
        <w:autoSpaceDE w:val="0"/>
        <w:autoSpaceDN w:val="0"/>
        <w:jc w:val="left"/>
        <w:rPr>
          <w:rFonts w:hint="eastAsia" w:ascii="仿宋" w:hAnsi="仿宋" w:eastAsia="仿宋" w:cs="仿宋"/>
          <w:kern w:val="0"/>
          <w:sz w:val="24"/>
          <w:szCs w:val="24"/>
        </w:rPr>
      </w:pPr>
    </w:p>
    <w:p w14:paraId="155B02E0">
      <w:pPr>
        <w:autoSpaceDE w:val="0"/>
        <w:autoSpaceDN w:val="0"/>
        <w:jc w:val="left"/>
        <w:rPr>
          <w:rFonts w:hint="eastAsia" w:ascii="仿宋" w:hAnsi="仿宋" w:eastAsia="仿宋" w:cs="仿宋"/>
          <w:kern w:val="0"/>
          <w:sz w:val="24"/>
          <w:szCs w:val="24"/>
        </w:rPr>
      </w:pPr>
    </w:p>
    <w:p w14:paraId="3CB5EA75">
      <w:pPr>
        <w:autoSpaceDE w:val="0"/>
        <w:autoSpaceDN w:val="0"/>
        <w:jc w:val="left"/>
        <w:rPr>
          <w:rFonts w:hint="eastAsia" w:ascii="仿宋" w:hAnsi="仿宋" w:eastAsia="仿宋" w:cs="仿宋"/>
          <w:kern w:val="0"/>
          <w:sz w:val="24"/>
          <w:szCs w:val="24"/>
        </w:rPr>
      </w:pPr>
    </w:p>
    <w:tbl>
      <w:tblPr>
        <w:tblStyle w:val="46"/>
        <w:tblW w:w="0" w:type="auto"/>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7"/>
        <w:gridCol w:w="2657"/>
        <w:gridCol w:w="2845"/>
        <w:gridCol w:w="1236"/>
        <w:gridCol w:w="1726"/>
      </w:tblGrid>
      <w:tr w14:paraId="217CF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1227" w:type="dxa"/>
            <w:noWrap w:val="0"/>
            <w:vAlign w:val="center"/>
          </w:tcPr>
          <w:p w14:paraId="6638C721">
            <w:pPr>
              <w:keepNext w:val="0"/>
              <w:keepLines w:val="0"/>
              <w:pageBreakBefore w:val="0"/>
              <w:widowControl w:val="0"/>
              <w:kinsoku/>
              <w:wordWrap/>
              <w:overflowPunct/>
              <w:topLinePunct w:val="0"/>
              <w:autoSpaceDE w:val="0"/>
              <w:autoSpaceDN w:val="0"/>
              <w:bidi w:val="0"/>
              <w:adjustRightInd/>
              <w:snapToGrid w:val="0"/>
              <w:spacing w:line="240" w:lineRule="auto"/>
              <w:ind w:right="196"/>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序号</w:t>
            </w:r>
          </w:p>
        </w:tc>
        <w:tc>
          <w:tcPr>
            <w:tcW w:w="2657" w:type="dxa"/>
            <w:noWrap w:val="0"/>
            <w:vAlign w:val="center"/>
          </w:tcPr>
          <w:p w14:paraId="20F9B063">
            <w:pPr>
              <w:keepNext w:val="0"/>
              <w:keepLines w:val="0"/>
              <w:pageBreakBefore w:val="0"/>
              <w:widowControl w:val="0"/>
              <w:kinsoku/>
              <w:wordWrap/>
              <w:overflowPunct/>
              <w:topLinePunct w:val="0"/>
              <w:autoSpaceDE w:val="0"/>
              <w:autoSpaceDN w:val="0"/>
              <w:bidi w:val="0"/>
              <w:adjustRightInd/>
              <w:snapToGrid w:val="0"/>
              <w:spacing w:line="240" w:lineRule="auto"/>
              <w:ind w:right="134"/>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项目名称</w:t>
            </w:r>
          </w:p>
        </w:tc>
        <w:tc>
          <w:tcPr>
            <w:tcW w:w="2845" w:type="dxa"/>
            <w:noWrap w:val="0"/>
            <w:vAlign w:val="center"/>
          </w:tcPr>
          <w:p w14:paraId="2DC6D3C0">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p>
        </w:tc>
        <w:tc>
          <w:tcPr>
            <w:tcW w:w="1236" w:type="dxa"/>
            <w:noWrap w:val="0"/>
            <w:vAlign w:val="center"/>
          </w:tcPr>
          <w:p w14:paraId="07A9DE6E">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标项号</w:t>
            </w:r>
          </w:p>
        </w:tc>
        <w:tc>
          <w:tcPr>
            <w:tcW w:w="1726" w:type="dxa"/>
            <w:noWrap w:val="0"/>
            <w:vAlign w:val="center"/>
          </w:tcPr>
          <w:p w14:paraId="0698BB65">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p>
        </w:tc>
      </w:tr>
      <w:tr w14:paraId="6D081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4" w:hRule="atLeast"/>
        </w:trPr>
        <w:tc>
          <w:tcPr>
            <w:tcW w:w="1227" w:type="dxa"/>
            <w:noWrap w:val="0"/>
            <w:vAlign w:val="center"/>
          </w:tcPr>
          <w:p w14:paraId="3D988348">
            <w:pPr>
              <w:keepNext w:val="0"/>
              <w:keepLines w:val="0"/>
              <w:pageBreakBefore w:val="0"/>
              <w:widowControl w:val="0"/>
              <w:kinsoku/>
              <w:wordWrap/>
              <w:overflowPunct/>
              <w:topLinePunct w:val="0"/>
              <w:autoSpaceDE w:val="0"/>
              <w:autoSpaceDN w:val="0"/>
              <w:bidi w:val="0"/>
              <w:adjustRightInd/>
              <w:snapToGrid w:val="0"/>
              <w:spacing w:before="1" w:line="240" w:lineRule="auto"/>
              <w:jc w:val="center"/>
              <w:textAlignment w:val="auto"/>
              <w:rPr>
                <w:rFonts w:hint="eastAsia" w:ascii="仿宋" w:hAnsi="仿宋" w:eastAsia="仿宋" w:cs="仿宋"/>
                <w:kern w:val="0"/>
                <w:sz w:val="21"/>
                <w:szCs w:val="21"/>
                <w:lang w:eastAsia="en-US"/>
              </w:rPr>
            </w:pPr>
          </w:p>
          <w:p w14:paraId="433299DD">
            <w:pPr>
              <w:keepNext w:val="0"/>
              <w:keepLines w:val="0"/>
              <w:pageBreakBefore w:val="0"/>
              <w:widowControl w:val="0"/>
              <w:kinsoku/>
              <w:wordWrap/>
              <w:overflowPunct/>
              <w:topLinePunct w:val="0"/>
              <w:autoSpaceDE w:val="0"/>
              <w:autoSpaceDN w:val="0"/>
              <w:bidi w:val="0"/>
              <w:adjustRightInd/>
              <w:snapToGrid w:val="0"/>
              <w:spacing w:before="1" w:line="240" w:lineRule="auto"/>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1</w:t>
            </w:r>
          </w:p>
        </w:tc>
        <w:tc>
          <w:tcPr>
            <w:tcW w:w="2657" w:type="dxa"/>
            <w:noWrap w:val="0"/>
            <w:vAlign w:val="center"/>
          </w:tcPr>
          <w:p w14:paraId="05AD5978">
            <w:pPr>
              <w:keepNext w:val="0"/>
              <w:keepLines w:val="0"/>
              <w:pageBreakBefore w:val="0"/>
              <w:widowControl w:val="0"/>
              <w:kinsoku/>
              <w:wordWrap/>
              <w:overflowPunct/>
              <w:topLinePunct w:val="0"/>
              <w:autoSpaceDE w:val="0"/>
              <w:autoSpaceDN w:val="0"/>
              <w:bidi w:val="0"/>
              <w:adjustRightInd/>
              <w:snapToGrid w:val="0"/>
              <w:spacing w:before="1" w:line="240" w:lineRule="auto"/>
              <w:jc w:val="center"/>
              <w:textAlignment w:val="auto"/>
              <w:rPr>
                <w:rFonts w:hint="eastAsia" w:ascii="仿宋" w:hAnsi="仿宋" w:eastAsia="仿宋" w:cs="仿宋"/>
                <w:kern w:val="0"/>
                <w:sz w:val="21"/>
                <w:szCs w:val="21"/>
                <w:lang w:eastAsia="en-US"/>
              </w:rPr>
            </w:pPr>
          </w:p>
          <w:p w14:paraId="751E7165">
            <w:pPr>
              <w:keepNext w:val="0"/>
              <w:keepLines w:val="0"/>
              <w:pageBreakBefore w:val="0"/>
              <w:widowControl w:val="0"/>
              <w:kinsoku/>
              <w:wordWrap/>
              <w:overflowPunct/>
              <w:topLinePunct w:val="0"/>
              <w:autoSpaceDE w:val="0"/>
              <w:autoSpaceDN w:val="0"/>
              <w:bidi w:val="0"/>
              <w:adjustRightInd/>
              <w:snapToGrid w:val="0"/>
              <w:spacing w:before="1" w:line="240" w:lineRule="auto"/>
              <w:ind w:right="134"/>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报价</w:t>
            </w:r>
          </w:p>
        </w:tc>
        <w:tc>
          <w:tcPr>
            <w:tcW w:w="5807" w:type="dxa"/>
            <w:gridSpan w:val="3"/>
            <w:noWrap w:val="0"/>
            <w:vAlign w:val="center"/>
          </w:tcPr>
          <w:p w14:paraId="51C76733">
            <w:pPr>
              <w:keepNext w:val="0"/>
              <w:keepLines w:val="0"/>
              <w:pageBreakBefore w:val="0"/>
              <w:widowControl w:val="0"/>
              <w:tabs>
                <w:tab w:val="left" w:pos="2267"/>
              </w:tabs>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大写：人民币</w:t>
            </w:r>
            <w:r>
              <w:rPr>
                <w:rFonts w:hint="eastAsia" w:ascii="仿宋" w:hAnsi="仿宋" w:eastAsia="仿宋" w:cs="仿宋"/>
                <w:kern w:val="0"/>
                <w:sz w:val="21"/>
                <w:szCs w:val="21"/>
                <w:u w:val="single"/>
                <w:lang w:eastAsia="zh-CN"/>
              </w:rPr>
              <w:tab/>
            </w:r>
            <w:r>
              <w:rPr>
                <w:rFonts w:hint="eastAsia" w:ascii="仿宋" w:hAnsi="仿宋" w:eastAsia="仿宋" w:cs="仿宋"/>
                <w:kern w:val="0"/>
                <w:sz w:val="21"/>
                <w:szCs w:val="21"/>
                <w:lang w:eastAsia="zh-CN"/>
              </w:rPr>
              <w:t>元</w:t>
            </w:r>
          </w:p>
          <w:p w14:paraId="4FEDD7A3">
            <w:pPr>
              <w:keepNext w:val="0"/>
              <w:keepLines w:val="0"/>
              <w:pageBreakBefore w:val="0"/>
              <w:widowControl w:val="0"/>
              <w:tabs>
                <w:tab w:val="left" w:pos="1842"/>
              </w:tabs>
              <w:kinsoku/>
              <w:wordWrap/>
              <w:overflowPunct/>
              <w:topLinePunct w:val="0"/>
              <w:autoSpaceDE w:val="0"/>
              <w:autoSpaceDN w:val="0"/>
              <w:bidi w:val="0"/>
              <w:adjustRightInd/>
              <w:snapToGrid w:val="0"/>
              <w:spacing w:before="161" w:line="240" w:lineRule="auto"/>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小写：￥</w:t>
            </w:r>
          </w:p>
        </w:tc>
      </w:tr>
      <w:tr w14:paraId="35BF8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1227" w:type="dxa"/>
            <w:noWrap w:val="0"/>
            <w:vAlign w:val="center"/>
          </w:tcPr>
          <w:p w14:paraId="1EEFABAE">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2</w:t>
            </w:r>
          </w:p>
        </w:tc>
        <w:tc>
          <w:tcPr>
            <w:tcW w:w="2657" w:type="dxa"/>
            <w:noWrap w:val="0"/>
            <w:vAlign w:val="center"/>
          </w:tcPr>
          <w:p w14:paraId="360B2C7E">
            <w:pPr>
              <w:keepNext w:val="0"/>
              <w:keepLines w:val="0"/>
              <w:pageBreakBefore w:val="0"/>
              <w:widowControl w:val="0"/>
              <w:kinsoku/>
              <w:wordWrap/>
              <w:overflowPunct/>
              <w:topLinePunct w:val="0"/>
              <w:autoSpaceDE w:val="0"/>
              <w:autoSpaceDN w:val="0"/>
              <w:bidi w:val="0"/>
              <w:adjustRightInd/>
              <w:snapToGrid w:val="0"/>
              <w:spacing w:line="240" w:lineRule="auto"/>
              <w:ind w:right="134"/>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合同履约期限</w:t>
            </w:r>
          </w:p>
        </w:tc>
        <w:tc>
          <w:tcPr>
            <w:tcW w:w="5807" w:type="dxa"/>
            <w:gridSpan w:val="3"/>
            <w:noWrap w:val="0"/>
            <w:vAlign w:val="center"/>
          </w:tcPr>
          <w:p w14:paraId="70D3E3EC">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p>
        </w:tc>
      </w:tr>
      <w:tr w14:paraId="7A904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9691" w:type="dxa"/>
            <w:gridSpan w:val="5"/>
            <w:noWrap w:val="0"/>
            <w:vAlign w:val="center"/>
          </w:tcPr>
          <w:p w14:paraId="54372E7B">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spacing w:val="-1"/>
                <w:kern w:val="0"/>
                <w:sz w:val="21"/>
                <w:szCs w:val="21"/>
                <w:lang w:eastAsia="en-US"/>
              </w:rPr>
            </w:pPr>
          </w:p>
          <w:p w14:paraId="04246260">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spacing w:val="-1"/>
                <w:kern w:val="0"/>
                <w:sz w:val="21"/>
                <w:szCs w:val="21"/>
                <w:lang w:val="en-US" w:eastAsia="en-US"/>
              </w:rPr>
            </w:pPr>
            <w:r>
              <w:rPr>
                <w:rFonts w:hint="eastAsia" w:ascii="仿宋" w:hAnsi="仿宋" w:eastAsia="仿宋" w:cs="仿宋"/>
                <w:spacing w:val="-1"/>
                <w:kern w:val="0"/>
                <w:sz w:val="21"/>
                <w:szCs w:val="21"/>
                <w:lang w:val="en-US" w:eastAsia="en-US"/>
              </w:rPr>
              <w:t>报价要求：报价需含调研费、设计费、运费、拆除费、搬运、人工、安装、辅材、税金等一切与本项目相关费用</w:t>
            </w:r>
            <w:r>
              <w:rPr>
                <w:rFonts w:hint="eastAsia" w:ascii="仿宋" w:hAnsi="仿宋" w:eastAsia="仿宋" w:cs="仿宋"/>
                <w:spacing w:val="-1"/>
                <w:kern w:val="0"/>
                <w:sz w:val="21"/>
                <w:szCs w:val="21"/>
                <w:lang w:val="en-US" w:eastAsia="zh-CN"/>
              </w:rPr>
              <w:t>等</w:t>
            </w:r>
            <w:r>
              <w:rPr>
                <w:rFonts w:hint="eastAsia" w:ascii="仿宋" w:hAnsi="仿宋" w:eastAsia="仿宋" w:cs="仿宋"/>
                <w:spacing w:val="-1"/>
                <w:kern w:val="0"/>
                <w:sz w:val="21"/>
                <w:szCs w:val="21"/>
                <w:lang w:val="en-US" w:eastAsia="en-US"/>
              </w:rPr>
              <w:t>。</w:t>
            </w:r>
          </w:p>
          <w:p w14:paraId="1895DC3A">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p>
        </w:tc>
      </w:tr>
    </w:tbl>
    <w:p w14:paraId="24667068">
      <w:pPr>
        <w:autoSpaceDE w:val="0"/>
        <w:autoSpaceDN w:val="0"/>
        <w:jc w:val="left"/>
        <w:rPr>
          <w:rFonts w:hint="eastAsia" w:ascii="仿宋" w:hAnsi="仿宋" w:eastAsia="仿宋" w:cs="仿宋"/>
          <w:kern w:val="0"/>
          <w:sz w:val="24"/>
          <w:szCs w:val="24"/>
        </w:rPr>
      </w:pPr>
    </w:p>
    <w:p w14:paraId="299867FC">
      <w:pPr>
        <w:autoSpaceDE w:val="0"/>
        <w:autoSpaceDN w:val="0"/>
        <w:jc w:val="left"/>
        <w:rPr>
          <w:rFonts w:hint="eastAsia" w:ascii="仿宋" w:hAnsi="仿宋" w:eastAsia="仿宋" w:cs="仿宋"/>
          <w:kern w:val="0"/>
          <w:sz w:val="24"/>
          <w:szCs w:val="24"/>
        </w:rPr>
      </w:pPr>
    </w:p>
    <w:p w14:paraId="55031841">
      <w:pPr>
        <w:autoSpaceDE w:val="0"/>
        <w:autoSpaceDN w:val="0"/>
        <w:spacing w:before="3"/>
        <w:jc w:val="left"/>
        <w:rPr>
          <w:rFonts w:hint="eastAsia" w:ascii="仿宋" w:hAnsi="仿宋" w:eastAsia="仿宋" w:cs="仿宋"/>
          <w:kern w:val="0"/>
          <w:sz w:val="24"/>
          <w:szCs w:val="24"/>
        </w:rPr>
      </w:pPr>
    </w:p>
    <w:p w14:paraId="16F2F445">
      <w:pPr>
        <w:tabs>
          <w:tab w:val="left" w:pos="4648"/>
        </w:tabs>
        <w:autoSpaceDE w:val="0"/>
        <w:autoSpaceDN w:val="0"/>
        <w:spacing w:before="74"/>
        <w:jc w:val="left"/>
        <w:rPr>
          <w:rFonts w:hint="eastAsia" w:ascii="仿宋" w:hAnsi="仿宋" w:eastAsia="仿宋" w:cs="仿宋"/>
          <w:kern w:val="0"/>
          <w:sz w:val="24"/>
          <w:szCs w:val="24"/>
        </w:rPr>
      </w:pPr>
      <w:r>
        <w:rPr>
          <w:rFonts w:hint="eastAsia" w:ascii="仿宋" w:hAnsi="仿宋" w:eastAsia="仿宋" w:cs="仿宋"/>
          <w:spacing w:val="-1"/>
          <w:kern w:val="0"/>
          <w:sz w:val="24"/>
          <w:szCs w:val="24"/>
        </w:rPr>
        <w:t>供</w:t>
      </w:r>
      <w:r>
        <w:rPr>
          <w:rFonts w:hint="eastAsia" w:ascii="仿宋" w:hAnsi="仿宋" w:eastAsia="仿宋" w:cs="仿宋"/>
          <w:kern w:val="0"/>
          <w:sz w:val="24"/>
          <w:szCs w:val="24"/>
        </w:rPr>
        <w:t>应商名称(公章)：</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p>
    <w:p w14:paraId="48DCD5A0">
      <w:pPr>
        <w:autoSpaceDE w:val="0"/>
        <w:autoSpaceDN w:val="0"/>
        <w:spacing w:before="8"/>
        <w:jc w:val="left"/>
        <w:rPr>
          <w:rFonts w:hint="eastAsia" w:ascii="仿宋" w:hAnsi="仿宋" w:eastAsia="仿宋" w:cs="仿宋"/>
          <w:kern w:val="0"/>
          <w:sz w:val="24"/>
          <w:szCs w:val="24"/>
        </w:rPr>
      </w:pPr>
    </w:p>
    <w:p w14:paraId="69E63CB9">
      <w:pPr>
        <w:tabs>
          <w:tab w:val="left" w:pos="6808"/>
        </w:tabs>
        <w:autoSpaceDE w:val="0"/>
        <w:autoSpaceDN w:val="0"/>
        <w:spacing w:before="74"/>
        <w:jc w:val="left"/>
        <w:rPr>
          <w:rFonts w:hint="eastAsia" w:ascii="仿宋" w:hAnsi="仿宋" w:eastAsia="仿宋" w:cs="仿宋"/>
          <w:kern w:val="0"/>
          <w:sz w:val="24"/>
          <w:szCs w:val="24"/>
        </w:rPr>
      </w:pPr>
      <w:r>
        <w:rPr>
          <w:rFonts w:hint="eastAsia" w:ascii="仿宋" w:hAnsi="仿宋" w:eastAsia="仿宋" w:cs="仿宋"/>
          <w:kern w:val="0"/>
          <w:sz w:val="24"/>
          <w:szCs w:val="24"/>
        </w:rPr>
        <w:t>法定代表人或其授权代表(签字或盖章)：</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p>
    <w:p w14:paraId="33BAFE98">
      <w:pPr>
        <w:autoSpaceDE w:val="0"/>
        <w:autoSpaceDN w:val="0"/>
        <w:spacing w:before="8"/>
        <w:jc w:val="left"/>
        <w:rPr>
          <w:rFonts w:hint="eastAsia" w:ascii="仿宋" w:hAnsi="仿宋" w:eastAsia="仿宋" w:cs="仿宋"/>
          <w:kern w:val="0"/>
          <w:sz w:val="24"/>
          <w:szCs w:val="24"/>
        </w:rPr>
      </w:pPr>
    </w:p>
    <w:p w14:paraId="4A0227BA">
      <w:pPr>
        <w:tabs>
          <w:tab w:val="left" w:pos="2433"/>
          <w:tab w:val="left" w:pos="3153"/>
          <w:tab w:val="left" w:pos="3873"/>
        </w:tabs>
        <w:autoSpaceDE w:val="0"/>
        <w:autoSpaceDN w:val="0"/>
        <w:spacing w:before="74"/>
        <w:jc w:val="left"/>
        <w:rPr>
          <w:rFonts w:hint="eastAsia" w:ascii="仿宋" w:hAnsi="仿宋" w:eastAsia="仿宋" w:cs="仿宋"/>
          <w:kern w:val="0"/>
          <w:sz w:val="24"/>
          <w:szCs w:val="24"/>
        </w:rPr>
      </w:pPr>
      <w:r>
        <w:rPr>
          <w:rFonts w:hint="eastAsia" w:ascii="仿宋" w:hAnsi="仿宋" w:eastAsia="仿宋" w:cs="仿宋"/>
          <w:kern w:val="0"/>
          <w:sz w:val="24"/>
          <w:szCs w:val="24"/>
        </w:rPr>
        <w:t>日期：</w:t>
      </w:r>
      <w:r>
        <w:rPr>
          <w:rFonts w:hint="eastAsia" w:ascii="仿宋" w:hAnsi="仿宋" w:eastAsia="仿宋" w:cs="仿宋"/>
          <w:kern w:val="0"/>
          <w:sz w:val="24"/>
          <w:szCs w:val="24"/>
          <w:u w:val="single"/>
        </w:rPr>
        <w:tab/>
      </w:r>
      <w:r>
        <w:rPr>
          <w:rFonts w:hint="eastAsia" w:ascii="仿宋" w:hAnsi="仿宋" w:eastAsia="仿宋" w:cs="仿宋"/>
          <w:kern w:val="0"/>
          <w:sz w:val="24"/>
          <w:szCs w:val="24"/>
        </w:rPr>
        <w:t>年</w:t>
      </w:r>
      <w:r>
        <w:rPr>
          <w:rFonts w:hint="eastAsia" w:ascii="仿宋" w:hAnsi="仿宋" w:eastAsia="仿宋" w:cs="仿宋"/>
          <w:kern w:val="0"/>
          <w:sz w:val="24"/>
          <w:szCs w:val="24"/>
          <w:u w:val="single"/>
        </w:rPr>
        <w:tab/>
      </w:r>
      <w:r>
        <w:rPr>
          <w:rFonts w:hint="eastAsia" w:ascii="仿宋" w:hAnsi="仿宋" w:eastAsia="仿宋" w:cs="仿宋"/>
          <w:kern w:val="0"/>
          <w:sz w:val="24"/>
          <w:szCs w:val="24"/>
        </w:rPr>
        <w:t>月</w:t>
      </w:r>
      <w:r>
        <w:rPr>
          <w:rFonts w:hint="eastAsia" w:ascii="仿宋" w:hAnsi="仿宋" w:eastAsia="仿宋" w:cs="仿宋"/>
          <w:kern w:val="0"/>
          <w:sz w:val="24"/>
          <w:szCs w:val="24"/>
          <w:u w:val="single"/>
        </w:rPr>
        <w:tab/>
      </w:r>
      <w:r>
        <w:rPr>
          <w:rFonts w:hint="eastAsia" w:ascii="仿宋" w:hAnsi="仿宋" w:eastAsia="仿宋" w:cs="仿宋"/>
          <w:kern w:val="0"/>
          <w:sz w:val="24"/>
          <w:szCs w:val="24"/>
        </w:rPr>
        <w:t>日</w:t>
      </w:r>
    </w:p>
    <w:p w14:paraId="0B2201B0">
      <w:pPr>
        <w:autoSpaceDE w:val="0"/>
        <w:autoSpaceDN w:val="0"/>
        <w:spacing w:before="6"/>
        <w:jc w:val="left"/>
        <w:rPr>
          <w:rFonts w:hint="eastAsia" w:ascii="仿宋" w:hAnsi="仿宋" w:eastAsia="仿宋" w:cs="仿宋"/>
          <w:kern w:val="0"/>
          <w:sz w:val="24"/>
          <w:szCs w:val="24"/>
        </w:rPr>
      </w:pPr>
    </w:p>
    <w:p w14:paraId="0A90C7E8">
      <w:pPr>
        <w:autoSpaceDE w:val="0"/>
        <w:autoSpaceDN w:val="0"/>
        <w:jc w:val="left"/>
        <w:rPr>
          <w:rFonts w:hint="eastAsia" w:ascii="仿宋" w:hAnsi="仿宋" w:eastAsia="仿宋" w:cs="仿宋"/>
          <w:kern w:val="0"/>
          <w:sz w:val="24"/>
          <w:szCs w:val="24"/>
        </w:rPr>
      </w:pPr>
      <w:r>
        <w:rPr>
          <w:rFonts w:hint="eastAsia" w:ascii="仿宋" w:hAnsi="仿宋" w:eastAsia="仿宋" w:cs="仿宋"/>
          <w:kern w:val="0"/>
          <w:sz w:val="24"/>
          <w:szCs w:val="24"/>
        </w:rPr>
        <w:t>说明：授权用投标专用章的，与公章具有相同法律效力。</w:t>
      </w:r>
    </w:p>
    <w:p w14:paraId="7DC618D2">
      <w:pPr>
        <w:autoSpaceDE w:val="0"/>
        <w:autoSpaceDN w:val="0"/>
        <w:jc w:val="left"/>
        <w:rPr>
          <w:rFonts w:hint="eastAsia" w:ascii="仿宋" w:hAnsi="仿宋" w:eastAsia="仿宋" w:cs="仿宋"/>
          <w:kern w:val="0"/>
          <w:sz w:val="24"/>
          <w:szCs w:val="24"/>
        </w:rPr>
        <w:sectPr>
          <w:headerReference r:id="rId11" w:type="default"/>
          <w:footerReference r:id="rId12" w:type="default"/>
          <w:pgSz w:w="11911" w:h="16838"/>
          <w:pgMar w:top="1440" w:right="1140" w:bottom="1440" w:left="1140" w:header="850" w:footer="1088" w:gutter="0"/>
          <w:pgNumType w:fmt="decimal"/>
          <w:cols w:space="0" w:num="1"/>
          <w:rtlGutter w:val="0"/>
          <w:docGrid w:linePitch="0" w:charSpace="0"/>
        </w:sectPr>
      </w:pPr>
    </w:p>
    <w:p w14:paraId="73933D38">
      <w:pPr>
        <w:autoSpaceDE w:val="0"/>
        <w:autoSpaceDN w:val="0"/>
        <w:spacing w:before="62"/>
        <w:jc w:val="left"/>
        <w:outlineLvl w:val="9"/>
        <w:rPr>
          <w:rFonts w:hint="eastAsia" w:ascii="仿宋" w:hAnsi="仿宋" w:eastAsia="仿宋" w:cs="仿宋"/>
          <w:b/>
          <w:bCs/>
          <w:kern w:val="0"/>
          <w:sz w:val="24"/>
          <w:szCs w:val="24"/>
        </w:rPr>
      </w:pPr>
      <w:r>
        <w:rPr>
          <w:rFonts w:hint="eastAsia" w:ascii="仿宋" w:hAnsi="仿宋" w:eastAsia="仿宋" w:cs="仿宋"/>
          <w:b/>
          <w:bCs/>
          <w:spacing w:val="-1"/>
          <w:kern w:val="0"/>
          <w:sz w:val="24"/>
          <w:szCs w:val="24"/>
          <w:lang w:val="en-US" w:eastAsia="zh-CN"/>
        </w:rPr>
        <w:t>3</w:t>
      </w:r>
      <w:r>
        <w:rPr>
          <w:rFonts w:hint="eastAsia" w:ascii="仿宋" w:hAnsi="仿宋" w:eastAsia="仿宋" w:cs="仿宋"/>
          <w:b/>
          <w:bCs/>
          <w:spacing w:val="-1"/>
          <w:kern w:val="0"/>
          <w:sz w:val="24"/>
          <w:szCs w:val="24"/>
        </w:rPr>
        <w:t>、商务条款偏离表</w:t>
      </w:r>
    </w:p>
    <w:p w14:paraId="53D0680D">
      <w:pPr>
        <w:autoSpaceDE w:val="0"/>
        <w:autoSpaceDN w:val="0"/>
        <w:spacing w:before="4"/>
        <w:jc w:val="left"/>
        <w:rPr>
          <w:rFonts w:hint="eastAsia" w:ascii="仿宋" w:hAnsi="仿宋" w:eastAsia="仿宋" w:cs="仿宋"/>
          <w:kern w:val="0"/>
          <w:sz w:val="24"/>
          <w:szCs w:val="24"/>
          <w:highlight w:val="yellow"/>
        </w:rPr>
      </w:pPr>
    </w:p>
    <w:p w14:paraId="20AE9B09">
      <w:pPr>
        <w:autoSpaceDE w:val="0"/>
        <w:autoSpaceDN w:val="0"/>
        <w:spacing w:before="67"/>
        <w:ind w:right="891"/>
        <w:jc w:val="center"/>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商务条款偏离表</w:t>
      </w:r>
    </w:p>
    <w:p w14:paraId="1F4AA0CE">
      <w:pPr>
        <w:autoSpaceDE w:val="0"/>
        <w:autoSpaceDN w:val="0"/>
        <w:spacing w:before="3"/>
        <w:jc w:val="left"/>
        <w:rPr>
          <w:rFonts w:hint="eastAsia" w:ascii="仿宋" w:hAnsi="仿宋" w:eastAsia="仿宋" w:cs="仿宋"/>
          <w:kern w:val="0"/>
          <w:sz w:val="24"/>
          <w:szCs w:val="24"/>
          <w:highlight w:val="yellow"/>
        </w:rPr>
      </w:pPr>
    </w:p>
    <w:p w14:paraId="021553B4">
      <w:pPr>
        <w:tabs>
          <w:tab w:val="left" w:pos="7234"/>
        </w:tabs>
        <w:autoSpaceDE w:val="0"/>
        <w:autoSpaceDN w:val="0"/>
        <w:spacing w:line="360" w:lineRule="auto"/>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项目名称：</w:t>
      </w:r>
      <w:r>
        <w:rPr>
          <w:rFonts w:hint="eastAsia" w:ascii="仿宋" w:hAnsi="仿宋" w:eastAsia="仿宋" w:cs="仿宋"/>
          <w:kern w:val="0"/>
          <w:sz w:val="24"/>
          <w:szCs w:val="24"/>
          <w:highlight w:val="none"/>
        </w:rPr>
        <w:tab/>
      </w:r>
    </w:p>
    <w:p w14:paraId="1C124A9A">
      <w:pPr>
        <w:tabs>
          <w:tab w:val="left" w:pos="7234"/>
        </w:tabs>
        <w:autoSpaceDE w:val="0"/>
        <w:autoSpaceDN w:val="0"/>
        <w:spacing w:line="360" w:lineRule="auto"/>
        <w:jc w:val="left"/>
        <w:rPr>
          <w:rFonts w:hint="eastAsia" w:ascii="仿宋" w:hAnsi="仿宋" w:eastAsia="仿宋" w:cs="仿宋"/>
          <w:kern w:val="0"/>
          <w:sz w:val="24"/>
          <w:szCs w:val="24"/>
          <w:highlight w:val="none"/>
          <w:lang w:val="en-US"/>
        </w:rPr>
      </w:pPr>
      <w:r>
        <w:rPr>
          <w:rFonts w:hint="eastAsia" w:ascii="仿宋" w:hAnsi="仿宋" w:eastAsia="仿宋" w:cs="仿宋"/>
          <w:kern w:val="0"/>
          <w:sz w:val="24"/>
          <w:szCs w:val="24"/>
          <w:lang w:val="en-US" w:eastAsia="zh-CN"/>
        </w:rPr>
        <w:t>标项号</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 xml:space="preserve"> </w:t>
      </w:r>
    </w:p>
    <w:tbl>
      <w:tblPr>
        <w:tblStyle w:val="46"/>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2"/>
        <w:gridCol w:w="3567"/>
        <w:gridCol w:w="3066"/>
        <w:gridCol w:w="1000"/>
        <w:gridCol w:w="884"/>
      </w:tblGrid>
      <w:tr w14:paraId="3F278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72" w:type="dxa"/>
            <w:noWrap w:val="0"/>
            <w:vAlign w:val="center"/>
          </w:tcPr>
          <w:p w14:paraId="36C7B54E">
            <w:pPr>
              <w:autoSpaceDE w:val="0"/>
              <w:autoSpaceDN w:val="0"/>
              <w:spacing w:before="1"/>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序号</w:t>
            </w:r>
          </w:p>
        </w:tc>
        <w:tc>
          <w:tcPr>
            <w:tcW w:w="3567" w:type="dxa"/>
            <w:noWrap w:val="0"/>
            <w:vAlign w:val="center"/>
          </w:tcPr>
          <w:p w14:paraId="54101581">
            <w:pPr>
              <w:autoSpaceDE w:val="0"/>
              <w:autoSpaceDN w:val="0"/>
              <w:ind w:right="181"/>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采购文件的商务条款</w:t>
            </w:r>
          </w:p>
        </w:tc>
        <w:tc>
          <w:tcPr>
            <w:tcW w:w="3066" w:type="dxa"/>
            <w:noWrap w:val="0"/>
            <w:vAlign w:val="center"/>
          </w:tcPr>
          <w:p w14:paraId="3A0AC306">
            <w:pPr>
              <w:autoSpaceDE w:val="0"/>
              <w:autoSpaceDN w:val="0"/>
              <w:ind w:right="180"/>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响应文件的商务条款</w:t>
            </w:r>
          </w:p>
        </w:tc>
        <w:tc>
          <w:tcPr>
            <w:tcW w:w="1000" w:type="dxa"/>
            <w:noWrap w:val="0"/>
            <w:vAlign w:val="center"/>
          </w:tcPr>
          <w:p w14:paraId="60535685">
            <w:pPr>
              <w:autoSpaceDE w:val="0"/>
              <w:autoSpaceDN w:val="0"/>
              <w:spacing w:before="1"/>
              <w:jc w:val="center"/>
              <w:rPr>
                <w:rFonts w:hint="eastAsia" w:ascii="仿宋" w:hAnsi="仿宋" w:eastAsia="仿宋" w:cs="仿宋"/>
                <w:kern w:val="0"/>
                <w:sz w:val="21"/>
                <w:szCs w:val="21"/>
                <w:highlight w:val="none"/>
                <w:lang w:eastAsia="en-US"/>
              </w:rPr>
            </w:pPr>
          </w:p>
          <w:p w14:paraId="275F6497">
            <w:pPr>
              <w:autoSpaceDE w:val="0"/>
              <w:autoSpaceDN w:val="0"/>
              <w:spacing w:before="1"/>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偏离</w:t>
            </w:r>
          </w:p>
        </w:tc>
        <w:tc>
          <w:tcPr>
            <w:tcW w:w="884" w:type="dxa"/>
            <w:noWrap w:val="0"/>
            <w:vAlign w:val="center"/>
          </w:tcPr>
          <w:p w14:paraId="4A6F7D80">
            <w:pPr>
              <w:autoSpaceDE w:val="0"/>
              <w:autoSpaceDN w:val="0"/>
              <w:spacing w:before="1"/>
              <w:jc w:val="center"/>
              <w:rPr>
                <w:rFonts w:hint="eastAsia" w:ascii="仿宋" w:hAnsi="仿宋" w:eastAsia="仿宋" w:cs="仿宋"/>
                <w:kern w:val="0"/>
                <w:sz w:val="21"/>
                <w:szCs w:val="21"/>
                <w:highlight w:val="none"/>
                <w:lang w:eastAsia="en-US"/>
              </w:rPr>
            </w:pPr>
          </w:p>
          <w:p w14:paraId="0AD5763E">
            <w:pPr>
              <w:autoSpaceDE w:val="0"/>
              <w:autoSpaceDN w:val="0"/>
              <w:spacing w:before="1"/>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说明</w:t>
            </w:r>
          </w:p>
        </w:tc>
      </w:tr>
      <w:tr w14:paraId="2BA59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972" w:type="dxa"/>
            <w:noWrap w:val="0"/>
            <w:vAlign w:val="center"/>
          </w:tcPr>
          <w:p w14:paraId="01B2766D">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w:t>
            </w:r>
          </w:p>
        </w:tc>
        <w:tc>
          <w:tcPr>
            <w:tcW w:w="3567" w:type="dxa"/>
            <w:noWrap w:val="0"/>
            <w:vAlign w:val="center"/>
          </w:tcPr>
          <w:p w14:paraId="3CBC4D53">
            <w:pPr>
              <w:autoSpaceDE w:val="0"/>
              <w:autoSpaceDN w:val="0"/>
              <w:jc w:val="both"/>
              <w:rPr>
                <w:rFonts w:hint="eastAsia" w:ascii="仿宋" w:hAnsi="仿宋" w:eastAsia="仿宋" w:cs="仿宋"/>
                <w:kern w:val="0"/>
                <w:sz w:val="21"/>
                <w:szCs w:val="21"/>
                <w:highlight w:val="none"/>
                <w:lang w:eastAsia="en-US"/>
              </w:rPr>
            </w:pPr>
          </w:p>
        </w:tc>
        <w:tc>
          <w:tcPr>
            <w:tcW w:w="3066" w:type="dxa"/>
            <w:noWrap w:val="0"/>
            <w:vAlign w:val="center"/>
          </w:tcPr>
          <w:p w14:paraId="09947FF1">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3A94243E">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4161953E">
            <w:pPr>
              <w:autoSpaceDE w:val="0"/>
              <w:autoSpaceDN w:val="0"/>
              <w:jc w:val="both"/>
              <w:rPr>
                <w:rFonts w:hint="eastAsia" w:ascii="仿宋" w:hAnsi="仿宋" w:eastAsia="仿宋" w:cs="仿宋"/>
                <w:kern w:val="0"/>
                <w:sz w:val="21"/>
                <w:szCs w:val="21"/>
                <w:highlight w:val="none"/>
                <w:lang w:eastAsia="en-US"/>
              </w:rPr>
            </w:pPr>
          </w:p>
        </w:tc>
      </w:tr>
      <w:tr w14:paraId="41B0F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972" w:type="dxa"/>
            <w:noWrap w:val="0"/>
            <w:vAlign w:val="center"/>
          </w:tcPr>
          <w:p w14:paraId="0DF2A26B">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2</w:t>
            </w:r>
          </w:p>
        </w:tc>
        <w:tc>
          <w:tcPr>
            <w:tcW w:w="3567" w:type="dxa"/>
            <w:noWrap w:val="0"/>
            <w:vAlign w:val="center"/>
          </w:tcPr>
          <w:p w14:paraId="5C68EB67">
            <w:pPr>
              <w:autoSpaceDE w:val="0"/>
              <w:autoSpaceDN w:val="0"/>
              <w:jc w:val="both"/>
              <w:rPr>
                <w:rFonts w:hint="eastAsia" w:ascii="仿宋" w:hAnsi="仿宋" w:eastAsia="仿宋" w:cs="仿宋"/>
                <w:kern w:val="0"/>
                <w:sz w:val="21"/>
                <w:szCs w:val="21"/>
                <w:highlight w:val="none"/>
                <w:lang w:eastAsia="en-US"/>
              </w:rPr>
            </w:pPr>
          </w:p>
        </w:tc>
        <w:tc>
          <w:tcPr>
            <w:tcW w:w="3066" w:type="dxa"/>
            <w:noWrap w:val="0"/>
            <w:vAlign w:val="center"/>
          </w:tcPr>
          <w:p w14:paraId="4ADBD71E">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5C5594A1">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43190FA9">
            <w:pPr>
              <w:autoSpaceDE w:val="0"/>
              <w:autoSpaceDN w:val="0"/>
              <w:jc w:val="both"/>
              <w:rPr>
                <w:rFonts w:hint="eastAsia" w:ascii="仿宋" w:hAnsi="仿宋" w:eastAsia="仿宋" w:cs="仿宋"/>
                <w:kern w:val="0"/>
                <w:sz w:val="21"/>
                <w:szCs w:val="21"/>
                <w:highlight w:val="none"/>
                <w:lang w:eastAsia="en-US"/>
              </w:rPr>
            </w:pPr>
          </w:p>
        </w:tc>
      </w:tr>
      <w:tr w14:paraId="76E6F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972" w:type="dxa"/>
            <w:noWrap w:val="0"/>
            <w:vAlign w:val="center"/>
          </w:tcPr>
          <w:p w14:paraId="70C64804">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3</w:t>
            </w:r>
          </w:p>
        </w:tc>
        <w:tc>
          <w:tcPr>
            <w:tcW w:w="3567" w:type="dxa"/>
            <w:noWrap w:val="0"/>
            <w:vAlign w:val="center"/>
          </w:tcPr>
          <w:p w14:paraId="0737D692">
            <w:pPr>
              <w:autoSpaceDE w:val="0"/>
              <w:autoSpaceDN w:val="0"/>
              <w:jc w:val="both"/>
              <w:rPr>
                <w:rFonts w:hint="eastAsia" w:ascii="仿宋" w:hAnsi="仿宋" w:eastAsia="仿宋" w:cs="仿宋"/>
                <w:kern w:val="0"/>
                <w:sz w:val="21"/>
                <w:szCs w:val="21"/>
                <w:highlight w:val="none"/>
                <w:lang w:eastAsia="en-US"/>
              </w:rPr>
            </w:pPr>
          </w:p>
        </w:tc>
        <w:tc>
          <w:tcPr>
            <w:tcW w:w="3066" w:type="dxa"/>
            <w:noWrap w:val="0"/>
            <w:vAlign w:val="center"/>
          </w:tcPr>
          <w:p w14:paraId="70FB2AEC">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1A7948E0">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1AF3D010">
            <w:pPr>
              <w:autoSpaceDE w:val="0"/>
              <w:autoSpaceDN w:val="0"/>
              <w:jc w:val="both"/>
              <w:rPr>
                <w:rFonts w:hint="eastAsia" w:ascii="仿宋" w:hAnsi="仿宋" w:eastAsia="仿宋" w:cs="仿宋"/>
                <w:kern w:val="0"/>
                <w:sz w:val="21"/>
                <w:szCs w:val="21"/>
                <w:highlight w:val="none"/>
                <w:lang w:eastAsia="en-US"/>
              </w:rPr>
            </w:pPr>
          </w:p>
        </w:tc>
      </w:tr>
      <w:tr w14:paraId="4F183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972" w:type="dxa"/>
            <w:noWrap w:val="0"/>
            <w:vAlign w:val="center"/>
          </w:tcPr>
          <w:p w14:paraId="3D559F3D">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4</w:t>
            </w:r>
          </w:p>
        </w:tc>
        <w:tc>
          <w:tcPr>
            <w:tcW w:w="3567" w:type="dxa"/>
            <w:noWrap w:val="0"/>
            <w:vAlign w:val="center"/>
          </w:tcPr>
          <w:p w14:paraId="4636EEA8">
            <w:pPr>
              <w:autoSpaceDE w:val="0"/>
              <w:autoSpaceDN w:val="0"/>
              <w:jc w:val="both"/>
              <w:rPr>
                <w:rFonts w:hint="eastAsia" w:ascii="仿宋" w:hAnsi="仿宋" w:eastAsia="仿宋" w:cs="仿宋"/>
                <w:kern w:val="0"/>
                <w:sz w:val="21"/>
                <w:szCs w:val="21"/>
                <w:highlight w:val="none"/>
                <w:lang w:eastAsia="zh-CN"/>
              </w:rPr>
            </w:pPr>
          </w:p>
        </w:tc>
        <w:tc>
          <w:tcPr>
            <w:tcW w:w="3066" w:type="dxa"/>
            <w:noWrap w:val="0"/>
            <w:vAlign w:val="center"/>
          </w:tcPr>
          <w:p w14:paraId="0DD352BA">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26A0D0D2">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6E113499">
            <w:pPr>
              <w:autoSpaceDE w:val="0"/>
              <w:autoSpaceDN w:val="0"/>
              <w:jc w:val="both"/>
              <w:rPr>
                <w:rFonts w:hint="eastAsia" w:ascii="仿宋" w:hAnsi="仿宋" w:eastAsia="仿宋" w:cs="仿宋"/>
                <w:kern w:val="0"/>
                <w:sz w:val="21"/>
                <w:szCs w:val="21"/>
                <w:highlight w:val="none"/>
                <w:lang w:eastAsia="en-US"/>
              </w:rPr>
            </w:pPr>
          </w:p>
        </w:tc>
      </w:tr>
      <w:tr w14:paraId="2B880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972" w:type="dxa"/>
            <w:noWrap w:val="0"/>
            <w:vAlign w:val="center"/>
          </w:tcPr>
          <w:p w14:paraId="6665D7B3">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5</w:t>
            </w:r>
          </w:p>
        </w:tc>
        <w:tc>
          <w:tcPr>
            <w:tcW w:w="3567" w:type="dxa"/>
            <w:noWrap w:val="0"/>
            <w:vAlign w:val="center"/>
          </w:tcPr>
          <w:p w14:paraId="136AB4ED">
            <w:pPr>
              <w:autoSpaceDE w:val="0"/>
              <w:autoSpaceDN w:val="0"/>
              <w:spacing w:line="440" w:lineRule="exact"/>
              <w:jc w:val="both"/>
              <w:rPr>
                <w:rFonts w:hint="eastAsia" w:ascii="仿宋" w:hAnsi="仿宋" w:eastAsia="仿宋" w:cs="仿宋"/>
                <w:kern w:val="0"/>
                <w:sz w:val="21"/>
                <w:szCs w:val="21"/>
                <w:highlight w:val="none"/>
                <w:lang w:val="en-US" w:eastAsia="zh-CN"/>
              </w:rPr>
            </w:pPr>
          </w:p>
        </w:tc>
        <w:tc>
          <w:tcPr>
            <w:tcW w:w="3066" w:type="dxa"/>
            <w:noWrap w:val="0"/>
            <w:vAlign w:val="center"/>
          </w:tcPr>
          <w:p w14:paraId="7618ABDC">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4A5ACB0F">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203AC193">
            <w:pPr>
              <w:autoSpaceDE w:val="0"/>
              <w:autoSpaceDN w:val="0"/>
              <w:jc w:val="both"/>
              <w:rPr>
                <w:rFonts w:hint="eastAsia" w:ascii="仿宋" w:hAnsi="仿宋" w:eastAsia="仿宋" w:cs="仿宋"/>
                <w:kern w:val="0"/>
                <w:sz w:val="21"/>
                <w:szCs w:val="21"/>
                <w:highlight w:val="none"/>
                <w:lang w:eastAsia="en-US"/>
              </w:rPr>
            </w:pPr>
          </w:p>
        </w:tc>
      </w:tr>
      <w:tr w14:paraId="0422E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972" w:type="dxa"/>
            <w:noWrap w:val="0"/>
            <w:vAlign w:val="center"/>
          </w:tcPr>
          <w:p w14:paraId="78F053BE">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6</w:t>
            </w:r>
          </w:p>
        </w:tc>
        <w:tc>
          <w:tcPr>
            <w:tcW w:w="3567" w:type="dxa"/>
            <w:noWrap w:val="0"/>
            <w:vAlign w:val="center"/>
          </w:tcPr>
          <w:p w14:paraId="47E0FFDF">
            <w:pPr>
              <w:pStyle w:val="47"/>
              <w:widowControl w:val="0"/>
              <w:ind w:left="0" w:leftChars="0" w:firstLine="0" w:firstLineChars="0"/>
              <w:jc w:val="both"/>
              <w:rPr>
                <w:rFonts w:hint="eastAsia" w:ascii="仿宋" w:hAnsi="仿宋" w:eastAsia="仿宋" w:cs="仿宋"/>
                <w:kern w:val="0"/>
                <w:sz w:val="21"/>
                <w:szCs w:val="21"/>
                <w:highlight w:val="none"/>
                <w:lang w:eastAsia="en-US"/>
              </w:rPr>
            </w:pPr>
          </w:p>
        </w:tc>
        <w:tc>
          <w:tcPr>
            <w:tcW w:w="3066" w:type="dxa"/>
            <w:noWrap w:val="0"/>
            <w:vAlign w:val="center"/>
          </w:tcPr>
          <w:p w14:paraId="5F2BCCE8">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31EF1296">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719EB411">
            <w:pPr>
              <w:autoSpaceDE w:val="0"/>
              <w:autoSpaceDN w:val="0"/>
              <w:jc w:val="both"/>
              <w:rPr>
                <w:rFonts w:hint="eastAsia" w:ascii="仿宋" w:hAnsi="仿宋" w:eastAsia="仿宋" w:cs="仿宋"/>
                <w:kern w:val="0"/>
                <w:sz w:val="21"/>
                <w:szCs w:val="21"/>
                <w:highlight w:val="none"/>
                <w:lang w:eastAsia="en-US"/>
              </w:rPr>
            </w:pPr>
          </w:p>
        </w:tc>
      </w:tr>
    </w:tbl>
    <w:p w14:paraId="10A000AC">
      <w:pPr>
        <w:autoSpaceDE w:val="0"/>
        <w:autoSpaceDN w:val="0"/>
        <w:spacing w:before="163"/>
        <w:jc w:val="left"/>
        <w:rPr>
          <w:rFonts w:hint="eastAsia" w:ascii="仿宋" w:hAnsi="仿宋" w:eastAsia="仿宋" w:cs="仿宋"/>
          <w:kern w:val="0"/>
          <w:sz w:val="24"/>
          <w:szCs w:val="24"/>
          <w:highlight w:val="none"/>
        </w:rPr>
      </w:pPr>
      <w:r>
        <w:rPr>
          <w:rFonts w:hint="eastAsia" w:ascii="仿宋" w:hAnsi="仿宋" w:eastAsia="仿宋" w:cs="仿宋"/>
          <w:spacing w:val="-8"/>
          <w:kern w:val="0"/>
          <w:sz w:val="24"/>
          <w:szCs w:val="24"/>
          <w:highlight w:val="none"/>
        </w:rPr>
        <w:t>说明：如有偏离，则必须注明“偏离”；未注明偏离的，视为完全响应。</w:t>
      </w:r>
    </w:p>
    <w:p w14:paraId="5AD8F119">
      <w:pPr>
        <w:autoSpaceDE w:val="0"/>
        <w:autoSpaceDN w:val="0"/>
        <w:jc w:val="left"/>
        <w:rPr>
          <w:rFonts w:hint="eastAsia" w:ascii="仿宋" w:hAnsi="仿宋" w:eastAsia="仿宋" w:cs="仿宋"/>
          <w:kern w:val="0"/>
          <w:sz w:val="24"/>
          <w:szCs w:val="24"/>
        </w:rPr>
      </w:pPr>
    </w:p>
    <w:p w14:paraId="23931EB4">
      <w:pPr>
        <w:autoSpaceDE w:val="0"/>
        <w:autoSpaceDN w:val="0"/>
        <w:spacing w:before="7"/>
        <w:jc w:val="left"/>
        <w:rPr>
          <w:rFonts w:hint="eastAsia" w:ascii="仿宋" w:hAnsi="仿宋" w:eastAsia="仿宋" w:cs="仿宋"/>
          <w:kern w:val="0"/>
          <w:sz w:val="24"/>
          <w:szCs w:val="24"/>
        </w:rPr>
      </w:pPr>
    </w:p>
    <w:p w14:paraId="5CCB9869">
      <w:pPr>
        <w:tabs>
          <w:tab w:val="left" w:pos="6088"/>
        </w:tabs>
        <w:autoSpaceDE w:val="0"/>
        <w:autoSpaceDN w:val="0"/>
        <w:jc w:val="left"/>
        <w:rPr>
          <w:rFonts w:hint="eastAsia" w:ascii="仿宋" w:hAnsi="仿宋" w:eastAsia="仿宋" w:cs="仿宋"/>
          <w:kern w:val="0"/>
          <w:sz w:val="24"/>
          <w:szCs w:val="24"/>
        </w:rPr>
      </w:pPr>
      <w:r>
        <w:rPr>
          <w:rFonts w:hint="eastAsia" w:ascii="仿宋" w:hAnsi="仿宋" w:eastAsia="仿宋" w:cs="仿宋"/>
          <w:spacing w:val="-1"/>
          <w:kern w:val="0"/>
          <w:sz w:val="24"/>
          <w:szCs w:val="24"/>
        </w:rPr>
        <w:t>供</w:t>
      </w:r>
      <w:r>
        <w:rPr>
          <w:rFonts w:hint="eastAsia" w:ascii="仿宋" w:hAnsi="仿宋" w:eastAsia="仿宋" w:cs="仿宋"/>
          <w:kern w:val="0"/>
          <w:sz w:val="24"/>
          <w:szCs w:val="24"/>
        </w:rPr>
        <w:t>应商名称(公章)：</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p>
    <w:p w14:paraId="37077117">
      <w:pPr>
        <w:autoSpaceDE w:val="0"/>
        <w:autoSpaceDN w:val="0"/>
        <w:spacing w:before="8"/>
        <w:jc w:val="left"/>
        <w:rPr>
          <w:rFonts w:hint="eastAsia" w:ascii="仿宋" w:hAnsi="仿宋" w:eastAsia="仿宋" w:cs="仿宋"/>
          <w:kern w:val="0"/>
          <w:sz w:val="24"/>
          <w:szCs w:val="24"/>
        </w:rPr>
      </w:pPr>
    </w:p>
    <w:p w14:paraId="2629CC83">
      <w:pPr>
        <w:tabs>
          <w:tab w:val="left" w:pos="8008"/>
        </w:tabs>
        <w:autoSpaceDE w:val="0"/>
        <w:autoSpaceDN w:val="0"/>
        <w:spacing w:before="74"/>
        <w:jc w:val="left"/>
        <w:rPr>
          <w:rFonts w:hint="eastAsia" w:ascii="仿宋" w:hAnsi="仿宋" w:eastAsia="仿宋" w:cs="仿宋"/>
          <w:kern w:val="0"/>
          <w:sz w:val="24"/>
          <w:szCs w:val="24"/>
        </w:rPr>
      </w:pPr>
      <w:r>
        <w:rPr>
          <w:rFonts w:hint="eastAsia" w:ascii="仿宋" w:hAnsi="仿宋" w:eastAsia="仿宋" w:cs="仿宋"/>
          <w:kern w:val="0"/>
          <w:sz w:val="24"/>
          <w:szCs w:val="24"/>
        </w:rPr>
        <w:t>法定代表人或授权代表(签字或盖章)：</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p>
    <w:p w14:paraId="60C65FCB">
      <w:pPr>
        <w:autoSpaceDE w:val="0"/>
        <w:autoSpaceDN w:val="0"/>
        <w:jc w:val="left"/>
        <w:rPr>
          <w:rFonts w:hint="eastAsia" w:ascii="仿宋" w:hAnsi="仿宋" w:eastAsia="仿宋" w:cs="仿宋"/>
          <w:kern w:val="0"/>
          <w:sz w:val="24"/>
          <w:szCs w:val="24"/>
        </w:rPr>
      </w:pPr>
    </w:p>
    <w:p w14:paraId="4B5F8238">
      <w:pPr>
        <w:autoSpaceDE w:val="0"/>
        <w:autoSpaceDN w:val="0"/>
        <w:jc w:val="left"/>
        <w:rPr>
          <w:rFonts w:hint="eastAsia" w:ascii="仿宋" w:hAnsi="仿宋" w:eastAsia="仿宋" w:cs="仿宋"/>
          <w:kern w:val="0"/>
          <w:sz w:val="24"/>
          <w:szCs w:val="24"/>
        </w:rPr>
      </w:pPr>
    </w:p>
    <w:p w14:paraId="6E4413E5">
      <w:pPr>
        <w:autoSpaceDE w:val="0"/>
        <w:autoSpaceDN w:val="0"/>
        <w:spacing w:before="7"/>
        <w:jc w:val="left"/>
        <w:rPr>
          <w:rFonts w:hint="eastAsia" w:ascii="仿宋" w:hAnsi="仿宋" w:eastAsia="仿宋" w:cs="仿宋"/>
          <w:kern w:val="0"/>
          <w:sz w:val="24"/>
          <w:szCs w:val="24"/>
        </w:rPr>
      </w:pPr>
    </w:p>
    <w:p w14:paraId="4624175D">
      <w:pPr>
        <w:autoSpaceDE w:val="0"/>
        <w:autoSpaceDN w:val="0"/>
        <w:spacing w:before="7"/>
        <w:jc w:val="left"/>
        <w:rPr>
          <w:rFonts w:hint="eastAsia" w:ascii="仿宋" w:hAnsi="仿宋" w:eastAsia="仿宋" w:cs="仿宋"/>
          <w:kern w:val="0"/>
          <w:sz w:val="24"/>
          <w:szCs w:val="24"/>
        </w:rPr>
      </w:pPr>
    </w:p>
    <w:p w14:paraId="49EAD0D2">
      <w:pPr>
        <w:tabs>
          <w:tab w:val="left" w:pos="720"/>
          <w:tab w:val="left" w:pos="1440"/>
          <w:tab w:val="left" w:pos="2160"/>
        </w:tabs>
        <w:autoSpaceDE w:val="0"/>
        <w:autoSpaceDN w:val="0"/>
        <w:spacing w:before="74"/>
        <w:ind w:right="500"/>
        <w:jc w:val="right"/>
        <w:rPr>
          <w:rFonts w:hint="eastAsia" w:ascii="仿宋" w:hAnsi="仿宋" w:eastAsia="仿宋" w:cs="仿宋"/>
          <w:kern w:val="0"/>
          <w:sz w:val="24"/>
          <w:szCs w:val="24"/>
        </w:rPr>
      </w:pP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r>
        <w:rPr>
          <w:rFonts w:hint="eastAsia" w:ascii="仿宋" w:hAnsi="仿宋" w:eastAsia="仿宋" w:cs="仿宋"/>
          <w:kern w:val="0"/>
          <w:sz w:val="24"/>
          <w:szCs w:val="24"/>
        </w:rPr>
        <w:t>年</w:t>
      </w:r>
      <w:r>
        <w:rPr>
          <w:rFonts w:hint="eastAsia" w:ascii="仿宋" w:hAnsi="仿宋" w:eastAsia="仿宋" w:cs="仿宋"/>
          <w:kern w:val="0"/>
          <w:sz w:val="24"/>
          <w:szCs w:val="24"/>
          <w:u w:val="single"/>
        </w:rPr>
        <w:tab/>
      </w:r>
      <w:r>
        <w:rPr>
          <w:rFonts w:hint="eastAsia" w:ascii="仿宋" w:hAnsi="仿宋" w:eastAsia="仿宋" w:cs="仿宋"/>
          <w:kern w:val="0"/>
          <w:sz w:val="24"/>
          <w:szCs w:val="24"/>
        </w:rPr>
        <w:t>月</w:t>
      </w:r>
      <w:r>
        <w:rPr>
          <w:rFonts w:hint="eastAsia" w:ascii="仿宋" w:hAnsi="仿宋" w:eastAsia="仿宋" w:cs="仿宋"/>
          <w:kern w:val="0"/>
          <w:sz w:val="24"/>
          <w:szCs w:val="24"/>
          <w:u w:val="single"/>
        </w:rPr>
        <w:tab/>
      </w:r>
      <w:r>
        <w:rPr>
          <w:rFonts w:hint="eastAsia" w:ascii="仿宋" w:hAnsi="仿宋" w:eastAsia="仿宋" w:cs="仿宋"/>
          <w:kern w:val="0"/>
          <w:sz w:val="24"/>
          <w:szCs w:val="24"/>
        </w:rPr>
        <w:t>日</w:t>
      </w:r>
    </w:p>
    <w:p w14:paraId="340BF151">
      <w:pPr>
        <w:autoSpaceDE w:val="0"/>
        <w:autoSpaceDN w:val="0"/>
        <w:jc w:val="left"/>
        <w:rPr>
          <w:rFonts w:hint="eastAsia" w:ascii="仿宋" w:hAnsi="仿宋" w:eastAsia="仿宋" w:cs="仿宋"/>
          <w:kern w:val="0"/>
          <w:sz w:val="24"/>
          <w:szCs w:val="24"/>
        </w:rPr>
      </w:pPr>
    </w:p>
    <w:p w14:paraId="559EB857">
      <w:pPr>
        <w:autoSpaceDE w:val="0"/>
        <w:autoSpaceDN w:val="0"/>
        <w:jc w:val="left"/>
        <w:rPr>
          <w:rFonts w:hint="eastAsia" w:ascii="仿宋" w:hAnsi="仿宋" w:eastAsia="仿宋" w:cs="仿宋"/>
          <w:kern w:val="0"/>
          <w:sz w:val="24"/>
          <w:szCs w:val="24"/>
        </w:rPr>
      </w:pPr>
    </w:p>
    <w:p w14:paraId="540E5EF3">
      <w:pPr>
        <w:autoSpaceDE w:val="0"/>
        <w:autoSpaceDN w:val="0"/>
        <w:jc w:val="left"/>
        <w:rPr>
          <w:rFonts w:hint="eastAsia" w:ascii="仿宋" w:hAnsi="仿宋" w:eastAsia="仿宋" w:cs="仿宋"/>
          <w:kern w:val="0"/>
          <w:sz w:val="24"/>
          <w:szCs w:val="24"/>
        </w:rPr>
      </w:pPr>
    </w:p>
    <w:p w14:paraId="152C308A">
      <w:pPr>
        <w:autoSpaceDE w:val="0"/>
        <w:autoSpaceDN w:val="0"/>
        <w:jc w:val="left"/>
        <w:rPr>
          <w:rFonts w:hint="eastAsia" w:ascii="仿宋" w:hAnsi="仿宋" w:eastAsia="仿宋" w:cs="仿宋"/>
          <w:kern w:val="0"/>
          <w:sz w:val="24"/>
          <w:szCs w:val="24"/>
        </w:rPr>
      </w:pPr>
    </w:p>
    <w:p w14:paraId="4A2E036C">
      <w:pPr>
        <w:autoSpaceDE w:val="0"/>
        <w:autoSpaceDN w:val="0"/>
        <w:jc w:val="left"/>
        <w:rPr>
          <w:rFonts w:hint="eastAsia" w:ascii="仿宋" w:hAnsi="仿宋" w:eastAsia="仿宋" w:cs="仿宋"/>
          <w:kern w:val="0"/>
          <w:sz w:val="24"/>
          <w:szCs w:val="24"/>
        </w:rPr>
      </w:pPr>
    </w:p>
    <w:p w14:paraId="790195D8">
      <w:pPr>
        <w:autoSpaceDE w:val="0"/>
        <w:autoSpaceDN w:val="0"/>
        <w:jc w:val="left"/>
        <w:rPr>
          <w:rFonts w:hint="eastAsia" w:ascii="仿宋" w:hAnsi="仿宋" w:eastAsia="仿宋" w:cs="仿宋"/>
          <w:kern w:val="0"/>
          <w:sz w:val="24"/>
          <w:szCs w:val="24"/>
        </w:rPr>
      </w:pPr>
    </w:p>
    <w:p w14:paraId="5D2AB150">
      <w:pPr>
        <w:autoSpaceDE w:val="0"/>
        <w:autoSpaceDN w:val="0"/>
        <w:jc w:val="left"/>
        <w:rPr>
          <w:rFonts w:hint="eastAsia" w:ascii="仿宋" w:hAnsi="仿宋" w:eastAsia="仿宋" w:cs="仿宋"/>
          <w:kern w:val="0"/>
          <w:sz w:val="24"/>
          <w:szCs w:val="24"/>
        </w:rPr>
      </w:pPr>
    </w:p>
    <w:p w14:paraId="39C09A0F">
      <w:pPr>
        <w:autoSpaceDE w:val="0"/>
        <w:autoSpaceDN w:val="0"/>
        <w:spacing w:before="7"/>
        <w:jc w:val="left"/>
        <w:rPr>
          <w:rFonts w:hint="eastAsia" w:ascii="仿宋" w:hAnsi="仿宋" w:eastAsia="仿宋" w:cs="仿宋"/>
          <w:kern w:val="0"/>
          <w:sz w:val="24"/>
          <w:szCs w:val="24"/>
        </w:rPr>
      </w:pPr>
    </w:p>
    <w:p w14:paraId="73FB6E1E">
      <w:pPr>
        <w:autoSpaceDE w:val="0"/>
        <w:autoSpaceDN w:val="0"/>
        <w:spacing w:before="3"/>
        <w:jc w:val="left"/>
        <w:rPr>
          <w:rFonts w:hint="eastAsia" w:ascii="仿宋" w:hAnsi="仿宋" w:eastAsia="仿宋" w:cs="仿宋"/>
          <w:kern w:val="0"/>
          <w:sz w:val="24"/>
          <w:szCs w:val="24"/>
        </w:rPr>
      </w:pPr>
    </w:p>
    <w:p w14:paraId="4BD18C4D">
      <w:pP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br w:type="page"/>
      </w:r>
    </w:p>
    <w:p w14:paraId="3ED5EA67">
      <w:pPr>
        <w:autoSpaceDE w:val="0"/>
        <w:autoSpaceDN w:val="0"/>
        <w:spacing w:before="62"/>
        <w:jc w:val="left"/>
        <w:outlineLvl w:val="9"/>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4</w:t>
      </w:r>
      <w:r>
        <w:rPr>
          <w:rFonts w:hint="eastAsia" w:ascii="仿宋" w:hAnsi="仿宋" w:eastAsia="仿宋" w:cs="仿宋"/>
          <w:b/>
          <w:bCs/>
          <w:kern w:val="0"/>
          <w:sz w:val="24"/>
          <w:szCs w:val="24"/>
        </w:rPr>
        <w:t>、磋商保证金</w:t>
      </w:r>
    </w:p>
    <w:p w14:paraId="4FADFA94">
      <w:pPr>
        <w:autoSpaceDE w:val="0"/>
        <w:autoSpaceDN w:val="0"/>
        <w:spacing w:before="1"/>
        <w:jc w:val="left"/>
        <w:rPr>
          <w:rFonts w:hint="eastAsia" w:ascii="仿宋" w:hAnsi="仿宋" w:eastAsia="仿宋" w:cs="仿宋"/>
          <w:kern w:val="0"/>
          <w:sz w:val="24"/>
          <w:szCs w:val="24"/>
        </w:rPr>
      </w:pPr>
    </w:p>
    <w:p w14:paraId="18707E3E">
      <w:pPr>
        <w:autoSpaceDE w:val="0"/>
        <w:autoSpaceDN w:val="0"/>
        <w:spacing w:before="67"/>
        <w:ind w:right="891"/>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保证金汇款声明函(适用银行转账)</w:t>
      </w:r>
    </w:p>
    <w:p w14:paraId="6692EEF4">
      <w:pPr>
        <w:autoSpaceDE w:val="0"/>
        <w:autoSpaceDN w:val="0"/>
        <w:spacing w:before="1"/>
        <w:jc w:val="left"/>
        <w:rPr>
          <w:rFonts w:hint="eastAsia" w:ascii="仿宋" w:hAnsi="仿宋" w:eastAsia="仿宋" w:cs="仿宋"/>
          <w:b/>
          <w:kern w:val="0"/>
          <w:sz w:val="24"/>
          <w:szCs w:val="24"/>
        </w:rPr>
      </w:pPr>
    </w:p>
    <w:p w14:paraId="213630E6">
      <w:pPr>
        <w:autoSpaceDE w:val="0"/>
        <w:autoSpaceDN w:val="0"/>
        <w:spacing w:before="66"/>
        <w:jc w:val="left"/>
        <w:rPr>
          <w:rFonts w:hint="eastAsia" w:ascii="仿宋" w:hAnsi="仿宋" w:eastAsia="仿宋" w:cs="仿宋"/>
          <w:kern w:val="0"/>
          <w:sz w:val="24"/>
          <w:szCs w:val="24"/>
        </w:rPr>
      </w:pPr>
      <w:r>
        <w:rPr>
          <w:rFonts w:hint="eastAsia" w:ascii="仿宋" w:hAnsi="仿宋" w:eastAsia="仿宋" w:cs="仿宋"/>
          <w:kern w:val="0"/>
          <w:sz w:val="24"/>
          <w:szCs w:val="24"/>
        </w:rPr>
        <w:t>致：</w:t>
      </w:r>
      <w:r>
        <w:rPr>
          <w:rFonts w:hint="eastAsia" w:ascii="仿宋" w:hAnsi="仿宋" w:eastAsia="仿宋" w:cs="仿宋"/>
          <w:kern w:val="0"/>
          <w:sz w:val="24"/>
          <w:szCs w:val="24"/>
          <w:u w:val="single"/>
        </w:rPr>
        <w:t>采购人或采购代理机构</w:t>
      </w:r>
    </w:p>
    <w:p w14:paraId="4B5CDCC9">
      <w:pPr>
        <w:autoSpaceDE w:val="0"/>
        <w:autoSpaceDN w:val="0"/>
        <w:spacing w:before="6"/>
        <w:jc w:val="left"/>
        <w:rPr>
          <w:rFonts w:hint="eastAsia" w:ascii="仿宋" w:hAnsi="仿宋" w:eastAsia="仿宋" w:cs="仿宋"/>
          <w:kern w:val="0"/>
          <w:sz w:val="24"/>
          <w:szCs w:val="24"/>
        </w:rPr>
      </w:pPr>
    </w:p>
    <w:p w14:paraId="6203F24E">
      <w:pPr>
        <w:tabs>
          <w:tab w:val="left" w:pos="2193"/>
          <w:tab w:val="left" w:pos="3153"/>
          <w:tab w:val="left" w:pos="3753"/>
          <w:tab w:val="left" w:pos="4473"/>
          <w:tab w:val="left" w:pos="5193"/>
          <w:tab w:val="left" w:pos="6602"/>
          <w:tab w:val="left" w:pos="9603"/>
        </w:tabs>
        <w:autoSpaceDE w:val="0"/>
        <w:autoSpaceDN w:val="0"/>
        <w:spacing w:before="74" w:line="491" w:lineRule="auto"/>
        <w:ind w:right="500"/>
        <w:jc w:val="left"/>
        <w:rPr>
          <w:rFonts w:hint="eastAsia" w:ascii="仿宋" w:hAnsi="仿宋" w:eastAsia="仿宋" w:cs="仿宋"/>
          <w:kern w:val="0"/>
          <w:sz w:val="24"/>
          <w:szCs w:val="24"/>
        </w:rPr>
      </w:pPr>
      <w:r>
        <w:rPr>
          <w:rFonts w:hint="eastAsia" w:ascii="仿宋" w:hAnsi="仿宋" w:eastAsia="仿宋" w:cs="仿宋"/>
          <w:kern w:val="0"/>
          <w:sz w:val="24"/>
          <w:szCs w:val="24"/>
        </w:rPr>
        <w:t>我方为</w:t>
      </w:r>
      <w:r>
        <w:rPr>
          <w:rFonts w:hint="eastAsia" w:ascii="仿宋" w:hAnsi="仿宋" w:eastAsia="仿宋" w:cs="仿宋"/>
          <w:kern w:val="0"/>
          <w:sz w:val="24"/>
          <w:szCs w:val="24"/>
          <w:u w:val="single"/>
        </w:rPr>
        <w:tab/>
      </w:r>
      <w:r>
        <w:rPr>
          <w:rFonts w:hint="eastAsia" w:ascii="仿宋" w:hAnsi="仿宋" w:eastAsia="仿宋" w:cs="仿宋"/>
          <w:kern w:val="0"/>
          <w:sz w:val="24"/>
          <w:szCs w:val="24"/>
          <w:u w:val="single"/>
        </w:rPr>
        <w:tab/>
      </w:r>
      <w:r>
        <w:rPr>
          <w:rFonts w:hint="eastAsia" w:ascii="仿宋" w:hAnsi="仿宋" w:eastAsia="仿宋" w:cs="仿宋"/>
          <w:kern w:val="0"/>
          <w:sz w:val="24"/>
          <w:szCs w:val="24"/>
        </w:rPr>
        <w:t>(项目名称)(</w:t>
      </w:r>
      <w:r>
        <w:rPr>
          <w:rFonts w:hint="eastAsia" w:ascii="仿宋" w:hAnsi="仿宋" w:eastAsia="仿宋" w:cs="仿宋"/>
          <w:kern w:val="0"/>
          <w:sz w:val="24"/>
          <w:szCs w:val="24"/>
          <w:lang w:val="en-US" w:eastAsia="zh-CN"/>
        </w:rPr>
        <w:t>标项号</w:t>
      </w:r>
      <w:r>
        <w:rPr>
          <w:rFonts w:hint="eastAsia" w:ascii="仿宋" w:hAnsi="仿宋" w:eastAsia="仿宋" w:cs="仿宋"/>
          <w:kern w:val="0"/>
          <w:sz w:val="24"/>
          <w:szCs w:val="24"/>
        </w:rPr>
        <w:t>：</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kern w:val="0"/>
          <w:sz w:val="24"/>
          <w:szCs w:val="24"/>
        </w:rPr>
        <w:t>)递交保证金人民币</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spacing w:val="-1"/>
          <w:kern w:val="0"/>
          <w:sz w:val="24"/>
          <w:szCs w:val="24"/>
        </w:rPr>
        <w:t>元</w:t>
      </w:r>
      <w:r>
        <w:rPr>
          <w:rFonts w:hint="eastAsia" w:ascii="仿宋" w:hAnsi="仿宋" w:eastAsia="仿宋" w:cs="仿宋"/>
          <w:kern w:val="0"/>
          <w:sz w:val="24"/>
          <w:szCs w:val="24"/>
        </w:rPr>
        <w:t>(大写人民币</w:t>
      </w:r>
      <w:r>
        <w:rPr>
          <w:rFonts w:hint="eastAsia" w:ascii="仿宋" w:hAnsi="仿宋" w:eastAsia="仿宋" w:cs="仿宋"/>
          <w:kern w:val="0"/>
          <w:sz w:val="24"/>
          <w:szCs w:val="24"/>
          <w:u w:val="single"/>
        </w:rPr>
        <w:tab/>
      </w:r>
      <w:r>
        <w:rPr>
          <w:rFonts w:hint="eastAsia" w:ascii="仿宋" w:hAnsi="仿宋" w:eastAsia="仿宋" w:cs="仿宋"/>
          <w:kern w:val="0"/>
          <w:sz w:val="24"/>
          <w:szCs w:val="24"/>
        </w:rPr>
        <w:t>元)已于</w:t>
      </w:r>
      <w:r>
        <w:rPr>
          <w:rFonts w:hint="eastAsia" w:ascii="仿宋" w:hAnsi="仿宋" w:eastAsia="仿宋" w:cs="仿宋"/>
          <w:kern w:val="0"/>
          <w:sz w:val="24"/>
          <w:szCs w:val="24"/>
          <w:u w:val="single"/>
        </w:rPr>
        <w:tab/>
      </w:r>
      <w:r>
        <w:rPr>
          <w:rFonts w:hint="eastAsia" w:ascii="仿宋" w:hAnsi="仿宋" w:eastAsia="仿宋" w:cs="仿宋"/>
          <w:kern w:val="0"/>
          <w:sz w:val="24"/>
          <w:szCs w:val="24"/>
          <w:u w:val="single"/>
        </w:rPr>
        <w:tab/>
      </w:r>
      <w:r>
        <w:rPr>
          <w:rFonts w:hint="eastAsia" w:ascii="仿宋" w:hAnsi="仿宋" w:eastAsia="仿宋" w:cs="仿宋"/>
          <w:kern w:val="0"/>
          <w:sz w:val="24"/>
          <w:szCs w:val="24"/>
        </w:rPr>
        <w:t>年</w:t>
      </w:r>
      <w:r>
        <w:rPr>
          <w:rFonts w:hint="eastAsia" w:ascii="仿宋" w:hAnsi="仿宋" w:eastAsia="仿宋" w:cs="仿宋"/>
          <w:kern w:val="0"/>
          <w:sz w:val="24"/>
          <w:szCs w:val="24"/>
          <w:u w:val="single"/>
        </w:rPr>
        <w:tab/>
      </w:r>
      <w:r>
        <w:rPr>
          <w:rFonts w:hint="eastAsia" w:ascii="仿宋" w:hAnsi="仿宋" w:eastAsia="仿宋" w:cs="仿宋"/>
          <w:kern w:val="0"/>
          <w:sz w:val="24"/>
          <w:szCs w:val="24"/>
        </w:rPr>
        <w:t>月</w:t>
      </w:r>
      <w:r>
        <w:rPr>
          <w:rFonts w:hint="eastAsia" w:ascii="仿宋" w:hAnsi="仿宋" w:eastAsia="仿宋" w:cs="仿宋"/>
          <w:kern w:val="0"/>
          <w:sz w:val="24"/>
          <w:szCs w:val="24"/>
          <w:u w:val="single"/>
        </w:rPr>
        <w:tab/>
      </w:r>
      <w:r>
        <w:rPr>
          <w:rFonts w:hint="eastAsia" w:ascii="仿宋" w:hAnsi="仿宋" w:eastAsia="仿宋" w:cs="仿宋"/>
          <w:kern w:val="0"/>
          <w:sz w:val="24"/>
          <w:szCs w:val="24"/>
        </w:rPr>
        <w:t>日以银行主动划账方式划入你方账户。</w:t>
      </w:r>
    </w:p>
    <w:p w14:paraId="3A31FE22">
      <w:pPr>
        <w:autoSpaceDE w:val="0"/>
        <w:autoSpaceDN w:val="0"/>
        <w:spacing w:before="4"/>
        <w:jc w:val="left"/>
        <w:rPr>
          <w:rFonts w:hint="eastAsia" w:ascii="仿宋" w:hAnsi="仿宋" w:eastAsia="仿宋" w:cs="仿宋"/>
          <w:kern w:val="0"/>
          <w:sz w:val="24"/>
          <w:szCs w:val="24"/>
        </w:rPr>
      </w:pPr>
      <w:r>
        <w:rPr>
          <w:rFonts w:hint="eastAsia" w:ascii="仿宋" w:hAnsi="仿宋" w:eastAsia="仿宋" w:cs="仿宋"/>
          <w:kern w:val="0"/>
          <w:sz w:val="24"/>
          <w:szCs w:val="24"/>
        </w:rPr>
        <w:t>详见附件：银行出具的汇款单或转账凭证</w:t>
      </w:r>
      <w:r>
        <w:rPr>
          <w:rFonts w:hint="eastAsia" w:ascii="仿宋" w:hAnsi="仿宋" w:eastAsia="仿宋" w:cs="仿宋"/>
          <w:kern w:val="0"/>
          <w:sz w:val="24"/>
          <w:szCs w:val="24"/>
          <w:lang w:eastAsia="zh-CN"/>
        </w:rPr>
        <w:t>扫描件</w:t>
      </w:r>
      <w:r>
        <w:rPr>
          <w:rFonts w:hint="eastAsia" w:ascii="仿宋" w:hAnsi="仿宋" w:eastAsia="仿宋" w:cs="仿宋"/>
          <w:kern w:val="0"/>
          <w:sz w:val="24"/>
          <w:szCs w:val="24"/>
        </w:rPr>
        <w:t>。</w:t>
      </w:r>
    </w:p>
    <w:p w14:paraId="52CCC07E">
      <w:pPr>
        <w:autoSpaceDE w:val="0"/>
        <w:autoSpaceDN w:val="0"/>
        <w:spacing w:before="3"/>
        <w:jc w:val="left"/>
        <w:rPr>
          <w:rFonts w:hint="eastAsia" w:ascii="仿宋" w:hAnsi="仿宋" w:eastAsia="仿宋" w:cs="仿宋"/>
          <w:kern w:val="0"/>
          <w:sz w:val="24"/>
          <w:szCs w:val="24"/>
        </w:rPr>
      </w:pPr>
    </w:p>
    <w:p w14:paraId="6E76D487">
      <w:pPr>
        <w:autoSpaceDE w:val="0"/>
        <w:autoSpaceDN w:val="0"/>
        <w:spacing w:before="1" w:line="491" w:lineRule="auto"/>
        <w:ind w:right="499"/>
        <w:jc w:val="left"/>
        <w:rPr>
          <w:rFonts w:hint="eastAsia" w:ascii="仿宋" w:hAnsi="仿宋" w:eastAsia="仿宋" w:cs="仿宋"/>
          <w:kern w:val="0"/>
          <w:sz w:val="24"/>
          <w:szCs w:val="24"/>
        </w:rPr>
      </w:pPr>
      <w:r>
        <w:rPr>
          <w:rFonts w:hint="eastAsia" w:ascii="仿宋" w:hAnsi="仿宋" w:eastAsia="仿宋" w:cs="仿宋"/>
          <w:kern w:val="0"/>
          <w:sz w:val="24"/>
          <w:szCs w:val="24"/>
        </w:rPr>
        <mc:AlternateContent>
          <mc:Choice Requires="wps">
            <w:drawing>
              <wp:anchor distT="0" distB="0" distL="114300" distR="114300" simplePos="0" relativeHeight="251659264" behindDoc="1" locked="0" layoutInCell="1" allowOverlap="1">
                <wp:simplePos x="0" y="0"/>
                <wp:positionH relativeFrom="page">
                  <wp:posOffset>1283970</wp:posOffset>
                </wp:positionH>
                <wp:positionV relativeFrom="paragraph">
                  <wp:posOffset>1619250</wp:posOffset>
                </wp:positionV>
                <wp:extent cx="3623310" cy="1299210"/>
                <wp:effectExtent l="4445" t="4445" r="10795" b="10795"/>
                <wp:wrapTopAndBottom/>
                <wp:docPr id="34" name="文本框 34"/>
                <wp:cNvGraphicFramePr/>
                <a:graphic xmlns:a="http://schemas.openxmlformats.org/drawingml/2006/main">
                  <a:graphicData uri="http://schemas.microsoft.com/office/word/2010/wordprocessingShape">
                    <wps:wsp>
                      <wps:cNvSpPr txBox="1">
                        <a:spLocks noChangeArrowheads="1"/>
                      </wps:cNvSpPr>
                      <wps:spPr bwMode="auto">
                        <a:xfrm>
                          <a:off x="0" y="0"/>
                          <a:ext cx="3623310" cy="1299210"/>
                        </a:xfrm>
                        <a:prstGeom prst="rect">
                          <a:avLst/>
                        </a:prstGeom>
                        <a:noFill/>
                        <a:ln w="6096">
                          <a:solidFill>
                            <a:srgbClr val="000000"/>
                          </a:solidFill>
                          <a:miter lim="800000"/>
                        </a:ln>
                        <a:effectLst/>
                      </wps:spPr>
                      <wps:txbx>
                        <w:txbxContent>
                          <w:p w14:paraId="65A03D42">
                            <w:pPr>
                              <w:pStyle w:val="9"/>
                            </w:pPr>
                          </w:p>
                          <w:p w14:paraId="6542D94C">
                            <w:pPr>
                              <w:pStyle w:val="9"/>
                              <w:rPr>
                                <w:rFonts w:hint="eastAsia" w:ascii="仿宋" w:hAnsi="仿宋" w:eastAsia="仿宋" w:cs="仿宋"/>
                                <w:sz w:val="21"/>
                                <w:szCs w:val="21"/>
                              </w:rPr>
                            </w:pPr>
                          </w:p>
                          <w:p w14:paraId="1BC6F2D4">
                            <w:pPr>
                              <w:pStyle w:val="9"/>
                              <w:spacing w:before="167"/>
                              <w:rPr>
                                <w:rFonts w:hint="eastAsia" w:ascii="仿宋" w:hAnsi="仿宋" w:eastAsia="仿宋" w:cs="仿宋"/>
                                <w:sz w:val="21"/>
                                <w:szCs w:val="21"/>
                                <w:lang w:eastAsia="zh-CN"/>
                              </w:rPr>
                            </w:pPr>
                            <w:r>
                              <w:rPr>
                                <w:rFonts w:hint="eastAsia" w:ascii="仿宋" w:hAnsi="仿宋" w:eastAsia="仿宋" w:cs="仿宋"/>
                                <w:sz w:val="21"/>
                                <w:szCs w:val="21"/>
                              </w:rPr>
                              <w:t>汇款单或转账凭证</w:t>
                            </w:r>
                            <w:r>
                              <w:rPr>
                                <w:rFonts w:hint="eastAsia" w:ascii="仿宋" w:hAnsi="仿宋" w:eastAsia="仿宋" w:cs="仿宋"/>
                                <w:sz w:val="21"/>
                                <w:szCs w:val="21"/>
                                <w:lang w:eastAsia="zh-CN"/>
                              </w:rPr>
                              <w:t>扫描件</w:t>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101.1pt;margin-top:127.5pt;height:102.3pt;width:285.3pt;mso-position-horizontal-relative:page;mso-wrap-distance-bottom:0pt;mso-wrap-distance-top:0pt;z-index:-251657216;mso-width-relative:page;mso-height-relative:page;" filled="f" stroked="t" coordsize="21600,21600" o:gfxdata="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aSld71wAAAAsBAAAPAAAAAAAAAAEAIAAAACIAAABkcnMvZG93&#10;bnJldi54bWxQSwECFAAUAAAACACHTuJA+qkIXjoCAABfBAAADgAAAAAAAAABACAAAAAmAQAAZHJz&#10;L2Uyb0RvYy54bWxQSwUGAAAAAAYABgBZAQAA0gUAAAAA&#10;">
                <v:fill on="f" focussize="0,0"/>
                <v:stroke weight="0.48pt" color="#000000" miterlimit="8" joinstyle="miter"/>
                <v:imagedata o:title=""/>
                <o:lock v:ext="edit" aspectratio="f"/>
                <v:textbox inset="0mm,0mm,0mm,0mm">
                  <w:txbxContent>
                    <w:p w14:paraId="65A03D42">
                      <w:pPr>
                        <w:pStyle w:val="9"/>
                      </w:pPr>
                    </w:p>
                    <w:p w14:paraId="6542D94C">
                      <w:pPr>
                        <w:pStyle w:val="9"/>
                        <w:rPr>
                          <w:rFonts w:hint="eastAsia" w:ascii="仿宋" w:hAnsi="仿宋" w:eastAsia="仿宋" w:cs="仿宋"/>
                          <w:sz w:val="21"/>
                          <w:szCs w:val="21"/>
                        </w:rPr>
                      </w:pPr>
                    </w:p>
                    <w:p w14:paraId="1BC6F2D4">
                      <w:pPr>
                        <w:pStyle w:val="9"/>
                        <w:spacing w:before="167"/>
                        <w:rPr>
                          <w:rFonts w:hint="eastAsia" w:ascii="仿宋" w:hAnsi="仿宋" w:eastAsia="仿宋" w:cs="仿宋"/>
                          <w:sz w:val="21"/>
                          <w:szCs w:val="21"/>
                          <w:lang w:eastAsia="zh-CN"/>
                        </w:rPr>
                      </w:pPr>
                      <w:r>
                        <w:rPr>
                          <w:rFonts w:hint="eastAsia" w:ascii="仿宋" w:hAnsi="仿宋" w:eastAsia="仿宋" w:cs="仿宋"/>
                          <w:sz w:val="21"/>
                          <w:szCs w:val="21"/>
                        </w:rPr>
                        <w:t>汇款单或转账凭证</w:t>
                      </w:r>
                      <w:r>
                        <w:rPr>
                          <w:rFonts w:hint="eastAsia" w:ascii="仿宋" w:hAnsi="仿宋" w:eastAsia="仿宋" w:cs="仿宋"/>
                          <w:sz w:val="21"/>
                          <w:szCs w:val="21"/>
                          <w:lang w:eastAsia="zh-CN"/>
                        </w:rPr>
                        <w:t>扫描件</w:t>
                      </w:r>
                    </w:p>
                  </w:txbxContent>
                </v:textbox>
                <w10:wrap type="topAndBottom"/>
              </v:shape>
            </w:pict>
          </mc:Fallback>
        </mc:AlternateContent>
      </w:r>
      <w:r>
        <w:rPr>
          <w:rFonts w:hint="eastAsia" w:ascii="仿宋" w:hAnsi="仿宋" w:eastAsia="仿宋" w:cs="仿宋"/>
          <w:kern w:val="0"/>
          <w:sz w:val="24"/>
          <w:szCs w:val="24"/>
        </w:rPr>
        <w:t>退还保证金时请按以下内容划入我方账户。若因内容不全、错误、字迹潦草模糊导致该项目保证金未能及时退还或退还过程中发生错误，我方将承担全部责任和损失。</w:t>
      </w:r>
    </w:p>
    <w:p w14:paraId="06FF7BC1">
      <w:pPr>
        <w:autoSpaceDE w:val="0"/>
        <w:autoSpaceDN w:val="0"/>
        <w:spacing w:before="2" w:line="491" w:lineRule="auto"/>
        <w:ind w:right="8511"/>
        <w:jc w:val="both"/>
        <w:rPr>
          <w:rFonts w:hint="eastAsia" w:ascii="仿宋" w:hAnsi="仿宋" w:eastAsia="仿宋" w:cs="仿宋"/>
          <w:spacing w:val="-118"/>
          <w:kern w:val="0"/>
          <w:sz w:val="24"/>
          <w:szCs w:val="24"/>
        </w:rPr>
      </w:pPr>
      <w:r>
        <w:rPr>
          <w:rFonts w:hint="eastAsia" w:ascii="仿宋" w:hAnsi="仿宋" w:eastAsia="仿宋" w:cs="仿宋"/>
          <w:spacing w:val="-1"/>
          <w:kern w:val="0"/>
          <w:sz w:val="24"/>
          <w:szCs w:val="24"/>
        </w:rPr>
        <w:t>单位全</w:t>
      </w:r>
      <w:r>
        <w:rPr>
          <w:rFonts w:hint="eastAsia" w:ascii="仿宋" w:hAnsi="仿宋" w:eastAsia="仿宋" w:cs="仿宋"/>
          <w:spacing w:val="-1"/>
          <w:kern w:val="0"/>
          <w:sz w:val="24"/>
          <w:szCs w:val="24"/>
          <w:lang w:val="en-US" w:eastAsia="zh-CN"/>
        </w:rPr>
        <w:t>称</w:t>
      </w:r>
      <w:r>
        <w:rPr>
          <w:rFonts w:hint="eastAsia" w:ascii="仿宋" w:hAnsi="仿宋" w:eastAsia="仿宋" w:cs="仿宋"/>
          <w:spacing w:val="-1"/>
          <w:kern w:val="0"/>
          <w:sz w:val="24"/>
          <w:szCs w:val="24"/>
        </w:rPr>
        <w:t>：</w:t>
      </w:r>
      <w:r>
        <w:rPr>
          <w:rFonts w:hint="eastAsia" w:ascii="仿宋" w:hAnsi="仿宋" w:eastAsia="仿宋" w:cs="仿宋"/>
          <w:spacing w:val="-118"/>
          <w:kern w:val="0"/>
          <w:sz w:val="24"/>
          <w:szCs w:val="24"/>
        </w:rPr>
        <w:t xml:space="preserve"> </w:t>
      </w:r>
    </w:p>
    <w:p w14:paraId="48C685F5">
      <w:pPr>
        <w:autoSpaceDE w:val="0"/>
        <w:autoSpaceDN w:val="0"/>
        <w:spacing w:before="2" w:line="491" w:lineRule="auto"/>
        <w:ind w:right="8511"/>
        <w:jc w:val="both"/>
        <w:rPr>
          <w:rFonts w:hint="eastAsia" w:ascii="仿宋" w:hAnsi="仿宋" w:eastAsia="仿宋" w:cs="仿宋"/>
          <w:spacing w:val="-118"/>
          <w:kern w:val="0"/>
          <w:sz w:val="24"/>
          <w:szCs w:val="24"/>
        </w:rPr>
      </w:pPr>
    </w:p>
    <w:p w14:paraId="06978D56">
      <w:pPr>
        <w:autoSpaceDE w:val="0"/>
        <w:autoSpaceDN w:val="0"/>
        <w:spacing w:before="2" w:line="491" w:lineRule="auto"/>
        <w:ind w:right="8511"/>
        <w:jc w:val="both"/>
        <w:rPr>
          <w:rFonts w:hint="eastAsia" w:ascii="仿宋" w:hAnsi="仿宋" w:eastAsia="仿宋" w:cs="仿宋"/>
          <w:kern w:val="0"/>
          <w:sz w:val="24"/>
          <w:szCs w:val="24"/>
        </w:rPr>
      </w:pPr>
      <w:r>
        <w:rPr>
          <w:rFonts w:hint="eastAsia" w:ascii="仿宋" w:hAnsi="仿宋" w:eastAsia="仿宋" w:cs="仿宋"/>
          <w:spacing w:val="-1"/>
          <w:kern w:val="0"/>
          <w:sz w:val="24"/>
          <w:szCs w:val="24"/>
        </w:rPr>
        <w:t>开户银行：</w:t>
      </w:r>
      <w:r>
        <w:rPr>
          <w:rFonts w:hint="eastAsia" w:ascii="仿宋" w:hAnsi="仿宋" w:eastAsia="仿宋" w:cs="仿宋"/>
          <w:spacing w:val="-118"/>
          <w:kern w:val="0"/>
          <w:sz w:val="24"/>
          <w:szCs w:val="24"/>
        </w:rPr>
        <w:t xml:space="preserve"> </w:t>
      </w:r>
      <w:r>
        <w:rPr>
          <w:rFonts w:hint="eastAsia" w:ascii="仿宋" w:hAnsi="仿宋" w:eastAsia="仿宋" w:cs="仿宋"/>
          <w:spacing w:val="-1"/>
          <w:kern w:val="0"/>
          <w:sz w:val="24"/>
          <w:szCs w:val="24"/>
        </w:rPr>
        <w:t>开户账号：</w:t>
      </w:r>
    </w:p>
    <w:p w14:paraId="6EEE6728">
      <w:pPr>
        <w:autoSpaceDE w:val="0"/>
        <w:autoSpaceDN w:val="0"/>
        <w:spacing w:before="2" w:line="491" w:lineRule="auto"/>
        <w:ind w:right="1280"/>
        <w:jc w:val="both"/>
        <w:rPr>
          <w:rFonts w:hint="eastAsia" w:ascii="仿宋" w:hAnsi="仿宋" w:eastAsia="仿宋" w:cs="仿宋"/>
          <w:kern w:val="0"/>
          <w:sz w:val="24"/>
          <w:szCs w:val="24"/>
        </w:rPr>
      </w:pPr>
      <w:r>
        <w:rPr>
          <w:rFonts w:hint="eastAsia" w:ascii="仿宋" w:hAnsi="仿宋" w:eastAsia="仿宋" w:cs="仿宋"/>
          <w:spacing w:val="-1"/>
          <w:kern w:val="0"/>
          <w:sz w:val="24"/>
          <w:szCs w:val="24"/>
        </w:rPr>
        <w:t>供应商(公章)：</w:t>
      </w:r>
      <w:r>
        <w:rPr>
          <w:rFonts w:hint="eastAsia" w:ascii="仿宋" w:hAnsi="仿宋" w:eastAsia="仿宋" w:cs="仿宋"/>
          <w:spacing w:val="-117"/>
          <w:kern w:val="0"/>
          <w:sz w:val="24"/>
          <w:szCs w:val="24"/>
        </w:rPr>
        <w:t xml:space="preserve"> </w:t>
      </w:r>
      <w:r>
        <w:rPr>
          <w:rFonts w:hint="eastAsia" w:ascii="仿宋" w:hAnsi="仿宋" w:eastAsia="仿宋" w:cs="仿宋"/>
          <w:kern w:val="0"/>
          <w:sz w:val="24"/>
          <w:szCs w:val="24"/>
        </w:rPr>
        <w:t>地址：</w:t>
      </w:r>
    </w:p>
    <w:p w14:paraId="693FD704">
      <w:pPr>
        <w:autoSpaceDE w:val="0"/>
        <w:autoSpaceDN w:val="0"/>
        <w:spacing w:before="5" w:line="491" w:lineRule="auto"/>
        <w:ind w:right="1520"/>
        <w:jc w:val="left"/>
        <w:rPr>
          <w:rFonts w:hint="eastAsia" w:ascii="仿宋" w:hAnsi="仿宋" w:eastAsia="仿宋" w:cs="仿宋"/>
          <w:kern w:val="0"/>
          <w:sz w:val="24"/>
          <w:szCs w:val="24"/>
        </w:rPr>
      </w:pPr>
      <w:r>
        <w:rPr>
          <w:rFonts w:hint="eastAsia" w:ascii="仿宋" w:hAnsi="仿宋" w:eastAsia="仿宋" w:cs="仿宋"/>
          <w:spacing w:val="-1"/>
          <w:kern w:val="0"/>
          <w:sz w:val="24"/>
          <w:szCs w:val="24"/>
        </w:rPr>
        <w:t>项目联系人：</w:t>
      </w:r>
      <w:r>
        <w:rPr>
          <w:rFonts w:hint="eastAsia" w:ascii="仿宋" w:hAnsi="仿宋" w:eastAsia="仿宋" w:cs="仿宋"/>
          <w:spacing w:val="-117"/>
          <w:kern w:val="0"/>
          <w:sz w:val="24"/>
          <w:szCs w:val="24"/>
        </w:rPr>
        <w:t xml:space="preserve"> </w:t>
      </w:r>
      <w:r>
        <w:rPr>
          <w:rFonts w:hint="eastAsia" w:ascii="仿宋" w:hAnsi="仿宋" w:eastAsia="仿宋" w:cs="仿宋"/>
          <w:spacing w:val="-1"/>
          <w:kern w:val="0"/>
          <w:sz w:val="24"/>
          <w:szCs w:val="24"/>
        </w:rPr>
        <w:t>电话(手机)：</w:t>
      </w:r>
    </w:p>
    <w:p w14:paraId="5C00C6E0">
      <w:pPr>
        <w:autoSpaceDE w:val="0"/>
        <w:autoSpaceDN w:val="0"/>
        <w:spacing w:before="3"/>
        <w:jc w:val="left"/>
        <w:rPr>
          <w:rFonts w:hint="eastAsia" w:ascii="仿宋" w:hAnsi="仿宋" w:eastAsia="仿宋" w:cs="仿宋"/>
          <w:kern w:val="0"/>
          <w:sz w:val="24"/>
          <w:szCs w:val="24"/>
          <w:lang w:eastAsia="zh-CN"/>
        </w:rPr>
      </w:pPr>
    </w:p>
    <w:p w14:paraId="1779E899">
      <w:pPr>
        <w:autoSpaceDE w:val="0"/>
        <w:autoSpaceDN w:val="0"/>
        <w:spacing w:before="3"/>
        <w:jc w:val="left"/>
        <w:rPr>
          <w:rFonts w:hint="eastAsia" w:ascii="仿宋" w:hAnsi="仿宋" w:eastAsia="仿宋" w:cs="仿宋"/>
          <w:kern w:val="0"/>
          <w:sz w:val="24"/>
          <w:szCs w:val="24"/>
          <w:lang w:eastAsia="zh-CN"/>
        </w:rPr>
      </w:pPr>
    </w:p>
    <w:p w14:paraId="2C40FE70">
      <w:pPr>
        <w:autoSpaceDE w:val="0"/>
        <w:autoSpaceDN w:val="0"/>
        <w:spacing w:before="3"/>
        <w:jc w:val="left"/>
        <w:rPr>
          <w:rFonts w:hint="eastAsia" w:ascii="仿宋" w:hAnsi="仿宋" w:eastAsia="仿宋" w:cs="仿宋"/>
          <w:kern w:val="0"/>
          <w:sz w:val="24"/>
          <w:szCs w:val="24"/>
          <w:lang w:eastAsia="zh-CN"/>
        </w:rPr>
      </w:pPr>
    </w:p>
    <w:p w14:paraId="662A37D9">
      <w:pPr>
        <w:autoSpaceDE w:val="0"/>
        <w:autoSpaceDN w:val="0"/>
        <w:spacing w:before="3"/>
        <w:jc w:val="left"/>
        <w:rPr>
          <w:rFonts w:hint="eastAsia" w:ascii="仿宋" w:hAnsi="仿宋" w:eastAsia="仿宋" w:cs="仿宋"/>
          <w:kern w:val="0"/>
          <w:sz w:val="24"/>
          <w:szCs w:val="24"/>
          <w:lang w:eastAsia="zh-CN"/>
        </w:rPr>
      </w:pPr>
    </w:p>
    <w:p w14:paraId="732A53EF">
      <w:pP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br w:type="page"/>
      </w:r>
    </w:p>
    <w:p w14:paraId="2A908B10">
      <w:pPr>
        <w:autoSpaceDE w:val="0"/>
        <w:autoSpaceDN w:val="0"/>
        <w:spacing w:before="62"/>
        <w:jc w:val="left"/>
        <w:outlineLvl w:val="9"/>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5</w:t>
      </w:r>
      <w:r>
        <w:rPr>
          <w:rFonts w:hint="eastAsia" w:ascii="仿宋" w:hAnsi="仿宋" w:eastAsia="仿宋" w:cs="仿宋"/>
          <w:b/>
          <w:bCs/>
          <w:kern w:val="0"/>
          <w:sz w:val="24"/>
          <w:szCs w:val="24"/>
        </w:rPr>
        <w:t>、供应商的资格证明材料</w:t>
      </w:r>
    </w:p>
    <w:p w14:paraId="100A4923">
      <w:pPr>
        <w:autoSpaceDE w:val="0"/>
        <w:autoSpaceDN w:val="0"/>
        <w:spacing w:before="3"/>
        <w:jc w:val="left"/>
        <w:rPr>
          <w:rFonts w:hint="eastAsia" w:ascii="仿宋" w:hAnsi="仿宋" w:eastAsia="仿宋" w:cs="仿宋"/>
          <w:kern w:val="0"/>
          <w:sz w:val="28"/>
          <w:szCs w:val="28"/>
        </w:rPr>
      </w:pPr>
    </w:p>
    <w:p w14:paraId="63125A44">
      <w:pPr>
        <w:pStyle w:val="29"/>
        <w:spacing w:line="540" w:lineRule="exact"/>
        <w:ind w:firstLine="560"/>
        <w:jc w:val="both"/>
        <w:rPr>
          <w:rFonts w:hint="eastAsia" w:ascii="仿宋" w:hAnsi="仿宋" w:eastAsia="仿宋" w:cs="仿宋"/>
          <w:color w:val="auto"/>
          <w:sz w:val="24"/>
          <w:szCs w:val="22"/>
        </w:rPr>
      </w:pPr>
      <w:r>
        <w:rPr>
          <w:rFonts w:hint="eastAsia" w:ascii="仿宋" w:hAnsi="仿宋" w:eastAsia="仿宋" w:cs="仿宋"/>
          <w:b/>
          <w:sz w:val="24"/>
          <w:szCs w:val="22"/>
        </w:rPr>
        <w:t>资格证明文件内容：</w:t>
      </w:r>
      <w:r>
        <w:rPr>
          <w:rFonts w:hint="eastAsia" w:ascii="仿宋" w:hAnsi="仿宋" w:eastAsia="仿宋" w:cs="仿宋"/>
          <w:color w:val="auto"/>
          <w:sz w:val="24"/>
          <w:szCs w:val="22"/>
        </w:rPr>
        <w:t>(以下文件必须在有效期内)</w:t>
      </w:r>
    </w:p>
    <w:p w14:paraId="68BFF5BA">
      <w:pPr>
        <w:keepNext w:val="0"/>
        <w:keepLines w:val="0"/>
        <w:pageBreakBefore w:val="0"/>
        <w:widowControl/>
        <w:numPr>
          <w:ilvl w:val="0"/>
          <w:numId w:val="0"/>
        </w:numPr>
        <w:shd w:val="clear" w:color="auto" w:fill="FFFFFF"/>
        <w:kinsoku/>
        <w:wordWrap/>
        <w:overflowPunct/>
        <w:topLinePunct w:val="0"/>
        <w:bidi w:val="0"/>
        <w:snapToGrid w:val="0"/>
        <w:spacing w:line="360" w:lineRule="auto"/>
        <w:ind w:firstLine="480" w:firstLineChars="200"/>
        <w:jc w:val="left"/>
        <w:textAlignment w:val="auto"/>
        <w:rPr>
          <w:rFonts w:hint="eastAsia" w:ascii="仿宋" w:hAnsi="仿宋" w:eastAsia="仿宋" w:cs="仿宋"/>
          <w:b w:val="0"/>
          <w:bCs/>
          <w:color w:val="000000"/>
          <w:kern w:val="0"/>
          <w:sz w:val="24"/>
          <w:szCs w:val="22"/>
          <w:highlight w:val="none"/>
          <w:lang w:val="en-US" w:eastAsia="zh-CN" w:bidi="ar-SA"/>
        </w:rPr>
      </w:pPr>
      <w:r>
        <w:rPr>
          <w:rFonts w:hint="eastAsia" w:ascii="仿宋" w:hAnsi="仿宋" w:eastAsia="仿宋" w:cs="仿宋"/>
          <w:b w:val="0"/>
          <w:bCs/>
          <w:color w:val="000000"/>
          <w:kern w:val="0"/>
          <w:sz w:val="24"/>
          <w:szCs w:val="22"/>
          <w:highlight w:val="none"/>
          <w:lang w:val="en-US" w:eastAsia="zh-CN" w:bidi="ar-SA"/>
        </w:rPr>
        <w:t>一、满足《中华人民共和国政府采购法》第二十二条规定；</w:t>
      </w:r>
    </w:p>
    <w:p w14:paraId="290539D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具有独立承担民事责任的能力；（供应商为企业（包括合伙企业）的，应提供有效的“营业执照”；供应商是非企业机构的，应提供有效的“执业许可证”、“登记证书”等证明文件;供应商是个体工商户的，应提供有效的“个体工商户营业执照”；供应商是自然人的，应提供有效的自然人身份证明。”（上述资料须复印件加盖印章）</w:t>
      </w:r>
    </w:p>
    <w:p w14:paraId="1D84360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分支机构参加投标的，应提供该分支机构或其所属法人/其他组织的相应证明文件；同时还应提供其所属法人/其他组织出具的授权其参与本项目的授权书（格式自拟，须加盖其所属法人/其他组织的印章）；对于银行、保险、石油石化、电力、电信等行业的分支机构，可以提供上述授权，也可以提供其所属法人/其他组织的有关文件或制度等能够证明授权其独立开展业务的证明材料。）；</w:t>
      </w:r>
    </w:p>
    <w:p w14:paraId="0E38C0DB">
      <w:pPr>
        <w:pStyle w:val="29"/>
        <w:keepNext w:val="0"/>
        <w:keepLines w:val="0"/>
        <w:pageBreakBefore w:val="0"/>
        <w:widowControl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4"/>
          <w:highlight w:val="none"/>
        </w:rPr>
      </w:pPr>
      <w:r>
        <w:rPr>
          <w:rFonts w:hint="eastAsia" w:ascii="仿宋" w:hAnsi="仿宋" w:eastAsia="仿宋" w:cs="仿宋"/>
          <w:kern w:val="0"/>
          <w:sz w:val="24"/>
          <w:szCs w:val="24"/>
          <w:highlight w:val="none"/>
          <w:lang w:val="en-US" w:eastAsia="zh-CN" w:bidi="ar-SA"/>
        </w:rPr>
        <w:t>2、具有良好的商业信誉和健全的财务会计制度；（须提供本单位上一年度【2024年度或2025年度】由会计师事务所出具的财务审计报告或财务报表【财务报表至少包含资产负债表、利润表、现金流量表或财务状况变动表等】或提供开标日前三个月内银行出具的资信证明；【供应商成立不足一年的提供截止开标前近3个月任意一个月的财务报表和截止开标前近1个月基本开户银行出具的资信证明；另：部分其他组织或自然人，没有经审计的财务报告，应当提供截止开标前近3个月的银行出具的资信证明。】)</w:t>
      </w:r>
    </w:p>
    <w:p w14:paraId="68ECCCB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3、具有履行合同所</w:t>
      </w:r>
      <w:r>
        <w:rPr>
          <w:rFonts w:hint="eastAsia" w:ascii="仿宋" w:hAnsi="仿宋" w:eastAsia="仿宋" w:cs="仿宋"/>
          <w:color w:val="000000"/>
          <w:kern w:val="0"/>
          <w:sz w:val="24"/>
          <w:szCs w:val="24"/>
          <w:highlight w:val="none"/>
          <w:lang w:val="en-US" w:eastAsia="zh-CN" w:bidi="ar-SA"/>
        </w:rPr>
        <w:t>必需的设备和专业技术能力；（须提供具备履行合同所必需的设备和专业技术能力的证明材料或承诺书）</w:t>
      </w:r>
    </w:p>
    <w:p w14:paraId="5BAD35C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4、有依法缴纳税收和社会保障资金的良好记录（须提供响应文件递交截止日期之前6个月内任意一个月的完税证明及缴纳社保记录；（依法免税、依法不需要缴纳社会保障资金的应提供相应文件说明））</w:t>
      </w:r>
    </w:p>
    <w:p w14:paraId="68DB8CA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5、参加政府采购活动前三年内，‌在经营活动中没有重大违法记录；（</w:t>
      </w:r>
      <w:r>
        <w:rPr>
          <w:rFonts w:hint="eastAsia" w:ascii="仿宋" w:hAnsi="仿宋" w:eastAsia="仿宋" w:cs="仿宋"/>
          <w:b w:val="0"/>
          <w:bCs/>
          <w:sz w:val="24"/>
          <w:szCs w:val="22"/>
          <w:highlight w:val="none"/>
          <w:lang w:val="en-US" w:eastAsia="zh-CN"/>
        </w:rPr>
        <w:t>须提供供应商声明函原件扫描件</w:t>
      </w:r>
      <w:r>
        <w:rPr>
          <w:rFonts w:hint="eastAsia" w:ascii="仿宋" w:hAnsi="仿宋" w:eastAsia="仿宋" w:cs="仿宋"/>
          <w:color w:val="000000"/>
          <w:kern w:val="0"/>
          <w:sz w:val="24"/>
          <w:szCs w:val="24"/>
          <w:highlight w:val="none"/>
          <w:lang w:val="en-US" w:eastAsia="zh-CN" w:bidi="ar-SA"/>
        </w:rPr>
        <w:t>）</w:t>
      </w:r>
    </w:p>
    <w:p w14:paraId="3CA3F62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6、法律、行政法规规定的其他条件。（提供承诺函）</w:t>
      </w:r>
    </w:p>
    <w:p w14:paraId="02CED322">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rPr>
      </w:pPr>
      <w:r>
        <w:rPr>
          <w:rFonts w:hint="eastAsia" w:ascii="仿宋" w:hAnsi="仿宋" w:eastAsia="仿宋" w:cs="仿宋"/>
          <w:b w:val="0"/>
          <w:bCs/>
          <w:color w:val="000000"/>
          <w:kern w:val="0"/>
          <w:sz w:val="24"/>
          <w:szCs w:val="22"/>
          <w:highlight w:val="none"/>
          <w:lang w:val="en-US" w:eastAsia="zh-CN" w:bidi="ar-SA"/>
        </w:rPr>
        <w:t>二、</w:t>
      </w:r>
      <w:r>
        <w:rPr>
          <w:rFonts w:hint="eastAsia" w:ascii="仿宋" w:hAnsi="仿宋" w:eastAsia="仿宋" w:cs="仿宋"/>
          <w:b w:val="0"/>
          <w:bCs/>
          <w:sz w:val="24"/>
          <w:szCs w:val="22"/>
          <w:highlight w:val="none"/>
          <w:lang w:eastAsia="zh-CN"/>
        </w:rPr>
        <w:t>磋商</w:t>
      </w:r>
      <w:r>
        <w:rPr>
          <w:rFonts w:hint="eastAsia" w:ascii="仿宋" w:hAnsi="仿宋" w:eastAsia="仿宋" w:cs="仿宋"/>
          <w:b w:val="0"/>
          <w:bCs/>
          <w:sz w:val="24"/>
          <w:szCs w:val="22"/>
          <w:highlight w:val="none"/>
        </w:rPr>
        <w:t>保证金缴纳凭证</w:t>
      </w:r>
      <w:r>
        <w:rPr>
          <w:rFonts w:hint="eastAsia" w:ascii="仿宋" w:hAnsi="仿宋" w:eastAsia="仿宋" w:cs="仿宋"/>
          <w:b w:val="0"/>
          <w:bCs/>
          <w:sz w:val="24"/>
          <w:szCs w:val="22"/>
          <w:highlight w:val="none"/>
          <w:lang w:eastAsia="zh-CN"/>
        </w:rPr>
        <w:t>；</w:t>
      </w:r>
      <w:r>
        <w:rPr>
          <w:rFonts w:hint="eastAsia" w:ascii="仿宋" w:hAnsi="仿宋" w:eastAsia="仿宋" w:cs="仿宋"/>
          <w:b w:val="0"/>
          <w:bCs/>
          <w:sz w:val="24"/>
          <w:szCs w:val="22"/>
          <w:highlight w:val="none"/>
          <w:lang w:val="en-US" w:eastAsia="zh-CN"/>
        </w:rPr>
        <w:t>（磋商保证金磋商保证金以电汇、网银等转账方式缴纳的，上传汇款凭证；投标保证金以保函形式缴纳的，须上传保函扫描件，保函的有效期少于投标有效期90日历天的，其保函无效。）</w:t>
      </w:r>
    </w:p>
    <w:p w14:paraId="3C03B5E6">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rPr>
      </w:pPr>
      <w:r>
        <w:rPr>
          <w:rFonts w:hint="eastAsia" w:ascii="仿宋" w:hAnsi="仿宋" w:eastAsia="仿宋" w:cs="仿宋"/>
          <w:b w:val="0"/>
          <w:bCs/>
          <w:sz w:val="24"/>
          <w:szCs w:val="22"/>
          <w:highlight w:val="none"/>
          <w:lang w:val="en-US" w:eastAsia="zh-CN"/>
        </w:rPr>
        <w:t>三、供应商须</w:t>
      </w:r>
      <w:r>
        <w:rPr>
          <w:rFonts w:hint="eastAsia" w:ascii="仿宋" w:hAnsi="仿宋" w:eastAsia="仿宋" w:cs="仿宋"/>
          <w:b w:val="0"/>
          <w:bCs/>
          <w:sz w:val="24"/>
          <w:szCs w:val="22"/>
          <w:highlight w:val="none"/>
          <w:lang w:eastAsia="zh-CN"/>
        </w:rPr>
        <w:t>在“信用中国”（www.creditchina.gov.cn）和中国政府采购网（www.ccgp.gov.cn）网站上未被列入失信被执行人、重大税收违法案件当事人名单以及政府采购严重违法失信行为记录名单（</w:t>
      </w:r>
      <w:r>
        <w:rPr>
          <w:rFonts w:hint="eastAsia" w:ascii="仿宋" w:hAnsi="仿宋" w:eastAsia="仿宋" w:cs="仿宋"/>
          <w:b w:val="0"/>
          <w:bCs/>
          <w:sz w:val="24"/>
          <w:szCs w:val="22"/>
          <w:highlight w:val="none"/>
          <w:lang w:val="en-US" w:eastAsia="zh-CN"/>
        </w:rPr>
        <w:t>查询时间为自公告发布之日后）；（提供查询结果的网页打印页作为查询记录和证据，与其他采购文件一并保存。查询结果以采购人或采购代理机构查询结果为准）</w:t>
      </w:r>
    </w:p>
    <w:p w14:paraId="4374F6D8">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lang w:val="en-US" w:eastAsia="zh-CN"/>
        </w:rPr>
      </w:pPr>
      <w:r>
        <w:rPr>
          <w:rFonts w:hint="eastAsia" w:ascii="仿宋" w:hAnsi="仿宋" w:eastAsia="仿宋" w:cs="仿宋"/>
          <w:b w:val="0"/>
          <w:bCs/>
          <w:sz w:val="24"/>
          <w:szCs w:val="22"/>
          <w:highlight w:val="none"/>
          <w:lang w:val="en-US" w:eastAsia="zh-CN"/>
        </w:rPr>
        <w:t>四、其他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须提供供应商声明函原件扫描件）</w:t>
      </w:r>
    </w:p>
    <w:p w14:paraId="3C973509">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lang w:val="en-US" w:eastAsia="zh-CN"/>
        </w:rPr>
      </w:pPr>
      <w:r>
        <w:rPr>
          <w:rFonts w:hint="eastAsia" w:ascii="仿宋" w:hAnsi="仿宋" w:eastAsia="仿宋" w:cs="仿宋"/>
          <w:b w:val="0"/>
          <w:bCs/>
          <w:sz w:val="24"/>
          <w:szCs w:val="22"/>
          <w:highlight w:val="none"/>
          <w:lang w:val="en-US" w:eastAsia="zh-CN"/>
        </w:rPr>
        <w:t>五、供应商认为有必要提供的声明及其他资料。</w:t>
      </w:r>
    </w:p>
    <w:p w14:paraId="575D01EB">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lang w:val="en-US" w:eastAsia="zh-CN"/>
        </w:rPr>
      </w:pPr>
      <w:r>
        <w:rPr>
          <w:rFonts w:hint="eastAsia" w:ascii="仿宋" w:hAnsi="仿宋" w:eastAsia="仿宋" w:cs="仿宋"/>
          <w:b w:val="0"/>
          <w:bCs/>
          <w:sz w:val="24"/>
          <w:szCs w:val="22"/>
          <w:highlight w:val="none"/>
          <w:lang w:val="en-US" w:eastAsia="zh-CN"/>
        </w:rPr>
        <w:t>落实政府采购政策需满足的资格要求；（提供《中小企业声明函》原件扫描件）</w:t>
      </w:r>
    </w:p>
    <w:p w14:paraId="446CCECC">
      <w:pPr>
        <w:rPr>
          <w:rFonts w:hint="eastAsia" w:ascii="仿宋" w:hAnsi="仿宋" w:eastAsia="仿宋" w:cs="仿宋"/>
          <w:kern w:val="0"/>
          <w:sz w:val="32"/>
          <w:szCs w:val="32"/>
        </w:rPr>
      </w:pPr>
    </w:p>
    <w:p w14:paraId="40ADA3D1">
      <w:pPr>
        <w:rPr>
          <w:rFonts w:hint="eastAsia" w:ascii="仿宋" w:hAnsi="仿宋" w:eastAsia="仿宋" w:cs="仿宋"/>
          <w:kern w:val="0"/>
          <w:sz w:val="32"/>
          <w:szCs w:val="32"/>
        </w:rPr>
      </w:pPr>
    </w:p>
    <w:p w14:paraId="60C59448">
      <w:pPr>
        <w:pStyle w:val="9"/>
        <w:rPr>
          <w:rFonts w:hint="eastAsia" w:ascii="仿宋" w:hAnsi="仿宋" w:eastAsia="仿宋" w:cs="仿宋"/>
          <w:kern w:val="0"/>
          <w:sz w:val="32"/>
          <w:szCs w:val="32"/>
        </w:rPr>
      </w:pPr>
    </w:p>
    <w:p w14:paraId="61953C25">
      <w:pPr>
        <w:pStyle w:val="12"/>
        <w:rPr>
          <w:rFonts w:hint="eastAsia" w:ascii="仿宋" w:hAnsi="仿宋" w:eastAsia="仿宋" w:cs="仿宋"/>
        </w:rPr>
      </w:pPr>
    </w:p>
    <w:p w14:paraId="5D378093">
      <w:pPr>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br w:type="page"/>
      </w:r>
    </w:p>
    <w:p w14:paraId="7B87A2E0">
      <w:pPr>
        <w:autoSpaceDE w:val="0"/>
        <w:autoSpaceDN w:val="0"/>
        <w:jc w:val="left"/>
        <w:rPr>
          <w:rFonts w:hint="eastAsia" w:ascii="仿宋" w:hAnsi="仿宋" w:eastAsia="仿宋" w:cs="仿宋"/>
          <w:kern w:val="0"/>
          <w:sz w:val="24"/>
          <w:szCs w:val="24"/>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5－1</w:t>
      </w:r>
    </w:p>
    <w:p w14:paraId="6F2BC002">
      <w:pPr>
        <w:autoSpaceDE w:val="0"/>
        <w:autoSpaceDN w:val="0"/>
        <w:jc w:val="left"/>
        <w:rPr>
          <w:rFonts w:hint="eastAsia" w:ascii="仿宋" w:hAnsi="仿宋" w:eastAsia="仿宋" w:cs="仿宋"/>
          <w:kern w:val="0"/>
          <w:sz w:val="24"/>
          <w:szCs w:val="24"/>
        </w:rPr>
      </w:pPr>
    </w:p>
    <w:p w14:paraId="22DFE0A6">
      <w:pPr>
        <w:autoSpaceDE w:val="0"/>
        <w:autoSpaceDN w:val="0"/>
        <w:spacing w:before="66"/>
        <w:ind w:right="891"/>
        <w:jc w:val="center"/>
        <w:rPr>
          <w:rFonts w:hint="eastAsia" w:ascii="仿宋" w:hAnsi="仿宋" w:eastAsia="仿宋" w:cs="仿宋"/>
          <w:kern w:val="0"/>
          <w:sz w:val="24"/>
          <w:szCs w:val="24"/>
        </w:rPr>
      </w:pPr>
      <w:r>
        <w:rPr>
          <w:rFonts w:hint="eastAsia" w:ascii="仿宋" w:hAnsi="仿宋" w:eastAsia="仿宋" w:cs="仿宋"/>
          <w:b/>
          <w:bCs/>
          <w:kern w:val="0"/>
          <w:sz w:val="24"/>
          <w:szCs w:val="24"/>
        </w:rPr>
        <w:t>供应商基本情况表</w:t>
      </w:r>
    </w:p>
    <w:p w14:paraId="52BD1D90">
      <w:pPr>
        <w:autoSpaceDE w:val="0"/>
        <w:autoSpaceDN w:val="0"/>
        <w:spacing w:before="1"/>
        <w:jc w:val="left"/>
        <w:rPr>
          <w:rFonts w:hint="eastAsia" w:ascii="仿宋" w:hAnsi="仿宋" w:eastAsia="仿宋" w:cs="仿宋"/>
          <w:kern w:val="0"/>
          <w:sz w:val="28"/>
          <w:szCs w:val="28"/>
        </w:rPr>
      </w:pPr>
    </w:p>
    <w:p w14:paraId="70029701">
      <w:pPr>
        <w:autoSpaceDE w:val="0"/>
        <w:autoSpaceDN w:val="0"/>
        <w:spacing w:before="67"/>
        <w:jc w:val="left"/>
        <w:rPr>
          <w:rFonts w:hint="eastAsia" w:ascii="仿宋" w:hAnsi="仿宋" w:eastAsia="仿宋" w:cs="仿宋"/>
          <w:kern w:val="0"/>
          <w:sz w:val="24"/>
          <w:szCs w:val="24"/>
        </w:rPr>
      </w:pPr>
      <w:r>
        <w:rPr>
          <w:rFonts w:hint="eastAsia" w:ascii="仿宋" w:hAnsi="仿宋" w:eastAsia="仿宋" w:cs="仿宋"/>
          <w:spacing w:val="-1"/>
          <w:kern w:val="0"/>
          <w:sz w:val="24"/>
          <w:szCs w:val="24"/>
        </w:rPr>
        <w:t>供应商：(公章)</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9"/>
        <w:gridCol w:w="3921"/>
        <w:gridCol w:w="1981"/>
        <w:gridCol w:w="1966"/>
      </w:tblGrid>
      <w:tr w14:paraId="04D50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432ECF46">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名称</w:t>
            </w:r>
          </w:p>
        </w:tc>
        <w:tc>
          <w:tcPr>
            <w:tcW w:w="3995" w:type="pct"/>
            <w:gridSpan w:val="3"/>
            <w:noWrap w:val="0"/>
            <w:vAlign w:val="center"/>
          </w:tcPr>
          <w:p w14:paraId="2E66EB10">
            <w:pPr>
              <w:autoSpaceDE w:val="0"/>
              <w:autoSpaceDN w:val="0"/>
              <w:adjustRightInd w:val="0"/>
              <w:spacing w:line="240" w:lineRule="auto"/>
              <w:jc w:val="center"/>
              <w:rPr>
                <w:rFonts w:hint="eastAsia" w:ascii="仿宋" w:hAnsi="仿宋" w:eastAsia="仿宋" w:cs="仿宋"/>
                <w:kern w:val="0"/>
                <w:sz w:val="21"/>
                <w:szCs w:val="21"/>
              </w:rPr>
            </w:pPr>
          </w:p>
        </w:tc>
      </w:tr>
      <w:tr w14:paraId="4AD86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70935C95">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注册地址</w:t>
            </w:r>
          </w:p>
        </w:tc>
        <w:tc>
          <w:tcPr>
            <w:tcW w:w="3995" w:type="pct"/>
            <w:gridSpan w:val="3"/>
            <w:noWrap w:val="0"/>
            <w:vAlign w:val="center"/>
          </w:tcPr>
          <w:p w14:paraId="2CAF5048">
            <w:pPr>
              <w:autoSpaceDE w:val="0"/>
              <w:autoSpaceDN w:val="0"/>
              <w:adjustRightInd w:val="0"/>
              <w:spacing w:line="240" w:lineRule="auto"/>
              <w:jc w:val="center"/>
              <w:rPr>
                <w:rFonts w:hint="eastAsia" w:ascii="仿宋" w:hAnsi="仿宋" w:eastAsia="仿宋" w:cs="仿宋"/>
                <w:kern w:val="0"/>
                <w:sz w:val="21"/>
                <w:szCs w:val="21"/>
              </w:rPr>
            </w:pPr>
          </w:p>
        </w:tc>
      </w:tr>
      <w:tr w14:paraId="2900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15C7B39F">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办公地址</w:t>
            </w:r>
          </w:p>
        </w:tc>
        <w:tc>
          <w:tcPr>
            <w:tcW w:w="3995" w:type="pct"/>
            <w:gridSpan w:val="3"/>
            <w:noWrap w:val="0"/>
            <w:vAlign w:val="center"/>
          </w:tcPr>
          <w:p w14:paraId="621B5F43">
            <w:pPr>
              <w:autoSpaceDE w:val="0"/>
              <w:autoSpaceDN w:val="0"/>
              <w:adjustRightInd w:val="0"/>
              <w:spacing w:line="240" w:lineRule="auto"/>
              <w:jc w:val="center"/>
              <w:rPr>
                <w:rFonts w:hint="eastAsia" w:ascii="仿宋" w:hAnsi="仿宋" w:eastAsia="仿宋" w:cs="仿宋"/>
                <w:kern w:val="0"/>
                <w:sz w:val="21"/>
                <w:szCs w:val="21"/>
              </w:rPr>
            </w:pPr>
          </w:p>
        </w:tc>
      </w:tr>
      <w:tr w14:paraId="3706B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32550D23">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法定代表人</w:t>
            </w:r>
          </w:p>
        </w:tc>
        <w:tc>
          <w:tcPr>
            <w:tcW w:w="1991" w:type="pct"/>
            <w:noWrap w:val="0"/>
            <w:vAlign w:val="center"/>
          </w:tcPr>
          <w:p w14:paraId="67C3CA10">
            <w:pPr>
              <w:autoSpaceDE w:val="0"/>
              <w:autoSpaceDN w:val="0"/>
              <w:adjustRightInd w:val="0"/>
              <w:spacing w:line="240" w:lineRule="auto"/>
              <w:jc w:val="center"/>
              <w:rPr>
                <w:rFonts w:hint="eastAsia" w:ascii="仿宋" w:hAnsi="仿宋" w:eastAsia="仿宋" w:cs="仿宋"/>
                <w:kern w:val="0"/>
                <w:sz w:val="21"/>
                <w:szCs w:val="21"/>
              </w:rPr>
            </w:pPr>
          </w:p>
        </w:tc>
        <w:tc>
          <w:tcPr>
            <w:tcW w:w="1006" w:type="pct"/>
            <w:noWrap w:val="0"/>
            <w:vAlign w:val="center"/>
          </w:tcPr>
          <w:p w14:paraId="2CDCE77B">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联系人</w:t>
            </w:r>
          </w:p>
        </w:tc>
        <w:tc>
          <w:tcPr>
            <w:tcW w:w="998" w:type="pct"/>
            <w:noWrap w:val="0"/>
            <w:vAlign w:val="center"/>
          </w:tcPr>
          <w:p w14:paraId="7475E059">
            <w:pPr>
              <w:autoSpaceDE w:val="0"/>
              <w:autoSpaceDN w:val="0"/>
              <w:adjustRightInd w:val="0"/>
              <w:spacing w:line="240" w:lineRule="auto"/>
              <w:jc w:val="center"/>
              <w:rPr>
                <w:rFonts w:hint="eastAsia" w:ascii="仿宋" w:hAnsi="仿宋" w:eastAsia="仿宋" w:cs="仿宋"/>
                <w:kern w:val="0"/>
                <w:sz w:val="21"/>
                <w:szCs w:val="21"/>
              </w:rPr>
            </w:pPr>
          </w:p>
        </w:tc>
      </w:tr>
      <w:tr w14:paraId="2689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521B7DF9">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电话</w:t>
            </w:r>
          </w:p>
        </w:tc>
        <w:tc>
          <w:tcPr>
            <w:tcW w:w="1991" w:type="pct"/>
            <w:noWrap w:val="0"/>
            <w:vAlign w:val="center"/>
          </w:tcPr>
          <w:p w14:paraId="5BEAB9D4">
            <w:pPr>
              <w:autoSpaceDE w:val="0"/>
              <w:autoSpaceDN w:val="0"/>
              <w:adjustRightInd w:val="0"/>
              <w:spacing w:line="240" w:lineRule="auto"/>
              <w:jc w:val="center"/>
              <w:rPr>
                <w:rFonts w:hint="eastAsia" w:ascii="仿宋" w:hAnsi="仿宋" w:eastAsia="仿宋" w:cs="仿宋"/>
                <w:kern w:val="0"/>
                <w:sz w:val="21"/>
                <w:szCs w:val="21"/>
              </w:rPr>
            </w:pPr>
          </w:p>
        </w:tc>
        <w:tc>
          <w:tcPr>
            <w:tcW w:w="1006" w:type="pct"/>
            <w:noWrap w:val="0"/>
            <w:vAlign w:val="center"/>
          </w:tcPr>
          <w:p w14:paraId="1E002404">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传真</w:t>
            </w:r>
          </w:p>
        </w:tc>
        <w:tc>
          <w:tcPr>
            <w:tcW w:w="998" w:type="pct"/>
            <w:noWrap w:val="0"/>
            <w:vAlign w:val="center"/>
          </w:tcPr>
          <w:p w14:paraId="189317B6">
            <w:pPr>
              <w:autoSpaceDE w:val="0"/>
              <w:autoSpaceDN w:val="0"/>
              <w:adjustRightInd w:val="0"/>
              <w:spacing w:line="240" w:lineRule="auto"/>
              <w:jc w:val="center"/>
              <w:rPr>
                <w:rFonts w:hint="eastAsia" w:ascii="仿宋" w:hAnsi="仿宋" w:eastAsia="仿宋" w:cs="仿宋"/>
                <w:kern w:val="0"/>
                <w:sz w:val="21"/>
                <w:szCs w:val="21"/>
              </w:rPr>
            </w:pPr>
          </w:p>
        </w:tc>
      </w:tr>
      <w:tr w14:paraId="5E79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56415D01">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邮政编码</w:t>
            </w:r>
          </w:p>
        </w:tc>
        <w:tc>
          <w:tcPr>
            <w:tcW w:w="1991" w:type="pct"/>
            <w:noWrap w:val="0"/>
            <w:vAlign w:val="center"/>
          </w:tcPr>
          <w:p w14:paraId="398D3369">
            <w:pPr>
              <w:autoSpaceDE w:val="0"/>
              <w:autoSpaceDN w:val="0"/>
              <w:adjustRightInd w:val="0"/>
              <w:spacing w:line="240" w:lineRule="auto"/>
              <w:jc w:val="center"/>
              <w:rPr>
                <w:rFonts w:hint="eastAsia" w:ascii="仿宋" w:hAnsi="仿宋" w:eastAsia="仿宋" w:cs="仿宋"/>
                <w:kern w:val="0"/>
                <w:sz w:val="21"/>
                <w:szCs w:val="21"/>
              </w:rPr>
            </w:pPr>
          </w:p>
        </w:tc>
        <w:tc>
          <w:tcPr>
            <w:tcW w:w="1006" w:type="pct"/>
            <w:noWrap w:val="0"/>
            <w:vAlign w:val="center"/>
          </w:tcPr>
          <w:p w14:paraId="51A4CC3D">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E-Mail</w:t>
            </w:r>
          </w:p>
        </w:tc>
        <w:tc>
          <w:tcPr>
            <w:tcW w:w="998" w:type="pct"/>
            <w:noWrap w:val="0"/>
            <w:vAlign w:val="center"/>
          </w:tcPr>
          <w:p w14:paraId="1C847563">
            <w:pPr>
              <w:autoSpaceDE w:val="0"/>
              <w:autoSpaceDN w:val="0"/>
              <w:adjustRightInd w:val="0"/>
              <w:spacing w:line="240" w:lineRule="auto"/>
              <w:jc w:val="center"/>
              <w:rPr>
                <w:rFonts w:hint="eastAsia" w:ascii="仿宋" w:hAnsi="仿宋" w:eastAsia="仿宋" w:cs="仿宋"/>
                <w:kern w:val="0"/>
                <w:sz w:val="21"/>
                <w:szCs w:val="21"/>
              </w:rPr>
            </w:pPr>
          </w:p>
        </w:tc>
      </w:tr>
      <w:tr w14:paraId="0AC23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3C33FFAB">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社会统一信用代码</w:t>
            </w:r>
          </w:p>
        </w:tc>
        <w:tc>
          <w:tcPr>
            <w:tcW w:w="3995" w:type="pct"/>
            <w:gridSpan w:val="3"/>
            <w:noWrap w:val="0"/>
            <w:vAlign w:val="center"/>
          </w:tcPr>
          <w:p w14:paraId="27F880D5">
            <w:pPr>
              <w:autoSpaceDE w:val="0"/>
              <w:autoSpaceDN w:val="0"/>
              <w:adjustRightInd w:val="0"/>
              <w:spacing w:line="240" w:lineRule="auto"/>
              <w:jc w:val="center"/>
              <w:rPr>
                <w:rFonts w:hint="eastAsia" w:ascii="仿宋" w:hAnsi="仿宋" w:eastAsia="仿宋" w:cs="仿宋"/>
                <w:kern w:val="0"/>
                <w:sz w:val="21"/>
                <w:szCs w:val="21"/>
              </w:rPr>
            </w:pPr>
          </w:p>
        </w:tc>
      </w:tr>
      <w:tr w14:paraId="11A6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6F1E4472">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资质等级</w:t>
            </w:r>
          </w:p>
        </w:tc>
        <w:tc>
          <w:tcPr>
            <w:tcW w:w="3995" w:type="pct"/>
            <w:gridSpan w:val="3"/>
            <w:noWrap w:val="0"/>
            <w:vAlign w:val="center"/>
          </w:tcPr>
          <w:p w14:paraId="40C642C0">
            <w:pPr>
              <w:autoSpaceDE w:val="0"/>
              <w:autoSpaceDN w:val="0"/>
              <w:adjustRightInd w:val="0"/>
              <w:spacing w:line="240" w:lineRule="auto"/>
              <w:jc w:val="center"/>
              <w:rPr>
                <w:rFonts w:hint="eastAsia" w:ascii="仿宋" w:hAnsi="仿宋" w:eastAsia="仿宋" w:cs="仿宋"/>
                <w:kern w:val="0"/>
                <w:sz w:val="21"/>
                <w:szCs w:val="21"/>
              </w:rPr>
            </w:pPr>
          </w:p>
        </w:tc>
      </w:tr>
      <w:tr w14:paraId="06BD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7CADE492">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注册资金（万元）</w:t>
            </w:r>
          </w:p>
        </w:tc>
        <w:tc>
          <w:tcPr>
            <w:tcW w:w="1991" w:type="pct"/>
            <w:noWrap w:val="0"/>
            <w:vAlign w:val="center"/>
          </w:tcPr>
          <w:p w14:paraId="4074AD79">
            <w:pPr>
              <w:autoSpaceDE w:val="0"/>
              <w:autoSpaceDN w:val="0"/>
              <w:adjustRightInd w:val="0"/>
              <w:spacing w:line="240" w:lineRule="auto"/>
              <w:jc w:val="center"/>
              <w:rPr>
                <w:rFonts w:hint="eastAsia" w:ascii="仿宋" w:hAnsi="仿宋" w:eastAsia="仿宋" w:cs="仿宋"/>
                <w:kern w:val="0"/>
                <w:sz w:val="21"/>
                <w:szCs w:val="21"/>
              </w:rPr>
            </w:pPr>
          </w:p>
        </w:tc>
        <w:tc>
          <w:tcPr>
            <w:tcW w:w="1006" w:type="pct"/>
            <w:noWrap w:val="0"/>
            <w:vAlign w:val="center"/>
          </w:tcPr>
          <w:p w14:paraId="145FE95A">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专业人员数量</w:t>
            </w:r>
          </w:p>
        </w:tc>
        <w:tc>
          <w:tcPr>
            <w:tcW w:w="998" w:type="pct"/>
            <w:noWrap w:val="0"/>
            <w:vAlign w:val="center"/>
          </w:tcPr>
          <w:p w14:paraId="519C0C0E">
            <w:pPr>
              <w:autoSpaceDE w:val="0"/>
              <w:autoSpaceDN w:val="0"/>
              <w:adjustRightInd w:val="0"/>
              <w:spacing w:line="240" w:lineRule="auto"/>
              <w:jc w:val="center"/>
              <w:rPr>
                <w:rFonts w:hint="eastAsia" w:ascii="仿宋" w:hAnsi="仿宋" w:eastAsia="仿宋" w:cs="仿宋"/>
                <w:kern w:val="0"/>
                <w:sz w:val="21"/>
                <w:szCs w:val="21"/>
              </w:rPr>
            </w:pPr>
          </w:p>
        </w:tc>
      </w:tr>
      <w:tr w14:paraId="2DA8B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5F7B7EBF">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经营范围</w:t>
            </w:r>
          </w:p>
        </w:tc>
        <w:tc>
          <w:tcPr>
            <w:tcW w:w="3995" w:type="pct"/>
            <w:gridSpan w:val="3"/>
            <w:noWrap w:val="0"/>
            <w:vAlign w:val="center"/>
          </w:tcPr>
          <w:p w14:paraId="59F65263">
            <w:pPr>
              <w:autoSpaceDE w:val="0"/>
              <w:autoSpaceDN w:val="0"/>
              <w:adjustRightInd w:val="0"/>
              <w:spacing w:line="240" w:lineRule="auto"/>
              <w:jc w:val="center"/>
              <w:rPr>
                <w:rFonts w:hint="eastAsia" w:ascii="仿宋" w:hAnsi="仿宋" w:eastAsia="仿宋" w:cs="仿宋"/>
                <w:kern w:val="0"/>
                <w:sz w:val="21"/>
                <w:szCs w:val="21"/>
              </w:rPr>
            </w:pPr>
          </w:p>
        </w:tc>
      </w:tr>
      <w:tr w14:paraId="50FE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noWrap w:val="0"/>
            <w:vAlign w:val="top"/>
          </w:tcPr>
          <w:p w14:paraId="49E3C849">
            <w:pPr>
              <w:autoSpaceDE w:val="0"/>
              <w:autoSpaceDN w:val="0"/>
              <w:adjustRightInd w:val="0"/>
              <w:spacing w:line="240" w:lineRule="auto"/>
              <w:rPr>
                <w:rFonts w:hint="eastAsia" w:ascii="仿宋" w:hAnsi="仿宋" w:eastAsia="仿宋" w:cs="仿宋"/>
                <w:kern w:val="0"/>
                <w:sz w:val="21"/>
                <w:szCs w:val="21"/>
              </w:rPr>
            </w:pPr>
            <w:r>
              <w:rPr>
                <w:rFonts w:hint="eastAsia" w:ascii="仿宋" w:hAnsi="仿宋" w:eastAsia="仿宋" w:cs="仿宋"/>
                <w:kern w:val="0"/>
                <w:sz w:val="21"/>
                <w:szCs w:val="21"/>
              </w:rPr>
              <w:t>机构简况：</w:t>
            </w:r>
          </w:p>
          <w:p w14:paraId="4B016AE3">
            <w:pPr>
              <w:pStyle w:val="9"/>
              <w:rPr>
                <w:rFonts w:hint="eastAsia" w:ascii="仿宋" w:hAnsi="仿宋" w:eastAsia="仿宋" w:cs="仿宋"/>
                <w:kern w:val="0"/>
                <w:sz w:val="21"/>
                <w:szCs w:val="21"/>
              </w:rPr>
            </w:pPr>
          </w:p>
          <w:p w14:paraId="5D59EC66">
            <w:pPr>
              <w:pStyle w:val="12"/>
              <w:rPr>
                <w:rFonts w:hint="eastAsia" w:ascii="仿宋" w:hAnsi="仿宋" w:eastAsia="仿宋" w:cs="仿宋"/>
                <w:kern w:val="0"/>
                <w:sz w:val="21"/>
                <w:szCs w:val="21"/>
              </w:rPr>
            </w:pPr>
          </w:p>
          <w:p w14:paraId="6FF00DDF">
            <w:pPr>
              <w:pStyle w:val="18"/>
              <w:rPr>
                <w:rFonts w:hint="eastAsia" w:ascii="仿宋" w:hAnsi="仿宋" w:eastAsia="仿宋" w:cs="仿宋"/>
                <w:kern w:val="0"/>
                <w:sz w:val="21"/>
                <w:szCs w:val="21"/>
              </w:rPr>
            </w:pPr>
          </w:p>
          <w:p w14:paraId="11383BC7">
            <w:pPr>
              <w:rPr>
                <w:rFonts w:hint="eastAsia" w:ascii="仿宋" w:hAnsi="仿宋" w:eastAsia="仿宋" w:cs="仿宋"/>
                <w:kern w:val="0"/>
                <w:sz w:val="21"/>
                <w:szCs w:val="21"/>
              </w:rPr>
            </w:pPr>
          </w:p>
          <w:p w14:paraId="2E1D87FE">
            <w:pPr>
              <w:pStyle w:val="9"/>
              <w:rPr>
                <w:rFonts w:hint="eastAsia" w:ascii="仿宋" w:hAnsi="仿宋" w:eastAsia="仿宋" w:cs="仿宋"/>
                <w:kern w:val="0"/>
                <w:sz w:val="21"/>
                <w:szCs w:val="21"/>
              </w:rPr>
            </w:pPr>
          </w:p>
          <w:p w14:paraId="2150B6E2">
            <w:pPr>
              <w:pStyle w:val="12"/>
              <w:rPr>
                <w:rFonts w:hint="eastAsia" w:ascii="仿宋" w:hAnsi="仿宋" w:eastAsia="仿宋" w:cs="仿宋"/>
                <w:kern w:val="0"/>
                <w:sz w:val="21"/>
                <w:szCs w:val="21"/>
              </w:rPr>
            </w:pPr>
          </w:p>
          <w:p w14:paraId="5C87F48A">
            <w:pPr>
              <w:pStyle w:val="18"/>
              <w:rPr>
                <w:rFonts w:hint="eastAsia" w:ascii="仿宋" w:hAnsi="仿宋" w:eastAsia="仿宋" w:cs="仿宋"/>
                <w:kern w:val="0"/>
                <w:sz w:val="21"/>
                <w:szCs w:val="21"/>
              </w:rPr>
            </w:pPr>
          </w:p>
          <w:p w14:paraId="1F5209D7">
            <w:pPr>
              <w:rPr>
                <w:rFonts w:hint="eastAsia"/>
              </w:rPr>
            </w:pPr>
          </w:p>
        </w:tc>
      </w:tr>
    </w:tbl>
    <w:p w14:paraId="67FDBAD6">
      <w:pPr>
        <w:autoSpaceDE w:val="0"/>
        <w:autoSpaceDN w:val="0"/>
        <w:jc w:val="left"/>
        <w:rPr>
          <w:rFonts w:hint="eastAsia" w:ascii="仿宋" w:hAnsi="仿宋" w:eastAsia="仿宋" w:cs="仿宋"/>
          <w:kern w:val="0"/>
          <w:sz w:val="28"/>
          <w:szCs w:val="28"/>
        </w:rPr>
      </w:pPr>
    </w:p>
    <w:p w14:paraId="0CFFDEB7">
      <w:pPr>
        <w:autoSpaceDE w:val="0"/>
        <w:autoSpaceDN w:val="0"/>
        <w:jc w:val="left"/>
        <w:rPr>
          <w:rFonts w:hint="eastAsia" w:ascii="仿宋" w:hAnsi="仿宋" w:eastAsia="仿宋" w:cs="仿宋"/>
          <w:kern w:val="0"/>
          <w:sz w:val="28"/>
          <w:szCs w:val="28"/>
        </w:rPr>
      </w:pPr>
    </w:p>
    <w:p w14:paraId="2EDED0F5">
      <w:pPr>
        <w:autoSpaceDE w:val="0"/>
        <w:autoSpaceDN w:val="0"/>
        <w:jc w:val="left"/>
        <w:rPr>
          <w:rFonts w:hint="eastAsia" w:ascii="仿宋" w:hAnsi="仿宋" w:eastAsia="仿宋" w:cs="仿宋"/>
          <w:kern w:val="0"/>
          <w:sz w:val="28"/>
          <w:szCs w:val="28"/>
        </w:rPr>
      </w:pPr>
    </w:p>
    <w:p w14:paraId="1FA0D9EE">
      <w:pPr>
        <w:autoSpaceDE w:val="0"/>
        <w:autoSpaceDN w:val="0"/>
        <w:jc w:val="left"/>
        <w:rPr>
          <w:rFonts w:hint="eastAsia" w:ascii="仿宋" w:hAnsi="仿宋" w:eastAsia="仿宋" w:cs="仿宋"/>
          <w:kern w:val="0"/>
          <w:sz w:val="28"/>
          <w:szCs w:val="28"/>
        </w:rPr>
      </w:pPr>
    </w:p>
    <w:p w14:paraId="2AD1CBE2">
      <w:pPr>
        <w:rPr>
          <w:rFonts w:hint="eastAsia" w:ascii="仿宋" w:hAnsi="仿宋" w:eastAsia="仿宋" w:cs="仿宋"/>
          <w:spacing w:val="-3"/>
          <w:w w:val="95"/>
          <w:kern w:val="0"/>
          <w:sz w:val="24"/>
          <w:szCs w:val="24"/>
        </w:rPr>
      </w:pPr>
      <w:r>
        <w:rPr>
          <w:rFonts w:hint="eastAsia" w:ascii="仿宋" w:hAnsi="仿宋" w:eastAsia="仿宋" w:cs="仿宋"/>
          <w:spacing w:val="-3"/>
          <w:w w:val="95"/>
          <w:kern w:val="0"/>
          <w:sz w:val="24"/>
          <w:szCs w:val="24"/>
        </w:rPr>
        <w:br w:type="page"/>
      </w:r>
    </w:p>
    <w:p w14:paraId="6D9E9080">
      <w:pPr>
        <w:autoSpaceDE w:val="0"/>
        <w:autoSpaceDN w:val="0"/>
        <w:jc w:val="left"/>
        <w:rPr>
          <w:rFonts w:hint="eastAsia" w:ascii="仿宋" w:hAnsi="仿宋" w:eastAsia="仿宋" w:cs="仿宋"/>
          <w:kern w:val="0"/>
          <w:sz w:val="24"/>
          <w:szCs w:val="24"/>
          <w:lang w:eastAsia="zh-CN"/>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5－</w:t>
      </w:r>
      <w:r>
        <w:rPr>
          <w:rFonts w:hint="eastAsia" w:ascii="仿宋" w:hAnsi="仿宋" w:eastAsia="仿宋" w:cs="仿宋"/>
          <w:w w:val="95"/>
          <w:kern w:val="0"/>
          <w:sz w:val="24"/>
          <w:szCs w:val="24"/>
          <w:lang w:val="en-US" w:eastAsia="zh-CN"/>
        </w:rPr>
        <w:t>2</w:t>
      </w:r>
    </w:p>
    <w:p w14:paraId="71862FA8">
      <w:pPr>
        <w:autoSpaceDE w:val="0"/>
        <w:autoSpaceDN w:val="0"/>
        <w:jc w:val="left"/>
        <w:rPr>
          <w:rFonts w:hint="eastAsia" w:ascii="仿宋" w:hAnsi="仿宋" w:eastAsia="仿宋" w:cs="仿宋"/>
          <w:kern w:val="0"/>
          <w:sz w:val="28"/>
          <w:szCs w:val="28"/>
        </w:rPr>
      </w:pPr>
    </w:p>
    <w:p w14:paraId="7FA5E3B4">
      <w:pPr>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关于</w:t>
      </w:r>
      <w:r>
        <w:rPr>
          <w:rFonts w:hint="eastAsia" w:ascii="仿宋" w:hAnsi="仿宋" w:eastAsia="仿宋" w:cs="仿宋"/>
          <w:b/>
          <w:bCs/>
          <w:kern w:val="0"/>
          <w:sz w:val="24"/>
          <w:szCs w:val="24"/>
        </w:rPr>
        <w:t>满足《中华人民共和国政府采购法》第二十二条</w:t>
      </w:r>
      <w:r>
        <w:rPr>
          <w:rFonts w:hint="eastAsia" w:ascii="仿宋" w:hAnsi="仿宋" w:eastAsia="仿宋" w:cs="仿宋"/>
          <w:b/>
          <w:bCs/>
          <w:kern w:val="0"/>
          <w:sz w:val="24"/>
          <w:szCs w:val="24"/>
          <w:lang w:val="en-US" w:eastAsia="zh-CN"/>
        </w:rPr>
        <w:t>的承诺</w:t>
      </w:r>
    </w:p>
    <w:p w14:paraId="50FC140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szCs w:val="24"/>
          <w:lang w:val="en-US" w:eastAsia="zh-CN" w:bidi="ar-SA"/>
        </w:rPr>
      </w:pPr>
    </w:p>
    <w:p w14:paraId="486961D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我公司作为本次采购项目的供应商，根据竞争性磋商文件要求，现郑重承诺如下：</w:t>
      </w:r>
    </w:p>
    <w:p w14:paraId="4A094A9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一、具备《中华人民共和国政府采购法》第二十二条的条件：</w:t>
      </w:r>
    </w:p>
    <w:p w14:paraId="08B0858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（一）具有独立承担民事责任的能力； </w:t>
      </w:r>
    </w:p>
    <w:p w14:paraId="564AE4F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（二）具有良好的商业信誉和健全的财务会计制度； </w:t>
      </w:r>
    </w:p>
    <w:p w14:paraId="28FDD49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（三）具有履行合同所必需的设备和专业技术能力； </w:t>
      </w:r>
    </w:p>
    <w:p w14:paraId="7658785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（四）有依法缴纳税收和社会保障资金的良好记录； </w:t>
      </w:r>
    </w:p>
    <w:p w14:paraId="51994EA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（五）在经营活动中没有重大违法记录；</w:t>
      </w:r>
    </w:p>
    <w:p w14:paraId="56C870E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（六）法律、行政法规规定的其他条件；</w:t>
      </w:r>
    </w:p>
    <w:p w14:paraId="1ED2002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本公司对上述承诺的内容事项真实性负责。如经查实上述承诺的内容事项存在虚假，我公司愿意接受以提供虚假材料谋取中标追究法律责任。</w:t>
      </w:r>
    </w:p>
    <w:p w14:paraId="01CAE7F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w:t>
      </w:r>
    </w:p>
    <w:p w14:paraId="68EB7CF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企业名称(盖公章):</w:t>
      </w:r>
    </w:p>
    <w:p w14:paraId="0AAC27F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法定代表人(负责人)或其授权代表(签字或盖章):</w:t>
      </w:r>
    </w:p>
    <w:p w14:paraId="71501F4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日期:</w:t>
      </w:r>
    </w:p>
    <w:p w14:paraId="61C57DAE">
      <w:pPr>
        <w:jc w:val="center"/>
        <w:rPr>
          <w:rFonts w:hint="eastAsia" w:ascii="仿宋" w:hAnsi="仿宋" w:eastAsia="仿宋" w:cs="仿宋"/>
          <w:b/>
          <w:bCs/>
          <w:kern w:val="0"/>
          <w:sz w:val="32"/>
          <w:szCs w:val="32"/>
          <w:lang w:val="en-US" w:eastAsia="zh-CN"/>
        </w:rPr>
      </w:pPr>
    </w:p>
    <w:p w14:paraId="0AC8DB7D">
      <w:pPr>
        <w:spacing w:line="360" w:lineRule="auto"/>
        <w:rPr>
          <w:rFonts w:hint="eastAsia" w:ascii="仿宋" w:hAnsi="仿宋" w:eastAsia="仿宋" w:cs="仿宋"/>
        </w:rPr>
      </w:pPr>
    </w:p>
    <w:p w14:paraId="7BD60AE6">
      <w:pPr>
        <w:autoSpaceDE w:val="0"/>
        <w:autoSpaceDN w:val="0"/>
        <w:jc w:val="left"/>
        <w:rPr>
          <w:rFonts w:hint="eastAsia" w:ascii="仿宋" w:hAnsi="仿宋" w:eastAsia="仿宋" w:cs="仿宋"/>
          <w:spacing w:val="-3"/>
          <w:w w:val="95"/>
          <w:kern w:val="0"/>
          <w:sz w:val="24"/>
          <w:szCs w:val="24"/>
        </w:rPr>
      </w:pPr>
    </w:p>
    <w:p w14:paraId="6BF91BE9">
      <w:pPr>
        <w:autoSpaceDE w:val="0"/>
        <w:autoSpaceDN w:val="0"/>
        <w:jc w:val="left"/>
        <w:rPr>
          <w:rFonts w:hint="eastAsia" w:ascii="仿宋" w:hAnsi="仿宋" w:eastAsia="仿宋" w:cs="仿宋"/>
          <w:kern w:val="0"/>
          <w:sz w:val="28"/>
          <w:szCs w:val="28"/>
        </w:rPr>
      </w:pPr>
    </w:p>
    <w:p w14:paraId="31BA6F5A">
      <w:pP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br w:type="page"/>
      </w:r>
    </w:p>
    <w:p w14:paraId="45ACF36F">
      <w:pPr>
        <w:autoSpaceDE w:val="0"/>
        <w:autoSpaceDN w:val="0"/>
        <w:spacing w:before="139"/>
        <w:jc w:val="left"/>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6</w:t>
      </w:r>
      <w:r>
        <w:rPr>
          <w:rFonts w:hint="eastAsia" w:ascii="仿宋" w:hAnsi="仿宋" w:eastAsia="仿宋" w:cs="仿宋"/>
          <w:b/>
          <w:bCs/>
          <w:kern w:val="0"/>
          <w:sz w:val="24"/>
          <w:szCs w:val="24"/>
        </w:rPr>
        <w:t>、提供符合采购政策的证明材料</w:t>
      </w:r>
    </w:p>
    <w:p w14:paraId="406E17E2">
      <w:pPr>
        <w:autoSpaceDE w:val="0"/>
        <w:autoSpaceDN w:val="0"/>
        <w:spacing w:before="12"/>
        <w:jc w:val="left"/>
        <w:rPr>
          <w:rFonts w:hint="eastAsia" w:ascii="仿宋" w:hAnsi="仿宋" w:eastAsia="仿宋" w:cs="仿宋"/>
          <w:kern w:val="0"/>
          <w:sz w:val="28"/>
          <w:szCs w:val="28"/>
        </w:rPr>
      </w:pPr>
    </w:p>
    <w:p w14:paraId="06760390">
      <w:pPr>
        <w:keepNext w:val="0"/>
        <w:keepLines w:val="0"/>
        <w:pageBreakBefore w:val="0"/>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6－1</w:t>
      </w:r>
    </w:p>
    <w:p w14:paraId="20032C1A">
      <w:pPr>
        <w:keepNext w:val="0"/>
        <w:keepLines w:val="0"/>
        <w:pageBreakBefore w:val="0"/>
        <w:kinsoku/>
        <w:wordWrap/>
        <w:overflowPunct/>
        <w:topLinePunct w:val="0"/>
        <w:bidi w:val="0"/>
        <w:adjustRightInd/>
        <w:snapToGrid w:val="0"/>
        <w:spacing w:before="191" w:line="360" w:lineRule="auto"/>
        <w:jc w:val="center"/>
        <w:textAlignment w:val="auto"/>
        <w:rPr>
          <w:rFonts w:hint="eastAsia" w:ascii="仿宋" w:hAnsi="仿宋" w:eastAsia="仿宋" w:cs="仿宋"/>
          <w:sz w:val="24"/>
          <w:szCs w:val="24"/>
        </w:rPr>
      </w:pPr>
      <w:r>
        <w:rPr>
          <w:rFonts w:hint="eastAsia" w:ascii="仿宋" w:hAnsi="仿宋" w:eastAsia="仿宋" w:cs="仿宋"/>
          <w:spacing w:val="5"/>
          <w:sz w:val="24"/>
          <w:szCs w:val="24"/>
          <w14:textOutline w14:w="6537" w14:cap="sq" w14:cmpd="sng">
            <w14:solidFill>
              <w14:srgbClr w14:val="000000"/>
            </w14:solidFill>
            <w14:prstDash w14:val="solid"/>
            <w14:bevel/>
          </w14:textOutline>
        </w:rPr>
        <w:t>中小企业声明函（</w:t>
      </w:r>
      <w:r>
        <w:rPr>
          <w:rFonts w:hint="eastAsia" w:ascii="仿宋" w:hAnsi="仿宋" w:eastAsia="仿宋" w:cs="仿宋"/>
          <w:spacing w:val="5"/>
          <w:sz w:val="24"/>
          <w:szCs w:val="24"/>
          <w:lang w:eastAsia="zh-CN"/>
          <w14:textOutline w14:w="6537" w14:cap="sq" w14:cmpd="sng">
            <w14:solidFill>
              <w14:srgbClr w14:val="000000"/>
            </w14:solidFill>
            <w14:prstDash w14:val="solid"/>
            <w14:bevel/>
          </w14:textOutline>
        </w:rPr>
        <w:t>工程、服务</w:t>
      </w:r>
      <w:r>
        <w:rPr>
          <w:rFonts w:hint="eastAsia" w:ascii="仿宋" w:hAnsi="仿宋" w:eastAsia="仿宋" w:cs="仿宋"/>
          <w:spacing w:val="5"/>
          <w:sz w:val="24"/>
          <w:szCs w:val="24"/>
          <w14:textOutline w14:w="6537" w14:cap="sq" w14:cmpd="sng">
            <w14:solidFill>
              <w14:srgbClr w14:val="000000"/>
            </w14:solidFill>
            <w14:prstDash w14:val="solid"/>
            <w14:bevel/>
          </w14:textOutline>
        </w:rPr>
        <w:t>）</w:t>
      </w:r>
    </w:p>
    <w:p w14:paraId="188EEDF7">
      <w:pPr>
        <w:pStyle w:val="9"/>
        <w:pageBreakBefore w:val="0"/>
        <w:kinsoku/>
        <w:wordWrap/>
        <w:topLinePunct w:val="0"/>
        <w:bidi w:val="0"/>
        <w:spacing w:before="75" w:line="306" w:lineRule="auto"/>
        <w:ind w:left="36" w:right="115" w:firstLine="640"/>
        <w:jc w:val="both"/>
        <w:rPr>
          <w:rFonts w:hint="eastAsia" w:ascii="仿宋" w:hAnsi="仿宋" w:eastAsia="仿宋" w:cs="仿宋"/>
          <w:i w:val="0"/>
          <w:iCs w:val="0"/>
          <w:sz w:val="24"/>
          <w:szCs w:val="24"/>
        </w:rPr>
      </w:pPr>
      <w:r>
        <w:rPr>
          <w:rFonts w:hint="eastAsia" w:ascii="仿宋" w:hAnsi="仿宋" w:eastAsia="仿宋" w:cs="仿宋"/>
          <w:i w:val="0"/>
          <w:iCs w:val="0"/>
          <w:spacing w:val="19"/>
          <w:sz w:val="24"/>
          <w:szCs w:val="24"/>
        </w:rPr>
        <w:t>本公司（联合体）</w:t>
      </w:r>
      <w:r>
        <w:rPr>
          <w:rFonts w:hint="eastAsia" w:ascii="仿宋" w:hAnsi="仿宋" w:eastAsia="仿宋" w:cs="仿宋"/>
          <w:i w:val="0"/>
          <w:iCs w:val="0"/>
          <w:spacing w:val="-58"/>
          <w:sz w:val="24"/>
          <w:szCs w:val="24"/>
        </w:rPr>
        <w:t xml:space="preserve"> </w:t>
      </w:r>
      <w:r>
        <w:rPr>
          <w:rFonts w:hint="eastAsia" w:ascii="仿宋" w:hAnsi="仿宋" w:eastAsia="仿宋" w:cs="仿宋"/>
          <w:i w:val="0"/>
          <w:iCs w:val="0"/>
          <w:spacing w:val="19"/>
          <w:sz w:val="24"/>
          <w:szCs w:val="24"/>
        </w:rPr>
        <w:t>郑重声明，根据《政府采购促进中小</w:t>
      </w:r>
      <w:r>
        <w:rPr>
          <w:rFonts w:hint="eastAsia" w:ascii="仿宋" w:hAnsi="仿宋" w:eastAsia="仿宋" w:cs="仿宋"/>
          <w:i w:val="0"/>
          <w:iCs w:val="0"/>
          <w:spacing w:val="59"/>
          <w:sz w:val="24"/>
          <w:szCs w:val="24"/>
        </w:rPr>
        <w:t xml:space="preserve"> </w:t>
      </w:r>
      <w:r>
        <w:rPr>
          <w:rFonts w:hint="eastAsia" w:ascii="仿宋" w:hAnsi="仿宋" w:eastAsia="仿宋" w:cs="仿宋"/>
          <w:i w:val="0"/>
          <w:iCs w:val="0"/>
          <w:spacing w:val="19"/>
          <w:sz w:val="24"/>
          <w:szCs w:val="24"/>
        </w:rPr>
        <w:t>企业发展管理办法》</w:t>
      </w:r>
      <w:r>
        <w:rPr>
          <w:rFonts w:hint="eastAsia" w:ascii="仿宋" w:hAnsi="仿宋" w:eastAsia="仿宋" w:cs="仿宋"/>
          <w:i w:val="0"/>
          <w:iCs w:val="0"/>
          <w:spacing w:val="-92"/>
          <w:sz w:val="24"/>
          <w:szCs w:val="24"/>
        </w:rPr>
        <w:t xml:space="preserve"> </w:t>
      </w:r>
      <w:r>
        <w:rPr>
          <w:rFonts w:hint="eastAsia" w:ascii="仿宋" w:hAnsi="仿宋" w:eastAsia="仿宋" w:cs="仿宋"/>
          <w:i w:val="0"/>
          <w:iCs w:val="0"/>
          <w:spacing w:val="19"/>
          <w:sz w:val="24"/>
          <w:szCs w:val="24"/>
        </w:rPr>
        <w:t>（财</w:t>
      </w:r>
      <w:r>
        <w:rPr>
          <w:rFonts w:hint="eastAsia" w:ascii="仿宋" w:hAnsi="仿宋" w:eastAsia="仿宋" w:cs="仿宋"/>
          <w:i w:val="0"/>
          <w:iCs w:val="0"/>
          <w:sz w:val="24"/>
          <w:szCs w:val="24"/>
        </w:rPr>
        <w:t xml:space="preserve">  </w:t>
      </w:r>
      <w:r>
        <w:rPr>
          <w:rFonts w:hint="eastAsia" w:ascii="仿宋" w:hAnsi="仿宋" w:eastAsia="仿宋" w:cs="仿宋"/>
          <w:i w:val="0"/>
          <w:iCs w:val="0"/>
          <w:spacing w:val="3"/>
          <w:sz w:val="24"/>
          <w:szCs w:val="24"/>
        </w:rPr>
        <w:t>库﹝</w:t>
      </w:r>
      <w:r>
        <w:rPr>
          <w:rFonts w:hint="eastAsia" w:ascii="仿宋" w:hAnsi="仿宋" w:eastAsia="仿宋" w:cs="仿宋"/>
          <w:i w:val="0"/>
          <w:iCs w:val="0"/>
          <w:spacing w:val="-76"/>
          <w:sz w:val="24"/>
          <w:szCs w:val="24"/>
        </w:rPr>
        <w:t xml:space="preserve"> </w:t>
      </w:r>
      <w:r>
        <w:rPr>
          <w:rFonts w:hint="eastAsia" w:ascii="仿宋" w:hAnsi="仿宋" w:eastAsia="仿宋" w:cs="仿宋"/>
          <w:i w:val="0"/>
          <w:iCs w:val="0"/>
          <w:spacing w:val="3"/>
          <w:sz w:val="24"/>
          <w:szCs w:val="24"/>
        </w:rPr>
        <w:t>2020)46号）的规定，本公司（联合体）参加</w:t>
      </w:r>
      <w:r>
        <w:rPr>
          <w:rFonts w:hint="eastAsia" w:ascii="仿宋" w:hAnsi="仿宋" w:eastAsia="仿宋" w:cs="仿宋"/>
          <w:i w:val="0"/>
          <w:iCs w:val="0"/>
          <w:spacing w:val="3"/>
          <w:sz w:val="24"/>
          <w:szCs w:val="24"/>
          <w:u w:val="single" w:color="auto"/>
        </w:rPr>
        <w:t>（单位名称）</w:t>
      </w:r>
      <w:r>
        <w:rPr>
          <w:rFonts w:hint="eastAsia" w:ascii="仿宋" w:hAnsi="仿宋" w:eastAsia="仿宋" w:cs="仿宋"/>
          <w:i w:val="0"/>
          <w:iCs w:val="0"/>
          <w:spacing w:val="3"/>
          <w:sz w:val="24"/>
          <w:szCs w:val="24"/>
        </w:rPr>
        <w:t>的</w:t>
      </w:r>
      <w:r>
        <w:rPr>
          <w:rFonts w:hint="eastAsia" w:ascii="仿宋" w:hAnsi="仿宋" w:eastAsia="仿宋" w:cs="仿宋"/>
          <w:i w:val="0"/>
          <w:iCs w:val="0"/>
          <w:spacing w:val="3"/>
          <w:sz w:val="24"/>
          <w:szCs w:val="24"/>
          <w:u w:val="single" w:color="auto"/>
        </w:rPr>
        <w:t>（项目名称）</w:t>
      </w:r>
      <w:r>
        <w:rPr>
          <w:rFonts w:hint="eastAsia" w:ascii="仿宋" w:hAnsi="仿宋" w:eastAsia="仿宋" w:cs="仿宋"/>
          <w:i w:val="0"/>
          <w:iCs w:val="0"/>
          <w:spacing w:val="3"/>
          <w:sz w:val="24"/>
          <w:szCs w:val="24"/>
        </w:rPr>
        <w:t>采购活</w:t>
      </w:r>
      <w:r>
        <w:rPr>
          <w:rFonts w:hint="eastAsia" w:ascii="仿宋" w:hAnsi="仿宋" w:eastAsia="仿宋" w:cs="仿宋"/>
          <w:i w:val="0"/>
          <w:iCs w:val="0"/>
          <w:spacing w:val="2"/>
          <w:sz w:val="24"/>
          <w:szCs w:val="24"/>
        </w:rPr>
        <w:t>动，</w:t>
      </w:r>
      <w:r>
        <w:rPr>
          <w:rFonts w:hint="eastAsia" w:ascii="仿宋" w:hAnsi="仿宋" w:eastAsia="仿宋" w:cs="仿宋"/>
          <w:i w:val="0"/>
          <w:iCs w:val="0"/>
          <w:spacing w:val="21"/>
          <w:sz w:val="24"/>
          <w:szCs w:val="24"/>
        </w:rPr>
        <w:t>工程的施工单位全部为符合政策要求的中小企业（或者：服务</w:t>
      </w:r>
      <w:r>
        <w:rPr>
          <w:rFonts w:hint="eastAsia" w:ascii="仿宋" w:hAnsi="仿宋" w:eastAsia="仿宋" w:cs="仿宋"/>
          <w:i w:val="0"/>
          <w:iCs w:val="0"/>
          <w:spacing w:val="60"/>
          <w:sz w:val="24"/>
          <w:szCs w:val="24"/>
        </w:rPr>
        <w:t xml:space="preserve"> </w:t>
      </w:r>
      <w:r>
        <w:rPr>
          <w:rFonts w:hint="eastAsia" w:ascii="仿宋" w:hAnsi="仿宋" w:eastAsia="仿宋" w:cs="仿宋"/>
          <w:i w:val="0"/>
          <w:iCs w:val="0"/>
          <w:spacing w:val="21"/>
          <w:sz w:val="24"/>
          <w:szCs w:val="24"/>
        </w:rPr>
        <w:t>全部由符合政策要求的中小企业承接）。相关企业（含联合体中的中小企业、签订分包意向协议的中小企</w:t>
      </w:r>
      <w:r>
        <w:rPr>
          <w:rFonts w:hint="eastAsia" w:ascii="仿宋" w:hAnsi="仿宋" w:eastAsia="仿宋" w:cs="仿宋"/>
          <w:i w:val="0"/>
          <w:iCs w:val="0"/>
          <w:spacing w:val="20"/>
          <w:sz w:val="24"/>
          <w:szCs w:val="24"/>
        </w:rPr>
        <w:t>业）</w:t>
      </w:r>
      <w:r>
        <w:rPr>
          <w:rFonts w:hint="eastAsia" w:ascii="仿宋" w:hAnsi="仿宋" w:eastAsia="仿宋" w:cs="仿宋"/>
          <w:i w:val="0"/>
          <w:iCs w:val="0"/>
          <w:spacing w:val="8"/>
          <w:sz w:val="24"/>
          <w:szCs w:val="24"/>
        </w:rPr>
        <w:t>的具体情况如下：</w:t>
      </w:r>
    </w:p>
    <w:p w14:paraId="3BE7CCBA">
      <w:pPr>
        <w:pStyle w:val="9"/>
        <w:pageBreakBefore w:val="0"/>
        <w:kinsoku/>
        <w:wordWrap/>
        <w:topLinePunct w:val="0"/>
        <w:bidi w:val="0"/>
        <w:spacing w:before="91" w:line="360" w:lineRule="auto"/>
        <w:jc w:val="right"/>
        <w:rPr>
          <w:rFonts w:hint="eastAsia" w:ascii="仿宋" w:hAnsi="仿宋" w:eastAsia="仿宋" w:cs="仿宋"/>
          <w:i w:val="0"/>
          <w:iCs w:val="0"/>
          <w:sz w:val="24"/>
          <w:szCs w:val="24"/>
        </w:rPr>
      </w:pPr>
      <w:r>
        <w:rPr>
          <w:rFonts w:hint="eastAsia" w:ascii="仿宋" w:hAnsi="仿宋" w:eastAsia="仿宋" w:cs="仿宋"/>
          <w:i w:val="0"/>
          <w:iCs w:val="0"/>
          <w:spacing w:val="12"/>
          <w:sz w:val="24"/>
          <w:szCs w:val="24"/>
        </w:rPr>
        <w:t>1.</w:t>
      </w:r>
      <w:r>
        <w:rPr>
          <w:rFonts w:hint="eastAsia" w:ascii="仿宋" w:hAnsi="仿宋" w:eastAsia="仿宋" w:cs="仿宋"/>
          <w:i w:val="0"/>
          <w:iCs w:val="0"/>
          <w:spacing w:val="12"/>
          <w:sz w:val="24"/>
          <w:szCs w:val="24"/>
          <w:u w:val="single" w:color="auto"/>
        </w:rPr>
        <w:t>（标的名称</w:t>
      </w:r>
      <w:r>
        <w:rPr>
          <w:rFonts w:hint="eastAsia" w:ascii="仿宋" w:hAnsi="仿宋" w:eastAsia="仿宋" w:cs="仿宋"/>
          <w:i w:val="0"/>
          <w:iCs w:val="0"/>
          <w:spacing w:val="-36"/>
          <w:w w:val="59"/>
          <w:sz w:val="24"/>
          <w:szCs w:val="24"/>
        </w:rPr>
        <w:t>），</w:t>
      </w:r>
      <w:r>
        <w:rPr>
          <w:rFonts w:hint="eastAsia" w:ascii="仿宋" w:hAnsi="仿宋" w:eastAsia="仿宋" w:cs="仿宋"/>
          <w:i w:val="0"/>
          <w:iCs w:val="0"/>
          <w:spacing w:val="12"/>
          <w:sz w:val="24"/>
          <w:szCs w:val="24"/>
        </w:rPr>
        <w:t>属于</w:t>
      </w:r>
      <w:r>
        <w:rPr>
          <w:rFonts w:hint="eastAsia" w:ascii="仿宋" w:hAnsi="仿宋" w:eastAsia="仿宋" w:cs="仿宋"/>
          <w:i w:val="0"/>
          <w:iCs w:val="0"/>
          <w:spacing w:val="12"/>
          <w:sz w:val="24"/>
          <w:szCs w:val="24"/>
          <w:u w:val="single" w:color="auto"/>
        </w:rPr>
        <w:t>（采购文件中明确的所属行业</w:t>
      </w:r>
      <w:r>
        <w:rPr>
          <w:rFonts w:hint="eastAsia" w:ascii="仿宋" w:hAnsi="仿宋" w:eastAsia="仿宋" w:cs="仿宋"/>
          <w:i w:val="0"/>
          <w:iCs w:val="0"/>
          <w:spacing w:val="-36"/>
          <w:w w:val="59"/>
          <w:sz w:val="24"/>
          <w:szCs w:val="24"/>
        </w:rPr>
        <w:t>）；</w:t>
      </w:r>
      <w:r>
        <w:rPr>
          <w:rFonts w:hint="eastAsia" w:ascii="仿宋" w:hAnsi="仿宋" w:eastAsia="仿宋" w:cs="仿宋"/>
          <w:i w:val="0"/>
          <w:iCs w:val="0"/>
          <w:spacing w:val="12"/>
          <w:sz w:val="24"/>
          <w:szCs w:val="24"/>
        </w:rPr>
        <w:t>承建（承接</w:t>
      </w:r>
      <w:r>
        <w:rPr>
          <w:rFonts w:hint="eastAsia" w:ascii="仿宋" w:hAnsi="仿宋" w:eastAsia="仿宋" w:cs="仿宋"/>
          <w:i w:val="0"/>
          <w:iCs w:val="0"/>
          <w:spacing w:val="-44"/>
          <w:sz w:val="24"/>
          <w:szCs w:val="24"/>
        </w:rPr>
        <w:t xml:space="preserve"> </w:t>
      </w:r>
      <w:r>
        <w:rPr>
          <w:rFonts w:hint="eastAsia" w:ascii="仿宋" w:hAnsi="仿宋" w:eastAsia="仿宋" w:cs="仿宋"/>
          <w:i w:val="0"/>
          <w:iCs w:val="0"/>
          <w:spacing w:val="11"/>
          <w:sz w:val="24"/>
          <w:szCs w:val="24"/>
        </w:rPr>
        <w:t>）企业为</w:t>
      </w:r>
      <w:r>
        <w:rPr>
          <w:rFonts w:hint="eastAsia" w:ascii="仿宋" w:hAnsi="仿宋" w:eastAsia="仿宋" w:cs="仿宋"/>
          <w:i w:val="0"/>
          <w:iCs w:val="0"/>
          <w:spacing w:val="11"/>
          <w:sz w:val="24"/>
          <w:szCs w:val="24"/>
          <w:u w:val="single" w:color="auto"/>
        </w:rPr>
        <w:t>（企业名称</w:t>
      </w:r>
      <w:r>
        <w:rPr>
          <w:rFonts w:hint="eastAsia" w:ascii="仿宋" w:hAnsi="仿宋" w:eastAsia="仿宋" w:cs="仿宋"/>
          <w:i w:val="0"/>
          <w:iCs w:val="0"/>
          <w:spacing w:val="-36"/>
          <w:w w:val="59"/>
          <w:sz w:val="24"/>
          <w:szCs w:val="24"/>
        </w:rPr>
        <w:t>），</w:t>
      </w:r>
    </w:p>
    <w:p w14:paraId="134C6567">
      <w:pPr>
        <w:pStyle w:val="9"/>
        <w:pageBreakBefore w:val="0"/>
        <w:kinsoku/>
        <w:wordWrap/>
        <w:topLinePunct w:val="0"/>
        <w:bidi w:val="0"/>
        <w:spacing w:line="360" w:lineRule="auto"/>
        <w:ind w:left="19"/>
        <w:rPr>
          <w:rFonts w:hint="eastAsia" w:ascii="仿宋" w:hAnsi="仿宋" w:eastAsia="仿宋" w:cs="仿宋"/>
          <w:i w:val="0"/>
          <w:iCs w:val="0"/>
          <w:sz w:val="24"/>
          <w:szCs w:val="24"/>
        </w:rPr>
      </w:pPr>
      <w:r>
        <w:rPr>
          <w:rFonts w:hint="eastAsia" w:ascii="仿宋" w:hAnsi="仿宋" w:eastAsia="仿宋" w:cs="仿宋"/>
          <w:i w:val="0"/>
          <w:iCs w:val="0"/>
          <w:spacing w:val="7"/>
          <w:sz w:val="24"/>
          <w:szCs w:val="24"/>
        </w:rPr>
        <w:t>从业人员</w:t>
      </w:r>
      <w:r>
        <w:rPr>
          <w:rFonts w:hint="eastAsia" w:ascii="仿宋" w:hAnsi="仿宋" w:eastAsia="仿宋" w:cs="仿宋"/>
          <w:i w:val="0"/>
          <w:iCs w:val="0"/>
          <w:spacing w:val="-90"/>
          <w:sz w:val="24"/>
          <w:szCs w:val="24"/>
        </w:rPr>
        <w:t xml:space="preserve"> </w:t>
      </w:r>
      <w:r>
        <w:rPr>
          <w:rFonts w:hint="eastAsia" w:ascii="仿宋" w:hAnsi="仿宋" w:eastAsia="仿宋" w:cs="仿宋"/>
          <w:i w:val="0"/>
          <w:iCs w:val="0"/>
          <w:spacing w:val="26"/>
          <w:sz w:val="24"/>
          <w:szCs w:val="24"/>
          <w:u w:val="single" w:color="auto"/>
        </w:rPr>
        <w:t xml:space="preserve">    </w:t>
      </w:r>
      <w:r>
        <w:rPr>
          <w:rFonts w:hint="eastAsia" w:ascii="仿宋" w:hAnsi="仿宋" w:eastAsia="仿宋" w:cs="仿宋"/>
          <w:i w:val="0"/>
          <w:iCs w:val="0"/>
          <w:spacing w:val="-99"/>
          <w:sz w:val="24"/>
          <w:szCs w:val="24"/>
        </w:rPr>
        <w:t xml:space="preserve"> </w:t>
      </w:r>
      <w:r>
        <w:rPr>
          <w:rFonts w:hint="eastAsia" w:ascii="仿宋" w:hAnsi="仿宋" w:eastAsia="仿宋" w:cs="仿宋"/>
          <w:i w:val="0"/>
          <w:iCs w:val="0"/>
          <w:spacing w:val="7"/>
          <w:sz w:val="24"/>
          <w:szCs w:val="24"/>
        </w:rPr>
        <w:t>人</w:t>
      </w:r>
      <w:r>
        <w:rPr>
          <w:rFonts w:hint="eastAsia" w:ascii="仿宋" w:hAnsi="仿宋" w:eastAsia="仿宋" w:cs="仿宋"/>
          <w:i w:val="0"/>
          <w:iCs w:val="0"/>
          <w:spacing w:val="-61"/>
          <w:sz w:val="24"/>
          <w:szCs w:val="24"/>
        </w:rPr>
        <w:t xml:space="preserve"> </w:t>
      </w:r>
      <w:r>
        <w:rPr>
          <w:rFonts w:hint="eastAsia" w:ascii="仿宋" w:hAnsi="仿宋" w:eastAsia="仿宋" w:cs="仿宋"/>
          <w:i w:val="0"/>
          <w:iCs w:val="0"/>
          <w:spacing w:val="7"/>
          <w:sz w:val="24"/>
          <w:szCs w:val="24"/>
        </w:rPr>
        <w:t>，</w:t>
      </w:r>
      <w:r>
        <w:rPr>
          <w:rFonts w:hint="eastAsia" w:ascii="仿宋" w:hAnsi="仿宋" w:eastAsia="仿宋" w:cs="仿宋"/>
          <w:i w:val="0"/>
          <w:iCs w:val="0"/>
          <w:spacing w:val="-67"/>
          <w:sz w:val="24"/>
          <w:szCs w:val="24"/>
        </w:rPr>
        <w:t xml:space="preserve"> </w:t>
      </w:r>
      <w:r>
        <w:rPr>
          <w:rFonts w:hint="eastAsia" w:ascii="仿宋" w:hAnsi="仿宋" w:eastAsia="仿宋" w:cs="仿宋"/>
          <w:i w:val="0"/>
          <w:iCs w:val="0"/>
          <w:spacing w:val="7"/>
          <w:sz w:val="24"/>
          <w:szCs w:val="24"/>
        </w:rPr>
        <w:t>营业收入为</w:t>
      </w:r>
      <w:r>
        <w:rPr>
          <w:rFonts w:hint="eastAsia" w:ascii="仿宋" w:hAnsi="仿宋" w:eastAsia="仿宋" w:cs="仿宋"/>
          <w:i w:val="0"/>
          <w:iCs w:val="0"/>
          <w:spacing w:val="-113"/>
          <w:sz w:val="24"/>
          <w:szCs w:val="24"/>
        </w:rPr>
        <w:t xml:space="preserve"> </w:t>
      </w:r>
      <w:r>
        <w:rPr>
          <w:rFonts w:hint="eastAsia" w:ascii="仿宋" w:hAnsi="仿宋" w:eastAsia="仿宋" w:cs="仿宋"/>
          <w:i w:val="0"/>
          <w:iCs w:val="0"/>
          <w:spacing w:val="17"/>
          <w:sz w:val="24"/>
          <w:szCs w:val="24"/>
          <w:u w:val="single" w:color="auto"/>
        </w:rPr>
        <w:t xml:space="preserve">    </w:t>
      </w:r>
      <w:r>
        <w:rPr>
          <w:rFonts w:hint="eastAsia" w:ascii="仿宋" w:hAnsi="仿宋" w:eastAsia="仿宋" w:cs="仿宋"/>
          <w:i w:val="0"/>
          <w:iCs w:val="0"/>
          <w:spacing w:val="-97"/>
          <w:sz w:val="24"/>
          <w:szCs w:val="24"/>
        </w:rPr>
        <w:t xml:space="preserve"> </w:t>
      </w:r>
      <w:r>
        <w:rPr>
          <w:rFonts w:hint="eastAsia" w:ascii="仿宋" w:hAnsi="仿宋" w:eastAsia="仿宋" w:cs="仿宋"/>
          <w:i w:val="0"/>
          <w:iCs w:val="0"/>
          <w:spacing w:val="7"/>
          <w:sz w:val="24"/>
          <w:szCs w:val="24"/>
        </w:rPr>
        <w:t>万元，资产总额为</w:t>
      </w:r>
      <w:r>
        <w:rPr>
          <w:rFonts w:hint="eastAsia" w:ascii="仿宋" w:hAnsi="仿宋" w:eastAsia="仿宋" w:cs="仿宋"/>
          <w:i w:val="0"/>
          <w:iCs w:val="0"/>
          <w:spacing w:val="7"/>
          <w:sz w:val="24"/>
          <w:szCs w:val="24"/>
          <w:u w:val="single" w:color="auto"/>
        </w:rPr>
        <w:t xml:space="preserve">    </w:t>
      </w:r>
      <w:r>
        <w:rPr>
          <w:rFonts w:hint="eastAsia" w:ascii="仿宋" w:hAnsi="仿宋" w:eastAsia="仿宋" w:cs="仿宋"/>
          <w:i w:val="0"/>
          <w:iCs w:val="0"/>
          <w:spacing w:val="-99"/>
          <w:sz w:val="24"/>
          <w:szCs w:val="24"/>
        </w:rPr>
        <w:t xml:space="preserve"> </w:t>
      </w:r>
      <w:r>
        <w:rPr>
          <w:rFonts w:hint="eastAsia" w:ascii="仿宋" w:hAnsi="仿宋" w:eastAsia="仿宋" w:cs="仿宋"/>
          <w:i w:val="0"/>
          <w:iCs w:val="0"/>
          <w:spacing w:val="7"/>
          <w:sz w:val="24"/>
          <w:szCs w:val="24"/>
        </w:rPr>
        <w:t>万元</w:t>
      </w:r>
      <w:r>
        <w:rPr>
          <w:rFonts w:hint="eastAsia" w:ascii="仿宋" w:hAnsi="仿宋" w:eastAsia="仿宋" w:cs="仿宋"/>
          <w:i w:val="0"/>
          <w:iCs w:val="0"/>
          <w:spacing w:val="13"/>
          <w:sz w:val="24"/>
          <w:szCs w:val="24"/>
        </w:rPr>
        <w:t xml:space="preserve">  </w:t>
      </w:r>
      <w:r>
        <w:rPr>
          <w:rFonts w:hint="eastAsia" w:ascii="仿宋" w:hAnsi="仿宋" w:eastAsia="仿宋" w:cs="仿宋"/>
          <w:i w:val="0"/>
          <w:iCs w:val="0"/>
          <w:spacing w:val="6"/>
          <w:sz w:val="24"/>
          <w:szCs w:val="24"/>
        </w:rPr>
        <w:t>，属于</w:t>
      </w:r>
      <w:r>
        <w:rPr>
          <w:rFonts w:hint="eastAsia" w:ascii="仿宋" w:hAnsi="仿宋" w:eastAsia="仿宋" w:cs="仿宋"/>
          <w:i w:val="0"/>
          <w:iCs w:val="0"/>
          <w:spacing w:val="6"/>
          <w:sz w:val="24"/>
          <w:szCs w:val="24"/>
          <w:u w:val="single" w:color="auto"/>
        </w:rPr>
        <w:t>（中型企业、小型企业、微型企业</w:t>
      </w:r>
      <w:r>
        <w:rPr>
          <w:rFonts w:hint="eastAsia" w:ascii="仿宋" w:hAnsi="仿宋" w:eastAsia="仿宋" w:cs="仿宋"/>
          <w:i w:val="0"/>
          <w:iCs w:val="0"/>
          <w:spacing w:val="-61"/>
          <w:w w:val="98"/>
          <w:sz w:val="24"/>
          <w:szCs w:val="24"/>
        </w:rPr>
        <w:t>）；</w:t>
      </w:r>
    </w:p>
    <w:p w14:paraId="04893315">
      <w:pPr>
        <w:pStyle w:val="9"/>
        <w:pageBreakBefore w:val="0"/>
        <w:kinsoku/>
        <w:wordWrap/>
        <w:topLinePunct w:val="0"/>
        <w:bidi w:val="0"/>
        <w:spacing w:before="204" w:line="360" w:lineRule="auto"/>
        <w:jc w:val="both"/>
        <w:rPr>
          <w:rFonts w:hint="eastAsia" w:ascii="仿宋" w:hAnsi="仿宋" w:eastAsia="仿宋" w:cs="仿宋"/>
          <w:i w:val="0"/>
          <w:iCs w:val="0"/>
          <w:sz w:val="24"/>
          <w:szCs w:val="24"/>
        </w:rPr>
      </w:pPr>
      <w:r>
        <w:rPr>
          <w:rFonts w:hint="eastAsia" w:ascii="仿宋" w:hAnsi="仿宋" w:eastAsia="仿宋" w:cs="仿宋"/>
          <w:i w:val="0"/>
          <w:iCs w:val="0"/>
          <w:spacing w:val="13"/>
          <w:sz w:val="24"/>
          <w:szCs w:val="24"/>
        </w:rPr>
        <w:t>2.</w:t>
      </w:r>
      <w:r>
        <w:rPr>
          <w:rFonts w:hint="eastAsia" w:ascii="仿宋" w:hAnsi="仿宋" w:eastAsia="仿宋" w:cs="仿宋"/>
          <w:i w:val="0"/>
          <w:iCs w:val="0"/>
          <w:spacing w:val="13"/>
          <w:sz w:val="24"/>
          <w:szCs w:val="24"/>
          <w:u w:val="single" w:color="auto"/>
        </w:rPr>
        <w:t>（标的名称</w:t>
      </w:r>
      <w:r>
        <w:rPr>
          <w:rFonts w:hint="eastAsia" w:ascii="仿宋" w:hAnsi="仿宋" w:eastAsia="仿宋" w:cs="仿宋"/>
          <w:i w:val="0"/>
          <w:iCs w:val="0"/>
          <w:spacing w:val="-36"/>
          <w:w w:val="59"/>
          <w:sz w:val="24"/>
          <w:szCs w:val="24"/>
        </w:rPr>
        <w:t>），</w:t>
      </w:r>
      <w:r>
        <w:rPr>
          <w:rFonts w:hint="eastAsia" w:ascii="仿宋" w:hAnsi="仿宋" w:eastAsia="仿宋" w:cs="仿宋"/>
          <w:i w:val="0"/>
          <w:iCs w:val="0"/>
          <w:spacing w:val="13"/>
          <w:sz w:val="24"/>
          <w:szCs w:val="24"/>
        </w:rPr>
        <w:t>属于</w:t>
      </w:r>
      <w:r>
        <w:rPr>
          <w:rFonts w:hint="eastAsia" w:ascii="仿宋" w:hAnsi="仿宋" w:eastAsia="仿宋" w:cs="仿宋"/>
          <w:i w:val="0"/>
          <w:iCs w:val="0"/>
          <w:spacing w:val="13"/>
          <w:sz w:val="24"/>
          <w:szCs w:val="24"/>
          <w:u w:val="single" w:color="auto"/>
        </w:rPr>
        <w:t>（采购文件中明确的所属行业</w:t>
      </w:r>
      <w:r>
        <w:rPr>
          <w:rFonts w:hint="eastAsia" w:ascii="仿宋" w:hAnsi="仿宋" w:eastAsia="仿宋" w:cs="仿宋"/>
          <w:i w:val="0"/>
          <w:iCs w:val="0"/>
          <w:spacing w:val="-36"/>
          <w:w w:val="59"/>
          <w:sz w:val="24"/>
          <w:szCs w:val="24"/>
        </w:rPr>
        <w:t>）；</w:t>
      </w:r>
      <w:r>
        <w:rPr>
          <w:rFonts w:hint="eastAsia" w:ascii="仿宋" w:hAnsi="仿宋" w:eastAsia="仿宋" w:cs="仿宋"/>
          <w:i w:val="0"/>
          <w:iCs w:val="0"/>
          <w:spacing w:val="13"/>
          <w:sz w:val="24"/>
          <w:szCs w:val="24"/>
        </w:rPr>
        <w:t>承建（承接）企业为</w:t>
      </w:r>
      <w:r>
        <w:rPr>
          <w:rFonts w:hint="eastAsia" w:ascii="仿宋" w:hAnsi="仿宋" w:eastAsia="仿宋" w:cs="仿宋"/>
          <w:i w:val="0"/>
          <w:iCs w:val="0"/>
          <w:spacing w:val="13"/>
          <w:sz w:val="24"/>
          <w:szCs w:val="24"/>
          <w:u w:val="single" w:color="auto"/>
        </w:rPr>
        <w:t>（企业名称</w:t>
      </w:r>
      <w:r>
        <w:rPr>
          <w:rFonts w:hint="eastAsia" w:ascii="仿宋" w:hAnsi="仿宋" w:eastAsia="仿宋" w:cs="仿宋"/>
          <w:i w:val="0"/>
          <w:iCs w:val="0"/>
          <w:spacing w:val="-36"/>
          <w:w w:val="59"/>
          <w:sz w:val="24"/>
          <w:szCs w:val="24"/>
        </w:rPr>
        <w:t>），</w:t>
      </w:r>
      <w:r>
        <w:rPr>
          <w:rFonts w:hint="eastAsia" w:ascii="仿宋" w:hAnsi="仿宋" w:eastAsia="仿宋" w:cs="仿宋"/>
          <w:i w:val="0"/>
          <w:iCs w:val="0"/>
          <w:sz w:val="24"/>
          <w:szCs w:val="24"/>
        </w:rPr>
        <w:t xml:space="preserve"> </w:t>
      </w:r>
      <w:r>
        <w:rPr>
          <w:rFonts w:hint="eastAsia" w:ascii="仿宋" w:hAnsi="仿宋" w:eastAsia="仿宋" w:cs="仿宋"/>
          <w:i w:val="0"/>
          <w:iCs w:val="0"/>
          <w:spacing w:val="11"/>
          <w:sz w:val="24"/>
          <w:szCs w:val="24"/>
        </w:rPr>
        <w:t>从业人员</w:t>
      </w:r>
      <w:r>
        <w:rPr>
          <w:rFonts w:hint="eastAsia" w:ascii="仿宋" w:hAnsi="仿宋" w:eastAsia="仿宋" w:cs="仿宋"/>
          <w:i w:val="0"/>
          <w:iCs w:val="0"/>
          <w:spacing w:val="-95"/>
          <w:sz w:val="24"/>
          <w:szCs w:val="24"/>
        </w:rPr>
        <w:t xml:space="preserve"> </w:t>
      </w:r>
      <w:r>
        <w:rPr>
          <w:rFonts w:hint="eastAsia" w:ascii="仿宋" w:hAnsi="仿宋" w:eastAsia="仿宋" w:cs="仿宋"/>
          <w:i w:val="0"/>
          <w:iCs w:val="0"/>
          <w:spacing w:val="24"/>
          <w:sz w:val="24"/>
          <w:szCs w:val="24"/>
          <w:u w:val="single" w:color="auto"/>
        </w:rPr>
        <w:t xml:space="preserve">    </w:t>
      </w:r>
      <w:r>
        <w:rPr>
          <w:rFonts w:hint="eastAsia" w:ascii="仿宋" w:hAnsi="仿宋" w:eastAsia="仿宋" w:cs="仿宋"/>
          <w:i w:val="0"/>
          <w:iCs w:val="0"/>
          <w:spacing w:val="-100"/>
          <w:sz w:val="24"/>
          <w:szCs w:val="24"/>
        </w:rPr>
        <w:t xml:space="preserve"> </w:t>
      </w:r>
      <w:r>
        <w:rPr>
          <w:rFonts w:hint="eastAsia" w:ascii="仿宋" w:hAnsi="仿宋" w:eastAsia="仿宋" w:cs="仿宋"/>
          <w:i w:val="0"/>
          <w:iCs w:val="0"/>
          <w:spacing w:val="11"/>
          <w:sz w:val="24"/>
          <w:szCs w:val="24"/>
        </w:rPr>
        <w:t>人</w:t>
      </w:r>
      <w:r>
        <w:rPr>
          <w:rFonts w:hint="eastAsia" w:ascii="仿宋" w:hAnsi="仿宋" w:eastAsia="仿宋" w:cs="仿宋"/>
          <w:i w:val="0"/>
          <w:iCs w:val="0"/>
          <w:spacing w:val="-62"/>
          <w:sz w:val="24"/>
          <w:szCs w:val="24"/>
        </w:rPr>
        <w:t xml:space="preserve"> </w:t>
      </w:r>
      <w:r>
        <w:rPr>
          <w:rFonts w:hint="eastAsia" w:ascii="仿宋" w:hAnsi="仿宋" w:eastAsia="仿宋" w:cs="仿宋"/>
          <w:i w:val="0"/>
          <w:iCs w:val="0"/>
          <w:spacing w:val="11"/>
          <w:sz w:val="24"/>
          <w:szCs w:val="24"/>
        </w:rPr>
        <w:t>，营业收入为</w:t>
      </w:r>
      <w:r>
        <w:rPr>
          <w:rFonts w:hint="eastAsia" w:ascii="仿宋" w:hAnsi="仿宋" w:eastAsia="仿宋" w:cs="仿宋"/>
          <w:i w:val="0"/>
          <w:iCs w:val="0"/>
          <w:spacing w:val="-113"/>
          <w:sz w:val="24"/>
          <w:szCs w:val="24"/>
        </w:rPr>
        <w:t xml:space="preserve"> </w:t>
      </w:r>
      <w:r>
        <w:rPr>
          <w:rFonts w:hint="eastAsia" w:ascii="仿宋" w:hAnsi="仿宋" w:eastAsia="仿宋" w:cs="仿宋"/>
          <w:i w:val="0"/>
          <w:iCs w:val="0"/>
          <w:spacing w:val="15"/>
          <w:sz w:val="24"/>
          <w:szCs w:val="24"/>
          <w:u w:val="single" w:color="auto"/>
        </w:rPr>
        <w:t xml:space="preserve">    </w:t>
      </w:r>
      <w:r>
        <w:rPr>
          <w:rFonts w:hint="eastAsia" w:ascii="仿宋" w:hAnsi="仿宋" w:eastAsia="仿宋" w:cs="仿宋"/>
          <w:i w:val="0"/>
          <w:iCs w:val="0"/>
          <w:spacing w:val="-98"/>
          <w:sz w:val="24"/>
          <w:szCs w:val="24"/>
        </w:rPr>
        <w:t xml:space="preserve"> </w:t>
      </w:r>
      <w:r>
        <w:rPr>
          <w:rFonts w:hint="eastAsia" w:ascii="仿宋" w:hAnsi="仿宋" w:eastAsia="仿宋" w:cs="仿宋"/>
          <w:i w:val="0"/>
          <w:iCs w:val="0"/>
          <w:spacing w:val="11"/>
          <w:sz w:val="24"/>
          <w:szCs w:val="24"/>
        </w:rPr>
        <w:t>万元，资产总额为</w:t>
      </w:r>
      <w:r>
        <w:rPr>
          <w:rFonts w:hint="eastAsia" w:ascii="仿宋" w:hAnsi="仿宋" w:eastAsia="仿宋" w:cs="仿宋"/>
          <w:i w:val="0"/>
          <w:iCs w:val="0"/>
          <w:spacing w:val="-113"/>
          <w:sz w:val="24"/>
          <w:szCs w:val="24"/>
        </w:rPr>
        <w:t xml:space="preserve"> </w:t>
      </w:r>
      <w:r>
        <w:rPr>
          <w:rFonts w:hint="eastAsia" w:ascii="仿宋" w:hAnsi="仿宋" w:eastAsia="仿宋" w:cs="仿宋"/>
          <w:i w:val="0"/>
          <w:iCs w:val="0"/>
          <w:spacing w:val="15"/>
          <w:sz w:val="24"/>
          <w:szCs w:val="24"/>
          <w:u w:val="single" w:color="auto"/>
        </w:rPr>
        <w:t xml:space="preserve">    </w:t>
      </w:r>
      <w:r>
        <w:rPr>
          <w:rFonts w:hint="eastAsia" w:ascii="仿宋" w:hAnsi="仿宋" w:eastAsia="仿宋" w:cs="仿宋"/>
          <w:i w:val="0"/>
          <w:iCs w:val="0"/>
          <w:spacing w:val="-99"/>
          <w:sz w:val="24"/>
          <w:szCs w:val="24"/>
        </w:rPr>
        <w:t xml:space="preserve"> </w:t>
      </w:r>
      <w:r>
        <w:rPr>
          <w:rFonts w:hint="eastAsia" w:ascii="仿宋" w:hAnsi="仿宋" w:eastAsia="仿宋" w:cs="仿宋"/>
          <w:i w:val="0"/>
          <w:iCs w:val="0"/>
          <w:spacing w:val="11"/>
          <w:sz w:val="24"/>
          <w:szCs w:val="24"/>
        </w:rPr>
        <w:t>万元，属于</w:t>
      </w:r>
      <w:r>
        <w:rPr>
          <w:rFonts w:hint="eastAsia" w:ascii="仿宋" w:hAnsi="仿宋" w:eastAsia="仿宋" w:cs="仿宋"/>
          <w:i w:val="0"/>
          <w:iCs w:val="0"/>
          <w:spacing w:val="11"/>
          <w:sz w:val="24"/>
          <w:szCs w:val="24"/>
          <w:u w:val="single" w:color="auto"/>
        </w:rPr>
        <w:t>（中型企业、小型</w:t>
      </w:r>
      <w:r>
        <w:rPr>
          <w:rFonts w:hint="eastAsia" w:ascii="仿宋" w:hAnsi="仿宋" w:eastAsia="仿宋" w:cs="仿宋"/>
          <w:i w:val="0"/>
          <w:iCs w:val="0"/>
          <w:sz w:val="24"/>
          <w:szCs w:val="24"/>
        </w:rPr>
        <w:t xml:space="preserve">  </w:t>
      </w:r>
      <w:r>
        <w:rPr>
          <w:rFonts w:hint="eastAsia" w:ascii="仿宋" w:hAnsi="仿宋" w:eastAsia="仿宋" w:cs="仿宋"/>
          <w:i w:val="0"/>
          <w:iCs w:val="0"/>
          <w:spacing w:val="6"/>
          <w:sz w:val="24"/>
          <w:szCs w:val="24"/>
          <w:u w:val="single" w:color="auto"/>
        </w:rPr>
        <w:t>企业、微型企业</w:t>
      </w:r>
      <w:r>
        <w:rPr>
          <w:rFonts w:hint="eastAsia" w:ascii="仿宋" w:hAnsi="仿宋" w:eastAsia="仿宋" w:cs="仿宋"/>
          <w:i w:val="0"/>
          <w:iCs w:val="0"/>
          <w:spacing w:val="-61"/>
          <w:w w:val="99"/>
          <w:sz w:val="24"/>
          <w:szCs w:val="24"/>
        </w:rPr>
        <w:t>）；</w:t>
      </w:r>
    </w:p>
    <w:p w14:paraId="52F1FCB2">
      <w:pPr>
        <w:pStyle w:val="9"/>
        <w:pageBreakBefore w:val="0"/>
        <w:kinsoku/>
        <w:wordWrap/>
        <w:topLinePunct w:val="0"/>
        <w:bidi w:val="0"/>
        <w:spacing w:before="205" w:line="372" w:lineRule="exact"/>
        <w:ind w:left="703"/>
        <w:rPr>
          <w:rFonts w:hint="eastAsia" w:ascii="仿宋" w:hAnsi="仿宋" w:eastAsia="仿宋" w:cs="仿宋"/>
          <w:i w:val="0"/>
          <w:iCs w:val="0"/>
          <w:sz w:val="24"/>
          <w:szCs w:val="24"/>
        </w:rPr>
      </w:pPr>
      <w:r>
        <w:rPr>
          <w:rFonts w:hint="eastAsia" w:ascii="仿宋" w:hAnsi="仿宋" w:eastAsia="仿宋" w:cs="仿宋"/>
          <w:i w:val="0"/>
          <w:iCs w:val="0"/>
          <w:spacing w:val="-8"/>
          <w:position w:val="3"/>
          <w:sz w:val="24"/>
          <w:szCs w:val="24"/>
        </w:rPr>
        <w:t>……</w:t>
      </w:r>
    </w:p>
    <w:p w14:paraId="069FE89B">
      <w:pPr>
        <w:pStyle w:val="9"/>
        <w:pageBreakBefore w:val="0"/>
        <w:kinsoku/>
        <w:wordWrap/>
        <w:topLinePunct w:val="0"/>
        <w:bidi w:val="0"/>
        <w:spacing w:before="25" w:line="297" w:lineRule="auto"/>
        <w:ind w:left="35" w:right="-18" w:rightChars="0" w:firstLine="704"/>
        <w:rPr>
          <w:rFonts w:hint="eastAsia" w:ascii="仿宋" w:hAnsi="仿宋" w:eastAsia="仿宋" w:cs="仿宋"/>
          <w:i w:val="0"/>
          <w:iCs w:val="0"/>
          <w:sz w:val="24"/>
          <w:szCs w:val="24"/>
        </w:rPr>
      </w:pPr>
      <w:r>
        <w:rPr>
          <w:rFonts w:hint="eastAsia" w:ascii="仿宋" w:hAnsi="仿宋" w:eastAsia="仿宋" w:cs="仿宋"/>
          <w:i w:val="0"/>
          <w:iCs w:val="0"/>
          <w:spacing w:val="20"/>
          <w:sz w:val="24"/>
          <w:szCs w:val="24"/>
        </w:rPr>
        <w:t>以上企业，不属于大企业的分支机构，不存在控股股东为大企业的情形，也不存</w:t>
      </w:r>
      <w:r>
        <w:rPr>
          <w:rFonts w:hint="eastAsia" w:ascii="仿宋" w:hAnsi="仿宋" w:eastAsia="仿宋" w:cs="仿宋"/>
          <w:i w:val="0"/>
          <w:iCs w:val="0"/>
          <w:spacing w:val="21"/>
          <w:sz w:val="24"/>
          <w:szCs w:val="24"/>
        </w:rPr>
        <w:t>在与大企业的负责人为同一人的情形。</w:t>
      </w:r>
    </w:p>
    <w:p w14:paraId="41D5648E">
      <w:pPr>
        <w:pStyle w:val="9"/>
        <w:pageBreakBefore w:val="0"/>
        <w:kinsoku/>
        <w:wordWrap/>
        <w:topLinePunct w:val="0"/>
        <w:bidi w:val="0"/>
        <w:spacing w:before="36" w:line="227" w:lineRule="auto"/>
        <w:ind w:left="512"/>
        <w:rPr>
          <w:i w:val="0"/>
          <w:iCs w:val="0"/>
          <w:sz w:val="23"/>
          <w:szCs w:val="23"/>
        </w:rPr>
      </w:pPr>
      <w:r>
        <w:rPr>
          <w:rFonts w:hint="eastAsia" w:ascii="仿宋" w:hAnsi="仿宋" w:eastAsia="仿宋" w:cs="仿宋"/>
          <w:i w:val="0"/>
          <w:iCs w:val="0"/>
          <w:spacing w:val="20"/>
          <w:sz w:val="24"/>
          <w:szCs w:val="24"/>
        </w:rPr>
        <w:t>本企业对上述声明内容的真实性负责。如有虚假，</w:t>
      </w:r>
      <w:r>
        <w:rPr>
          <w:rFonts w:hint="eastAsia" w:ascii="仿宋" w:hAnsi="仿宋" w:eastAsia="仿宋" w:cs="仿宋"/>
          <w:i w:val="0"/>
          <w:iCs w:val="0"/>
          <w:spacing w:val="-52"/>
          <w:sz w:val="24"/>
          <w:szCs w:val="24"/>
        </w:rPr>
        <w:t xml:space="preserve"> </w:t>
      </w:r>
      <w:r>
        <w:rPr>
          <w:rFonts w:hint="eastAsia" w:ascii="仿宋" w:hAnsi="仿宋" w:eastAsia="仿宋" w:cs="仿宋"/>
          <w:i w:val="0"/>
          <w:iCs w:val="0"/>
          <w:spacing w:val="20"/>
          <w:sz w:val="24"/>
          <w:szCs w:val="24"/>
        </w:rPr>
        <w:t>将依法承担相应责任。</w:t>
      </w:r>
    </w:p>
    <w:p w14:paraId="119718AB">
      <w:pPr>
        <w:pageBreakBefore w:val="0"/>
        <w:kinsoku/>
        <w:wordWrap/>
        <w:topLinePunct w:val="0"/>
        <w:bidi w:val="0"/>
        <w:spacing w:line="287" w:lineRule="auto"/>
        <w:rPr>
          <w:rFonts w:ascii="Arial"/>
          <w:i w:val="0"/>
          <w:iCs w:val="0"/>
          <w:sz w:val="21"/>
        </w:rPr>
      </w:pPr>
    </w:p>
    <w:p w14:paraId="6227673E">
      <w:pPr>
        <w:pStyle w:val="9"/>
        <w:pageBreakBefore w:val="0"/>
        <w:kinsoku/>
        <w:wordWrap/>
        <w:topLinePunct w:val="0"/>
        <w:bidi w:val="0"/>
        <w:spacing w:before="76" w:line="361" w:lineRule="auto"/>
        <w:ind w:left="40" w:right="7589" w:hanging="37"/>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企业名称(盖章): </w:t>
      </w:r>
    </w:p>
    <w:p w14:paraId="13790C65">
      <w:pPr>
        <w:pStyle w:val="9"/>
        <w:pageBreakBefore w:val="0"/>
        <w:kinsoku/>
        <w:wordWrap/>
        <w:topLinePunct w:val="0"/>
        <w:bidi w:val="0"/>
        <w:spacing w:before="76" w:line="361" w:lineRule="auto"/>
        <w:ind w:left="40" w:right="7589" w:hanging="37"/>
        <w:rPr>
          <w:rFonts w:hint="eastAsia" w:ascii="仿宋" w:hAnsi="仿宋" w:eastAsia="仿宋" w:cs="仿宋"/>
          <w:i w:val="0"/>
          <w:iCs w:val="0"/>
          <w:sz w:val="24"/>
          <w:szCs w:val="24"/>
        </w:rPr>
      </w:pPr>
      <w:r>
        <w:rPr>
          <w:rFonts w:hint="eastAsia" w:ascii="仿宋" w:hAnsi="仿宋" w:eastAsia="仿宋" w:cs="仿宋"/>
          <w:i w:val="0"/>
          <w:iCs w:val="0"/>
          <w:spacing w:val="4"/>
          <w:sz w:val="24"/>
          <w:szCs w:val="24"/>
        </w:rPr>
        <w:t>日期:</w:t>
      </w:r>
    </w:p>
    <w:p w14:paraId="648AD36B">
      <w:pPr>
        <w:pageBreakBefore w:val="0"/>
        <w:kinsoku/>
        <w:wordWrap/>
        <w:topLinePunct w:val="0"/>
        <w:bidi w:val="0"/>
        <w:spacing w:line="296" w:lineRule="auto"/>
        <w:rPr>
          <w:rFonts w:hint="eastAsia" w:ascii="仿宋" w:hAnsi="仿宋" w:eastAsia="仿宋" w:cs="仿宋"/>
          <w:sz w:val="24"/>
          <w:szCs w:val="24"/>
        </w:rPr>
      </w:pPr>
    </w:p>
    <w:p w14:paraId="0E519C9E">
      <w:pPr>
        <w:pStyle w:val="9"/>
        <w:pageBreakBefore w:val="0"/>
        <w:kinsoku/>
        <w:wordWrap/>
        <w:topLinePunct w:val="0"/>
        <w:bidi w:val="0"/>
        <w:spacing w:before="75" w:line="232" w:lineRule="auto"/>
        <w:rPr>
          <w:rFonts w:hint="eastAsia" w:ascii="仿宋" w:hAnsi="仿宋" w:eastAsia="仿宋" w:cs="仿宋"/>
          <w:sz w:val="24"/>
          <w:szCs w:val="24"/>
        </w:rPr>
      </w:pPr>
      <w:r>
        <w:rPr>
          <w:rFonts w:hint="eastAsia" w:ascii="仿宋" w:hAnsi="仿宋" w:eastAsia="仿宋" w:cs="仿宋"/>
          <w:spacing w:val="-13"/>
          <w:sz w:val="24"/>
          <w:szCs w:val="24"/>
        </w:rPr>
        <w:t>注：</w:t>
      </w:r>
    </w:p>
    <w:p w14:paraId="21690D91">
      <w:pPr>
        <w:pStyle w:val="9"/>
        <w:pageBreakBefore w:val="0"/>
        <w:kinsoku/>
        <w:wordWrap/>
        <w:topLinePunct w:val="0"/>
        <w:bidi w:val="0"/>
        <w:spacing w:before="181" w:line="367" w:lineRule="auto"/>
        <w:ind w:right="43" w:firstLine="17"/>
        <w:rPr>
          <w:rFonts w:hint="eastAsia" w:ascii="仿宋" w:hAnsi="仿宋" w:eastAsia="仿宋" w:cs="仿宋"/>
          <w:sz w:val="24"/>
          <w:szCs w:val="24"/>
        </w:rPr>
      </w:pPr>
      <w:r>
        <w:rPr>
          <w:rFonts w:hint="eastAsia" w:ascii="仿宋" w:hAnsi="仿宋" w:eastAsia="仿宋" w:cs="仿宋"/>
          <w:spacing w:val="6"/>
          <w:sz w:val="24"/>
          <w:szCs w:val="24"/>
        </w:rPr>
        <w:t>1</w:t>
      </w:r>
      <w:r>
        <w:rPr>
          <w:rFonts w:hint="eastAsia" w:ascii="仿宋" w:hAnsi="仿宋" w:eastAsia="仿宋" w:cs="仿宋"/>
          <w:spacing w:val="6"/>
          <w:sz w:val="24"/>
          <w:szCs w:val="24"/>
          <w:lang w:val="en-US" w:eastAsia="zh-CN"/>
        </w:rPr>
        <w:t>.</w:t>
      </w:r>
      <w:r>
        <w:rPr>
          <w:rFonts w:hint="eastAsia" w:ascii="仿宋" w:hAnsi="仿宋" w:eastAsia="仿宋" w:cs="仿宋"/>
          <w:spacing w:val="6"/>
          <w:sz w:val="24"/>
          <w:szCs w:val="24"/>
        </w:rPr>
        <w:t>从业人员、营业收入，资产总额填报上一年度数据，无上一年数据的新成立企业可不填报。</w:t>
      </w:r>
      <w:r>
        <w:rPr>
          <w:rFonts w:hint="eastAsia" w:ascii="仿宋" w:hAnsi="仿宋" w:eastAsia="仿宋" w:cs="仿宋"/>
          <w:spacing w:val="10"/>
          <w:sz w:val="24"/>
          <w:szCs w:val="24"/>
        </w:rPr>
        <w:t>2</w:t>
      </w:r>
      <w:r>
        <w:rPr>
          <w:rFonts w:hint="eastAsia" w:ascii="仿宋" w:hAnsi="仿宋" w:eastAsia="仿宋" w:cs="仿宋"/>
          <w:spacing w:val="10"/>
          <w:sz w:val="24"/>
          <w:szCs w:val="24"/>
          <w:lang w:val="en-US" w:eastAsia="zh-CN"/>
        </w:rPr>
        <w:t>.</w:t>
      </w:r>
      <w:r>
        <w:rPr>
          <w:rFonts w:hint="eastAsia" w:ascii="仿宋" w:hAnsi="仿宋" w:eastAsia="仿宋" w:cs="仿宋"/>
          <w:spacing w:val="10"/>
          <w:sz w:val="24"/>
          <w:szCs w:val="24"/>
        </w:rPr>
        <w:t>供应商符合《工业和信息化部、国家统计局、国家发展和改革委员会、财政部关于印发中</w:t>
      </w:r>
      <w:r>
        <w:rPr>
          <w:rFonts w:hint="eastAsia" w:ascii="仿宋" w:hAnsi="仿宋" w:eastAsia="仿宋" w:cs="仿宋"/>
          <w:spacing w:val="8"/>
          <w:sz w:val="24"/>
          <w:szCs w:val="24"/>
        </w:rPr>
        <w:t>小企业划型标准规定的通知》（工信部联企业〔2011〕300号）规定的划</w:t>
      </w:r>
      <w:r>
        <w:rPr>
          <w:rFonts w:hint="eastAsia" w:ascii="仿宋" w:hAnsi="仿宋" w:eastAsia="仿宋" w:cs="仿宋"/>
          <w:spacing w:val="7"/>
          <w:sz w:val="24"/>
          <w:szCs w:val="24"/>
        </w:rPr>
        <w:t>分标准为中小型企业</w:t>
      </w:r>
      <w:r>
        <w:rPr>
          <w:rFonts w:hint="eastAsia" w:ascii="仿宋" w:hAnsi="仿宋" w:eastAsia="仿宋" w:cs="仿宋"/>
          <w:spacing w:val="-5"/>
          <w:sz w:val="24"/>
          <w:szCs w:val="24"/>
        </w:rPr>
        <w:t>适用。</w:t>
      </w:r>
    </w:p>
    <w:p w14:paraId="566230E2">
      <w:pPr>
        <w:pStyle w:val="8"/>
        <w:keepNext w:val="0"/>
        <w:keepLines w:val="0"/>
        <w:pageBreakBefore w:val="0"/>
        <w:kinsoku/>
        <w:wordWrap/>
        <w:overflowPunct/>
        <w:topLinePunct w:val="0"/>
        <w:bidi w:val="0"/>
        <w:adjustRightInd/>
        <w:snapToGrid w:val="0"/>
        <w:spacing w:line="360" w:lineRule="auto"/>
        <w:ind w:left="0"/>
        <w:textAlignment w:val="auto"/>
        <w:rPr>
          <w:rFonts w:hint="eastAsia" w:ascii="仿宋" w:hAnsi="仿宋" w:eastAsia="仿宋" w:cs="仿宋"/>
          <w:kern w:val="0"/>
          <w:sz w:val="24"/>
          <w:szCs w:val="24"/>
          <w:lang w:val="en-US" w:eastAsia="zh-CN" w:bidi="ar-SA"/>
        </w:rPr>
      </w:pPr>
      <w:r>
        <w:rPr>
          <w:rFonts w:hint="eastAsia" w:ascii="仿宋" w:hAnsi="仿宋" w:eastAsia="仿宋" w:cs="仿宋"/>
          <w:b/>
          <w:bCs/>
          <w:spacing w:val="8"/>
          <w:sz w:val="24"/>
          <w:szCs w:val="24"/>
        </w:rPr>
        <w:t>3</w:t>
      </w:r>
      <w:r>
        <w:rPr>
          <w:rFonts w:hint="eastAsia" w:ascii="仿宋" w:hAnsi="仿宋" w:eastAsia="仿宋" w:cs="仿宋"/>
          <w:b/>
          <w:bCs/>
          <w:spacing w:val="8"/>
          <w:sz w:val="24"/>
          <w:szCs w:val="24"/>
          <w:lang w:val="en-US" w:eastAsia="zh-CN"/>
        </w:rPr>
        <w:t>.</w:t>
      </w:r>
      <w:r>
        <w:rPr>
          <w:rFonts w:hint="eastAsia" w:ascii="仿宋" w:hAnsi="仿宋" w:eastAsia="仿宋" w:cs="仿宋"/>
          <w:b/>
          <w:bCs/>
          <w:spacing w:val="8"/>
          <w:sz w:val="24"/>
          <w:szCs w:val="24"/>
        </w:rPr>
        <w:t>标的名称：填写标项名称；采购文件中明确的</w:t>
      </w:r>
      <w:r>
        <w:rPr>
          <w:rFonts w:hint="eastAsia" w:ascii="仿宋" w:hAnsi="仿宋" w:eastAsia="仿宋" w:cs="仿宋"/>
          <w:b/>
          <w:bCs/>
          <w:spacing w:val="7"/>
          <w:sz w:val="24"/>
          <w:szCs w:val="24"/>
        </w:rPr>
        <w:t>所属行业：填写</w:t>
      </w:r>
      <w:r>
        <w:rPr>
          <w:rFonts w:hint="eastAsia" w:ascii="仿宋" w:hAnsi="仿宋" w:eastAsia="仿宋" w:cs="仿宋"/>
          <w:b/>
          <w:bCs/>
          <w:spacing w:val="7"/>
          <w:sz w:val="24"/>
          <w:szCs w:val="24"/>
          <w:lang w:val="en-US" w:eastAsia="zh-CN"/>
        </w:rPr>
        <w:t>其他未列明行业</w:t>
      </w:r>
      <w:r>
        <w:rPr>
          <w:rFonts w:hint="eastAsia" w:ascii="仿宋" w:hAnsi="仿宋" w:eastAsia="仿宋" w:cs="仿宋"/>
          <w:b/>
          <w:bCs/>
          <w:spacing w:val="7"/>
          <w:sz w:val="24"/>
          <w:szCs w:val="24"/>
        </w:rPr>
        <w:t>。</w:t>
      </w:r>
    </w:p>
    <w:p w14:paraId="3ECD546E">
      <w:pPr>
        <w:keepNext w:val="0"/>
        <w:keepLines w:val="0"/>
        <w:pageBreakBefore w:val="0"/>
        <w:widowControl/>
        <w:kinsoku/>
        <w:wordWrap/>
        <w:overflowPunct/>
        <w:topLinePunct w:val="0"/>
        <w:bidi w:val="0"/>
        <w:adjustRightInd/>
        <w:snapToGrid w:val="0"/>
        <w:spacing w:line="360" w:lineRule="auto"/>
        <w:jc w:val="center"/>
        <w:textAlignment w:val="auto"/>
        <w:rPr>
          <w:rFonts w:hint="eastAsia" w:ascii="仿宋" w:hAnsi="仿宋" w:eastAsia="仿宋" w:cs="仿宋"/>
          <w:b/>
          <w:bCs/>
          <w:kern w:val="0"/>
          <w:sz w:val="24"/>
          <w:szCs w:val="24"/>
        </w:rPr>
      </w:pP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lang w:val="en-US" w:eastAsia="zh-CN"/>
        </w:rPr>
        <w:t>2</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监狱企业声明函</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lang w:val="en-US" w:eastAsia="zh-CN"/>
        </w:rPr>
        <w:t>如有</w:t>
      </w:r>
      <w:r>
        <w:rPr>
          <w:rFonts w:hint="eastAsia" w:ascii="仿宋" w:hAnsi="仿宋" w:eastAsia="仿宋" w:cs="仿宋"/>
          <w:b/>
          <w:bCs/>
          <w:kern w:val="0"/>
          <w:sz w:val="24"/>
          <w:szCs w:val="24"/>
          <w:lang w:eastAsia="zh-CN"/>
        </w:rPr>
        <w:t>）</w:t>
      </w:r>
    </w:p>
    <w:p w14:paraId="42CB516E">
      <w:pPr>
        <w:keepNext w:val="0"/>
        <w:keepLines w:val="0"/>
        <w:pageBreakBefore w:val="0"/>
        <w:widowControl/>
        <w:kinsoku/>
        <w:wordWrap/>
        <w:overflowPunct/>
        <w:topLinePunct w:val="0"/>
        <w:bidi w:val="0"/>
        <w:adjustRightInd/>
        <w:snapToGrid w:val="0"/>
        <w:spacing w:line="360" w:lineRule="auto"/>
        <w:ind w:firstLine="480" w:firstLineChars="20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(监狱企业适用)</w:t>
      </w:r>
    </w:p>
    <w:p w14:paraId="1422CAA3">
      <w:pPr>
        <w:pStyle w:val="11"/>
        <w:keepNext w:val="0"/>
        <w:keepLines w:val="0"/>
        <w:pageBreakBefore w:val="0"/>
        <w:tabs>
          <w:tab w:val="left" w:pos="720"/>
          <w:tab w:val="left" w:pos="900"/>
          <w:tab w:val="left" w:pos="1260"/>
          <w:tab w:val="left" w:pos="2160"/>
          <w:tab w:val="left" w:pos="2880"/>
          <w:tab w:val="left" w:pos="3600"/>
          <w:tab w:val="left" w:pos="4320"/>
          <w:tab w:val="left" w:pos="5040"/>
          <w:tab w:val="left" w:pos="5760"/>
        </w:tabs>
        <w:kinsoku/>
        <w:wordWrap/>
        <w:overflowPunct/>
        <w:topLinePunct w:val="0"/>
        <w:bidi w:val="0"/>
        <w:adjustRightInd/>
        <w:snapToGrid w:val="0"/>
        <w:spacing w:line="360" w:lineRule="auto"/>
        <w:textAlignment w:val="auto"/>
        <w:rPr>
          <w:rFonts w:hint="eastAsia" w:ascii="仿宋" w:hAnsi="仿宋" w:eastAsia="仿宋" w:cs="仿宋"/>
          <w:kern w:val="0"/>
          <w:sz w:val="24"/>
          <w:szCs w:val="24"/>
          <w:lang w:val="en-US" w:eastAsia="zh-CN" w:bidi="ar-SA"/>
        </w:rPr>
      </w:pPr>
    </w:p>
    <w:p w14:paraId="5B584134">
      <w:pPr>
        <w:keepNext w:val="0"/>
        <w:keepLines w:val="0"/>
        <w:pageBreakBefore w:val="0"/>
        <w:kinsoku/>
        <w:wordWrap/>
        <w:overflowPunct/>
        <w:topLinePunct w:val="0"/>
        <w:bidi w:val="0"/>
        <w:adjustRightInd/>
        <w:snapToGrid w:val="0"/>
        <w:spacing w:line="360" w:lineRule="auto"/>
        <w:ind w:firstLine="480" w:firstLineChars="200"/>
        <w:jc w:val="both"/>
        <w:textAlignment w:val="auto"/>
        <w:outlineLvl w:val="9"/>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监狱企业声明函【服务类，监狱企业如需享受优惠政策，还须另行提供省级以上监狱管理局、戒毒管理局（含新疆生产建设兵团）出具的监狱企业证明文件】</w:t>
      </w:r>
    </w:p>
    <w:p w14:paraId="2B55B8BD">
      <w:pPr>
        <w:keepNext w:val="0"/>
        <w:keepLines w:val="0"/>
        <w:pageBreakBefore w:val="0"/>
        <w:kinsoku/>
        <w:wordWrap/>
        <w:overflowPunct/>
        <w:topLinePunct w:val="0"/>
        <w:bidi w:val="0"/>
        <w:adjustRightInd/>
        <w:snapToGrid w:val="0"/>
        <w:spacing w:line="360" w:lineRule="auto"/>
        <w:textAlignment w:val="auto"/>
        <w:rPr>
          <w:rFonts w:hint="eastAsia" w:ascii="仿宋" w:hAnsi="仿宋" w:eastAsia="仿宋" w:cs="仿宋"/>
          <w:kern w:val="0"/>
          <w:sz w:val="24"/>
          <w:szCs w:val="24"/>
          <w:lang w:val="en-US" w:eastAsia="zh-CN" w:bidi="ar-SA"/>
        </w:rPr>
      </w:pPr>
    </w:p>
    <w:p w14:paraId="50AD3D17">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供应商郑重声明，根据《财政部司法部关于政府采购支持监狱企业发展有关问题的通知》（财库〔2014〕68号）的规定，本供应商参加（采购人名称）的（项目名称）采购活动，服务全部由符合政策要求的监狱企业承接。相关监狱企业的具体情况如下：</w:t>
      </w:r>
    </w:p>
    <w:p w14:paraId="7B6E9A2F">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 （标的名称） ，承接单位为（企业名称），属于监狱企业；</w:t>
      </w:r>
    </w:p>
    <w:p w14:paraId="669615E0">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 （标的名称） ，承接单位为（企业名称），属于监狱企业。</w:t>
      </w:r>
    </w:p>
    <w:p w14:paraId="58579FFB">
      <w:pPr>
        <w:keepNext w:val="0"/>
        <w:keepLines w:val="0"/>
        <w:pageBreakBefore w:val="0"/>
        <w:kinsoku/>
        <w:wordWrap/>
        <w:overflowPunct/>
        <w:topLinePunct w:val="0"/>
        <w:bidi w:val="0"/>
        <w:adjustRightInd/>
        <w:snapToGrid w:val="0"/>
        <w:spacing w:line="360" w:lineRule="auto"/>
        <w:ind w:firstLine="480" w:firstLineChars="200"/>
        <w:textAlignment w:val="auto"/>
        <w:outlineLvl w:val="9"/>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w:t>
      </w:r>
    </w:p>
    <w:p w14:paraId="2693C7BE">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本供应商对上述声明内容的真实性负责。如有虚假，将依法承担相应责任。</w:t>
      </w:r>
    </w:p>
    <w:p w14:paraId="37814E8C">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附：省级以上监狱管理局、戒毒管理局（含新疆生产建设兵团）出具的监狱企业证明文件。</w:t>
      </w:r>
    </w:p>
    <w:p w14:paraId="72890AB1">
      <w:pPr>
        <w:keepNext w:val="0"/>
        <w:keepLines w:val="0"/>
        <w:pageBreakBefore w:val="0"/>
        <w:widowControl/>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p>
    <w:p w14:paraId="3A312C56">
      <w:pPr>
        <w:keepNext w:val="0"/>
        <w:keepLines w:val="0"/>
        <w:pageBreakBefore w:val="0"/>
        <w:widowControl/>
        <w:kinsoku/>
        <w:wordWrap/>
        <w:overflowPunct/>
        <w:topLinePunct w:val="0"/>
        <w:bidi w:val="0"/>
        <w:adjustRightInd/>
        <w:snapToGrid w:val="0"/>
        <w:spacing w:line="360" w:lineRule="auto"/>
        <w:textAlignment w:val="auto"/>
        <w:rPr>
          <w:rFonts w:hint="eastAsia" w:ascii="仿宋" w:hAnsi="仿宋" w:eastAsia="仿宋" w:cs="仿宋"/>
          <w:kern w:val="0"/>
          <w:sz w:val="24"/>
          <w:szCs w:val="24"/>
          <w:lang w:val="en-US" w:eastAsia="zh-CN" w:bidi="ar-SA"/>
        </w:rPr>
      </w:pPr>
    </w:p>
    <w:p w14:paraId="6299E1C6">
      <w:pPr>
        <w:keepNext w:val="0"/>
        <w:keepLines w:val="0"/>
        <w:pageBreakBefore w:val="0"/>
        <w:widowControl/>
        <w:kinsoku/>
        <w:wordWrap/>
        <w:overflowPunct/>
        <w:topLinePunct w:val="0"/>
        <w:bidi w:val="0"/>
        <w:adjustRightInd/>
        <w:snapToGrid w:val="0"/>
        <w:spacing w:line="360" w:lineRule="auto"/>
        <w:ind w:firstLine="3840" w:firstLineChars="16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企业名称(盖公章):</w:t>
      </w:r>
    </w:p>
    <w:p w14:paraId="42A384C8">
      <w:pPr>
        <w:keepNext w:val="0"/>
        <w:keepLines w:val="0"/>
        <w:pageBreakBefore w:val="0"/>
        <w:widowControl/>
        <w:kinsoku/>
        <w:wordWrap/>
        <w:overflowPunct/>
        <w:topLinePunct w:val="0"/>
        <w:bidi w:val="0"/>
        <w:adjustRightInd/>
        <w:snapToGrid w:val="0"/>
        <w:spacing w:line="360" w:lineRule="auto"/>
        <w:ind w:firstLine="3120" w:firstLineChars="13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法定代表人(负责人)或其授权代表(签字):</w:t>
      </w:r>
    </w:p>
    <w:p w14:paraId="55B795E1">
      <w:pPr>
        <w:keepNext w:val="0"/>
        <w:keepLines w:val="0"/>
        <w:pageBreakBefore w:val="0"/>
        <w:widowControl/>
        <w:kinsoku/>
        <w:wordWrap/>
        <w:overflowPunct/>
        <w:topLinePunct w:val="0"/>
        <w:bidi w:val="0"/>
        <w:adjustRightInd/>
        <w:snapToGrid w:val="0"/>
        <w:spacing w:line="360" w:lineRule="auto"/>
        <w:ind w:firstLine="4800" w:firstLineChars="20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日期:</w:t>
      </w:r>
    </w:p>
    <w:p w14:paraId="4D9DB777">
      <w:pPr>
        <w:pStyle w:val="9"/>
        <w:rPr>
          <w:rFonts w:hint="eastAsia" w:ascii="仿宋" w:hAnsi="仿宋" w:eastAsia="仿宋" w:cs="仿宋"/>
          <w:color w:val="auto"/>
          <w:sz w:val="28"/>
          <w:szCs w:val="28"/>
        </w:rPr>
      </w:pPr>
    </w:p>
    <w:p w14:paraId="5246B08E">
      <w:pPr>
        <w:pStyle w:val="9"/>
        <w:rPr>
          <w:rFonts w:hint="eastAsia" w:ascii="仿宋" w:hAnsi="仿宋" w:eastAsia="仿宋" w:cs="仿宋"/>
          <w:color w:val="auto"/>
          <w:sz w:val="28"/>
          <w:szCs w:val="28"/>
        </w:rPr>
      </w:pPr>
    </w:p>
    <w:p w14:paraId="159EB14F">
      <w:pPr>
        <w:pStyle w:val="9"/>
        <w:rPr>
          <w:rFonts w:hint="eastAsia" w:ascii="仿宋" w:hAnsi="仿宋" w:eastAsia="仿宋" w:cs="仿宋"/>
          <w:color w:val="auto"/>
          <w:sz w:val="28"/>
          <w:szCs w:val="28"/>
        </w:rPr>
      </w:pPr>
    </w:p>
    <w:p w14:paraId="3FDBD0C5">
      <w:pPr>
        <w:pStyle w:val="9"/>
        <w:rPr>
          <w:rFonts w:hint="eastAsia" w:ascii="仿宋" w:hAnsi="仿宋" w:eastAsia="仿宋" w:cs="仿宋"/>
          <w:color w:val="auto"/>
          <w:sz w:val="28"/>
          <w:szCs w:val="28"/>
        </w:rPr>
      </w:pPr>
    </w:p>
    <w:p w14:paraId="624630D5">
      <w:pPr>
        <w:pStyle w:val="9"/>
        <w:rPr>
          <w:rFonts w:hint="eastAsia" w:ascii="仿宋" w:hAnsi="仿宋" w:eastAsia="仿宋" w:cs="仿宋"/>
          <w:color w:val="auto"/>
          <w:sz w:val="28"/>
          <w:szCs w:val="28"/>
        </w:rPr>
      </w:pPr>
    </w:p>
    <w:p w14:paraId="04E867DE">
      <w:pPr>
        <w:pStyle w:val="9"/>
        <w:rPr>
          <w:rFonts w:hint="eastAsia" w:ascii="仿宋" w:hAnsi="仿宋" w:eastAsia="仿宋" w:cs="仿宋"/>
          <w:color w:val="auto"/>
          <w:sz w:val="28"/>
          <w:szCs w:val="28"/>
        </w:rPr>
      </w:pPr>
    </w:p>
    <w:p w14:paraId="72BFB671">
      <w:pPr>
        <w:rPr>
          <w:rFonts w:hint="eastAsia" w:ascii="仿宋" w:hAnsi="仿宋" w:eastAsia="仿宋" w:cs="仿宋"/>
        </w:rPr>
      </w:pPr>
    </w:p>
    <w:p w14:paraId="6E6C9F61">
      <w:pPr>
        <w:pStyle w:val="9"/>
        <w:rPr>
          <w:rFonts w:hint="eastAsia" w:ascii="仿宋" w:hAnsi="仿宋" w:eastAsia="仿宋" w:cs="仿宋"/>
          <w:color w:val="auto"/>
          <w:sz w:val="28"/>
          <w:szCs w:val="28"/>
        </w:rPr>
      </w:pPr>
    </w:p>
    <w:p w14:paraId="07F986AC">
      <w:pPr>
        <w:rPr>
          <w:rFonts w:hint="eastAsia" w:ascii="仿宋" w:hAnsi="仿宋" w:eastAsia="仿宋" w:cs="仿宋"/>
          <w:color w:val="auto"/>
          <w:sz w:val="28"/>
          <w:szCs w:val="28"/>
        </w:rPr>
      </w:pPr>
    </w:p>
    <w:p w14:paraId="225E9319">
      <w:pP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br w:type="page"/>
      </w:r>
    </w:p>
    <w:p w14:paraId="55174714">
      <w:pPr>
        <w:widowControl/>
        <w:spacing w:line="36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（3）残疾人福利性单位声明函（如有）</w:t>
      </w:r>
    </w:p>
    <w:p w14:paraId="2D138CCB">
      <w:pPr>
        <w:widowControl/>
        <w:spacing w:line="360" w:lineRule="auto"/>
        <w:jc w:val="center"/>
        <w:rPr>
          <w:rFonts w:hint="eastAsia" w:ascii="仿宋" w:hAnsi="仿宋" w:eastAsia="仿宋" w:cs="仿宋"/>
          <w:kern w:val="0"/>
          <w:sz w:val="28"/>
          <w:szCs w:val="28"/>
          <w:lang w:val="en-US" w:eastAsia="zh-CN"/>
        </w:rPr>
      </w:pPr>
    </w:p>
    <w:p w14:paraId="4604F90B">
      <w:pPr>
        <w:widowControl/>
        <w:spacing w:line="360" w:lineRule="auto"/>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残疾人福利性单位声明函</w:t>
      </w:r>
    </w:p>
    <w:p w14:paraId="6DA0A60A">
      <w:pPr>
        <w:spacing w:line="360" w:lineRule="auto"/>
        <w:rPr>
          <w:rFonts w:hint="eastAsia" w:ascii="仿宋" w:hAnsi="仿宋" w:eastAsia="仿宋" w:cs="仿宋"/>
          <w:b/>
          <w:bCs/>
          <w:sz w:val="24"/>
          <w:szCs w:val="24"/>
        </w:rPr>
      </w:pPr>
    </w:p>
    <w:p w14:paraId="0999AF3B">
      <w:pPr>
        <w:spacing w:line="360" w:lineRule="auto"/>
        <w:ind w:firstLine="480" w:firstLineChars="200"/>
        <w:rPr>
          <w:rFonts w:hint="eastAsia" w:ascii="仿宋" w:hAnsi="仿宋" w:eastAsia="仿宋" w:cs="仿宋"/>
          <w:kern w:val="0"/>
          <w:sz w:val="24"/>
          <w:szCs w:val="24"/>
          <w:lang w:val="en-US" w:eastAsia="zh-CN" w:bidi="ar-SA"/>
        </w:rPr>
      </w:pPr>
    </w:p>
    <w:p w14:paraId="466B8769">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本供应商郑重声明，根据《财政部民政部中国残疾人联合会关于促进残疾人就业政府采购政策的通知》（财库〔2017〕141 号）的规定，本供应商参加（采购人名称）的（项目名称）采购活动，服务全部由符合政策要求的残疾人福利性单位承接。相关残疾人福利性单位的具体情况如下：</w:t>
      </w:r>
    </w:p>
    <w:p w14:paraId="5AF0F7DA">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 （标的名称） ，承接企业为（单位名称），属于残疾人福利性单位；</w:t>
      </w:r>
    </w:p>
    <w:p w14:paraId="0C5F8597">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 （标的名称） ，承接企业为（单位名称），属于残疾人福利性单位。</w:t>
      </w:r>
    </w:p>
    <w:p w14:paraId="3FD13478">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w:t>
      </w:r>
    </w:p>
    <w:p w14:paraId="0C582597">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本供应商已知悉《财政部民政部中国残疾人联合会关于促进残疾人就业政府采购政策的通知》（财库〔2017〕141 号）的规定，承诺提供的声明函内容是真实的，如提供声明函内容不实，则依法追究相关法律责任。</w:t>
      </w:r>
    </w:p>
    <w:p w14:paraId="6C9500FA">
      <w:pPr>
        <w:spacing w:line="360" w:lineRule="auto"/>
        <w:ind w:firstLine="480" w:firstLineChars="200"/>
        <w:rPr>
          <w:rFonts w:hint="eastAsia" w:ascii="仿宋" w:hAnsi="仿宋" w:eastAsia="仿宋" w:cs="仿宋"/>
          <w:kern w:val="0"/>
          <w:sz w:val="24"/>
          <w:szCs w:val="24"/>
          <w:lang w:val="en-US" w:eastAsia="zh-CN" w:bidi="ar-SA"/>
        </w:rPr>
      </w:pPr>
    </w:p>
    <w:p w14:paraId="2BE68A49">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企业名称(盖公章):</w:t>
      </w:r>
    </w:p>
    <w:p w14:paraId="740A9B8C">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法定代表人(负责人)或其授权代表(签字):</w:t>
      </w:r>
    </w:p>
    <w:p w14:paraId="55DB0B5F">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日期:</w:t>
      </w:r>
    </w:p>
    <w:p w14:paraId="1FA8EF16">
      <w:pPr>
        <w:pStyle w:val="9"/>
        <w:rPr>
          <w:rFonts w:hint="eastAsia" w:ascii="仿宋" w:hAnsi="仿宋" w:eastAsia="仿宋" w:cs="仿宋"/>
          <w:color w:val="auto"/>
          <w:sz w:val="28"/>
          <w:szCs w:val="28"/>
        </w:rPr>
      </w:pPr>
    </w:p>
    <w:p w14:paraId="5573B251">
      <w:pPr>
        <w:pStyle w:val="9"/>
        <w:rPr>
          <w:rFonts w:hint="eastAsia" w:ascii="仿宋" w:hAnsi="仿宋" w:eastAsia="仿宋" w:cs="仿宋"/>
          <w:color w:val="auto"/>
          <w:sz w:val="28"/>
          <w:szCs w:val="28"/>
        </w:rPr>
      </w:pPr>
    </w:p>
    <w:p w14:paraId="7155A298">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28"/>
          <w:szCs w:val="28"/>
          <w:lang w:eastAsia="zh-CN"/>
        </w:rPr>
      </w:pPr>
    </w:p>
    <w:p w14:paraId="6FCD8935">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6C38C5F2">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75C26240">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2628276F">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4A91642A">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1B8E5435">
      <w:pPr>
        <w:autoSpaceDE w:val="0"/>
        <w:autoSpaceDN w:val="0"/>
        <w:spacing w:before="11"/>
        <w:jc w:val="left"/>
        <w:rPr>
          <w:rFonts w:hint="eastAsia" w:ascii="仿宋" w:hAnsi="仿宋" w:eastAsia="仿宋" w:cs="仿宋"/>
          <w:kern w:val="0"/>
          <w:sz w:val="10"/>
        </w:rPr>
      </w:pPr>
    </w:p>
    <w:p w14:paraId="5CD9F5D6">
      <w:pPr>
        <w:widowControl/>
        <w:spacing w:line="36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7、供应商业绩证明材料</w:t>
      </w:r>
    </w:p>
    <w:p w14:paraId="47F5FCCA">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名称（公章）：                                  项目编号/</w:t>
      </w:r>
      <w:r>
        <w:rPr>
          <w:rFonts w:hint="eastAsia" w:ascii="仿宋" w:hAnsi="仿宋" w:eastAsia="仿宋" w:cs="仿宋"/>
          <w:kern w:val="0"/>
          <w:sz w:val="24"/>
          <w:szCs w:val="24"/>
          <w:lang w:val="en-US" w:eastAsia="zh-CN"/>
        </w:rPr>
        <w:t>标项号</w:t>
      </w:r>
      <w:r>
        <w:rPr>
          <w:rFonts w:hint="eastAsia" w:ascii="仿宋" w:hAnsi="仿宋" w:eastAsia="仿宋" w:cs="仿宋"/>
          <w:kern w:val="0"/>
          <w:sz w:val="24"/>
          <w:szCs w:val="24"/>
        </w:rPr>
        <w:t>：</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1548"/>
        <w:gridCol w:w="1548"/>
        <w:gridCol w:w="1548"/>
        <w:gridCol w:w="1548"/>
        <w:gridCol w:w="1548"/>
      </w:tblGrid>
      <w:tr w14:paraId="756945D5">
        <w:tblPrEx>
          <w:tblCellMar>
            <w:top w:w="0" w:type="dxa"/>
            <w:left w:w="108" w:type="dxa"/>
            <w:bottom w:w="0" w:type="dxa"/>
            <w:right w:w="108" w:type="dxa"/>
          </w:tblCellMar>
        </w:tblPrEx>
        <w:tc>
          <w:tcPr>
            <w:tcW w:w="1548" w:type="dxa"/>
            <w:noWrap w:val="0"/>
            <w:vAlign w:val="top"/>
          </w:tcPr>
          <w:p w14:paraId="05F75FB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序号</w:t>
            </w:r>
          </w:p>
        </w:tc>
        <w:tc>
          <w:tcPr>
            <w:tcW w:w="1548" w:type="dxa"/>
            <w:noWrap w:val="0"/>
            <w:vAlign w:val="top"/>
          </w:tcPr>
          <w:p w14:paraId="521BFF7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项目名称</w:t>
            </w:r>
          </w:p>
        </w:tc>
        <w:tc>
          <w:tcPr>
            <w:tcW w:w="1548" w:type="dxa"/>
            <w:noWrap w:val="0"/>
            <w:vAlign w:val="top"/>
          </w:tcPr>
          <w:p w14:paraId="5B51E6E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发包人</w:t>
            </w:r>
          </w:p>
        </w:tc>
        <w:tc>
          <w:tcPr>
            <w:tcW w:w="1548" w:type="dxa"/>
            <w:noWrap w:val="0"/>
            <w:vAlign w:val="top"/>
          </w:tcPr>
          <w:p w14:paraId="5ECEE67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主要内容</w:t>
            </w:r>
          </w:p>
        </w:tc>
        <w:tc>
          <w:tcPr>
            <w:tcW w:w="1548" w:type="dxa"/>
            <w:noWrap w:val="0"/>
            <w:vAlign w:val="top"/>
          </w:tcPr>
          <w:p w14:paraId="0662666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完工时间</w:t>
            </w:r>
          </w:p>
        </w:tc>
        <w:tc>
          <w:tcPr>
            <w:tcW w:w="1548" w:type="dxa"/>
            <w:noWrap w:val="0"/>
            <w:vAlign w:val="top"/>
          </w:tcPr>
          <w:p w14:paraId="49E3A417">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备注</w:t>
            </w:r>
          </w:p>
        </w:tc>
      </w:tr>
      <w:tr w14:paraId="1F2F1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7FFB1A2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136EB4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66DC3C3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2E4DC0C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7DBD7B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38F3C517">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7FF5F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44B4733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4844270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5406CEF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DA17A35">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C1131B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5DBD36CF">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0FBA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2E4D936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462381E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02BBC1C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CEB40A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055E780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582D9C0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139C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5138210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4661329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4B10DA3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4CDBF41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1246C8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6C983A5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18F3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1E610B65">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4A8E630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461948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2160A425">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0299979E">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5F47192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3179C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7EB9B0B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03D5A94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9DC7B7E">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3209C7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27B48D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A2E484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30E2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0B760BF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u w:val="single"/>
              </w:rPr>
              <w:t>…</w:t>
            </w:r>
          </w:p>
        </w:tc>
        <w:tc>
          <w:tcPr>
            <w:tcW w:w="1548" w:type="dxa"/>
            <w:noWrap w:val="0"/>
            <w:vAlign w:val="top"/>
          </w:tcPr>
          <w:p w14:paraId="015B764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4A88E97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u w:val="single"/>
              </w:rPr>
              <w:t>…</w:t>
            </w:r>
          </w:p>
        </w:tc>
        <w:tc>
          <w:tcPr>
            <w:tcW w:w="1548" w:type="dxa"/>
            <w:noWrap w:val="0"/>
            <w:vAlign w:val="top"/>
          </w:tcPr>
          <w:p w14:paraId="50F76D6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u w:val="single"/>
              </w:rPr>
              <w:t>…</w:t>
            </w:r>
          </w:p>
        </w:tc>
        <w:tc>
          <w:tcPr>
            <w:tcW w:w="1548" w:type="dxa"/>
            <w:noWrap w:val="0"/>
            <w:vAlign w:val="top"/>
          </w:tcPr>
          <w:p w14:paraId="0A139295">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u w:val="single"/>
              </w:rPr>
              <w:t>…</w:t>
            </w:r>
          </w:p>
        </w:tc>
        <w:tc>
          <w:tcPr>
            <w:tcW w:w="1548" w:type="dxa"/>
            <w:noWrap w:val="0"/>
            <w:vAlign w:val="top"/>
          </w:tcPr>
          <w:p w14:paraId="369146C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bl>
    <w:p w14:paraId="479CA7A7">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b/>
          <w:bCs/>
          <w:spacing w:val="-5"/>
          <w:sz w:val="24"/>
          <w:szCs w:val="24"/>
          <w:highlight w:val="none"/>
          <w:lang w:eastAsia="zh-CN"/>
        </w:rPr>
      </w:pPr>
      <w:r>
        <w:rPr>
          <w:rFonts w:hint="eastAsia" w:ascii="仿宋" w:hAnsi="仿宋" w:eastAsia="仿宋" w:cs="仿宋"/>
          <w:b/>
          <w:bCs/>
          <w:spacing w:val="-5"/>
          <w:sz w:val="24"/>
          <w:szCs w:val="24"/>
          <w:highlight w:val="none"/>
        </w:rPr>
        <w:t>注：</w:t>
      </w:r>
      <w:r>
        <w:rPr>
          <w:rFonts w:hint="eastAsia" w:ascii="仿宋" w:hAnsi="仿宋" w:eastAsia="仿宋" w:cs="仿宋"/>
          <w:b/>
          <w:bCs/>
          <w:spacing w:val="-5"/>
          <w:sz w:val="24"/>
          <w:szCs w:val="24"/>
          <w:highlight w:val="none"/>
          <w:lang w:eastAsia="zh-CN"/>
        </w:rPr>
        <w:t>需提供清晰</w:t>
      </w:r>
      <w:r>
        <w:rPr>
          <w:rFonts w:hint="eastAsia" w:ascii="仿宋" w:hAnsi="仿宋" w:eastAsia="仿宋" w:cs="仿宋"/>
          <w:b/>
          <w:bCs/>
          <w:spacing w:val="-5"/>
          <w:sz w:val="24"/>
          <w:szCs w:val="24"/>
          <w:highlight w:val="none"/>
          <w:lang w:val="en-US" w:eastAsia="zh-CN"/>
        </w:rPr>
        <w:t>的中标（成交）通知书或合同</w:t>
      </w:r>
      <w:r>
        <w:rPr>
          <w:rFonts w:hint="eastAsia" w:ascii="仿宋" w:hAnsi="仿宋" w:eastAsia="仿宋" w:cs="仿宋"/>
          <w:b/>
          <w:bCs/>
          <w:spacing w:val="-5"/>
          <w:sz w:val="24"/>
          <w:szCs w:val="24"/>
          <w:highlight w:val="none"/>
          <w:lang w:eastAsia="zh-CN"/>
        </w:rPr>
        <w:t>扫描件并加盖供应商公章，否则不予计算业绩</w:t>
      </w:r>
      <w:r>
        <w:rPr>
          <w:rFonts w:hint="eastAsia" w:ascii="仿宋" w:hAnsi="仿宋" w:eastAsia="仿宋" w:cs="仿宋"/>
          <w:b/>
          <w:bCs/>
          <w:spacing w:val="-5"/>
          <w:sz w:val="24"/>
          <w:szCs w:val="24"/>
          <w:highlight w:val="none"/>
          <w:lang w:val="en-US" w:eastAsia="zh-CN"/>
        </w:rPr>
        <w:t>。</w:t>
      </w:r>
    </w:p>
    <w:p w14:paraId="62072A1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我单位承诺以上填报内容真实。如不真实，将按照有关规定接受处理。</w:t>
      </w:r>
    </w:p>
    <w:p w14:paraId="4680975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注：1.按采购人要求的内容及范围提供相关类型的业绩。</w:t>
      </w:r>
    </w:p>
    <w:p w14:paraId="407C4CB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2.本表后须附清晰可辨的、真实的合同或</w:t>
      </w:r>
      <w:r>
        <w:rPr>
          <w:rFonts w:hint="eastAsia" w:ascii="仿宋" w:hAnsi="仿宋" w:eastAsia="仿宋" w:cs="仿宋"/>
          <w:kern w:val="0"/>
          <w:sz w:val="24"/>
          <w:szCs w:val="24"/>
          <w:lang w:val="en-US" w:eastAsia="zh-CN"/>
        </w:rPr>
        <w:t>中标（成交）通知书</w:t>
      </w:r>
      <w:r>
        <w:rPr>
          <w:rFonts w:hint="eastAsia" w:ascii="仿宋" w:hAnsi="仿宋" w:eastAsia="仿宋" w:cs="仿宋"/>
          <w:kern w:val="0"/>
          <w:sz w:val="24"/>
          <w:szCs w:val="24"/>
        </w:rPr>
        <w:t>相关的证明材料。如未附证明材料或工作内容模糊不清的，其业绩将不予认定。有效业绩的认定详见</w:t>
      </w: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须知前附表。</w:t>
      </w:r>
    </w:p>
    <w:p w14:paraId="4216E0E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3.如近年来，</w:t>
      </w: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法人机构发生合法变更或重组或法人名称变更时，应提供相关部门的合法批件或其他相关证明材料来证明其所附业绩的继承性。</w:t>
      </w:r>
    </w:p>
    <w:p w14:paraId="200D38DA">
      <w:pPr>
        <w:autoSpaceDE w:val="0"/>
        <w:autoSpaceDN w:val="0"/>
        <w:spacing w:line="491" w:lineRule="auto"/>
        <w:ind w:right="6111"/>
        <w:jc w:val="left"/>
        <w:rPr>
          <w:rFonts w:hint="eastAsia" w:ascii="仿宋" w:hAnsi="仿宋" w:eastAsia="仿宋" w:cs="仿宋"/>
          <w:spacing w:val="-1"/>
          <w:kern w:val="0"/>
          <w:sz w:val="24"/>
        </w:rPr>
      </w:pPr>
      <w:r>
        <w:rPr>
          <w:rFonts w:hint="eastAsia" w:ascii="仿宋" w:hAnsi="仿宋" w:eastAsia="仿宋" w:cs="仿宋"/>
          <w:b/>
          <w:sz w:val="28"/>
          <w:szCs w:val="28"/>
        </w:rPr>
        <w:br w:type="page"/>
      </w:r>
    </w:p>
    <w:p w14:paraId="77A806E8">
      <w:pPr>
        <w:widowControl/>
        <w:numPr>
          <w:ilvl w:val="0"/>
          <w:numId w:val="4"/>
        </w:numPr>
        <w:spacing w:line="36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供应商认为需提供的其他资料</w:t>
      </w:r>
    </w:p>
    <w:p w14:paraId="4BC4C861">
      <w:pPr>
        <w:pStyle w:val="9"/>
        <w:widowControl w:val="0"/>
        <w:numPr>
          <w:ilvl w:val="0"/>
          <w:numId w:val="0"/>
        </w:numPr>
        <w:spacing w:after="120"/>
        <w:jc w:val="both"/>
        <w:rPr>
          <w:rFonts w:hint="eastAsia"/>
          <w:lang w:val="en-US" w:eastAsia="zh-CN"/>
        </w:rPr>
      </w:pPr>
    </w:p>
    <w:p w14:paraId="1EB73613">
      <w:pPr>
        <w:widowControl/>
        <w:spacing w:line="360" w:lineRule="auto"/>
        <w:jc w:val="center"/>
        <w:outlineLvl w:val="1"/>
        <w:rPr>
          <w:rFonts w:hint="eastAsia" w:ascii="仿宋" w:hAnsi="仿宋" w:eastAsia="仿宋" w:cs="仿宋"/>
          <w:b/>
          <w:bCs/>
          <w:kern w:val="0"/>
          <w:sz w:val="28"/>
          <w:szCs w:val="28"/>
          <w:lang w:val="en-US" w:eastAsia="zh-CN"/>
        </w:rPr>
      </w:pPr>
    </w:p>
    <w:p w14:paraId="179F86EF">
      <w:pPr>
        <w:widowControl/>
        <w:spacing w:line="360" w:lineRule="auto"/>
        <w:jc w:val="center"/>
        <w:outlineLvl w:val="1"/>
        <w:rPr>
          <w:rFonts w:hint="eastAsia" w:ascii="仿宋" w:hAnsi="仿宋" w:eastAsia="仿宋" w:cs="仿宋"/>
          <w:b/>
          <w:bCs/>
          <w:kern w:val="0"/>
          <w:sz w:val="28"/>
          <w:szCs w:val="28"/>
          <w:lang w:val="en-US" w:eastAsia="zh-CN"/>
        </w:rPr>
      </w:pPr>
    </w:p>
    <w:p w14:paraId="07A18893">
      <w:pPr>
        <w:widowControl/>
        <w:spacing w:line="360" w:lineRule="auto"/>
        <w:jc w:val="center"/>
        <w:outlineLvl w:val="1"/>
        <w:rPr>
          <w:rFonts w:hint="eastAsia" w:ascii="仿宋" w:hAnsi="仿宋" w:eastAsia="仿宋" w:cs="仿宋"/>
          <w:b/>
          <w:bCs/>
          <w:kern w:val="0"/>
          <w:sz w:val="28"/>
          <w:szCs w:val="28"/>
          <w:lang w:val="en-US" w:eastAsia="zh-CN"/>
        </w:rPr>
      </w:pPr>
    </w:p>
    <w:p w14:paraId="72B84FF6">
      <w:pPr>
        <w:widowControl/>
        <w:spacing w:line="360" w:lineRule="auto"/>
        <w:jc w:val="center"/>
        <w:outlineLvl w:val="1"/>
        <w:rPr>
          <w:rFonts w:hint="eastAsia" w:ascii="仿宋" w:hAnsi="仿宋" w:eastAsia="仿宋" w:cs="仿宋"/>
          <w:b/>
          <w:bCs/>
          <w:kern w:val="0"/>
          <w:sz w:val="28"/>
          <w:szCs w:val="28"/>
          <w:lang w:val="en-US" w:eastAsia="zh-CN"/>
        </w:rPr>
      </w:pPr>
    </w:p>
    <w:p w14:paraId="567CEFC9">
      <w:pPr>
        <w:widowControl/>
        <w:spacing w:line="360" w:lineRule="auto"/>
        <w:jc w:val="center"/>
        <w:outlineLvl w:val="1"/>
        <w:rPr>
          <w:rFonts w:hint="eastAsia" w:ascii="仿宋" w:hAnsi="仿宋" w:eastAsia="仿宋" w:cs="仿宋"/>
          <w:b/>
          <w:bCs/>
          <w:kern w:val="0"/>
          <w:sz w:val="28"/>
          <w:szCs w:val="28"/>
          <w:lang w:val="en-US" w:eastAsia="zh-CN"/>
        </w:rPr>
      </w:pPr>
    </w:p>
    <w:p w14:paraId="520CA141">
      <w:pPr>
        <w:widowControl/>
        <w:spacing w:line="360" w:lineRule="auto"/>
        <w:jc w:val="center"/>
        <w:outlineLvl w:val="1"/>
        <w:rPr>
          <w:rFonts w:hint="eastAsia" w:ascii="仿宋" w:hAnsi="仿宋" w:eastAsia="仿宋" w:cs="仿宋"/>
          <w:b/>
          <w:bCs/>
          <w:kern w:val="0"/>
          <w:sz w:val="28"/>
          <w:szCs w:val="28"/>
          <w:lang w:val="en-US" w:eastAsia="zh-CN"/>
        </w:rPr>
      </w:pPr>
    </w:p>
    <w:p w14:paraId="660E9780">
      <w:pPr>
        <w:widowControl/>
        <w:spacing w:line="360" w:lineRule="auto"/>
        <w:jc w:val="center"/>
        <w:outlineLvl w:val="1"/>
        <w:rPr>
          <w:rFonts w:hint="eastAsia" w:ascii="仿宋" w:hAnsi="仿宋" w:eastAsia="仿宋" w:cs="仿宋"/>
          <w:b/>
          <w:bCs/>
          <w:kern w:val="0"/>
          <w:sz w:val="28"/>
          <w:szCs w:val="28"/>
          <w:lang w:val="en-US" w:eastAsia="zh-CN"/>
        </w:rPr>
      </w:pPr>
    </w:p>
    <w:p w14:paraId="67A68749">
      <w:pPr>
        <w:widowControl/>
        <w:spacing w:line="360" w:lineRule="auto"/>
        <w:jc w:val="center"/>
        <w:outlineLvl w:val="1"/>
        <w:rPr>
          <w:rFonts w:hint="eastAsia" w:ascii="仿宋" w:hAnsi="仿宋" w:eastAsia="仿宋" w:cs="仿宋"/>
          <w:b/>
          <w:bCs/>
          <w:kern w:val="0"/>
          <w:sz w:val="28"/>
          <w:szCs w:val="28"/>
          <w:lang w:val="en-US" w:eastAsia="zh-CN"/>
        </w:rPr>
      </w:pPr>
    </w:p>
    <w:p w14:paraId="553A7738">
      <w:pPr>
        <w:widowControl/>
        <w:spacing w:line="360" w:lineRule="auto"/>
        <w:jc w:val="center"/>
        <w:outlineLvl w:val="1"/>
        <w:rPr>
          <w:rFonts w:hint="eastAsia" w:ascii="仿宋" w:hAnsi="仿宋" w:eastAsia="仿宋" w:cs="仿宋"/>
          <w:b/>
          <w:bCs/>
          <w:kern w:val="0"/>
          <w:sz w:val="28"/>
          <w:szCs w:val="28"/>
          <w:lang w:val="en-US" w:eastAsia="zh-CN"/>
        </w:rPr>
      </w:pPr>
    </w:p>
    <w:p w14:paraId="44A86905">
      <w:pPr>
        <w:widowControl/>
        <w:spacing w:line="360" w:lineRule="auto"/>
        <w:jc w:val="center"/>
        <w:outlineLvl w:val="1"/>
        <w:rPr>
          <w:rFonts w:hint="eastAsia" w:ascii="仿宋" w:hAnsi="仿宋" w:eastAsia="仿宋" w:cs="仿宋"/>
          <w:b/>
          <w:bCs/>
          <w:kern w:val="0"/>
          <w:sz w:val="28"/>
          <w:szCs w:val="28"/>
          <w:lang w:val="en-US" w:eastAsia="zh-CN"/>
        </w:rPr>
      </w:pPr>
    </w:p>
    <w:p w14:paraId="1B8EEC91">
      <w:pPr>
        <w:widowControl/>
        <w:spacing w:line="360" w:lineRule="auto"/>
        <w:jc w:val="center"/>
        <w:outlineLvl w:val="1"/>
        <w:rPr>
          <w:rFonts w:hint="eastAsia" w:ascii="仿宋" w:hAnsi="仿宋" w:eastAsia="仿宋" w:cs="仿宋"/>
          <w:b/>
          <w:bCs/>
          <w:kern w:val="0"/>
          <w:sz w:val="28"/>
          <w:szCs w:val="28"/>
          <w:lang w:val="en-US" w:eastAsia="zh-CN"/>
        </w:rPr>
      </w:pPr>
    </w:p>
    <w:p w14:paraId="7E54E80B">
      <w:pPr>
        <w:widowControl/>
        <w:spacing w:line="360" w:lineRule="auto"/>
        <w:jc w:val="center"/>
        <w:outlineLvl w:val="1"/>
        <w:rPr>
          <w:rFonts w:hint="eastAsia" w:ascii="仿宋" w:hAnsi="仿宋" w:eastAsia="仿宋" w:cs="仿宋"/>
          <w:b/>
          <w:bCs/>
          <w:kern w:val="0"/>
          <w:sz w:val="28"/>
          <w:szCs w:val="28"/>
          <w:lang w:val="en-US" w:eastAsia="zh-CN"/>
        </w:rPr>
      </w:pPr>
    </w:p>
    <w:p w14:paraId="63F119AB">
      <w:pPr>
        <w:widowControl/>
        <w:spacing w:line="360" w:lineRule="auto"/>
        <w:jc w:val="center"/>
        <w:outlineLvl w:val="1"/>
        <w:rPr>
          <w:rFonts w:hint="eastAsia" w:ascii="仿宋" w:hAnsi="仿宋" w:eastAsia="仿宋" w:cs="仿宋"/>
          <w:b/>
          <w:bCs/>
          <w:kern w:val="0"/>
          <w:sz w:val="28"/>
          <w:szCs w:val="28"/>
          <w:lang w:val="en-US" w:eastAsia="zh-CN"/>
        </w:rPr>
      </w:pPr>
    </w:p>
    <w:p w14:paraId="49FFB586">
      <w:pPr>
        <w:widowControl/>
        <w:spacing w:line="360" w:lineRule="auto"/>
        <w:jc w:val="center"/>
        <w:outlineLvl w:val="1"/>
        <w:rPr>
          <w:rFonts w:hint="eastAsia" w:ascii="仿宋" w:hAnsi="仿宋" w:eastAsia="仿宋" w:cs="仿宋"/>
          <w:b/>
          <w:bCs/>
          <w:kern w:val="0"/>
          <w:sz w:val="28"/>
          <w:szCs w:val="28"/>
          <w:lang w:val="en-US" w:eastAsia="zh-CN"/>
        </w:rPr>
      </w:pPr>
    </w:p>
    <w:p w14:paraId="7DD4FAE6">
      <w:pPr>
        <w:widowControl/>
        <w:spacing w:line="360" w:lineRule="auto"/>
        <w:jc w:val="center"/>
        <w:outlineLvl w:val="1"/>
        <w:rPr>
          <w:rFonts w:hint="eastAsia" w:ascii="仿宋" w:hAnsi="仿宋" w:eastAsia="仿宋" w:cs="仿宋"/>
          <w:b/>
          <w:bCs/>
          <w:kern w:val="0"/>
          <w:sz w:val="28"/>
          <w:szCs w:val="28"/>
          <w:lang w:val="en-US" w:eastAsia="zh-CN"/>
        </w:rPr>
      </w:pPr>
    </w:p>
    <w:p w14:paraId="54429460">
      <w:pPr>
        <w:widowControl/>
        <w:spacing w:line="360" w:lineRule="auto"/>
        <w:jc w:val="center"/>
        <w:outlineLvl w:val="1"/>
        <w:rPr>
          <w:rFonts w:hint="eastAsia" w:ascii="仿宋" w:hAnsi="仿宋" w:eastAsia="仿宋" w:cs="仿宋"/>
          <w:b/>
          <w:bCs/>
          <w:kern w:val="0"/>
          <w:sz w:val="28"/>
          <w:szCs w:val="28"/>
          <w:lang w:val="en-US" w:eastAsia="zh-CN"/>
        </w:rPr>
      </w:pPr>
    </w:p>
    <w:p w14:paraId="36CA4BEC">
      <w:pPr>
        <w:widowControl/>
        <w:spacing w:line="360" w:lineRule="auto"/>
        <w:jc w:val="center"/>
        <w:outlineLvl w:val="1"/>
        <w:rPr>
          <w:rFonts w:hint="eastAsia" w:ascii="仿宋" w:hAnsi="仿宋" w:eastAsia="仿宋" w:cs="仿宋"/>
          <w:b/>
          <w:bCs/>
          <w:kern w:val="0"/>
          <w:sz w:val="28"/>
          <w:szCs w:val="28"/>
          <w:lang w:val="en-US" w:eastAsia="zh-CN"/>
        </w:rPr>
      </w:pPr>
    </w:p>
    <w:p w14:paraId="44011687">
      <w:pPr>
        <w:widowControl/>
        <w:spacing w:line="360" w:lineRule="auto"/>
        <w:jc w:val="center"/>
        <w:outlineLvl w:val="1"/>
        <w:rPr>
          <w:rFonts w:hint="eastAsia" w:ascii="仿宋" w:hAnsi="仿宋" w:eastAsia="仿宋" w:cs="仿宋"/>
          <w:b/>
          <w:bCs/>
          <w:kern w:val="0"/>
          <w:sz w:val="28"/>
          <w:szCs w:val="28"/>
          <w:lang w:val="en-US" w:eastAsia="zh-CN"/>
        </w:rPr>
      </w:pPr>
    </w:p>
    <w:p w14:paraId="1122EE9D">
      <w:pPr>
        <w:widowControl/>
        <w:spacing w:line="360" w:lineRule="auto"/>
        <w:jc w:val="center"/>
        <w:outlineLvl w:val="1"/>
        <w:rPr>
          <w:rFonts w:hint="eastAsia" w:ascii="仿宋" w:hAnsi="仿宋" w:eastAsia="仿宋" w:cs="仿宋"/>
          <w:b/>
          <w:bCs/>
          <w:kern w:val="0"/>
          <w:sz w:val="28"/>
          <w:szCs w:val="28"/>
          <w:lang w:val="en-US" w:eastAsia="zh-CN"/>
        </w:rPr>
      </w:pPr>
    </w:p>
    <w:p w14:paraId="7F1AB1CD">
      <w:pPr>
        <w:widowControl/>
        <w:spacing w:line="360" w:lineRule="auto"/>
        <w:jc w:val="center"/>
        <w:outlineLvl w:val="1"/>
        <w:rPr>
          <w:rFonts w:hint="eastAsia" w:ascii="仿宋" w:hAnsi="仿宋" w:eastAsia="仿宋" w:cs="仿宋"/>
          <w:b/>
          <w:bCs/>
          <w:kern w:val="0"/>
          <w:sz w:val="28"/>
          <w:szCs w:val="28"/>
          <w:lang w:val="en-US" w:eastAsia="zh-CN"/>
        </w:rPr>
      </w:pPr>
    </w:p>
    <w:p w14:paraId="0F827ACF">
      <w:pPr>
        <w:widowControl/>
        <w:spacing w:line="360" w:lineRule="auto"/>
        <w:jc w:val="center"/>
        <w:outlineLvl w:val="1"/>
        <w:rPr>
          <w:rFonts w:hint="eastAsia" w:ascii="仿宋" w:hAnsi="仿宋" w:eastAsia="仿宋" w:cs="仿宋"/>
          <w:b/>
          <w:bCs/>
          <w:kern w:val="0"/>
          <w:sz w:val="28"/>
          <w:szCs w:val="28"/>
          <w:lang w:val="en-US" w:eastAsia="zh-CN"/>
        </w:rPr>
      </w:pPr>
    </w:p>
    <w:p w14:paraId="0DB5F4F8">
      <w:pPr>
        <w:widowControl/>
        <w:spacing w:line="360" w:lineRule="auto"/>
        <w:jc w:val="center"/>
        <w:outlineLvl w:val="1"/>
        <w:rPr>
          <w:rFonts w:hint="eastAsia" w:ascii="仿宋" w:hAnsi="仿宋" w:eastAsia="仿宋" w:cs="仿宋"/>
          <w:b/>
          <w:bCs/>
          <w:kern w:val="0"/>
          <w:sz w:val="28"/>
          <w:szCs w:val="28"/>
          <w:lang w:val="en-US" w:eastAsia="zh-CN"/>
        </w:rPr>
      </w:pPr>
    </w:p>
    <w:p w14:paraId="04B95912">
      <w:pPr>
        <w:widowControl/>
        <w:spacing w:line="360" w:lineRule="auto"/>
        <w:jc w:val="center"/>
        <w:outlineLvl w:val="1"/>
        <w:rPr>
          <w:rFonts w:hint="eastAsia" w:ascii="仿宋" w:hAnsi="仿宋" w:eastAsia="仿宋" w:cs="仿宋"/>
          <w:b/>
          <w:bCs/>
          <w:kern w:val="0"/>
          <w:sz w:val="28"/>
          <w:szCs w:val="28"/>
          <w:lang w:val="en-US" w:eastAsia="zh-CN"/>
        </w:rPr>
      </w:pPr>
    </w:p>
    <w:p w14:paraId="6E1964F7">
      <w:pPr>
        <w:widowControl/>
        <w:spacing w:line="360" w:lineRule="auto"/>
        <w:jc w:val="center"/>
        <w:outlineLvl w:val="1"/>
        <w:rPr>
          <w:rFonts w:hint="eastAsia" w:ascii="仿宋" w:hAnsi="仿宋" w:eastAsia="仿宋" w:cs="仿宋"/>
          <w:b/>
          <w:bCs/>
          <w:kern w:val="0"/>
          <w:sz w:val="28"/>
          <w:szCs w:val="28"/>
          <w:lang w:val="en-US" w:eastAsia="zh-CN"/>
        </w:rPr>
      </w:pPr>
    </w:p>
    <w:p w14:paraId="13C90E91">
      <w:pPr>
        <w:widowControl/>
        <w:spacing w:line="360" w:lineRule="auto"/>
        <w:jc w:val="center"/>
        <w:outlineLvl w:val="1"/>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t>二、技术部分</w:t>
      </w:r>
    </w:p>
    <w:p w14:paraId="6C3EEEAF">
      <w:pPr>
        <w:adjustRightInd w:val="0"/>
        <w:snapToGrid w:val="0"/>
        <w:spacing w:line="360" w:lineRule="auto"/>
        <w:ind w:firstLine="964" w:firstLineChars="400"/>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zh-CN"/>
        </w:rPr>
        <w:t>1、</w:t>
      </w:r>
      <w:r>
        <w:rPr>
          <w:rFonts w:hint="eastAsia" w:ascii="仿宋" w:hAnsi="仿宋" w:eastAsia="仿宋" w:cs="仿宋"/>
          <w:b/>
          <w:bCs/>
          <w:sz w:val="24"/>
          <w:szCs w:val="24"/>
          <w:lang w:val="en-US" w:eastAsia="en-US"/>
        </w:rPr>
        <w:t>技术响应与偏离表</w:t>
      </w:r>
    </w:p>
    <w:p w14:paraId="04EB0B70">
      <w:pPr>
        <w:adjustRightInd w:val="0"/>
        <w:snapToGrid w:val="0"/>
        <w:spacing w:line="360" w:lineRule="auto"/>
        <w:ind w:firstLine="964" w:firstLineChars="400"/>
        <w:rPr>
          <w:rFonts w:hint="eastAsia" w:ascii="仿宋" w:hAnsi="仿宋" w:eastAsia="仿宋" w:cs="仿宋"/>
          <w:b/>
          <w:bCs/>
          <w:w w:val="95"/>
          <w:kern w:val="0"/>
          <w:sz w:val="24"/>
          <w:szCs w:val="24"/>
          <w:lang w:val="en-US" w:eastAsia="zh-CN"/>
        </w:rPr>
        <w:sectPr>
          <w:headerReference r:id="rId13" w:type="default"/>
          <w:footerReference r:id="rId14" w:type="default"/>
          <w:pgSz w:w="11911" w:h="16838"/>
          <w:pgMar w:top="1440" w:right="1140" w:bottom="1440" w:left="1140" w:header="850" w:footer="1088" w:gutter="0"/>
          <w:pgNumType w:fmt="decimal"/>
          <w:cols w:space="0" w:num="1"/>
          <w:rtlGutter w:val="0"/>
          <w:docGrid w:linePitch="0" w:charSpace="0"/>
        </w:sectPr>
      </w:pPr>
      <w:r>
        <w:rPr>
          <w:rFonts w:hint="eastAsia" w:ascii="仿宋" w:hAnsi="仿宋" w:eastAsia="仿宋" w:cs="仿宋"/>
          <w:b/>
          <w:bCs/>
          <w:sz w:val="24"/>
          <w:szCs w:val="24"/>
          <w:lang w:val="en-US" w:eastAsia="zh-CN"/>
        </w:rPr>
        <w:t>2、供应商认为有必要提供的声明及其他资料</w:t>
      </w:r>
    </w:p>
    <w:p w14:paraId="71F8EED6">
      <w:pPr>
        <w:adjustRightInd w:val="0"/>
        <w:snapToGrid w:val="0"/>
        <w:spacing w:line="360" w:lineRule="auto"/>
        <w:rPr>
          <w:rFonts w:hint="eastAsia" w:ascii="仿宋" w:hAnsi="仿宋" w:eastAsia="仿宋" w:cs="仿宋"/>
          <w:b/>
          <w:bCs/>
          <w:sz w:val="28"/>
          <w:szCs w:val="28"/>
          <w:lang w:val="en-US" w:eastAsia="en-US"/>
        </w:rPr>
      </w:pPr>
      <w:r>
        <w:rPr>
          <w:rFonts w:hint="eastAsia" w:ascii="仿宋" w:hAnsi="仿宋" w:eastAsia="仿宋" w:cs="仿宋"/>
          <w:b/>
          <w:bCs/>
          <w:sz w:val="28"/>
          <w:szCs w:val="28"/>
          <w:lang w:val="en-US" w:eastAsia="zh-CN"/>
        </w:rPr>
        <w:t>1</w:t>
      </w:r>
      <w:r>
        <w:rPr>
          <w:rFonts w:hint="eastAsia" w:ascii="仿宋" w:hAnsi="仿宋" w:eastAsia="仿宋" w:cs="仿宋"/>
          <w:b/>
          <w:bCs/>
          <w:sz w:val="28"/>
          <w:szCs w:val="28"/>
          <w:lang w:val="en-US" w:eastAsia="en-US"/>
        </w:rPr>
        <w:t>、技术响应与偏离表</w:t>
      </w:r>
    </w:p>
    <w:p w14:paraId="01FC9962">
      <w:pPr>
        <w:autoSpaceDE w:val="0"/>
        <w:autoSpaceDN w:val="0"/>
        <w:jc w:val="left"/>
        <w:rPr>
          <w:rFonts w:hint="eastAsia" w:ascii="仿宋" w:hAnsi="仿宋" w:eastAsia="仿宋" w:cs="仿宋"/>
          <w:b/>
          <w:kern w:val="0"/>
          <w:sz w:val="20"/>
        </w:rPr>
      </w:pPr>
    </w:p>
    <w:p w14:paraId="4AA9A050">
      <w:pPr>
        <w:spacing w:line="360" w:lineRule="atLeast"/>
        <w:ind w:firstLine="723"/>
        <w:jc w:val="center"/>
        <w:rPr>
          <w:rFonts w:hint="eastAsia" w:ascii="仿宋" w:hAnsi="仿宋" w:eastAsia="仿宋" w:cs="仿宋"/>
          <w:color w:val="000000"/>
          <w:sz w:val="28"/>
          <w:szCs w:val="16"/>
        </w:rPr>
      </w:pPr>
      <w:r>
        <w:rPr>
          <w:rFonts w:hint="eastAsia" w:ascii="仿宋" w:hAnsi="仿宋" w:eastAsia="仿宋" w:cs="仿宋"/>
          <w:color w:val="000000"/>
          <w:sz w:val="28"/>
          <w:szCs w:val="16"/>
          <w:lang w:val="en-US" w:eastAsia="zh-CN"/>
        </w:rPr>
        <w:t>技 术</w:t>
      </w:r>
      <w:r>
        <w:rPr>
          <w:rFonts w:hint="eastAsia" w:ascii="仿宋" w:hAnsi="仿宋" w:eastAsia="仿宋" w:cs="仿宋"/>
          <w:color w:val="000000"/>
          <w:sz w:val="28"/>
          <w:szCs w:val="16"/>
        </w:rPr>
        <w:t xml:space="preserve"> 条 款 偏 离 表</w:t>
      </w:r>
    </w:p>
    <w:p w14:paraId="540E5B0A">
      <w:pPr>
        <w:spacing w:line="360" w:lineRule="atLeast"/>
        <w:ind w:right="352"/>
        <w:jc w:val="left"/>
        <w:rPr>
          <w:rFonts w:hint="eastAsia" w:ascii="仿宋" w:hAnsi="仿宋" w:eastAsia="仿宋" w:cs="仿宋"/>
          <w:color w:val="000000"/>
          <w:sz w:val="28"/>
        </w:rPr>
      </w:pPr>
      <w:r>
        <w:rPr>
          <w:rFonts w:hint="eastAsia" w:ascii="仿宋" w:hAnsi="仿宋" w:eastAsia="仿宋" w:cs="仿宋"/>
          <w:color w:val="000000"/>
          <w:sz w:val="24"/>
          <w:szCs w:val="18"/>
        </w:rPr>
        <w:t>项目编号：</w:t>
      </w:r>
      <w:r>
        <w:rPr>
          <w:rFonts w:hint="eastAsia" w:ascii="仿宋" w:hAnsi="仿宋" w:eastAsia="仿宋" w:cs="仿宋"/>
          <w:color w:val="000000"/>
          <w:sz w:val="24"/>
          <w:szCs w:val="18"/>
          <w:lang w:val="en-US" w:eastAsia="zh-CN"/>
        </w:rPr>
        <w:t xml:space="preserve"> </w:t>
      </w:r>
      <w:r>
        <w:rPr>
          <w:rFonts w:hint="eastAsia" w:ascii="仿宋" w:hAnsi="仿宋" w:eastAsia="仿宋" w:cs="仿宋"/>
          <w:color w:val="000000"/>
          <w:sz w:val="24"/>
          <w:szCs w:val="18"/>
        </w:rPr>
        <w:t xml:space="preserve"> </w:t>
      </w:r>
      <w:r>
        <w:rPr>
          <w:rFonts w:hint="eastAsia" w:ascii="仿宋" w:hAnsi="仿宋" w:eastAsia="仿宋" w:cs="仿宋"/>
          <w:color w:val="000000"/>
          <w:sz w:val="24"/>
          <w:szCs w:val="18"/>
          <w:lang w:val="en-US" w:eastAsia="zh-CN"/>
        </w:rPr>
        <w:t xml:space="preserve">  </w:t>
      </w:r>
      <w:r>
        <w:rPr>
          <w:rFonts w:hint="eastAsia" w:ascii="仿宋" w:hAnsi="仿宋" w:eastAsia="仿宋" w:cs="仿宋"/>
          <w:kern w:val="0"/>
          <w:sz w:val="24"/>
          <w:szCs w:val="24"/>
          <w:lang w:val="en-US" w:eastAsia="zh-CN"/>
        </w:rPr>
        <w:t>标项号：</w:t>
      </w:r>
      <w:r>
        <w:rPr>
          <w:rFonts w:hint="eastAsia" w:ascii="仿宋" w:hAnsi="仿宋" w:eastAsia="仿宋" w:cs="仿宋"/>
          <w:color w:val="000000"/>
          <w:sz w:val="24"/>
          <w:szCs w:val="18"/>
        </w:rPr>
        <w:t xml:space="preserve"> </w:t>
      </w:r>
      <w:r>
        <w:rPr>
          <w:rFonts w:hint="eastAsia" w:ascii="仿宋" w:hAnsi="仿宋" w:eastAsia="仿宋" w:cs="仿宋"/>
          <w:color w:val="000000"/>
          <w:sz w:val="28"/>
        </w:rPr>
        <w:t xml:space="preserve">                                             </w:t>
      </w:r>
    </w:p>
    <w:tbl>
      <w:tblPr>
        <w:tblStyle w:val="21"/>
        <w:tblW w:w="10473" w:type="dxa"/>
        <w:jc w:val="center"/>
        <w:tblLayout w:type="fixed"/>
        <w:tblCellMar>
          <w:top w:w="0" w:type="dxa"/>
          <w:left w:w="108" w:type="dxa"/>
          <w:bottom w:w="0" w:type="dxa"/>
          <w:right w:w="108" w:type="dxa"/>
        </w:tblCellMar>
      </w:tblPr>
      <w:tblGrid>
        <w:gridCol w:w="575"/>
        <w:gridCol w:w="3570"/>
        <w:gridCol w:w="2482"/>
        <w:gridCol w:w="2278"/>
        <w:gridCol w:w="1568"/>
      </w:tblGrid>
      <w:tr w14:paraId="02885ECF">
        <w:tblPrEx>
          <w:tblCellMar>
            <w:top w:w="0" w:type="dxa"/>
            <w:left w:w="108" w:type="dxa"/>
            <w:bottom w:w="0" w:type="dxa"/>
            <w:right w:w="108" w:type="dxa"/>
          </w:tblCellMar>
        </w:tblPrEx>
        <w:trPr>
          <w:trHeight w:val="626" w:hRule="atLeast"/>
          <w:jc w:val="center"/>
        </w:trPr>
        <w:tc>
          <w:tcPr>
            <w:tcW w:w="575" w:type="dxa"/>
            <w:tcBorders>
              <w:top w:val="single" w:color="auto" w:sz="6" w:space="0"/>
              <w:left w:val="single" w:color="auto" w:sz="6" w:space="0"/>
              <w:bottom w:val="single" w:color="auto" w:sz="6" w:space="0"/>
              <w:right w:val="single" w:color="auto" w:sz="6" w:space="0"/>
            </w:tcBorders>
            <w:noWrap w:val="0"/>
            <w:vAlign w:val="center"/>
          </w:tcPr>
          <w:p w14:paraId="553D588A">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序</w:t>
            </w:r>
            <w:r>
              <w:rPr>
                <w:rFonts w:hint="eastAsia" w:ascii="仿宋" w:hAnsi="仿宋" w:eastAsia="仿宋" w:cs="仿宋"/>
                <w:sz w:val="21"/>
                <w:szCs w:val="21"/>
                <w:lang w:val="en-US" w:eastAsia="zh-CN"/>
              </w:rPr>
              <w:t>号</w:t>
            </w:r>
          </w:p>
        </w:tc>
        <w:tc>
          <w:tcPr>
            <w:tcW w:w="3570" w:type="dxa"/>
            <w:tcBorders>
              <w:top w:val="single" w:color="auto" w:sz="6" w:space="0"/>
              <w:left w:val="single" w:color="auto" w:sz="6" w:space="0"/>
              <w:bottom w:val="single" w:color="auto" w:sz="6" w:space="0"/>
              <w:right w:val="single" w:color="auto" w:sz="6" w:space="0"/>
            </w:tcBorders>
            <w:noWrap w:val="0"/>
            <w:vAlign w:val="center"/>
          </w:tcPr>
          <w:p w14:paraId="3BB343F3">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技术</w:t>
            </w:r>
            <w:r>
              <w:rPr>
                <w:rFonts w:hint="eastAsia" w:ascii="仿宋" w:hAnsi="仿宋" w:eastAsia="仿宋" w:cs="仿宋"/>
                <w:sz w:val="21"/>
                <w:szCs w:val="21"/>
              </w:rPr>
              <w:t>条款</w:t>
            </w:r>
          </w:p>
        </w:tc>
        <w:tc>
          <w:tcPr>
            <w:tcW w:w="2482" w:type="dxa"/>
            <w:tcBorders>
              <w:top w:val="single" w:color="auto" w:sz="6" w:space="0"/>
              <w:left w:val="single" w:color="auto" w:sz="6" w:space="0"/>
              <w:bottom w:val="single" w:color="auto" w:sz="6" w:space="0"/>
              <w:right w:val="single" w:color="auto" w:sz="6" w:space="0"/>
            </w:tcBorders>
            <w:noWrap w:val="0"/>
            <w:vAlign w:val="center"/>
          </w:tcPr>
          <w:p w14:paraId="639A5D4D">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rPr>
            </w:pPr>
            <w:r>
              <w:rPr>
                <w:rFonts w:hint="eastAsia" w:ascii="仿宋" w:hAnsi="仿宋" w:eastAsia="仿宋" w:cs="仿宋"/>
                <w:sz w:val="21"/>
                <w:szCs w:val="21"/>
              </w:rPr>
              <w:t>响应条款</w:t>
            </w:r>
          </w:p>
        </w:tc>
        <w:tc>
          <w:tcPr>
            <w:tcW w:w="2278" w:type="dxa"/>
            <w:tcBorders>
              <w:top w:val="single" w:color="auto" w:sz="6" w:space="0"/>
              <w:left w:val="single" w:color="auto" w:sz="6" w:space="0"/>
              <w:bottom w:val="single" w:color="auto" w:sz="6" w:space="0"/>
              <w:right w:val="single" w:color="auto" w:sz="6" w:space="0"/>
            </w:tcBorders>
            <w:noWrap w:val="0"/>
            <w:vAlign w:val="center"/>
          </w:tcPr>
          <w:p w14:paraId="516E6A73">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rPr>
            </w:pPr>
            <w:r>
              <w:rPr>
                <w:rFonts w:hint="eastAsia" w:ascii="仿宋" w:hAnsi="仿宋" w:eastAsia="仿宋" w:cs="仿宋"/>
                <w:sz w:val="21"/>
                <w:szCs w:val="21"/>
              </w:rPr>
              <w:t>响应/偏离</w:t>
            </w:r>
          </w:p>
        </w:tc>
        <w:tc>
          <w:tcPr>
            <w:tcW w:w="1568" w:type="dxa"/>
            <w:tcBorders>
              <w:top w:val="single" w:color="auto" w:sz="6" w:space="0"/>
              <w:left w:val="single" w:color="auto" w:sz="6" w:space="0"/>
              <w:bottom w:val="single" w:color="auto" w:sz="6" w:space="0"/>
              <w:right w:val="single" w:color="auto" w:sz="6" w:space="0"/>
            </w:tcBorders>
            <w:noWrap w:val="0"/>
            <w:vAlign w:val="center"/>
          </w:tcPr>
          <w:p w14:paraId="536FF5D6">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相关证明材料对应页码</w:t>
            </w:r>
          </w:p>
        </w:tc>
      </w:tr>
      <w:tr w14:paraId="3647177B">
        <w:tblPrEx>
          <w:tblCellMar>
            <w:top w:w="0" w:type="dxa"/>
            <w:left w:w="108" w:type="dxa"/>
            <w:bottom w:w="0" w:type="dxa"/>
            <w:right w:w="108" w:type="dxa"/>
          </w:tblCellMar>
        </w:tblPrEx>
        <w:trPr>
          <w:trHeight w:val="891" w:hRule="atLeast"/>
          <w:jc w:val="center"/>
        </w:trPr>
        <w:tc>
          <w:tcPr>
            <w:tcW w:w="575" w:type="dxa"/>
            <w:tcBorders>
              <w:top w:val="single" w:color="auto" w:sz="6" w:space="0"/>
              <w:left w:val="single" w:color="auto" w:sz="6" w:space="0"/>
              <w:bottom w:val="single" w:color="auto" w:sz="6" w:space="0"/>
              <w:right w:val="single" w:color="auto" w:sz="6" w:space="0"/>
            </w:tcBorders>
            <w:noWrap w:val="0"/>
            <w:vAlign w:val="center"/>
          </w:tcPr>
          <w:p w14:paraId="4C095CD1">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3570" w:type="dxa"/>
            <w:tcBorders>
              <w:top w:val="single" w:color="auto" w:sz="6" w:space="0"/>
              <w:left w:val="single" w:color="auto" w:sz="6" w:space="0"/>
              <w:bottom w:val="single" w:color="auto" w:sz="6" w:space="0"/>
              <w:right w:val="single" w:color="auto" w:sz="6" w:space="0"/>
            </w:tcBorders>
            <w:noWrap w:val="0"/>
            <w:vAlign w:val="center"/>
          </w:tcPr>
          <w:p w14:paraId="0AA30BE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2482" w:type="dxa"/>
            <w:tcBorders>
              <w:top w:val="single" w:color="auto" w:sz="6" w:space="0"/>
              <w:left w:val="single" w:color="auto" w:sz="6" w:space="0"/>
              <w:bottom w:val="single" w:color="auto" w:sz="6" w:space="0"/>
              <w:right w:val="single" w:color="auto" w:sz="6" w:space="0"/>
            </w:tcBorders>
            <w:noWrap w:val="0"/>
            <w:vAlign w:val="center"/>
          </w:tcPr>
          <w:p w14:paraId="280ECD59">
            <w:pPr>
              <w:keepNext w:val="0"/>
              <w:keepLines w:val="0"/>
              <w:pageBreakBefore w:val="0"/>
              <w:widowControl w:val="0"/>
              <w:kinsoku/>
              <w:wordWrap/>
              <w:overflowPunct/>
              <w:topLinePunct w:val="0"/>
              <w:autoSpaceDE/>
              <w:autoSpaceDN/>
              <w:bidi w:val="0"/>
              <w:adjustRightInd/>
              <w:snapToGrid w:val="0"/>
              <w:spacing w:line="360" w:lineRule="auto"/>
              <w:ind w:firstLine="420"/>
              <w:jc w:val="both"/>
              <w:textAlignment w:val="auto"/>
              <w:rPr>
                <w:rFonts w:hint="eastAsia" w:ascii="仿宋" w:hAnsi="仿宋" w:eastAsia="仿宋" w:cs="仿宋"/>
                <w:color w:val="000000"/>
                <w:sz w:val="21"/>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14:paraId="3CEA680E">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1568" w:type="dxa"/>
            <w:tcBorders>
              <w:top w:val="single" w:color="auto" w:sz="6" w:space="0"/>
              <w:left w:val="single" w:color="auto" w:sz="6" w:space="0"/>
              <w:bottom w:val="single" w:color="auto" w:sz="6" w:space="0"/>
              <w:right w:val="single" w:color="auto" w:sz="6" w:space="0"/>
            </w:tcBorders>
            <w:noWrap w:val="0"/>
            <w:vAlign w:val="center"/>
          </w:tcPr>
          <w:p w14:paraId="2BF1D042">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r>
      <w:tr w14:paraId="0F33F6E4">
        <w:tblPrEx>
          <w:tblCellMar>
            <w:top w:w="0" w:type="dxa"/>
            <w:left w:w="108" w:type="dxa"/>
            <w:bottom w:w="0" w:type="dxa"/>
            <w:right w:w="108" w:type="dxa"/>
          </w:tblCellMar>
        </w:tblPrEx>
        <w:trPr>
          <w:trHeight w:val="839" w:hRule="atLeast"/>
          <w:jc w:val="center"/>
        </w:trPr>
        <w:tc>
          <w:tcPr>
            <w:tcW w:w="575" w:type="dxa"/>
            <w:tcBorders>
              <w:top w:val="single" w:color="auto" w:sz="6" w:space="0"/>
              <w:left w:val="single" w:color="auto" w:sz="6" w:space="0"/>
              <w:bottom w:val="single" w:color="auto" w:sz="6" w:space="0"/>
              <w:right w:val="single" w:color="auto" w:sz="6" w:space="0"/>
            </w:tcBorders>
            <w:noWrap w:val="0"/>
            <w:vAlign w:val="center"/>
          </w:tcPr>
          <w:p w14:paraId="018CF16B">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3570" w:type="dxa"/>
            <w:tcBorders>
              <w:top w:val="single" w:color="auto" w:sz="6" w:space="0"/>
              <w:left w:val="single" w:color="auto" w:sz="6" w:space="0"/>
              <w:bottom w:val="single" w:color="auto" w:sz="6" w:space="0"/>
              <w:right w:val="single" w:color="auto" w:sz="6" w:space="0"/>
            </w:tcBorders>
            <w:noWrap w:val="0"/>
            <w:vAlign w:val="center"/>
          </w:tcPr>
          <w:p w14:paraId="1E484F9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2482" w:type="dxa"/>
            <w:tcBorders>
              <w:top w:val="single" w:color="auto" w:sz="6" w:space="0"/>
              <w:left w:val="single" w:color="auto" w:sz="6" w:space="0"/>
              <w:bottom w:val="single" w:color="auto" w:sz="6" w:space="0"/>
              <w:right w:val="single" w:color="auto" w:sz="6" w:space="0"/>
            </w:tcBorders>
            <w:noWrap w:val="0"/>
            <w:vAlign w:val="center"/>
          </w:tcPr>
          <w:p w14:paraId="03686B27">
            <w:pPr>
              <w:keepNext w:val="0"/>
              <w:keepLines w:val="0"/>
              <w:pageBreakBefore w:val="0"/>
              <w:widowControl w:val="0"/>
              <w:kinsoku/>
              <w:wordWrap/>
              <w:overflowPunct/>
              <w:topLinePunct w:val="0"/>
              <w:autoSpaceDE/>
              <w:autoSpaceDN/>
              <w:bidi w:val="0"/>
              <w:adjustRightInd/>
              <w:snapToGrid w:val="0"/>
              <w:spacing w:line="360" w:lineRule="auto"/>
              <w:ind w:firstLine="420"/>
              <w:jc w:val="both"/>
              <w:textAlignment w:val="auto"/>
              <w:rPr>
                <w:rFonts w:hint="eastAsia" w:ascii="仿宋" w:hAnsi="仿宋" w:eastAsia="仿宋" w:cs="仿宋"/>
                <w:color w:val="000000"/>
                <w:sz w:val="21"/>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14:paraId="47AD3343">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1568" w:type="dxa"/>
            <w:tcBorders>
              <w:top w:val="single" w:color="auto" w:sz="6" w:space="0"/>
              <w:left w:val="single" w:color="auto" w:sz="6" w:space="0"/>
              <w:bottom w:val="single" w:color="auto" w:sz="6" w:space="0"/>
              <w:right w:val="single" w:color="auto" w:sz="6" w:space="0"/>
            </w:tcBorders>
            <w:noWrap w:val="0"/>
            <w:vAlign w:val="center"/>
          </w:tcPr>
          <w:p w14:paraId="7374DC7C">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r>
      <w:tr w14:paraId="68348C0A">
        <w:tblPrEx>
          <w:tblCellMar>
            <w:top w:w="0" w:type="dxa"/>
            <w:left w:w="108" w:type="dxa"/>
            <w:bottom w:w="0" w:type="dxa"/>
            <w:right w:w="108" w:type="dxa"/>
          </w:tblCellMar>
        </w:tblPrEx>
        <w:trPr>
          <w:trHeight w:val="923" w:hRule="atLeast"/>
          <w:jc w:val="center"/>
        </w:trPr>
        <w:tc>
          <w:tcPr>
            <w:tcW w:w="575" w:type="dxa"/>
            <w:tcBorders>
              <w:top w:val="single" w:color="auto" w:sz="6" w:space="0"/>
              <w:left w:val="single" w:color="auto" w:sz="6" w:space="0"/>
              <w:bottom w:val="single" w:color="auto" w:sz="6" w:space="0"/>
              <w:right w:val="single" w:color="auto" w:sz="6" w:space="0"/>
            </w:tcBorders>
            <w:noWrap w:val="0"/>
            <w:vAlign w:val="center"/>
          </w:tcPr>
          <w:p w14:paraId="690F0AA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3570" w:type="dxa"/>
            <w:tcBorders>
              <w:top w:val="single" w:color="auto" w:sz="6" w:space="0"/>
              <w:left w:val="single" w:color="auto" w:sz="6" w:space="0"/>
              <w:bottom w:val="single" w:color="auto" w:sz="6" w:space="0"/>
              <w:right w:val="single" w:color="auto" w:sz="6" w:space="0"/>
            </w:tcBorders>
            <w:noWrap w:val="0"/>
            <w:vAlign w:val="center"/>
          </w:tcPr>
          <w:p w14:paraId="1A8705F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sz w:val="21"/>
                <w:szCs w:val="21"/>
              </w:rPr>
            </w:pPr>
          </w:p>
        </w:tc>
        <w:tc>
          <w:tcPr>
            <w:tcW w:w="2482" w:type="dxa"/>
            <w:tcBorders>
              <w:top w:val="single" w:color="auto" w:sz="6" w:space="0"/>
              <w:left w:val="single" w:color="auto" w:sz="6" w:space="0"/>
              <w:bottom w:val="single" w:color="auto" w:sz="6" w:space="0"/>
              <w:right w:val="single" w:color="auto" w:sz="6" w:space="0"/>
            </w:tcBorders>
            <w:noWrap w:val="0"/>
            <w:vAlign w:val="center"/>
          </w:tcPr>
          <w:p w14:paraId="015338EA">
            <w:pPr>
              <w:keepNext w:val="0"/>
              <w:keepLines w:val="0"/>
              <w:pageBreakBefore w:val="0"/>
              <w:widowControl w:val="0"/>
              <w:kinsoku/>
              <w:wordWrap/>
              <w:overflowPunct/>
              <w:topLinePunct w:val="0"/>
              <w:autoSpaceDE/>
              <w:autoSpaceDN/>
              <w:bidi w:val="0"/>
              <w:adjustRightInd/>
              <w:snapToGrid w:val="0"/>
              <w:spacing w:line="360" w:lineRule="auto"/>
              <w:ind w:firstLine="420"/>
              <w:jc w:val="both"/>
              <w:textAlignment w:val="auto"/>
              <w:rPr>
                <w:rFonts w:hint="eastAsia" w:ascii="仿宋" w:hAnsi="仿宋" w:eastAsia="仿宋" w:cs="仿宋"/>
                <w:color w:val="000000"/>
                <w:sz w:val="21"/>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14:paraId="11293C6A">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1568" w:type="dxa"/>
            <w:tcBorders>
              <w:top w:val="single" w:color="auto" w:sz="6" w:space="0"/>
              <w:left w:val="single" w:color="auto" w:sz="6" w:space="0"/>
              <w:bottom w:val="single" w:color="auto" w:sz="6" w:space="0"/>
              <w:right w:val="single" w:color="auto" w:sz="6" w:space="0"/>
            </w:tcBorders>
            <w:noWrap w:val="0"/>
            <w:vAlign w:val="center"/>
          </w:tcPr>
          <w:p w14:paraId="63D68696">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r>
      <w:tr w14:paraId="325B9A8B">
        <w:tblPrEx>
          <w:tblCellMar>
            <w:top w:w="0" w:type="dxa"/>
            <w:left w:w="108" w:type="dxa"/>
            <w:bottom w:w="0" w:type="dxa"/>
            <w:right w:w="108" w:type="dxa"/>
          </w:tblCellMar>
        </w:tblPrEx>
        <w:trPr>
          <w:trHeight w:val="804" w:hRule="atLeast"/>
          <w:jc w:val="center"/>
        </w:trPr>
        <w:tc>
          <w:tcPr>
            <w:tcW w:w="10473" w:type="dxa"/>
            <w:gridSpan w:val="5"/>
            <w:tcBorders>
              <w:top w:val="single" w:color="auto" w:sz="6" w:space="0"/>
              <w:left w:val="single" w:color="auto" w:sz="6" w:space="0"/>
              <w:bottom w:val="single" w:color="auto" w:sz="6" w:space="0"/>
              <w:right w:val="single" w:color="auto" w:sz="6" w:space="0"/>
            </w:tcBorders>
            <w:noWrap w:val="0"/>
            <w:vAlign w:val="center"/>
          </w:tcPr>
          <w:p w14:paraId="51611D7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000000"/>
                <w:sz w:val="21"/>
                <w:szCs w:val="21"/>
                <w:lang w:eastAsia="zh-CN"/>
              </w:rPr>
            </w:pPr>
            <w:r>
              <w:rPr>
                <w:rFonts w:hint="eastAsia" w:ascii="仿宋" w:hAnsi="仿宋" w:eastAsia="仿宋" w:cs="仿宋"/>
                <w:b/>
                <w:bCs/>
                <w:color w:val="auto"/>
                <w:sz w:val="21"/>
                <w:szCs w:val="21"/>
                <w:lang w:val="en-US" w:eastAsia="zh-CN" w:bidi="ar"/>
              </w:rPr>
              <w:t>（备注：所有技术指标按本表响应内容为准，不接受负偏离，否则视为未实质性响应采购文件要求，将被否决磋商）</w:t>
            </w:r>
          </w:p>
        </w:tc>
      </w:tr>
    </w:tbl>
    <w:p w14:paraId="170EDAC3">
      <w:pPr>
        <w:keepNext w:val="0"/>
        <w:keepLines w:val="0"/>
        <w:pageBreakBefore w:val="0"/>
        <w:widowControl w:val="0"/>
        <w:kinsoku/>
        <w:wordWrap/>
        <w:overflowPunct/>
        <w:topLinePunct w:val="0"/>
        <w:bidi w:val="0"/>
        <w:snapToGrid w:val="0"/>
        <w:spacing w:line="360" w:lineRule="auto"/>
        <w:ind w:firstLine="62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说明：</w:t>
      </w:r>
      <w:r>
        <w:rPr>
          <w:rFonts w:hint="eastAsia" w:ascii="仿宋" w:hAnsi="仿宋" w:eastAsia="仿宋" w:cs="仿宋"/>
          <w:b/>
          <w:bCs/>
          <w:color w:val="000000"/>
          <w:sz w:val="24"/>
          <w:szCs w:val="24"/>
          <w:lang w:val="en-US" w:eastAsia="zh-CN"/>
        </w:rPr>
        <w:t>按照竞争性磋商文件第五部分采购需求中的技术条款逐条响应</w:t>
      </w:r>
      <w:r>
        <w:rPr>
          <w:rFonts w:hint="eastAsia" w:ascii="仿宋" w:hAnsi="仿宋" w:eastAsia="仿宋" w:cs="仿宋"/>
          <w:color w:val="000000"/>
          <w:sz w:val="24"/>
          <w:szCs w:val="24"/>
          <w:lang w:val="en-US" w:eastAsia="zh-CN"/>
        </w:rPr>
        <w:t>，如有偏离，则必须注明“偏离”；未注明偏离的，视为完全响应。</w:t>
      </w:r>
    </w:p>
    <w:p w14:paraId="04232ED1">
      <w:pPr>
        <w:keepNext w:val="0"/>
        <w:keepLines w:val="0"/>
        <w:pageBreakBefore w:val="0"/>
        <w:widowControl w:val="0"/>
        <w:kinsoku/>
        <w:wordWrap/>
        <w:overflowPunct/>
        <w:topLinePunct w:val="0"/>
        <w:bidi w:val="0"/>
        <w:snapToGrid w:val="0"/>
        <w:spacing w:line="360" w:lineRule="auto"/>
        <w:ind w:firstLine="620"/>
        <w:textAlignment w:val="auto"/>
        <w:rPr>
          <w:rFonts w:hint="eastAsia" w:ascii="仿宋" w:hAnsi="仿宋" w:eastAsia="仿宋" w:cs="仿宋"/>
          <w:color w:val="000000"/>
          <w:sz w:val="24"/>
          <w:szCs w:val="24"/>
          <w:lang w:val="en-US" w:eastAsia="zh-CN"/>
        </w:rPr>
      </w:pPr>
    </w:p>
    <w:p w14:paraId="2BDAE21C">
      <w:pPr>
        <w:keepNext w:val="0"/>
        <w:keepLines w:val="0"/>
        <w:pageBreakBefore w:val="0"/>
        <w:widowControl w:val="0"/>
        <w:kinsoku/>
        <w:wordWrap/>
        <w:overflowPunct/>
        <w:topLinePunct w:val="0"/>
        <w:bidi w:val="0"/>
        <w:snapToGrid w:val="0"/>
        <w:spacing w:line="360" w:lineRule="auto"/>
        <w:ind w:right="10" w:firstLine="56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供应商法定</w:t>
      </w:r>
      <w:r>
        <w:rPr>
          <w:rFonts w:hint="eastAsia" w:ascii="仿宋" w:hAnsi="仿宋" w:eastAsia="仿宋" w:cs="仿宋"/>
          <w:color w:val="000000"/>
          <w:sz w:val="24"/>
          <w:szCs w:val="24"/>
        </w:rPr>
        <w:t>代表人签字</w:t>
      </w:r>
      <w:r>
        <w:rPr>
          <w:rFonts w:hint="eastAsia" w:ascii="仿宋" w:hAnsi="仿宋" w:eastAsia="仿宋" w:cs="仿宋"/>
          <w:color w:val="000000"/>
          <w:sz w:val="24"/>
          <w:szCs w:val="24"/>
          <w:lang w:eastAsia="zh-CN"/>
        </w:rPr>
        <w:t>或盖章</w:t>
      </w:r>
      <w:r>
        <w:rPr>
          <w:rFonts w:hint="eastAsia" w:ascii="仿宋" w:hAnsi="仿宋" w:eastAsia="仿宋" w:cs="仿宋"/>
          <w:color w:val="000000"/>
          <w:sz w:val="24"/>
          <w:szCs w:val="24"/>
        </w:rPr>
        <w:t xml:space="preserve">：                                          </w:t>
      </w:r>
    </w:p>
    <w:p w14:paraId="667D3B41">
      <w:pPr>
        <w:keepNext w:val="0"/>
        <w:keepLines w:val="0"/>
        <w:pageBreakBefore w:val="0"/>
        <w:widowControl w:val="0"/>
        <w:kinsoku/>
        <w:wordWrap/>
        <w:overflowPunct/>
        <w:topLinePunct w:val="0"/>
        <w:bidi w:val="0"/>
        <w:snapToGrid w:val="0"/>
        <w:spacing w:line="360" w:lineRule="auto"/>
        <w:ind w:right="10" w:firstLine="560"/>
        <w:textAlignment w:val="auto"/>
        <w:rPr>
          <w:rFonts w:hint="eastAsia" w:ascii="仿宋" w:hAnsi="仿宋" w:eastAsia="仿宋" w:cs="仿宋"/>
          <w:color w:val="000000"/>
          <w:sz w:val="24"/>
          <w:szCs w:val="24"/>
          <w:lang w:eastAsia="zh-CN"/>
        </w:rPr>
        <w:sectPr>
          <w:footerReference r:id="rId17" w:type="first"/>
          <w:headerReference r:id="rId15" w:type="default"/>
          <w:footerReference r:id="rId16" w:type="default"/>
          <w:pgSz w:w="11911" w:h="16838"/>
          <w:pgMar w:top="1440" w:right="1140" w:bottom="1440" w:left="1140" w:header="850" w:footer="1088" w:gutter="0"/>
          <w:pgNumType w:fmt="decimal"/>
          <w:cols w:space="0" w:num="1"/>
          <w:rtlGutter w:val="0"/>
          <w:docGrid w:linePitch="312" w:charSpace="0"/>
        </w:sectPr>
      </w:pP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公章</w:t>
      </w:r>
      <w:r>
        <w:rPr>
          <w:rFonts w:hint="eastAsia" w:ascii="仿宋" w:hAnsi="仿宋" w:eastAsia="仿宋" w:cs="仿宋"/>
          <w:color w:val="000000"/>
          <w:sz w:val="24"/>
          <w:szCs w:val="24"/>
          <w:lang w:eastAsia="zh-CN"/>
        </w:rPr>
        <w:t>：</w:t>
      </w:r>
    </w:p>
    <w:p w14:paraId="62324F52">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2、供应商认为有必要提供的声明及其他资料</w:t>
      </w:r>
    </w:p>
    <w:p w14:paraId="78A08373">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p>
    <w:p w14:paraId="48AE82DA">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p>
    <w:p w14:paraId="64763B0D">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特别注意：</w:t>
      </w:r>
    </w:p>
    <w:p w14:paraId="028C73B6">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请各供应商仔细阅读并理解磋商文件的相关说明，严格按照磋商文件要求制作响应文件，如未按要求提供相关材料及承诺，视为不响应竞争性磋商文件，做无效磋商处理，</w:t>
      </w:r>
    </w:p>
    <w:p w14:paraId="4AA888B5">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1、供应商对所附表格中要求的资料和询问应做出肯定的回答。</w:t>
      </w:r>
    </w:p>
    <w:p w14:paraId="1272414F">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2、响应文件的签字人应保证他所做的声明及对一切问题的回答的真实性和准确性。</w:t>
      </w:r>
    </w:p>
    <w:p w14:paraId="244FE8E2">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3、供应商提供的响应文件将由采购人使用，并据此进行评价和判断，确定供应商的能力。</w:t>
      </w:r>
    </w:p>
    <w:p w14:paraId="7107BC04">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4、供应商提交的文件将给予保密，但不退还。</w:t>
      </w:r>
    </w:p>
    <w:p w14:paraId="1736A812">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Chars="200"/>
        <w:jc w:val="left"/>
        <w:textAlignment w:val="auto"/>
        <w:rPr>
          <w:rFonts w:hint="eastAsia" w:ascii="仿宋" w:hAnsi="仿宋" w:eastAsia="仿宋" w:cs="仿宋"/>
          <w:b/>
          <w:bCs/>
          <w:w w:val="95"/>
          <w:kern w:val="0"/>
          <w:sz w:val="28"/>
          <w:szCs w:val="28"/>
          <w:lang w:val="en-US" w:eastAsia="zh-CN" w:bidi="ar-SA"/>
        </w:rPr>
      </w:pPr>
    </w:p>
    <w:p w14:paraId="3293CF52">
      <w:pPr>
        <w:spacing w:line="360" w:lineRule="auto"/>
        <w:rPr>
          <w:rFonts w:hint="eastAsia" w:ascii="仿宋" w:hAnsi="仿宋" w:eastAsia="仿宋" w:cs="仿宋"/>
        </w:rPr>
      </w:pPr>
    </w:p>
    <w:p w14:paraId="507B41BF">
      <w:pPr>
        <w:spacing w:line="360" w:lineRule="auto"/>
        <w:rPr>
          <w:rFonts w:hint="eastAsia" w:ascii="仿宋" w:hAnsi="仿宋" w:eastAsia="仿宋" w:cs="仿宋"/>
        </w:rPr>
      </w:pPr>
    </w:p>
    <w:p w14:paraId="62ECA9D2">
      <w:pPr>
        <w:spacing w:line="360" w:lineRule="auto"/>
        <w:rPr>
          <w:rFonts w:hint="eastAsia" w:ascii="仿宋" w:hAnsi="仿宋" w:eastAsia="仿宋" w:cs="仿宋"/>
        </w:rPr>
      </w:pPr>
    </w:p>
    <w:p w14:paraId="1624B646">
      <w:pPr>
        <w:spacing w:line="360" w:lineRule="auto"/>
        <w:rPr>
          <w:rFonts w:hint="eastAsia" w:ascii="仿宋" w:hAnsi="仿宋" w:eastAsia="仿宋" w:cs="仿宋"/>
        </w:rPr>
      </w:pPr>
    </w:p>
    <w:p w14:paraId="7DC53C62">
      <w:pPr>
        <w:spacing w:line="360" w:lineRule="auto"/>
        <w:rPr>
          <w:rFonts w:hint="eastAsia" w:ascii="仿宋" w:hAnsi="仿宋" w:eastAsia="仿宋" w:cs="仿宋"/>
        </w:rPr>
      </w:pPr>
    </w:p>
    <w:p w14:paraId="1F62BF54">
      <w:pPr>
        <w:spacing w:line="360" w:lineRule="auto"/>
        <w:rPr>
          <w:rFonts w:hint="eastAsia" w:ascii="仿宋" w:hAnsi="仿宋" w:eastAsia="仿宋" w:cs="仿宋"/>
        </w:rPr>
      </w:pPr>
    </w:p>
    <w:p w14:paraId="72FE987D">
      <w:pPr>
        <w:spacing w:line="360" w:lineRule="auto"/>
        <w:rPr>
          <w:rFonts w:hint="eastAsia" w:ascii="仿宋" w:hAnsi="仿宋" w:eastAsia="仿宋" w:cs="仿宋"/>
        </w:rPr>
      </w:pPr>
    </w:p>
    <w:p w14:paraId="29C4F32F">
      <w:pPr>
        <w:spacing w:line="360" w:lineRule="auto"/>
        <w:rPr>
          <w:rFonts w:hint="eastAsia" w:ascii="仿宋" w:hAnsi="仿宋" w:eastAsia="仿宋" w:cs="仿宋"/>
        </w:rPr>
      </w:pPr>
    </w:p>
    <w:p w14:paraId="57DD12DF">
      <w:pPr>
        <w:spacing w:line="360" w:lineRule="auto"/>
        <w:rPr>
          <w:rFonts w:hint="eastAsia" w:ascii="仿宋" w:hAnsi="仿宋" w:eastAsia="仿宋" w:cs="仿宋"/>
        </w:rPr>
      </w:pPr>
    </w:p>
    <w:p w14:paraId="56D387A9">
      <w:pPr>
        <w:pStyle w:val="9"/>
        <w:rPr>
          <w:rFonts w:hint="eastAsia" w:ascii="仿宋" w:hAnsi="仿宋" w:eastAsia="仿宋" w:cs="仿宋"/>
        </w:rPr>
      </w:pPr>
    </w:p>
    <w:p w14:paraId="14656A52">
      <w:pPr>
        <w:pStyle w:val="12"/>
        <w:rPr>
          <w:rFonts w:hint="eastAsia" w:ascii="仿宋" w:hAnsi="仿宋" w:eastAsia="仿宋" w:cs="仿宋"/>
        </w:rPr>
      </w:pPr>
    </w:p>
    <w:p w14:paraId="11AFD1BD">
      <w:pPr>
        <w:pStyle w:val="12"/>
        <w:rPr>
          <w:rFonts w:hint="eastAsia" w:ascii="仿宋" w:hAnsi="仿宋" w:eastAsia="仿宋" w:cs="仿宋"/>
        </w:rPr>
      </w:pPr>
    </w:p>
    <w:p w14:paraId="1AD2FA9C">
      <w:pPr>
        <w:pStyle w:val="12"/>
        <w:rPr>
          <w:rFonts w:hint="eastAsia" w:ascii="仿宋" w:hAnsi="仿宋" w:eastAsia="仿宋" w:cs="仿宋"/>
        </w:rPr>
      </w:pPr>
    </w:p>
    <w:p w14:paraId="3E8371C7">
      <w:pPr>
        <w:pStyle w:val="12"/>
        <w:rPr>
          <w:rFonts w:hint="eastAsia" w:ascii="仿宋" w:hAnsi="仿宋" w:eastAsia="仿宋" w:cs="仿宋"/>
        </w:rPr>
      </w:pPr>
    </w:p>
    <w:p w14:paraId="3BB56A10">
      <w:pPr>
        <w:spacing w:line="360" w:lineRule="auto"/>
        <w:rPr>
          <w:rFonts w:hint="eastAsia" w:ascii="仿宋" w:hAnsi="仿宋" w:eastAsia="仿宋" w:cs="仿宋"/>
        </w:rPr>
      </w:pPr>
    </w:p>
    <w:p w14:paraId="73402E26">
      <w:pPr>
        <w:spacing w:line="360" w:lineRule="auto"/>
        <w:rPr>
          <w:rFonts w:hint="eastAsia" w:ascii="仿宋" w:hAnsi="仿宋" w:eastAsia="仿宋" w:cs="仿宋"/>
        </w:rPr>
      </w:pPr>
    </w:p>
    <w:p w14:paraId="46A01993">
      <w:pPr>
        <w:rPr>
          <w:rFonts w:hint="eastAsia" w:ascii="仿宋" w:hAnsi="仿宋" w:eastAsia="仿宋" w:cs="仿宋"/>
          <w:b/>
          <w:sz w:val="28"/>
        </w:rPr>
      </w:pPr>
    </w:p>
    <w:sectPr>
      <w:headerReference r:id="rId19" w:type="first"/>
      <w:headerReference r:id="rId18" w:type="default"/>
      <w:pgSz w:w="11911" w:h="16838"/>
      <w:pgMar w:top="1440" w:right="1140" w:bottom="1440" w:left="1140" w:header="850" w:footer="1088"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16" w:usb3="00000000" w:csb0="6006009F" w:csb1="DFD7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42166">
    <w:pPr>
      <w:pStyle w:val="14"/>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1608CB">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91608CB">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F7800">
    <w:pPr>
      <w:pStyle w:val="14"/>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B8F3F1">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8B8F3F1">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4406E">
    <w:pPr>
      <w:pStyle w:val="14"/>
      <w:ind w:right="360"/>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3D499">
    <w:pPr>
      <w:pStyle w:val="14"/>
      <w:ind w:right="360"/>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8AD8E">
    <w:pPr>
      <w:pStyle w:val="9"/>
      <w:spacing w:line="14" w:lineRule="auto"/>
      <w:rPr>
        <w:sz w:val="20"/>
      </w:rPr>
    </w:pPr>
    <w:r>
      <w:rPr>
        <w:sz w:val="21"/>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E2F8A">
                          <w:pPr>
                            <w:pStyle w:val="1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44E2F8A">
                    <w:pPr>
                      <w:pStyle w:val="14"/>
                    </w:pPr>
                    <w:r>
                      <w:fldChar w:fldCharType="begin"/>
                    </w:r>
                    <w:r>
                      <w:instrText xml:space="preserve"> PAGE  \* MERGEFORMAT </w:instrText>
                    </w:r>
                    <w:r>
                      <w:fldChar w:fldCharType="separate"/>
                    </w:r>
                    <w:r>
                      <w:t>51</w:t>
                    </w:r>
                    <w:r>
                      <w:fldChar w:fldCharType="end"/>
                    </w:r>
                  </w:p>
                </w:txbxContent>
              </v:textbox>
            </v:shape>
          </w:pict>
        </mc:Fallback>
      </mc:AlternateContent>
    </w:r>
    <w:r>
      <w:drawing>
        <wp:anchor distT="0" distB="0" distL="114300" distR="114300" simplePos="0" relativeHeight="251663360" behindDoc="1" locked="0" layoutInCell="1" allowOverlap="1">
          <wp:simplePos x="0" y="0"/>
          <wp:positionH relativeFrom="page">
            <wp:posOffset>6846570</wp:posOffset>
          </wp:positionH>
          <wp:positionV relativeFrom="page">
            <wp:posOffset>10003155</wp:posOffset>
          </wp:positionV>
          <wp:extent cx="44450" cy="38100"/>
          <wp:effectExtent l="0" t="0" r="12700" b="0"/>
          <wp:wrapNone/>
          <wp:docPr id="2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4"/>
                  <pic:cNvPicPr>
                    <a:picLocks noChangeAspect="1"/>
                  </pic:cNvPicPr>
                </pic:nvPicPr>
                <pic:blipFill>
                  <a:blip r:embed="rId1"/>
                  <a:stretch>
                    <a:fillRect/>
                  </a:stretch>
                </pic:blipFill>
                <pic:spPr>
                  <a:xfrm>
                    <a:off x="0" y="0"/>
                    <a:ext cx="44450" cy="38100"/>
                  </a:xfrm>
                  <a:prstGeom prst="rect">
                    <a:avLst/>
                  </a:prstGeom>
                  <a:noFill/>
                  <a:ln>
                    <a:noFill/>
                  </a:ln>
                </pic:spPr>
              </pic:pic>
            </a:graphicData>
          </a:graphic>
        </wp:anchor>
      </w:drawing>
    </w:r>
    <w:r>
      <mc:AlternateContent>
        <mc:Choice Requires="wps">
          <w:drawing>
            <wp:anchor distT="0" distB="0" distL="114300" distR="114300" simplePos="0" relativeHeight="251664384" behindDoc="1" locked="0" layoutInCell="1" allowOverlap="1">
              <wp:simplePos x="0" y="0"/>
              <wp:positionH relativeFrom="page">
                <wp:posOffset>1011555</wp:posOffset>
              </wp:positionH>
              <wp:positionV relativeFrom="page">
                <wp:posOffset>9556115</wp:posOffset>
              </wp:positionV>
              <wp:extent cx="3835400" cy="177800"/>
              <wp:effectExtent l="0" t="0" r="0" b="0"/>
              <wp:wrapNone/>
              <wp:docPr id="46" name="文本框 46"/>
              <wp:cNvGraphicFramePr/>
              <a:graphic xmlns:a="http://schemas.openxmlformats.org/drawingml/2006/main">
                <a:graphicData uri="http://schemas.microsoft.com/office/word/2010/wordprocessingShape">
                  <wps:wsp>
                    <wps:cNvSpPr txBox="1">
                      <a:spLocks noChangeArrowheads="1"/>
                    </wps:cNvSpPr>
                    <wps:spPr bwMode="auto">
                      <a:xfrm>
                        <a:off x="0" y="0"/>
                        <a:ext cx="3835400" cy="177800"/>
                      </a:xfrm>
                      <a:prstGeom prst="rect">
                        <a:avLst/>
                      </a:prstGeom>
                      <a:noFill/>
                      <a:ln>
                        <a:noFill/>
                      </a:ln>
                      <a:effectLst/>
                    </wps:spPr>
                    <wps:txbx>
                      <w:txbxContent>
                        <w:p w14:paraId="1056DB83">
                          <w:pPr>
                            <w:pStyle w:val="9"/>
                            <w:spacing w:line="280" w:lineRule="exact"/>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79.65pt;margin-top:752.45pt;height:14pt;width:302pt;mso-position-horizontal-relative:page;mso-position-vertical-relative:page;z-index:-251652096;mso-width-relative:page;mso-height-relative:page;" filled="f" stroked="f" coordsize="21600,21600" o:gfxdata="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kyhOtkAAAANAQAADwAAAAAA&#10;AAABACAAAAAiAAAAZHJzL2Rvd25yZXYueG1sUEsBAhQAFAAAAAgAh07iQNqrpv8SAgAAFQQAAA4A&#10;AAAAAAAAAQAgAAAAKAEAAGRycy9lMm9Eb2MueG1sUEsFBgAAAAAGAAYAWQEAAKwFAAAAAA==&#10;">
              <v:fill on="f" focussize="0,0"/>
              <v:stroke on="f"/>
              <v:imagedata o:title=""/>
              <o:lock v:ext="edit" aspectratio="f"/>
              <v:textbox inset="0mm,0mm,0mm,0mm">
                <w:txbxContent>
                  <w:p w14:paraId="1056DB83">
                    <w:pPr>
                      <w:pStyle w:val="9"/>
                      <w:spacing w:line="280" w:lineRule="exact"/>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4972">
    <w:pPr>
      <w:pStyle w:val="9"/>
      <w:spacing w:line="14" w:lineRule="auto"/>
      <w:rPr>
        <w:sz w:val="20"/>
      </w:rPr>
    </w:pPr>
    <w:r>
      <w:rPr>
        <w:sz w:val="21"/>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8049A">
                          <w:pPr>
                            <w:pStyle w:val="1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058049A">
                    <w:pPr>
                      <w:pStyle w:val="14"/>
                    </w:pPr>
                    <w:r>
                      <w:fldChar w:fldCharType="begin"/>
                    </w:r>
                    <w:r>
                      <w:instrText xml:space="preserve"> PAGE  \* MERGEFORMAT </w:instrText>
                    </w:r>
                    <w:r>
                      <w:fldChar w:fldCharType="separate"/>
                    </w:r>
                    <w:r>
                      <w:t>68</w:t>
                    </w:r>
                    <w:r>
                      <w:fldChar w:fldCharType="end"/>
                    </w:r>
                  </w:p>
                </w:txbxContent>
              </v:textbox>
            </v:shape>
          </w:pict>
        </mc:Fallback>
      </mc:AlternateContent>
    </w:r>
    <w:r>
      <w:drawing>
        <wp:anchor distT="0" distB="0" distL="114300" distR="114300" simplePos="0" relativeHeight="251665408" behindDoc="1" locked="0" layoutInCell="1" allowOverlap="1">
          <wp:simplePos x="0" y="0"/>
          <wp:positionH relativeFrom="page">
            <wp:posOffset>6846570</wp:posOffset>
          </wp:positionH>
          <wp:positionV relativeFrom="page">
            <wp:posOffset>10003155</wp:posOffset>
          </wp:positionV>
          <wp:extent cx="44450" cy="38100"/>
          <wp:effectExtent l="0" t="0" r="12700" b="0"/>
          <wp:wrapNone/>
          <wp:docPr id="1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7"/>
                  <pic:cNvPicPr>
                    <a:picLocks noChangeAspect="1"/>
                  </pic:cNvPicPr>
                </pic:nvPicPr>
                <pic:blipFill>
                  <a:blip r:embed="rId1"/>
                  <a:stretch>
                    <a:fillRect/>
                  </a:stretch>
                </pic:blipFill>
                <pic:spPr>
                  <a:xfrm>
                    <a:off x="0" y="0"/>
                    <a:ext cx="44450" cy="38100"/>
                  </a:xfrm>
                  <a:prstGeom prst="rect">
                    <a:avLst/>
                  </a:prstGeom>
                  <a:noFill/>
                  <a:ln>
                    <a:noFill/>
                  </a:ln>
                </pic:spPr>
              </pic:pic>
            </a:graphicData>
          </a:graphic>
        </wp:anchor>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80CBC">
    <w:pPr>
      <w:pStyle w:val="9"/>
      <w:spacing w:line="14" w:lineRule="auto"/>
      <w:rPr>
        <w:sz w:val="20"/>
      </w:rPr>
    </w:pPr>
    <w:r>
      <w:rPr>
        <w:sz w:val="21"/>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0A404D">
                          <w:pPr>
                            <w:pStyle w:val="14"/>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40A404D">
                    <w:pPr>
                      <w:pStyle w:val="14"/>
                    </w:pPr>
                    <w:r>
                      <w:fldChar w:fldCharType="begin"/>
                    </w:r>
                    <w:r>
                      <w:instrText xml:space="preserve"> PAGE  \* MERGEFORMAT </w:instrText>
                    </w:r>
                    <w:r>
                      <w:fldChar w:fldCharType="separate"/>
                    </w:r>
                    <w:r>
                      <w:t>80</w:t>
                    </w:r>
                    <w:r>
                      <w:fldChar w:fldCharType="end"/>
                    </w:r>
                  </w:p>
                </w:txbxContent>
              </v:textbox>
            </v:shape>
          </w:pict>
        </mc:Fallback>
      </mc:AlternateContent>
    </w:r>
    <w:r>
      <w:drawing>
        <wp:anchor distT="0" distB="0" distL="114300" distR="114300" simplePos="0" relativeHeight="251669504" behindDoc="1" locked="0" layoutInCell="1" allowOverlap="1">
          <wp:simplePos x="0" y="0"/>
          <wp:positionH relativeFrom="page">
            <wp:posOffset>701040</wp:posOffset>
          </wp:positionH>
          <wp:positionV relativeFrom="page">
            <wp:posOffset>10003155</wp:posOffset>
          </wp:positionV>
          <wp:extent cx="73025" cy="38100"/>
          <wp:effectExtent l="0" t="0" r="3175" b="0"/>
          <wp:wrapNone/>
          <wp:docPr id="2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2"/>
                  <pic:cNvPicPr>
                    <a:picLocks noChangeAspect="1"/>
                  </pic:cNvPicPr>
                </pic:nvPicPr>
                <pic:blipFill>
                  <a:blip r:embed="rId1"/>
                  <a:stretch>
                    <a:fillRect/>
                  </a:stretch>
                </pic:blipFill>
                <pic:spPr>
                  <a:xfrm>
                    <a:off x="0" y="0"/>
                    <a:ext cx="73025" cy="38100"/>
                  </a:xfrm>
                  <a:prstGeom prst="rect">
                    <a:avLst/>
                  </a:prstGeom>
                  <a:noFill/>
                  <a:ln>
                    <a:noFill/>
                  </a:ln>
                </pic:spPr>
              </pic:pic>
            </a:graphicData>
          </a:graphic>
        </wp:anchor>
      </w:drawing>
    </w:r>
    <w:r>
      <w:drawing>
        <wp:anchor distT="0" distB="0" distL="114300" distR="114300" simplePos="0" relativeHeight="251670528" behindDoc="1" locked="0" layoutInCell="1" allowOverlap="1">
          <wp:simplePos x="0" y="0"/>
          <wp:positionH relativeFrom="page">
            <wp:posOffset>6846570</wp:posOffset>
          </wp:positionH>
          <wp:positionV relativeFrom="page">
            <wp:posOffset>10003155</wp:posOffset>
          </wp:positionV>
          <wp:extent cx="44450" cy="38100"/>
          <wp:effectExtent l="0" t="0" r="12700" b="0"/>
          <wp:wrapNone/>
          <wp:docPr id="2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3"/>
                  <pic:cNvPicPr>
                    <a:picLocks noChangeAspect="1"/>
                  </pic:cNvPicPr>
                </pic:nvPicPr>
                <pic:blipFill>
                  <a:blip r:embed="rId2"/>
                  <a:stretch>
                    <a:fillRect/>
                  </a:stretch>
                </pic:blipFill>
                <pic:spPr>
                  <a:xfrm>
                    <a:off x="0" y="0"/>
                    <a:ext cx="44450" cy="38100"/>
                  </a:xfrm>
                  <a:prstGeom prst="rect">
                    <a:avLst/>
                  </a:prstGeom>
                  <a:noFill/>
                  <a:ln>
                    <a:noFill/>
                  </a:ln>
                </pic:spPr>
              </pic:pic>
            </a:graphicData>
          </a:graphic>
        </wp:anchor>
      </w:drawing>
    </w:r>
    <w:r>
      <mc:AlternateContent>
        <mc:Choice Requires="wps">
          <w:drawing>
            <wp:anchor distT="0" distB="0" distL="114300" distR="114300" simplePos="0" relativeHeight="251671552" behindDoc="1" locked="0" layoutInCell="1" allowOverlap="1">
              <wp:simplePos x="0" y="0"/>
              <wp:positionH relativeFrom="page">
                <wp:posOffset>1011555</wp:posOffset>
              </wp:positionH>
              <wp:positionV relativeFrom="page">
                <wp:posOffset>9556115</wp:posOffset>
              </wp:positionV>
              <wp:extent cx="3835400" cy="177800"/>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3835400" cy="177800"/>
                      </a:xfrm>
                      <a:prstGeom prst="rect">
                        <a:avLst/>
                      </a:prstGeom>
                      <a:noFill/>
                      <a:ln>
                        <a:noFill/>
                      </a:ln>
                      <a:effectLst/>
                    </wps:spPr>
                    <wps:txbx>
                      <w:txbxContent>
                        <w:p w14:paraId="02B4BAB7">
                          <w:pPr>
                            <w:pStyle w:val="9"/>
                            <w:spacing w:line="280" w:lineRule="exact"/>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79.65pt;margin-top:752.45pt;height:14pt;width:302pt;mso-position-horizontal-relative:page;mso-position-vertical-relative:page;z-index:-251644928;mso-width-relative:page;mso-height-relative:page;" filled="f" stroked="f" coordsize="21600,21600" o:gfxdata="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BJMoTrZAAAADQEAAA8AAAAAAAAA&#10;AQAgAAAAIgAAAGRycy9kb3ducmV2LnhtbFBLAQIUABQAAAAIAIdO4kDSfvI6EAIAABMEAAAOAAAA&#10;AAAAAAEAIAAAACgBAABkcnMvZTJvRG9jLnhtbFBLBQYAAAAABgAGAFkBAACqBQAAAAA=&#10;">
              <v:fill on="f" focussize="0,0"/>
              <v:stroke on="f"/>
              <v:imagedata o:title=""/>
              <o:lock v:ext="edit" aspectratio="f"/>
              <v:textbox inset="0mm,0mm,0mm,0mm">
                <w:txbxContent>
                  <w:p w14:paraId="02B4BAB7">
                    <w:pPr>
                      <w:pStyle w:val="9"/>
                      <w:spacing w:line="280" w:lineRule="exact"/>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68EF7">
    <w:pPr>
      <w:pStyle w:val="14"/>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751FAB">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E751FAB">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AE379">
    <w:pPr>
      <w:snapToGrid w:val="0"/>
    </w:pPr>
    <w:r>
      <w:rPr>
        <w:sz w:val="21"/>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53393C">
                          <w:pPr>
                            <w:pStyle w:val="14"/>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A53393C">
                    <w:pPr>
                      <w:pStyle w:val="14"/>
                    </w:pPr>
                    <w:r>
                      <w:fldChar w:fldCharType="begin"/>
                    </w:r>
                    <w:r>
                      <w:instrText xml:space="preserve"> PAGE  \* MERGEFORMAT </w:instrText>
                    </w:r>
                    <w:r>
                      <w:fldChar w:fldCharType="separate"/>
                    </w:r>
                    <w:r>
                      <w:t>81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2D5FD">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C90F5">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3A9CA">
    <w:pPr>
      <w:pStyle w:val="9"/>
      <w:spacing w:line="14" w:lineRule="auto"/>
      <w:rPr>
        <w:sz w:val="20"/>
      </w:rPr>
    </w:pPr>
    <w:r>
      <w:drawing>
        <wp:anchor distT="0" distB="0" distL="114300" distR="114300" simplePos="0" relativeHeight="251659264" behindDoc="1" locked="0" layoutInCell="1" allowOverlap="1">
          <wp:simplePos x="0" y="0"/>
          <wp:positionH relativeFrom="page">
            <wp:posOffset>6846570</wp:posOffset>
          </wp:positionH>
          <wp:positionV relativeFrom="page">
            <wp:posOffset>540385</wp:posOffset>
          </wp:positionV>
          <wp:extent cx="44450" cy="38100"/>
          <wp:effectExtent l="0" t="0" r="12700" b="0"/>
          <wp:wrapNone/>
          <wp:docPr id="2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png"/>
                  <pic:cNvPicPr>
                    <a:picLocks noChangeAspect="1"/>
                  </pic:cNvPicPr>
                </pic:nvPicPr>
                <pic:blipFill>
                  <a:blip r:embed="rId1"/>
                  <a:stretch>
                    <a:fillRect/>
                  </a:stretch>
                </pic:blipFill>
                <pic:spPr>
                  <a:xfrm>
                    <a:off x="0" y="0"/>
                    <a:ext cx="44450" cy="38100"/>
                  </a:xfrm>
                  <a:prstGeom prst="rect">
                    <a:avLst/>
                  </a:prstGeom>
                  <a:noFill/>
                  <a:ln>
                    <a:noFill/>
                  </a:ln>
                </pic:spPr>
              </pic:pic>
            </a:graphicData>
          </a:graphic>
        </wp:anchor>
      </w:drawing>
    </w:r>
    <w:r>
      <mc:AlternateContent>
        <mc:Choice Requires="wps">
          <w:drawing>
            <wp:anchor distT="0" distB="0" distL="114300" distR="114300" simplePos="0" relativeHeight="251660288" behindDoc="1" locked="0" layoutInCell="1" allowOverlap="1">
              <wp:simplePos x="0" y="0"/>
              <wp:positionH relativeFrom="page">
                <wp:posOffset>706755</wp:posOffset>
              </wp:positionH>
              <wp:positionV relativeFrom="page">
                <wp:posOffset>584835</wp:posOffset>
              </wp:positionV>
              <wp:extent cx="2082800" cy="174625"/>
              <wp:effectExtent l="0" t="0" r="0" b="0"/>
              <wp:wrapNone/>
              <wp:docPr id="48" name="文本框 48"/>
              <wp:cNvGraphicFramePr/>
              <a:graphic xmlns:a="http://schemas.openxmlformats.org/drawingml/2006/main">
                <a:graphicData uri="http://schemas.microsoft.com/office/word/2010/wordprocessingShape">
                  <wps:wsp>
                    <wps:cNvSpPr txBox="1">
                      <a:spLocks noChangeArrowheads="1"/>
                    </wps:cNvSpPr>
                    <wps:spPr bwMode="auto">
                      <a:xfrm>
                        <a:off x="0" y="0"/>
                        <a:ext cx="2082800" cy="174625"/>
                      </a:xfrm>
                      <a:prstGeom prst="rect">
                        <a:avLst/>
                      </a:prstGeom>
                      <a:noFill/>
                      <a:ln>
                        <a:noFill/>
                      </a:ln>
                      <a:effectLst/>
                    </wps:spPr>
                    <wps:txbx>
                      <w:txbxContent>
                        <w:p w14:paraId="12AAA53C">
                          <w:pPr>
                            <w:spacing w:line="274" w:lineRule="exact"/>
                            <w:rPr>
                              <w:rFonts w:ascii="华文楷体" w:eastAsia="华文楷体"/>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55.65pt;margin-top:46.05pt;height:13.75pt;width:164pt;mso-position-horizontal-relative:page;mso-position-vertical-relative:page;z-index:-251656192;mso-width-relative:page;mso-height-relative:page;" filled="f" stroked="f" coordsize="21600,21600" o:gfxdata="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kq3mL1wAAAAoBAAAPAAAAAAAA&#10;AAEAIAAAACIAAABkcnMvZG93bnJldi54bWxQSwECFAAUAAAACACHTuJAsi1SxRMCAAAVBAAADgAA&#10;AAAAAAABACAAAAAmAQAAZHJzL2Uyb0RvYy54bWxQSwUGAAAAAAYABgBZAQAAqwUAAAAA&#10;">
              <v:fill on="f" focussize="0,0"/>
              <v:stroke on="f"/>
              <v:imagedata o:title=""/>
              <o:lock v:ext="edit" aspectratio="f"/>
              <v:textbox inset="0mm,0mm,0mm,0mm">
                <w:txbxContent>
                  <w:p w14:paraId="12AAA53C">
                    <w:pPr>
                      <w:spacing w:line="274" w:lineRule="exact"/>
                      <w:rPr>
                        <w:rFonts w:ascii="华文楷体" w:eastAsia="华文楷体"/>
                        <w:sz w:val="18"/>
                      </w:rPr>
                    </w:pPr>
                  </w:p>
                </w:txbxContent>
              </v:textbox>
            </v:shap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5396865</wp:posOffset>
              </wp:positionH>
              <wp:positionV relativeFrom="page">
                <wp:posOffset>584835</wp:posOffset>
              </wp:positionV>
              <wp:extent cx="1431290" cy="174625"/>
              <wp:effectExtent l="0" t="0" r="0" b="0"/>
              <wp:wrapNone/>
              <wp:docPr id="47" name="文本框 47"/>
              <wp:cNvGraphicFramePr/>
              <a:graphic xmlns:a="http://schemas.openxmlformats.org/drawingml/2006/main">
                <a:graphicData uri="http://schemas.microsoft.com/office/word/2010/wordprocessingShape">
                  <wps:wsp>
                    <wps:cNvSpPr txBox="1">
                      <a:spLocks noChangeArrowheads="1"/>
                    </wps:cNvSpPr>
                    <wps:spPr bwMode="auto">
                      <a:xfrm>
                        <a:off x="0" y="0"/>
                        <a:ext cx="1431290" cy="174625"/>
                      </a:xfrm>
                      <a:prstGeom prst="rect">
                        <a:avLst/>
                      </a:prstGeom>
                      <a:noFill/>
                      <a:ln>
                        <a:noFill/>
                      </a:ln>
                      <a:effectLst/>
                    </wps:spPr>
                    <wps:txbx>
                      <w:txbxContent>
                        <w:p w14:paraId="599F0A83">
                          <w:pPr>
                            <w:spacing w:line="274" w:lineRule="exact"/>
                            <w:rPr>
                              <w:rFonts w:ascii="华文楷体" w:eastAsia="华文楷体"/>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424.95pt;margin-top:46.05pt;height:13.75pt;width:112.7pt;mso-position-horizontal-relative:page;mso-position-vertical-relative:page;z-index:-251655168;mso-width-relative:page;mso-height-relative:page;" filled="f" stroked="f" coordsize="21600,21600" o:gfxdata="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u/hub2gAAAAsBAAAPAAAA&#10;AAAAAAEAIAAAACIAAABkcnMvZG93bnJldi54bWxQSwECFAAUAAAACACHTuJAnkBUchMCAAAVBAAA&#10;DgAAAAAAAAABACAAAAApAQAAZHJzL2Uyb0RvYy54bWxQSwUGAAAAAAYABgBZAQAArgUAAAAA&#10;">
              <v:fill on="f" focussize="0,0"/>
              <v:stroke on="f"/>
              <v:imagedata o:title=""/>
              <o:lock v:ext="edit" aspectratio="f"/>
              <v:textbox inset="0mm,0mm,0mm,0mm">
                <w:txbxContent>
                  <w:p w14:paraId="599F0A83">
                    <w:pPr>
                      <w:spacing w:line="274" w:lineRule="exact"/>
                      <w:rPr>
                        <w:rFonts w:ascii="华文楷体" w:eastAsia="华文楷体"/>
                        <w:sz w:val="18"/>
                      </w:rPr>
                    </w:pP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28D50">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D74DE">
    <w:pPr>
      <w:pStyle w:val="9"/>
      <w:spacing w:line="14" w:lineRule="auto"/>
      <w:rPr>
        <w:sz w:val="20"/>
      </w:rPr>
    </w:pPr>
    <w:r>
      <w:drawing>
        <wp:anchor distT="0" distB="0" distL="114300" distR="114300" simplePos="0" relativeHeight="251666432" behindDoc="1" locked="0" layoutInCell="1" allowOverlap="1">
          <wp:simplePos x="0" y="0"/>
          <wp:positionH relativeFrom="page">
            <wp:posOffset>6846570</wp:posOffset>
          </wp:positionH>
          <wp:positionV relativeFrom="page">
            <wp:posOffset>540385</wp:posOffset>
          </wp:positionV>
          <wp:extent cx="44450" cy="38100"/>
          <wp:effectExtent l="0" t="0" r="12700" b="0"/>
          <wp:wrapNone/>
          <wp:docPr id="2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8"/>
                  <pic:cNvPicPr>
                    <a:picLocks noChangeAspect="1"/>
                  </pic:cNvPicPr>
                </pic:nvPicPr>
                <pic:blipFill>
                  <a:blip r:embed="rId1"/>
                  <a:stretch>
                    <a:fillRect/>
                  </a:stretch>
                </pic:blipFill>
                <pic:spPr>
                  <a:xfrm>
                    <a:off x="0" y="0"/>
                    <a:ext cx="44450" cy="38100"/>
                  </a:xfrm>
                  <a:prstGeom prst="rect">
                    <a:avLst/>
                  </a:prstGeom>
                  <a:noFill/>
                  <a:ln>
                    <a:noFill/>
                  </a:ln>
                </pic:spPr>
              </pic:pic>
            </a:graphicData>
          </a:graphic>
        </wp:anchor>
      </w:drawing>
    </w:r>
    <w:r>
      <mc:AlternateContent>
        <mc:Choice Requires="wps">
          <w:drawing>
            <wp:anchor distT="0" distB="0" distL="114300" distR="114300" simplePos="0" relativeHeight="251667456" behindDoc="1" locked="0" layoutInCell="1" allowOverlap="1">
              <wp:simplePos x="0" y="0"/>
              <wp:positionH relativeFrom="page">
                <wp:posOffset>706755</wp:posOffset>
              </wp:positionH>
              <wp:positionV relativeFrom="page">
                <wp:posOffset>584835</wp:posOffset>
              </wp:positionV>
              <wp:extent cx="2082800" cy="174625"/>
              <wp:effectExtent l="0" t="0" r="0" b="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082800" cy="174625"/>
                      </a:xfrm>
                      <a:prstGeom prst="rect">
                        <a:avLst/>
                      </a:prstGeom>
                      <a:noFill/>
                      <a:ln>
                        <a:noFill/>
                      </a:ln>
                      <a:effectLst/>
                    </wps:spPr>
                    <wps:txbx>
                      <w:txbxContent>
                        <w:p w14:paraId="2B5795EB">
                          <w:pPr>
                            <w:spacing w:line="274" w:lineRule="exact"/>
                            <w:rPr>
                              <w:rFonts w:ascii="华文楷体" w:eastAsia="华文楷体"/>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55.65pt;margin-top:46.05pt;height:13.75pt;width:164pt;mso-position-horizontal-relative:page;mso-position-vertical-relative:page;z-index:-251649024;mso-width-relative:page;mso-height-relative:page;" filled="f" stroked="f" coordsize="21600,21600" o:gfxdata="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SreYvXAAAACgEAAA8AAAAAAAAA&#10;AQAgAAAAIgAAAGRycy9kb3ducmV2LnhtbFBLAQIUABQAAAAIAIdO4kCHvfidEgIAABMEAAAOAAAA&#10;AAAAAAEAIAAAACYBAABkcnMvZTJvRG9jLnhtbFBLBQYAAAAABgAGAFkBAACqBQAAAAA=&#10;">
              <v:fill on="f" focussize="0,0"/>
              <v:stroke on="f"/>
              <v:imagedata o:title=""/>
              <o:lock v:ext="edit" aspectratio="f"/>
              <v:textbox inset="0mm,0mm,0mm,0mm">
                <w:txbxContent>
                  <w:p w14:paraId="2B5795EB">
                    <w:pPr>
                      <w:spacing w:line="274" w:lineRule="exact"/>
                      <w:rPr>
                        <w:rFonts w:ascii="华文楷体" w:eastAsia="华文楷体"/>
                        <w:sz w:val="18"/>
                      </w:rPr>
                    </w:pPr>
                  </w:p>
                </w:txbxContent>
              </v:textbox>
            </v:shape>
          </w:pict>
        </mc:Fallback>
      </mc:AlternateContent>
    </w:r>
    <w:r>
      <mc:AlternateContent>
        <mc:Choice Requires="wps">
          <w:drawing>
            <wp:anchor distT="0" distB="0" distL="114300" distR="114300" simplePos="0" relativeHeight="251668480" behindDoc="1" locked="0" layoutInCell="1" allowOverlap="1">
              <wp:simplePos x="0" y="0"/>
              <wp:positionH relativeFrom="page">
                <wp:posOffset>5396865</wp:posOffset>
              </wp:positionH>
              <wp:positionV relativeFrom="page">
                <wp:posOffset>584835</wp:posOffset>
              </wp:positionV>
              <wp:extent cx="1431290" cy="174625"/>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1431290" cy="174625"/>
                      </a:xfrm>
                      <a:prstGeom prst="rect">
                        <a:avLst/>
                      </a:prstGeom>
                      <a:noFill/>
                      <a:ln>
                        <a:noFill/>
                      </a:ln>
                      <a:effectLst/>
                    </wps:spPr>
                    <wps:txbx>
                      <w:txbxContent>
                        <w:p w14:paraId="59656238">
                          <w:pPr>
                            <w:spacing w:line="274" w:lineRule="exact"/>
                            <w:rPr>
                              <w:rFonts w:ascii="华文楷体" w:eastAsia="华文楷体"/>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424.95pt;margin-top:46.05pt;height:13.75pt;width:112.7pt;mso-position-horizontal-relative:page;mso-position-vertical-relative:page;z-index:-251648000;mso-width-relative:page;mso-height-relative:page;" filled="f" stroked="f" coordsize="21600,21600" o:gfxdata="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G7+G5vaAAAACwEAAA8AAAAA&#10;AAAAAQAgAAAAIgAAAGRycy9kb3ducmV2LnhtbFBLAQIUABQAAAAIAIdO4kAF+xgdEgIAABMEAAAO&#10;AAAAAAAAAAEAIAAAACkBAABkcnMvZTJvRG9jLnhtbFBLBQYAAAAABgAGAFkBAACtBQAAAAA=&#10;">
              <v:fill on="f" focussize="0,0"/>
              <v:stroke on="f"/>
              <v:imagedata o:title=""/>
              <o:lock v:ext="edit" aspectratio="f"/>
              <v:textbox inset="0mm,0mm,0mm,0mm">
                <w:txbxContent>
                  <w:p w14:paraId="59656238">
                    <w:pPr>
                      <w:spacing w:line="274" w:lineRule="exact"/>
                      <w:rPr>
                        <w:rFonts w:ascii="华文楷体" w:eastAsia="华文楷体"/>
                        <w:sz w:val="18"/>
                      </w:rPr>
                    </w:pP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1003F">
    <w:pPr>
      <w:pStyle w:val="15"/>
      <w:pBdr>
        <w:bottom w:val="none" w:color="auto" w:sz="0" w:space="1"/>
      </w:pBdr>
      <w:jc w:val="righ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D5711">
    <w:pPr>
      <w:pStyle w:val="1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458D4">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A4FE3E"/>
    <w:multiLevelType w:val="singleLevel"/>
    <w:tmpl w:val="A8A4FE3E"/>
    <w:lvl w:ilvl="0" w:tentative="0">
      <w:start w:val="1"/>
      <w:numFmt w:val="chineseCounting"/>
      <w:suff w:val="nothing"/>
      <w:lvlText w:val="（%1）"/>
      <w:lvlJc w:val="left"/>
      <w:rPr>
        <w:rFonts w:hint="eastAsia"/>
      </w:rPr>
    </w:lvl>
  </w:abstractNum>
  <w:abstractNum w:abstractNumId="1">
    <w:nsid w:val="00000002"/>
    <w:multiLevelType w:val="singleLevel"/>
    <w:tmpl w:val="00000002"/>
    <w:lvl w:ilvl="0" w:tentative="0">
      <w:start w:val="1"/>
      <w:numFmt w:val="upperLetter"/>
      <w:pStyle w:val="4"/>
      <w:lvlText w:val="%1."/>
      <w:lvlJc w:val="left"/>
      <w:pPr>
        <w:tabs>
          <w:tab w:val="left" w:pos="330"/>
        </w:tabs>
        <w:ind w:left="330" w:hanging="330"/>
      </w:pPr>
    </w:lvl>
  </w:abstractNum>
  <w:abstractNum w:abstractNumId="2">
    <w:nsid w:val="0053208E"/>
    <w:multiLevelType w:val="multilevel"/>
    <w:tmpl w:val="0053208E"/>
    <w:lvl w:ilvl="0" w:tentative="0">
      <w:start w:val="1"/>
      <w:numFmt w:val="upperLetter"/>
      <w:pStyle w:val="5"/>
      <w:lvlText w:val="%1."/>
      <w:lvlJc w:val="left"/>
      <w:pPr>
        <w:tabs>
          <w:tab w:val="left" w:pos="468"/>
        </w:tabs>
        <w:ind w:left="468" w:hanging="468"/>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360"/>
        </w:tabs>
        <w:ind w:left="3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42C5E60"/>
    <w:multiLevelType w:val="singleLevel"/>
    <w:tmpl w:val="242C5E60"/>
    <w:lvl w:ilvl="0" w:tentative="0">
      <w:start w:val="8"/>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dit="readOnly" w:enforcement="1" w:cryptProviderType="rsaFull" w:cryptAlgorithmClass="hash" w:cryptAlgorithmType="typeAny" w:cryptAlgorithmSid="4" w:cryptSpinCount="0" w:hash="588vAizPChVsWzuZSt8JKbg1MHU=" w:salt="fH+aalZhEaRfbQ4RqerdOQ=="/>
  <w:defaultTabStop w:val="420"/>
  <w:drawingGridHorizontalSpacing w:val="210"/>
  <w:drawingGridVerticalSpacing w:val="99999990"/>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dkZDdiODk5YmY4ZGI2ZTliZWMzZTAzZTU2MWVmODEifQ=="/>
  </w:docVars>
  <w:rsids>
    <w:rsidRoot w:val="00E74A13"/>
    <w:rsid w:val="003E0E68"/>
    <w:rsid w:val="00596A5F"/>
    <w:rsid w:val="007131BB"/>
    <w:rsid w:val="007F0D3F"/>
    <w:rsid w:val="00B00776"/>
    <w:rsid w:val="00C573C7"/>
    <w:rsid w:val="00D70859"/>
    <w:rsid w:val="00D9012D"/>
    <w:rsid w:val="00E74A13"/>
    <w:rsid w:val="019A6DDA"/>
    <w:rsid w:val="01CC3E6F"/>
    <w:rsid w:val="031E451D"/>
    <w:rsid w:val="03265180"/>
    <w:rsid w:val="050D470B"/>
    <w:rsid w:val="051C4A8C"/>
    <w:rsid w:val="062B1CFE"/>
    <w:rsid w:val="06304C93"/>
    <w:rsid w:val="07951FE7"/>
    <w:rsid w:val="08430582"/>
    <w:rsid w:val="08774BDA"/>
    <w:rsid w:val="088F71B4"/>
    <w:rsid w:val="0A324BF0"/>
    <w:rsid w:val="0ACB4F8A"/>
    <w:rsid w:val="0B6149B5"/>
    <w:rsid w:val="0BF978D5"/>
    <w:rsid w:val="0C1864E7"/>
    <w:rsid w:val="0C436DA2"/>
    <w:rsid w:val="0CFA522B"/>
    <w:rsid w:val="0D042A38"/>
    <w:rsid w:val="0E7E7932"/>
    <w:rsid w:val="0FC24482"/>
    <w:rsid w:val="10501A8E"/>
    <w:rsid w:val="124B69B1"/>
    <w:rsid w:val="12676B1C"/>
    <w:rsid w:val="128E0F2A"/>
    <w:rsid w:val="13086650"/>
    <w:rsid w:val="131E2317"/>
    <w:rsid w:val="13F50CB0"/>
    <w:rsid w:val="141D2312"/>
    <w:rsid w:val="15612E9D"/>
    <w:rsid w:val="15AE7BE7"/>
    <w:rsid w:val="16761C0B"/>
    <w:rsid w:val="16CD208A"/>
    <w:rsid w:val="17F92416"/>
    <w:rsid w:val="17FC15A6"/>
    <w:rsid w:val="18100480"/>
    <w:rsid w:val="18DC65B5"/>
    <w:rsid w:val="19324427"/>
    <w:rsid w:val="19371A3D"/>
    <w:rsid w:val="1AE602DC"/>
    <w:rsid w:val="1B0B3C0E"/>
    <w:rsid w:val="1C297D63"/>
    <w:rsid w:val="1CFD2F9D"/>
    <w:rsid w:val="1D0B1216"/>
    <w:rsid w:val="1D964CD3"/>
    <w:rsid w:val="1DB47B00"/>
    <w:rsid w:val="1EC45B21"/>
    <w:rsid w:val="20656E27"/>
    <w:rsid w:val="20CC6F0F"/>
    <w:rsid w:val="20CC7DDC"/>
    <w:rsid w:val="21601A4E"/>
    <w:rsid w:val="21830261"/>
    <w:rsid w:val="22244B28"/>
    <w:rsid w:val="22576CAC"/>
    <w:rsid w:val="22716E90"/>
    <w:rsid w:val="22845011"/>
    <w:rsid w:val="22AB7EB5"/>
    <w:rsid w:val="23576EF4"/>
    <w:rsid w:val="23E97DD8"/>
    <w:rsid w:val="240A4E83"/>
    <w:rsid w:val="24C41239"/>
    <w:rsid w:val="24C9636D"/>
    <w:rsid w:val="24D5148C"/>
    <w:rsid w:val="253024AD"/>
    <w:rsid w:val="25F85588"/>
    <w:rsid w:val="27286E69"/>
    <w:rsid w:val="276A001E"/>
    <w:rsid w:val="27BD7C90"/>
    <w:rsid w:val="28101DD7"/>
    <w:rsid w:val="283C5561"/>
    <w:rsid w:val="289B3D96"/>
    <w:rsid w:val="28AB00FE"/>
    <w:rsid w:val="28B879F7"/>
    <w:rsid w:val="2907142C"/>
    <w:rsid w:val="29183639"/>
    <w:rsid w:val="2973261D"/>
    <w:rsid w:val="29AE7AF9"/>
    <w:rsid w:val="29CF181E"/>
    <w:rsid w:val="2B632B65"/>
    <w:rsid w:val="2B9B38C6"/>
    <w:rsid w:val="2BBE4084"/>
    <w:rsid w:val="2D4D226C"/>
    <w:rsid w:val="2D607AB3"/>
    <w:rsid w:val="2DA01E4F"/>
    <w:rsid w:val="2FA31782"/>
    <w:rsid w:val="3041586B"/>
    <w:rsid w:val="314D6F7A"/>
    <w:rsid w:val="317038E6"/>
    <w:rsid w:val="31E2086A"/>
    <w:rsid w:val="31FD7870"/>
    <w:rsid w:val="331C6AE0"/>
    <w:rsid w:val="33DB6B53"/>
    <w:rsid w:val="34B34C66"/>
    <w:rsid w:val="360D479A"/>
    <w:rsid w:val="364D77DE"/>
    <w:rsid w:val="38536B21"/>
    <w:rsid w:val="385F449D"/>
    <w:rsid w:val="391B05DB"/>
    <w:rsid w:val="3ABE56C2"/>
    <w:rsid w:val="3B0A4DAB"/>
    <w:rsid w:val="3B6F738F"/>
    <w:rsid w:val="3C355E58"/>
    <w:rsid w:val="3CEA3F3E"/>
    <w:rsid w:val="3D7D6EF6"/>
    <w:rsid w:val="3DA602E4"/>
    <w:rsid w:val="3E5B2B00"/>
    <w:rsid w:val="3F650B29"/>
    <w:rsid w:val="3F6525B0"/>
    <w:rsid w:val="3FF91CB6"/>
    <w:rsid w:val="40C5233E"/>
    <w:rsid w:val="41452699"/>
    <w:rsid w:val="42001A44"/>
    <w:rsid w:val="44A1052F"/>
    <w:rsid w:val="44A96A63"/>
    <w:rsid w:val="44E623E5"/>
    <w:rsid w:val="455C6B0D"/>
    <w:rsid w:val="462C02CC"/>
    <w:rsid w:val="46E53D45"/>
    <w:rsid w:val="4812652E"/>
    <w:rsid w:val="483B0352"/>
    <w:rsid w:val="484226D7"/>
    <w:rsid w:val="48735D3E"/>
    <w:rsid w:val="49ED4E6D"/>
    <w:rsid w:val="4A374C96"/>
    <w:rsid w:val="4A764942"/>
    <w:rsid w:val="4AC76815"/>
    <w:rsid w:val="4AC9433B"/>
    <w:rsid w:val="4C307D5C"/>
    <w:rsid w:val="4C481290"/>
    <w:rsid w:val="4C5E75E1"/>
    <w:rsid w:val="4CC80356"/>
    <w:rsid w:val="4CEC2563"/>
    <w:rsid w:val="4D5B273C"/>
    <w:rsid w:val="4DB12E65"/>
    <w:rsid w:val="4DC81F0C"/>
    <w:rsid w:val="4FBC5F0F"/>
    <w:rsid w:val="5151508A"/>
    <w:rsid w:val="517321A0"/>
    <w:rsid w:val="51746C3D"/>
    <w:rsid w:val="51A96C75"/>
    <w:rsid w:val="51AB479B"/>
    <w:rsid w:val="5354676C"/>
    <w:rsid w:val="535C62C9"/>
    <w:rsid w:val="54233F54"/>
    <w:rsid w:val="54A20958"/>
    <w:rsid w:val="556D43E3"/>
    <w:rsid w:val="5741772B"/>
    <w:rsid w:val="574772B7"/>
    <w:rsid w:val="58CC5A31"/>
    <w:rsid w:val="59D32AE1"/>
    <w:rsid w:val="5A110BE4"/>
    <w:rsid w:val="5AA93ED3"/>
    <w:rsid w:val="5ACC20D7"/>
    <w:rsid w:val="5BA06E2C"/>
    <w:rsid w:val="5BD01CC8"/>
    <w:rsid w:val="5C551101"/>
    <w:rsid w:val="5C5619C5"/>
    <w:rsid w:val="5C6118BB"/>
    <w:rsid w:val="5E606C3C"/>
    <w:rsid w:val="5E8A7865"/>
    <w:rsid w:val="5E930A90"/>
    <w:rsid w:val="5EAC3900"/>
    <w:rsid w:val="60784F38"/>
    <w:rsid w:val="62755D04"/>
    <w:rsid w:val="627D7A0F"/>
    <w:rsid w:val="63400ABB"/>
    <w:rsid w:val="63B0096C"/>
    <w:rsid w:val="64BE61B5"/>
    <w:rsid w:val="64CF20F6"/>
    <w:rsid w:val="6574630C"/>
    <w:rsid w:val="65847385"/>
    <w:rsid w:val="6589499B"/>
    <w:rsid w:val="65DE4480"/>
    <w:rsid w:val="675F3C06"/>
    <w:rsid w:val="68E819D9"/>
    <w:rsid w:val="6A554E4C"/>
    <w:rsid w:val="6AB951E2"/>
    <w:rsid w:val="6B9B0F84"/>
    <w:rsid w:val="6CE46821"/>
    <w:rsid w:val="6CFC479B"/>
    <w:rsid w:val="6D8B6DD7"/>
    <w:rsid w:val="6D97577B"/>
    <w:rsid w:val="6E7B50D6"/>
    <w:rsid w:val="6EF56BFD"/>
    <w:rsid w:val="6FF60E7F"/>
    <w:rsid w:val="70A71B01"/>
    <w:rsid w:val="70B15687"/>
    <w:rsid w:val="71BF65F1"/>
    <w:rsid w:val="73BA21C4"/>
    <w:rsid w:val="73E23AB5"/>
    <w:rsid w:val="740C5E91"/>
    <w:rsid w:val="743E1546"/>
    <w:rsid w:val="747405C4"/>
    <w:rsid w:val="748E5B2A"/>
    <w:rsid w:val="76FB0E40"/>
    <w:rsid w:val="78FB12B4"/>
    <w:rsid w:val="793B3DA7"/>
    <w:rsid w:val="79444A09"/>
    <w:rsid w:val="7B3049AD"/>
    <w:rsid w:val="7BC17119"/>
    <w:rsid w:val="7BD52171"/>
    <w:rsid w:val="7C95172B"/>
    <w:rsid w:val="7D6D21BF"/>
    <w:rsid w:val="7EBD2AC8"/>
    <w:rsid w:val="7EDC542A"/>
    <w:rsid w:val="7F0A4E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99"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31"/>
    <w:qFormat/>
    <w:uiPriority w:val="0"/>
    <w:pPr>
      <w:keepNext/>
      <w:jc w:val="center"/>
      <w:outlineLvl w:val="0"/>
    </w:pPr>
    <w:rPr>
      <w:rFonts w:ascii="仿宋_GB2312" w:eastAsia="仿宋_GB2312"/>
      <w:kern w:val="0"/>
      <w:sz w:val="28"/>
    </w:rPr>
  </w:style>
  <w:style w:type="paragraph" w:styleId="4">
    <w:name w:val="heading 2"/>
    <w:basedOn w:val="1"/>
    <w:next w:val="1"/>
    <w:qFormat/>
    <w:uiPriority w:val="0"/>
    <w:pPr>
      <w:keepNext/>
      <w:numPr>
        <w:ilvl w:val="0"/>
        <w:numId w:val="1"/>
      </w:numPr>
      <w:tabs>
        <w:tab w:val="left" w:pos="420"/>
        <w:tab w:val="clear" w:pos="330"/>
      </w:tabs>
      <w:spacing w:line="360" w:lineRule="auto"/>
      <w:outlineLvl w:val="1"/>
    </w:pPr>
    <w:rPr>
      <w:b/>
      <w:kern w:val="0"/>
      <w:sz w:val="24"/>
      <w:szCs w:val="24"/>
    </w:rPr>
  </w:style>
  <w:style w:type="paragraph" w:styleId="5">
    <w:name w:val="heading 3"/>
    <w:basedOn w:val="1"/>
    <w:next w:val="1"/>
    <w:link w:val="49"/>
    <w:qFormat/>
    <w:uiPriority w:val="0"/>
    <w:pPr>
      <w:numPr>
        <w:ilvl w:val="0"/>
        <w:numId w:val="2"/>
      </w:numPr>
      <w:outlineLvl w:val="2"/>
    </w:pPr>
    <w:rPr>
      <w:bCs/>
      <w:sz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autoSpaceDE/>
      <w:autoSpaceDN/>
      <w:adjustRightInd/>
      <w:ind w:firstLine="420" w:firstLineChars="200"/>
      <w:jc w:val="both"/>
    </w:pPr>
    <w:rPr>
      <w:kern w:val="2"/>
      <w:sz w:val="21"/>
    </w:rPr>
  </w:style>
  <w:style w:type="paragraph" w:styleId="6">
    <w:name w:val="toa heading"/>
    <w:basedOn w:val="1"/>
    <w:next w:val="1"/>
    <w:qFormat/>
    <w:uiPriority w:val="0"/>
    <w:pPr>
      <w:spacing w:before="120"/>
    </w:pPr>
    <w:rPr>
      <w:rFonts w:ascii="Cambria" w:hAnsi="Cambria"/>
      <w:sz w:val="24"/>
    </w:rPr>
  </w:style>
  <w:style w:type="paragraph" w:styleId="7">
    <w:name w:val="annotation text"/>
    <w:basedOn w:val="1"/>
    <w:qFormat/>
    <w:uiPriority w:val="0"/>
    <w:pPr>
      <w:jc w:val="left"/>
    </w:pPr>
  </w:style>
  <w:style w:type="paragraph" w:styleId="8">
    <w:name w:val="index 6"/>
    <w:basedOn w:val="1"/>
    <w:next w:val="1"/>
    <w:qFormat/>
    <w:uiPriority w:val="99"/>
    <w:pPr>
      <w:ind w:left="2100"/>
    </w:pPr>
  </w:style>
  <w:style w:type="paragraph" w:styleId="9">
    <w:name w:val="Body Text"/>
    <w:basedOn w:val="1"/>
    <w:qFormat/>
    <w:uiPriority w:val="0"/>
    <w:pPr>
      <w:spacing w:after="120"/>
    </w:pPr>
  </w:style>
  <w:style w:type="paragraph" w:styleId="10">
    <w:name w:val="Body Text Indent"/>
    <w:basedOn w:val="1"/>
    <w:next w:val="11"/>
    <w:qFormat/>
    <w:uiPriority w:val="0"/>
    <w:pPr>
      <w:spacing w:line="800" w:lineRule="exact"/>
      <w:ind w:left="315" w:leftChars="150" w:firstLine="664" w:firstLineChars="237"/>
    </w:pPr>
    <w:rPr>
      <w:rFonts w:ascii="仿宋_GB2312" w:eastAsia="仿宋_GB2312"/>
      <w:sz w:val="28"/>
    </w:rPr>
  </w:style>
  <w:style w:type="paragraph" w:styleId="11">
    <w:name w:val="Body Text First Indent 2"/>
    <w:basedOn w:val="10"/>
    <w:next w:val="12"/>
    <w:qFormat/>
    <w:uiPriority w:val="0"/>
    <w:pPr>
      <w:spacing w:after="120"/>
      <w:ind w:left="420" w:leftChars="200" w:firstLine="420" w:firstLineChars="200"/>
    </w:pPr>
  </w:style>
  <w:style w:type="paragraph" w:styleId="12">
    <w:name w:val="Body Text First Indent"/>
    <w:basedOn w:val="9"/>
    <w:qFormat/>
    <w:uiPriority w:val="0"/>
    <w:pPr>
      <w:ind w:firstLine="420" w:firstLineChars="100"/>
    </w:pPr>
  </w:style>
  <w:style w:type="paragraph" w:styleId="13">
    <w:name w:val="Plain Text"/>
    <w:basedOn w:val="1"/>
    <w:qFormat/>
    <w:uiPriority w:val="0"/>
    <w:rPr>
      <w:rFonts w:ascii="宋体" w:hAnsi="宋体"/>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0"/>
  </w:style>
  <w:style w:type="paragraph" w:styleId="17">
    <w:name w:val="footnote text"/>
    <w:basedOn w:val="1"/>
    <w:qFormat/>
    <w:uiPriority w:val="0"/>
    <w:pPr>
      <w:snapToGrid w:val="0"/>
      <w:spacing w:line="312" w:lineRule="atLeast"/>
    </w:pPr>
    <w:rPr>
      <w:sz w:val="18"/>
      <w:szCs w:val="18"/>
    </w:rPr>
  </w:style>
  <w:style w:type="paragraph" w:styleId="18">
    <w:name w:val="toc 6"/>
    <w:basedOn w:val="1"/>
    <w:next w:val="1"/>
    <w:qFormat/>
    <w:uiPriority w:val="0"/>
    <w:pPr>
      <w:ind w:left="2100" w:leftChars="1000"/>
    </w:pPr>
    <w:rPr>
      <w:rFonts w:ascii="Calibri" w:hAnsi="Calibri"/>
    </w:rPr>
  </w:style>
  <w:style w:type="paragraph" w:styleId="19">
    <w:name w:val="HTML Preformatted"/>
    <w:basedOn w:val="1"/>
    <w:unhideWhenUsed/>
    <w:qFormat/>
    <w:uiPriority w:val="99"/>
    <w:rPr>
      <w:rFonts w:ascii="Courier New" w:hAnsi="Courier New" w:cs="Courier New"/>
      <w:sz w:val="20"/>
      <w:szCs w:val="20"/>
    </w:rPr>
  </w:style>
  <w:style w:type="paragraph" w:styleId="20">
    <w:name w:val="Normal (Web)"/>
    <w:basedOn w:val="1"/>
    <w:qFormat/>
    <w:uiPriority w:val="0"/>
    <w:pPr>
      <w:widowControl/>
      <w:jc w:val="left"/>
    </w:pPr>
    <w:rPr>
      <w:rFonts w:ascii="宋体" w:hAnsi="宋体" w:cs="宋体"/>
      <w:kern w:val="0"/>
      <w:sz w:val="24"/>
      <w:szCs w:val="24"/>
    </w:rPr>
  </w:style>
  <w:style w:type="table" w:styleId="22">
    <w:name w:val="Table Grid"/>
    <w:basedOn w:val="21"/>
    <w:qFormat/>
    <w:uiPriority w:val="0"/>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Emphasis"/>
    <w:basedOn w:val="23"/>
    <w:qFormat/>
    <w:uiPriority w:val="0"/>
    <w:rPr>
      <w:i/>
    </w:rPr>
  </w:style>
  <w:style w:type="character" w:styleId="26">
    <w:name w:val="Hyperlink"/>
    <w:qFormat/>
    <w:uiPriority w:val="0"/>
    <w:rPr>
      <w:color w:val="0000FF"/>
      <w:u w:val="single"/>
    </w:rPr>
  </w:style>
  <w:style w:type="character" w:styleId="27">
    <w:name w:val="HTML Sample"/>
    <w:basedOn w:val="23"/>
    <w:qFormat/>
    <w:uiPriority w:val="0"/>
    <w:rPr>
      <w:rFonts w:ascii="Courier New" w:hAnsi="Courier New"/>
    </w:rPr>
  </w:style>
  <w:style w:type="paragraph" w:customStyle="1" w:styleId="28">
    <w:name w:val="表格文字"/>
    <w:basedOn w:val="1"/>
    <w:next w:val="9"/>
    <w:qFormat/>
    <w:uiPriority w:val="0"/>
    <w:pPr>
      <w:spacing w:before="25" w:after="25"/>
      <w:jc w:val="left"/>
    </w:pPr>
    <w:rPr>
      <w:bCs/>
      <w:spacing w:val="10"/>
      <w:kern w:val="0"/>
      <w:sz w:val="24"/>
    </w:rPr>
  </w:style>
  <w:style w:type="paragraph" w:customStyle="1" w:styleId="29">
    <w:name w:val="Default Text"/>
    <w:basedOn w:val="30"/>
    <w:qFormat/>
    <w:uiPriority w:val="0"/>
    <w:pPr>
      <w:autoSpaceDE w:val="0"/>
      <w:autoSpaceDN w:val="0"/>
      <w:adjustRightInd w:val="0"/>
    </w:pPr>
    <w:rPr>
      <w:color w:val="000000"/>
      <w:sz w:val="24"/>
    </w:rPr>
  </w:style>
  <w:style w:type="paragraph" w:customStyle="1" w:styleId="30">
    <w:name w:val="正文_0"/>
    <w:qFormat/>
    <w:uiPriority w:val="0"/>
    <w:pPr>
      <w:widowControl w:val="0"/>
      <w:jc w:val="both"/>
    </w:pPr>
    <w:rPr>
      <w:rFonts w:ascii="Calibri" w:hAnsi="Calibri" w:eastAsia="宋体" w:cs="Times New Roman"/>
      <w:kern w:val="2"/>
      <w:sz w:val="21"/>
      <w:szCs w:val="24"/>
      <w:lang w:val="en-US" w:eastAsia="zh-CN" w:bidi="ar-SA"/>
    </w:rPr>
  </w:style>
  <w:style w:type="character" w:customStyle="1" w:styleId="31">
    <w:name w:val="标题 1 字符"/>
    <w:link w:val="3"/>
    <w:qFormat/>
    <w:uiPriority w:val="0"/>
    <w:rPr>
      <w:rFonts w:ascii="仿宋_GB2312" w:eastAsia="仿宋_GB2312"/>
      <w:kern w:val="0"/>
      <w:sz w:val="28"/>
    </w:rPr>
  </w:style>
  <w:style w:type="paragraph" w:customStyle="1" w:styleId="32">
    <w:name w:val="Table Paragraph"/>
    <w:basedOn w:val="1"/>
    <w:qFormat/>
    <w:uiPriority w:val="1"/>
    <w:pPr>
      <w:autoSpaceDE w:val="0"/>
      <w:autoSpaceDN w:val="0"/>
      <w:jc w:val="left"/>
    </w:pPr>
    <w:rPr>
      <w:rFonts w:ascii="仿宋" w:hAnsi="仿宋" w:eastAsia="仿宋" w:cs="仿宋"/>
      <w:kern w:val="0"/>
      <w:sz w:val="22"/>
      <w:lang w:val="zh-CN" w:bidi="zh-CN"/>
    </w:rPr>
  </w:style>
  <w:style w:type="character" w:customStyle="1" w:styleId="33">
    <w:name w:val="case31"/>
    <w:qFormat/>
    <w:uiPriority w:val="0"/>
    <w:rPr>
      <w:rFonts w:ascii="ˎ̥" w:hAnsi="ˎ̥"/>
      <w:sz w:val="21"/>
      <w:szCs w:val="21"/>
    </w:rPr>
  </w:style>
  <w:style w:type="paragraph" w:customStyle="1" w:styleId="34">
    <w:name w:val="【正文】"/>
    <w:basedOn w:val="1"/>
    <w:qFormat/>
    <w:uiPriority w:val="0"/>
    <w:pPr>
      <w:spacing w:line="360" w:lineRule="auto"/>
      <w:ind w:firstLine="200" w:firstLineChars="200"/>
    </w:pPr>
    <w:rPr>
      <w:rFonts w:cs="黑体"/>
      <w:sz w:val="24"/>
    </w:rPr>
  </w:style>
  <w:style w:type="paragraph" w:customStyle="1" w:styleId="35">
    <w:name w:val="正文缩进_0"/>
    <w:basedOn w:val="30"/>
    <w:unhideWhenUsed/>
    <w:qFormat/>
    <w:uiPriority w:val="0"/>
    <w:pPr>
      <w:ind w:firstLine="420" w:firstLineChars="200"/>
    </w:pPr>
    <w:rPr>
      <w:szCs w:val="22"/>
    </w:rPr>
  </w:style>
  <w:style w:type="paragraph" w:customStyle="1" w:styleId="36">
    <w:name w:val="标题 3_0_0"/>
    <w:basedOn w:val="37"/>
    <w:next w:val="37"/>
    <w:qFormat/>
    <w:uiPriority w:val="0"/>
    <w:pPr>
      <w:widowControl w:val="0"/>
      <w:autoSpaceDE w:val="0"/>
      <w:autoSpaceDN w:val="0"/>
      <w:adjustRightInd w:val="0"/>
      <w:spacing w:before="0" w:after="0" w:line="500" w:lineRule="exact"/>
      <w:ind w:left="0" w:firstLine="0"/>
      <w:jc w:val="center"/>
      <w:outlineLvl w:val="2"/>
    </w:pPr>
    <w:rPr>
      <w:rFonts w:ascii="宋体" w:hAnsi="宋体"/>
      <w:b/>
      <w:kern w:val="0"/>
      <w:sz w:val="28"/>
      <w:szCs w:val="28"/>
    </w:rPr>
  </w:style>
  <w:style w:type="paragraph" w:customStyle="1" w:styleId="37">
    <w:name w:val="正文_1_0"/>
    <w:qFormat/>
    <w:uiPriority w:val="0"/>
    <w:pPr>
      <w:spacing w:before="120" w:after="120" w:line="360" w:lineRule="auto"/>
      <w:ind w:left="1639" w:hanging="1072"/>
      <w:jc w:val="both"/>
    </w:pPr>
    <w:rPr>
      <w:rFonts w:ascii="Calibri" w:hAnsi="Calibri" w:eastAsia="宋体" w:cs="Times New Roman"/>
      <w:kern w:val="2"/>
      <w:sz w:val="21"/>
      <w:szCs w:val="22"/>
      <w:lang w:val="en-US" w:eastAsia="zh-CN" w:bidi="ar-SA"/>
    </w:rPr>
  </w:style>
  <w:style w:type="paragraph" w:customStyle="1" w:styleId="38">
    <w:name w:val="È±Ê¡ÎÄ±¾"/>
    <w:basedOn w:val="1"/>
    <w:qFormat/>
    <w:uiPriority w:val="0"/>
    <w:pPr>
      <w:widowControl/>
      <w:overflowPunct w:val="0"/>
      <w:autoSpaceDE w:val="0"/>
      <w:autoSpaceDN w:val="0"/>
      <w:adjustRightInd w:val="0"/>
      <w:jc w:val="left"/>
    </w:pPr>
    <w:rPr>
      <w:kern w:val="0"/>
      <w:sz w:val="24"/>
    </w:rPr>
  </w:style>
  <w:style w:type="paragraph" w:customStyle="1" w:styleId="39">
    <w:name w:val="正文1"/>
    <w:basedOn w:val="40"/>
    <w:qFormat/>
    <w:uiPriority w:val="0"/>
    <w:pPr>
      <w:tabs>
        <w:tab w:val="left" w:pos="425"/>
      </w:tabs>
    </w:pPr>
    <w:rPr>
      <w:rFonts w:ascii="Times New Roman" w:eastAsia="Times New Roman"/>
    </w:rPr>
  </w:style>
  <w:style w:type="paragraph" w:customStyle="1" w:styleId="40">
    <w:name w:val="样式1"/>
    <w:basedOn w:val="1"/>
    <w:qFormat/>
    <w:uiPriority w:val="0"/>
    <w:pPr>
      <w:tabs>
        <w:tab w:val="left" w:pos="425"/>
      </w:tabs>
      <w:adjustRightInd w:val="0"/>
      <w:spacing w:line="480" w:lineRule="exact"/>
      <w:ind w:left="330" w:hanging="330"/>
      <w:textAlignment w:val="baseline"/>
    </w:pPr>
    <w:rPr>
      <w:rFonts w:ascii="宋体"/>
      <w:b/>
      <w:color w:val="0000FF"/>
      <w:spacing w:val="4"/>
      <w:kern w:val="0"/>
      <w:sz w:val="24"/>
    </w:rPr>
  </w:style>
  <w:style w:type="paragraph" w:customStyle="1" w:styleId="41">
    <w:name w:val="列表段落1"/>
    <w:basedOn w:val="1"/>
    <w:qFormat/>
    <w:uiPriority w:val="34"/>
    <w:pPr>
      <w:ind w:firstLine="420" w:firstLineChars="200"/>
    </w:pPr>
  </w:style>
  <w:style w:type="paragraph" w:customStyle="1" w:styleId="42">
    <w:name w:val="Default"/>
    <w:qFormat/>
    <w:uiPriority w:val="0"/>
    <w:pPr>
      <w:widowControl w:val="0"/>
      <w:autoSpaceDE w:val="0"/>
      <w:autoSpaceDN w:val="0"/>
      <w:adjustRightInd w:val="0"/>
      <w:jc w:val="both"/>
    </w:pPr>
    <w:rPr>
      <w:rFonts w:ascii="黑体" w:hAnsi="黑体" w:eastAsia="宋体" w:cs="黑体"/>
      <w:color w:val="000000"/>
      <w:sz w:val="24"/>
      <w:szCs w:val="24"/>
      <w:lang w:val="en-US" w:eastAsia="zh-CN" w:bidi="ar-SA"/>
    </w:rPr>
  </w:style>
  <w:style w:type="table" w:customStyle="1" w:styleId="43">
    <w:name w:val="Table Normal"/>
    <w:semiHidden/>
    <w:unhideWhenUsed/>
    <w:qFormat/>
    <w:uiPriority w:val="0"/>
    <w:tblPr>
      <w:tblCellMar>
        <w:top w:w="0" w:type="dxa"/>
        <w:left w:w="0" w:type="dxa"/>
        <w:bottom w:w="0" w:type="dxa"/>
        <w:right w:w="0" w:type="dxa"/>
      </w:tblCellMar>
    </w:tblPr>
  </w:style>
  <w:style w:type="paragraph" w:styleId="44">
    <w:name w:val="List Paragraph"/>
    <w:basedOn w:val="1"/>
    <w:unhideWhenUsed/>
    <w:qFormat/>
    <w:uiPriority w:val="99"/>
    <w:pPr>
      <w:ind w:firstLine="420" w:firstLineChars="200"/>
    </w:pPr>
  </w:style>
  <w:style w:type="table" w:customStyle="1" w:styleId="45">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6">
    <w:name w:val="Table Normal2"/>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4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8">
    <w:name w:val="列出段落1"/>
    <w:basedOn w:val="1"/>
    <w:qFormat/>
    <w:uiPriority w:val="0"/>
    <w:pPr>
      <w:ind w:firstLine="420" w:firstLineChars="200"/>
    </w:pPr>
    <w:rPr>
      <w:szCs w:val="21"/>
    </w:rPr>
  </w:style>
  <w:style w:type="character" w:customStyle="1" w:styleId="49">
    <w:name w:val="标题 3 Char"/>
    <w:link w:val="5"/>
    <w:qFormat/>
    <w:uiPriority w:val="0"/>
    <w:rPr>
      <w:bCs/>
      <w:sz w:val="28"/>
    </w:rPr>
  </w:style>
  <w:style w:type="character" w:customStyle="1" w:styleId="50">
    <w:name w:val="font21"/>
    <w:basedOn w:val="23"/>
    <w:qFormat/>
    <w:uiPriority w:val="0"/>
    <w:rPr>
      <w:rFonts w:hint="eastAsia" w:ascii="宋体" w:hAnsi="宋体" w:eastAsia="宋体" w:cs="宋体"/>
      <w:color w:val="000000"/>
      <w:sz w:val="20"/>
      <w:szCs w:val="20"/>
      <w:u w:val="none"/>
    </w:rPr>
  </w:style>
  <w:style w:type="character" w:customStyle="1" w:styleId="51">
    <w:name w:val="font51"/>
    <w:basedOn w:val="23"/>
    <w:qFormat/>
    <w:uiPriority w:val="0"/>
    <w:rPr>
      <w:rFonts w:hint="eastAsia" w:ascii="宋体" w:hAnsi="宋体" w:eastAsia="宋体" w:cs="宋体"/>
      <w:color w:val="FF0000"/>
      <w:sz w:val="20"/>
      <w:szCs w:val="20"/>
      <w:u w:val="none"/>
    </w:rPr>
  </w:style>
  <w:style w:type="character" w:customStyle="1" w:styleId="52">
    <w:name w:val="font01"/>
    <w:basedOn w:val="23"/>
    <w:qFormat/>
    <w:uiPriority w:val="0"/>
    <w:rPr>
      <w:rFonts w:hint="eastAsia" w:ascii="宋体" w:hAnsi="宋体" w:eastAsia="宋体" w:cs="宋体"/>
      <w:color w:val="000000"/>
      <w:sz w:val="22"/>
      <w:szCs w:val="22"/>
      <w:u w:val="none"/>
    </w:rPr>
  </w:style>
  <w:style w:type="paragraph" w:customStyle="1" w:styleId="53">
    <w:name w:val="目录 53"/>
    <w:basedOn w:val="1"/>
    <w:next w:val="1"/>
    <w:qFormat/>
    <w:uiPriority w:val="0"/>
    <w:pPr>
      <w:ind w:left="840"/>
    </w:pPr>
    <w:rPr>
      <w:sz w:val="18"/>
    </w:rPr>
  </w:style>
  <w:style w:type="paragraph" w:customStyle="1" w:styleId="54">
    <w:name w:val="Normal"/>
    <w:qFormat/>
    <w:uiPriority w:val="0"/>
    <w:rPr>
      <w:rFonts w:ascii="Times New Roman" w:hAnsi="Times New Roman" w:eastAsia="Times New Roman" w:cs="Times New Roman"/>
      <w:sz w:val="24"/>
      <w:szCs w:val="24"/>
      <w:lang w:val="en-US" w:eastAsia="zh-CN" w:bidi="ar-SA"/>
    </w:rPr>
  </w:style>
  <w:style w:type="paragraph" w:customStyle="1" w:styleId="55">
    <w:name w:val="正文缩进1"/>
    <w:basedOn w:val="56"/>
    <w:qFormat/>
    <w:uiPriority w:val="0"/>
    <w:pPr>
      <w:autoSpaceDE w:val="0"/>
      <w:autoSpaceDN w:val="0"/>
      <w:adjustRightInd w:val="0"/>
      <w:ind w:firstLine="420"/>
      <w:jc w:val="left"/>
    </w:pPr>
    <w:rPr>
      <w:rFonts w:ascii="宋体" w:hAnsi="Times New Roman"/>
      <w:kern w:val="0"/>
      <w:sz w:val="24"/>
      <w:szCs w:val="20"/>
    </w:rPr>
  </w:style>
  <w:style w:type="paragraph" w:customStyle="1" w:styleId="56">
    <w:name w:val="正文2"/>
    <w:next w:val="55"/>
    <w:qFormat/>
    <w:uiPriority w:val="0"/>
    <w:rPr>
      <w:rFonts w:ascii="Times New Roman" w:hAnsi="Times New Roman" w:eastAsia="Times New Roman" w:cs="Times New Roman"/>
      <w:sz w:val="24"/>
      <w:szCs w:val="24"/>
      <w:lang w:val="en-US" w:eastAsia="zh-CN" w:bidi="ar-SA"/>
    </w:rPr>
  </w:style>
  <w:style w:type="paragraph" w:customStyle="1" w:styleId="57">
    <w:name w:val="索引 11"/>
    <w:basedOn w:val="1"/>
    <w:next w:val="1"/>
    <w:qFormat/>
    <w:uiPriority w:val="0"/>
    <w:pPr>
      <w:spacing w:line="360" w:lineRule="auto"/>
    </w:pPr>
    <w:rPr>
      <w:rFonts w:ascii="仿宋_GB2312" w:hAnsi="Times New Roman" w:eastAsia="仿宋_GB2312"/>
      <w:sz w:val="24"/>
      <w:szCs w:val="20"/>
    </w:rPr>
  </w:style>
  <w:style w:type="paragraph" w:customStyle="1" w:styleId="58">
    <w:name w:val="纯文本1"/>
    <w:basedOn w:val="1"/>
    <w:qFormat/>
    <w:uiPriority w:val="0"/>
    <w:rPr>
      <w:rFonts w:ascii="宋体" w:hAnsi="Courier New"/>
      <w:kern w:val="0"/>
      <w:sz w:val="20"/>
      <w:szCs w:val="20"/>
    </w:rPr>
  </w:style>
  <w:style w:type="paragraph" w:customStyle="1" w:styleId="59">
    <w:name w:val="Table Text"/>
    <w:basedOn w:val="1"/>
    <w:semiHidden/>
    <w:qFormat/>
    <w:uiPriority w:val="0"/>
    <w:rPr>
      <w:rFonts w:ascii="宋体" w:hAnsi="宋体" w:eastAsia="宋体" w:cs="宋体"/>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9968</Words>
  <Characters>11161</Characters>
  <Lines>239</Lines>
  <Paragraphs>67</Paragraphs>
  <TotalTime>2</TotalTime>
  <ScaleCrop>false</ScaleCrop>
  <LinksUpToDate>false</LinksUpToDate>
  <CharactersWithSpaces>11342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2023-08-28T09:28:00Z</dcterms:created>
  <dc:creator>aCER</dc:creator>
  <cp:lastModifiedBy>月色温柔i</cp:lastModifiedBy>
  <dcterms:modified xsi:type="dcterms:W3CDTF">2026-05-06T10:28:52Z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38799FFE5C544FD9A55ABA4BCF1765F7_13</vt:lpwstr>
  </property>
  <property fmtid="{D5CDD505-2E9C-101B-9397-08002B2CF9AE}" pid="4" name="KSOTemplateDocerSaveRecord">
    <vt:lpwstr>eyJoZGlkIjoiMjliMmFhZWFmM2QxODYyNjI4NDE5NGE4ZGY1OTM2ZDIiLCJ1c2VySWQiOiIzMzMzNzYyMjgifQ==</vt:lpwstr>
  </property>
</Properties>
</file>