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5AB6BE">
      <w:pPr>
        <w:adjustRightInd w:val="0"/>
        <w:snapToGrid w:val="0"/>
        <w:spacing w:line="276" w:lineRule="auto"/>
        <w:jc w:val="left"/>
        <w:rPr>
          <w:rFonts w:hint="eastAsia" w:ascii="仿宋" w:hAnsi="仿宋" w:eastAsia="仿宋" w:cs="仿宋"/>
          <w:b/>
          <w:bCs/>
          <w:color w:val="auto"/>
          <w:sz w:val="48"/>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drawing>
          <wp:inline distT="0" distB="0" distL="0" distR="0">
            <wp:extent cx="981075" cy="7905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981075" cy="790575"/>
                    </a:xfrm>
                    <a:prstGeom prst="rect">
                      <a:avLst/>
                    </a:prstGeom>
                    <a:noFill/>
                    <a:ln>
                      <a:noFill/>
                    </a:ln>
                  </pic:spPr>
                </pic:pic>
              </a:graphicData>
            </a:graphic>
          </wp:inline>
        </w:drawing>
      </w:r>
      <w:r>
        <w:rPr>
          <w:rFonts w:hint="eastAsia" w:ascii="仿宋" w:hAnsi="仿宋" w:eastAsia="仿宋" w:cs="仿宋"/>
          <w:color w:val="auto"/>
          <w:sz w:val="24"/>
          <w:szCs w:val="24"/>
          <w:highlight w:val="none"/>
          <w:shd w:val="clear" w:color="auto" w:fill="FFFFFF" w:themeFill="background1"/>
        </w:rPr>
        <w:t xml:space="preserve"> </w:t>
      </w:r>
    </w:p>
    <w:p w14:paraId="48A5AD2C">
      <w:pPr>
        <w:adjustRightInd w:val="0"/>
        <w:snapToGrid w:val="0"/>
        <w:spacing w:line="276" w:lineRule="auto"/>
        <w:jc w:val="center"/>
        <w:rPr>
          <w:rFonts w:hint="eastAsia" w:ascii="仿宋" w:hAnsi="仿宋" w:eastAsia="仿宋" w:cs="仿宋"/>
          <w:b/>
          <w:bCs/>
          <w:color w:val="auto"/>
          <w:sz w:val="48"/>
          <w:szCs w:val="24"/>
          <w:highlight w:val="none"/>
          <w:shd w:val="clear" w:color="auto" w:fill="FFFFFF" w:themeFill="background1"/>
        </w:rPr>
      </w:pPr>
    </w:p>
    <w:p w14:paraId="56E9C053">
      <w:pPr>
        <w:adjustRightInd w:val="0"/>
        <w:snapToGrid w:val="0"/>
        <w:spacing w:line="276" w:lineRule="auto"/>
        <w:jc w:val="center"/>
        <w:rPr>
          <w:rFonts w:hint="eastAsia" w:ascii="仿宋" w:hAnsi="仿宋" w:eastAsia="仿宋" w:cs="仿宋"/>
          <w:b w:val="0"/>
          <w:bCs w:val="0"/>
          <w:color w:val="auto"/>
          <w:sz w:val="44"/>
          <w:szCs w:val="44"/>
          <w:highlight w:val="none"/>
          <w:shd w:val="clear" w:color="auto" w:fill="FFFFFF" w:themeFill="background1"/>
          <w:lang w:val="en-US" w:eastAsia="zh-CN"/>
        </w:rPr>
      </w:pPr>
      <w:r>
        <w:rPr>
          <w:rFonts w:hint="eastAsia" w:ascii="仿宋" w:hAnsi="仿宋" w:eastAsia="仿宋" w:cs="仿宋"/>
          <w:b w:val="0"/>
          <w:bCs w:val="0"/>
          <w:color w:val="auto"/>
          <w:sz w:val="44"/>
          <w:szCs w:val="44"/>
          <w:highlight w:val="none"/>
          <w:shd w:val="clear" w:color="auto" w:fill="FFFFFF" w:themeFill="background1"/>
          <w:lang w:val="en-US" w:eastAsia="zh-CN"/>
        </w:rPr>
        <w:t>采 购 文 件</w:t>
      </w:r>
    </w:p>
    <w:p w14:paraId="0CAA0BB0">
      <w:pPr>
        <w:pStyle w:val="29"/>
        <w:jc w:val="center"/>
        <w:rPr>
          <w:rFonts w:hint="eastAsia" w:ascii="仿宋" w:hAnsi="仿宋" w:eastAsia="仿宋" w:cs="仿宋"/>
          <w:color w:val="auto"/>
          <w:sz w:val="16"/>
          <w:szCs w:val="16"/>
          <w:highlight w:val="none"/>
        </w:rPr>
      </w:pPr>
      <w:r>
        <w:rPr>
          <w:rFonts w:hint="eastAsia" w:ascii="仿宋" w:hAnsi="仿宋" w:eastAsia="仿宋" w:cs="仿宋"/>
          <w:b w:val="0"/>
          <w:bCs w:val="0"/>
          <w:color w:val="auto"/>
          <w:sz w:val="44"/>
          <w:szCs w:val="44"/>
          <w:highlight w:val="none"/>
          <w:shd w:val="clear" w:color="auto" w:fill="FFFFFF" w:themeFill="background1"/>
          <w:lang w:val="en-US" w:eastAsia="zh-CN"/>
        </w:rPr>
        <w:t>（竞争性磋商－服务）</w:t>
      </w:r>
    </w:p>
    <w:p w14:paraId="005CE09B">
      <w:pPr>
        <w:spacing w:line="276" w:lineRule="auto"/>
        <w:ind w:left="1181" w:right="-191" w:rightChars="-91" w:hanging="1180" w:hangingChars="492"/>
        <w:rPr>
          <w:rFonts w:hint="eastAsia" w:ascii="仿宋" w:hAnsi="仿宋" w:eastAsia="仿宋" w:cs="仿宋"/>
          <w:bCs/>
          <w:color w:val="auto"/>
          <w:kern w:val="0"/>
          <w:sz w:val="24"/>
          <w:szCs w:val="24"/>
          <w:highlight w:val="none"/>
          <w:shd w:val="clear" w:color="auto" w:fill="FFFFFF" w:themeFill="background1"/>
        </w:rPr>
      </w:pPr>
    </w:p>
    <w:p w14:paraId="51E5F915">
      <w:pPr>
        <w:spacing w:line="276" w:lineRule="auto"/>
        <w:ind w:left="1181" w:right="-191" w:rightChars="-91" w:hanging="1180" w:hangingChars="492"/>
        <w:rPr>
          <w:rFonts w:hint="eastAsia" w:ascii="仿宋" w:hAnsi="仿宋" w:eastAsia="仿宋" w:cs="仿宋"/>
          <w:bCs/>
          <w:color w:val="auto"/>
          <w:kern w:val="0"/>
          <w:sz w:val="24"/>
          <w:szCs w:val="24"/>
          <w:highlight w:val="none"/>
          <w:shd w:val="clear" w:color="auto" w:fill="FFFFFF" w:themeFill="background1"/>
        </w:rPr>
      </w:pPr>
    </w:p>
    <w:p w14:paraId="779FC9EC">
      <w:pPr>
        <w:spacing w:line="276" w:lineRule="auto"/>
        <w:ind w:left="1181" w:right="-191" w:rightChars="-91" w:hanging="1180" w:hangingChars="492"/>
        <w:rPr>
          <w:rFonts w:hint="eastAsia" w:ascii="仿宋" w:hAnsi="仿宋" w:eastAsia="仿宋" w:cs="仿宋"/>
          <w:bCs/>
          <w:color w:val="auto"/>
          <w:kern w:val="0"/>
          <w:sz w:val="24"/>
          <w:szCs w:val="24"/>
          <w:highlight w:val="none"/>
          <w:shd w:val="clear" w:color="auto" w:fill="FFFFFF" w:themeFill="background1"/>
        </w:rPr>
      </w:pPr>
    </w:p>
    <w:p w14:paraId="575C6934">
      <w:pPr>
        <w:spacing w:line="276" w:lineRule="auto"/>
        <w:ind w:left="1574" w:right="-191" w:rightChars="-91" w:hanging="1574" w:hangingChars="492"/>
        <w:rPr>
          <w:rFonts w:hint="eastAsia" w:ascii="仿宋" w:hAnsi="仿宋" w:eastAsia="仿宋" w:cs="仿宋"/>
          <w:bCs/>
          <w:color w:val="auto"/>
          <w:sz w:val="32"/>
          <w:szCs w:val="24"/>
          <w:highlight w:val="none"/>
          <w:shd w:val="clear" w:color="auto" w:fill="FFFFFF" w:themeFill="background1"/>
          <w:lang w:eastAsia="zh-CN"/>
        </w:rPr>
      </w:pPr>
      <w:r>
        <w:rPr>
          <w:rFonts w:hint="eastAsia" w:ascii="仿宋" w:hAnsi="仿宋" w:eastAsia="仿宋" w:cs="仿宋"/>
          <w:bCs/>
          <w:color w:val="auto"/>
          <w:kern w:val="0"/>
          <w:sz w:val="32"/>
          <w:szCs w:val="32"/>
          <w:highlight w:val="none"/>
          <w:lang w:eastAsia="zh-CN"/>
        </w:rPr>
        <w:t>项目名称</w:t>
      </w:r>
      <w:r>
        <w:rPr>
          <w:rFonts w:hint="eastAsia" w:ascii="仿宋" w:hAnsi="仿宋" w:eastAsia="仿宋" w:cs="仿宋"/>
          <w:bCs/>
          <w:color w:val="auto"/>
          <w:kern w:val="0"/>
          <w:sz w:val="32"/>
          <w:szCs w:val="32"/>
          <w:highlight w:val="none"/>
          <w:lang w:eastAsia="zh-CN"/>
        </w:rPr>
        <w:t>：新疆农业大学数字图书馆2026年外文数据库服务项目</w:t>
      </w:r>
    </w:p>
    <w:p w14:paraId="30521B80">
      <w:pPr>
        <w:adjustRightInd w:val="0"/>
        <w:snapToGrid w:val="0"/>
        <w:spacing w:line="276" w:lineRule="auto"/>
        <w:jc w:val="center"/>
        <w:rPr>
          <w:rFonts w:hint="eastAsia" w:ascii="仿宋" w:hAnsi="仿宋" w:eastAsia="仿宋" w:cs="仿宋"/>
          <w:bCs/>
          <w:color w:val="auto"/>
          <w:sz w:val="32"/>
          <w:szCs w:val="24"/>
          <w:highlight w:val="none"/>
          <w:shd w:val="clear" w:color="auto" w:fill="FFFFFF" w:themeFill="background1"/>
        </w:rPr>
      </w:pPr>
    </w:p>
    <w:p w14:paraId="6DD801E8">
      <w:pPr>
        <w:adjustRightInd w:val="0"/>
        <w:snapToGrid w:val="0"/>
        <w:spacing w:line="480" w:lineRule="exact"/>
        <w:ind w:left="2240" w:hanging="2240" w:hangingChars="700"/>
        <w:rPr>
          <w:rFonts w:hint="eastAsia" w:ascii="仿宋" w:hAnsi="仿宋" w:eastAsia="仿宋" w:cs="仿宋"/>
          <w:bCs/>
          <w:color w:val="auto"/>
          <w:kern w:val="0"/>
          <w:sz w:val="32"/>
          <w:szCs w:val="32"/>
          <w:highlight w:val="none"/>
          <w:lang w:eastAsia="zh-CN"/>
        </w:rPr>
      </w:pPr>
      <w:r>
        <w:rPr>
          <w:rFonts w:hint="eastAsia" w:ascii="仿宋" w:hAnsi="仿宋" w:eastAsia="仿宋" w:cs="仿宋"/>
          <w:bCs/>
          <w:color w:val="auto"/>
          <w:kern w:val="0"/>
          <w:sz w:val="32"/>
          <w:szCs w:val="32"/>
          <w:highlight w:val="none"/>
        </w:rPr>
        <w:t>采购人</w:t>
      </w:r>
      <w:r>
        <w:rPr>
          <w:rFonts w:hint="eastAsia" w:ascii="仿宋" w:hAnsi="仿宋" w:eastAsia="仿宋" w:cs="仿宋"/>
          <w:bCs/>
          <w:color w:val="auto"/>
          <w:kern w:val="0"/>
          <w:sz w:val="32"/>
          <w:szCs w:val="32"/>
          <w:highlight w:val="none"/>
          <w:lang w:eastAsia="zh-CN"/>
        </w:rPr>
        <w:t>（</w:t>
      </w:r>
      <w:r>
        <w:rPr>
          <w:rFonts w:hint="eastAsia" w:ascii="仿宋" w:hAnsi="仿宋" w:eastAsia="仿宋" w:cs="仿宋"/>
          <w:bCs/>
          <w:color w:val="auto"/>
          <w:kern w:val="0"/>
          <w:sz w:val="32"/>
          <w:szCs w:val="32"/>
          <w:highlight w:val="none"/>
        </w:rPr>
        <w:t>盖章</w:t>
      </w:r>
      <w:r>
        <w:rPr>
          <w:rFonts w:hint="eastAsia" w:ascii="仿宋" w:hAnsi="仿宋" w:eastAsia="仿宋" w:cs="仿宋"/>
          <w:bCs/>
          <w:color w:val="auto"/>
          <w:kern w:val="0"/>
          <w:sz w:val="32"/>
          <w:szCs w:val="32"/>
          <w:highlight w:val="none"/>
          <w:lang w:eastAsia="zh-CN"/>
        </w:rPr>
        <w:t>）</w:t>
      </w:r>
      <w:r>
        <w:rPr>
          <w:rFonts w:hint="eastAsia" w:ascii="仿宋" w:hAnsi="仿宋" w:eastAsia="仿宋" w:cs="仿宋"/>
          <w:bCs/>
          <w:color w:val="auto"/>
          <w:kern w:val="0"/>
          <w:sz w:val="32"/>
          <w:szCs w:val="32"/>
          <w:highlight w:val="none"/>
        </w:rPr>
        <w:t>：</w:t>
      </w:r>
      <w:r>
        <w:rPr>
          <w:rFonts w:hint="eastAsia" w:ascii="仿宋" w:hAnsi="仿宋" w:eastAsia="仿宋" w:cs="仿宋"/>
          <w:bCs/>
          <w:color w:val="auto"/>
          <w:kern w:val="0"/>
          <w:sz w:val="32"/>
          <w:szCs w:val="32"/>
          <w:highlight w:val="none"/>
          <w:lang w:eastAsia="zh-CN"/>
        </w:rPr>
        <w:t>新疆农业大学</w:t>
      </w:r>
    </w:p>
    <w:p w14:paraId="7C1A42F2">
      <w:pPr>
        <w:adjustRightInd w:val="0"/>
        <w:snapToGrid w:val="0"/>
        <w:spacing w:line="480" w:lineRule="exact"/>
        <w:rPr>
          <w:rFonts w:hint="eastAsia" w:ascii="仿宋" w:hAnsi="仿宋" w:eastAsia="仿宋" w:cs="仿宋"/>
          <w:bCs/>
          <w:color w:val="auto"/>
          <w:sz w:val="32"/>
          <w:szCs w:val="32"/>
          <w:highlight w:val="none"/>
        </w:rPr>
      </w:pPr>
    </w:p>
    <w:p w14:paraId="79154B15">
      <w:pPr>
        <w:adjustRightInd w:val="0"/>
        <w:snapToGrid w:val="0"/>
        <w:spacing w:line="480" w:lineRule="exact"/>
        <w:rPr>
          <w:rFonts w:hint="eastAsia" w:ascii="仿宋" w:hAnsi="仿宋" w:eastAsia="仿宋" w:cs="仿宋"/>
          <w:bCs/>
          <w:color w:val="auto"/>
          <w:sz w:val="32"/>
          <w:szCs w:val="32"/>
          <w:highlight w:val="none"/>
          <w:lang w:eastAsia="zh-CN"/>
        </w:rPr>
      </w:pPr>
      <w:r>
        <w:rPr>
          <w:rFonts w:hint="eastAsia" w:ascii="仿宋" w:hAnsi="仿宋" w:eastAsia="仿宋" w:cs="仿宋"/>
          <w:bCs/>
          <w:color w:val="auto"/>
          <w:kern w:val="0"/>
          <w:sz w:val="32"/>
          <w:szCs w:val="32"/>
          <w:highlight w:val="none"/>
          <w:lang w:eastAsia="zh-CN"/>
        </w:rPr>
        <w:t>联系人</w:t>
      </w:r>
      <w:r>
        <w:rPr>
          <w:rFonts w:hint="eastAsia" w:ascii="仿宋" w:hAnsi="仿宋" w:eastAsia="仿宋" w:cs="仿宋"/>
          <w:bCs/>
          <w:color w:val="auto"/>
          <w:kern w:val="0"/>
          <w:sz w:val="32"/>
          <w:szCs w:val="32"/>
          <w:highlight w:val="none"/>
          <w:lang w:eastAsia="zh-CN"/>
        </w:rPr>
        <w:t>：</w:t>
      </w:r>
      <w:r>
        <w:rPr>
          <w:rFonts w:hint="eastAsia" w:ascii="仿宋" w:hAnsi="仿宋" w:eastAsia="仿宋" w:cs="仿宋"/>
          <w:bCs/>
          <w:color w:val="auto"/>
          <w:kern w:val="0"/>
          <w:sz w:val="32"/>
          <w:szCs w:val="32"/>
          <w:highlight w:val="none"/>
          <w:lang w:val="en-US" w:eastAsia="zh-CN"/>
        </w:rPr>
        <w:t>李军</w:t>
      </w:r>
      <w:r>
        <w:rPr>
          <w:rFonts w:hint="eastAsia" w:ascii="仿宋" w:hAnsi="仿宋" w:eastAsia="仿宋" w:cs="仿宋"/>
          <w:bCs/>
          <w:color w:val="auto"/>
          <w:sz w:val="32"/>
          <w:szCs w:val="32"/>
          <w:highlight w:val="none"/>
        </w:rPr>
        <w:t xml:space="preserve"> </w:t>
      </w:r>
    </w:p>
    <w:p w14:paraId="712B16E4">
      <w:pPr>
        <w:adjustRightInd w:val="0"/>
        <w:snapToGrid w:val="0"/>
        <w:spacing w:line="480" w:lineRule="exact"/>
        <w:rPr>
          <w:rFonts w:hint="eastAsia" w:ascii="仿宋" w:hAnsi="仿宋" w:eastAsia="仿宋" w:cs="仿宋"/>
          <w:bCs/>
          <w:color w:val="auto"/>
          <w:sz w:val="32"/>
          <w:szCs w:val="32"/>
          <w:highlight w:val="none"/>
        </w:rPr>
      </w:pPr>
    </w:p>
    <w:p w14:paraId="349F1BCA">
      <w:pPr>
        <w:adjustRightInd w:val="0"/>
        <w:snapToGrid w:val="0"/>
        <w:spacing w:line="480" w:lineRule="exact"/>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kern w:val="0"/>
          <w:sz w:val="32"/>
          <w:szCs w:val="32"/>
          <w:highlight w:val="none"/>
          <w:lang w:eastAsia="zh-CN"/>
        </w:rPr>
        <w:t>电话</w:t>
      </w:r>
      <w:r>
        <w:rPr>
          <w:rFonts w:hint="eastAsia" w:ascii="仿宋" w:hAnsi="仿宋" w:eastAsia="仿宋" w:cs="仿宋"/>
          <w:bCs/>
          <w:color w:val="auto"/>
          <w:kern w:val="0"/>
          <w:sz w:val="32"/>
          <w:szCs w:val="32"/>
          <w:highlight w:val="none"/>
          <w:lang w:eastAsia="zh-CN"/>
        </w:rPr>
        <w:t>：</w:t>
      </w:r>
      <w:r>
        <w:rPr>
          <w:rFonts w:hint="eastAsia" w:ascii="仿宋" w:hAnsi="仿宋" w:eastAsia="仿宋" w:cs="仿宋"/>
          <w:bCs/>
          <w:color w:val="auto"/>
          <w:kern w:val="0"/>
          <w:sz w:val="32"/>
          <w:szCs w:val="32"/>
          <w:highlight w:val="none"/>
          <w:lang w:val="en-US" w:eastAsia="zh-CN"/>
        </w:rPr>
        <w:t>13579983411</w:t>
      </w:r>
    </w:p>
    <w:p w14:paraId="6779A676">
      <w:pPr>
        <w:pBdr>
          <w:bottom w:val="single" w:color="auto" w:sz="4" w:space="0"/>
        </w:pBdr>
        <w:adjustRightInd w:val="0"/>
        <w:snapToGrid w:val="0"/>
        <w:spacing w:line="480" w:lineRule="exact"/>
        <w:rPr>
          <w:rFonts w:hint="eastAsia" w:ascii="仿宋" w:hAnsi="仿宋" w:eastAsia="仿宋" w:cs="仿宋"/>
          <w:bCs/>
          <w:color w:val="auto"/>
          <w:sz w:val="32"/>
          <w:szCs w:val="32"/>
          <w:highlight w:val="none"/>
        </w:rPr>
      </w:pPr>
    </w:p>
    <w:p w14:paraId="0169925A">
      <w:pPr>
        <w:pBdr>
          <w:bottom w:val="single" w:color="auto" w:sz="4" w:space="0"/>
        </w:pBdr>
        <w:adjustRightInd w:val="0"/>
        <w:snapToGrid w:val="0"/>
        <w:spacing w:line="480" w:lineRule="exact"/>
        <w:rPr>
          <w:rFonts w:hint="eastAsia" w:ascii="仿宋" w:hAnsi="仿宋" w:eastAsia="仿宋" w:cs="仿宋"/>
          <w:bCs/>
          <w:color w:val="auto"/>
          <w:sz w:val="32"/>
          <w:szCs w:val="32"/>
          <w:highlight w:val="none"/>
        </w:rPr>
      </w:pPr>
    </w:p>
    <w:p w14:paraId="5F403989">
      <w:pPr>
        <w:adjustRightInd w:val="0"/>
        <w:snapToGrid w:val="0"/>
        <w:spacing w:line="480" w:lineRule="exact"/>
        <w:rPr>
          <w:rFonts w:hint="eastAsia" w:ascii="仿宋" w:hAnsi="仿宋" w:eastAsia="仿宋" w:cs="仿宋"/>
          <w:bCs/>
          <w:color w:val="auto"/>
          <w:kern w:val="0"/>
          <w:sz w:val="32"/>
          <w:szCs w:val="32"/>
          <w:highlight w:val="none"/>
        </w:rPr>
      </w:pPr>
    </w:p>
    <w:p w14:paraId="1019C600">
      <w:pPr>
        <w:adjustRightInd w:val="0"/>
        <w:snapToGrid w:val="0"/>
        <w:spacing w:line="480" w:lineRule="exact"/>
        <w:rPr>
          <w:rFonts w:hint="eastAsia" w:ascii="仿宋" w:hAnsi="仿宋" w:eastAsia="仿宋" w:cs="仿宋"/>
          <w:bCs/>
          <w:color w:val="auto"/>
          <w:kern w:val="0"/>
          <w:sz w:val="32"/>
          <w:szCs w:val="32"/>
          <w:highlight w:val="none"/>
        </w:rPr>
      </w:pPr>
    </w:p>
    <w:p w14:paraId="6E0EDD57">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bCs/>
          <w:color w:val="auto"/>
          <w:sz w:val="32"/>
          <w:szCs w:val="32"/>
          <w:highlight w:val="none"/>
          <w:lang w:eastAsia="zh-CN"/>
        </w:rPr>
        <w:t>（</w:t>
      </w:r>
      <w:r>
        <w:rPr>
          <w:rFonts w:hint="eastAsia" w:ascii="仿宋" w:hAnsi="仿宋" w:eastAsia="仿宋" w:cs="仿宋"/>
          <w:color w:val="auto"/>
          <w:sz w:val="32"/>
          <w:szCs w:val="32"/>
          <w:highlight w:val="none"/>
        </w:rPr>
        <w:t>盖章</w:t>
      </w:r>
      <w:r>
        <w:rPr>
          <w:rFonts w:hint="eastAsia" w:ascii="仿宋" w:hAnsi="仿宋" w:eastAsia="仿宋" w:cs="仿宋"/>
          <w:color w:val="auto"/>
          <w:sz w:val="32"/>
          <w:szCs w:val="32"/>
          <w:highlight w:val="none"/>
          <w:lang w:eastAsia="zh-CN"/>
        </w:rPr>
        <w:t>）</w:t>
      </w:r>
      <w:r>
        <w:rPr>
          <w:rFonts w:hint="eastAsia" w:ascii="仿宋" w:hAnsi="仿宋" w:eastAsia="仿宋" w:cs="仿宋"/>
          <w:bCs/>
          <w:color w:val="auto"/>
          <w:sz w:val="32"/>
          <w:szCs w:val="32"/>
          <w:highlight w:val="none"/>
        </w:rPr>
        <w:t>：新疆新世纪招标有限公司</w:t>
      </w:r>
    </w:p>
    <w:p w14:paraId="3AD2AFC4">
      <w:pPr>
        <w:adjustRightInd w:val="0"/>
        <w:snapToGrid w:val="0"/>
        <w:spacing w:line="480" w:lineRule="exact"/>
        <w:rPr>
          <w:rFonts w:hint="eastAsia" w:ascii="仿宋" w:hAnsi="仿宋" w:eastAsia="仿宋" w:cs="仿宋"/>
          <w:bCs/>
          <w:color w:val="auto"/>
          <w:sz w:val="32"/>
          <w:szCs w:val="32"/>
          <w:highlight w:val="none"/>
        </w:rPr>
      </w:pPr>
    </w:p>
    <w:p w14:paraId="7BD0E10F">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联系人：</w:t>
      </w:r>
      <w:r>
        <w:rPr>
          <w:rFonts w:hint="eastAsia" w:ascii="仿宋" w:hAnsi="仿宋" w:eastAsia="仿宋" w:cs="仿宋"/>
          <w:bCs/>
          <w:color w:val="auto"/>
          <w:sz w:val="32"/>
          <w:szCs w:val="32"/>
          <w:highlight w:val="none"/>
          <w:lang w:eastAsia="zh-CN"/>
        </w:rPr>
        <w:t>马丹阳、甘江涛</w:t>
      </w:r>
      <w:r>
        <w:rPr>
          <w:rFonts w:hint="eastAsia" w:ascii="仿宋" w:hAnsi="仿宋" w:eastAsia="仿宋" w:cs="仿宋"/>
          <w:bCs/>
          <w:color w:val="auto"/>
          <w:sz w:val="32"/>
          <w:szCs w:val="32"/>
          <w:highlight w:val="none"/>
        </w:rPr>
        <w:t xml:space="preserve"> </w:t>
      </w:r>
    </w:p>
    <w:p w14:paraId="27C9BDFA">
      <w:pPr>
        <w:adjustRightInd w:val="0"/>
        <w:snapToGrid w:val="0"/>
        <w:spacing w:line="480" w:lineRule="exact"/>
        <w:jc w:val="center"/>
        <w:rPr>
          <w:rFonts w:hint="eastAsia" w:ascii="仿宋" w:hAnsi="仿宋" w:eastAsia="仿宋" w:cs="仿宋"/>
          <w:bCs/>
          <w:color w:val="auto"/>
          <w:sz w:val="32"/>
          <w:szCs w:val="32"/>
          <w:highlight w:val="none"/>
        </w:rPr>
      </w:pPr>
    </w:p>
    <w:p w14:paraId="336D6EAD">
      <w:pPr>
        <w:adjustRightInd w:val="0"/>
        <w:snapToGrid w:val="0"/>
        <w:spacing w:line="480" w:lineRule="exact"/>
        <w:rPr>
          <w:rFonts w:hint="eastAsia" w:ascii="仿宋" w:hAnsi="仿宋" w:eastAsia="仿宋" w:cs="仿宋"/>
          <w:bCs/>
          <w:color w:val="auto"/>
          <w:sz w:val="32"/>
          <w:szCs w:val="32"/>
          <w:highlight w:val="none"/>
          <w:lang w:eastAsia="zh-CN"/>
        </w:rPr>
      </w:pPr>
      <w:r>
        <w:rPr>
          <w:rFonts w:hint="eastAsia" w:ascii="仿宋" w:hAnsi="仿宋" w:eastAsia="仿宋" w:cs="仿宋"/>
          <w:bCs/>
          <w:color w:val="auto"/>
          <w:kern w:val="0"/>
          <w:sz w:val="32"/>
          <w:szCs w:val="32"/>
          <w:highlight w:val="none"/>
        </w:rPr>
        <w:t>电话</w:t>
      </w: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eastAsia="zh-CN"/>
        </w:rPr>
        <w:t>0991-4661782</w:t>
      </w:r>
    </w:p>
    <w:p w14:paraId="48229DFD">
      <w:pPr>
        <w:adjustRightInd w:val="0"/>
        <w:snapToGrid w:val="0"/>
        <w:spacing w:line="480" w:lineRule="exact"/>
        <w:jc w:val="center"/>
        <w:rPr>
          <w:rFonts w:hint="eastAsia" w:ascii="仿宋" w:hAnsi="仿宋" w:eastAsia="仿宋" w:cs="仿宋"/>
          <w:bCs/>
          <w:color w:val="auto"/>
          <w:sz w:val="32"/>
          <w:szCs w:val="32"/>
          <w:highlight w:val="none"/>
        </w:rPr>
      </w:pPr>
    </w:p>
    <w:p w14:paraId="7D9E12C6">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地址：乌鲁木齐市新兴街20号凤凰科技大厦五楼</w:t>
      </w:r>
    </w:p>
    <w:p w14:paraId="670AA78A">
      <w:pPr>
        <w:widowControl/>
        <w:jc w:val="lef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br w:type="page"/>
      </w:r>
    </w:p>
    <w:p w14:paraId="21169A2E">
      <w:pPr>
        <w:spacing w:line="276" w:lineRule="auto"/>
        <w:ind w:left="1574" w:right="-191" w:rightChars="-91" w:hanging="1574" w:hangingChars="492"/>
        <w:jc w:val="center"/>
        <w:rPr>
          <w:rFonts w:hint="eastAsia" w:ascii="仿宋" w:hAnsi="仿宋" w:eastAsia="仿宋" w:cs="仿宋"/>
          <w:bCs/>
          <w:color w:val="auto"/>
          <w:kern w:val="0"/>
          <w:sz w:val="32"/>
          <w:szCs w:val="32"/>
          <w:highlight w:val="none"/>
          <w:lang w:eastAsia="zh-CN"/>
        </w:rPr>
      </w:pPr>
      <w:r>
        <w:rPr>
          <w:rFonts w:hint="eastAsia" w:ascii="仿宋" w:hAnsi="仿宋" w:eastAsia="仿宋" w:cs="仿宋"/>
          <w:bCs/>
          <w:color w:val="auto"/>
          <w:kern w:val="0"/>
          <w:sz w:val="32"/>
          <w:szCs w:val="32"/>
          <w:highlight w:val="none"/>
          <w:lang w:eastAsia="zh-CN"/>
        </w:rPr>
        <w:t>目 录</w:t>
      </w:r>
    </w:p>
    <w:p w14:paraId="0C1B8CDE">
      <w:pPr>
        <w:pStyle w:val="26"/>
        <w:tabs>
          <w:tab w:val="right" w:leader="dot" w:pos="9750"/>
        </w:tabs>
        <w:rPr>
          <w:highlight w:val="none"/>
        </w:rPr>
      </w:pPr>
      <w:r>
        <w:rPr>
          <w:rFonts w:hint="eastAsia" w:ascii="仿宋" w:hAnsi="仿宋" w:eastAsia="仿宋" w:cs="仿宋"/>
          <w:color w:val="auto"/>
          <w:sz w:val="24"/>
          <w:szCs w:val="24"/>
          <w:highlight w:val="none"/>
          <w:shd w:val="clear" w:color="auto" w:fill="FFFFFF" w:themeFill="background1"/>
        </w:rPr>
        <w:fldChar w:fldCharType="begin"/>
      </w:r>
      <w:r>
        <w:rPr>
          <w:rFonts w:hint="eastAsia" w:ascii="仿宋" w:hAnsi="仿宋" w:eastAsia="仿宋" w:cs="仿宋"/>
          <w:color w:val="auto"/>
          <w:sz w:val="24"/>
          <w:szCs w:val="24"/>
          <w:highlight w:val="none"/>
          <w:shd w:val="clear" w:color="auto" w:fill="FFFFFF" w:themeFill="background1"/>
        </w:rPr>
        <w:instrText xml:space="preserve">TOC \o "1-3" \h \u </w:instrText>
      </w:r>
      <w:r>
        <w:rPr>
          <w:rFonts w:hint="eastAsia" w:ascii="仿宋" w:hAnsi="仿宋" w:eastAsia="仿宋" w:cs="仿宋"/>
          <w:color w:val="auto"/>
          <w:sz w:val="24"/>
          <w:szCs w:val="24"/>
          <w:highlight w:val="none"/>
          <w:shd w:val="clear" w:color="auto" w:fill="FFFFFF" w:themeFill="background1"/>
        </w:rPr>
        <w:fldChar w:fldCharType="separate"/>
      </w: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_Toc12565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bCs w:val="0"/>
          <w:szCs w:val="36"/>
          <w:highlight w:val="none"/>
          <w:lang w:val="en-US" w:eastAsia="zh-CN"/>
        </w:rPr>
        <w:t>竞争性</w:t>
      </w:r>
      <w:r>
        <w:rPr>
          <w:rFonts w:hint="eastAsia" w:ascii="仿宋" w:hAnsi="仿宋" w:eastAsia="仿宋" w:cs="仿宋"/>
          <w:bCs w:val="0"/>
          <w:szCs w:val="36"/>
          <w:highlight w:val="none"/>
        </w:rPr>
        <w:t>磋商公告</w:t>
      </w:r>
      <w:r>
        <w:rPr>
          <w:highlight w:val="none"/>
        </w:rPr>
        <w:tab/>
      </w:r>
      <w:r>
        <w:rPr>
          <w:highlight w:val="none"/>
        </w:rPr>
        <w:fldChar w:fldCharType="begin"/>
      </w:r>
      <w:r>
        <w:rPr>
          <w:highlight w:val="none"/>
        </w:rPr>
        <w:instrText xml:space="preserve"> PAGEREF _Toc12565 \h </w:instrText>
      </w:r>
      <w:r>
        <w:rPr>
          <w:highlight w:val="none"/>
        </w:rPr>
        <w:fldChar w:fldCharType="separate"/>
      </w:r>
      <w:r>
        <w:rPr>
          <w:highlight w:val="none"/>
        </w:rPr>
        <w:t>1</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58CD52E5">
      <w:pPr>
        <w:pStyle w:val="26"/>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_Toc29164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bCs w:val="0"/>
          <w:szCs w:val="36"/>
          <w:highlight w:val="none"/>
          <w:lang w:val="en-US" w:eastAsia="zh-CN"/>
        </w:rPr>
        <w:t>供应商须知前附表</w:t>
      </w:r>
      <w:r>
        <w:rPr>
          <w:highlight w:val="none"/>
        </w:rPr>
        <w:tab/>
      </w:r>
      <w:r>
        <w:rPr>
          <w:highlight w:val="none"/>
        </w:rPr>
        <w:fldChar w:fldCharType="begin"/>
      </w:r>
      <w:r>
        <w:rPr>
          <w:highlight w:val="none"/>
        </w:rPr>
        <w:instrText xml:space="preserve"> PAGEREF _Toc29164 \h </w:instrText>
      </w:r>
      <w:r>
        <w:rPr>
          <w:highlight w:val="none"/>
        </w:rPr>
        <w:fldChar w:fldCharType="separate"/>
      </w:r>
      <w:r>
        <w:rPr>
          <w:highlight w:val="none"/>
        </w:rPr>
        <w:t>3</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40390FC5">
      <w:pPr>
        <w:pStyle w:val="26"/>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_Toc6898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bCs w:val="0"/>
          <w:szCs w:val="36"/>
          <w:highlight w:val="none"/>
          <w:lang w:val="en-US" w:eastAsia="zh-CN"/>
        </w:rPr>
        <w:t xml:space="preserve">第一章 </w:t>
      </w:r>
      <w:r>
        <w:rPr>
          <w:rFonts w:hint="eastAsia" w:ascii="仿宋" w:hAnsi="仿宋" w:eastAsia="仿宋" w:cs="仿宋"/>
          <w:bCs w:val="0"/>
          <w:szCs w:val="36"/>
          <w:highlight w:val="none"/>
          <w:lang w:val="en-US" w:eastAsia="zh-CN"/>
        </w:rPr>
        <w:t>供应商须知</w:t>
      </w:r>
      <w:r>
        <w:rPr>
          <w:highlight w:val="none"/>
        </w:rPr>
        <w:tab/>
      </w:r>
      <w:r>
        <w:rPr>
          <w:highlight w:val="none"/>
        </w:rPr>
        <w:fldChar w:fldCharType="begin"/>
      </w:r>
      <w:r>
        <w:rPr>
          <w:highlight w:val="none"/>
        </w:rPr>
        <w:instrText xml:space="preserve"> PAGEREF _Toc6898 \h </w:instrText>
      </w:r>
      <w:r>
        <w:rPr>
          <w:highlight w:val="none"/>
        </w:rPr>
        <w:fldChar w:fldCharType="separate"/>
      </w:r>
      <w:r>
        <w:rPr>
          <w:highlight w:val="none"/>
        </w:rPr>
        <w:t>6</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69C8612B">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_Toc688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一、总则</w:t>
      </w:r>
      <w:r>
        <w:rPr>
          <w:highlight w:val="none"/>
        </w:rPr>
        <w:tab/>
      </w:r>
      <w:r>
        <w:rPr>
          <w:highlight w:val="none"/>
        </w:rPr>
        <w:fldChar w:fldCharType="begin"/>
      </w:r>
      <w:r>
        <w:rPr>
          <w:highlight w:val="none"/>
        </w:rPr>
        <w:instrText xml:space="preserve"> PAGEREF _Toc688 \h </w:instrText>
      </w:r>
      <w:r>
        <w:rPr>
          <w:highlight w:val="none"/>
        </w:rPr>
        <w:fldChar w:fldCharType="separate"/>
      </w:r>
      <w:r>
        <w:rPr>
          <w:highlight w:val="none"/>
        </w:rPr>
        <w:t>6</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3238F127">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_Toc29367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二、</w:t>
      </w:r>
      <w:r>
        <w:rPr>
          <w:rFonts w:hint="eastAsia" w:ascii="仿宋" w:hAnsi="仿宋" w:eastAsia="仿宋" w:cs="仿宋"/>
          <w:szCs w:val="24"/>
          <w:highlight w:val="none"/>
          <w:shd w:val="clear" w:color="auto" w:fill="FFFFFF" w:themeFill="background1"/>
          <w:lang w:eastAsia="zh-CN"/>
        </w:rPr>
        <w:t>采购文件</w:t>
      </w:r>
      <w:r>
        <w:rPr>
          <w:highlight w:val="none"/>
        </w:rPr>
        <w:tab/>
      </w:r>
      <w:r>
        <w:rPr>
          <w:highlight w:val="none"/>
        </w:rPr>
        <w:fldChar w:fldCharType="begin"/>
      </w:r>
      <w:r>
        <w:rPr>
          <w:highlight w:val="none"/>
        </w:rPr>
        <w:instrText xml:space="preserve"> PAGEREF _Toc29367 \h </w:instrText>
      </w:r>
      <w:r>
        <w:rPr>
          <w:highlight w:val="none"/>
        </w:rPr>
        <w:fldChar w:fldCharType="separate"/>
      </w:r>
      <w:r>
        <w:rPr>
          <w:highlight w:val="none"/>
        </w:rPr>
        <w:t>7</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79C27C07">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_Toc32211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三、响应文件</w:t>
      </w:r>
      <w:r>
        <w:rPr>
          <w:highlight w:val="none"/>
        </w:rPr>
        <w:tab/>
      </w:r>
      <w:r>
        <w:rPr>
          <w:highlight w:val="none"/>
        </w:rPr>
        <w:fldChar w:fldCharType="begin"/>
      </w:r>
      <w:r>
        <w:rPr>
          <w:highlight w:val="none"/>
        </w:rPr>
        <w:instrText xml:space="preserve"> PAGEREF _Toc32211 \h </w:instrText>
      </w:r>
      <w:r>
        <w:rPr>
          <w:highlight w:val="none"/>
        </w:rPr>
        <w:fldChar w:fldCharType="separate"/>
      </w:r>
      <w:r>
        <w:rPr>
          <w:highlight w:val="none"/>
        </w:rPr>
        <w:t>9</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31BDA701">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_Toc6170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四、</w:t>
      </w:r>
      <w:r>
        <w:rPr>
          <w:rFonts w:hint="eastAsia" w:ascii="仿宋" w:hAnsi="仿宋" w:eastAsia="仿宋" w:cs="仿宋"/>
          <w:szCs w:val="24"/>
          <w:highlight w:val="none"/>
          <w:shd w:val="clear" w:color="auto" w:fill="FFFFFF" w:themeFill="background1"/>
          <w:lang w:val="en-US" w:eastAsia="zh-CN"/>
        </w:rPr>
        <w:t>响应</w:t>
      </w:r>
      <w:r>
        <w:rPr>
          <w:highlight w:val="none"/>
        </w:rPr>
        <w:tab/>
      </w:r>
      <w:r>
        <w:rPr>
          <w:highlight w:val="none"/>
        </w:rPr>
        <w:fldChar w:fldCharType="begin"/>
      </w:r>
      <w:r>
        <w:rPr>
          <w:highlight w:val="none"/>
        </w:rPr>
        <w:instrText xml:space="preserve"> PAGEREF _Toc6170 \h </w:instrText>
      </w:r>
      <w:r>
        <w:rPr>
          <w:highlight w:val="none"/>
        </w:rPr>
        <w:fldChar w:fldCharType="separate"/>
      </w:r>
      <w:r>
        <w:rPr>
          <w:highlight w:val="none"/>
        </w:rPr>
        <w:t>11</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5DFE143E">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_Toc28387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五、</w:t>
      </w:r>
      <w:r>
        <w:rPr>
          <w:rFonts w:hint="eastAsia" w:ascii="仿宋" w:hAnsi="仿宋" w:eastAsia="仿宋" w:cs="仿宋"/>
          <w:szCs w:val="24"/>
          <w:highlight w:val="none"/>
          <w:shd w:val="clear" w:color="auto" w:fill="FFFFFF" w:themeFill="background1"/>
          <w:lang w:eastAsia="zh-CN"/>
        </w:rPr>
        <w:t>开启</w:t>
      </w:r>
      <w:r>
        <w:rPr>
          <w:highlight w:val="none"/>
        </w:rPr>
        <w:tab/>
      </w:r>
      <w:r>
        <w:rPr>
          <w:highlight w:val="none"/>
        </w:rPr>
        <w:fldChar w:fldCharType="begin"/>
      </w:r>
      <w:r>
        <w:rPr>
          <w:highlight w:val="none"/>
        </w:rPr>
        <w:instrText xml:space="preserve"> PAGEREF _Toc28387 \h </w:instrText>
      </w:r>
      <w:r>
        <w:rPr>
          <w:highlight w:val="none"/>
        </w:rPr>
        <w:fldChar w:fldCharType="separate"/>
      </w:r>
      <w:r>
        <w:rPr>
          <w:highlight w:val="none"/>
        </w:rPr>
        <w:t>12</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62444691">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_Toc12383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六、评审</w:t>
      </w:r>
      <w:r>
        <w:rPr>
          <w:highlight w:val="none"/>
        </w:rPr>
        <w:tab/>
      </w:r>
      <w:r>
        <w:rPr>
          <w:highlight w:val="none"/>
        </w:rPr>
        <w:fldChar w:fldCharType="begin"/>
      </w:r>
      <w:r>
        <w:rPr>
          <w:highlight w:val="none"/>
        </w:rPr>
        <w:instrText xml:space="preserve"> PAGEREF _Toc12383 \h </w:instrText>
      </w:r>
      <w:r>
        <w:rPr>
          <w:highlight w:val="none"/>
        </w:rPr>
        <w:fldChar w:fldCharType="separate"/>
      </w:r>
      <w:r>
        <w:rPr>
          <w:highlight w:val="none"/>
        </w:rPr>
        <w:t>12</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54247617">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_Toc13911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七、定标及合同授予</w:t>
      </w:r>
      <w:r>
        <w:rPr>
          <w:highlight w:val="none"/>
        </w:rPr>
        <w:tab/>
      </w:r>
      <w:r>
        <w:rPr>
          <w:highlight w:val="none"/>
        </w:rPr>
        <w:fldChar w:fldCharType="begin"/>
      </w:r>
      <w:r>
        <w:rPr>
          <w:highlight w:val="none"/>
        </w:rPr>
        <w:instrText xml:space="preserve"> PAGEREF _Toc13911 \h </w:instrText>
      </w:r>
      <w:r>
        <w:rPr>
          <w:highlight w:val="none"/>
        </w:rPr>
        <w:fldChar w:fldCharType="separate"/>
      </w:r>
      <w:r>
        <w:rPr>
          <w:highlight w:val="none"/>
        </w:rPr>
        <w:t>12</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28C0ED41">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_Toc12630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八、纪律和监督</w:t>
      </w:r>
      <w:r>
        <w:rPr>
          <w:highlight w:val="none"/>
        </w:rPr>
        <w:tab/>
      </w:r>
      <w:r>
        <w:rPr>
          <w:highlight w:val="none"/>
        </w:rPr>
        <w:fldChar w:fldCharType="begin"/>
      </w:r>
      <w:r>
        <w:rPr>
          <w:highlight w:val="none"/>
        </w:rPr>
        <w:instrText xml:space="preserve"> PAGEREF _Toc12630 \h </w:instrText>
      </w:r>
      <w:r>
        <w:rPr>
          <w:highlight w:val="none"/>
        </w:rPr>
        <w:fldChar w:fldCharType="separate"/>
      </w:r>
      <w:r>
        <w:rPr>
          <w:highlight w:val="none"/>
        </w:rPr>
        <w:t>13</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2A369CE7">
      <w:pPr>
        <w:pStyle w:val="26"/>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_Toc5394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bCs/>
          <w:szCs w:val="36"/>
          <w:highlight w:val="none"/>
          <w:shd w:val="clear" w:color="auto" w:fill="FFFFFF" w:themeFill="background1"/>
        </w:rPr>
        <w:t>第二章 评审办法</w:t>
      </w:r>
      <w:r>
        <w:rPr>
          <w:highlight w:val="none"/>
        </w:rPr>
        <w:tab/>
      </w:r>
      <w:r>
        <w:rPr>
          <w:highlight w:val="none"/>
        </w:rPr>
        <w:fldChar w:fldCharType="begin"/>
      </w:r>
      <w:r>
        <w:rPr>
          <w:highlight w:val="none"/>
        </w:rPr>
        <w:instrText xml:space="preserve"> PAGEREF _Toc5394 \h </w:instrText>
      </w:r>
      <w:r>
        <w:rPr>
          <w:highlight w:val="none"/>
        </w:rPr>
        <w:fldChar w:fldCharType="separate"/>
      </w:r>
      <w:r>
        <w:rPr>
          <w:highlight w:val="none"/>
        </w:rPr>
        <w:t>15</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44D30011">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_Toc14695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评审办法前附表</w:t>
      </w:r>
      <w:r>
        <w:rPr>
          <w:highlight w:val="none"/>
        </w:rPr>
        <w:tab/>
      </w:r>
      <w:r>
        <w:rPr>
          <w:highlight w:val="none"/>
        </w:rPr>
        <w:fldChar w:fldCharType="begin"/>
      </w:r>
      <w:r>
        <w:rPr>
          <w:highlight w:val="none"/>
        </w:rPr>
        <w:instrText xml:space="preserve"> PAGEREF _Toc14695 \h </w:instrText>
      </w:r>
      <w:r>
        <w:rPr>
          <w:highlight w:val="none"/>
        </w:rPr>
        <w:fldChar w:fldCharType="separate"/>
      </w:r>
      <w:r>
        <w:rPr>
          <w:highlight w:val="none"/>
        </w:rPr>
        <w:t>15</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25D481FE">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_Toc13501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一、评审方法</w:t>
      </w:r>
      <w:r>
        <w:rPr>
          <w:highlight w:val="none"/>
        </w:rPr>
        <w:tab/>
      </w:r>
      <w:r>
        <w:rPr>
          <w:highlight w:val="none"/>
        </w:rPr>
        <w:fldChar w:fldCharType="begin"/>
      </w:r>
      <w:r>
        <w:rPr>
          <w:highlight w:val="none"/>
        </w:rPr>
        <w:instrText xml:space="preserve"> PAGEREF _Toc13501 \h </w:instrText>
      </w:r>
      <w:r>
        <w:rPr>
          <w:highlight w:val="none"/>
        </w:rPr>
        <w:fldChar w:fldCharType="separate"/>
      </w:r>
      <w:r>
        <w:rPr>
          <w:highlight w:val="none"/>
        </w:rPr>
        <w:t>18</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35ADFBFF">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_Toc17644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二、评审标准</w:t>
      </w:r>
      <w:r>
        <w:rPr>
          <w:highlight w:val="none"/>
        </w:rPr>
        <w:tab/>
      </w:r>
      <w:r>
        <w:rPr>
          <w:highlight w:val="none"/>
        </w:rPr>
        <w:fldChar w:fldCharType="begin"/>
      </w:r>
      <w:r>
        <w:rPr>
          <w:highlight w:val="none"/>
        </w:rPr>
        <w:instrText xml:space="preserve"> PAGEREF _Toc17644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006C3C9F">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_Toc7227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rPr>
        <w:t>三、评审程序</w:t>
      </w:r>
      <w:r>
        <w:rPr>
          <w:highlight w:val="none"/>
        </w:rPr>
        <w:tab/>
      </w:r>
      <w:r>
        <w:rPr>
          <w:highlight w:val="none"/>
        </w:rPr>
        <w:fldChar w:fldCharType="begin"/>
      </w:r>
      <w:r>
        <w:rPr>
          <w:highlight w:val="none"/>
        </w:rPr>
        <w:instrText xml:space="preserve"> PAGEREF _Toc7227 \h </w:instrText>
      </w:r>
      <w:r>
        <w:rPr>
          <w:highlight w:val="none"/>
        </w:rPr>
        <w:fldChar w:fldCharType="separate"/>
      </w:r>
      <w:r>
        <w:rPr>
          <w:highlight w:val="none"/>
        </w:rPr>
        <w:t>19</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16DECBDA">
      <w:pPr>
        <w:pStyle w:val="26"/>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_Toc4967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bCs/>
          <w:szCs w:val="36"/>
          <w:highlight w:val="none"/>
          <w:shd w:val="clear" w:color="auto" w:fill="FFFFFF" w:themeFill="background1"/>
        </w:rPr>
        <w:t>第三章 合同文本</w:t>
      </w:r>
      <w:r>
        <w:rPr>
          <w:highlight w:val="none"/>
        </w:rPr>
        <w:tab/>
      </w:r>
      <w:r>
        <w:rPr>
          <w:highlight w:val="none"/>
        </w:rPr>
        <w:fldChar w:fldCharType="begin"/>
      </w:r>
      <w:r>
        <w:rPr>
          <w:highlight w:val="none"/>
        </w:rPr>
        <w:instrText xml:space="preserve"> PAGEREF _Toc4967 \h </w:instrText>
      </w:r>
      <w:r>
        <w:rPr>
          <w:highlight w:val="none"/>
        </w:rPr>
        <w:fldChar w:fldCharType="separate"/>
      </w:r>
      <w:r>
        <w:rPr>
          <w:highlight w:val="none"/>
        </w:rPr>
        <w:t>26</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15F1D11E">
      <w:pPr>
        <w:pStyle w:val="26"/>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_Toc14475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bCs/>
          <w:szCs w:val="36"/>
          <w:highlight w:val="none"/>
          <w:shd w:val="clear" w:color="auto" w:fill="FFFFFF" w:themeFill="background1"/>
        </w:rPr>
        <w:t xml:space="preserve">第四章 </w:t>
      </w:r>
      <w:r>
        <w:rPr>
          <w:rFonts w:hint="eastAsia" w:ascii="仿宋" w:hAnsi="仿宋" w:eastAsia="仿宋" w:cs="仿宋"/>
          <w:bCs/>
          <w:szCs w:val="36"/>
          <w:highlight w:val="none"/>
          <w:shd w:val="clear" w:color="auto" w:fill="FFFFFF" w:themeFill="background1"/>
          <w:lang w:eastAsia="zh-CN"/>
        </w:rPr>
        <w:t>服务标准和要求</w:t>
      </w:r>
      <w:r>
        <w:rPr>
          <w:highlight w:val="none"/>
        </w:rPr>
        <w:tab/>
      </w:r>
      <w:r>
        <w:rPr>
          <w:highlight w:val="none"/>
        </w:rPr>
        <w:fldChar w:fldCharType="begin"/>
      </w:r>
      <w:r>
        <w:rPr>
          <w:highlight w:val="none"/>
        </w:rPr>
        <w:instrText xml:space="preserve"> PAGEREF _Toc14475 \h </w:instrText>
      </w:r>
      <w:r>
        <w:rPr>
          <w:highlight w:val="none"/>
        </w:rPr>
        <w:fldChar w:fldCharType="separate"/>
      </w:r>
      <w:r>
        <w:rPr>
          <w:highlight w:val="none"/>
        </w:rPr>
        <w:t>30</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2232D98F">
      <w:pPr>
        <w:pStyle w:val="26"/>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_Toc25428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bCs/>
          <w:szCs w:val="36"/>
          <w:highlight w:val="none"/>
          <w:shd w:val="clear" w:color="auto" w:fill="FFFFFF" w:themeFill="background1"/>
          <w:lang w:eastAsia="zh-CN"/>
        </w:rPr>
        <w:t>第五章 响应文件格式</w:t>
      </w:r>
      <w:r>
        <w:rPr>
          <w:highlight w:val="none"/>
        </w:rPr>
        <w:tab/>
      </w:r>
      <w:r>
        <w:rPr>
          <w:highlight w:val="none"/>
        </w:rPr>
        <w:fldChar w:fldCharType="begin"/>
      </w:r>
      <w:r>
        <w:rPr>
          <w:highlight w:val="none"/>
        </w:rPr>
        <w:instrText xml:space="preserve"> PAGEREF _Toc25428 \h </w:instrText>
      </w:r>
      <w:r>
        <w:rPr>
          <w:highlight w:val="none"/>
        </w:rPr>
        <w:fldChar w:fldCharType="separate"/>
      </w:r>
      <w:r>
        <w:rPr>
          <w:highlight w:val="none"/>
        </w:rPr>
        <w:t>36</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6FD68103">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_Toc9674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一、</w:t>
      </w:r>
      <w:r>
        <w:rPr>
          <w:rFonts w:hint="eastAsia" w:ascii="仿宋" w:hAnsi="仿宋" w:eastAsia="仿宋" w:cs="仿宋"/>
          <w:szCs w:val="24"/>
          <w:highlight w:val="none"/>
          <w:shd w:val="clear" w:color="auto" w:fill="FFFFFF" w:themeFill="background1"/>
          <w:lang w:eastAsia="zh-CN"/>
        </w:rPr>
        <w:t>开</w:t>
      </w:r>
      <w:r>
        <w:rPr>
          <w:rFonts w:hint="eastAsia" w:ascii="仿宋" w:hAnsi="仿宋" w:eastAsia="仿宋" w:cs="仿宋"/>
          <w:szCs w:val="24"/>
          <w:highlight w:val="none"/>
          <w:shd w:val="clear" w:color="auto" w:fill="FFFFFF" w:themeFill="background1"/>
          <w:lang w:val="en-US" w:eastAsia="zh-CN"/>
        </w:rPr>
        <w:t>启</w:t>
      </w:r>
      <w:r>
        <w:rPr>
          <w:rFonts w:hint="eastAsia" w:ascii="仿宋" w:hAnsi="仿宋" w:eastAsia="仿宋" w:cs="仿宋"/>
          <w:szCs w:val="24"/>
          <w:highlight w:val="none"/>
          <w:shd w:val="clear" w:color="auto" w:fill="FFFFFF" w:themeFill="background1"/>
          <w:lang w:eastAsia="zh-CN"/>
        </w:rPr>
        <w:t>一览表</w:t>
      </w:r>
      <w:r>
        <w:rPr>
          <w:highlight w:val="none"/>
        </w:rPr>
        <w:tab/>
      </w:r>
      <w:r>
        <w:rPr>
          <w:highlight w:val="none"/>
        </w:rPr>
        <w:fldChar w:fldCharType="begin"/>
      </w:r>
      <w:r>
        <w:rPr>
          <w:highlight w:val="none"/>
        </w:rPr>
        <w:instrText xml:space="preserve"> PAGEREF _Toc9674 \h </w:instrText>
      </w:r>
      <w:r>
        <w:rPr>
          <w:highlight w:val="none"/>
        </w:rPr>
        <w:fldChar w:fldCharType="separate"/>
      </w:r>
      <w:r>
        <w:rPr>
          <w:highlight w:val="none"/>
        </w:rPr>
        <w:t>38</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27ED434E">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_Toc8617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二、响应函</w:t>
      </w:r>
      <w:r>
        <w:rPr>
          <w:highlight w:val="none"/>
        </w:rPr>
        <w:tab/>
      </w:r>
      <w:r>
        <w:rPr>
          <w:highlight w:val="none"/>
        </w:rPr>
        <w:fldChar w:fldCharType="begin"/>
      </w:r>
      <w:r>
        <w:rPr>
          <w:highlight w:val="none"/>
        </w:rPr>
        <w:instrText xml:space="preserve"> PAGEREF _Toc8617 \h </w:instrText>
      </w:r>
      <w:r>
        <w:rPr>
          <w:highlight w:val="none"/>
        </w:rPr>
        <w:fldChar w:fldCharType="separate"/>
      </w:r>
      <w:r>
        <w:rPr>
          <w:highlight w:val="none"/>
        </w:rPr>
        <w:t>39</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2BCC3013">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_Toc309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三、响应价格明细表</w:t>
      </w:r>
      <w:r>
        <w:rPr>
          <w:highlight w:val="none"/>
        </w:rPr>
        <w:tab/>
      </w:r>
      <w:r>
        <w:rPr>
          <w:highlight w:val="none"/>
        </w:rPr>
        <w:fldChar w:fldCharType="begin"/>
      </w:r>
      <w:r>
        <w:rPr>
          <w:highlight w:val="none"/>
        </w:rPr>
        <w:instrText xml:space="preserve"> PAGEREF _Toc309 \h </w:instrText>
      </w:r>
      <w:r>
        <w:rPr>
          <w:highlight w:val="none"/>
        </w:rPr>
        <w:fldChar w:fldCharType="separate"/>
      </w:r>
      <w:r>
        <w:rPr>
          <w:highlight w:val="none"/>
        </w:rPr>
        <w:t>40</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6B361489">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_Toc21063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四、商务条款偏离表</w:t>
      </w:r>
      <w:r>
        <w:rPr>
          <w:highlight w:val="none"/>
        </w:rPr>
        <w:tab/>
      </w:r>
      <w:r>
        <w:rPr>
          <w:highlight w:val="none"/>
        </w:rPr>
        <w:fldChar w:fldCharType="begin"/>
      </w:r>
      <w:r>
        <w:rPr>
          <w:highlight w:val="none"/>
        </w:rPr>
        <w:instrText xml:space="preserve"> PAGEREF _Toc21063 \h </w:instrText>
      </w:r>
      <w:r>
        <w:rPr>
          <w:highlight w:val="none"/>
        </w:rPr>
        <w:fldChar w:fldCharType="separate"/>
      </w:r>
      <w:r>
        <w:rPr>
          <w:highlight w:val="none"/>
        </w:rPr>
        <w:t>41</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6E477044">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_Toc5216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五、技术条款偏离表</w:t>
      </w:r>
      <w:r>
        <w:rPr>
          <w:highlight w:val="none"/>
        </w:rPr>
        <w:tab/>
      </w:r>
      <w:r>
        <w:rPr>
          <w:highlight w:val="none"/>
        </w:rPr>
        <w:fldChar w:fldCharType="begin"/>
      </w:r>
      <w:r>
        <w:rPr>
          <w:highlight w:val="none"/>
        </w:rPr>
        <w:instrText xml:space="preserve"> PAGEREF _Toc5216 \h </w:instrText>
      </w:r>
      <w:r>
        <w:rPr>
          <w:highlight w:val="none"/>
        </w:rPr>
        <w:fldChar w:fldCharType="separate"/>
      </w:r>
      <w:r>
        <w:rPr>
          <w:highlight w:val="none"/>
        </w:rPr>
        <w:t>42</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0FBC62C4">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_Toc24797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六、法定代表人身份证明书</w:t>
      </w:r>
      <w:r>
        <w:rPr>
          <w:highlight w:val="none"/>
        </w:rPr>
        <w:tab/>
      </w:r>
      <w:r>
        <w:rPr>
          <w:highlight w:val="none"/>
        </w:rPr>
        <w:fldChar w:fldCharType="begin"/>
      </w:r>
      <w:r>
        <w:rPr>
          <w:highlight w:val="none"/>
        </w:rPr>
        <w:instrText xml:space="preserve"> PAGEREF _Toc24797 \h </w:instrText>
      </w:r>
      <w:r>
        <w:rPr>
          <w:highlight w:val="none"/>
        </w:rPr>
        <w:fldChar w:fldCharType="separate"/>
      </w:r>
      <w:r>
        <w:rPr>
          <w:highlight w:val="none"/>
        </w:rPr>
        <w:t>43</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493BF1B0">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_Toc27385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七、法定代表人授权委托书</w:t>
      </w:r>
      <w:r>
        <w:rPr>
          <w:highlight w:val="none"/>
        </w:rPr>
        <w:tab/>
      </w:r>
      <w:r>
        <w:rPr>
          <w:highlight w:val="none"/>
        </w:rPr>
        <w:fldChar w:fldCharType="begin"/>
      </w:r>
      <w:r>
        <w:rPr>
          <w:highlight w:val="none"/>
        </w:rPr>
        <w:instrText xml:space="preserve"> PAGEREF _Toc27385 \h </w:instrText>
      </w:r>
      <w:r>
        <w:rPr>
          <w:highlight w:val="none"/>
        </w:rPr>
        <w:fldChar w:fldCharType="separate"/>
      </w:r>
      <w:r>
        <w:rPr>
          <w:highlight w:val="none"/>
        </w:rPr>
        <w:t>44</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6265F67E">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_Toc17944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八、供应商资格条件证明材料</w:t>
      </w:r>
      <w:r>
        <w:rPr>
          <w:highlight w:val="none"/>
        </w:rPr>
        <w:tab/>
      </w:r>
      <w:r>
        <w:rPr>
          <w:highlight w:val="none"/>
        </w:rPr>
        <w:fldChar w:fldCharType="begin"/>
      </w:r>
      <w:r>
        <w:rPr>
          <w:highlight w:val="none"/>
        </w:rPr>
        <w:instrText xml:space="preserve"> PAGEREF _Toc17944 \h </w:instrText>
      </w:r>
      <w:r>
        <w:rPr>
          <w:highlight w:val="none"/>
        </w:rPr>
        <w:fldChar w:fldCharType="separate"/>
      </w:r>
      <w:r>
        <w:rPr>
          <w:highlight w:val="none"/>
        </w:rPr>
        <w:t>45</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4EF13823">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_Toc12243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8.1、法人或者其他组织的营业执照等证明文件，自然人的身份证明</w:t>
      </w:r>
      <w:r>
        <w:rPr>
          <w:highlight w:val="none"/>
        </w:rPr>
        <w:tab/>
      </w:r>
      <w:r>
        <w:rPr>
          <w:highlight w:val="none"/>
        </w:rPr>
        <w:fldChar w:fldCharType="begin"/>
      </w:r>
      <w:r>
        <w:rPr>
          <w:highlight w:val="none"/>
        </w:rPr>
        <w:instrText xml:space="preserve"> PAGEREF _Toc12243 \h </w:instrText>
      </w:r>
      <w:r>
        <w:rPr>
          <w:highlight w:val="none"/>
        </w:rPr>
        <w:fldChar w:fldCharType="separate"/>
      </w:r>
      <w:r>
        <w:rPr>
          <w:highlight w:val="none"/>
        </w:rPr>
        <w:t>46</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77CC164F">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_Toc2830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8.2、财务状况报告，依法缴纳税收和社会保障资金的相关材料</w:t>
      </w:r>
      <w:r>
        <w:rPr>
          <w:highlight w:val="none"/>
        </w:rPr>
        <w:tab/>
      </w:r>
      <w:r>
        <w:rPr>
          <w:highlight w:val="none"/>
        </w:rPr>
        <w:fldChar w:fldCharType="begin"/>
      </w:r>
      <w:r>
        <w:rPr>
          <w:highlight w:val="none"/>
        </w:rPr>
        <w:instrText xml:space="preserve"> PAGEREF _Toc2830 \h </w:instrText>
      </w:r>
      <w:r>
        <w:rPr>
          <w:highlight w:val="none"/>
        </w:rPr>
        <w:fldChar w:fldCharType="separate"/>
      </w:r>
      <w:r>
        <w:rPr>
          <w:highlight w:val="none"/>
        </w:rPr>
        <w:t>47</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20372762">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_Toc21256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8.3、具备履行合同所必需的设备和专业技术能力的证明材料</w:t>
      </w:r>
      <w:r>
        <w:rPr>
          <w:highlight w:val="none"/>
        </w:rPr>
        <w:tab/>
      </w:r>
      <w:r>
        <w:rPr>
          <w:highlight w:val="none"/>
        </w:rPr>
        <w:fldChar w:fldCharType="begin"/>
      </w:r>
      <w:r>
        <w:rPr>
          <w:highlight w:val="none"/>
        </w:rPr>
        <w:instrText xml:space="preserve"> PAGEREF _Toc21256 \h </w:instrText>
      </w:r>
      <w:r>
        <w:rPr>
          <w:highlight w:val="none"/>
        </w:rPr>
        <w:fldChar w:fldCharType="separate"/>
      </w:r>
      <w:r>
        <w:rPr>
          <w:highlight w:val="none"/>
        </w:rPr>
        <w:t>48</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2991F611">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_Toc17735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8.4、参加政府采购活动前3年内在经营活动中没有重大违法记录的书面声明</w:t>
      </w:r>
      <w:r>
        <w:rPr>
          <w:highlight w:val="none"/>
        </w:rPr>
        <w:tab/>
      </w:r>
      <w:r>
        <w:rPr>
          <w:highlight w:val="none"/>
        </w:rPr>
        <w:fldChar w:fldCharType="begin"/>
      </w:r>
      <w:r>
        <w:rPr>
          <w:highlight w:val="none"/>
        </w:rPr>
        <w:instrText xml:space="preserve"> PAGEREF _Toc17735 \h </w:instrText>
      </w:r>
      <w:r>
        <w:rPr>
          <w:highlight w:val="none"/>
        </w:rPr>
        <w:fldChar w:fldCharType="separate"/>
      </w:r>
      <w:r>
        <w:rPr>
          <w:highlight w:val="none"/>
        </w:rPr>
        <w:t>49</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463DE9DA">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_Toc19062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8.5、具备法律、行政法规规定的其他条件的证明材料</w:t>
      </w:r>
      <w:r>
        <w:rPr>
          <w:highlight w:val="none"/>
        </w:rPr>
        <w:tab/>
      </w:r>
      <w:r>
        <w:rPr>
          <w:highlight w:val="none"/>
        </w:rPr>
        <w:fldChar w:fldCharType="begin"/>
      </w:r>
      <w:r>
        <w:rPr>
          <w:highlight w:val="none"/>
        </w:rPr>
        <w:instrText xml:space="preserve"> PAGEREF _Toc19062 \h </w:instrText>
      </w:r>
      <w:r>
        <w:rPr>
          <w:highlight w:val="none"/>
        </w:rPr>
        <w:fldChar w:fldCharType="separate"/>
      </w:r>
      <w:r>
        <w:rPr>
          <w:highlight w:val="none"/>
        </w:rPr>
        <w:t>50</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45E98FAE">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_Toc14293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九、供应商近年类似项目业绩表</w:t>
      </w:r>
      <w:r>
        <w:rPr>
          <w:highlight w:val="none"/>
        </w:rPr>
        <w:tab/>
      </w:r>
      <w:r>
        <w:rPr>
          <w:highlight w:val="none"/>
        </w:rPr>
        <w:fldChar w:fldCharType="begin"/>
      </w:r>
      <w:r>
        <w:rPr>
          <w:highlight w:val="none"/>
        </w:rPr>
        <w:instrText xml:space="preserve"> PAGEREF _Toc14293 \h </w:instrText>
      </w:r>
      <w:r>
        <w:rPr>
          <w:highlight w:val="none"/>
        </w:rPr>
        <w:fldChar w:fldCharType="separate"/>
      </w:r>
      <w:r>
        <w:rPr>
          <w:highlight w:val="none"/>
        </w:rPr>
        <w:t>53</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4EA1EE34">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_Toc1766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十、项目负责人简历表</w:t>
      </w:r>
      <w:r>
        <w:rPr>
          <w:highlight w:val="none"/>
        </w:rPr>
        <w:tab/>
      </w:r>
      <w:r>
        <w:rPr>
          <w:highlight w:val="none"/>
        </w:rPr>
        <w:fldChar w:fldCharType="begin"/>
      </w:r>
      <w:r>
        <w:rPr>
          <w:highlight w:val="none"/>
        </w:rPr>
        <w:instrText xml:space="preserve"> PAGEREF _Toc1766 \h </w:instrText>
      </w:r>
      <w:r>
        <w:rPr>
          <w:highlight w:val="none"/>
        </w:rPr>
        <w:fldChar w:fldCharType="separate"/>
      </w:r>
      <w:r>
        <w:rPr>
          <w:highlight w:val="none"/>
        </w:rPr>
        <w:t>54</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47EB55AC">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_Toc27220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十一、拟派主要服务人员</w:t>
      </w:r>
      <w:r>
        <w:rPr>
          <w:highlight w:val="none"/>
        </w:rPr>
        <w:tab/>
      </w:r>
      <w:r>
        <w:rPr>
          <w:highlight w:val="none"/>
        </w:rPr>
        <w:fldChar w:fldCharType="begin"/>
      </w:r>
      <w:r>
        <w:rPr>
          <w:highlight w:val="none"/>
        </w:rPr>
        <w:instrText xml:space="preserve"> PAGEREF _Toc27220 \h </w:instrText>
      </w:r>
      <w:r>
        <w:rPr>
          <w:highlight w:val="none"/>
        </w:rPr>
        <w:fldChar w:fldCharType="separate"/>
      </w:r>
      <w:r>
        <w:rPr>
          <w:highlight w:val="none"/>
        </w:rPr>
        <w:t>55</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52C865A2">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_Toc19354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十二、服务方案</w:t>
      </w:r>
      <w:r>
        <w:rPr>
          <w:highlight w:val="none"/>
        </w:rPr>
        <w:tab/>
      </w:r>
      <w:r>
        <w:rPr>
          <w:highlight w:val="none"/>
        </w:rPr>
        <w:fldChar w:fldCharType="begin"/>
      </w:r>
      <w:r>
        <w:rPr>
          <w:highlight w:val="none"/>
        </w:rPr>
        <w:instrText xml:space="preserve"> PAGEREF _Toc19354 \h </w:instrText>
      </w:r>
      <w:r>
        <w:rPr>
          <w:highlight w:val="none"/>
        </w:rPr>
        <w:fldChar w:fldCharType="separate"/>
      </w:r>
      <w:r>
        <w:rPr>
          <w:highlight w:val="none"/>
        </w:rPr>
        <w:t>56</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3E10A5AD">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_Toc19661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十三、保证金缴纳证明材料</w:t>
      </w:r>
      <w:r>
        <w:rPr>
          <w:highlight w:val="none"/>
        </w:rPr>
        <w:tab/>
      </w:r>
      <w:r>
        <w:rPr>
          <w:highlight w:val="none"/>
        </w:rPr>
        <w:fldChar w:fldCharType="begin"/>
      </w:r>
      <w:r>
        <w:rPr>
          <w:highlight w:val="none"/>
        </w:rPr>
        <w:instrText xml:space="preserve"> PAGEREF _Toc19661 \h </w:instrText>
      </w:r>
      <w:r>
        <w:rPr>
          <w:highlight w:val="none"/>
        </w:rPr>
        <w:fldChar w:fldCharType="separate"/>
      </w:r>
      <w:r>
        <w:rPr>
          <w:highlight w:val="none"/>
        </w:rPr>
        <w:t>57</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098321B4">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_Toc17171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zCs w:val="24"/>
          <w:highlight w:val="none"/>
          <w:shd w:val="clear" w:color="auto" w:fill="FFFFFF" w:themeFill="background1"/>
          <w:lang w:val="en-US" w:eastAsia="zh-CN"/>
        </w:rPr>
        <w:t>十四、其他需要提交的资料</w:t>
      </w:r>
      <w:r>
        <w:rPr>
          <w:highlight w:val="none"/>
        </w:rPr>
        <w:tab/>
      </w:r>
      <w:r>
        <w:rPr>
          <w:highlight w:val="none"/>
        </w:rPr>
        <w:fldChar w:fldCharType="begin"/>
      </w:r>
      <w:r>
        <w:rPr>
          <w:highlight w:val="none"/>
        </w:rPr>
        <w:instrText xml:space="preserve"> PAGEREF _Toc17171 \h </w:instrText>
      </w:r>
      <w:r>
        <w:rPr>
          <w:highlight w:val="none"/>
        </w:rPr>
        <w:fldChar w:fldCharType="separate"/>
      </w:r>
      <w:r>
        <w:rPr>
          <w:highlight w:val="none"/>
        </w:rPr>
        <w:t>58</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3FEEFD9A">
      <w:pPr>
        <w:pStyle w:val="26"/>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_Toc30673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bCs/>
          <w:szCs w:val="36"/>
          <w:highlight w:val="none"/>
          <w:shd w:val="clear" w:color="auto" w:fill="FFFFFF" w:themeFill="background1"/>
          <w:lang w:val="en-US" w:eastAsia="zh-CN"/>
        </w:rPr>
        <w:t>第六章 补充条款</w:t>
      </w:r>
      <w:r>
        <w:rPr>
          <w:highlight w:val="none"/>
        </w:rPr>
        <w:tab/>
      </w:r>
      <w:r>
        <w:rPr>
          <w:highlight w:val="none"/>
        </w:rPr>
        <w:fldChar w:fldCharType="begin"/>
      </w:r>
      <w:r>
        <w:rPr>
          <w:highlight w:val="none"/>
        </w:rPr>
        <w:instrText xml:space="preserve"> PAGEREF _Toc30673 \h </w:instrText>
      </w:r>
      <w:r>
        <w:rPr>
          <w:highlight w:val="none"/>
        </w:rPr>
        <w:fldChar w:fldCharType="separate"/>
      </w:r>
      <w:r>
        <w:rPr>
          <w:highlight w:val="none"/>
        </w:rPr>
        <w:t>59</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09AC99BF">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_Toc17236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pacing w:val="6"/>
          <w:szCs w:val="24"/>
          <w:highlight w:val="none"/>
        </w:rPr>
        <w:t>附件</w:t>
      </w:r>
      <w:r>
        <w:rPr>
          <w:rFonts w:hint="eastAsia" w:ascii="仿宋" w:hAnsi="仿宋" w:eastAsia="仿宋" w:cs="仿宋"/>
          <w:spacing w:val="6"/>
          <w:szCs w:val="24"/>
          <w:highlight w:val="none"/>
          <w:lang w:val="en-US" w:eastAsia="zh-CN"/>
        </w:rPr>
        <w:t>1</w:t>
      </w:r>
      <w:r>
        <w:rPr>
          <w:rFonts w:hint="eastAsia" w:ascii="仿宋" w:hAnsi="仿宋" w:eastAsia="仿宋" w:cs="仿宋"/>
          <w:spacing w:val="6"/>
          <w:szCs w:val="24"/>
          <w:highlight w:val="none"/>
        </w:rPr>
        <w:t>、</w:t>
      </w:r>
      <w:r>
        <w:rPr>
          <w:rFonts w:hint="eastAsia" w:ascii="仿宋" w:hAnsi="仿宋" w:eastAsia="仿宋" w:cs="仿宋"/>
          <w:spacing w:val="6"/>
          <w:szCs w:val="24"/>
          <w:highlight w:val="none"/>
          <w:lang w:val="en-US" w:eastAsia="zh-CN"/>
        </w:rPr>
        <w:t>中小企业扶持政策</w:t>
      </w:r>
      <w:r>
        <w:rPr>
          <w:highlight w:val="none"/>
        </w:rPr>
        <w:tab/>
      </w:r>
      <w:r>
        <w:rPr>
          <w:highlight w:val="none"/>
        </w:rPr>
        <w:fldChar w:fldCharType="begin"/>
      </w:r>
      <w:r>
        <w:rPr>
          <w:highlight w:val="none"/>
        </w:rPr>
        <w:instrText xml:space="preserve"> PAGEREF _Toc17236 \h </w:instrText>
      </w:r>
      <w:r>
        <w:rPr>
          <w:highlight w:val="none"/>
        </w:rPr>
        <w:fldChar w:fldCharType="separate"/>
      </w:r>
      <w:r>
        <w:rPr>
          <w:highlight w:val="none"/>
        </w:rPr>
        <w:t>59</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246CAB80">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_Toc21062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pacing w:val="6"/>
          <w:szCs w:val="24"/>
          <w:highlight w:val="none"/>
        </w:rPr>
        <w:t>附件</w:t>
      </w:r>
      <w:r>
        <w:rPr>
          <w:rFonts w:hint="eastAsia" w:ascii="仿宋" w:hAnsi="仿宋" w:eastAsia="仿宋" w:cs="仿宋"/>
          <w:spacing w:val="6"/>
          <w:szCs w:val="24"/>
          <w:highlight w:val="none"/>
          <w:lang w:val="en-US" w:eastAsia="zh-CN"/>
        </w:rPr>
        <w:t>2</w:t>
      </w:r>
      <w:r>
        <w:rPr>
          <w:rFonts w:hint="eastAsia" w:ascii="仿宋" w:hAnsi="仿宋" w:eastAsia="仿宋" w:cs="仿宋"/>
          <w:spacing w:val="6"/>
          <w:szCs w:val="24"/>
          <w:highlight w:val="none"/>
        </w:rPr>
        <w:t>、</w:t>
      </w:r>
      <w:r>
        <w:rPr>
          <w:rFonts w:hint="eastAsia" w:ascii="仿宋" w:hAnsi="仿宋" w:eastAsia="仿宋" w:cs="仿宋"/>
          <w:spacing w:val="6"/>
          <w:szCs w:val="24"/>
          <w:highlight w:val="none"/>
          <w:lang w:val="en-US" w:eastAsia="zh-CN"/>
        </w:rPr>
        <w:t>残疾人企业扶持政策</w:t>
      </w:r>
      <w:r>
        <w:rPr>
          <w:highlight w:val="none"/>
        </w:rPr>
        <w:tab/>
      </w:r>
      <w:r>
        <w:rPr>
          <w:highlight w:val="none"/>
        </w:rPr>
        <w:fldChar w:fldCharType="begin"/>
      </w:r>
      <w:r>
        <w:rPr>
          <w:highlight w:val="none"/>
        </w:rPr>
        <w:instrText xml:space="preserve"> PAGEREF _Toc21062 \h </w:instrText>
      </w:r>
      <w:r>
        <w:rPr>
          <w:highlight w:val="none"/>
        </w:rPr>
        <w:fldChar w:fldCharType="separate"/>
      </w:r>
      <w:r>
        <w:rPr>
          <w:highlight w:val="none"/>
        </w:rPr>
        <w:t>63</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4050CD48">
      <w:pPr>
        <w:pStyle w:val="33"/>
        <w:tabs>
          <w:tab w:val="right" w:leader="dot" w:pos="9750"/>
        </w:tabs>
        <w:rPr>
          <w:highlight w:val="none"/>
        </w:rPr>
      </w:pPr>
      <w:r>
        <w:rPr>
          <w:rFonts w:hint="eastAsia" w:ascii="仿宋" w:hAnsi="仿宋" w:eastAsia="仿宋" w:cs="仿宋"/>
          <w:color w:val="auto"/>
          <w:szCs w:val="24"/>
          <w:highlight w:val="none"/>
          <w:shd w:val="clear" w:color="auto" w:fill="FFFFFF" w:themeFill="background1"/>
        </w:rPr>
        <w:fldChar w:fldCharType="begin"/>
      </w:r>
      <w:r>
        <w:rPr>
          <w:rFonts w:hint="eastAsia" w:ascii="仿宋" w:hAnsi="仿宋" w:eastAsia="仿宋" w:cs="仿宋"/>
          <w:szCs w:val="24"/>
          <w:highlight w:val="none"/>
          <w:shd w:val="clear" w:color="auto" w:fill="FFFFFF" w:themeFill="background1"/>
        </w:rPr>
        <w:instrText xml:space="preserve"> HYPERLINK \l _Toc1259 </w:instrText>
      </w:r>
      <w:r>
        <w:rPr>
          <w:rFonts w:hint="eastAsia" w:ascii="仿宋" w:hAnsi="仿宋" w:eastAsia="仿宋" w:cs="仿宋"/>
          <w:szCs w:val="24"/>
          <w:highlight w:val="none"/>
          <w:shd w:val="clear" w:color="auto" w:fill="FFFFFF" w:themeFill="background1"/>
        </w:rPr>
        <w:fldChar w:fldCharType="separate"/>
      </w:r>
      <w:r>
        <w:rPr>
          <w:rFonts w:hint="eastAsia" w:ascii="仿宋" w:hAnsi="仿宋" w:eastAsia="仿宋" w:cs="仿宋"/>
          <w:spacing w:val="6"/>
          <w:szCs w:val="24"/>
          <w:highlight w:val="none"/>
        </w:rPr>
        <w:t>附件</w:t>
      </w:r>
      <w:r>
        <w:rPr>
          <w:rFonts w:hint="eastAsia" w:ascii="仿宋" w:hAnsi="仿宋" w:eastAsia="仿宋" w:cs="仿宋"/>
          <w:spacing w:val="6"/>
          <w:szCs w:val="24"/>
          <w:highlight w:val="none"/>
          <w:lang w:val="en-US" w:eastAsia="zh-CN"/>
        </w:rPr>
        <w:t>3</w:t>
      </w:r>
      <w:r>
        <w:rPr>
          <w:rFonts w:hint="eastAsia" w:ascii="仿宋" w:hAnsi="仿宋" w:eastAsia="仿宋" w:cs="仿宋"/>
          <w:spacing w:val="6"/>
          <w:szCs w:val="24"/>
          <w:highlight w:val="none"/>
        </w:rPr>
        <w:t>、</w:t>
      </w:r>
      <w:r>
        <w:rPr>
          <w:rFonts w:hint="eastAsia" w:ascii="仿宋" w:hAnsi="仿宋" w:eastAsia="仿宋" w:cs="仿宋"/>
          <w:spacing w:val="6"/>
          <w:szCs w:val="24"/>
          <w:highlight w:val="none"/>
          <w:lang w:val="en-US" w:eastAsia="zh-CN"/>
        </w:rPr>
        <w:t>监狱扶持政策</w:t>
      </w:r>
      <w:r>
        <w:rPr>
          <w:highlight w:val="none"/>
        </w:rPr>
        <w:tab/>
      </w:r>
      <w:r>
        <w:rPr>
          <w:highlight w:val="none"/>
        </w:rPr>
        <w:fldChar w:fldCharType="begin"/>
      </w:r>
      <w:r>
        <w:rPr>
          <w:highlight w:val="none"/>
        </w:rPr>
        <w:instrText xml:space="preserve"> PAGEREF _Toc1259 \h </w:instrText>
      </w:r>
      <w:r>
        <w:rPr>
          <w:highlight w:val="none"/>
        </w:rPr>
        <w:fldChar w:fldCharType="separate"/>
      </w:r>
      <w:r>
        <w:rPr>
          <w:highlight w:val="none"/>
        </w:rPr>
        <w:t>65</w:t>
      </w:r>
      <w:r>
        <w:rPr>
          <w:highlight w:val="none"/>
        </w:rPr>
        <w:fldChar w:fldCharType="end"/>
      </w:r>
      <w:r>
        <w:rPr>
          <w:rFonts w:hint="eastAsia" w:ascii="仿宋" w:hAnsi="仿宋" w:eastAsia="仿宋" w:cs="仿宋"/>
          <w:color w:val="auto"/>
          <w:szCs w:val="24"/>
          <w:highlight w:val="none"/>
          <w:shd w:val="clear" w:color="auto" w:fill="FFFFFF" w:themeFill="background1"/>
        </w:rPr>
        <w:fldChar w:fldCharType="end"/>
      </w:r>
    </w:p>
    <w:p w14:paraId="24C68DE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fldChar w:fldCharType="end"/>
      </w:r>
    </w:p>
    <w:p w14:paraId="6C91AC47">
      <w:pPr>
        <w:spacing w:line="360" w:lineRule="auto"/>
        <w:rPr>
          <w:rFonts w:hint="eastAsia" w:ascii="仿宋" w:hAnsi="仿宋" w:eastAsia="仿宋" w:cs="仿宋"/>
          <w:b/>
          <w:color w:val="auto"/>
          <w:sz w:val="24"/>
          <w:szCs w:val="24"/>
          <w:highlight w:val="none"/>
          <w:shd w:val="clear" w:color="auto" w:fill="FFFFFF" w:themeFill="background1"/>
        </w:rPr>
        <w:sectPr>
          <w:footerReference r:id="rId6" w:type="first"/>
          <w:headerReference r:id="rId3" w:type="default"/>
          <w:footerReference r:id="rId4" w:type="default"/>
          <w:footerReference r:id="rId5" w:type="even"/>
          <w:pgSz w:w="11910" w:h="16840"/>
          <w:pgMar w:top="1440" w:right="1080" w:bottom="1440" w:left="1080" w:header="0" w:footer="1178" w:gutter="0"/>
          <w:cols w:space="720" w:num="1"/>
        </w:sectPr>
      </w:pPr>
    </w:p>
    <w:p w14:paraId="202DD63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val="0"/>
          <w:bCs w:val="0"/>
          <w:color w:val="auto"/>
          <w:sz w:val="36"/>
          <w:szCs w:val="36"/>
          <w:highlight w:val="none"/>
        </w:rPr>
      </w:pPr>
      <w:bookmarkStart w:id="0" w:name="_Toc1597"/>
      <w:bookmarkStart w:id="1" w:name="_Toc12565"/>
      <w:r>
        <w:rPr>
          <w:rFonts w:hint="eastAsia" w:ascii="仿宋" w:hAnsi="仿宋" w:eastAsia="仿宋" w:cs="仿宋"/>
          <w:b w:val="0"/>
          <w:bCs w:val="0"/>
          <w:color w:val="auto"/>
          <w:sz w:val="36"/>
          <w:szCs w:val="36"/>
          <w:highlight w:val="none"/>
          <w:lang w:val="en-US" w:eastAsia="zh-CN"/>
        </w:rPr>
        <w:t>竞争性</w:t>
      </w:r>
      <w:r>
        <w:rPr>
          <w:rFonts w:hint="eastAsia" w:ascii="仿宋" w:hAnsi="仿宋" w:eastAsia="仿宋" w:cs="仿宋"/>
          <w:b w:val="0"/>
          <w:bCs w:val="0"/>
          <w:color w:val="auto"/>
          <w:sz w:val="36"/>
          <w:szCs w:val="36"/>
          <w:highlight w:val="none"/>
        </w:rPr>
        <w:t>磋商公告</w:t>
      </w:r>
      <w:bookmarkEnd w:id="0"/>
      <w:bookmarkEnd w:id="1"/>
    </w:p>
    <w:p w14:paraId="5C521443">
      <w:pPr>
        <w:spacing w:line="360" w:lineRule="auto"/>
        <w:rPr>
          <w:rFonts w:hint="eastAsia" w:ascii="仿宋" w:hAnsi="仿宋" w:eastAsia="仿宋" w:cs="仿宋"/>
          <w:color w:val="auto"/>
          <w:highlight w:val="none"/>
          <w:lang w:val="en-US" w:eastAsia="zh-CN"/>
        </w:rPr>
      </w:pPr>
    </w:p>
    <w:p w14:paraId="34B628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项目概况</w:t>
      </w:r>
    </w:p>
    <w:p w14:paraId="1DEE8F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新疆农业大学数字图书馆2026年外文数据库服务项目</w:t>
      </w:r>
      <w:r>
        <w:rPr>
          <w:rFonts w:hint="eastAsia" w:ascii="仿宋" w:hAnsi="仿宋" w:eastAsia="仿宋" w:cs="仿宋"/>
          <w:color w:val="auto"/>
          <w:sz w:val="24"/>
          <w:szCs w:val="24"/>
          <w:highlight w:val="none"/>
        </w:rPr>
        <w:t>采购项目的潜在供应商应在政采云平台线上获取采购文件，并于</w:t>
      </w:r>
      <w:r>
        <w:rPr>
          <w:rFonts w:hint="eastAsia" w:ascii="仿宋" w:hAnsi="仿宋" w:eastAsia="仿宋" w:cs="仿宋"/>
          <w:color w:val="auto"/>
          <w:sz w:val="24"/>
          <w:szCs w:val="24"/>
          <w:highlight w:val="none"/>
          <w:lang w:eastAsia="zh-CN"/>
        </w:rPr>
        <w:t>2026年9月29日11:00</w:t>
      </w:r>
      <w:r>
        <w:rPr>
          <w:rFonts w:hint="eastAsia" w:ascii="仿宋" w:hAnsi="仿宋" w:eastAsia="仿宋" w:cs="仿宋"/>
          <w:color w:val="auto"/>
          <w:sz w:val="24"/>
          <w:szCs w:val="24"/>
          <w:highlight w:val="none"/>
        </w:rPr>
        <w:t>（北京时间）前提交响应文件。</w:t>
      </w:r>
    </w:p>
    <w:p w14:paraId="6DC141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二、项目基本情况</w:t>
      </w:r>
    </w:p>
    <w:p w14:paraId="062E49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XJXSJ-2026（ZC）-594</w:t>
      </w:r>
    </w:p>
    <w:p w14:paraId="187DE9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项目名称：新疆农业大学数字图书馆2026年外文数据库服务项目 </w:t>
      </w:r>
    </w:p>
    <w:p w14:paraId="01A41B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采购方式：竞争性磋商 </w:t>
      </w:r>
    </w:p>
    <w:p w14:paraId="64B0A9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预算金额（元）：</w:t>
      </w:r>
      <w:r>
        <w:rPr>
          <w:rFonts w:hint="eastAsia" w:ascii="仿宋" w:hAnsi="仿宋" w:eastAsia="仿宋" w:cs="仿宋"/>
          <w:color w:val="auto"/>
          <w:sz w:val="24"/>
          <w:szCs w:val="24"/>
          <w:highlight w:val="none"/>
          <w:lang w:val="en-US" w:eastAsia="zh-CN"/>
        </w:rPr>
        <w:t>1224888.00</w:t>
      </w:r>
    </w:p>
    <w:p w14:paraId="18F42C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最高限价（元）：</w:t>
      </w:r>
      <w:r>
        <w:rPr>
          <w:rFonts w:hint="eastAsia" w:ascii="仿宋" w:hAnsi="仿宋" w:eastAsia="仿宋" w:cs="仿宋"/>
          <w:color w:val="auto"/>
          <w:sz w:val="24"/>
          <w:szCs w:val="24"/>
          <w:highlight w:val="none"/>
          <w:lang w:val="en-US" w:eastAsia="zh-CN"/>
        </w:rPr>
        <w:t>1224888.00</w:t>
      </w:r>
    </w:p>
    <w:p w14:paraId="1E0534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简要规格描述：</w:t>
      </w:r>
      <w:r>
        <w:rPr>
          <w:rFonts w:hint="eastAsia" w:ascii="仿宋" w:hAnsi="仿宋" w:eastAsia="仿宋" w:cs="仿宋"/>
          <w:color w:val="auto"/>
          <w:sz w:val="24"/>
          <w:szCs w:val="24"/>
          <w:highlight w:val="none"/>
          <w:lang w:eastAsia="zh-CN"/>
        </w:rPr>
        <w:t>新疆农业大学数字图书馆2026年外文数据库服务，</w:t>
      </w:r>
      <w:r>
        <w:rPr>
          <w:rFonts w:hint="eastAsia" w:ascii="仿宋" w:hAnsi="仿宋" w:eastAsia="仿宋" w:cs="仿宋"/>
          <w:color w:val="auto"/>
          <w:sz w:val="24"/>
          <w:szCs w:val="24"/>
          <w:highlight w:val="none"/>
          <w:lang w:val="en-US" w:eastAsia="zh-CN"/>
        </w:rPr>
        <w:t>详见采购文件第四章服务标准和要求。</w:t>
      </w:r>
    </w:p>
    <w:p w14:paraId="0CC701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合同履约期限</w:t>
      </w:r>
      <w:r>
        <w:rPr>
          <w:rFonts w:hint="eastAsia" w:ascii="仿宋" w:hAnsi="仿宋" w:eastAsia="仿宋" w:cs="仿宋"/>
          <w:color w:val="auto"/>
          <w:sz w:val="24"/>
          <w:szCs w:val="24"/>
          <w:highlight w:val="none"/>
          <w:lang w:val="en-US" w:eastAsia="zh-CN"/>
        </w:rPr>
        <w:t>：1年</w:t>
      </w:r>
    </w:p>
    <w:p w14:paraId="23714E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本项目（</w:t>
      </w:r>
      <w:r>
        <w:rPr>
          <w:rFonts w:hint="eastAsia" w:ascii="仿宋" w:hAnsi="仿宋" w:eastAsia="仿宋" w:cs="仿宋"/>
          <w:color w:val="auto"/>
          <w:sz w:val="24"/>
          <w:szCs w:val="24"/>
          <w:highlight w:val="none"/>
          <w:lang w:val="en-US" w:eastAsia="zh-CN"/>
        </w:rPr>
        <w:t>否</w:t>
      </w:r>
      <w:r>
        <w:rPr>
          <w:rFonts w:hint="eastAsia" w:ascii="仿宋" w:hAnsi="仿宋" w:eastAsia="仿宋" w:cs="仿宋"/>
          <w:color w:val="auto"/>
          <w:sz w:val="24"/>
          <w:szCs w:val="24"/>
          <w:highlight w:val="none"/>
          <w:lang w:eastAsia="zh-CN"/>
        </w:rPr>
        <w:t>）接受联合体</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eastAsia="zh-CN"/>
        </w:rPr>
        <w:t>。</w:t>
      </w:r>
    </w:p>
    <w:p w14:paraId="2E6120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三、供应商的资格要求</w:t>
      </w:r>
    </w:p>
    <w:p w14:paraId="66C918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满足《中华人民共和国政府采购法》第二十二条规定。</w:t>
      </w:r>
    </w:p>
    <w:p w14:paraId="6FEB9B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2.供应商须具备有效的《出版物经营许可证》和《出版物进口经营许可证》。</w:t>
      </w:r>
    </w:p>
    <w:p w14:paraId="1EC24C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供应商如在“信用中国”网站（www.creditchina.gov.cn）、中国政府采购网（www.ccgp.gov.cn）等渠道被列入失信被执行人、重大税收违法失信主体、政府采购严重违法失信行为记录名单，尚在处罚期内的将被拒绝参加本次采购活动。</w:t>
      </w:r>
    </w:p>
    <w:p w14:paraId="265C84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四、获取采购文件</w:t>
      </w:r>
    </w:p>
    <w:p w14:paraId="13E351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2026年9月17日至2026年9月2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，每天00:00至14:00，14:00至23:59（北京时间，法定节假日除外）</w:t>
      </w:r>
    </w:p>
    <w:p w14:paraId="13BA5C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地点：政采云平台线上 </w:t>
      </w:r>
      <w:bookmarkStart w:id="221" w:name="_GoBack"/>
      <w:bookmarkEnd w:id="221"/>
    </w:p>
    <w:p w14:paraId="302CF1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供应商登录政采云平台https://www.zcygov.cn/在线申请获取采购文件（进入“项目采购”应用，在获取采购文件菜单中选择项目，申请获取采购文件），或者点击采购公告底部潜在供应商“获取采购文件”，页面跳转后</w:t>
      </w:r>
      <w:r>
        <w:rPr>
          <w:rFonts w:hint="eastAsia" w:ascii="仿宋" w:hAnsi="仿宋" w:eastAsia="仿宋" w:cs="仿宋"/>
          <w:color w:val="auto"/>
          <w:sz w:val="24"/>
          <w:szCs w:val="24"/>
          <w:highlight w:val="none"/>
          <w:lang w:eastAsia="zh-CN"/>
        </w:rPr>
        <w:t>登录</w:t>
      </w:r>
      <w:r>
        <w:rPr>
          <w:rFonts w:hint="eastAsia" w:ascii="仿宋" w:hAnsi="仿宋" w:eastAsia="仿宋" w:cs="仿宋"/>
          <w:color w:val="auto"/>
          <w:sz w:val="24"/>
          <w:szCs w:val="24"/>
          <w:highlight w:val="none"/>
        </w:rPr>
        <w:t>，直接获取采购文件。 </w:t>
      </w:r>
    </w:p>
    <w:p w14:paraId="729318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售价（元）： 0 </w:t>
      </w:r>
    </w:p>
    <w:p w14:paraId="5D7F86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五、响应文件提交 </w:t>
      </w:r>
    </w:p>
    <w:p w14:paraId="321243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eastAsia="zh-CN"/>
        </w:rPr>
        <w:t>2026年9月29日11:00</w:t>
      </w:r>
      <w:r>
        <w:rPr>
          <w:rFonts w:hint="eastAsia" w:ascii="仿宋" w:hAnsi="仿宋" w:eastAsia="仿宋" w:cs="仿宋"/>
          <w:color w:val="auto"/>
          <w:sz w:val="24"/>
          <w:szCs w:val="24"/>
          <w:highlight w:val="none"/>
        </w:rPr>
        <w:t>（北京时间）</w:t>
      </w:r>
    </w:p>
    <w:p w14:paraId="6DC020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地点：请登录政采云投标客户端投标 </w:t>
      </w:r>
    </w:p>
    <w:p w14:paraId="0730FD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六、响应文件开启 </w:t>
      </w:r>
    </w:p>
    <w:p w14:paraId="4E35D8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开启时间：</w:t>
      </w:r>
      <w:r>
        <w:rPr>
          <w:rFonts w:hint="eastAsia" w:ascii="仿宋" w:hAnsi="仿宋" w:eastAsia="仿宋" w:cs="仿宋"/>
          <w:color w:val="auto"/>
          <w:sz w:val="24"/>
          <w:szCs w:val="24"/>
          <w:highlight w:val="none"/>
          <w:lang w:eastAsia="zh-CN"/>
        </w:rPr>
        <w:t>2026年9月29日11:00</w:t>
      </w:r>
      <w:r>
        <w:rPr>
          <w:rFonts w:hint="eastAsia" w:ascii="仿宋" w:hAnsi="仿宋" w:eastAsia="仿宋" w:cs="仿宋"/>
          <w:color w:val="auto"/>
          <w:sz w:val="24"/>
          <w:szCs w:val="24"/>
          <w:highlight w:val="none"/>
        </w:rPr>
        <w:t> （北京时间）</w:t>
      </w:r>
    </w:p>
    <w:p w14:paraId="4CD1EA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登录政采云平台https://www.zcygov.cn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进入“项目采购</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开标评标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右边选择对应项目点击“进入项目”进入开标大厅。 </w:t>
      </w:r>
    </w:p>
    <w:p w14:paraId="606AC1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七、公告期限</w:t>
      </w:r>
    </w:p>
    <w:p w14:paraId="7D096B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自本公告发布之日起3个工作日。</w:t>
      </w:r>
    </w:p>
    <w:p w14:paraId="68CAA1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八、凡对本次采购提出询问，请按以下方式联系</w:t>
      </w:r>
    </w:p>
    <w:p w14:paraId="372E23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08ED0C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新疆农业大学</w:t>
      </w:r>
    </w:p>
    <w:p w14:paraId="153378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 址：乌鲁木齐市农大东路</w:t>
      </w:r>
      <w:r>
        <w:rPr>
          <w:rFonts w:hint="eastAsia" w:ascii="仿宋" w:hAnsi="仿宋" w:eastAsia="仿宋" w:cs="仿宋"/>
          <w:color w:val="auto"/>
          <w:sz w:val="24"/>
          <w:szCs w:val="24"/>
          <w:highlight w:val="none"/>
          <w:lang w:val="en-US" w:eastAsia="zh-CN"/>
        </w:rPr>
        <w:t>311号</w:t>
      </w:r>
    </w:p>
    <w:p w14:paraId="506F98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val="en-US" w:eastAsia="zh-CN"/>
        </w:rPr>
        <w:t>13579983411</w:t>
      </w:r>
    </w:p>
    <w:p w14:paraId="72B163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5E4192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305F4E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bookmarkStart w:id="2" w:name="OLE_LINK7"/>
      <w:bookmarkStart w:id="3" w:name="OLE_LINK8"/>
      <w:r>
        <w:rPr>
          <w:rFonts w:hint="eastAsia" w:ascii="仿宋" w:hAnsi="仿宋" w:eastAsia="仿宋" w:cs="仿宋"/>
          <w:color w:val="auto"/>
          <w:sz w:val="24"/>
          <w:szCs w:val="24"/>
          <w:highlight w:val="none"/>
        </w:rPr>
        <w:t>乌鲁木齐市新兴街20号</w:t>
      </w:r>
      <w:bookmarkEnd w:id="2"/>
      <w:bookmarkEnd w:id="3"/>
    </w:p>
    <w:p w14:paraId="5D6D5D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val="en-US" w:eastAsia="zh-CN"/>
        </w:rPr>
        <w:t>0991-4661782</w:t>
      </w:r>
    </w:p>
    <w:p w14:paraId="2E0B72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606F01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eastAsia="zh-CN"/>
        </w:rPr>
        <w:t>马丹阳、甘江涛</w:t>
      </w:r>
    </w:p>
    <w:p w14:paraId="7BE155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sectPr>
          <w:footerReference r:id="rId7" w:type="default"/>
          <w:pgSz w:w="11910" w:h="16840"/>
          <w:pgMar w:top="1440" w:right="1080" w:bottom="1440" w:left="1080" w:header="850" w:footer="850" w:gutter="0"/>
          <w:pgNumType w:fmt="decimal" w:start="1"/>
          <w:cols w:space="720" w:num="1"/>
        </w:sect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lang w:eastAsia="zh-CN"/>
        </w:rPr>
        <w:t>0991-4661782</w:t>
      </w:r>
    </w:p>
    <w:p w14:paraId="4C8B8492">
      <w:pPr>
        <w:keepNext w:val="0"/>
        <w:keepLines w:val="0"/>
        <w:pageBreakBefore w:val="0"/>
        <w:widowControl w:val="0"/>
        <w:kinsoku/>
        <w:wordWrap/>
        <w:overflowPunct/>
        <w:topLinePunct w:val="0"/>
        <w:autoSpaceDE/>
        <w:autoSpaceDN/>
        <w:bidi w:val="0"/>
        <w:adjustRightInd/>
        <w:snapToGrid/>
        <w:spacing w:line="540" w:lineRule="exact"/>
        <w:jc w:val="center"/>
        <w:textAlignment w:val="auto"/>
        <w:outlineLvl w:val="0"/>
        <w:rPr>
          <w:rFonts w:hint="eastAsia" w:ascii="仿宋" w:hAnsi="仿宋" w:eastAsia="仿宋" w:cs="仿宋"/>
          <w:b w:val="0"/>
          <w:bCs w:val="0"/>
          <w:color w:val="auto"/>
          <w:sz w:val="36"/>
          <w:szCs w:val="36"/>
          <w:highlight w:val="none"/>
          <w:lang w:val="en-US" w:eastAsia="zh-CN"/>
        </w:rPr>
      </w:pPr>
      <w:bookmarkStart w:id="4" w:name="_Toc29164"/>
      <w:r>
        <w:rPr>
          <w:rFonts w:hint="eastAsia" w:ascii="仿宋" w:hAnsi="仿宋" w:eastAsia="仿宋" w:cs="仿宋"/>
          <w:b w:val="0"/>
          <w:bCs w:val="0"/>
          <w:color w:val="auto"/>
          <w:sz w:val="36"/>
          <w:szCs w:val="36"/>
          <w:highlight w:val="none"/>
          <w:lang w:val="en-US" w:eastAsia="zh-CN"/>
        </w:rPr>
        <w:t>供应商须知前附表</w:t>
      </w:r>
      <w:bookmarkEnd w:id="4"/>
    </w:p>
    <w:p w14:paraId="4C1F62AA">
      <w:pPr>
        <w:rPr>
          <w:rFonts w:hint="eastAsia" w:ascii="仿宋" w:hAnsi="仿宋" w:eastAsia="仿宋" w:cs="仿宋"/>
          <w:color w:val="auto"/>
          <w:highlight w:val="none"/>
          <w:lang w:val="en-US" w:eastAsia="zh-CN"/>
        </w:rPr>
      </w:pPr>
    </w:p>
    <w:tbl>
      <w:tblPr>
        <w:tblStyle w:val="45"/>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795"/>
        <w:gridCol w:w="6688"/>
      </w:tblGrid>
      <w:tr w14:paraId="1512F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105E9F88">
            <w:pPr>
              <w:spacing w:line="288" w:lineRule="auto"/>
              <w:jc w:val="center"/>
              <w:rPr>
                <w:rFonts w:hint="eastAsia" w:ascii="仿宋" w:hAnsi="仿宋" w:eastAsia="仿宋" w:cs="仿宋"/>
                <w:b/>
                <w:color w:val="auto"/>
                <w:kern w:val="0"/>
                <w:sz w:val="22"/>
                <w:szCs w:val="22"/>
                <w:highlight w:val="none"/>
                <w:shd w:val="clear" w:color="auto" w:fill="FFFFFF" w:themeFill="background1"/>
              </w:rPr>
            </w:pPr>
            <w:r>
              <w:rPr>
                <w:rFonts w:hint="eastAsia" w:ascii="仿宋" w:hAnsi="仿宋" w:eastAsia="仿宋" w:cs="仿宋"/>
                <w:b/>
                <w:color w:val="auto"/>
                <w:kern w:val="0"/>
                <w:sz w:val="22"/>
                <w:szCs w:val="22"/>
                <w:highlight w:val="none"/>
                <w:shd w:val="clear" w:color="auto" w:fill="FFFFFF" w:themeFill="background1"/>
              </w:rPr>
              <w:t>项号</w:t>
            </w:r>
          </w:p>
        </w:tc>
        <w:tc>
          <w:tcPr>
            <w:tcW w:w="8483" w:type="dxa"/>
            <w:gridSpan w:val="2"/>
            <w:vAlign w:val="center"/>
          </w:tcPr>
          <w:p w14:paraId="550842B2">
            <w:pPr>
              <w:spacing w:line="288" w:lineRule="auto"/>
              <w:jc w:val="center"/>
              <w:rPr>
                <w:rFonts w:hint="eastAsia" w:ascii="仿宋" w:hAnsi="仿宋" w:eastAsia="仿宋" w:cs="仿宋"/>
                <w:b/>
                <w:color w:val="auto"/>
                <w:kern w:val="0"/>
                <w:sz w:val="22"/>
                <w:szCs w:val="22"/>
                <w:highlight w:val="none"/>
                <w:shd w:val="clear" w:color="auto" w:fill="FFFFFF" w:themeFill="background1"/>
              </w:rPr>
            </w:pPr>
            <w:r>
              <w:rPr>
                <w:rFonts w:hint="eastAsia" w:ascii="仿宋" w:hAnsi="仿宋" w:eastAsia="仿宋" w:cs="仿宋"/>
                <w:b/>
                <w:color w:val="auto"/>
                <w:kern w:val="0"/>
                <w:sz w:val="22"/>
                <w:szCs w:val="22"/>
                <w:highlight w:val="none"/>
                <w:shd w:val="clear" w:color="auto" w:fill="FFFFFF" w:themeFill="background1"/>
              </w:rPr>
              <w:t>编列内容</w:t>
            </w:r>
          </w:p>
        </w:tc>
      </w:tr>
      <w:tr w14:paraId="45A18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76A88138">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w:t>
            </w:r>
          </w:p>
        </w:tc>
        <w:tc>
          <w:tcPr>
            <w:tcW w:w="1795" w:type="dxa"/>
            <w:vAlign w:val="center"/>
          </w:tcPr>
          <w:p w14:paraId="0824E4C6">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项目名称</w:t>
            </w:r>
          </w:p>
        </w:tc>
        <w:tc>
          <w:tcPr>
            <w:tcW w:w="6688" w:type="dxa"/>
            <w:vAlign w:val="center"/>
          </w:tcPr>
          <w:p w14:paraId="1BAA433D">
            <w:pPr>
              <w:spacing w:line="288" w:lineRule="auto"/>
              <w:jc w:val="left"/>
              <w:rPr>
                <w:rFonts w:hint="eastAsia" w:ascii="仿宋" w:hAnsi="仿宋" w:eastAsia="仿宋" w:cs="仿宋"/>
                <w:color w:val="auto"/>
                <w:sz w:val="22"/>
                <w:szCs w:val="24"/>
                <w:highlight w:val="none"/>
                <w:lang w:eastAsia="zh-CN"/>
              </w:rPr>
            </w:pPr>
            <w:r>
              <w:rPr>
                <w:rFonts w:hint="eastAsia" w:ascii="仿宋" w:hAnsi="仿宋" w:eastAsia="仿宋" w:cs="仿宋"/>
                <w:color w:val="auto"/>
                <w:kern w:val="0"/>
                <w:sz w:val="22"/>
                <w:szCs w:val="22"/>
                <w:highlight w:val="none"/>
                <w:shd w:val="clear" w:color="auto" w:fill="FFFFFF" w:themeFill="background1"/>
                <w:lang w:eastAsia="zh-CN"/>
              </w:rPr>
              <w:t>新疆农业大学数字图书馆2026年外文数据库服务项目</w:t>
            </w:r>
          </w:p>
        </w:tc>
      </w:tr>
      <w:tr w14:paraId="65EE9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ADB09C1">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1FEBF63D">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项目编号</w:t>
            </w:r>
          </w:p>
        </w:tc>
        <w:tc>
          <w:tcPr>
            <w:tcW w:w="6688" w:type="dxa"/>
            <w:vAlign w:val="center"/>
          </w:tcPr>
          <w:p w14:paraId="3298096C">
            <w:pPr>
              <w:tabs>
                <w:tab w:val="center" w:pos="3287"/>
              </w:tabs>
              <w:spacing w:line="288" w:lineRule="auto"/>
              <w:jc w:val="left"/>
              <w:rPr>
                <w:rFonts w:hint="default" w:ascii="仿宋" w:hAnsi="仿宋" w:eastAsia="仿宋" w:cs="仿宋"/>
                <w:color w:val="auto"/>
                <w:kern w:val="0"/>
                <w:sz w:val="22"/>
                <w:szCs w:val="22"/>
                <w:highlight w:val="none"/>
                <w:shd w:val="clear" w:color="auto" w:fill="FFFFFF" w:themeFill="background1"/>
                <w:lang w:val="en-US" w:eastAsia="zh-CN"/>
              </w:rPr>
            </w:pPr>
            <w:r>
              <w:rPr>
                <w:rFonts w:hint="eastAsia" w:ascii="仿宋" w:hAnsi="仿宋" w:eastAsia="仿宋" w:cs="仿宋"/>
                <w:color w:val="auto"/>
                <w:kern w:val="0"/>
                <w:sz w:val="22"/>
                <w:szCs w:val="22"/>
                <w:highlight w:val="none"/>
                <w:shd w:val="clear" w:color="auto" w:fill="FFFFFF" w:themeFill="background1"/>
                <w:lang w:eastAsia="zh-CN"/>
              </w:rPr>
              <w:t>XJXSJ-2026（ZC）-594</w:t>
            </w:r>
          </w:p>
        </w:tc>
      </w:tr>
      <w:tr w14:paraId="0EE98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A60A7C7">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20A85A8A">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采购人</w:t>
            </w:r>
          </w:p>
        </w:tc>
        <w:tc>
          <w:tcPr>
            <w:tcW w:w="6688" w:type="dxa"/>
            <w:vAlign w:val="center"/>
          </w:tcPr>
          <w:p w14:paraId="116B579A">
            <w:pPr>
              <w:spacing w:line="288" w:lineRule="auto"/>
              <w:jc w:val="left"/>
              <w:rPr>
                <w:rFonts w:hint="eastAsia" w:ascii="仿宋" w:hAnsi="仿宋" w:eastAsia="仿宋" w:cs="仿宋"/>
                <w:color w:val="auto"/>
                <w:kern w:val="0"/>
                <w:sz w:val="22"/>
                <w:szCs w:val="22"/>
                <w:highlight w:val="none"/>
                <w:shd w:val="clear" w:color="auto" w:fill="FFFFFF" w:themeFill="background1"/>
                <w:lang w:eastAsia="zh-CN"/>
              </w:rPr>
            </w:pPr>
            <w:r>
              <w:rPr>
                <w:rFonts w:hint="eastAsia" w:ascii="仿宋" w:hAnsi="仿宋" w:eastAsia="仿宋" w:cs="仿宋"/>
                <w:color w:val="auto"/>
                <w:kern w:val="0"/>
                <w:sz w:val="22"/>
                <w:szCs w:val="22"/>
                <w:highlight w:val="none"/>
                <w:shd w:val="clear" w:color="auto" w:fill="FFFFFF" w:themeFill="background1"/>
                <w:lang w:eastAsia="zh-CN"/>
              </w:rPr>
              <w:t>新疆农业大学</w:t>
            </w:r>
          </w:p>
        </w:tc>
      </w:tr>
      <w:tr w14:paraId="057B7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057CCF8">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79914191">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采购代理机构</w:t>
            </w:r>
          </w:p>
        </w:tc>
        <w:tc>
          <w:tcPr>
            <w:tcW w:w="6688" w:type="dxa"/>
            <w:vAlign w:val="center"/>
          </w:tcPr>
          <w:p w14:paraId="60705842">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新疆新世纪招标有限公司</w:t>
            </w:r>
          </w:p>
        </w:tc>
      </w:tr>
      <w:tr w14:paraId="7261C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2FD10C3">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2ACD3C3F">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项目地点</w:t>
            </w:r>
          </w:p>
        </w:tc>
        <w:tc>
          <w:tcPr>
            <w:tcW w:w="6688" w:type="dxa"/>
            <w:vAlign w:val="center"/>
          </w:tcPr>
          <w:p w14:paraId="202FA07C">
            <w:pPr>
              <w:spacing w:line="288" w:lineRule="auto"/>
              <w:jc w:val="left"/>
              <w:rPr>
                <w:rFonts w:hint="eastAsia" w:ascii="仿宋" w:hAnsi="仿宋" w:eastAsia="仿宋" w:cs="仿宋"/>
                <w:color w:val="auto"/>
                <w:kern w:val="0"/>
                <w:sz w:val="22"/>
                <w:szCs w:val="22"/>
                <w:highlight w:val="none"/>
                <w:shd w:val="clear" w:color="auto" w:fill="FFFFFF" w:themeFill="background1"/>
                <w:lang w:eastAsia="zh-CN"/>
              </w:rPr>
            </w:pPr>
            <w:r>
              <w:rPr>
                <w:rFonts w:hint="eastAsia" w:ascii="仿宋" w:hAnsi="仿宋" w:eastAsia="仿宋" w:cs="仿宋"/>
                <w:color w:val="auto"/>
                <w:kern w:val="0"/>
                <w:sz w:val="22"/>
                <w:szCs w:val="22"/>
                <w:highlight w:val="none"/>
                <w:shd w:val="clear" w:color="auto" w:fill="FFFFFF" w:themeFill="background1"/>
                <w:lang w:val="en-US" w:eastAsia="zh-CN"/>
              </w:rPr>
              <w:t>乌鲁木齐市</w:t>
            </w:r>
          </w:p>
        </w:tc>
      </w:tr>
      <w:tr w14:paraId="35D6B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BB38DD3">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5808D7FB">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资金来源</w:t>
            </w:r>
          </w:p>
        </w:tc>
        <w:tc>
          <w:tcPr>
            <w:tcW w:w="6688" w:type="dxa"/>
            <w:vAlign w:val="center"/>
          </w:tcPr>
          <w:p w14:paraId="086A486A">
            <w:pPr>
              <w:keepLines w:val="0"/>
              <w:pageBreakBefore w:val="0"/>
              <w:kinsoku/>
              <w:wordWrap/>
              <w:overflowPunct/>
              <w:topLinePunct w:val="0"/>
              <w:autoSpaceDE/>
              <w:autoSpaceDN/>
              <w:bidi w:val="0"/>
              <w:adjustRightInd/>
              <w:snapToGrid/>
              <w:spacing w:beforeAutospacing="0" w:afterAutospacing="0" w:line="288" w:lineRule="auto"/>
              <w:jc w:val="left"/>
              <w:textAlignment w:val="auto"/>
              <w:rPr>
                <w:rFonts w:hint="eastAsia" w:ascii="仿宋" w:hAnsi="仿宋" w:eastAsia="仿宋" w:cs="仿宋"/>
                <w:color w:val="auto"/>
                <w:kern w:val="0"/>
                <w:sz w:val="22"/>
                <w:szCs w:val="22"/>
                <w:highlight w:val="none"/>
                <w:shd w:val="clear" w:color="auto" w:fill="FFFFFF" w:themeFill="background1"/>
                <w:lang w:val="en-US" w:eastAsia="zh-CN"/>
              </w:rPr>
            </w:pPr>
            <w:r>
              <w:rPr>
                <w:rFonts w:hint="eastAsia" w:ascii="仿宋" w:hAnsi="仿宋" w:eastAsia="仿宋" w:cs="仿宋"/>
                <w:color w:val="auto"/>
                <w:kern w:val="0"/>
                <w:sz w:val="22"/>
                <w:szCs w:val="22"/>
                <w:highlight w:val="none"/>
                <w:shd w:val="clear" w:color="auto" w:fill="FFFFFF" w:themeFill="background1"/>
                <w:lang w:val="en-US" w:eastAsia="zh-CN"/>
              </w:rPr>
              <w:t>财政资金</w:t>
            </w:r>
          </w:p>
        </w:tc>
      </w:tr>
      <w:tr w14:paraId="3A83C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90F27B9">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480BD2D2">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采购预算金额</w:t>
            </w:r>
          </w:p>
        </w:tc>
        <w:tc>
          <w:tcPr>
            <w:tcW w:w="6688" w:type="dxa"/>
            <w:vAlign w:val="center"/>
          </w:tcPr>
          <w:p w14:paraId="2EEF0E10">
            <w:pPr>
              <w:spacing w:line="288" w:lineRule="auto"/>
              <w:jc w:val="left"/>
              <w:rPr>
                <w:rFonts w:hint="eastAsia" w:ascii="仿宋" w:hAnsi="仿宋" w:eastAsia="仿宋" w:cs="仿宋"/>
                <w:color w:val="auto"/>
                <w:kern w:val="0"/>
                <w:sz w:val="22"/>
                <w:szCs w:val="22"/>
                <w:highlight w:val="none"/>
                <w:shd w:val="clear" w:color="auto" w:fill="FFFFFF" w:themeFill="background1"/>
                <w:lang w:eastAsia="zh-CN"/>
              </w:rPr>
            </w:pPr>
            <w:r>
              <w:rPr>
                <w:rFonts w:hint="eastAsia" w:ascii="仿宋" w:hAnsi="仿宋" w:eastAsia="仿宋" w:cs="仿宋"/>
                <w:color w:val="auto"/>
                <w:kern w:val="0"/>
                <w:sz w:val="22"/>
                <w:szCs w:val="22"/>
                <w:highlight w:val="none"/>
                <w:shd w:val="clear" w:color="auto" w:fill="FFFFFF" w:themeFill="background1"/>
                <w:lang w:val="en-US" w:eastAsia="zh-CN"/>
              </w:rPr>
              <w:t>1224888.00</w:t>
            </w:r>
            <w:r>
              <w:rPr>
                <w:rFonts w:hint="eastAsia" w:ascii="仿宋" w:hAnsi="仿宋" w:eastAsia="仿宋" w:cs="仿宋"/>
                <w:color w:val="auto"/>
                <w:kern w:val="0"/>
                <w:sz w:val="22"/>
                <w:szCs w:val="22"/>
                <w:highlight w:val="none"/>
                <w:shd w:val="clear" w:color="auto" w:fill="FFFFFF" w:themeFill="background1"/>
                <w:lang w:eastAsia="zh-CN"/>
              </w:rPr>
              <w:t>元</w:t>
            </w:r>
          </w:p>
        </w:tc>
      </w:tr>
      <w:tr w14:paraId="19009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4E2ED52">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348028F9">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最高限价</w:t>
            </w:r>
          </w:p>
        </w:tc>
        <w:tc>
          <w:tcPr>
            <w:tcW w:w="6688" w:type="dxa"/>
            <w:vAlign w:val="center"/>
          </w:tcPr>
          <w:p w14:paraId="7045FA74">
            <w:pPr>
              <w:spacing w:line="288" w:lineRule="auto"/>
              <w:jc w:val="left"/>
              <w:rPr>
                <w:rFonts w:hint="eastAsia" w:ascii="仿宋" w:hAnsi="仿宋" w:eastAsia="仿宋" w:cs="仿宋"/>
                <w:color w:val="auto"/>
                <w:kern w:val="0"/>
                <w:sz w:val="22"/>
                <w:szCs w:val="22"/>
                <w:highlight w:val="none"/>
                <w:shd w:val="clear" w:color="auto" w:fill="FFFFFF" w:themeFill="background1"/>
                <w:lang w:eastAsia="zh-CN"/>
              </w:rPr>
            </w:pPr>
            <w:r>
              <w:rPr>
                <w:rFonts w:hint="eastAsia" w:ascii="仿宋" w:hAnsi="仿宋" w:eastAsia="仿宋" w:cs="仿宋"/>
                <w:color w:val="auto"/>
                <w:kern w:val="0"/>
                <w:sz w:val="22"/>
                <w:szCs w:val="22"/>
                <w:highlight w:val="none"/>
                <w:shd w:val="clear" w:color="auto" w:fill="FFFFFF" w:themeFill="background1"/>
                <w:lang w:val="en-US" w:eastAsia="zh-CN"/>
              </w:rPr>
              <w:t>最高限价总价：1224888.00</w:t>
            </w:r>
            <w:r>
              <w:rPr>
                <w:rFonts w:hint="eastAsia" w:ascii="仿宋" w:hAnsi="仿宋" w:eastAsia="仿宋" w:cs="仿宋"/>
                <w:color w:val="auto"/>
                <w:kern w:val="0"/>
                <w:sz w:val="22"/>
                <w:szCs w:val="22"/>
                <w:highlight w:val="none"/>
                <w:shd w:val="clear" w:color="auto" w:fill="FFFFFF" w:themeFill="background1"/>
                <w:lang w:eastAsia="zh-CN"/>
              </w:rPr>
              <w:t>元</w:t>
            </w:r>
          </w:p>
          <w:p w14:paraId="129D9842">
            <w:pPr>
              <w:spacing w:line="288" w:lineRule="auto"/>
              <w:jc w:val="left"/>
              <w:rPr>
                <w:rFonts w:hint="default" w:ascii="仿宋" w:hAnsi="仿宋" w:eastAsia="仿宋" w:cs="仿宋"/>
                <w:color w:val="auto"/>
                <w:kern w:val="0"/>
                <w:sz w:val="22"/>
                <w:szCs w:val="22"/>
                <w:highlight w:val="none"/>
                <w:shd w:val="clear" w:color="auto" w:fill="FFFFFF" w:themeFill="background1"/>
                <w:lang w:val="en-US" w:eastAsia="zh-CN"/>
              </w:rPr>
            </w:pPr>
            <w:r>
              <w:rPr>
                <w:rFonts w:hint="eastAsia" w:ascii="仿宋" w:hAnsi="仿宋" w:eastAsia="仿宋" w:cs="仿宋"/>
                <w:color w:val="auto"/>
                <w:kern w:val="0"/>
                <w:sz w:val="22"/>
                <w:szCs w:val="22"/>
                <w:highlight w:val="none"/>
                <w:shd w:val="clear" w:color="auto" w:fill="FFFFFF" w:themeFill="background1"/>
                <w:lang w:val="en-US" w:eastAsia="zh-CN"/>
              </w:rPr>
              <w:t>最高限价单价：详见第四章“</w:t>
            </w:r>
            <w:r>
              <w:rPr>
                <w:rFonts w:hint="eastAsia" w:ascii="仿宋" w:hAnsi="仿宋" w:eastAsia="仿宋" w:cs="仿宋"/>
                <w:bCs/>
                <w:szCs w:val="36"/>
                <w:highlight w:val="none"/>
                <w:shd w:val="clear" w:color="auto" w:fill="FFFFFF" w:themeFill="background1"/>
                <w:lang w:eastAsia="zh-CN"/>
              </w:rPr>
              <w:t>服务标准和要求</w:t>
            </w:r>
            <w:r>
              <w:rPr>
                <w:rFonts w:hint="eastAsia" w:ascii="仿宋" w:hAnsi="仿宋" w:eastAsia="仿宋" w:cs="仿宋"/>
                <w:color w:val="auto"/>
                <w:kern w:val="0"/>
                <w:sz w:val="22"/>
                <w:szCs w:val="22"/>
                <w:highlight w:val="none"/>
                <w:shd w:val="clear" w:color="auto" w:fill="FFFFFF" w:themeFill="background1"/>
                <w:lang w:val="en-US" w:eastAsia="zh-CN"/>
              </w:rPr>
              <w:t>”</w:t>
            </w:r>
          </w:p>
        </w:tc>
      </w:tr>
      <w:tr w14:paraId="13413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0FF20F5">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549EF31C">
            <w:pPr>
              <w:keepNext/>
              <w:widowControl/>
              <w:spacing w:line="288" w:lineRule="auto"/>
              <w:jc w:val="distribute"/>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kern w:val="0"/>
                <w:sz w:val="22"/>
                <w:szCs w:val="22"/>
                <w:highlight w:val="none"/>
                <w:lang w:eastAsia="zh-CN"/>
              </w:rPr>
              <w:t>合同履约期限</w:t>
            </w:r>
          </w:p>
        </w:tc>
        <w:tc>
          <w:tcPr>
            <w:tcW w:w="6688" w:type="dxa"/>
            <w:vAlign w:val="center"/>
          </w:tcPr>
          <w:p w14:paraId="59D74FD7">
            <w:pPr>
              <w:spacing w:line="288" w:lineRule="auto"/>
              <w:jc w:val="left"/>
              <w:rPr>
                <w:rFonts w:hint="eastAsia" w:ascii="仿宋" w:hAnsi="仿宋" w:eastAsia="仿宋" w:cs="仿宋"/>
                <w:color w:val="auto"/>
                <w:kern w:val="0"/>
                <w:sz w:val="22"/>
                <w:szCs w:val="22"/>
                <w:highlight w:val="none"/>
                <w:shd w:val="clear" w:color="auto" w:fill="FFFFFF" w:themeFill="background1"/>
                <w:lang w:eastAsia="zh-CN"/>
              </w:rPr>
            </w:pPr>
            <w:r>
              <w:rPr>
                <w:rFonts w:hint="eastAsia" w:ascii="仿宋" w:hAnsi="仿宋" w:eastAsia="仿宋" w:cs="仿宋"/>
                <w:color w:val="auto"/>
                <w:kern w:val="0"/>
                <w:sz w:val="22"/>
                <w:szCs w:val="22"/>
                <w:highlight w:val="none"/>
                <w:shd w:val="clear" w:color="auto" w:fill="FFFFFF" w:themeFill="background1"/>
                <w:lang w:eastAsia="zh-CN"/>
              </w:rPr>
              <w:t>1年</w:t>
            </w:r>
          </w:p>
        </w:tc>
      </w:tr>
      <w:tr w14:paraId="55067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FC7C152">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11CA8D13">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服务地点</w:t>
            </w:r>
          </w:p>
        </w:tc>
        <w:tc>
          <w:tcPr>
            <w:tcW w:w="6688" w:type="dxa"/>
            <w:vAlign w:val="center"/>
          </w:tcPr>
          <w:p w14:paraId="448DE3E4">
            <w:pPr>
              <w:spacing w:line="288" w:lineRule="auto"/>
              <w:jc w:val="left"/>
              <w:rPr>
                <w:rFonts w:hint="eastAsia" w:ascii="仿宋" w:hAnsi="仿宋" w:eastAsia="仿宋" w:cs="仿宋"/>
                <w:color w:val="auto"/>
                <w:kern w:val="0"/>
                <w:sz w:val="22"/>
                <w:szCs w:val="22"/>
                <w:highlight w:val="none"/>
                <w:shd w:val="clear" w:color="auto" w:fill="FFFFFF" w:themeFill="background1"/>
                <w:lang w:eastAsia="zh-CN"/>
              </w:rPr>
            </w:pPr>
            <w:r>
              <w:rPr>
                <w:rFonts w:hint="eastAsia" w:ascii="仿宋" w:hAnsi="仿宋" w:eastAsia="仿宋" w:cs="仿宋"/>
                <w:color w:val="auto"/>
                <w:kern w:val="0"/>
                <w:sz w:val="22"/>
                <w:szCs w:val="22"/>
                <w:highlight w:val="none"/>
                <w:shd w:val="clear" w:color="auto" w:fill="FFFFFF" w:themeFill="background1"/>
              </w:rPr>
              <w:t>采购人指定地点</w:t>
            </w:r>
          </w:p>
        </w:tc>
      </w:tr>
      <w:tr w14:paraId="3AA51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20" w:hRule="atLeast"/>
          <w:jc w:val="center"/>
        </w:trPr>
        <w:tc>
          <w:tcPr>
            <w:tcW w:w="597" w:type="dxa"/>
            <w:vAlign w:val="center"/>
          </w:tcPr>
          <w:p w14:paraId="398EEC6D">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2</w:t>
            </w:r>
          </w:p>
        </w:tc>
        <w:tc>
          <w:tcPr>
            <w:tcW w:w="1795" w:type="dxa"/>
            <w:vAlign w:val="center"/>
          </w:tcPr>
          <w:p w14:paraId="7CE7F281">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采购范围</w:t>
            </w:r>
          </w:p>
        </w:tc>
        <w:tc>
          <w:tcPr>
            <w:tcW w:w="6688" w:type="dxa"/>
            <w:vAlign w:val="center"/>
          </w:tcPr>
          <w:p w14:paraId="13F23455">
            <w:pPr>
              <w:keepNext w:val="0"/>
              <w:keepLines w:val="0"/>
              <w:widowControl/>
              <w:suppressLineNumbers w:val="0"/>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lang w:val="en-US" w:eastAsia="zh-CN"/>
              </w:rPr>
              <w:t>新疆农业大学数字图书馆2026年外文数据库服务项目采购范围内的所有工作内容，关于采购范围的详细说明见招标文件第四章“技术标准和要求”。</w:t>
            </w:r>
          </w:p>
        </w:tc>
      </w:tr>
      <w:tr w14:paraId="3E01A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6487EFF9">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3</w:t>
            </w:r>
          </w:p>
        </w:tc>
        <w:tc>
          <w:tcPr>
            <w:tcW w:w="1795" w:type="dxa"/>
            <w:vAlign w:val="center"/>
          </w:tcPr>
          <w:p w14:paraId="76DD2304">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采购方式</w:t>
            </w:r>
          </w:p>
        </w:tc>
        <w:tc>
          <w:tcPr>
            <w:tcW w:w="6688" w:type="dxa"/>
            <w:vAlign w:val="center"/>
          </w:tcPr>
          <w:p w14:paraId="7FDE446C">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竞争性磋商</w:t>
            </w:r>
          </w:p>
        </w:tc>
      </w:tr>
      <w:tr w14:paraId="1D6D9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10DCBCDD">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0C5DBFFE">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资格审查方式</w:t>
            </w:r>
          </w:p>
        </w:tc>
        <w:tc>
          <w:tcPr>
            <w:tcW w:w="6688" w:type="dxa"/>
            <w:vAlign w:val="center"/>
          </w:tcPr>
          <w:p w14:paraId="215BBA0B">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资格后审</w:t>
            </w:r>
          </w:p>
        </w:tc>
      </w:tr>
      <w:tr w14:paraId="551F6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4B448E62">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4</w:t>
            </w:r>
          </w:p>
        </w:tc>
        <w:tc>
          <w:tcPr>
            <w:tcW w:w="1795" w:type="dxa"/>
            <w:vAlign w:val="center"/>
          </w:tcPr>
          <w:p w14:paraId="39B21D7B">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评审办法</w:t>
            </w:r>
          </w:p>
        </w:tc>
        <w:tc>
          <w:tcPr>
            <w:tcW w:w="6688" w:type="dxa"/>
            <w:vAlign w:val="center"/>
          </w:tcPr>
          <w:p w14:paraId="0D1CB9FF">
            <w:pPr>
              <w:keepNext/>
              <w:widowControl/>
              <w:spacing w:line="288" w:lineRule="auto"/>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综合评分法</w:t>
            </w:r>
          </w:p>
        </w:tc>
      </w:tr>
      <w:tr w14:paraId="78FD8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CA068FF">
            <w:pPr>
              <w:spacing w:line="288" w:lineRule="auto"/>
              <w:jc w:val="center"/>
              <w:rPr>
                <w:rFonts w:hint="eastAsia" w:ascii="仿宋" w:hAnsi="仿宋" w:eastAsia="仿宋" w:cs="仿宋"/>
                <w:color w:val="auto"/>
                <w:kern w:val="0"/>
                <w:sz w:val="22"/>
                <w:szCs w:val="22"/>
                <w:highlight w:val="none"/>
                <w:shd w:val="clear" w:color="auto" w:fill="FFFFFF" w:themeFill="background1"/>
              </w:rPr>
            </w:pPr>
          </w:p>
        </w:tc>
        <w:tc>
          <w:tcPr>
            <w:tcW w:w="1795" w:type="dxa"/>
            <w:vAlign w:val="center"/>
          </w:tcPr>
          <w:p w14:paraId="7E57270D">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定标方法</w:t>
            </w:r>
          </w:p>
        </w:tc>
        <w:tc>
          <w:tcPr>
            <w:tcW w:w="6688" w:type="dxa"/>
            <w:vAlign w:val="center"/>
          </w:tcPr>
          <w:p w14:paraId="5403B393">
            <w:pPr>
              <w:keepNext/>
              <w:widowControl/>
              <w:spacing w:line="288" w:lineRule="auto"/>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磋商小组推荐三名成交候选人</w:t>
            </w:r>
          </w:p>
        </w:tc>
      </w:tr>
      <w:tr w14:paraId="0D0CD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vAlign w:val="center"/>
          </w:tcPr>
          <w:p w14:paraId="0372308B">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5</w:t>
            </w:r>
          </w:p>
        </w:tc>
        <w:tc>
          <w:tcPr>
            <w:tcW w:w="1795" w:type="dxa"/>
            <w:vAlign w:val="center"/>
          </w:tcPr>
          <w:p w14:paraId="3A3AA866">
            <w:pPr>
              <w:keepNext/>
              <w:widowControl/>
              <w:spacing w:line="288" w:lineRule="auto"/>
              <w:jc w:val="distribute"/>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kern w:val="0"/>
                <w:sz w:val="22"/>
                <w:szCs w:val="22"/>
                <w:highlight w:val="none"/>
                <w:lang w:eastAsia="zh-CN"/>
              </w:rPr>
              <w:t>供应商的资格要求</w:t>
            </w:r>
          </w:p>
        </w:tc>
        <w:tc>
          <w:tcPr>
            <w:tcW w:w="6688" w:type="dxa"/>
            <w:vAlign w:val="center"/>
          </w:tcPr>
          <w:p w14:paraId="0171C014">
            <w:pPr>
              <w:spacing w:line="288" w:lineRule="auto"/>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1.满足《中华人民共和国政府采购法》第二十二条规定。</w:t>
            </w:r>
          </w:p>
          <w:p w14:paraId="0AFA98FC">
            <w:pPr>
              <w:spacing w:line="288" w:lineRule="auto"/>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2.供应商须具备有效的《出版物经营许可证》和《出版物进口经营许可证》。</w:t>
            </w:r>
          </w:p>
          <w:p w14:paraId="480E64F1">
            <w:pPr>
              <w:spacing w:line="288" w:lineRule="auto"/>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供应商如在“信用中国”网站（www.creditchina.gov.cn）、中国政府采购网（www.ccgp.gov.cn）等渠道被列入失信被执行人、重大税收违法失信主体、政府采购严重违法失信行为记录名单，尚在处罚期内的将被拒绝参加本次采购活动。</w:t>
            </w:r>
          </w:p>
        </w:tc>
      </w:tr>
      <w:tr w14:paraId="78140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vAlign w:val="center"/>
          </w:tcPr>
          <w:p w14:paraId="0C61831A">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6</w:t>
            </w:r>
          </w:p>
        </w:tc>
        <w:tc>
          <w:tcPr>
            <w:tcW w:w="1795" w:type="dxa"/>
            <w:vAlign w:val="center"/>
          </w:tcPr>
          <w:p w14:paraId="7D367218">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供应商不得存在的情形</w:t>
            </w:r>
          </w:p>
        </w:tc>
        <w:tc>
          <w:tcPr>
            <w:tcW w:w="6688" w:type="dxa"/>
            <w:vAlign w:val="center"/>
          </w:tcPr>
          <w:p w14:paraId="3180F4B0">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本项目不接受联合体。</w:t>
            </w:r>
          </w:p>
          <w:p w14:paraId="42A8C36D">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2</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为采购项目提供整体设计、规范编制或者项目管理、监理、检测等服务的供应商，不得再参加该采购项目的其他采购活动。</w:t>
            </w:r>
          </w:p>
          <w:p w14:paraId="0424072B">
            <w:pPr>
              <w:spacing w:line="288" w:lineRule="auto"/>
              <w:jc w:val="left"/>
              <w:rPr>
                <w:rFonts w:hint="eastAsia" w:ascii="仿宋" w:hAnsi="仿宋" w:eastAsia="仿宋" w:cs="仿宋"/>
                <w:color w:val="auto"/>
                <w:sz w:val="22"/>
                <w:szCs w:val="24"/>
                <w:highlight w:val="none"/>
              </w:rPr>
            </w:pPr>
            <w:r>
              <w:rPr>
                <w:rFonts w:hint="eastAsia" w:ascii="仿宋" w:hAnsi="仿宋" w:eastAsia="仿宋" w:cs="仿宋"/>
                <w:color w:val="auto"/>
                <w:kern w:val="0"/>
                <w:sz w:val="22"/>
                <w:szCs w:val="22"/>
                <w:highlight w:val="none"/>
                <w:shd w:val="clear" w:color="auto" w:fill="FFFFFF" w:themeFill="background1"/>
              </w:rPr>
              <w:t>3</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单位负责人为同一人或者存在直接控股、管理关系的不同供应商不得参加本项目同一包的采购活动。</w:t>
            </w:r>
          </w:p>
          <w:p w14:paraId="6D321CBF">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4</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供应商处于被责令停业、财产被接管、冻结和破产状态，以及</w:t>
            </w:r>
            <w:r>
              <w:rPr>
                <w:rFonts w:hint="eastAsia" w:ascii="仿宋" w:hAnsi="仿宋" w:eastAsia="仿宋" w:cs="仿宋"/>
                <w:color w:val="auto"/>
                <w:kern w:val="0"/>
                <w:sz w:val="22"/>
                <w:szCs w:val="22"/>
                <w:highlight w:val="none"/>
                <w:shd w:val="clear" w:color="auto" w:fill="FFFFFF" w:themeFill="background1"/>
                <w:lang w:val="en-US" w:eastAsia="zh-CN"/>
              </w:rPr>
              <w:t>响应</w:t>
            </w:r>
            <w:r>
              <w:rPr>
                <w:rFonts w:hint="eastAsia" w:ascii="仿宋" w:hAnsi="仿宋" w:eastAsia="仿宋" w:cs="仿宋"/>
                <w:color w:val="auto"/>
                <w:kern w:val="0"/>
                <w:sz w:val="22"/>
                <w:szCs w:val="22"/>
                <w:highlight w:val="none"/>
                <w:shd w:val="clear" w:color="auto" w:fill="FFFFFF" w:themeFill="background1"/>
              </w:rPr>
              <w:t>资格被取消或者被暂停且在暂停期内。</w:t>
            </w:r>
          </w:p>
          <w:p w14:paraId="63477408">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5</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法律法规及</w:t>
            </w:r>
            <w:r>
              <w:rPr>
                <w:rFonts w:hint="eastAsia" w:ascii="仿宋" w:hAnsi="仿宋" w:eastAsia="仿宋" w:cs="仿宋"/>
                <w:color w:val="auto"/>
                <w:kern w:val="0"/>
                <w:sz w:val="22"/>
                <w:szCs w:val="22"/>
                <w:highlight w:val="none"/>
                <w:shd w:val="clear" w:color="auto" w:fill="FFFFFF" w:themeFill="background1"/>
                <w:lang w:eastAsia="zh-CN"/>
              </w:rPr>
              <w:t>采购文件</w:t>
            </w:r>
            <w:r>
              <w:rPr>
                <w:rFonts w:hint="eastAsia" w:ascii="仿宋" w:hAnsi="仿宋" w:eastAsia="仿宋" w:cs="仿宋"/>
                <w:color w:val="auto"/>
                <w:kern w:val="0"/>
                <w:sz w:val="22"/>
                <w:szCs w:val="22"/>
                <w:highlight w:val="none"/>
                <w:shd w:val="clear" w:color="auto" w:fill="FFFFFF" w:themeFill="background1"/>
              </w:rPr>
              <w:t>规定的其他情形。</w:t>
            </w:r>
          </w:p>
        </w:tc>
      </w:tr>
      <w:tr w14:paraId="391FB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vAlign w:val="center"/>
          </w:tcPr>
          <w:p w14:paraId="60F26206">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7</w:t>
            </w:r>
          </w:p>
        </w:tc>
        <w:tc>
          <w:tcPr>
            <w:tcW w:w="1795" w:type="dxa"/>
            <w:vAlign w:val="center"/>
          </w:tcPr>
          <w:p w14:paraId="06B6B8DF">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eastAsia="zh-CN"/>
              </w:rPr>
              <w:t>采购文件</w:t>
            </w:r>
            <w:r>
              <w:rPr>
                <w:rFonts w:hint="eastAsia" w:ascii="仿宋" w:hAnsi="仿宋" w:eastAsia="仿宋" w:cs="仿宋"/>
                <w:color w:val="auto"/>
                <w:kern w:val="0"/>
                <w:sz w:val="22"/>
                <w:szCs w:val="22"/>
                <w:highlight w:val="none"/>
              </w:rPr>
              <w:t>费</w:t>
            </w:r>
          </w:p>
        </w:tc>
        <w:tc>
          <w:tcPr>
            <w:tcW w:w="6688" w:type="dxa"/>
            <w:vAlign w:val="center"/>
          </w:tcPr>
          <w:p w14:paraId="2CFA41DE">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0元</w:t>
            </w:r>
          </w:p>
        </w:tc>
      </w:tr>
      <w:tr w14:paraId="60C07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591AB0A">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8</w:t>
            </w:r>
          </w:p>
        </w:tc>
        <w:tc>
          <w:tcPr>
            <w:tcW w:w="1795" w:type="dxa"/>
            <w:vAlign w:val="center"/>
          </w:tcPr>
          <w:p w14:paraId="559BE8B8">
            <w:pPr>
              <w:keepNext/>
              <w:widowControl/>
              <w:spacing w:line="288" w:lineRule="auto"/>
              <w:jc w:val="distribute"/>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kern w:val="0"/>
                <w:sz w:val="22"/>
                <w:szCs w:val="22"/>
                <w:highlight w:val="none"/>
                <w:lang w:eastAsia="zh-CN"/>
              </w:rPr>
              <w:t>响应保证金</w:t>
            </w:r>
          </w:p>
        </w:tc>
        <w:tc>
          <w:tcPr>
            <w:tcW w:w="6688" w:type="dxa"/>
            <w:vAlign w:val="center"/>
          </w:tcPr>
          <w:p w14:paraId="286FE99F">
            <w:pPr>
              <w:widowControl/>
              <w:spacing w:line="288" w:lineRule="auto"/>
              <w:jc w:val="left"/>
              <w:rPr>
                <w:rFonts w:hint="eastAsia" w:ascii="仿宋" w:hAnsi="仿宋" w:eastAsia="仿宋" w:cs="仿宋"/>
                <w:color w:val="auto"/>
                <w:kern w:val="0"/>
                <w:sz w:val="22"/>
                <w:szCs w:val="22"/>
                <w:highlight w:val="none"/>
                <w:shd w:val="clear" w:color="auto" w:fill="FFFFFF" w:themeFill="background1"/>
                <w:lang w:val="en-US" w:eastAsia="zh-CN"/>
              </w:rPr>
            </w:pPr>
            <w:r>
              <w:rPr>
                <w:rFonts w:hint="eastAsia" w:ascii="仿宋" w:hAnsi="仿宋" w:eastAsia="仿宋" w:cs="仿宋"/>
                <w:color w:val="auto"/>
                <w:kern w:val="0"/>
                <w:sz w:val="22"/>
                <w:szCs w:val="22"/>
                <w:highlight w:val="none"/>
                <w:shd w:val="clear" w:color="auto" w:fill="FFFFFF" w:themeFill="background1"/>
              </w:rPr>
              <w:t>1</w:t>
            </w:r>
            <w:r>
              <w:rPr>
                <w:rFonts w:hint="eastAsia" w:ascii="仿宋" w:hAnsi="仿宋" w:eastAsia="仿宋" w:cs="仿宋"/>
                <w:color w:val="auto"/>
                <w:kern w:val="0"/>
                <w:sz w:val="22"/>
                <w:szCs w:val="22"/>
                <w:highlight w:val="none"/>
                <w:shd w:val="clear" w:color="auto" w:fill="FFFFFF" w:themeFill="background1"/>
                <w:lang w:val="en-US" w:eastAsia="zh-CN"/>
              </w:rPr>
              <w:t>.响应保证金</w:t>
            </w:r>
            <w:r>
              <w:rPr>
                <w:rFonts w:hint="eastAsia" w:ascii="仿宋" w:hAnsi="仿宋" w:eastAsia="仿宋" w:cs="仿宋"/>
                <w:color w:val="auto"/>
                <w:kern w:val="0"/>
                <w:sz w:val="22"/>
                <w:szCs w:val="22"/>
                <w:highlight w:val="none"/>
                <w:shd w:val="clear" w:color="auto" w:fill="FFFFFF" w:themeFill="background1"/>
              </w:rPr>
              <w:t>金额：</w:t>
            </w:r>
            <w:r>
              <w:rPr>
                <w:rFonts w:hint="eastAsia" w:ascii="仿宋" w:hAnsi="仿宋" w:eastAsia="仿宋" w:cs="仿宋"/>
                <w:color w:val="auto"/>
                <w:kern w:val="0"/>
                <w:sz w:val="22"/>
                <w:szCs w:val="22"/>
                <w:highlight w:val="none"/>
                <w:shd w:val="clear" w:color="auto" w:fill="FFFFFF" w:themeFill="background1"/>
                <w:lang w:val="en-US" w:eastAsia="zh-CN"/>
              </w:rPr>
              <w:t>24000.00元</w:t>
            </w:r>
          </w:p>
          <w:p w14:paraId="342595B4">
            <w:pPr>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2</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提交截止时间：同</w:t>
            </w:r>
            <w:r>
              <w:rPr>
                <w:rFonts w:hint="eastAsia" w:ascii="仿宋" w:hAnsi="仿宋" w:eastAsia="仿宋" w:cs="仿宋"/>
                <w:color w:val="auto"/>
                <w:kern w:val="0"/>
                <w:sz w:val="22"/>
                <w:szCs w:val="22"/>
                <w:highlight w:val="none"/>
                <w:shd w:val="clear" w:color="auto" w:fill="FFFFFF" w:themeFill="background1"/>
                <w:lang w:eastAsia="zh-CN"/>
              </w:rPr>
              <w:t>响应文件</w:t>
            </w:r>
            <w:r>
              <w:rPr>
                <w:rFonts w:hint="eastAsia" w:ascii="仿宋" w:hAnsi="仿宋" w:eastAsia="仿宋" w:cs="仿宋"/>
                <w:color w:val="auto"/>
                <w:kern w:val="0"/>
                <w:sz w:val="22"/>
                <w:szCs w:val="22"/>
                <w:highlight w:val="none"/>
                <w:shd w:val="clear" w:color="auto" w:fill="FFFFFF" w:themeFill="background1"/>
              </w:rPr>
              <w:t>递交截止时间</w:t>
            </w:r>
          </w:p>
          <w:p w14:paraId="6A41B922">
            <w:pPr>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3</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提交形式：</w:t>
            </w:r>
            <w:r>
              <w:rPr>
                <w:rFonts w:hint="eastAsia" w:ascii="仿宋" w:hAnsi="仿宋" w:eastAsia="仿宋" w:cs="仿宋"/>
                <w:color w:val="auto"/>
                <w:kern w:val="0"/>
                <w:sz w:val="22"/>
                <w:szCs w:val="22"/>
                <w:highlight w:val="none"/>
                <w:shd w:val="clear" w:color="auto" w:fill="FFFFFF" w:themeFill="background1"/>
                <w:lang w:eastAsia="zh-CN"/>
              </w:rPr>
              <w:t>响应保证金</w:t>
            </w:r>
            <w:r>
              <w:rPr>
                <w:rFonts w:hint="eastAsia" w:ascii="仿宋" w:hAnsi="仿宋" w:eastAsia="仿宋" w:cs="仿宋"/>
                <w:color w:val="auto"/>
                <w:kern w:val="0"/>
                <w:sz w:val="22"/>
                <w:szCs w:val="22"/>
                <w:highlight w:val="none"/>
                <w:shd w:val="clear" w:color="auto" w:fill="FFFFFF" w:themeFill="background1"/>
              </w:rPr>
              <w:t>以支票、汇票、本票或者金融机构、担保机构出具的保函等非现金形式提交至采购代理机构。</w:t>
            </w:r>
          </w:p>
          <w:p w14:paraId="421A5C2C">
            <w:pPr>
              <w:widowControl/>
              <w:spacing w:line="288" w:lineRule="auto"/>
              <w:jc w:val="left"/>
              <w:rPr>
                <w:rFonts w:hint="eastAsia" w:ascii="仿宋" w:hAnsi="仿宋" w:eastAsia="仿宋" w:cs="仿宋"/>
                <w:color w:val="auto"/>
                <w:kern w:val="0"/>
                <w:sz w:val="22"/>
                <w:szCs w:val="22"/>
                <w:highlight w:val="none"/>
                <w:shd w:val="clear" w:color="auto" w:fill="FFFFFF" w:themeFill="background1"/>
                <w:lang w:eastAsia="zh-CN"/>
              </w:rPr>
            </w:pPr>
            <w:r>
              <w:rPr>
                <w:rFonts w:hint="eastAsia" w:ascii="仿宋" w:hAnsi="仿宋" w:eastAsia="仿宋" w:cs="仿宋"/>
                <w:color w:val="auto"/>
                <w:kern w:val="0"/>
                <w:sz w:val="22"/>
                <w:szCs w:val="22"/>
                <w:highlight w:val="none"/>
                <w:shd w:val="clear" w:color="auto" w:fill="FFFFFF" w:themeFill="background1"/>
              </w:rPr>
              <w:t>4</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银行账户信息</w:t>
            </w:r>
            <w:r>
              <w:rPr>
                <w:rFonts w:hint="eastAsia" w:ascii="仿宋" w:hAnsi="仿宋" w:eastAsia="仿宋" w:cs="仿宋"/>
                <w:color w:val="auto"/>
                <w:kern w:val="0"/>
                <w:sz w:val="22"/>
                <w:szCs w:val="22"/>
                <w:highlight w:val="none"/>
                <w:shd w:val="clear" w:color="auto" w:fill="FFFFFF" w:themeFill="background1"/>
                <w:lang w:eastAsia="zh-CN"/>
              </w:rPr>
              <w:t>：</w:t>
            </w:r>
          </w:p>
          <w:p w14:paraId="194AD7E2">
            <w:pPr>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采购代理机构名称：新疆新世纪招标有限公司</w:t>
            </w:r>
          </w:p>
          <w:p w14:paraId="24389E02">
            <w:pPr>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纳税人识别号：91650100726988855F</w:t>
            </w:r>
          </w:p>
          <w:p w14:paraId="6C4A07F5">
            <w:pPr>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开户行：中国农业银行乌鲁木齐新民西街支行</w:t>
            </w:r>
          </w:p>
          <w:p w14:paraId="2723FF8D">
            <w:pPr>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账号：30014701040000595</w:t>
            </w:r>
          </w:p>
          <w:p w14:paraId="2FA8D833">
            <w:pPr>
              <w:keepNext/>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5</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lang w:eastAsia="zh-CN"/>
              </w:rPr>
              <w:t>供应商</w:t>
            </w:r>
            <w:r>
              <w:rPr>
                <w:rFonts w:hint="eastAsia" w:ascii="仿宋" w:hAnsi="仿宋" w:eastAsia="仿宋" w:cs="仿宋"/>
                <w:color w:val="auto"/>
                <w:kern w:val="0"/>
                <w:sz w:val="22"/>
                <w:szCs w:val="22"/>
                <w:highlight w:val="none"/>
                <w:shd w:val="clear" w:color="auto" w:fill="FFFFFF" w:themeFill="background1"/>
              </w:rPr>
              <w:t>在提交</w:t>
            </w:r>
            <w:r>
              <w:rPr>
                <w:rFonts w:hint="eastAsia" w:ascii="仿宋" w:hAnsi="仿宋" w:eastAsia="仿宋" w:cs="仿宋"/>
                <w:color w:val="auto"/>
                <w:kern w:val="0"/>
                <w:sz w:val="22"/>
                <w:szCs w:val="22"/>
                <w:highlight w:val="none"/>
                <w:shd w:val="clear" w:color="auto" w:fill="FFFFFF" w:themeFill="background1"/>
                <w:lang w:eastAsia="zh-CN"/>
              </w:rPr>
              <w:t>响应保证金</w:t>
            </w:r>
            <w:r>
              <w:rPr>
                <w:rFonts w:hint="eastAsia" w:ascii="仿宋" w:hAnsi="仿宋" w:eastAsia="仿宋" w:cs="仿宋"/>
                <w:color w:val="auto"/>
                <w:kern w:val="0"/>
                <w:sz w:val="22"/>
                <w:szCs w:val="22"/>
                <w:highlight w:val="none"/>
                <w:shd w:val="clear" w:color="auto" w:fill="FFFFFF" w:themeFill="background1"/>
              </w:rPr>
              <w:t>时需备注项目名称简称。</w:t>
            </w:r>
          </w:p>
        </w:tc>
      </w:tr>
      <w:tr w14:paraId="7144E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ADFC48F">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9</w:t>
            </w:r>
          </w:p>
        </w:tc>
        <w:tc>
          <w:tcPr>
            <w:tcW w:w="1795" w:type="dxa"/>
            <w:vAlign w:val="center"/>
          </w:tcPr>
          <w:p w14:paraId="04ECA9F8">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现场踏勘</w:t>
            </w:r>
          </w:p>
        </w:tc>
        <w:tc>
          <w:tcPr>
            <w:tcW w:w="6688" w:type="dxa"/>
            <w:vAlign w:val="center"/>
          </w:tcPr>
          <w:p w14:paraId="632A8DD7">
            <w:pPr>
              <w:keepNext/>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不组织</w:t>
            </w:r>
          </w:p>
        </w:tc>
      </w:tr>
      <w:tr w14:paraId="0D2EF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4B5E725">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10</w:t>
            </w:r>
          </w:p>
        </w:tc>
        <w:tc>
          <w:tcPr>
            <w:tcW w:w="1795" w:type="dxa"/>
            <w:vAlign w:val="center"/>
          </w:tcPr>
          <w:p w14:paraId="6E617D94">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采购答疑</w:t>
            </w:r>
          </w:p>
        </w:tc>
        <w:tc>
          <w:tcPr>
            <w:tcW w:w="6688" w:type="dxa"/>
            <w:vAlign w:val="center"/>
          </w:tcPr>
          <w:p w14:paraId="35561904">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提出询问的，应当在响应文件递交截止时间6日前以书面形式（加盖公章）递交至新疆新世纪招标有限公司，否则采购人不</w:t>
            </w:r>
            <w:r>
              <w:rPr>
                <w:rFonts w:hint="eastAsia" w:ascii="仿宋" w:hAnsi="仿宋" w:eastAsia="仿宋" w:cs="仿宋"/>
                <w:color w:val="auto"/>
                <w:kern w:val="0"/>
                <w:sz w:val="22"/>
                <w:szCs w:val="22"/>
                <w:highlight w:val="none"/>
                <w:shd w:val="clear" w:color="auto" w:fill="FFFFFF" w:themeFill="background1"/>
                <w:lang w:eastAsia="zh-CN"/>
              </w:rPr>
              <w:t>做任何解释</w:t>
            </w:r>
            <w:r>
              <w:rPr>
                <w:rFonts w:hint="eastAsia" w:ascii="仿宋" w:hAnsi="仿宋" w:eastAsia="仿宋" w:cs="仿宋"/>
                <w:color w:val="auto"/>
                <w:kern w:val="0"/>
                <w:sz w:val="22"/>
                <w:szCs w:val="22"/>
                <w:highlight w:val="none"/>
                <w:shd w:val="clear" w:color="auto" w:fill="FFFFFF" w:themeFill="background1"/>
              </w:rPr>
              <w:t>。</w:t>
            </w:r>
          </w:p>
          <w:p w14:paraId="1E7DFC93">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2</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对</w:t>
            </w:r>
            <w:r>
              <w:rPr>
                <w:rFonts w:hint="eastAsia" w:ascii="仿宋" w:hAnsi="仿宋" w:eastAsia="仿宋" w:cs="仿宋"/>
                <w:color w:val="auto"/>
                <w:kern w:val="0"/>
                <w:sz w:val="22"/>
                <w:szCs w:val="22"/>
                <w:highlight w:val="none"/>
                <w:shd w:val="clear" w:color="auto" w:fill="FFFFFF" w:themeFill="background1"/>
                <w:lang w:eastAsia="zh-CN"/>
              </w:rPr>
              <w:t>采购文件</w:t>
            </w:r>
            <w:r>
              <w:rPr>
                <w:rFonts w:hint="eastAsia" w:ascii="仿宋" w:hAnsi="仿宋" w:eastAsia="仿宋" w:cs="仿宋"/>
                <w:color w:val="auto"/>
                <w:kern w:val="0"/>
                <w:sz w:val="22"/>
                <w:szCs w:val="22"/>
                <w:highlight w:val="none"/>
                <w:shd w:val="clear" w:color="auto" w:fill="FFFFFF" w:themeFill="background1"/>
              </w:rPr>
              <w:t>提出质疑的，应当在获取</w:t>
            </w:r>
            <w:r>
              <w:rPr>
                <w:rFonts w:hint="eastAsia" w:ascii="仿宋" w:hAnsi="仿宋" w:eastAsia="仿宋" w:cs="仿宋"/>
                <w:color w:val="auto"/>
                <w:kern w:val="0"/>
                <w:sz w:val="22"/>
                <w:szCs w:val="22"/>
                <w:highlight w:val="none"/>
                <w:shd w:val="clear" w:color="auto" w:fill="FFFFFF" w:themeFill="background1"/>
                <w:lang w:eastAsia="zh-CN"/>
              </w:rPr>
              <w:t>采购文件</w:t>
            </w:r>
            <w:r>
              <w:rPr>
                <w:rFonts w:hint="eastAsia" w:ascii="仿宋" w:hAnsi="仿宋" w:eastAsia="仿宋" w:cs="仿宋"/>
                <w:color w:val="auto"/>
                <w:kern w:val="0"/>
                <w:sz w:val="22"/>
                <w:szCs w:val="22"/>
                <w:highlight w:val="none"/>
                <w:shd w:val="clear" w:color="auto" w:fill="FFFFFF" w:themeFill="background1"/>
              </w:rPr>
              <w:t>或者</w:t>
            </w:r>
            <w:r>
              <w:rPr>
                <w:rFonts w:hint="eastAsia" w:ascii="仿宋" w:hAnsi="仿宋" w:eastAsia="仿宋" w:cs="仿宋"/>
                <w:color w:val="auto"/>
                <w:kern w:val="0"/>
                <w:sz w:val="22"/>
                <w:szCs w:val="22"/>
                <w:highlight w:val="none"/>
                <w:shd w:val="clear" w:color="auto" w:fill="FFFFFF" w:themeFill="background1"/>
                <w:lang w:eastAsia="zh-CN"/>
              </w:rPr>
              <w:t>采购文件</w:t>
            </w:r>
            <w:r>
              <w:rPr>
                <w:rFonts w:hint="eastAsia" w:ascii="仿宋" w:hAnsi="仿宋" w:eastAsia="仿宋" w:cs="仿宋"/>
                <w:color w:val="auto"/>
                <w:kern w:val="0"/>
                <w:sz w:val="22"/>
                <w:szCs w:val="22"/>
                <w:highlight w:val="none"/>
                <w:shd w:val="clear" w:color="auto" w:fill="FFFFFF" w:themeFill="background1"/>
              </w:rPr>
              <w:t>公告期限届满之日起7个工作日内一次性以书面形式（按照财政部制定的质疑函范本编写）提出并递交至采购代理机构。</w:t>
            </w:r>
          </w:p>
          <w:p w14:paraId="4C2A87E3">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质疑接收人：</w:t>
            </w:r>
            <w:r>
              <w:rPr>
                <w:rFonts w:hint="eastAsia" w:ascii="仿宋" w:hAnsi="仿宋" w:eastAsia="仿宋" w:cs="仿宋"/>
                <w:color w:val="auto"/>
                <w:kern w:val="0"/>
                <w:sz w:val="22"/>
                <w:szCs w:val="22"/>
                <w:highlight w:val="none"/>
                <w:shd w:val="clear" w:color="auto" w:fill="FFFFFF" w:themeFill="background1"/>
                <w:lang w:eastAsia="zh-CN"/>
              </w:rPr>
              <w:t>马丹阳、甘江涛</w:t>
            </w:r>
            <w:r>
              <w:rPr>
                <w:rFonts w:hint="eastAsia" w:ascii="仿宋" w:hAnsi="仿宋" w:eastAsia="仿宋" w:cs="仿宋"/>
                <w:color w:val="auto"/>
                <w:kern w:val="0"/>
                <w:sz w:val="22"/>
                <w:szCs w:val="22"/>
                <w:highlight w:val="none"/>
                <w:shd w:val="clear" w:color="auto" w:fill="FFFFFF" w:themeFill="background1"/>
              </w:rPr>
              <w:t>；联系方式：</w:t>
            </w:r>
            <w:r>
              <w:rPr>
                <w:rFonts w:hint="eastAsia" w:ascii="仿宋" w:hAnsi="仿宋" w:eastAsia="仿宋" w:cs="仿宋"/>
                <w:color w:val="auto"/>
                <w:kern w:val="0"/>
                <w:sz w:val="22"/>
                <w:szCs w:val="22"/>
                <w:highlight w:val="none"/>
                <w:shd w:val="clear" w:color="auto" w:fill="FFFFFF" w:themeFill="background1"/>
                <w:lang w:eastAsia="zh-CN"/>
              </w:rPr>
              <w:t>0991-4661782</w:t>
            </w:r>
            <w:r>
              <w:rPr>
                <w:rFonts w:hint="eastAsia" w:ascii="仿宋" w:hAnsi="仿宋" w:eastAsia="仿宋" w:cs="仿宋"/>
                <w:color w:val="auto"/>
                <w:kern w:val="0"/>
                <w:sz w:val="22"/>
                <w:szCs w:val="22"/>
                <w:highlight w:val="none"/>
                <w:shd w:val="clear" w:color="auto" w:fill="FFFFFF" w:themeFill="background1"/>
              </w:rPr>
              <w:t>。</w:t>
            </w:r>
          </w:p>
          <w:p w14:paraId="2EC6B993">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3</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注：</w:t>
            </w:r>
            <w:r>
              <w:rPr>
                <w:rFonts w:hint="eastAsia" w:ascii="仿宋" w:hAnsi="仿宋" w:eastAsia="仿宋" w:cs="仿宋"/>
                <w:color w:val="auto"/>
                <w:kern w:val="0"/>
                <w:sz w:val="22"/>
                <w:szCs w:val="22"/>
                <w:highlight w:val="none"/>
                <w:shd w:val="clear" w:color="auto" w:fill="FFFFFF" w:themeFill="background1"/>
                <w:lang w:eastAsia="zh-CN"/>
              </w:rPr>
              <w:t>①</w:t>
            </w:r>
            <w:r>
              <w:rPr>
                <w:rFonts w:hint="eastAsia" w:ascii="仿宋" w:hAnsi="仿宋" w:eastAsia="仿宋" w:cs="仿宋"/>
                <w:color w:val="auto"/>
                <w:kern w:val="0"/>
                <w:sz w:val="22"/>
                <w:szCs w:val="22"/>
                <w:highlight w:val="none"/>
                <w:shd w:val="clear" w:color="auto" w:fill="FFFFFF" w:themeFill="background1"/>
              </w:rPr>
              <w:t>供应商必须在法定质疑期内一次性提出针对同一采购程序环节的质疑；供应商投诉的事项不得超出已质疑事项的范围。</w:t>
            </w:r>
            <w:r>
              <w:rPr>
                <w:rFonts w:hint="eastAsia" w:ascii="仿宋" w:hAnsi="仿宋" w:eastAsia="仿宋" w:cs="仿宋"/>
                <w:color w:val="auto"/>
                <w:kern w:val="0"/>
                <w:sz w:val="22"/>
                <w:szCs w:val="22"/>
                <w:highlight w:val="none"/>
                <w:shd w:val="clear" w:color="auto" w:fill="FFFFFF" w:themeFill="background1"/>
                <w:lang w:eastAsia="zh-CN"/>
              </w:rPr>
              <w:t>②</w:t>
            </w:r>
            <w:r>
              <w:rPr>
                <w:rFonts w:hint="eastAsia" w:ascii="仿宋" w:hAnsi="仿宋" w:eastAsia="仿宋" w:cs="仿宋"/>
                <w:color w:val="auto"/>
                <w:kern w:val="0"/>
                <w:sz w:val="22"/>
                <w:szCs w:val="22"/>
                <w:highlight w:val="none"/>
                <w:shd w:val="clear" w:color="auto" w:fill="FFFFFF" w:themeFill="background1"/>
              </w:rPr>
              <w:t>供应商在国家法律规定的时间内未提出书面疑问，视为对</w:t>
            </w:r>
            <w:r>
              <w:rPr>
                <w:rFonts w:hint="eastAsia" w:ascii="仿宋" w:hAnsi="仿宋" w:eastAsia="仿宋" w:cs="仿宋"/>
                <w:color w:val="auto"/>
                <w:kern w:val="0"/>
                <w:sz w:val="22"/>
                <w:szCs w:val="22"/>
                <w:highlight w:val="none"/>
                <w:shd w:val="clear" w:color="auto" w:fill="FFFFFF" w:themeFill="background1"/>
                <w:lang w:eastAsia="zh-CN"/>
              </w:rPr>
              <w:t>采购文件</w:t>
            </w:r>
            <w:r>
              <w:rPr>
                <w:rFonts w:hint="eastAsia" w:ascii="仿宋" w:hAnsi="仿宋" w:eastAsia="仿宋" w:cs="仿宋"/>
                <w:color w:val="auto"/>
                <w:kern w:val="0"/>
                <w:sz w:val="22"/>
                <w:szCs w:val="22"/>
                <w:highlight w:val="none"/>
                <w:shd w:val="clear" w:color="auto" w:fill="FFFFFF" w:themeFill="background1"/>
              </w:rPr>
              <w:t>的服务要求、资格条件、评审方法、合同文本等所有内容无异议。</w:t>
            </w:r>
          </w:p>
        </w:tc>
      </w:tr>
      <w:tr w14:paraId="76299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DA46A1A">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11</w:t>
            </w:r>
          </w:p>
        </w:tc>
        <w:tc>
          <w:tcPr>
            <w:tcW w:w="1795" w:type="dxa"/>
            <w:vAlign w:val="center"/>
          </w:tcPr>
          <w:p w14:paraId="7217BC86">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响应文件份数</w:t>
            </w:r>
          </w:p>
        </w:tc>
        <w:tc>
          <w:tcPr>
            <w:tcW w:w="6688" w:type="dxa"/>
            <w:vAlign w:val="center"/>
          </w:tcPr>
          <w:p w14:paraId="1B5691C9">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本次采购采用电子交易方式，电子交易平台为“政采云平台（https://www.zcygov.cn</w:t>
            </w:r>
            <w:r>
              <w:rPr>
                <w:rFonts w:hint="eastAsia" w:ascii="仿宋" w:hAnsi="仿宋" w:eastAsia="仿宋" w:cs="仿宋"/>
                <w:color w:val="auto"/>
                <w:kern w:val="0"/>
                <w:sz w:val="22"/>
                <w:szCs w:val="22"/>
                <w:highlight w:val="none"/>
                <w:shd w:val="clear" w:color="auto" w:fill="FFFFFF" w:themeFill="background1"/>
                <w:lang w:eastAsia="zh-CN"/>
              </w:rPr>
              <w:t>）</w:t>
            </w:r>
            <w:r>
              <w:rPr>
                <w:rFonts w:hint="eastAsia" w:ascii="仿宋" w:hAnsi="仿宋" w:eastAsia="仿宋" w:cs="仿宋"/>
                <w:color w:val="auto"/>
                <w:kern w:val="0"/>
                <w:sz w:val="22"/>
                <w:szCs w:val="22"/>
                <w:highlight w:val="none"/>
                <w:shd w:val="clear" w:color="auto" w:fill="FFFFFF" w:themeFill="background1"/>
              </w:rPr>
              <w:t>”。供应商参与本项目电子交易活动前，应注册成为政府采购云平台正式供应商。编制电子响应文件前还需申领CA证书并绑定</w:t>
            </w:r>
            <w:r>
              <w:rPr>
                <w:rFonts w:hint="eastAsia" w:ascii="仿宋" w:hAnsi="仿宋" w:eastAsia="仿宋" w:cs="仿宋"/>
                <w:color w:val="auto"/>
                <w:kern w:val="0"/>
                <w:sz w:val="22"/>
                <w:szCs w:val="22"/>
                <w:highlight w:val="none"/>
                <w:shd w:val="clear" w:color="auto" w:fill="FFFFFF" w:themeFill="background1"/>
                <w:lang w:eastAsia="zh-CN"/>
              </w:rPr>
              <w:t>账号</w:t>
            </w:r>
            <w:r>
              <w:rPr>
                <w:rFonts w:hint="eastAsia" w:ascii="仿宋" w:hAnsi="仿宋" w:eastAsia="仿宋" w:cs="仿宋"/>
                <w:color w:val="auto"/>
                <w:kern w:val="0"/>
                <w:sz w:val="22"/>
                <w:szCs w:val="22"/>
                <w:highlight w:val="none"/>
                <w:shd w:val="clear" w:color="auto" w:fill="FFFFFF" w:themeFill="background1"/>
              </w:rPr>
              <w:t>。供应商应充分考虑完成平台注册、申领CA证书等所需的时间。因未注册入库、未办理CA数字证书等原因造成无法</w:t>
            </w:r>
            <w:r>
              <w:rPr>
                <w:rFonts w:hint="eastAsia" w:ascii="仿宋" w:hAnsi="仿宋" w:eastAsia="仿宋" w:cs="仿宋"/>
                <w:color w:val="auto"/>
                <w:kern w:val="0"/>
                <w:sz w:val="22"/>
                <w:szCs w:val="22"/>
                <w:highlight w:val="none"/>
                <w:shd w:val="clear" w:color="auto" w:fill="FFFFFF" w:themeFill="background1"/>
                <w:lang w:val="en-US" w:eastAsia="zh-CN"/>
              </w:rPr>
              <w:t>响应</w:t>
            </w:r>
            <w:r>
              <w:rPr>
                <w:rFonts w:hint="eastAsia" w:ascii="仿宋" w:hAnsi="仿宋" w:eastAsia="仿宋" w:cs="仿宋"/>
                <w:color w:val="auto"/>
                <w:kern w:val="0"/>
                <w:sz w:val="22"/>
                <w:szCs w:val="22"/>
                <w:highlight w:val="none"/>
                <w:shd w:val="clear" w:color="auto" w:fill="FFFFFF" w:themeFill="background1"/>
              </w:rPr>
              <w:t>或</w:t>
            </w:r>
            <w:r>
              <w:rPr>
                <w:rFonts w:hint="eastAsia" w:ascii="仿宋" w:hAnsi="仿宋" w:eastAsia="仿宋" w:cs="仿宋"/>
                <w:color w:val="auto"/>
                <w:kern w:val="0"/>
                <w:sz w:val="22"/>
                <w:szCs w:val="22"/>
                <w:highlight w:val="none"/>
                <w:shd w:val="clear" w:color="auto" w:fill="FFFFFF" w:themeFill="background1"/>
                <w:lang w:val="en-US" w:eastAsia="zh-CN"/>
              </w:rPr>
              <w:t>响应</w:t>
            </w:r>
            <w:r>
              <w:rPr>
                <w:rFonts w:hint="eastAsia" w:ascii="仿宋" w:hAnsi="仿宋" w:eastAsia="仿宋" w:cs="仿宋"/>
                <w:color w:val="auto"/>
                <w:kern w:val="0"/>
                <w:sz w:val="22"/>
                <w:szCs w:val="22"/>
                <w:highlight w:val="none"/>
                <w:shd w:val="clear" w:color="auto" w:fill="FFFFFF" w:themeFill="background1"/>
              </w:rPr>
              <w:t xml:space="preserve">失败等后果由供应商自行承担。 </w:t>
            </w:r>
          </w:p>
          <w:p w14:paraId="74DF9C28">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lang w:val="en-US" w:eastAsia="zh-CN"/>
              </w:rPr>
              <w:t>2.</w:t>
            </w:r>
            <w:r>
              <w:rPr>
                <w:rFonts w:hint="eastAsia" w:ascii="仿宋" w:hAnsi="仿宋" w:eastAsia="仿宋" w:cs="仿宋"/>
                <w:color w:val="auto"/>
                <w:kern w:val="0"/>
                <w:sz w:val="22"/>
                <w:szCs w:val="22"/>
                <w:highlight w:val="none"/>
                <w:shd w:val="clear" w:color="auto" w:fill="FFFFFF" w:themeFill="background1"/>
              </w:rPr>
              <w:t>加密的电子响应文件须在响应文件递交截止时间前通过政采云平台上传完成。逾期上传或者未上传至指定地点的响应文件，不予受理。</w:t>
            </w:r>
          </w:p>
          <w:p w14:paraId="639C16AE">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3</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供应商在</w:t>
            </w:r>
            <w:r>
              <w:rPr>
                <w:rFonts w:hint="eastAsia" w:ascii="仿宋" w:hAnsi="仿宋" w:eastAsia="仿宋" w:cs="仿宋"/>
                <w:color w:val="auto"/>
                <w:kern w:val="0"/>
                <w:sz w:val="22"/>
                <w:szCs w:val="22"/>
                <w:highlight w:val="none"/>
                <w:shd w:val="clear" w:color="auto" w:fill="FFFFFF" w:themeFill="background1"/>
                <w:lang w:eastAsia="zh-CN"/>
              </w:rPr>
              <w:t>开启</w:t>
            </w:r>
            <w:r>
              <w:rPr>
                <w:rFonts w:hint="eastAsia" w:ascii="仿宋" w:hAnsi="仿宋" w:eastAsia="仿宋" w:cs="仿宋"/>
                <w:color w:val="auto"/>
                <w:kern w:val="0"/>
                <w:sz w:val="22"/>
                <w:szCs w:val="22"/>
                <w:highlight w:val="none"/>
                <w:shd w:val="clear" w:color="auto" w:fill="FFFFFF" w:themeFill="background1"/>
              </w:rPr>
              <w:t>前须提前配置好电脑浏览器，</w:t>
            </w:r>
            <w:r>
              <w:rPr>
                <w:rFonts w:hint="eastAsia" w:ascii="仿宋" w:hAnsi="仿宋" w:eastAsia="仿宋" w:cs="仿宋"/>
                <w:color w:val="auto"/>
                <w:kern w:val="0"/>
                <w:sz w:val="22"/>
                <w:szCs w:val="22"/>
                <w:highlight w:val="none"/>
                <w:shd w:val="clear" w:color="auto" w:fill="FFFFFF" w:themeFill="background1"/>
                <w:lang w:eastAsia="zh-CN"/>
              </w:rPr>
              <w:t>开启</w:t>
            </w:r>
            <w:r>
              <w:rPr>
                <w:rFonts w:hint="eastAsia" w:ascii="仿宋" w:hAnsi="仿宋" w:eastAsia="仿宋" w:cs="仿宋"/>
                <w:color w:val="auto"/>
                <w:kern w:val="0"/>
                <w:sz w:val="22"/>
                <w:szCs w:val="22"/>
                <w:highlight w:val="none"/>
                <w:shd w:val="clear" w:color="auto" w:fill="FFFFFF" w:themeFill="background1"/>
              </w:rPr>
              <w:t>时请使用制作加密电子响应文件的CA锁进行解密及报价确认。本项目响应文件解密时间定为30分钟，如因自身原因导致无法正常解密，后果由供应商自行承担。</w:t>
            </w:r>
          </w:p>
          <w:p w14:paraId="684029C1">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4</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如遇电子交易平台的交易规则调整，以最新要求为准。</w:t>
            </w:r>
          </w:p>
        </w:tc>
      </w:tr>
      <w:tr w14:paraId="0AE32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F451926">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12</w:t>
            </w:r>
          </w:p>
        </w:tc>
        <w:tc>
          <w:tcPr>
            <w:tcW w:w="1795" w:type="dxa"/>
            <w:vAlign w:val="center"/>
          </w:tcPr>
          <w:p w14:paraId="42BF96AC">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响应文件递交</w:t>
            </w:r>
          </w:p>
        </w:tc>
        <w:tc>
          <w:tcPr>
            <w:tcW w:w="6688" w:type="dxa"/>
            <w:vAlign w:val="center"/>
          </w:tcPr>
          <w:p w14:paraId="22BAFB0D">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截止时间：</w:t>
            </w:r>
            <w:r>
              <w:rPr>
                <w:rFonts w:hint="eastAsia" w:ascii="仿宋" w:hAnsi="仿宋" w:eastAsia="仿宋" w:cs="仿宋"/>
                <w:color w:val="auto"/>
                <w:kern w:val="0"/>
                <w:sz w:val="22"/>
                <w:szCs w:val="22"/>
                <w:highlight w:val="none"/>
                <w:u w:val="single"/>
                <w:shd w:val="clear" w:color="auto" w:fill="FFFFFF" w:themeFill="background1"/>
                <w:lang w:eastAsia="zh-CN"/>
              </w:rPr>
              <w:t>2026年9月29日11:00</w:t>
            </w:r>
            <w:r>
              <w:rPr>
                <w:rFonts w:hint="eastAsia" w:ascii="仿宋" w:hAnsi="仿宋" w:eastAsia="仿宋" w:cs="仿宋"/>
                <w:color w:val="auto"/>
                <w:kern w:val="0"/>
                <w:sz w:val="22"/>
                <w:szCs w:val="22"/>
                <w:highlight w:val="none"/>
                <w:shd w:val="clear" w:color="auto" w:fill="FFFFFF" w:themeFill="background1"/>
              </w:rPr>
              <w:t>（北京时间）</w:t>
            </w:r>
          </w:p>
          <w:p w14:paraId="64EC48D0">
            <w:pPr>
              <w:keepNext/>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递交地点：政采云平台（https://www.zcygov.cn</w:t>
            </w:r>
            <w:r>
              <w:rPr>
                <w:rFonts w:hint="eastAsia" w:ascii="仿宋" w:hAnsi="仿宋" w:eastAsia="仿宋" w:cs="仿宋"/>
                <w:color w:val="auto"/>
                <w:kern w:val="0"/>
                <w:sz w:val="22"/>
                <w:szCs w:val="22"/>
                <w:highlight w:val="none"/>
                <w:shd w:val="clear" w:color="auto" w:fill="FFFFFF" w:themeFill="background1"/>
                <w:lang w:eastAsia="zh-CN"/>
              </w:rPr>
              <w:t>）</w:t>
            </w:r>
          </w:p>
        </w:tc>
      </w:tr>
      <w:tr w14:paraId="3BFDC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0C16EBD">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13</w:t>
            </w:r>
          </w:p>
        </w:tc>
        <w:tc>
          <w:tcPr>
            <w:tcW w:w="1795" w:type="dxa"/>
            <w:vAlign w:val="center"/>
          </w:tcPr>
          <w:p w14:paraId="351F0390">
            <w:pPr>
              <w:keepNext/>
              <w:widowControl/>
              <w:spacing w:line="288" w:lineRule="auto"/>
              <w:jc w:val="distribute"/>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kern w:val="0"/>
                <w:sz w:val="22"/>
                <w:szCs w:val="22"/>
                <w:highlight w:val="none"/>
                <w:lang w:eastAsia="zh-CN"/>
              </w:rPr>
              <w:t>开启</w:t>
            </w:r>
          </w:p>
        </w:tc>
        <w:tc>
          <w:tcPr>
            <w:tcW w:w="6688" w:type="dxa"/>
            <w:vAlign w:val="center"/>
          </w:tcPr>
          <w:p w14:paraId="13A8E394">
            <w:pPr>
              <w:spacing w:line="288" w:lineRule="auto"/>
              <w:jc w:val="left"/>
              <w:rPr>
                <w:rFonts w:hint="eastAsia" w:ascii="仿宋" w:hAnsi="仿宋" w:eastAsia="仿宋" w:cs="仿宋"/>
                <w:color w:val="auto"/>
                <w:kern w:val="0"/>
                <w:sz w:val="22"/>
                <w:szCs w:val="22"/>
                <w:highlight w:val="none"/>
                <w:u w:val="singl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时间：</w:t>
            </w:r>
            <w:r>
              <w:rPr>
                <w:rFonts w:hint="eastAsia" w:ascii="仿宋" w:hAnsi="仿宋" w:eastAsia="仿宋" w:cs="仿宋"/>
                <w:color w:val="auto"/>
                <w:kern w:val="0"/>
                <w:sz w:val="22"/>
                <w:szCs w:val="22"/>
                <w:highlight w:val="none"/>
                <w:u w:val="single"/>
                <w:shd w:val="clear" w:color="auto" w:fill="FFFFFF" w:themeFill="background1"/>
                <w:lang w:eastAsia="zh-CN"/>
              </w:rPr>
              <w:t>2026年9月29日11:00</w:t>
            </w:r>
            <w:r>
              <w:rPr>
                <w:rFonts w:hint="eastAsia" w:ascii="仿宋" w:hAnsi="仿宋" w:eastAsia="仿宋" w:cs="仿宋"/>
                <w:color w:val="auto"/>
                <w:kern w:val="0"/>
                <w:sz w:val="22"/>
                <w:szCs w:val="22"/>
                <w:highlight w:val="none"/>
                <w:shd w:val="clear" w:color="auto" w:fill="FFFFFF" w:themeFill="background1"/>
              </w:rPr>
              <w:t>（北京时间）</w:t>
            </w:r>
          </w:p>
          <w:p w14:paraId="115FBE6D">
            <w:pPr>
              <w:keepNext/>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地点：政采云平台（https://www.zcygov.cn</w:t>
            </w:r>
            <w:r>
              <w:rPr>
                <w:rFonts w:hint="eastAsia" w:ascii="仿宋" w:hAnsi="仿宋" w:eastAsia="仿宋" w:cs="仿宋"/>
                <w:color w:val="auto"/>
                <w:kern w:val="0"/>
                <w:sz w:val="22"/>
                <w:szCs w:val="22"/>
                <w:highlight w:val="none"/>
                <w:shd w:val="clear" w:color="auto" w:fill="FFFFFF" w:themeFill="background1"/>
                <w:lang w:eastAsia="zh-CN"/>
              </w:rPr>
              <w:t>）</w:t>
            </w:r>
          </w:p>
        </w:tc>
      </w:tr>
      <w:tr w14:paraId="63E58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625" w:hRule="atLeast"/>
          <w:jc w:val="center"/>
        </w:trPr>
        <w:tc>
          <w:tcPr>
            <w:tcW w:w="597" w:type="dxa"/>
            <w:vAlign w:val="center"/>
          </w:tcPr>
          <w:p w14:paraId="57B3CDDD">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14</w:t>
            </w:r>
          </w:p>
        </w:tc>
        <w:tc>
          <w:tcPr>
            <w:tcW w:w="1795" w:type="dxa"/>
            <w:vAlign w:val="center"/>
          </w:tcPr>
          <w:p w14:paraId="410F5AB4">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响应有效期</w:t>
            </w:r>
          </w:p>
        </w:tc>
        <w:tc>
          <w:tcPr>
            <w:tcW w:w="6688" w:type="dxa"/>
            <w:vAlign w:val="center"/>
          </w:tcPr>
          <w:p w14:paraId="2852D299">
            <w:pPr>
              <w:keepNext/>
              <w:widowControl/>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自</w:t>
            </w:r>
            <w:r>
              <w:rPr>
                <w:rFonts w:hint="eastAsia" w:ascii="仿宋" w:hAnsi="仿宋" w:eastAsia="仿宋" w:cs="仿宋"/>
                <w:color w:val="auto"/>
                <w:kern w:val="0"/>
                <w:sz w:val="22"/>
                <w:szCs w:val="22"/>
                <w:highlight w:val="none"/>
                <w:shd w:val="clear" w:color="auto" w:fill="FFFFFF" w:themeFill="background1"/>
                <w:lang w:val="en-US" w:eastAsia="zh-CN"/>
              </w:rPr>
              <w:t>响应</w:t>
            </w:r>
            <w:r>
              <w:rPr>
                <w:rFonts w:hint="eastAsia" w:ascii="仿宋" w:hAnsi="仿宋" w:eastAsia="仿宋" w:cs="仿宋"/>
                <w:color w:val="auto"/>
                <w:kern w:val="0"/>
                <w:sz w:val="22"/>
                <w:szCs w:val="22"/>
                <w:highlight w:val="none"/>
                <w:shd w:val="clear" w:color="auto" w:fill="FFFFFF" w:themeFill="background1"/>
              </w:rPr>
              <w:t>截止之</w:t>
            </w:r>
            <w:r>
              <w:rPr>
                <w:rFonts w:hint="eastAsia" w:ascii="仿宋" w:hAnsi="仿宋" w:eastAsia="仿宋" w:cs="仿宋"/>
                <w:color w:val="auto"/>
                <w:kern w:val="0"/>
                <w:sz w:val="22"/>
                <w:szCs w:val="22"/>
                <w:highlight w:val="none"/>
                <w:shd w:val="clear" w:color="auto" w:fill="FFFFFF" w:themeFill="background1"/>
                <w:lang w:eastAsia="zh-CN"/>
              </w:rPr>
              <w:t>日起</w:t>
            </w:r>
            <w:r>
              <w:rPr>
                <w:rFonts w:hint="eastAsia" w:ascii="仿宋" w:hAnsi="仿宋" w:eastAsia="仿宋" w:cs="仿宋"/>
                <w:color w:val="auto"/>
                <w:kern w:val="0"/>
                <w:sz w:val="22"/>
                <w:szCs w:val="22"/>
                <w:highlight w:val="none"/>
                <w:shd w:val="clear" w:color="auto" w:fill="FFFFFF" w:themeFill="background1"/>
              </w:rPr>
              <w:t>90日历日</w:t>
            </w:r>
          </w:p>
        </w:tc>
      </w:tr>
      <w:tr w14:paraId="3D55F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A56E589">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15</w:t>
            </w:r>
          </w:p>
        </w:tc>
        <w:tc>
          <w:tcPr>
            <w:tcW w:w="1795" w:type="dxa"/>
            <w:vAlign w:val="center"/>
          </w:tcPr>
          <w:p w14:paraId="5ED3E92B">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公告发布媒体</w:t>
            </w:r>
          </w:p>
        </w:tc>
        <w:tc>
          <w:tcPr>
            <w:tcW w:w="6688" w:type="dxa"/>
            <w:vAlign w:val="center"/>
          </w:tcPr>
          <w:p w14:paraId="72884FA8">
            <w:pPr>
              <w:spacing w:line="288" w:lineRule="auto"/>
              <w:jc w:val="left"/>
              <w:rPr>
                <w:rFonts w:hint="eastAsia" w:ascii="仿宋" w:hAnsi="仿宋" w:eastAsia="仿宋" w:cs="仿宋"/>
                <w:color w:val="auto"/>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新疆政府采购网（http://www.ccgp-xinjiang.gov.cn/home.html）</w:t>
            </w:r>
          </w:p>
        </w:tc>
      </w:tr>
      <w:tr w14:paraId="5A19B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CD9BA98">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16</w:t>
            </w:r>
          </w:p>
        </w:tc>
        <w:tc>
          <w:tcPr>
            <w:tcW w:w="1795" w:type="dxa"/>
            <w:vAlign w:val="center"/>
          </w:tcPr>
          <w:p w14:paraId="00880C22">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履约保证金</w:t>
            </w:r>
          </w:p>
        </w:tc>
        <w:tc>
          <w:tcPr>
            <w:tcW w:w="6688" w:type="dxa"/>
            <w:vAlign w:val="center"/>
          </w:tcPr>
          <w:p w14:paraId="31471930">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履约保证金金额：</w:t>
            </w:r>
            <w:r>
              <w:rPr>
                <w:rFonts w:hint="eastAsia" w:ascii="仿宋" w:hAnsi="仿宋" w:eastAsia="仿宋" w:cs="仿宋"/>
                <w:color w:val="auto"/>
                <w:kern w:val="0"/>
                <w:sz w:val="22"/>
                <w:szCs w:val="22"/>
                <w:highlight w:val="none"/>
                <w:shd w:val="clear" w:color="auto" w:fill="FFFFFF" w:themeFill="background1"/>
                <w:lang w:val="en-US" w:eastAsia="zh-CN"/>
              </w:rPr>
              <w:t>无</w:t>
            </w:r>
            <w:r>
              <w:rPr>
                <w:rFonts w:hint="eastAsia" w:ascii="仿宋" w:hAnsi="仿宋" w:eastAsia="仿宋" w:cs="仿宋"/>
                <w:color w:val="auto"/>
                <w:kern w:val="0"/>
                <w:sz w:val="22"/>
                <w:szCs w:val="22"/>
                <w:highlight w:val="none"/>
                <w:shd w:val="clear" w:color="auto" w:fill="FFFFFF" w:themeFill="background1"/>
              </w:rPr>
              <w:t>。</w:t>
            </w:r>
          </w:p>
          <w:p w14:paraId="0A1045E0">
            <w:pPr>
              <w:spacing w:line="288" w:lineRule="auto"/>
              <w:jc w:val="left"/>
              <w:rPr>
                <w:rFonts w:hint="eastAsia" w:ascii="仿宋" w:hAnsi="仿宋" w:eastAsia="仿宋" w:cs="仿宋"/>
                <w:color w:val="auto"/>
                <w:sz w:val="22"/>
                <w:szCs w:val="24"/>
                <w:highlight w:val="none"/>
              </w:rPr>
            </w:pPr>
            <w:r>
              <w:rPr>
                <w:rFonts w:hint="eastAsia" w:ascii="仿宋" w:hAnsi="仿宋" w:eastAsia="仿宋" w:cs="仿宋"/>
                <w:color w:val="auto"/>
                <w:kern w:val="0"/>
                <w:sz w:val="22"/>
                <w:szCs w:val="22"/>
                <w:highlight w:val="none"/>
                <w:shd w:val="clear" w:color="auto" w:fill="FFFFFF" w:themeFill="background1"/>
              </w:rPr>
              <w:t>2</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供应商应当以支票、汇票、本票或者金融机构、担保机构出具的保函等非现金形式提交履约保证金。</w:t>
            </w:r>
          </w:p>
        </w:tc>
      </w:tr>
      <w:tr w14:paraId="2A9D3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BB1F346">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17</w:t>
            </w:r>
          </w:p>
        </w:tc>
        <w:tc>
          <w:tcPr>
            <w:tcW w:w="1795" w:type="dxa"/>
            <w:vAlign w:val="center"/>
          </w:tcPr>
          <w:p w14:paraId="4F981522">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中小企业政策说明</w:t>
            </w:r>
          </w:p>
        </w:tc>
        <w:tc>
          <w:tcPr>
            <w:tcW w:w="6688" w:type="dxa"/>
            <w:vAlign w:val="center"/>
          </w:tcPr>
          <w:p w14:paraId="6E765F32">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1</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中小企业，是指在中华人民共和国境内依法设立，依据国务院批准的中小企业划分标准确定的中型企业、小型企业和微型企业。</w:t>
            </w:r>
          </w:p>
          <w:p w14:paraId="576AF5E6">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2</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符合中小企业划分标准的个体工商户，在政府采购活动中视同中小企业；残疾人福利性单位和监狱企业视同小型、微型企业。</w:t>
            </w:r>
          </w:p>
          <w:p w14:paraId="1288B277">
            <w:pPr>
              <w:spacing w:line="288" w:lineRule="auto"/>
              <w:jc w:val="left"/>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shd w:val="clear" w:color="auto" w:fill="FFFFFF" w:themeFill="background1"/>
              </w:rPr>
              <w:t>3</w:t>
            </w:r>
            <w:r>
              <w:rPr>
                <w:rFonts w:hint="eastAsia" w:ascii="仿宋" w:hAnsi="仿宋" w:eastAsia="仿宋" w:cs="仿宋"/>
                <w:color w:val="auto"/>
                <w:kern w:val="0"/>
                <w:sz w:val="22"/>
                <w:szCs w:val="22"/>
                <w:highlight w:val="none"/>
                <w:shd w:val="clear" w:color="auto" w:fill="FFFFFF" w:themeFill="background1"/>
                <w:lang w:val="en-US" w:eastAsia="zh-CN"/>
              </w:rPr>
              <w:t>.</w:t>
            </w:r>
            <w:r>
              <w:rPr>
                <w:rFonts w:hint="eastAsia" w:ascii="仿宋" w:hAnsi="仿宋" w:eastAsia="仿宋" w:cs="仿宋"/>
                <w:color w:val="auto"/>
                <w:kern w:val="0"/>
                <w:sz w:val="22"/>
                <w:szCs w:val="22"/>
                <w:highlight w:val="none"/>
                <w:shd w:val="clear" w:color="auto" w:fill="FFFFFF" w:themeFill="background1"/>
              </w:rPr>
              <w:t>根据“关于印发中小企业划型标准规定的通知</w:t>
            </w:r>
            <w:r>
              <w:rPr>
                <w:rFonts w:hint="eastAsia" w:ascii="仿宋" w:hAnsi="仿宋" w:eastAsia="仿宋" w:cs="仿宋"/>
                <w:color w:val="auto"/>
                <w:kern w:val="0"/>
                <w:sz w:val="22"/>
                <w:szCs w:val="22"/>
                <w:highlight w:val="none"/>
                <w:shd w:val="clear" w:color="auto" w:fill="FFFFFF" w:themeFill="background1"/>
                <w:lang w:eastAsia="zh-CN"/>
              </w:rPr>
              <w:t>（</w:t>
            </w:r>
            <w:r>
              <w:rPr>
                <w:rFonts w:hint="eastAsia" w:ascii="仿宋" w:hAnsi="仿宋" w:eastAsia="仿宋" w:cs="仿宋"/>
                <w:color w:val="auto"/>
                <w:kern w:val="0"/>
                <w:sz w:val="22"/>
                <w:szCs w:val="22"/>
                <w:highlight w:val="none"/>
                <w:shd w:val="clear" w:color="auto" w:fill="FFFFFF" w:themeFill="background1"/>
              </w:rPr>
              <w:t>工信部联企业〔2011〕300号</w:t>
            </w:r>
            <w:r>
              <w:rPr>
                <w:rFonts w:hint="eastAsia" w:ascii="仿宋" w:hAnsi="仿宋" w:eastAsia="仿宋" w:cs="仿宋"/>
                <w:color w:val="auto"/>
                <w:kern w:val="0"/>
                <w:sz w:val="22"/>
                <w:szCs w:val="22"/>
                <w:highlight w:val="none"/>
                <w:shd w:val="clear" w:color="auto" w:fill="FFFFFF" w:themeFill="background1"/>
                <w:lang w:eastAsia="zh-CN"/>
              </w:rPr>
              <w:t>）</w:t>
            </w:r>
            <w:r>
              <w:rPr>
                <w:rFonts w:hint="eastAsia" w:ascii="仿宋" w:hAnsi="仿宋" w:eastAsia="仿宋" w:cs="仿宋"/>
                <w:color w:val="auto"/>
                <w:kern w:val="0"/>
                <w:sz w:val="22"/>
                <w:szCs w:val="22"/>
                <w:highlight w:val="none"/>
                <w:shd w:val="clear" w:color="auto" w:fill="FFFFFF" w:themeFill="background1"/>
              </w:rPr>
              <w:t>”等有关规定，本项目标的所属行业为</w:t>
            </w:r>
            <w:r>
              <w:rPr>
                <w:rFonts w:hint="eastAsia" w:ascii="仿宋" w:hAnsi="仿宋" w:eastAsia="仿宋" w:cs="仿宋"/>
                <w:color w:val="auto"/>
                <w:kern w:val="0"/>
                <w:sz w:val="22"/>
                <w:szCs w:val="22"/>
                <w:highlight w:val="none"/>
                <w:shd w:val="clear" w:color="auto" w:fill="FFFFFF" w:themeFill="background1"/>
                <w:lang w:val="en-US" w:eastAsia="zh-CN"/>
              </w:rPr>
              <w:t>软件和信息技术服务业</w:t>
            </w:r>
            <w:r>
              <w:rPr>
                <w:rFonts w:hint="eastAsia" w:ascii="仿宋" w:hAnsi="仿宋" w:eastAsia="仿宋" w:cs="仿宋"/>
                <w:color w:val="auto"/>
                <w:kern w:val="0"/>
                <w:sz w:val="22"/>
                <w:szCs w:val="22"/>
                <w:highlight w:val="none"/>
                <w:shd w:val="clear" w:color="auto" w:fill="FFFFFF" w:themeFill="background1"/>
              </w:rPr>
              <w:t>。</w:t>
            </w:r>
          </w:p>
        </w:tc>
      </w:tr>
      <w:tr w14:paraId="7EBCD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FCA1001">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rPr>
              <w:t>18</w:t>
            </w:r>
          </w:p>
        </w:tc>
        <w:tc>
          <w:tcPr>
            <w:tcW w:w="1795" w:type="dxa"/>
            <w:vAlign w:val="center"/>
          </w:tcPr>
          <w:p w14:paraId="672B4F15">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是否允许分包</w:t>
            </w:r>
          </w:p>
        </w:tc>
        <w:tc>
          <w:tcPr>
            <w:tcW w:w="6688" w:type="dxa"/>
            <w:vAlign w:val="center"/>
          </w:tcPr>
          <w:p w14:paraId="0E8719FF">
            <w:pPr>
              <w:keepNext/>
              <w:widowControl/>
              <w:spacing w:line="288" w:lineRule="auto"/>
              <w:jc w:val="left"/>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eastAsia="zh-CN"/>
              </w:rPr>
              <w:t>☑</w:t>
            </w:r>
            <w:r>
              <w:rPr>
                <w:rFonts w:hint="eastAsia" w:ascii="仿宋" w:hAnsi="仿宋" w:eastAsia="仿宋" w:cs="仿宋"/>
                <w:color w:val="auto"/>
                <w:kern w:val="0"/>
                <w:sz w:val="22"/>
                <w:szCs w:val="22"/>
                <w:highlight w:val="none"/>
              </w:rPr>
              <w:t>不允许分包</w:t>
            </w:r>
          </w:p>
          <w:p w14:paraId="494904B2">
            <w:pPr>
              <w:keepNext/>
              <w:widowControl/>
              <w:spacing w:line="288" w:lineRule="auto"/>
              <w:jc w:val="left"/>
              <w:rPr>
                <w:rFonts w:hint="eastAsia" w:ascii="仿宋" w:hAnsi="仿宋" w:eastAsia="仿宋" w:cs="仿宋"/>
                <w:color w:val="auto"/>
                <w:kern w:val="0"/>
                <w:sz w:val="22"/>
                <w:szCs w:val="22"/>
                <w:highlight w:val="none"/>
                <w:u w:val="single"/>
                <w:shd w:val="clear" w:color="auto" w:fill="FFFFFF" w:themeFill="background1"/>
                <w:lang w:val="en-US" w:eastAsia="zh-CN"/>
              </w:rPr>
            </w:pPr>
            <w:r>
              <w:rPr>
                <w:rFonts w:hint="eastAsia" w:ascii="仿宋" w:hAnsi="仿宋" w:eastAsia="仿宋" w:cs="仿宋"/>
                <w:color w:val="auto"/>
                <w:kern w:val="0"/>
                <w:sz w:val="22"/>
                <w:szCs w:val="22"/>
                <w:highlight w:val="none"/>
              </w:rPr>
              <w:t>□允许分包</w:t>
            </w:r>
            <w:r>
              <w:rPr>
                <w:rFonts w:hint="eastAsia" w:ascii="仿宋" w:hAnsi="仿宋" w:eastAsia="仿宋" w:cs="仿宋"/>
                <w:color w:val="auto"/>
                <w:kern w:val="0"/>
                <w:sz w:val="22"/>
                <w:szCs w:val="22"/>
                <w:highlight w:val="none"/>
                <w:lang w:eastAsia="zh-CN"/>
              </w:rPr>
              <w:t>，</w:t>
            </w:r>
            <w:r>
              <w:rPr>
                <w:rFonts w:hint="eastAsia" w:ascii="仿宋" w:hAnsi="仿宋" w:eastAsia="仿宋" w:cs="仿宋"/>
                <w:color w:val="auto"/>
                <w:kern w:val="0"/>
                <w:sz w:val="22"/>
                <w:szCs w:val="22"/>
                <w:highlight w:val="none"/>
              </w:rPr>
              <w:t>要求：</w:t>
            </w:r>
            <w:r>
              <w:rPr>
                <w:rFonts w:hint="eastAsia" w:ascii="仿宋" w:hAnsi="仿宋" w:eastAsia="仿宋" w:cs="仿宋"/>
                <w:color w:val="auto"/>
                <w:kern w:val="0"/>
                <w:sz w:val="22"/>
                <w:szCs w:val="22"/>
                <w:highlight w:val="none"/>
                <w:u w:val="single"/>
              </w:rPr>
              <w:t xml:space="preserve"> </w:t>
            </w:r>
            <w:r>
              <w:rPr>
                <w:rFonts w:hint="eastAsia" w:ascii="仿宋" w:hAnsi="仿宋" w:eastAsia="仿宋" w:cs="仿宋"/>
                <w:color w:val="auto"/>
                <w:kern w:val="0"/>
                <w:sz w:val="22"/>
                <w:szCs w:val="22"/>
                <w:highlight w:val="none"/>
                <w:u w:val="single"/>
                <w:lang w:val="en-US" w:eastAsia="zh-CN"/>
              </w:rPr>
              <w:t xml:space="preserve">/ </w:t>
            </w:r>
          </w:p>
        </w:tc>
      </w:tr>
      <w:tr w14:paraId="7B34A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829365E">
            <w:pPr>
              <w:spacing w:line="288" w:lineRule="auto"/>
              <w:jc w:val="center"/>
              <w:rPr>
                <w:rFonts w:hint="eastAsia" w:ascii="仿宋" w:hAnsi="仿宋" w:eastAsia="仿宋" w:cs="仿宋"/>
                <w:color w:val="auto"/>
                <w:kern w:val="0"/>
                <w:sz w:val="22"/>
                <w:szCs w:val="22"/>
                <w:highlight w:val="none"/>
                <w:shd w:val="clear" w:color="auto" w:fill="FFFFFF" w:themeFill="background1"/>
              </w:rPr>
            </w:pPr>
            <w:r>
              <w:rPr>
                <w:rFonts w:hint="eastAsia" w:ascii="仿宋" w:hAnsi="仿宋" w:eastAsia="仿宋" w:cs="仿宋"/>
                <w:color w:val="auto"/>
                <w:kern w:val="0"/>
                <w:sz w:val="22"/>
                <w:szCs w:val="22"/>
                <w:highlight w:val="none"/>
              </w:rPr>
              <w:t>19</w:t>
            </w:r>
          </w:p>
        </w:tc>
        <w:tc>
          <w:tcPr>
            <w:tcW w:w="1795" w:type="dxa"/>
            <w:vAlign w:val="center"/>
          </w:tcPr>
          <w:p w14:paraId="091DD299">
            <w:pPr>
              <w:keepNext/>
              <w:widowControl/>
              <w:spacing w:line="288" w:lineRule="auto"/>
              <w:jc w:val="distribute"/>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w:t>
            </w:r>
          </w:p>
        </w:tc>
        <w:tc>
          <w:tcPr>
            <w:tcW w:w="6688" w:type="dxa"/>
            <w:vAlign w:val="center"/>
          </w:tcPr>
          <w:p w14:paraId="1E4722B0">
            <w:pPr>
              <w:keepNext/>
              <w:widowControl/>
              <w:numPr>
                <w:ilvl w:val="0"/>
                <w:numId w:val="0"/>
              </w:numPr>
              <w:jc w:val="left"/>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bidi="ar-SA"/>
              </w:rPr>
              <w:t>1.</w:t>
            </w:r>
            <w:r>
              <w:rPr>
                <w:rFonts w:hint="eastAsia" w:ascii="仿宋" w:hAnsi="仿宋" w:eastAsia="仿宋" w:cs="仿宋"/>
                <w:color w:val="auto"/>
                <w:kern w:val="0"/>
                <w:sz w:val="22"/>
                <w:szCs w:val="22"/>
                <w:highlight w:val="none"/>
                <w:lang w:val="en-US" w:eastAsia="zh-CN"/>
              </w:rPr>
              <w:t>采购文件中所述政策法规、标准规范等文件，如有新文件则按新文件执行，如已废止则仅为参考。</w:t>
            </w:r>
          </w:p>
          <w:p w14:paraId="2712D73A">
            <w:pPr>
              <w:keepNext/>
              <w:widowControl/>
              <w:numPr>
                <w:ilvl w:val="0"/>
                <w:numId w:val="0"/>
              </w:numPr>
              <w:jc w:val="left"/>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bidi="ar-SA"/>
              </w:rPr>
              <w:t>2.</w:t>
            </w:r>
            <w:r>
              <w:rPr>
                <w:rFonts w:hint="eastAsia" w:ascii="仿宋" w:hAnsi="仿宋" w:eastAsia="仿宋" w:cs="仿宋"/>
                <w:color w:val="auto"/>
                <w:kern w:val="0"/>
                <w:sz w:val="22"/>
                <w:szCs w:val="22"/>
                <w:highlight w:val="none"/>
                <w:lang w:val="en-US" w:eastAsia="zh-CN"/>
              </w:rPr>
              <w:t>供应商须根据采购文件要求在响应文件中提供评审所需的相应证明材料扫描件。</w:t>
            </w:r>
          </w:p>
          <w:p w14:paraId="393C2011">
            <w:pPr>
              <w:keepNext/>
              <w:widowControl/>
              <w:numPr>
                <w:ilvl w:val="0"/>
                <w:numId w:val="0"/>
              </w:numPr>
              <w:jc w:val="left"/>
              <w:rPr>
                <w:rFonts w:hint="eastAsia" w:ascii="仿宋" w:hAnsi="仿宋" w:eastAsia="仿宋" w:cs="仿宋"/>
                <w:color w:val="auto"/>
                <w:sz w:val="22"/>
                <w:szCs w:val="24"/>
                <w:highlight w:val="none"/>
                <w:lang w:val="en-US"/>
              </w:rPr>
            </w:pPr>
            <w:r>
              <w:rPr>
                <w:rFonts w:hint="eastAsia" w:ascii="仿宋" w:hAnsi="仿宋" w:eastAsia="仿宋" w:cs="仿宋"/>
                <w:color w:val="auto"/>
                <w:kern w:val="0"/>
                <w:sz w:val="22"/>
                <w:szCs w:val="22"/>
                <w:highlight w:val="none"/>
                <w:shd w:val="clear" w:fill="FFFFFF" w:themeFill="background1"/>
                <w:lang w:val="en-US" w:eastAsia="zh-CN" w:bidi="ar-SA"/>
              </w:rPr>
              <w:t>3.</w:t>
            </w:r>
            <w:r>
              <w:rPr>
                <w:rFonts w:hint="eastAsia" w:ascii="仿宋" w:hAnsi="仿宋" w:eastAsia="仿宋" w:cs="仿宋"/>
                <w:color w:val="auto"/>
                <w:kern w:val="0"/>
                <w:sz w:val="22"/>
                <w:szCs w:val="22"/>
                <w:highlight w:val="none"/>
                <w:lang w:val="en-US" w:eastAsia="zh-CN"/>
              </w:rPr>
              <w:t>本表内容如与后文内容不一致处，以本表为准。</w:t>
            </w:r>
          </w:p>
        </w:tc>
      </w:tr>
    </w:tbl>
    <w:p w14:paraId="15470D41">
      <w:pPr>
        <w:keepNext w:val="0"/>
        <w:keepLines w:val="0"/>
        <w:pageBreakBefore w:val="0"/>
        <w:widowControl w:val="0"/>
        <w:numPr>
          <w:ilvl w:val="0"/>
          <w:numId w:val="1"/>
        </w:numPr>
        <w:kinsoku/>
        <w:wordWrap/>
        <w:overflowPunct/>
        <w:topLinePunct w:val="0"/>
        <w:autoSpaceDE/>
        <w:autoSpaceDN/>
        <w:bidi w:val="0"/>
        <w:adjustRightInd/>
        <w:snapToGrid/>
        <w:spacing w:line="540" w:lineRule="exact"/>
        <w:jc w:val="center"/>
        <w:textAlignment w:val="auto"/>
        <w:outlineLvl w:val="0"/>
        <w:rPr>
          <w:rFonts w:hint="eastAsia" w:ascii="仿宋" w:hAnsi="仿宋" w:eastAsia="仿宋" w:cs="仿宋"/>
          <w:b w:val="0"/>
          <w:bCs w:val="0"/>
          <w:color w:val="auto"/>
          <w:sz w:val="36"/>
          <w:szCs w:val="36"/>
          <w:highlight w:val="none"/>
          <w:lang w:val="en-US" w:eastAsia="zh-CN"/>
        </w:rPr>
      </w:pPr>
      <w:bookmarkStart w:id="5" w:name="_BookMark_3"/>
      <w:bookmarkEnd w:id="5"/>
      <w:r>
        <w:rPr>
          <w:rFonts w:hint="eastAsia" w:ascii="仿宋" w:hAnsi="仿宋" w:eastAsia="仿宋" w:cs="仿宋"/>
          <w:color w:val="auto"/>
          <w:kern w:val="0"/>
          <w:sz w:val="24"/>
          <w:szCs w:val="24"/>
          <w:highlight w:val="none"/>
          <w:shd w:val="clear" w:color="auto" w:fill="FFFFFF" w:themeFill="background1"/>
        </w:rPr>
        <w:br w:type="page"/>
      </w:r>
      <w:bookmarkStart w:id="6" w:name="_Toc6898"/>
      <w:r>
        <w:rPr>
          <w:rFonts w:hint="eastAsia" w:ascii="仿宋" w:hAnsi="仿宋" w:eastAsia="仿宋" w:cs="仿宋"/>
          <w:b w:val="0"/>
          <w:bCs w:val="0"/>
          <w:color w:val="auto"/>
          <w:sz w:val="36"/>
          <w:szCs w:val="36"/>
          <w:highlight w:val="none"/>
          <w:lang w:val="en-US" w:eastAsia="zh-CN"/>
        </w:rPr>
        <w:t>供应商须知</w:t>
      </w:r>
      <w:bookmarkEnd w:id="6"/>
      <w:bookmarkStart w:id="7" w:name="_BookMark_2"/>
      <w:bookmarkEnd w:id="7"/>
    </w:p>
    <w:p w14:paraId="542BCB15">
      <w:pPr>
        <w:rPr>
          <w:rFonts w:hint="eastAsia" w:ascii="仿宋" w:hAnsi="仿宋" w:eastAsia="仿宋" w:cs="仿宋"/>
          <w:color w:val="auto"/>
          <w:highlight w:val="none"/>
          <w:lang w:val="en-US" w:eastAsia="zh-CN"/>
        </w:rPr>
      </w:pPr>
    </w:p>
    <w:p w14:paraId="4B91FA7C">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8" w:name="_Toc688"/>
      <w:r>
        <w:rPr>
          <w:rFonts w:hint="eastAsia" w:ascii="仿宋" w:hAnsi="仿宋" w:eastAsia="仿宋" w:cs="仿宋"/>
          <w:b/>
          <w:color w:val="auto"/>
          <w:sz w:val="24"/>
          <w:szCs w:val="24"/>
          <w:highlight w:val="none"/>
          <w:shd w:val="clear" w:color="auto" w:fill="FFFFFF" w:themeFill="background1"/>
        </w:rPr>
        <w:t>一、总则</w:t>
      </w:r>
      <w:bookmarkEnd w:id="8"/>
    </w:p>
    <w:p w14:paraId="651AD5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1.1采购项目概况</w:t>
      </w:r>
      <w:r>
        <w:rPr>
          <w:rFonts w:hint="eastAsia" w:ascii="仿宋" w:hAnsi="仿宋" w:eastAsia="仿宋" w:cs="仿宋"/>
          <w:color w:val="auto"/>
          <w:kern w:val="0"/>
          <w:sz w:val="24"/>
          <w:szCs w:val="24"/>
          <w:highlight w:val="none"/>
          <w:shd w:val="clear" w:color="auto" w:fill="FFFFFF" w:themeFill="background1"/>
          <w:lang w:eastAsia="zh-CN"/>
        </w:rPr>
        <w:t>。</w:t>
      </w:r>
    </w:p>
    <w:p w14:paraId="030EB14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1.1.1项目名称：见供应商须知前附表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2D0E132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1.1.2项目编号：见供应商须知前附表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152A687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1.1.3采购人：见供应商须知前附表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5BBB2C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1.1.4采购代理机构：见供应商须知前附表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7DA0B61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1.1.5项目地点：见供应商须知前附表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1E0D73F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1.1.6资金来源：见供应商须知前附表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2D0378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1.1.7采购预算金额：见供应商须知前附表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2DCB971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val="en-US" w:eastAsia="zh-CN"/>
        </w:rPr>
      </w:pPr>
      <w:r>
        <w:rPr>
          <w:rFonts w:hint="eastAsia" w:ascii="仿宋" w:hAnsi="仿宋" w:eastAsia="仿宋" w:cs="仿宋"/>
          <w:color w:val="auto"/>
          <w:kern w:val="0"/>
          <w:sz w:val="24"/>
          <w:szCs w:val="24"/>
          <w:highlight w:val="none"/>
          <w:shd w:val="clear" w:color="auto" w:fill="FFFFFF" w:themeFill="background1"/>
        </w:rPr>
        <w:t>1.1.8</w:t>
      </w:r>
      <w:r>
        <w:rPr>
          <w:rFonts w:hint="eastAsia" w:ascii="仿宋" w:hAnsi="仿宋" w:eastAsia="仿宋" w:cs="仿宋"/>
          <w:color w:val="auto"/>
          <w:kern w:val="0"/>
          <w:sz w:val="24"/>
          <w:szCs w:val="24"/>
          <w:highlight w:val="none"/>
          <w:shd w:val="clear" w:color="auto" w:fill="FFFFFF" w:themeFill="background1"/>
          <w:lang w:val="en-US" w:eastAsia="zh-CN"/>
        </w:rPr>
        <w:t>最高限价</w:t>
      </w:r>
      <w:r>
        <w:rPr>
          <w:rFonts w:hint="eastAsia" w:ascii="仿宋" w:hAnsi="仿宋" w:eastAsia="仿宋" w:cs="仿宋"/>
          <w:color w:val="auto"/>
          <w:kern w:val="0"/>
          <w:sz w:val="24"/>
          <w:szCs w:val="24"/>
          <w:highlight w:val="none"/>
          <w:shd w:val="clear" w:color="auto" w:fill="FFFFFF" w:themeFill="background1"/>
        </w:rPr>
        <w:t>：见供应商须知前附表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1985A3E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lang w:eastAsia="zh-CN"/>
        </w:rPr>
        <w:t>合同履约期限</w:t>
      </w:r>
      <w:r>
        <w:rPr>
          <w:rFonts w:hint="eastAsia" w:ascii="仿宋" w:hAnsi="仿宋" w:eastAsia="仿宋" w:cs="仿宋"/>
          <w:color w:val="auto"/>
          <w:kern w:val="0"/>
          <w:sz w:val="24"/>
          <w:szCs w:val="24"/>
          <w:highlight w:val="none"/>
          <w:shd w:val="clear" w:color="auto" w:fill="FFFFFF" w:themeFill="background1"/>
        </w:rPr>
        <w:t>：见供应商须知前附表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30EE5AB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服务地点：见供应商须知前附表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6B54F64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1.2采购范围：见供应商须知前附表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1BB24B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1.3采购方式和资格审查方式</w:t>
      </w:r>
      <w:r>
        <w:rPr>
          <w:rFonts w:hint="eastAsia" w:ascii="仿宋" w:hAnsi="仿宋" w:eastAsia="仿宋" w:cs="仿宋"/>
          <w:color w:val="auto"/>
          <w:kern w:val="0"/>
          <w:sz w:val="24"/>
          <w:szCs w:val="24"/>
          <w:highlight w:val="none"/>
          <w:shd w:val="clear" w:color="auto" w:fill="FFFFFF" w:themeFill="background1"/>
          <w:lang w:eastAsia="zh-CN"/>
        </w:rPr>
        <w:t>。</w:t>
      </w:r>
    </w:p>
    <w:p w14:paraId="6230EDE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1.3.1采购方式：见供应商须知前附表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7F576A0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1.3.2资格审查方式：见供应商须知前附表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653E719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1.4评审办法及定标方法</w:t>
      </w:r>
      <w:r>
        <w:rPr>
          <w:rFonts w:hint="eastAsia" w:ascii="仿宋" w:hAnsi="仿宋" w:eastAsia="仿宋" w:cs="仿宋"/>
          <w:color w:val="auto"/>
          <w:kern w:val="0"/>
          <w:sz w:val="24"/>
          <w:szCs w:val="24"/>
          <w:highlight w:val="none"/>
          <w:shd w:val="clear" w:color="auto" w:fill="FFFFFF" w:themeFill="background1"/>
          <w:lang w:eastAsia="zh-CN"/>
        </w:rPr>
        <w:t>。</w:t>
      </w:r>
    </w:p>
    <w:p w14:paraId="6392EE8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1.4.1评审办法：见供应商须知前附表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58396D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1.4.2定标方法：见供应商须知前附表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3B28A44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1.5</w:t>
      </w:r>
      <w:r>
        <w:rPr>
          <w:rFonts w:hint="eastAsia" w:ascii="仿宋" w:hAnsi="仿宋" w:eastAsia="仿宋" w:cs="仿宋"/>
          <w:color w:val="auto"/>
          <w:kern w:val="0"/>
          <w:sz w:val="24"/>
          <w:szCs w:val="24"/>
          <w:highlight w:val="none"/>
          <w:shd w:val="clear" w:color="auto" w:fill="FFFFFF" w:themeFill="background1"/>
          <w:lang w:eastAsia="zh-CN"/>
        </w:rPr>
        <w:t>供应商的资格要求</w:t>
      </w:r>
      <w:r>
        <w:rPr>
          <w:rFonts w:hint="eastAsia" w:ascii="仿宋" w:hAnsi="仿宋" w:eastAsia="仿宋" w:cs="仿宋"/>
          <w:color w:val="auto"/>
          <w:kern w:val="0"/>
          <w:sz w:val="24"/>
          <w:szCs w:val="24"/>
          <w:highlight w:val="none"/>
          <w:shd w:val="clear" w:color="auto" w:fill="FFFFFF" w:themeFill="background1"/>
        </w:rPr>
        <w:t>：见供应商须知前附表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051C9F04">
      <w:pPr>
        <w:widowControl/>
        <w:shd w:val="clear" w:color="auto" w:fill="FFFFFF"/>
        <w:snapToGrid w:val="0"/>
        <w:spacing w:line="360" w:lineRule="auto"/>
        <w:ind w:firstLine="480" w:firstLineChars="200"/>
        <w:rPr>
          <w:rFonts w:hint="eastAsia" w:ascii="仿宋" w:hAnsi="仿宋" w:eastAsia="仿宋" w:cs="仿宋"/>
          <w:b/>
          <w:bCs/>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1.6供应商不得存在的情形：见供应商须知前附表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18D3DFF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1.7费用承担</w:t>
      </w:r>
      <w:r>
        <w:rPr>
          <w:rFonts w:hint="eastAsia" w:ascii="仿宋" w:hAnsi="仿宋" w:eastAsia="仿宋" w:cs="仿宋"/>
          <w:color w:val="auto"/>
          <w:kern w:val="0"/>
          <w:sz w:val="24"/>
          <w:szCs w:val="24"/>
          <w:highlight w:val="none"/>
          <w:shd w:val="clear" w:color="auto" w:fill="FFFFFF" w:themeFill="background1"/>
          <w:lang w:eastAsia="zh-CN"/>
        </w:rPr>
        <w:t>。</w:t>
      </w:r>
    </w:p>
    <w:p w14:paraId="54BD8A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1.7.1</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费：见供应商须知前附表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2D9885A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1.7.2供应商应承担其编制响应文件与递交响应文件所涉及的一切费用，无论</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结果如何，采购人及采购代理机构对上述费用不作任何补偿。</w:t>
      </w:r>
      <w:r>
        <w:rPr>
          <w:rFonts w:hint="eastAsia" w:ascii="仿宋" w:hAnsi="仿宋" w:eastAsia="仿宋" w:cs="仿宋"/>
          <w:color w:val="auto"/>
          <w:kern w:val="0"/>
          <w:sz w:val="24"/>
          <w:szCs w:val="24"/>
          <w:highlight w:val="none"/>
          <w:shd w:val="clear" w:color="auto" w:fill="FFFFFF" w:themeFill="background1"/>
          <w:lang w:eastAsia="zh-CN"/>
        </w:rPr>
        <w:t>代理服务费</w:t>
      </w:r>
      <w:r>
        <w:rPr>
          <w:rFonts w:hint="eastAsia" w:ascii="仿宋" w:hAnsi="仿宋" w:eastAsia="仿宋" w:cs="仿宋"/>
          <w:color w:val="auto"/>
          <w:kern w:val="0"/>
          <w:sz w:val="24"/>
          <w:szCs w:val="24"/>
          <w:highlight w:val="none"/>
          <w:shd w:val="clear" w:color="auto" w:fill="FFFFFF" w:themeFill="background1"/>
        </w:rPr>
        <w:t>由成交供应商支付</w:t>
      </w:r>
      <w:r>
        <w:rPr>
          <w:rFonts w:hint="eastAsia" w:ascii="仿宋" w:hAnsi="仿宋" w:eastAsia="仿宋" w:cs="仿宋"/>
          <w:color w:val="auto"/>
          <w:kern w:val="0"/>
          <w:sz w:val="24"/>
          <w:szCs w:val="24"/>
          <w:highlight w:val="none"/>
          <w:shd w:val="clear" w:color="auto" w:fill="FFFFFF" w:themeFill="background1"/>
          <w:lang w:eastAsia="zh-CN"/>
        </w:rPr>
        <w:t>。</w:t>
      </w:r>
    </w:p>
    <w:p w14:paraId="26BDD9B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1.8</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185FDFB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1.9现场踏勘</w:t>
      </w:r>
      <w:r>
        <w:rPr>
          <w:rFonts w:hint="eastAsia" w:ascii="仿宋" w:hAnsi="仿宋" w:eastAsia="仿宋" w:cs="仿宋"/>
          <w:color w:val="auto"/>
          <w:kern w:val="0"/>
          <w:sz w:val="24"/>
          <w:szCs w:val="24"/>
          <w:highlight w:val="none"/>
          <w:shd w:val="clear" w:color="auto" w:fill="FFFFFF" w:themeFill="background1"/>
          <w:lang w:eastAsia="zh-CN"/>
        </w:rPr>
        <w:t>。</w:t>
      </w:r>
    </w:p>
    <w:p w14:paraId="0C5F3A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1.9.1供应商须知前附表规定组织踏勘现场的，采购人或采购代理机构按供应商须知前附表规定的时间、地点组织供应商踏勘项目现场。</w:t>
      </w:r>
    </w:p>
    <w:p w14:paraId="65A8B0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1.9.2供应商踏勘现场发生的费用自理</w:t>
      </w:r>
      <w:r>
        <w:rPr>
          <w:rFonts w:hint="eastAsia" w:ascii="仿宋" w:hAnsi="仿宋" w:eastAsia="仿宋" w:cs="仿宋"/>
          <w:color w:val="auto"/>
          <w:kern w:val="0"/>
          <w:sz w:val="24"/>
          <w:szCs w:val="24"/>
          <w:highlight w:val="none"/>
          <w:shd w:val="clear" w:color="auto" w:fill="FFFFFF" w:themeFill="background1"/>
          <w:lang w:eastAsia="zh-CN"/>
        </w:rPr>
        <w:t>。</w:t>
      </w:r>
    </w:p>
    <w:p w14:paraId="1EA03C5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1.9.3除采购人或采购代理机构的原因外，供应商自行负责在踏勘现场中所发生的人员伤亡和财产损失</w:t>
      </w:r>
      <w:r>
        <w:rPr>
          <w:rFonts w:hint="eastAsia" w:ascii="仿宋" w:hAnsi="仿宋" w:eastAsia="仿宋" w:cs="仿宋"/>
          <w:color w:val="auto"/>
          <w:kern w:val="0"/>
          <w:sz w:val="24"/>
          <w:szCs w:val="24"/>
          <w:highlight w:val="none"/>
          <w:shd w:val="clear" w:color="auto" w:fill="FFFFFF" w:themeFill="background1"/>
          <w:lang w:eastAsia="zh-CN"/>
        </w:rPr>
        <w:t>。</w:t>
      </w:r>
    </w:p>
    <w:p w14:paraId="4CDC45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1.9.4采购人或采购代理机构在踏勘现场中介绍的项目有关情况，供应商在编制响应文件时参考，采购人或采购代理机构不对供应商据此作出的判断和决策负责</w:t>
      </w:r>
      <w:r>
        <w:rPr>
          <w:rFonts w:hint="eastAsia" w:ascii="仿宋" w:hAnsi="仿宋" w:eastAsia="仿宋" w:cs="仿宋"/>
          <w:color w:val="auto"/>
          <w:kern w:val="0"/>
          <w:sz w:val="24"/>
          <w:szCs w:val="24"/>
          <w:highlight w:val="none"/>
          <w:shd w:val="clear" w:color="auto" w:fill="FFFFFF" w:themeFill="background1"/>
          <w:lang w:eastAsia="zh-CN"/>
        </w:rPr>
        <w:t>。</w:t>
      </w:r>
    </w:p>
    <w:p w14:paraId="3713376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1.10采购答疑</w:t>
      </w:r>
      <w:r>
        <w:rPr>
          <w:rFonts w:hint="eastAsia" w:ascii="仿宋" w:hAnsi="仿宋" w:eastAsia="仿宋" w:cs="仿宋"/>
          <w:color w:val="auto"/>
          <w:kern w:val="0"/>
          <w:sz w:val="24"/>
          <w:szCs w:val="24"/>
          <w:highlight w:val="none"/>
          <w:shd w:val="clear" w:color="auto" w:fill="FFFFFF" w:themeFill="background1"/>
          <w:lang w:eastAsia="zh-CN"/>
        </w:rPr>
        <w:t>。</w:t>
      </w:r>
    </w:p>
    <w:p w14:paraId="5E573F1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1.10.1 供应商若有疑问，应按规定的时间、方式向采购人或采购代理机构提出，要求采购人对</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予以澄清</w:t>
      </w:r>
      <w:r>
        <w:rPr>
          <w:rFonts w:hint="eastAsia" w:ascii="仿宋" w:hAnsi="仿宋" w:eastAsia="仿宋" w:cs="仿宋"/>
          <w:color w:val="auto"/>
          <w:kern w:val="0"/>
          <w:sz w:val="24"/>
          <w:szCs w:val="24"/>
          <w:highlight w:val="none"/>
          <w:shd w:val="clear" w:color="auto" w:fill="FFFFFF" w:themeFill="background1"/>
          <w:lang w:eastAsia="zh-CN"/>
        </w:rPr>
        <w:t>。</w:t>
      </w:r>
    </w:p>
    <w:p w14:paraId="6B17FF5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1.10.2采购人或采购代理机构将按规定的时间方式对供应商的疑问作出统一的解答</w:t>
      </w:r>
      <w:r>
        <w:rPr>
          <w:rFonts w:hint="eastAsia" w:ascii="仿宋" w:hAnsi="仿宋" w:eastAsia="仿宋" w:cs="仿宋"/>
          <w:color w:val="auto"/>
          <w:kern w:val="0"/>
          <w:sz w:val="24"/>
          <w:szCs w:val="24"/>
          <w:highlight w:val="none"/>
          <w:shd w:val="clear" w:color="auto" w:fill="FFFFFF" w:themeFill="background1"/>
          <w:lang w:eastAsia="zh-CN"/>
        </w:rPr>
        <w:t>。</w:t>
      </w:r>
    </w:p>
    <w:p w14:paraId="3F2A2C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1.11响应文件份数：见供应商须知前附表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783B1DF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1.12响应文件递交：见供应商须知前附表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460BB05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1.13</w:t>
      </w:r>
      <w:r>
        <w:rPr>
          <w:rFonts w:hint="eastAsia" w:ascii="仿宋" w:hAnsi="仿宋" w:eastAsia="仿宋" w:cs="仿宋"/>
          <w:color w:val="auto"/>
          <w:kern w:val="0"/>
          <w:sz w:val="24"/>
          <w:szCs w:val="24"/>
          <w:highlight w:val="none"/>
          <w:shd w:val="clear" w:color="auto" w:fill="FFFFFF" w:themeFill="background1"/>
          <w:lang w:eastAsia="zh-CN"/>
        </w:rPr>
        <w:t>开启</w:t>
      </w:r>
      <w:r>
        <w:rPr>
          <w:rFonts w:hint="eastAsia" w:ascii="仿宋" w:hAnsi="仿宋" w:eastAsia="仿宋" w:cs="仿宋"/>
          <w:color w:val="auto"/>
          <w:kern w:val="0"/>
          <w:sz w:val="24"/>
          <w:szCs w:val="24"/>
          <w:highlight w:val="none"/>
          <w:shd w:val="clear" w:color="auto" w:fill="FFFFFF" w:themeFill="background1"/>
        </w:rPr>
        <w:t>：见供应商须知前附表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2F476D3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1.14响应有效期：见供应商须知前附表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15ECE7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1.15公告发布媒体：见供应商须知前附表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29AAEA0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1.16履约保证金：见供应商须知前附表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519907F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1.17中小企业政策说明：见供应商须知前附表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5DAE75A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1.18是否允许分包：见供应商须知前附表</w:t>
      </w:r>
      <w:r>
        <w:rPr>
          <w:rFonts w:hint="eastAsia" w:ascii="仿宋" w:hAnsi="仿宋" w:eastAsia="仿宋" w:cs="仿宋"/>
          <w:color w:val="auto"/>
          <w:kern w:val="0"/>
          <w:sz w:val="24"/>
          <w:szCs w:val="24"/>
          <w:highlight w:val="none"/>
          <w:shd w:val="clear" w:color="auto" w:fill="FFFFFF" w:themeFill="background1"/>
          <w:lang w:eastAsia="zh-CN"/>
        </w:rPr>
        <w:t>。</w:t>
      </w:r>
    </w:p>
    <w:p w14:paraId="27416EC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1.19保密</w:t>
      </w:r>
    </w:p>
    <w:p w14:paraId="20B8F23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参与</w:t>
      </w:r>
      <w:r>
        <w:rPr>
          <w:rFonts w:hint="eastAsia" w:ascii="仿宋" w:hAnsi="仿宋" w:eastAsia="仿宋" w:cs="仿宋"/>
          <w:color w:val="auto"/>
          <w:kern w:val="0"/>
          <w:sz w:val="24"/>
          <w:szCs w:val="24"/>
          <w:highlight w:val="none"/>
          <w:shd w:val="clear" w:color="auto" w:fill="FFFFFF" w:themeFill="background1"/>
          <w:lang w:eastAsia="zh-CN"/>
        </w:rPr>
        <w:t>采购活动</w:t>
      </w:r>
      <w:r>
        <w:rPr>
          <w:rFonts w:hint="eastAsia" w:ascii="仿宋" w:hAnsi="仿宋" w:eastAsia="仿宋" w:cs="仿宋"/>
          <w:color w:val="auto"/>
          <w:kern w:val="0"/>
          <w:sz w:val="24"/>
          <w:szCs w:val="24"/>
          <w:highlight w:val="none"/>
          <w:shd w:val="clear" w:color="auto" w:fill="FFFFFF" w:themeFill="background1"/>
        </w:rPr>
        <w:t>的各方应当对</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和响应文件中的商业和技术等秘密保密，否则应当承担相应的法律责任。</w:t>
      </w:r>
    </w:p>
    <w:p w14:paraId="38D4DF2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1.20语言文字</w:t>
      </w:r>
    </w:p>
    <w:p w14:paraId="087F314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除专用术语外，与</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有关的语言均应当使用中文。必要时专用术语应附有中文注释。</w:t>
      </w:r>
    </w:p>
    <w:p w14:paraId="3052596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1.21计量单位</w:t>
      </w:r>
    </w:p>
    <w:p w14:paraId="1BB5E09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所有计量均采用中华人民共和国法定计量单位。</w:t>
      </w:r>
    </w:p>
    <w:p w14:paraId="1AB0C2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1.22偏离</w:t>
      </w:r>
    </w:p>
    <w:p w14:paraId="6C954C5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响应文件与</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某些要求产生偏离的，偏离应当符合</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规定的偏离范围和幅度。</w:t>
      </w:r>
    </w:p>
    <w:p w14:paraId="00811E70">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lang w:eastAsia="zh-CN"/>
        </w:rPr>
      </w:pPr>
      <w:bookmarkStart w:id="9" w:name="_Toc29367"/>
      <w:r>
        <w:rPr>
          <w:rFonts w:hint="eastAsia" w:ascii="仿宋" w:hAnsi="仿宋" w:eastAsia="仿宋" w:cs="仿宋"/>
          <w:b/>
          <w:color w:val="auto"/>
          <w:sz w:val="24"/>
          <w:szCs w:val="24"/>
          <w:highlight w:val="none"/>
          <w:shd w:val="clear" w:color="auto" w:fill="FFFFFF" w:themeFill="background1"/>
        </w:rPr>
        <w:t>二、</w:t>
      </w:r>
      <w:r>
        <w:rPr>
          <w:rFonts w:hint="eastAsia" w:ascii="仿宋" w:hAnsi="仿宋" w:eastAsia="仿宋" w:cs="仿宋"/>
          <w:b/>
          <w:color w:val="auto"/>
          <w:sz w:val="24"/>
          <w:szCs w:val="24"/>
          <w:highlight w:val="none"/>
          <w:shd w:val="clear" w:color="auto" w:fill="FFFFFF" w:themeFill="background1"/>
          <w:lang w:eastAsia="zh-CN"/>
        </w:rPr>
        <w:t>采购文件</w:t>
      </w:r>
      <w:bookmarkEnd w:id="9"/>
    </w:p>
    <w:p w14:paraId="19B722A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2.1</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的组成</w:t>
      </w:r>
    </w:p>
    <w:p w14:paraId="3462821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（1）磋商公告</w:t>
      </w:r>
    </w:p>
    <w:p w14:paraId="376D489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（2）供应商须知前附表</w:t>
      </w:r>
    </w:p>
    <w:p w14:paraId="726273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（3）供应商须知</w:t>
      </w:r>
    </w:p>
    <w:p w14:paraId="707364E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（4）评审办法</w:t>
      </w:r>
    </w:p>
    <w:p w14:paraId="286E7F1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（5）合同文本</w:t>
      </w:r>
    </w:p>
    <w:p w14:paraId="5775E96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r>
        <w:rPr>
          <w:rFonts w:hint="eastAsia" w:ascii="仿宋" w:hAnsi="仿宋" w:eastAsia="仿宋" w:cs="仿宋"/>
          <w:color w:val="auto"/>
          <w:kern w:val="0"/>
          <w:sz w:val="24"/>
          <w:szCs w:val="24"/>
          <w:highlight w:val="none"/>
          <w:lang w:eastAsia="zh-CN"/>
        </w:rPr>
        <w:t>服务标准和要求</w:t>
      </w:r>
    </w:p>
    <w:p w14:paraId="4FF9678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（7）响应文件格式</w:t>
      </w:r>
    </w:p>
    <w:p w14:paraId="2A3493C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（8）补充条款</w:t>
      </w:r>
    </w:p>
    <w:p w14:paraId="7E6AE12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根据本章第2.3款和第2.4款对</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所作的澄清、修改，构成</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的组成部分。</w:t>
      </w:r>
    </w:p>
    <w:p w14:paraId="77A588B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2.2</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的获取</w:t>
      </w:r>
    </w:p>
    <w:p w14:paraId="2188F2D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凡有意参加并符合供应商须知前附表“</w:t>
      </w:r>
      <w:r>
        <w:rPr>
          <w:rFonts w:hint="eastAsia" w:ascii="仿宋" w:hAnsi="仿宋" w:eastAsia="仿宋" w:cs="仿宋"/>
          <w:color w:val="auto"/>
          <w:kern w:val="0"/>
          <w:sz w:val="24"/>
          <w:szCs w:val="24"/>
          <w:highlight w:val="none"/>
          <w:shd w:val="clear" w:color="auto" w:fill="FFFFFF" w:themeFill="background1"/>
          <w:lang w:eastAsia="zh-CN"/>
        </w:rPr>
        <w:t>供应商的资格要求</w:t>
      </w:r>
      <w:r>
        <w:rPr>
          <w:rFonts w:hint="eastAsia" w:ascii="仿宋" w:hAnsi="仿宋" w:eastAsia="仿宋" w:cs="仿宋"/>
          <w:color w:val="auto"/>
          <w:kern w:val="0"/>
          <w:sz w:val="24"/>
          <w:szCs w:val="24"/>
          <w:highlight w:val="none"/>
          <w:shd w:val="clear" w:color="auto" w:fill="FFFFFF" w:themeFill="background1"/>
        </w:rPr>
        <w:t>”的供应商，均可获取</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w:t>
      </w:r>
    </w:p>
    <w:p w14:paraId="68884F8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的澄清</w:t>
      </w:r>
    </w:p>
    <w:p w14:paraId="6FEEFB4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2.3.1供应商应当仔细阅读和检查</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的全部内容。如发现缺页或附件不全，应当及时向采购人提出，以便补齐。如有疑问，应当在供应商须知前附表规定的时间、方式向采购人提出，要求采购人对</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予以澄清。</w:t>
      </w:r>
    </w:p>
    <w:p w14:paraId="5D035D0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2.3.2</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的澄清将按照供应商须知前附表规定的时间、方式发布，但不指明澄清问题的来源。</w:t>
      </w:r>
    </w:p>
    <w:p w14:paraId="7BCB5CD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2.4</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的修改</w:t>
      </w:r>
      <w:r>
        <w:rPr>
          <w:rFonts w:hint="eastAsia" w:ascii="仿宋" w:hAnsi="仿宋" w:eastAsia="仿宋" w:cs="仿宋"/>
          <w:color w:val="auto"/>
          <w:kern w:val="0"/>
          <w:sz w:val="24"/>
          <w:szCs w:val="24"/>
          <w:highlight w:val="none"/>
          <w:shd w:val="clear" w:color="auto" w:fill="FFFFFF" w:themeFill="background1"/>
          <w:lang w:eastAsia="zh-CN"/>
        </w:rPr>
        <w:t>。</w:t>
      </w:r>
    </w:p>
    <w:p w14:paraId="39FE5BD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2.4.1</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的修改将按照供应商须知前附表规定的时间、方式发布，但不指明澄清问题的来源。</w:t>
      </w:r>
    </w:p>
    <w:p w14:paraId="6C1556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2.4.2在供应商须知前附表规定的截止时间前，无论出于何种原因，采购代理机构和采购人可主动地或在解答潜在供应商提出的澄清问题时对</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进行修改。</w:t>
      </w:r>
    </w:p>
    <w:p w14:paraId="649ACC4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2.4.3</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的修改部分是</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的组成部分对供应商具有约束力。</w:t>
      </w:r>
    </w:p>
    <w:p w14:paraId="4E6239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2.4.4为使供应商准备</w:t>
      </w:r>
      <w:r>
        <w:rPr>
          <w:rFonts w:hint="eastAsia" w:ascii="仿宋" w:hAnsi="仿宋" w:eastAsia="仿宋" w:cs="仿宋"/>
          <w:color w:val="auto"/>
          <w:kern w:val="0"/>
          <w:sz w:val="24"/>
          <w:szCs w:val="24"/>
          <w:highlight w:val="none"/>
          <w:shd w:val="clear" w:color="auto" w:fill="FFFFFF" w:themeFill="background1"/>
          <w:lang w:val="en-US" w:eastAsia="zh-CN"/>
        </w:rPr>
        <w:t>响应文件</w:t>
      </w:r>
      <w:r>
        <w:rPr>
          <w:rFonts w:hint="eastAsia" w:ascii="仿宋" w:hAnsi="仿宋" w:eastAsia="仿宋" w:cs="仿宋"/>
          <w:color w:val="auto"/>
          <w:kern w:val="0"/>
          <w:sz w:val="24"/>
          <w:szCs w:val="24"/>
          <w:highlight w:val="none"/>
          <w:shd w:val="clear" w:color="auto" w:fill="FFFFFF" w:themeFill="background1"/>
        </w:rPr>
        <w:t>时有充分时间对</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的修改部分进行研究，采购人可适当推迟</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截止期。</w:t>
      </w:r>
    </w:p>
    <w:p w14:paraId="0437053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2.4.5当采购人发放的</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及</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的答疑文件、修改文件、补充文件前后不一致，发生矛盾情况时，以最后发出的为准。</w:t>
      </w:r>
    </w:p>
    <w:p w14:paraId="4F94BE4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2.4.6如果</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各个组成部分之间出现歧义或相互矛盾，或任何文件中呈现明显的或不符合逻辑等的错误，或在文件编写过程中经常出现的打印错误等，供应商应将需要澄清的内容在供应商须知前附表规定的时间之前提出。根据合同条款中的相关约定，如果供应商在</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过程中未能发现并对有关歧义、矛盾或错误提出澄清请求，而在成交后发现并提出，成交供应商将必须接受由采购人依据合同有关条款而做出的书面澄清。</w:t>
      </w:r>
    </w:p>
    <w:p w14:paraId="65147E7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lang w:val="en-US" w:eastAsia="zh-CN"/>
        </w:rPr>
        <w:t>2.5由于本项目采用电子招标方式，潜在供应商的名单将在提交响应文件截止时间后才会解密。因此，采购人或采购代理机构无法通过传统的传真或邮件方式，将招标文件的澄清或修改内容逐一通知到每位已获取招标文件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p>
    <w:p w14:paraId="74C248F9">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0" w:name="_BookMark_6"/>
      <w:bookmarkEnd w:id="10"/>
      <w:bookmarkStart w:id="11" w:name="_Toc32211"/>
      <w:r>
        <w:rPr>
          <w:rFonts w:hint="eastAsia" w:ascii="仿宋" w:hAnsi="仿宋" w:eastAsia="仿宋" w:cs="仿宋"/>
          <w:b/>
          <w:color w:val="auto"/>
          <w:sz w:val="24"/>
          <w:szCs w:val="24"/>
          <w:highlight w:val="none"/>
          <w:shd w:val="clear" w:color="auto" w:fill="FFFFFF" w:themeFill="background1"/>
        </w:rPr>
        <w:t>三、响应文件</w:t>
      </w:r>
      <w:bookmarkEnd w:id="11"/>
    </w:p>
    <w:p w14:paraId="02806DC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3.1响应文件的组成</w:t>
      </w:r>
    </w:p>
    <w:p w14:paraId="18CD37A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3.1.1响应文件应包括下列内容：</w:t>
      </w:r>
    </w:p>
    <w:p w14:paraId="4BD70EF4">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开</w:t>
      </w:r>
      <w:r>
        <w:rPr>
          <w:rFonts w:hint="eastAsia" w:ascii="仿宋" w:hAnsi="仿宋" w:eastAsia="仿宋" w:cs="仿宋"/>
          <w:color w:val="auto"/>
          <w:kern w:val="0"/>
          <w:sz w:val="24"/>
          <w:szCs w:val="24"/>
          <w:highlight w:val="none"/>
          <w:shd w:val="clear" w:color="auto" w:fill="FFFFFF" w:themeFill="background1"/>
          <w:lang w:val="en-US" w:eastAsia="zh-CN"/>
        </w:rPr>
        <w:t>启</w:t>
      </w:r>
      <w:r>
        <w:rPr>
          <w:rFonts w:hint="eastAsia" w:ascii="仿宋" w:hAnsi="仿宋" w:eastAsia="仿宋" w:cs="仿宋"/>
          <w:color w:val="auto"/>
          <w:kern w:val="0"/>
          <w:sz w:val="24"/>
          <w:szCs w:val="24"/>
          <w:highlight w:val="none"/>
          <w:shd w:val="clear" w:color="auto" w:fill="FFFFFF" w:themeFill="background1"/>
        </w:rPr>
        <w:t>一览表</w:t>
      </w:r>
    </w:p>
    <w:p w14:paraId="7B778488">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响应函</w:t>
      </w:r>
    </w:p>
    <w:p w14:paraId="7050342F">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价格明细表</w:t>
      </w:r>
    </w:p>
    <w:p w14:paraId="6B55EA1B">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商务条款偏离表</w:t>
      </w:r>
    </w:p>
    <w:p w14:paraId="57DEFD6D">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技术条款偏离表</w:t>
      </w:r>
    </w:p>
    <w:p w14:paraId="64103B9E">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法定代表人身份证明书</w:t>
      </w:r>
    </w:p>
    <w:p w14:paraId="6B245D90">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法定代表人授权委托书</w:t>
      </w:r>
    </w:p>
    <w:p w14:paraId="0E479437">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资格条件证明材料</w:t>
      </w:r>
    </w:p>
    <w:p w14:paraId="3E53CF5B">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近年类似项目情况表</w:t>
      </w:r>
    </w:p>
    <w:p w14:paraId="7D0BA9FE">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项目负责人简历表</w:t>
      </w:r>
    </w:p>
    <w:p w14:paraId="7290DAB8">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拟派主要服务人员情况表</w:t>
      </w:r>
    </w:p>
    <w:p w14:paraId="5E10021E">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服务方案</w:t>
      </w:r>
    </w:p>
    <w:p w14:paraId="07E4798F">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保证金缴纳证明材料</w:t>
      </w:r>
    </w:p>
    <w:p w14:paraId="564FEC66">
      <w:pPr>
        <w:widowControl/>
        <w:numPr>
          <w:ilvl w:val="0"/>
          <w:numId w:val="2"/>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其他</w:t>
      </w:r>
      <w:r>
        <w:rPr>
          <w:rFonts w:hint="eastAsia" w:ascii="仿宋" w:hAnsi="仿宋" w:eastAsia="仿宋" w:cs="仿宋"/>
          <w:color w:val="auto"/>
          <w:kern w:val="0"/>
          <w:sz w:val="24"/>
          <w:szCs w:val="24"/>
          <w:highlight w:val="none"/>
          <w:shd w:val="clear" w:color="auto" w:fill="FFFFFF" w:themeFill="background1"/>
        </w:rPr>
        <w:t>需要提交的资料</w:t>
      </w:r>
    </w:p>
    <w:p w14:paraId="7FB3615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3.2</w:t>
      </w:r>
      <w:r>
        <w:rPr>
          <w:rFonts w:hint="eastAsia" w:ascii="仿宋" w:hAnsi="仿宋" w:eastAsia="仿宋" w:cs="仿宋"/>
          <w:color w:val="auto"/>
          <w:kern w:val="0"/>
          <w:sz w:val="24"/>
          <w:szCs w:val="24"/>
          <w:highlight w:val="none"/>
          <w:shd w:val="clear" w:color="auto" w:fill="FFFFFF" w:themeFill="background1"/>
          <w:lang w:eastAsia="zh-CN"/>
        </w:rPr>
        <w:t>响应价格</w:t>
      </w:r>
    </w:p>
    <w:p w14:paraId="7F2576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3.2.1供应商应当按第四章“</w:t>
      </w:r>
      <w:r>
        <w:rPr>
          <w:rFonts w:hint="eastAsia" w:ascii="仿宋" w:hAnsi="仿宋" w:eastAsia="仿宋" w:cs="仿宋"/>
          <w:color w:val="auto"/>
          <w:kern w:val="0"/>
          <w:sz w:val="24"/>
          <w:szCs w:val="24"/>
          <w:highlight w:val="none"/>
          <w:shd w:val="clear" w:color="auto" w:fill="FFFFFF" w:themeFill="background1"/>
          <w:lang w:eastAsia="zh-CN"/>
        </w:rPr>
        <w:t>服务标准和要求</w:t>
      </w:r>
      <w:r>
        <w:rPr>
          <w:rFonts w:hint="eastAsia" w:ascii="仿宋" w:hAnsi="仿宋" w:eastAsia="仿宋" w:cs="仿宋"/>
          <w:color w:val="auto"/>
          <w:kern w:val="0"/>
          <w:sz w:val="24"/>
          <w:szCs w:val="24"/>
          <w:highlight w:val="none"/>
          <w:shd w:val="clear" w:color="auto" w:fill="FFFFFF" w:themeFill="background1"/>
        </w:rPr>
        <w:t>”的规定进行报价，并填写第五章“响应文件格式”中的</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明细表。</w:t>
      </w:r>
    </w:p>
    <w:p w14:paraId="76C1317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3.2.2本次磋商采用二轮报价法，第二轮报价时长由磋商小组成员根据现场情况设定，供应商必须在规定时间内报价，超时无效；</w:t>
      </w:r>
      <w:r>
        <w:rPr>
          <w:rFonts w:hint="eastAsia" w:ascii="仿宋" w:hAnsi="仿宋" w:eastAsia="仿宋" w:cs="仿宋"/>
          <w:color w:val="auto"/>
          <w:kern w:val="0"/>
          <w:sz w:val="24"/>
          <w:szCs w:val="24"/>
          <w:highlight w:val="none"/>
          <w:shd w:val="clear" w:color="auto" w:fill="FFFFFF" w:themeFill="background1"/>
          <w:lang w:eastAsia="zh-CN"/>
        </w:rPr>
        <w:t>若供应商未进行第二轮报价，视为放弃响应资格；其响应无效；不</w:t>
      </w:r>
      <w:r>
        <w:rPr>
          <w:rFonts w:hint="eastAsia" w:ascii="仿宋" w:hAnsi="仿宋" w:eastAsia="仿宋" w:cs="仿宋"/>
          <w:color w:val="auto"/>
          <w:kern w:val="0"/>
          <w:sz w:val="24"/>
          <w:szCs w:val="24"/>
          <w:highlight w:val="none"/>
          <w:shd w:val="clear" w:color="auto" w:fill="FFFFFF" w:themeFill="background1"/>
          <w:lang w:val="en-US" w:eastAsia="zh-CN"/>
        </w:rPr>
        <w:t>再</w:t>
      </w:r>
      <w:r>
        <w:rPr>
          <w:rFonts w:hint="eastAsia" w:ascii="仿宋" w:hAnsi="仿宋" w:eastAsia="仿宋" w:cs="仿宋"/>
          <w:color w:val="auto"/>
          <w:kern w:val="0"/>
          <w:sz w:val="24"/>
          <w:szCs w:val="24"/>
          <w:highlight w:val="none"/>
          <w:shd w:val="clear" w:color="auto" w:fill="FFFFFF" w:themeFill="background1"/>
          <w:lang w:eastAsia="zh-CN"/>
        </w:rPr>
        <w:t>参与后续评审</w:t>
      </w:r>
      <w:r>
        <w:rPr>
          <w:rFonts w:hint="eastAsia" w:ascii="仿宋" w:hAnsi="仿宋" w:eastAsia="仿宋" w:cs="仿宋"/>
          <w:color w:val="auto"/>
          <w:kern w:val="0"/>
          <w:sz w:val="24"/>
          <w:szCs w:val="24"/>
          <w:highlight w:val="none"/>
          <w:shd w:val="clear" w:color="auto" w:fill="FFFFFF" w:themeFill="background1"/>
        </w:rPr>
        <w:t>。</w:t>
      </w:r>
    </w:p>
    <w:p w14:paraId="53FEA6B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3.2.3供应商递交的响应文件中的报价为第一轮报价，第一轮报价与第二轮报价超出本项目</w:t>
      </w:r>
      <w:r>
        <w:rPr>
          <w:rFonts w:hint="eastAsia" w:ascii="仿宋" w:hAnsi="仿宋" w:eastAsia="仿宋" w:cs="仿宋"/>
          <w:color w:val="auto"/>
          <w:kern w:val="0"/>
          <w:sz w:val="24"/>
          <w:szCs w:val="24"/>
          <w:highlight w:val="none"/>
          <w:shd w:val="clear" w:color="auto" w:fill="FFFFFF" w:themeFill="background1"/>
          <w:lang w:eastAsia="zh-CN"/>
        </w:rPr>
        <w:t>最高限价</w:t>
      </w:r>
      <w:r>
        <w:rPr>
          <w:rFonts w:hint="eastAsia" w:ascii="仿宋" w:hAnsi="仿宋" w:eastAsia="仿宋" w:cs="仿宋"/>
          <w:color w:val="auto"/>
          <w:kern w:val="0"/>
          <w:sz w:val="24"/>
          <w:szCs w:val="24"/>
          <w:highlight w:val="none"/>
          <w:shd w:val="clear" w:color="auto" w:fill="FFFFFF" w:themeFill="background1"/>
        </w:rPr>
        <w:t>的视为无效磋商。</w:t>
      </w:r>
    </w:p>
    <w:p w14:paraId="6EEB78B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3.2.4供应商提供的服务一律用人民币报价。</w:t>
      </w:r>
    </w:p>
    <w:p w14:paraId="3422AD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3.2.5供应商的服务只允许有一个报价，采购人不接受有任何选择的报价。</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应包括供应商履行本项目合同（如果成交）所必须的所有成本费用和成交供应商应承担的一切费用，包括但不仅限于必要资料、交通、保险、人工费、税费等一切费用。未列和没有填写的项目费用，采购人将视为已包括在</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中。</w:t>
      </w:r>
    </w:p>
    <w:p w14:paraId="6059DB5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3.3响应有效期</w:t>
      </w:r>
    </w:p>
    <w:p w14:paraId="1A032F3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3.3.1在供应商须知前附表规定的响应有效期内，供应商不得要求撤销或修改其响应文件。</w:t>
      </w:r>
    </w:p>
    <w:p w14:paraId="271DF5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3.3.2出现特殊情况需要延长响应有效期的，采购人将通知所有供应商延长响应有效期。供应商同意延长的，应当相应延长其</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的有效期，但不得要求或被允许修改或撤销其响应文件；供应商拒绝延长的，其</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失效，但供应商有权收回其</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 xml:space="preserve">。 </w:t>
      </w:r>
    </w:p>
    <w:p w14:paraId="1C4C24C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3.4</w:t>
      </w:r>
      <w:r>
        <w:rPr>
          <w:rFonts w:hint="eastAsia" w:ascii="仿宋" w:hAnsi="仿宋" w:eastAsia="仿宋" w:cs="仿宋"/>
          <w:color w:val="auto"/>
          <w:kern w:val="0"/>
          <w:sz w:val="24"/>
          <w:szCs w:val="24"/>
          <w:highlight w:val="none"/>
          <w:shd w:val="clear" w:color="auto" w:fill="FFFFFF" w:themeFill="background1"/>
          <w:lang w:eastAsia="zh-CN"/>
        </w:rPr>
        <w:t>响应保证金</w:t>
      </w:r>
    </w:p>
    <w:p w14:paraId="28B7C30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3.4.1供应商应于响应文件递交截止时间前按供应商须知前附表规定数额提交</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。未提交</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的，将被视为非响应性</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而予以拒绝。联合体磋商</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的，其</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由牵头人递交，并应符合供应商须知前附表的规定。</w:t>
      </w:r>
    </w:p>
    <w:p w14:paraId="4ABB288A">
      <w:pPr>
        <w:widowControl/>
        <w:shd w:val="clear" w:color="auto" w:fill="FFFFFF"/>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3.4.2</w:t>
      </w:r>
      <w:r>
        <w:rPr>
          <w:rFonts w:hint="eastAsia" w:ascii="仿宋" w:hAnsi="仿宋" w:eastAsia="仿宋" w:cs="仿宋"/>
          <w:color w:val="auto"/>
          <w:sz w:val="24"/>
          <w:szCs w:val="24"/>
          <w:highlight w:val="none"/>
          <w:shd w:val="clear" w:color="auto" w:fill="FFFFFF" w:themeFill="background1"/>
          <w:lang w:eastAsia="zh-CN"/>
        </w:rPr>
        <w:t>响应保证金</w:t>
      </w:r>
      <w:r>
        <w:rPr>
          <w:rFonts w:hint="eastAsia" w:ascii="仿宋" w:hAnsi="仿宋" w:eastAsia="仿宋" w:cs="仿宋"/>
          <w:color w:val="auto"/>
          <w:sz w:val="24"/>
          <w:szCs w:val="24"/>
          <w:highlight w:val="none"/>
          <w:shd w:val="clear" w:color="auto" w:fill="FFFFFF" w:themeFill="background1"/>
        </w:rPr>
        <w:t>以支票、汇票、本票或者金融机构、担保机构出具的保函等非现金形式提交至采购代理机构。</w:t>
      </w:r>
    </w:p>
    <w:p w14:paraId="1818A5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3.4.3</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是为了保护采购人免遭因供应商的行为而蒙受损失。采购人在因供应商的行为受到损害时可根据相关法律规定没收供应商的</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w:t>
      </w:r>
    </w:p>
    <w:p w14:paraId="135BEF7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3.4.4采购人或者采购代理机构应当自成交通知书发出之日起5个工作日内退还未成交供应商的</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，自采购合同签订之日起5个工作日内退还成交供应商的</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w:t>
      </w:r>
    </w:p>
    <w:p w14:paraId="41F4F54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3.4.5</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有效期与响应有效期一致。</w:t>
      </w:r>
    </w:p>
    <w:p w14:paraId="7F5911F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3.4.6有下列情形之一的，</w:t>
      </w:r>
      <w:r>
        <w:rPr>
          <w:rFonts w:hint="eastAsia" w:ascii="仿宋" w:hAnsi="仿宋" w:eastAsia="仿宋" w:cs="仿宋"/>
          <w:color w:val="auto"/>
          <w:kern w:val="0"/>
          <w:sz w:val="24"/>
          <w:szCs w:val="24"/>
          <w:highlight w:val="none"/>
          <w:shd w:val="clear" w:color="auto" w:fill="FFFFFF" w:themeFill="background1"/>
          <w:lang w:eastAsia="zh-CN"/>
        </w:rPr>
        <w:t>响应保证金</w:t>
      </w:r>
      <w:r>
        <w:rPr>
          <w:rFonts w:hint="eastAsia" w:ascii="仿宋" w:hAnsi="仿宋" w:eastAsia="仿宋" w:cs="仿宋"/>
          <w:color w:val="auto"/>
          <w:kern w:val="0"/>
          <w:sz w:val="24"/>
          <w:szCs w:val="24"/>
          <w:highlight w:val="none"/>
          <w:shd w:val="clear" w:color="auto" w:fill="FFFFFF" w:themeFill="background1"/>
        </w:rPr>
        <w:t>不予退还：</w:t>
      </w:r>
    </w:p>
    <w:p w14:paraId="6D70373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（1）供应商在规定的响应有效期内撤销或修改其响应文件的；</w:t>
      </w:r>
    </w:p>
    <w:p w14:paraId="1BF604D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（2）成交供应商在收到成交通知书后，无正当理由拒签合同协议书或在签订合同时提出附加条件或者更改合同实质性内容的；</w:t>
      </w:r>
    </w:p>
    <w:p w14:paraId="0EB551A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（3）未按</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规定提交履约保证金的。</w:t>
      </w:r>
    </w:p>
    <w:p w14:paraId="34007DD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bookmarkStart w:id="12" w:name="_BookMark_7"/>
      <w:bookmarkEnd w:id="12"/>
      <w:bookmarkStart w:id="13" w:name="_Toc139809021"/>
      <w:bookmarkStart w:id="14" w:name="_Toc10597"/>
      <w:r>
        <w:rPr>
          <w:rFonts w:hint="eastAsia" w:ascii="仿宋" w:hAnsi="仿宋" w:eastAsia="仿宋" w:cs="仿宋"/>
          <w:color w:val="auto"/>
          <w:kern w:val="0"/>
          <w:sz w:val="24"/>
          <w:szCs w:val="24"/>
          <w:highlight w:val="none"/>
          <w:shd w:val="clear" w:color="auto" w:fill="FFFFFF" w:themeFill="background1"/>
        </w:rPr>
        <w:t>3.5响应文件的编制</w:t>
      </w:r>
    </w:p>
    <w:p w14:paraId="1A53ACF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3.5.1响应文件应按第五章“响应文件格式”进行编写，如有必要，可以增加附页，作为响应文件的组成部分。</w:t>
      </w:r>
    </w:p>
    <w:p w14:paraId="710EDD0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3.5.2响应文件应当对</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有关采购范围、技术与服务要求等实质性内容</w:t>
      </w:r>
      <w:r>
        <w:rPr>
          <w:rFonts w:hint="eastAsia" w:ascii="仿宋" w:hAnsi="仿宋" w:eastAsia="仿宋" w:cs="仿宋"/>
          <w:color w:val="auto"/>
          <w:kern w:val="0"/>
          <w:sz w:val="24"/>
          <w:szCs w:val="24"/>
          <w:highlight w:val="none"/>
          <w:shd w:val="clear" w:color="auto" w:fill="FFFFFF" w:themeFill="background1"/>
          <w:lang w:eastAsia="zh-CN"/>
        </w:rPr>
        <w:t>作出</w:t>
      </w:r>
      <w:r>
        <w:rPr>
          <w:rFonts w:hint="eastAsia" w:ascii="仿宋" w:hAnsi="仿宋" w:eastAsia="仿宋" w:cs="仿宋"/>
          <w:color w:val="auto"/>
          <w:kern w:val="0"/>
          <w:sz w:val="24"/>
          <w:szCs w:val="24"/>
          <w:highlight w:val="none"/>
          <w:shd w:val="clear" w:color="auto" w:fill="FFFFFF" w:themeFill="background1"/>
        </w:rPr>
        <w:t>响应。</w:t>
      </w:r>
    </w:p>
    <w:p w14:paraId="597172E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3.5.3电子响应文件使用政采云平台响应文件制作工具以及</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要求进行制作编制。响应文件制作时，按照</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中明确的响应文件目录和格式进行编制，保证目录清晰、内容完整。</w:t>
      </w:r>
    </w:p>
    <w:p w14:paraId="5016831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w:t>
      </w:r>
      <w:r>
        <w:rPr>
          <w:rFonts w:hint="eastAsia" w:ascii="仿宋" w:hAnsi="仿宋" w:eastAsia="仿宋" w:cs="仿宋"/>
          <w:color w:val="auto"/>
          <w:kern w:val="0"/>
          <w:sz w:val="24"/>
          <w:szCs w:val="24"/>
          <w:highlight w:val="none"/>
          <w:shd w:val="clear" w:color="auto" w:fill="FFFFFF" w:themeFill="background1"/>
          <w:lang w:val="en-US" w:eastAsia="zh-CN"/>
        </w:rPr>
        <w:t>4</w:t>
      </w:r>
      <w:r>
        <w:rPr>
          <w:rFonts w:hint="eastAsia" w:ascii="仿宋" w:hAnsi="仿宋" w:eastAsia="仿宋" w:cs="仿宋"/>
          <w:color w:val="auto"/>
          <w:kern w:val="0"/>
          <w:sz w:val="24"/>
          <w:szCs w:val="24"/>
          <w:highlight w:val="none"/>
          <w:shd w:val="clear" w:color="auto" w:fill="FFFFFF" w:themeFill="background1"/>
        </w:rPr>
        <w:t>电子</w:t>
      </w:r>
      <w:r>
        <w:rPr>
          <w:rFonts w:hint="eastAsia" w:ascii="仿宋" w:hAnsi="仿宋" w:eastAsia="仿宋" w:cs="仿宋"/>
          <w:color w:val="auto"/>
          <w:kern w:val="0"/>
          <w:sz w:val="24"/>
          <w:szCs w:val="24"/>
          <w:highlight w:val="none"/>
          <w:shd w:val="clear" w:color="auto" w:fill="FFFFFF" w:themeFill="background1"/>
          <w:lang w:eastAsia="zh-CN"/>
        </w:rPr>
        <w:t>招标响应文件</w:t>
      </w:r>
      <w:r>
        <w:rPr>
          <w:rFonts w:hint="eastAsia" w:ascii="仿宋" w:hAnsi="仿宋" w:eastAsia="仿宋" w:cs="仿宋"/>
          <w:color w:val="auto"/>
          <w:kern w:val="0"/>
          <w:sz w:val="24"/>
          <w:szCs w:val="24"/>
          <w:highlight w:val="none"/>
          <w:shd w:val="clear" w:color="auto" w:fill="FFFFFF" w:themeFill="background1"/>
        </w:rPr>
        <w:t>具有法律效力，与其他形式的</w:t>
      </w:r>
      <w:r>
        <w:rPr>
          <w:rFonts w:hint="eastAsia" w:ascii="仿宋" w:hAnsi="仿宋" w:eastAsia="仿宋" w:cs="仿宋"/>
          <w:color w:val="auto"/>
          <w:kern w:val="0"/>
          <w:sz w:val="24"/>
          <w:szCs w:val="24"/>
          <w:highlight w:val="none"/>
          <w:shd w:val="clear" w:color="auto" w:fill="FFFFFF" w:themeFill="background1"/>
          <w:lang w:eastAsia="zh-CN"/>
        </w:rPr>
        <w:t>招标响应文件</w:t>
      </w:r>
      <w:r>
        <w:rPr>
          <w:rFonts w:hint="eastAsia" w:ascii="仿宋" w:hAnsi="仿宋" w:eastAsia="仿宋" w:cs="仿宋"/>
          <w:color w:val="auto"/>
          <w:kern w:val="0"/>
          <w:sz w:val="24"/>
          <w:szCs w:val="24"/>
          <w:highlight w:val="none"/>
          <w:shd w:val="clear" w:color="auto" w:fill="FFFFFF" w:themeFill="background1"/>
        </w:rPr>
        <w:t>在内容和格式上等同，若</w:t>
      </w:r>
      <w:r>
        <w:rPr>
          <w:rFonts w:hint="eastAsia" w:ascii="仿宋" w:hAnsi="仿宋" w:eastAsia="仿宋" w:cs="仿宋"/>
          <w:color w:val="auto"/>
          <w:kern w:val="0"/>
          <w:sz w:val="24"/>
          <w:szCs w:val="24"/>
          <w:highlight w:val="none"/>
          <w:shd w:val="clear" w:color="auto" w:fill="FFFFFF" w:themeFill="background1"/>
          <w:lang w:eastAsia="zh-CN"/>
        </w:rPr>
        <w:t>响应文件</w:t>
      </w:r>
      <w:r>
        <w:rPr>
          <w:rFonts w:hint="eastAsia" w:ascii="仿宋" w:hAnsi="仿宋" w:eastAsia="仿宋" w:cs="仿宋"/>
          <w:color w:val="auto"/>
          <w:kern w:val="0"/>
          <w:sz w:val="24"/>
          <w:szCs w:val="24"/>
          <w:highlight w:val="none"/>
          <w:shd w:val="clear" w:color="auto" w:fill="FFFFFF" w:themeFill="background1"/>
        </w:rPr>
        <w:t>与招标文件要求不一致，其内容影响成交结果时，责任由</w:t>
      </w: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自行承担。</w:t>
      </w: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递交的电子</w:t>
      </w:r>
      <w:r>
        <w:rPr>
          <w:rFonts w:hint="eastAsia" w:ascii="仿宋" w:hAnsi="仿宋" w:eastAsia="仿宋" w:cs="仿宋"/>
          <w:color w:val="auto"/>
          <w:kern w:val="0"/>
          <w:sz w:val="24"/>
          <w:szCs w:val="24"/>
          <w:highlight w:val="none"/>
          <w:shd w:val="clear" w:color="auto" w:fill="FFFFFF" w:themeFill="background1"/>
          <w:lang w:eastAsia="zh-CN"/>
        </w:rPr>
        <w:t>响应文件</w:t>
      </w:r>
      <w:r>
        <w:rPr>
          <w:rFonts w:hint="eastAsia" w:ascii="仿宋" w:hAnsi="仿宋" w:eastAsia="仿宋" w:cs="仿宋"/>
          <w:color w:val="auto"/>
          <w:kern w:val="0"/>
          <w:sz w:val="24"/>
          <w:szCs w:val="24"/>
          <w:highlight w:val="none"/>
          <w:shd w:val="clear" w:color="auto" w:fill="FFFFFF" w:themeFill="background1"/>
        </w:rPr>
        <w:t>因</w:t>
      </w: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自身原因而导致无法导入电子辅助评标系统，该</w:t>
      </w:r>
      <w:r>
        <w:rPr>
          <w:rFonts w:hint="eastAsia" w:ascii="仿宋" w:hAnsi="仿宋" w:eastAsia="仿宋" w:cs="仿宋"/>
          <w:color w:val="auto"/>
          <w:kern w:val="0"/>
          <w:sz w:val="24"/>
          <w:szCs w:val="24"/>
          <w:highlight w:val="none"/>
          <w:shd w:val="clear" w:color="auto" w:fill="FFFFFF" w:themeFill="background1"/>
          <w:lang w:eastAsia="zh-CN"/>
        </w:rPr>
        <w:t>响应文件</w:t>
      </w:r>
      <w:r>
        <w:rPr>
          <w:rFonts w:hint="eastAsia" w:ascii="仿宋" w:hAnsi="仿宋" w:eastAsia="仿宋" w:cs="仿宋"/>
          <w:color w:val="auto"/>
          <w:kern w:val="0"/>
          <w:sz w:val="24"/>
          <w:szCs w:val="24"/>
          <w:highlight w:val="none"/>
          <w:shd w:val="clear" w:color="auto" w:fill="FFFFFF" w:themeFill="background1"/>
        </w:rPr>
        <w:t>视为无效</w:t>
      </w:r>
      <w:r>
        <w:rPr>
          <w:rFonts w:hint="eastAsia" w:ascii="仿宋" w:hAnsi="仿宋" w:eastAsia="仿宋" w:cs="仿宋"/>
          <w:color w:val="auto"/>
          <w:kern w:val="0"/>
          <w:sz w:val="24"/>
          <w:szCs w:val="24"/>
          <w:highlight w:val="none"/>
          <w:shd w:val="clear" w:color="auto" w:fill="FFFFFF" w:themeFill="background1"/>
          <w:lang w:eastAsia="zh-CN"/>
        </w:rPr>
        <w:t>响应文件</w:t>
      </w:r>
      <w:r>
        <w:rPr>
          <w:rFonts w:hint="eastAsia" w:ascii="仿宋" w:hAnsi="仿宋" w:eastAsia="仿宋" w:cs="仿宋"/>
          <w:color w:val="auto"/>
          <w:kern w:val="0"/>
          <w:sz w:val="24"/>
          <w:szCs w:val="24"/>
          <w:highlight w:val="none"/>
          <w:shd w:val="clear" w:color="auto" w:fill="FFFFFF" w:themeFill="background1"/>
        </w:rPr>
        <w:t>，将导致其投标被拒绝</w:t>
      </w:r>
      <w:r>
        <w:rPr>
          <w:rFonts w:hint="eastAsia" w:ascii="仿宋" w:hAnsi="仿宋" w:eastAsia="仿宋" w:cs="仿宋"/>
          <w:color w:val="auto"/>
          <w:sz w:val="24"/>
          <w:highlight w:val="none"/>
          <w:shd w:val="clear" w:color="auto" w:fill="FFFFFF" w:themeFill="background1"/>
        </w:rPr>
        <w:t>。</w:t>
      </w:r>
    </w:p>
    <w:p w14:paraId="5DEA7B46">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5" w:name="_Toc6170"/>
      <w:r>
        <w:rPr>
          <w:rFonts w:hint="eastAsia" w:ascii="仿宋" w:hAnsi="仿宋" w:eastAsia="仿宋" w:cs="仿宋"/>
          <w:b/>
          <w:color w:val="auto"/>
          <w:sz w:val="24"/>
          <w:szCs w:val="24"/>
          <w:highlight w:val="none"/>
          <w:shd w:val="clear" w:color="auto" w:fill="FFFFFF" w:themeFill="background1"/>
        </w:rPr>
        <w:t>四、</w:t>
      </w:r>
      <w:bookmarkEnd w:id="13"/>
      <w:r>
        <w:rPr>
          <w:rFonts w:hint="eastAsia" w:ascii="仿宋" w:hAnsi="仿宋" w:eastAsia="仿宋" w:cs="仿宋"/>
          <w:b/>
          <w:color w:val="auto"/>
          <w:sz w:val="24"/>
          <w:szCs w:val="24"/>
          <w:highlight w:val="none"/>
          <w:shd w:val="clear" w:color="auto" w:fill="FFFFFF" w:themeFill="background1"/>
          <w:lang w:val="en-US" w:eastAsia="zh-CN"/>
        </w:rPr>
        <w:t>响应</w:t>
      </w:r>
      <w:bookmarkEnd w:id="15"/>
    </w:p>
    <w:p w14:paraId="1BC011B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4.1本次采购采用电子交易方式，电子交易平台为“政采云平台（https://www.zcygov.cn</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”。供应商参与本项目电子交易活动前，应注册成为政府采购云平台供应商。编制电子响应文件前还需申领CA证书并绑定</w:t>
      </w:r>
      <w:r>
        <w:rPr>
          <w:rFonts w:hint="eastAsia" w:ascii="仿宋" w:hAnsi="仿宋" w:eastAsia="仿宋" w:cs="仿宋"/>
          <w:color w:val="auto"/>
          <w:kern w:val="0"/>
          <w:sz w:val="24"/>
          <w:szCs w:val="24"/>
          <w:highlight w:val="none"/>
          <w:shd w:val="clear" w:color="auto" w:fill="FFFFFF" w:themeFill="background1"/>
          <w:lang w:eastAsia="zh-CN"/>
        </w:rPr>
        <w:t>账号</w:t>
      </w:r>
      <w:r>
        <w:rPr>
          <w:rFonts w:hint="eastAsia" w:ascii="仿宋" w:hAnsi="仿宋" w:eastAsia="仿宋" w:cs="仿宋"/>
          <w:color w:val="auto"/>
          <w:kern w:val="0"/>
          <w:sz w:val="24"/>
          <w:szCs w:val="24"/>
          <w:highlight w:val="none"/>
          <w:shd w:val="clear" w:color="auto" w:fill="FFFFFF" w:themeFill="background1"/>
        </w:rPr>
        <w:t>。供应商应充分考虑完成平台注册、申领CA证书等所需的时间。因未注册入库、未办理CA数字证书等原因造成无法</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或</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 xml:space="preserve">失败等后果由供应商自行承担。 </w:t>
      </w:r>
    </w:p>
    <w:p w14:paraId="3C58DA8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4.2供应商将政采云电子交易客户端下载、安装完成后，可通过账号密码或CA登录客户端进行响应文件制作。在使用政采云投标客户端时，建议使用WIN7及以上操作系统。客户端请至新疆政府采购网（www.ccgp-xinjiang.gov.cn）下载专区查看，如有问题可拨打政采云客户服务热线95763进行咨询。</w:t>
      </w:r>
    </w:p>
    <w:p w14:paraId="5D6E7EC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4.3响应文件的递交</w:t>
      </w:r>
    </w:p>
    <w:p w14:paraId="322087E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4.3.1加密的电子响应文件应在响应文件递交截止时间前通过政采云平台上传完成。逾期上传或者未上传指定地点的响应文件，采购人不予受理。</w:t>
      </w:r>
    </w:p>
    <w:p w14:paraId="00AA30D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4.3.2采购人事先约定延长响应文件递交截止时间的，采购人与供应商以前的</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截止期方面的全部权利、责任和义务，将适用延长至新的</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截止期。</w:t>
      </w:r>
    </w:p>
    <w:p w14:paraId="74EC6CF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4.3.3供应商或其响应文件存在下列情形之一的，采购人对其响应文件不予受理：</w:t>
      </w:r>
    </w:p>
    <w:p w14:paraId="7759B1F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（1）逾期上传的响应文件；</w:t>
      </w:r>
    </w:p>
    <w:p w14:paraId="05D5991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（2）未按本章第4.3.1款要求加密的响应文件。</w:t>
      </w:r>
    </w:p>
    <w:p w14:paraId="07384D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bookmarkStart w:id="16" w:name="_BookMark_8"/>
      <w:bookmarkEnd w:id="16"/>
      <w:r>
        <w:rPr>
          <w:rFonts w:hint="eastAsia" w:ascii="仿宋" w:hAnsi="仿宋" w:eastAsia="仿宋" w:cs="仿宋"/>
          <w:color w:val="auto"/>
          <w:kern w:val="0"/>
          <w:sz w:val="24"/>
          <w:szCs w:val="24"/>
          <w:highlight w:val="none"/>
          <w:shd w:val="clear" w:color="auto" w:fill="FFFFFF" w:themeFill="background1"/>
        </w:rPr>
        <w:t>4.4响应文件的修改与撤回</w:t>
      </w:r>
    </w:p>
    <w:p w14:paraId="4AE5A228">
      <w:pPr>
        <w:widowControl/>
        <w:shd w:val="clear" w:color="auto" w:fill="FFFFFF"/>
        <w:snapToGrid w:val="0"/>
        <w:spacing w:line="360" w:lineRule="auto"/>
        <w:ind w:firstLine="480" w:firstLineChars="200"/>
        <w:rPr>
          <w:rFonts w:hint="eastAsia" w:ascii="仿宋" w:hAnsi="仿宋" w:eastAsia="仿宋" w:cs="仿宋"/>
          <w:color w:val="auto"/>
          <w:sz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4.4.1</w:t>
      </w:r>
      <w:r>
        <w:rPr>
          <w:rFonts w:hint="eastAsia" w:ascii="仿宋" w:hAnsi="仿宋" w:eastAsia="仿宋" w:cs="仿宋"/>
          <w:color w:val="auto"/>
          <w:sz w:val="24"/>
          <w:highlight w:val="none"/>
          <w:shd w:val="clear" w:color="auto" w:fill="FFFFFF" w:themeFill="background1"/>
        </w:rPr>
        <w:t>供应商应在供应商须知前附表中规定的截止时间前，可以撤回已上传的响应文件。如要修改，必须在撤回并修改后在规定的响应文件递交截止时间之前将修改后的响应文件再重新上传。在响应文件递交截止时间之后，供应商不得对上传的响应文件撤销或修改。</w:t>
      </w:r>
    </w:p>
    <w:p w14:paraId="70A5F6A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4.5响应文件格式</w:t>
      </w:r>
    </w:p>
    <w:p w14:paraId="069501A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4.5.1响应文件格式见第五章。</w:t>
      </w:r>
    </w:p>
    <w:p w14:paraId="240605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4.5.2供应商应使用本</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后面提供的响应文件格式填写，如不够用时，供应商可按同样格式自行编制和填补，如果本</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未提供格式的，供应商可自行编制。</w:t>
      </w:r>
    </w:p>
    <w:bookmarkEnd w:id="14"/>
    <w:p w14:paraId="1EBA0A7C">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lang w:eastAsia="zh-CN"/>
        </w:rPr>
      </w:pPr>
      <w:bookmarkStart w:id="17" w:name="_Toc28387"/>
      <w:r>
        <w:rPr>
          <w:rFonts w:hint="eastAsia" w:ascii="仿宋" w:hAnsi="仿宋" w:eastAsia="仿宋" w:cs="仿宋"/>
          <w:b/>
          <w:color w:val="auto"/>
          <w:sz w:val="24"/>
          <w:szCs w:val="24"/>
          <w:highlight w:val="none"/>
          <w:shd w:val="clear" w:color="auto" w:fill="FFFFFF" w:themeFill="background1"/>
        </w:rPr>
        <w:t>五、</w:t>
      </w:r>
      <w:r>
        <w:rPr>
          <w:rFonts w:hint="eastAsia" w:ascii="仿宋" w:hAnsi="仿宋" w:eastAsia="仿宋" w:cs="仿宋"/>
          <w:b/>
          <w:color w:val="auto"/>
          <w:sz w:val="24"/>
          <w:szCs w:val="24"/>
          <w:highlight w:val="none"/>
          <w:shd w:val="clear" w:color="auto" w:fill="FFFFFF" w:themeFill="background1"/>
          <w:lang w:eastAsia="zh-CN"/>
        </w:rPr>
        <w:t>开启</w:t>
      </w:r>
      <w:bookmarkEnd w:id="17"/>
    </w:p>
    <w:p w14:paraId="438F067B">
      <w:pPr>
        <w:spacing w:line="360" w:lineRule="auto"/>
        <w:ind w:firstLine="480" w:firstLineChars="200"/>
        <w:rPr>
          <w:rFonts w:hint="eastAsia" w:ascii="仿宋" w:hAnsi="仿宋" w:eastAsia="仿宋" w:cs="仿宋"/>
          <w:color w:val="auto"/>
          <w:sz w:val="24"/>
          <w:szCs w:val="28"/>
          <w:highlight w:val="none"/>
        </w:rPr>
      </w:pPr>
      <w:bookmarkStart w:id="18" w:name="_BookMark_9"/>
      <w:bookmarkEnd w:id="18"/>
      <w:r>
        <w:rPr>
          <w:rFonts w:hint="eastAsia" w:ascii="仿宋" w:hAnsi="仿宋" w:eastAsia="仿宋" w:cs="仿宋"/>
          <w:color w:val="auto"/>
          <w:sz w:val="24"/>
          <w:szCs w:val="28"/>
          <w:highlight w:val="none"/>
        </w:rPr>
        <w:t>5.1</w:t>
      </w:r>
      <w:r>
        <w:rPr>
          <w:rFonts w:hint="eastAsia" w:ascii="仿宋" w:hAnsi="仿宋" w:eastAsia="仿宋" w:cs="仿宋"/>
          <w:color w:val="auto"/>
          <w:sz w:val="24"/>
          <w:szCs w:val="28"/>
          <w:highlight w:val="none"/>
          <w:lang w:eastAsia="zh-CN"/>
        </w:rPr>
        <w:t>开启</w:t>
      </w:r>
      <w:r>
        <w:rPr>
          <w:rFonts w:hint="eastAsia" w:ascii="仿宋" w:hAnsi="仿宋" w:eastAsia="仿宋" w:cs="仿宋"/>
          <w:color w:val="auto"/>
          <w:sz w:val="24"/>
          <w:szCs w:val="28"/>
          <w:highlight w:val="none"/>
        </w:rPr>
        <w:t>时间和地点</w:t>
      </w:r>
    </w:p>
    <w:p w14:paraId="4CF2AC9A">
      <w:pPr>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采购人在供应商须知前附表规定的时间、地点</w:t>
      </w:r>
      <w:r>
        <w:rPr>
          <w:rFonts w:hint="eastAsia" w:ascii="仿宋" w:hAnsi="仿宋" w:eastAsia="仿宋" w:cs="仿宋"/>
          <w:color w:val="auto"/>
          <w:sz w:val="24"/>
          <w:szCs w:val="28"/>
          <w:highlight w:val="none"/>
          <w:lang w:eastAsia="zh-CN"/>
        </w:rPr>
        <w:t>开启</w:t>
      </w:r>
      <w:r>
        <w:rPr>
          <w:rFonts w:hint="eastAsia" w:ascii="仿宋" w:hAnsi="仿宋" w:eastAsia="仿宋" w:cs="仿宋"/>
          <w:color w:val="auto"/>
          <w:sz w:val="24"/>
          <w:szCs w:val="28"/>
          <w:highlight w:val="none"/>
        </w:rPr>
        <w:t>，并邀请所有供应商的法定代表人或其授权委托人参加。</w:t>
      </w:r>
    </w:p>
    <w:p w14:paraId="544B3BEA">
      <w:pPr>
        <w:widowControl/>
        <w:shd w:val="clear" w:color="auto" w:fill="FFFFFF"/>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rPr>
        <w:t>5.2</w:t>
      </w:r>
      <w:r>
        <w:rPr>
          <w:rFonts w:hint="eastAsia" w:ascii="仿宋" w:hAnsi="仿宋" w:eastAsia="仿宋" w:cs="仿宋"/>
          <w:color w:val="auto"/>
          <w:sz w:val="24"/>
          <w:highlight w:val="none"/>
        </w:rPr>
        <w:t>各供应商应对本单位的加密的电子响应文件网上解密，采购代理机构工作人员在监督人员监督下开启所有响应文件。</w:t>
      </w:r>
    </w:p>
    <w:p w14:paraId="1AEEDFF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注：根据政府采购法及有关政策规定，竞争性磋商采购方式不能公开供应商的技术资料、价格和其他信息，因此对于上述内容不予唱标。</w:t>
      </w:r>
    </w:p>
    <w:p w14:paraId="49857E97">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9" w:name="_Toc12383"/>
      <w:r>
        <w:rPr>
          <w:rFonts w:hint="eastAsia" w:ascii="仿宋" w:hAnsi="仿宋" w:eastAsia="仿宋" w:cs="仿宋"/>
          <w:b/>
          <w:color w:val="auto"/>
          <w:sz w:val="24"/>
          <w:szCs w:val="24"/>
          <w:highlight w:val="none"/>
          <w:shd w:val="clear" w:color="auto" w:fill="FFFFFF" w:themeFill="background1"/>
        </w:rPr>
        <w:t>六、评审</w:t>
      </w:r>
      <w:bookmarkEnd w:id="19"/>
    </w:p>
    <w:p w14:paraId="132403F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6.1磋商小组</w:t>
      </w:r>
    </w:p>
    <w:p w14:paraId="19E81AD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6.1.1磋商小组由采购人代表和评审专家共3人以上单数组成，其中评审专家人数不得少于磋商小组成员总数的2/3。采购代理机构人员不得参加本机构代理的采购项目的评审。</w:t>
      </w:r>
    </w:p>
    <w:p w14:paraId="66C25AD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6.2评审原则 </w:t>
      </w:r>
    </w:p>
    <w:p w14:paraId="667333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评审活动遵循公平、公正、科学和择优的原则。</w:t>
      </w:r>
    </w:p>
    <w:p w14:paraId="67F82F8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6.3评审</w:t>
      </w:r>
    </w:p>
    <w:p w14:paraId="431FB96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磋商小组按照</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中规定的方法、评审因素、标准和程序对响应文件进行评审。</w:t>
      </w:r>
    </w:p>
    <w:p w14:paraId="5FA1BFF8">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20" w:name="_BookMark_10"/>
      <w:bookmarkEnd w:id="20"/>
      <w:bookmarkStart w:id="21" w:name="_Toc113902767"/>
      <w:bookmarkStart w:id="22" w:name="_Toc13911"/>
      <w:r>
        <w:rPr>
          <w:rFonts w:hint="eastAsia" w:ascii="仿宋" w:hAnsi="仿宋" w:eastAsia="仿宋" w:cs="仿宋"/>
          <w:b/>
          <w:color w:val="auto"/>
          <w:sz w:val="24"/>
          <w:szCs w:val="24"/>
          <w:highlight w:val="none"/>
          <w:shd w:val="clear" w:color="auto" w:fill="FFFFFF" w:themeFill="background1"/>
        </w:rPr>
        <w:t>七、定标及合同授予</w:t>
      </w:r>
      <w:bookmarkEnd w:id="21"/>
      <w:bookmarkEnd w:id="22"/>
    </w:p>
    <w:p w14:paraId="655145C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7.1定标方法</w:t>
      </w:r>
    </w:p>
    <w:p w14:paraId="1257700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7.1.1评标活动遵循公平、公正、科学和择优的原则。</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按照招标文件中规定的方法、评标因素、标准和程序对</w:t>
      </w:r>
      <w:r>
        <w:rPr>
          <w:rFonts w:hint="eastAsia" w:ascii="仿宋" w:hAnsi="仿宋" w:eastAsia="仿宋" w:cs="仿宋"/>
          <w:color w:val="auto"/>
          <w:kern w:val="0"/>
          <w:sz w:val="24"/>
          <w:szCs w:val="24"/>
          <w:highlight w:val="none"/>
          <w:lang w:eastAsia="zh-CN"/>
        </w:rPr>
        <w:t>响应文件</w:t>
      </w:r>
      <w:r>
        <w:rPr>
          <w:rFonts w:hint="eastAsia" w:ascii="仿宋" w:hAnsi="仿宋" w:eastAsia="仿宋" w:cs="仿宋"/>
          <w:color w:val="auto"/>
          <w:kern w:val="0"/>
          <w:sz w:val="24"/>
          <w:szCs w:val="24"/>
          <w:highlight w:val="none"/>
        </w:rPr>
        <w:t>进行评标，并按</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须知前附表的规定向采购人推荐</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。采购人依据</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推荐的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确定</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w:t>
      </w:r>
    </w:p>
    <w:p w14:paraId="49760A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7.1.2采购人从</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中确定出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的原则：采购人应当确定排名第一的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。排名第一的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放弃</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、因不可抗力不能履行合同、拒绝与采购人签订合同，不按照招标文件要求提交履约保证金</w:t>
      </w:r>
      <w:r>
        <w:rPr>
          <w:rFonts w:hint="eastAsia" w:ascii="仿宋" w:hAnsi="仿宋" w:eastAsia="仿宋" w:cs="仿宋"/>
          <w:color w:val="auto"/>
          <w:kern w:val="0"/>
          <w:sz w:val="24"/>
          <w:szCs w:val="24"/>
          <w:highlight w:val="none"/>
          <w:lang w:eastAsia="zh-CN"/>
        </w:rPr>
        <w:t>，或者</w:t>
      </w:r>
      <w:r>
        <w:rPr>
          <w:rFonts w:hint="eastAsia" w:ascii="仿宋" w:hAnsi="仿宋" w:eastAsia="仿宋" w:cs="仿宋"/>
          <w:color w:val="auto"/>
          <w:kern w:val="0"/>
          <w:sz w:val="24"/>
          <w:szCs w:val="24"/>
          <w:highlight w:val="none"/>
        </w:rPr>
        <w:t>被查实存在影响</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结果的违法行为等情形，不符合</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条件的，采购人可以按照</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推荐的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名单排名依次确定其他</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w:t>
      </w:r>
    </w:p>
    <w:p w14:paraId="0210AFB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结果公告</w:t>
      </w:r>
    </w:p>
    <w:p w14:paraId="2F37BF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结果的同时，采购人或者采购代理机构向</w:t>
      </w:r>
      <w:r>
        <w:rPr>
          <w:rFonts w:hint="eastAsia" w:ascii="仿宋" w:hAnsi="仿宋" w:eastAsia="仿宋" w:cs="仿宋"/>
          <w:color w:val="auto"/>
          <w:kern w:val="0"/>
          <w:sz w:val="24"/>
          <w:szCs w:val="24"/>
          <w:highlight w:val="none"/>
          <w:shd w:val="clear" w:color="auto" w:fill="FFFFFF" w:themeFill="background1"/>
          <w:lang w:eastAsia="zh-CN"/>
        </w:rPr>
        <w:t>成交供应商</w:t>
      </w:r>
      <w:r>
        <w:rPr>
          <w:rFonts w:hint="eastAsia" w:ascii="仿宋" w:hAnsi="仿宋" w:eastAsia="仿宋" w:cs="仿宋"/>
          <w:color w:val="auto"/>
          <w:kern w:val="0"/>
          <w:sz w:val="24"/>
          <w:szCs w:val="24"/>
          <w:highlight w:val="none"/>
          <w:shd w:val="clear" w:color="auto" w:fill="FFFFFF" w:themeFill="background1"/>
        </w:rPr>
        <w:t>发出</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通知书；对未通过资格审查的</w:t>
      </w: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，应当告知其未通过的原因。</w:t>
      </w:r>
    </w:p>
    <w:p w14:paraId="64D604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3CADD1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7.3.1在签订合同前，</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应按</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须知前附表规定的金额、形式向采购人提交履约保证金。联合体</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的，其履约保证金由牵头人提交，并应符合</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须知前附表的规定。</w:t>
      </w:r>
    </w:p>
    <w:p w14:paraId="3A2D8E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7.3.2</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未按要求提交履约保证金的，视为放弃</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，其</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不予退还；给采购人造成的损失超过</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数额的，</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还应当对超过部分予以赔偿。</w:t>
      </w:r>
    </w:p>
    <w:p w14:paraId="23919E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182487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通知书发出之日起30日内，按照招标文件和</w:t>
      </w:r>
      <w:r>
        <w:rPr>
          <w:rFonts w:hint="eastAsia" w:ascii="仿宋" w:hAnsi="仿宋" w:eastAsia="仿宋" w:cs="仿宋"/>
          <w:color w:val="auto"/>
          <w:kern w:val="0"/>
          <w:sz w:val="24"/>
          <w:szCs w:val="24"/>
          <w:highlight w:val="none"/>
          <w:lang w:eastAsia="zh-CN"/>
        </w:rPr>
        <w:t>成交供应商响应文件</w:t>
      </w:r>
      <w:r>
        <w:rPr>
          <w:rFonts w:hint="eastAsia" w:ascii="仿宋" w:hAnsi="仿宋" w:eastAsia="仿宋" w:cs="仿宋"/>
          <w:color w:val="auto"/>
          <w:kern w:val="0"/>
          <w:sz w:val="24"/>
          <w:szCs w:val="24"/>
          <w:highlight w:val="none"/>
        </w:rPr>
        <w:t>的规定，与</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签订书面合同。</w:t>
      </w:r>
    </w:p>
    <w:p w14:paraId="517305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通知书后，采购人无正当理由拒签合同的，给</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造成损失的，还应当赔偿</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损失。</w:t>
      </w:r>
    </w:p>
    <w:p w14:paraId="0C6C4F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通知书后，</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无正当理由拒签合同的，采购人将取消其</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资格，其</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不予退还；给采购人造成的损失超过</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数额的，</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还应当对超过部分予以赔偿。</w:t>
      </w:r>
    </w:p>
    <w:p w14:paraId="018EF98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7.4.4</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拒绝与采购人签订合同的，采购人可以按照评标报告推荐的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名单排序，确定下一候选人为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，也可以重新开展政府采购活动。</w:t>
      </w:r>
    </w:p>
    <w:p w14:paraId="5B0E76ED">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23" w:name="_BookMark_11"/>
      <w:bookmarkEnd w:id="23"/>
      <w:bookmarkStart w:id="24" w:name="_Toc12630"/>
      <w:r>
        <w:rPr>
          <w:rFonts w:hint="eastAsia" w:ascii="仿宋" w:hAnsi="仿宋" w:eastAsia="仿宋" w:cs="仿宋"/>
          <w:b/>
          <w:color w:val="auto"/>
          <w:sz w:val="24"/>
          <w:szCs w:val="24"/>
          <w:highlight w:val="none"/>
          <w:shd w:val="clear" w:color="auto" w:fill="FFFFFF" w:themeFill="background1"/>
        </w:rPr>
        <w:t>八、纪律和监督</w:t>
      </w:r>
      <w:bookmarkEnd w:id="24"/>
    </w:p>
    <w:p w14:paraId="3FA20EE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8.1对采购人的纪律要求</w:t>
      </w:r>
    </w:p>
    <w:p w14:paraId="45A2F9B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r>
        <w:rPr>
          <w:rFonts w:hint="eastAsia" w:ascii="仿宋" w:hAnsi="仿宋" w:eastAsia="仿宋" w:cs="仿宋"/>
          <w:color w:val="auto"/>
          <w:kern w:val="0"/>
          <w:sz w:val="24"/>
          <w:szCs w:val="24"/>
          <w:highlight w:val="none"/>
          <w:shd w:val="clear" w:color="auto" w:fill="FFFFFF" w:themeFill="background1"/>
          <w:lang w:eastAsia="zh-CN"/>
        </w:rPr>
        <w:t>不得泄露采购活动</w:t>
      </w:r>
      <w:r>
        <w:rPr>
          <w:rFonts w:hint="eastAsia" w:ascii="仿宋" w:hAnsi="仿宋" w:eastAsia="仿宋" w:cs="仿宋"/>
          <w:color w:val="auto"/>
          <w:kern w:val="0"/>
          <w:sz w:val="24"/>
          <w:szCs w:val="24"/>
          <w:highlight w:val="none"/>
          <w:shd w:val="clear" w:color="auto" w:fill="FFFFFF" w:themeFill="background1"/>
        </w:rPr>
        <w:t>中应当保密的情况和资料，不得与供应商串通损害国家利益、社会公共利益或者他人合法权益。</w:t>
      </w:r>
    </w:p>
    <w:p w14:paraId="23976E4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8.2对供应商的纪律要求</w:t>
      </w:r>
    </w:p>
    <w:p w14:paraId="2798BBD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供应商不得相互串通</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或者与采购人串通</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，不得向采购人或者磋商小组成员行贿谋取中标（成交），不得以他人名义</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或者以其他方式弄虚作假骗取中标（成交）；供应商不得以任何方式干扰、影响评审工作。</w:t>
      </w:r>
    </w:p>
    <w:p w14:paraId="671318C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8.3对磋商小组成员的纪律要求</w:t>
      </w:r>
    </w:p>
    <w:p w14:paraId="7FE0752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磋商小组成员不得收受他人的财物或者其他好处，不得向他人</w:t>
      </w:r>
      <w:r>
        <w:rPr>
          <w:rFonts w:hint="eastAsia" w:ascii="仿宋" w:hAnsi="仿宋" w:eastAsia="仿宋" w:cs="仿宋"/>
          <w:color w:val="auto"/>
          <w:kern w:val="0"/>
          <w:sz w:val="24"/>
          <w:szCs w:val="24"/>
          <w:highlight w:val="none"/>
          <w:shd w:val="clear" w:color="auto" w:fill="FFFFFF" w:themeFill="background1"/>
          <w:lang w:eastAsia="zh-CN"/>
        </w:rPr>
        <w:t>透露</w:t>
      </w:r>
      <w:r>
        <w:rPr>
          <w:rFonts w:hint="eastAsia" w:ascii="仿宋" w:hAnsi="仿宋" w:eastAsia="仿宋" w:cs="仿宋"/>
          <w:color w:val="auto"/>
          <w:kern w:val="0"/>
          <w:sz w:val="24"/>
          <w:szCs w:val="24"/>
          <w:highlight w:val="none"/>
          <w:shd w:val="clear" w:color="auto" w:fill="FFFFFF" w:themeFill="background1"/>
        </w:rPr>
        <w:t>对响应文件的评审和比较、成交候选人的推荐情况以及评审有关的其他情况。在评审活动中，磋商小组成员不得擅离职守，影响评审程序正常进行，不得使用评审办法没有规定的评审因素和标准进行评审。</w:t>
      </w:r>
    </w:p>
    <w:p w14:paraId="7BE306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8.4对与评审活动有关的工作人员的纪律要求</w:t>
      </w:r>
    </w:p>
    <w:p w14:paraId="7A066D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与评审活动有关的工作人员不得收受他人的财物或者其他好处，不得向他人</w:t>
      </w:r>
      <w:r>
        <w:rPr>
          <w:rFonts w:hint="eastAsia" w:ascii="仿宋" w:hAnsi="仿宋" w:eastAsia="仿宋" w:cs="仿宋"/>
          <w:color w:val="auto"/>
          <w:kern w:val="0"/>
          <w:sz w:val="24"/>
          <w:szCs w:val="24"/>
          <w:highlight w:val="none"/>
          <w:shd w:val="clear" w:color="auto" w:fill="FFFFFF" w:themeFill="background1"/>
          <w:lang w:eastAsia="zh-CN"/>
        </w:rPr>
        <w:t>透露</w:t>
      </w:r>
      <w:r>
        <w:rPr>
          <w:rFonts w:hint="eastAsia" w:ascii="仿宋" w:hAnsi="仿宋" w:eastAsia="仿宋" w:cs="仿宋"/>
          <w:color w:val="auto"/>
          <w:kern w:val="0"/>
          <w:sz w:val="24"/>
          <w:szCs w:val="24"/>
          <w:highlight w:val="none"/>
          <w:shd w:val="clear" w:color="auto" w:fill="FFFFFF" w:themeFill="background1"/>
        </w:rPr>
        <w:t>对响应文件的评审和比较、成交候选人的推荐情况以及评审有关的其他情况。在评审活动中，与评审活动有关的工作人员不得擅离职守，影响评审程序正常进行。</w:t>
      </w:r>
    </w:p>
    <w:p w14:paraId="032C8AF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8.5监督</w:t>
      </w:r>
    </w:p>
    <w:p w14:paraId="49F0B38A">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本项目的</w:t>
      </w:r>
      <w:r>
        <w:rPr>
          <w:rFonts w:hint="eastAsia" w:ascii="仿宋" w:hAnsi="仿宋" w:eastAsia="仿宋" w:cs="仿宋"/>
          <w:color w:val="auto"/>
          <w:kern w:val="0"/>
          <w:sz w:val="24"/>
          <w:szCs w:val="24"/>
          <w:highlight w:val="none"/>
          <w:shd w:val="clear" w:color="auto" w:fill="FFFFFF" w:themeFill="background1"/>
          <w:lang w:eastAsia="zh-CN"/>
        </w:rPr>
        <w:t>采购活动</w:t>
      </w:r>
      <w:r>
        <w:rPr>
          <w:rFonts w:hint="eastAsia" w:ascii="仿宋" w:hAnsi="仿宋" w:eastAsia="仿宋" w:cs="仿宋"/>
          <w:color w:val="auto"/>
          <w:kern w:val="0"/>
          <w:sz w:val="24"/>
          <w:szCs w:val="24"/>
          <w:highlight w:val="none"/>
          <w:shd w:val="clear" w:color="auto" w:fill="FFFFFF" w:themeFill="background1"/>
        </w:rPr>
        <w:t>及其相关当事人应当接受有管辖权的监督部门依法实施的监督。</w:t>
      </w:r>
      <w:bookmarkStart w:id="25" w:name="_BookMark_12"/>
      <w:bookmarkEnd w:id="25"/>
    </w:p>
    <w:p w14:paraId="570C0649">
      <w:pP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190CAB81">
      <w:pPr>
        <w:spacing w:line="360" w:lineRule="auto"/>
        <w:jc w:val="center"/>
        <w:outlineLvl w:val="0"/>
        <w:rPr>
          <w:rFonts w:hint="eastAsia" w:ascii="仿宋" w:hAnsi="仿宋" w:eastAsia="仿宋" w:cs="仿宋"/>
          <w:b w:val="0"/>
          <w:bCs/>
          <w:color w:val="auto"/>
          <w:sz w:val="36"/>
          <w:szCs w:val="36"/>
          <w:highlight w:val="none"/>
          <w:shd w:val="clear" w:color="auto" w:fill="FFFFFF" w:themeFill="background1"/>
        </w:rPr>
      </w:pPr>
      <w:bookmarkStart w:id="26" w:name="_Toc5394"/>
      <w:r>
        <w:rPr>
          <w:rFonts w:hint="eastAsia" w:ascii="仿宋" w:hAnsi="仿宋" w:eastAsia="仿宋" w:cs="仿宋"/>
          <w:b w:val="0"/>
          <w:bCs/>
          <w:color w:val="auto"/>
          <w:sz w:val="36"/>
          <w:szCs w:val="36"/>
          <w:highlight w:val="none"/>
          <w:shd w:val="clear" w:color="auto" w:fill="FFFFFF" w:themeFill="background1"/>
        </w:rPr>
        <w:t>第二章 评审办法</w:t>
      </w:r>
      <w:bookmarkEnd w:id="26"/>
    </w:p>
    <w:p w14:paraId="45217416">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27" w:name="_BookMark_1"/>
      <w:bookmarkEnd w:id="27"/>
      <w:bookmarkStart w:id="28" w:name="_Toc14695"/>
      <w:bookmarkStart w:id="29" w:name="_Toc501719166"/>
      <w:r>
        <w:rPr>
          <w:rFonts w:hint="eastAsia" w:ascii="仿宋" w:hAnsi="仿宋" w:eastAsia="仿宋" w:cs="仿宋"/>
          <w:b/>
          <w:color w:val="auto"/>
          <w:sz w:val="24"/>
          <w:szCs w:val="24"/>
          <w:highlight w:val="none"/>
          <w:shd w:val="clear" w:color="auto" w:fill="FFFFFF" w:themeFill="background1"/>
        </w:rPr>
        <w:t>评审办法前附表</w:t>
      </w:r>
      <w:bookmarkEnd w:id="28"/>
    </w:p>
    <w:tbl>
      <w:tblPr>
        <w:tblStyle w:val="44"/>
        <w:tblpPr w:leftFromText="180" w:rightFromText="180" w:vertAnchor="text" w:horzAnchor="page" w:tblpX="1359" w:tblpY="455"/>
        <w:tblOverlap w:val="never"/>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0"/>
        <w:gridCol w:w="2770"/>
        <w:gridCol w:w="5832"/>
      </w:tblGrid>
      <w:tr w14:paraId="27B53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1" w:hRule="atLeast"/>
        </w:trPr>
        <w:tc>
          <w:tcPr>
            <w:tcW w:w="610" w:type="dxa"/>
            <w:tcMar>
              <w:top w:w="0" w:type="dxa"/>
              <w:left w:w="28" w:type="dxa"/>
              <w:bottom w:w="0" w:type="dxa"/>
              <w:right w:w="28" w:type="dxa"/>
            </w:tcMar>
            <w:vAlign w:val="center"/>
          </w:tcPr>
          <w:p w14:paraId="62AE1C8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序号</w:t>
            </w:r>
          </w:p>
        </w:tc>
        <w:tc>
          <w:tcPr>
            <w:tcW w:w="2770" w:type="dxa"/>
            <w:tcMar>
              <w:top w:w="0" w:type="dxa"/>
              <w:left w:w="28" w:type="dxa"/>
              <w:bottom w:w="0" w:type="dxa"/>
              <w:right w:w="28" w:type="dxa"/>
            </w:tcMar>
            <w:vAlign w:val="center"/>
          </w:tcPr>
          <w:p w14:paraId="47FCDE7D">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条款内容</w:t>
            </w:r>
          </w:p>
        </w:tc>
        <w:tc>
          <w:tcPr>
            <w:tcW w:w="5832" w:type="dxa"/>
            <w:tcMar>
              <w:top w:w="0" w:type="dxa"/>
              <w:left w:w="28" w:type="dxa"/>
              <w:bottom w:w="0" w:type="dxa"/>
              <w:right w:w="28" w:type="dxa"/>
            </w:tcMar>
            <w:vAlign w:val="center"/>
          </w:tcPr>
          <w:p w14:paraId="3859697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编列内容</w:t>
            </w:r>
          </w:p>
        </w:tc>
      </w:tr>
      <w:tr w14:paraId="759E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0" w:type="dxa"/>
            <w:tcMar>
              <w:top w:w="0" w:type="dxa"/>
              <w:left w:w="28" w:type="dxa"/>
              <w:bottom w:w="0" w:type="dxa"/>
              <w:right w:w="28" w:type="dxa"/>
            </w:tcMar>
            <w:vAlign w:val="center"/>
          </w:tcPr>
          <w:p w14:paraId="3A4D346C">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w:t>
            </w:r>
          </w:p>
        </w:tc>
        <w:tc>
          <w:tcPr>
            <w:tcW w:w="2770" w:type="dxa"/>
            <w:shd w:val="clear" w:color="auto" w:fill="auto"/>
            <w:tcMar>
              <w:top w:w="0" w:type="dxa"/>
              <w:left w:w="28" w:type="dxa"/>
              <w:bottom w:w="0" w:type="dxa"/>
              <w:right w:w="28" w:type="dxa"/>
            </w:tcMar>
            <w:vAlign w:val="center"/>
          </w:tcPr>
          <w:p w14:paraId="3D57727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分值构成及权重</w:t>
            </w:r>
          </w:p>
          <w:p w14:paraId="0BBB693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总分100分</w:t>
            </w:r>
            <w:r>
              <w:rPr>
                <w:rFonts w:hint="eastAsia" w:ascii="仿宋" w:hAnsi="仿宋" w:eastAsia="仿宋" w:cs="仿宋"/>
                <w:color w:val="auto"/>
                <w:szCs w:val="21"/>
                <w:highlight w:val="none"/>
                <w:shd w:val="clear" w:color="auto" w:fill="FFFFFF" w:themeFill="background1"/>
                <w:lang w:eastAsia="zh-CN"/>
              </w:rPr>
              <w:t>）</w:t>
            </w:r>
          </w:p>
        </w:tc>
        <w:tc>
          <w:tcPr>
            <w:tcW w:w="5832" w:type="dxa"/>
            <w:shd w:val="clear" w:color="auto" w:fill="auto"/>
            <w:tcMar>
              <w:top w:w="0" w:type="dxa"/>
              <w:left w:w="28" w:type="dxa"/>
              <w:bottom w:w="0" w:type="dxa"/>
              <w:right w:w="28" w:type="dxa"/>
            </w:tcMar>
            <w:vAlign w:val="center"/>
          </w:tcPr>
          <w:p w14:paraId="06397AE2">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1.详细评审部分</w:t>
            </w:r>
            <w:r>
              <w:rPr>
                <w:rFonts w:hint="eastAsia" w:ascii="仿宋" w:hAnsi="仿宋" w:eastAsia="仿宋" w:cs="仿宋"/>
                <w:color w:val="auto"/>
                <w:szCs w:val="21"/>
                <w:highlight w:val="none"/>
                <w:shd w:val="clear" w:color="auto" w:fill="FFFFFF" w:themeFill="background1"/>
                <w:lang w:val="en-US" w:eastAsia="zh-CN"/>
              </w:rPr>
              <w:t>70</w:t>
            </w:r>
            <w:r>
              <w:rPr>
                <w:rFonts w:hint="eastAsia" w:ascii="仿宋" w:hAnsi="仿宋" w:eastAsia="仿宋" w:cs="仿宋"/>
                <w:color w:val="auto"/>
                <w:szCs w:val="21"/>
                <w:highlight w:val="none"/>
                <w:shd w:val="clear" w:color="auto" w:fill="FFFFFF" w:themeFill="background1"/>
              </w:rPr>
              <w:t>分</w:t>
            </w:r>
          </w:p>
          <w:p w14:paraId="675459B2">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w:t>
            </w:r>
            <w:r>
              <w:rPr>
                <w:rFonts w:hint="eastAsia" w:ascii="仿宋" w:hAnsi="仿宋" w:eastAsia="仿宋" w:cs="仿宋"/>
                <w:color w:val="auto"/>
                <w:szCs w:val="21"/>
                <w:highlight w:val="none"/>
                <w:shd w:val="clear" w:color="auto" w:fill="FFFFFF" w:themeFill="background1"/>
                <w:lang w:eastAsia="zh-CN"/>
              </w:rPr>
              <w:t>响应报价</w:t>
            </w:r>
            <w:r>
              <w:rPr>
                <w:rFonts w:hint="eastAsia" w:ascii="仿宋" w:hAnsi="仿宋" w:eastAsia="仿宋" w:cs="仿宋"/>
                <w:color w:val="auto"/>
                <w:szCs w:val="21"/>
                <w:highlight w:val="none"/>
                <w:shd w:val="clear" w:color="auto" w:fill="FFFFFF" w:themeFill="background1"/>
              </w:rPr>
              <w:t>部分</w:t>
            </w:r>
            <w:r>
              <w:rPr>
                <w:rFonts w:hint="eastAsia" w:ascii="仿宋" w:hAnsi="仿宋" w:eastAsia="仿宋" w:cs="仿宋"/>
                <w:color w:val="auto"/>
                <w:szCs w:val="21"/>
                <w:highlight w:val="none"/>
                <w:shd w:val="clear" w:color="auto" w:fill="FFFFFF" w:themeFill="background1"/>
                <w:lang w:val="en-US" w:eastAsia="zh-CN"/>
              </w:rPr>
              <w:t>30</w:t>
            </w:r>
            <w:r>
              <w:rPr>
                <w:rFonts w:hint="eastAsia" w:ascii="仿宋" w:hAnsi="仿宋" w:eastAsia="仿宋" w:cs="仿宋"/>
                <w:color w:val="auto"/>
                <w:szCs w:val="21"/>
                <w:highlight w:val="none"/>
                <w:shd w:val="clear" w:color="auto" w:fill="FFFFFF" w:themeFill="background1"/>
              </w:rPr>
              <w:t>分</w:t>
            </w:r>
          </w:p>
        </w:tc>
      </w:tr>
      <w:tr w14:paraId="03A1B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trPr>
        <w:tc>
          <w:tcPr>
            <w:tcW w:w="610" w:type="dxa"/>
            <w:tcMar>
              <w:top w:w="0" w:type="dxa"/>
              <w:left w:w="28" w:type="dxa"/>
              <w:bottom w:w="0" w:type="dxa"/>
              <w:right w:w="28" w:type="dxa"/>
            </w:tcMar>
            <w:vAlign w:val="center"/>
          </w:tcPr>
          <w:p w14:paraId="31653300">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w:t>
            </w:r>
          </w:p>
        </w:tc>
        <w:tc>
          <w:tcPr>
            <w:tcW w:w="2770" w:type="dxa"/>
            <w:tcMar>
              <w:top w:w="0" w:type="dxa"/>
              <w:left w:w="28" w:type="dxa"/>
              <w:bottom w:w="0" w:type="dxa"/>
              <w:right w:w="28" w:type="dxa"/>
            </w:tcMar>
            <w:vAlign w:val="center"/>
          </w:tcPr>
          <w:p w14:paraId="1D98617D">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资格审查</w:t>
            </w:r>
          </w:p>
        </w:tc>
        <w:tc>
          <w:tcPr>
            <w:tcW w:w="5832" w:type="dxa"/>
            <w:tcMar>
              <w:top w:w="0" w:type="dxa"/>
              <w:left w:w="28" w:type="dxa"/>
              <w:bottom w:w="0" w:type="dxa"/>
              <w:right w:w="28" w:type="dxa"/>
            </w:tcMar>
            <w:vAlign w:val="center"/>
          </w:tcPr>
          <w:p w14:paraId="3AA09763">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详见《资格审查标准》</w:t>
            </w:r>
          </w:p>
        </w:tc>
      </w:tr>
      <w:tr w14:paraId="3466A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1" w:hRule="atLeast"/>
        </w:trPr>
        <w:tc>
          <w:tcPr>
            <w:tcW w:w="610" w:type="dxa"/>
            <w:tcMar>
              <w:top w:w="0" w:type="dxa"/>
              <w:left w:w="28" w:type="dxa"/>
              <w:bottom w:w="0" w:type="dxa"/>
              <w:right w:w="28" w:type="dxa"/>
            </w:tcMar>
            <w:vAlign w:val="center"/>
          </w:tcPr>
          <w:p w14:paraId="2191008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w:t>
            </w:r>
          </w:p>
        </w:tc>
        <w:tc>
          <w:tcPr>
            <w:tcW w:w="2770" w:type="dxa"/>
            <w:tcMar>
              <w:top w:w="0" w:type="dxa"/>
              <w:left w:w="28" w:type="dxa"/>
              <w:bottom w:w="0" w:type="dxa"/>
              <w:right w:w="28" w:type="dxa"/>
            </w:tcMar>
            <w:vAlign w:val="center"/>
          </w:tcPr>
          <w:p w14:paraId="5078FA68">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完备性及符合性审查</w:t>
            </w:r>
          </w:p>
        </w:tc>
        <w:tc>
          <w:tcPr>
            <w:tcW w:w="5832" w:type="dxa"/>
            <w:tcMar>
              <w:top w:w="0" w:type="dxa"/>
              <w:left w:w="28" w:type="dxa"/>
              <w:bottom w:w="0" w:type="dxa"/>
              <w:right w:w="28" w:type="dxa"/>
            </w:tcMar>
            <w:vAlign w:val="center"/>
          </w:tcPr>
          <w:p w14:paraId="2B4A8F21">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详见《完备性及符合性审查标准》</w:t>
            </w:r>
          </w:p>
        </w:tc>
      </w:tr>
      <w:tr w14:paraId="4EE64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1" w:hRule="atLeast"/>
        </w:trPr>
        <w:tc>
          <w:tcPr>
            <w:tcW w:w="610" w:type="dxa"/>
            <w:shd w:val="clear" w:color="auto" w:fill="auto"/>
            <w:tcMar>
              <w:top w:w="0" w:type="dxa"/>
              <w:left w:w="28" w:type="dxa"/>
              <w:bottom w:w="0" w:type="dxa"/>
              <w:right w:w="28" w:type="dxa"/>
            </w:tcMar>
            <w:vAlign w:val="center"/>
          </w:tcPr>
          <w:p w14:paraId="276599D5">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4</w:t>
            </w:r>
          </w:p>
        </w:tc>
        <w:tc>
          <w:tcPr>
            <w:tcW w:w="2770" w:type="dxa"/>
            <w:shd w:val="clear" w:color="auto" w:fill="auto"/>
            <w:tcMar>
              <w:top w:w="0" w:type="dxa"/>
              <w:left w:w="28" w:type="dxa"/>
              <w:bottom w:w="0" w:type="dxa"/>
              <w:right w:w="28" w:type="dxa"/>
            </w:tcMar>
            <w:vAlign w:val="center"/>
          </w:tcPr>
          <w:p w14:paraId="4746DBDB">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详细评审</w:t>
            </w:r>
          </w:p>
        </w:tc>
        <w:tc>
          <w:tcPr>
            <w:tcW w:w="5832" w:type="dxa"/>
            <w:tcMar>
              <w:top w:w="0" w:type="dxa"/>
              <w:left w:w="28" w:type="dxa"/>
              <w:bottom w:w="0" w:type="dxa"/>
              <w:right w:w="28" w:type="dxa"/>
            </w:tcMar>
            <w:vAlign w:val="center"/>
          </w:tcPr>
          <w:p w14:paraId="5C5793BC">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详见《详细评审标准》及本节第3.6款</w:t>
            </w:r>
          </w:p>
        </w:tc>
      </w:tr>
    </w:tbl>
    <w:p w14:paraId="42C9BED6">
      <w:pPr>
        <w:widowControl/>
        <w:shd w:val="clear" w:color="auto" w:fill="FFFFFF"/>
        <w:snapToGrid w:val="0"/>
        <w:spacing w:line="360" w:lineRule="auto"/>
        <w:rPr>
          <w:rFonts w:hint="eastAsia" w:ascii="仿宋" w:hAnsi="仿宋" w:eastAsia="仿宋" w:cs="仿宋"/>
          <w:b/>
          <w:color w:val="auto"/>
          <w:kern w:val="0"/>
          <w:szCs w:val="21"/>
          <w:highlight w:val="none"/>
          <w:shd w:val="clear" w:color="auto" w:fill="FFFFFF" w:themeFill="background1"/>
        </w:rPr>
      </w:pPr>
    </w:p>
    <w:p w14:paraId="4038BFEA">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p>
    <w:p w14:paraId="6706AE96">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《资格审查标准》</w:t>
      </w:r>
      <w:bookmarkEnd w:id="29"/>
    </w:p>
    <w:tbl>
      <w:tblPr>
        <w:tblStyle w:val="44"/>
        <w:tblW w:w="9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9"/>
        <w:gridCol w:w="3659"/>
        <w:gridCol w:w="4935"/>
      </w:tblGrid>
      <w:tr w14:paraId="7D8FB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3B1CFB37">
            <w:pPr>
              <w:spacing w:line="360" w:lineRule="auto"/>
              <w:jc w:val="center"/>
              <w:rPr>
                <w:rFonts w:hint="eastAsia" w:ascii="仿宋" w:hAnsi="仿宋" w:eastAsia="仿宋" w:cs="仿宋"/>
                <w:color w:val="auto"/>
                <w:szCs w:val="21"/>
                <w:highlight w:val="none"/>
                <w:shd w:val="clear" w:color="auto" w:fill="FFFFFF" w:themeFill="background1"/>
              </w:rPr>
            </w:pPr>
            <w:bookmarkStart w:id="30" w:name="_Toc501719167"/>
            <w:r>
              <w:rPr>
                <w:rFonts w:hint="eastAsia" w:ascii="仿宋" w:hAnsi="仿宋" w:eastAsia="仿宋" w:cs="仿宋"/>
                <w:color w:val="auto"/>
                <w:szCs w:val="21"/>
                <w:highlight w:val="none"/>
                <w:shd w:val="clear" w:color="auto" w:fill="FFFFFF" w:themeFill="background1"/>
              </w:rPr>
              <w:t>序号</w:t>
            </w:r>
          </w:p>
        </w:tc>
        <w:tc>
          <w:tcPr>
            <w:tcW w:w="3659" w:type="dxa"/>
            <w:vAlign w:val="center"/>
          </w:tcPr>
          <w:p w14:paraId="358AA0C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审查要求</w:t>
            </w:r>
          </w:p>
        </w:tc>
        <w:tc>
          <w:tcPr>
            <w:tcW w:w="4935" w:type="dxa"/>
            <w:vAlign w:val="center"/>
          </w:tcPr>
          <w:p w14:paraId="0CD47D37">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要求说明</w:t>
            </w:r>
          </w:p>
        </w:tc>
      </w:tr>
      <w:tr w14:paraId="072E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41B7D351">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1</w:t>
            </w:r>
          </w:p>
        </w:tc>
        <w:tc>
          <w:tcPr>
            <w:tcW w:w="3659" w:type="dxa"/>
            <w:shd w:val="clear" w:color="auto" w:fill="auto"/>
            <w:vAlign w:val="center"/>
          </w:tcPr>
          <w:p w14:paraId="30F4750A">
            <w:pPr>
              <w:spacing w:line="360"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具有独立承担民事责任的能力</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38BC35C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rPr>
              <w:t>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是企业（包括合伙企业</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，应提供在工商部门注册的有效</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企业法人营业执照</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或</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营业执照</w:t>
            </w:r>
            <w:r>
              <w:rPr>
                <w:rFonts w:hint="eastAsia" w:ascii="仿宋" w:hAnsi="仿宋" w:eastAsia="仿宋" w:cs="仿宋"/>
                <w:color w:val="auto"/>
                <w:kern w:val="0"/>
                <w:szCs w:val="21"/>
                <w:highlight w:val="none"/>
                <w:lang w:eastAsia="zh-CN"/>
              </w:rPr>
              <w:t>”；</w:t>
            </w:r>
          </w:p>
          <w:p w14:paraId="318BF27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是事业单位，应提供有效的</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事业单位法人证书</w:t>
            </w:r>
            <w:r>
              <w:rPr>
                <w:rFonts w:hint="eastAsia" w:ascii="仿宋" w:hAnsi="仿宋" w:eastAsia="仿宋" w:cs="仿宋"/>
                <w:color w:val="auto"/>
                <w:kern w:val="0"/>
                <w:szCs w:val="21"/>
                <w:highlight w:val="none"/>
                <w:lang w:eastAsia="zh-CN"/>
              </w:rPr>
              <w:t>”；</w:t>
            </w:r>
          </w:p>
          <w:p w14:paraId="33A81CF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是非企业专业服务机构的，应提供执业许可证等证明文件</w:t>
            </w:r>
            <w:r>
              <w:rPr>
                <w:rFonts w:hint="eastAsia" w:ascii="仿宋" w:hAnsi="仿宋" w:eastAsia="仿宋" w:cs="仿宋"/>
                <w:color w:val="auto"/>
                <w:kern w:val="0"/>
                <w:szCs w:val="21"/>
                <w:highlight w:val="none"/>
                <w:lang w:eastAsia="zh-CN"/>
              </w:rPr>
              <w:t>；</w:t>
            </w:r>
          </w:p>
          <w:p w14:paraId="10B6243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是个体工商户，应提供有效的</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个体工商户营业执照</w:t>
            </w:r>
            <w:r>
              <w:rPr>
                <w:rFonts w:hint="eastAsia" w:ascii="仿宋" w:hAnsi="仿宋" w:eastAsia="仿宋" w:cs="仿宋"/>
                <w:color w:val="auto"/>
                <w:kern w:val="0"/>
                <w:szCs w:val="21"/>
                <w:highlight w:val="none"/>
                <w:lang w:eastAsia="zh-CN"/>
              </w:rPr>
              <w:t>”；</w:t>
            </w:r>
          </w:p>
          <w:p w14:paraId="31BFF41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是自然人，应提供有效的自然人身份证明。</w:t>
            </w:r>
          </w:p>
          <w:p w14:paraId="7B90F89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shd w:val="clear" w:color="auto" w:fill="FFFFFF" w:themeFill="background1"/>
              </w:rPr>
              <w:t>注：银行、保险、石油石化、电力、电信等行业特殊情况的，法人的分支机构可以自身身份参加。</w:t>
            </w:r>
          </w:p>
        </w:tc>
      </w:tr>
      <w:tr w14:paraId="1381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072E84D8">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2</w:t>
            </w:r>
          </w:p>
        </w:tc>
        <w:tc>
          <w:tcPr>
            <w:tcW w:w="3659" w:type="dxa"/>
            <w:shd w:val="clear" w:color="auto" w:fill="auto"/>
            <w:vAlign w:val="center"/>
          </w:tcPr>
          <w:p w14:paraId="4E7FFFF1">
            <w:pPr>
              <w:spacing w:line="360" w:lineRule="auto"/>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具有良好的商业信誉和健全的财务会计制度。</w:t>
            </w:r>
          </w:p>
        </w:tc>
        <w:tc>
          <w:tcPr>
            <w:tcW w:w="4935" w:type="dxa"/>
            <w:vAlign w:val="center"/>
          </w:tcPr>
          <w:p w14:paraId="141852F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满足下述一条要求即可：</w:t>
            </w:r>
          </w:p>
          <w:p w14:paraId="6A9947E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要求1.经审计的财务报告（2025年度，包括“四表－注”，即资产负债表、利润表、现金流量表、所有者权益变动表及其附注）或银行出具的资信证明（响应文件递交截止之日前六个月内任意一个月，不限制采购人主体）。</w:t>
            </w:r>
          </w:p>
          <w:p w14:paraId="1135FF4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要求2.成立不足六个月（以响应文件递交截止之日为期限）的供应商无需提供。</w:t>
            </w:r>
          </w:p>
        </w:tc>
      </w:tr>
      <w:tr w14:paraId="05C8A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22AAF8A1">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3</w:t>
            </w:r>
          </w:p>
        </w:tc>
        <w:tc>
          <w:tcPr>
            <w:tcW w:w="3659" w:type="dxa"/>
            <w:shd w:val="clear" w:color="auto" w:fill="auto"/>
            <w:vAlign w:val="center"/>
          </w:tcPr>
          <w:p w14:paraId="24D74FE7">
            <w:pPr>
              <w:spacing w:line="360" w:lineRule="auto"/>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具有履行合同所必需的设备和专业技术能力。</w:t>
            </w:r>
          </w:p>
        </w:tc>
        <w:tc>
          <w:tcPr>
            <w:tcW w:w="4935" w:type="dxa"/>
            <w:vAlign w:val="center"/>
          </w:tcPr>
          <w:p w14:paraId="6702D9B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提供《具有履行合同所必需的设备和专业技术能力的承诺函》，加盖供应商公章。</w:t>
            </w:r>
          </w:p>
        </w:tc>
      </w:tr>
      <w:tr w14:paraId="6A337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1E25569F">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4</w:t>
            </w:r>
          </w:p>
        </w:tc>
        <w:tc>
          <w:tcPr>
            <w:tcW w:w="3659" w:type="dxa"/>
            <w:shd w:val="clear" w:color="auto" w:fill="auto"/>
            <w:vAlign w:val="center"/>
          </w:tcPr>
          <w:p w14:paraId="6F57544B">
            <w:pPr>
              <w:spacing w:line="360" w:lineRule="auto"/>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有依法缴纳税收和社会保障资金的良好记录。</w:t>
            </w:r>
          </w:p>
        </w:tc>
        <w:tc>
          <w:tcPr>
            <w:tcW w:w="4935" w:type="dxa"/>
            <w:vAlign w:val="center"/>
          </w:tcPr>
          <w:p w14:paraId="724D09D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1.依法缴纳税收的证明材料：</w:t>
            </w:r>
          </w:p>
          <w:p w14:paraId="1574250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供应商参加政府采购活动前一段时间（响应文件递交截止之日前六个月内任一个月）内缴纳税收的完税凭证（指各种完税证、缴款书、印花税票、扣（收）税凭证以及其他完税证明，提供上述任意一种即可）。</w:t>
            </w:r>
          </w:p>
          <w:p w14:paraId="4834778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2.依法缴纳社会保障资金的证明材料：</w:t>
            </w:r>
          </w:p>
          <w:p w14:paraId="74714AF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供应商参加政府采购活动前一段时间（响应文件递交截止之日前六个月内任一个月）内缴纳社会保险的凭据，其他组织和自然人也需要提供缴纳税收的凭据和缴纳社会保险的凭据。</w:t>
            </w:r>
          </w:p>
          <w:p w14:paraId="1E59A34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3.依法免税或不需要缴纳社会保障资金的供应商，应提供相应文件证明其依法免税或不需要缴纳社会保障资金。</w:t>
            </w:r>
          </w:p>
        </w:tc>
      </w:tr>
      <w:tr w14:paraId="3E4C9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21C9D8D1">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5</w:t>
            </w:r>
          </w:p>
        </w:tc>
        <w:tc>
          <w:tcPr>
            <w:tcW w:w="3659" w:type="dxa"/>
            <w:shd w:val="clear" w:color="auto" w:fill="auto"/>
            <w:vAlign w:val="center"/>
          </w:tcPr>
          <w:p w14:paraId="27694C21">
            <w:pPr>
              <w:spacing w:line="360" w:lineRule="auto"/>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参加政府采购活动前三年内，在经营活动中没有重大违法记录。</w:t>
            </w:r>
          </w:p>
        </w:tc>
        <w:tc>
          <w:tcPr>
            <w:tcW w:w="4935" w:type="dxa"/>
            <w:vAlign w:val="center"/>
          </w:tcPr>
          <w:p w14:paraId="099281B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提供《参加政府采购活动前3年内在经营活动中没有重大违法记录的书面声明》，加盖供应商公章。</w:t>
            </w:r>
          </w:p>
        </w:tc>
      </w:tr>
      <w:tr w14:paraId="20204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F58E949">
            <w:pPr>
              <w:spacing w:line="360" w:lineRule="auto"/>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6</w:t>
            </w:r>
          </w:p>
        </w:tc>
        <w:tc>
          <w:tcPr>
            <w:tcW w:w="3659" w:type="dxa"/>
            <w:shd w:val="clear" w:color="auto" w:fill="auto"/>
            <w:vAlign w:val="center"/>
          </w:tcPr>
          <w:p w14:paraId="46A40203">
            <w:pPr>
              <w:spacing w:line="360"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供应商如在“信用中国”网站（www.creditchina.gov.cn）、中国政府采购网（www.ccgp.gov.cn）等渠道被列入失信被执行人、重大税收违法失信主体、政府采购严重违法失信行为记录名单，尚在处罚期内的将被拒绝参加本次采购活动。</w:t>
            </w:r>
          </w:p>
        </w:tc>
        <w:tc>
          <w:tcPr>
            <w:tcW w:w="4935" w:type="dxa"/>
            <w:shd w:val="clear" w:color="auto" w:fill="auto"/>
            <w:vAlign w:val="center"/>
          </w:tcPr>
          <w:p w14:paraId="73106EE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lang w:val="en-US" w:eastAsia="zh-CN"/>
              </w:rPr>
              <w:t>以采购人或者采购代理机构查询记录为准。</w:t>
            </w:r>
          </w:p>
        </w:tc>
      </w:tr>
      <w:tr w14:paraId="0330D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AC315B8">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7</w:t>
            </w:r>
          </w:p>
        </w:tc>
        <w:tc>
          <w:tcPr>
            <w:tcW w:w="3659" w:type="dxa"/>
            <w:shd w:val="clear" w:color="auto" w:fill="auto"/>
            <w:vAlign w:val="center"/>
          </w:tcPr>
          <w:p w14:paraId="68334455">
            <w:pPr>
              <w:spacing w:line="360"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供应商须具备有效的《出版物经营许可证》和《出版物进口经营许可证》。</w:t>
            </w:r>
          </w:p>
        </w:tc>
        <w:tc>
          <w:tcPr>
            <w:tcW w:w="4935" w:type="dxa"/>
            <w:shd w:val="clear" w:color="auto" w:fill="auto"/>
            <w:vAlign w:val="center"/>
          </w:tcPr>
          <w:p w14:paraId="248230A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shd w:val="clear" w:color="auto" w:fill="FFFFFF" w:themeFill="background1"/>
                <w:lang w:val="en-US" w:eastAsia="zh-CN"/>
              </w:rPr>
              <w:t>许可证扫描件。</w:t>
            </w:r>
          </w:p>
        </w:tc>
      </w:tr>
      <w:tr w14:paraId="74F12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9203" w:type="dxa"/>
            <w:gridSpan w:val="3"/>
            <w:vAlign w:val="center"/>
          </w:tcPr>
          <w:p w14:paraId="77532274">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备注： 如果资格评审中有一项不满足审查标准的，采购人将认定该供应商不通过资格审查，响应文件将被拒绝评审。并且不允许供应商通过修改或撤销其不符合要求的差异或保留，使之成为具有响应性的</w:t>
            </w:r>
            <w:r>
              <w:rPr>
                <w:rFonts w:hint="eastAsia" w:ascii="仿宋" w:hAnsi="仿宋" w:eastAsia="仿宋" w:cs="仿宋"/>
                <w:color w:val="auto"/>
                <w:szCs w:val="21"/>
                <w:highlight w:val="none"/>
                <w:shd w:val="clear" w:color="auto" w:fill="FFFFFF" w:themeFill="background1"/>
                <w:lang w:val="en-US" w:eastAsia="zh-CN"/>
              </w:rPr>
              <w:t>响应文件</w:t>
            </w:r>
            <w:r>
              <w:rPr>
                <w:rFonts w:hint="eastAsia" w:ascii="仿宋" w:hAnsi="仿宋" w:eastAsia="仿宋" w:cs="仿宋"/>
                <w:color w:val="auto"/>
                <w:szCs w:val="21"/>
                <w:highlight w:val="none"/>
                <w:shd w:val="clear" w:color="auto" w:fill="FFFFFF" w:themeFill="background1"/>
              </w:rPr>
              <w:t>。</w:t>
            </w:r>
          </w:p>
        </w:tc>
      </w:tr>
    </w:tbl>
    <w:p w14:paraId="428E11B8">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p>
    <w:p w14:paraId="7E863419">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《完备性及符合性审查标准》</w:t>
      </w:r>
      <w:bookmarkEnd w:id="30"/>
    </w:p>
    <w:tbl>
      <w:tblPr>
        <w:tblStyle w:val="44"/>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6"/>
        <w:gridCol w:w="4922"/>
        <w:gridCol w:w="3457"/>
      </w:tblGrid>
      <w:tr w14:paraId="7CF7E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53EB272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序号</w:t>
            </w:r>
          </w:p>
        </w:tc>
        <w:tc>
          <w:tcPr>
            <w:tcW w:w="4922" w:type="dxa"/>
            <w:vAlign w:val="center"/>
          </w:tcPr>
          <w:p w14:paraId="65D7DA6F">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审查要求</w:t>
            </w:r>
          </w:p>
        </w:tc>
        <w:tc>
          <w:tcPr>
            <w:tcW w:w="3457" w:type="dxa"/>
            <w:vAlign w:val="center"/>
          </w:tcPr>
          <w:p w14:paraId="5ED69B3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要求说明</w:t>
            </w:r>
          </w:p>
        </w:tc>
      </w:tr>
      <w:tr w14:paraId="4C3A5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3" w:hRule="atLeast"/>
          <w:jc w:val="center"/>
        </w:trPr>
        <w:tc>
          <w:tcPr>
            <w:tcW w:w="676" w:type="dxa"/>
            <w:vAlign w:val="center"/>
          </w:tcPr>
          <w:p w14:paraId="7FC6174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w:t>
            </w:r>
          </w:p>
        </w:tc>
        <w:tc>
          <w:tcPr>
            <w:tcW w:w="4922" w:type="dxa"/>
            <w:vAlign w:val="center"/>
          </w:tcPr>
          <w:p w14:paraId="2023D90A">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响应文件必须按</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要求加盖</w:t>
            </w:r>
            <w:r>
              <w:rPr>
                <w:rFonts w:hint="eastAsia" w:ascii="仿宋" w:hAnsi="仿宋" w:eastAsia="仿宋" w:cs="仿宋"/>
                <w:color w:val="auto"/>
                <w:szCs w:val="21"/>
                <w:highlight w:val="none"/>
                <w:shd w:val="clear" w:color="auto" w:fill="FFFFFF" w:themeFill="background1"/>
                <w:lang w:eastAsia="zh-CN"/>
              </w:rPr>
              <w:t>供应商章</w:t>
            </w:r>
            <w:r>
              <w:rPr>
                <w:rFonts w:hint="eastAsia" w:ascii="仿宋" w:hAnsi="仿宋" w:eastAsia="仿宋" w:cs="仿宋"/>
                <w:color w:val="auto"/>
                <w:szCs w:val="21"/>
                <w:highlight w:val="none"/>
                <w:shd w:val="clear" w:color="auto" w:fill="FFFFFF" w:themeFill="background1"/>
              </w:rPr>
              <w:t>、</w:t>
            </w:r>
            <w:r>
              <w:rPr>
                <w:rFonts w:hint="eastAsia" w:ascii="仿宋" w:hAnsi="仿宋" w:eastAsia="仿宋" w:cs="仿宋"/>
                <w:color w:val="auto"/>
                <w:szCs w:val="21"/>
                <w:highlight w:val="none"/>
                <w:shd w:val="clear" w:color="auto" w:fill="FFFFFF" w:themeFill="background1"/>
                <w:lang w:eastAsia="zh-CN"/>
              </w:rPr>
              <w:t>法定代表人章（或签字）</w:t>
            </w:r>
            <w:r>
              <w:rPr>
                <w:rFonts w:hint="eastAsia" w:ascii="仿宋" w:hAnsi="仿宋" w:eastAsia="仿宋" w:cs="仿宋"/>
                <w:color w:val="auto"/>
                <w:szCs w:val="21"/>
                <w:highlight w:val="none"/>
                <w:shd w:val="clear" w:color="auto" w:fill="FFFFFF" w:themeFill="background1"/>
              </w:rPr>
              <w:t>。</w:t>
            </w:r>
          </w:p>
        </w:tc>
        <w:tc>
          <w:tcPr>
            <w:tcW w:w="3457" w:type="dxa"/>
            <w:vAlign w:val="center"/>
          </w:tcPr>
          <w:p w14:paraId="5365F37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79F9A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76" w:type="dxa"/>
            <w:vAlign w:val="center"/>
          </w:tcPr>
          <w:p w14:paraId="5CA66B54">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w:t>
            </w:r>
          </w:p>
        </w:tc>
        <w:tc>
          <w:tcPr>
            <w:tcW w:w="4922" w:type="dxa"/>
            <w:vAlign w:val="center"/>
          </w:tcPr>
          <w:p w14:paraId="0B664427">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lang w:eastAsia="zh-CN"/>
              </w:rPr>
              <w:t>项目负责人</w:t>
            </w:r>
            <w:r>
              <w:rPr>
                <w:rFonts w:hint="eastAsia" w:ascii="仿宋" w:hAnsi="仿宋" w:eastAsia="仿宋" w:cs="仿宋"/>
                <w:color w:val="auto"/>
                <w:szCs w:val="21"/>
                <w:highlight w:val="none"/>
                <w:shd w:val="clear" w:color="auto" w:fill="FFFFFF" w:themeFill="background1"/>
              </w:rPr>
              <w:t>简历表必须提供。</w:t>
            </w:r>
          </w:p>
        </w:tc>
        <w:tc>
          <w:tcPr>
            <w:tcW w:w="3457" w:type="dxa"/>
            <w:vAlign w:val="center"/>
          </w:tcPr>
          <w:p w14:paraId="54CF4F45">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6EE25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35DAA3E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w:t>
            </w:r>
          </w:p>
        </w:tc>
        <w:tc>
          <w:tcPr>
            <w:tcW w:w="4922" w:type="dxa"/>
            <w:vAlign w:val="center"/>
          </w:tcPr>
          <w:p w14:paraId="5262203A">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lang w:eastAsia="zh-CN"/>
              </w:rPr>
              <w:t>合同履约期限</w:t>
            </w:r>
            <w:r>
              <w:rPr>
                <w:rFonts w:hint="eastAsia" w:ascii="仿宋" w:hAnsi="仿宋" w:eastAsia="仿宋" w:cs="仿宋"/>
                <w:color w:val="auto"/>
                <w:szCs w:val="21"/>
                <w:highlight w:val="none"/>
                <w:shd w:val="clear" w:color="auto" w:fill="FFFFFF" w:themeFill="background1"/>
              </w:rPr>
              <w:t>必须满足</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要求。</w:t>
            </w:r>
          </w:p>
        </w:tc>
        <w:tc>
          <w:tcPr>
            <w:tcW w:w="3457" w:type="dxa"/>
            <w:vAlign w:val="center"/>
          </w:tcPr>
          <w:p w14:paraId="30BD786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13D7E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25D51762">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4</w:t>
            </w:r>
          </w:p>
        </w:tc>
        <w:tc>
          <w:tcPr>
            <w:tcW w:w="4922" w:type="dxa"/>
            <w:vAlign w:val="center"/>
          </w:tcPr>
          <w:p w14:paraId="6258FC11">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lang w:eastAsia="zh-CN"/>
              </w:rPr>
              <w:t>响应价格</w:t>
            </w:r>
            <w:r>
              <w:rPr>
                <w:rFonts w:hint="eastAsia" w:ascii="仿宋" w:hAnsi="仿宋" w:eastAsia="仿宋" w:cs="仿宋"/>
                <w:color w:val="auto"/>
                <w:szCs w:val="21"/>
                <w:highlight w:val="none"/>
                <w:shd w:val="clear" w:color="auto" w:fill="FFFFFF" w:themeFill="background1"/>
              </w:rPr>
              <w:t>不得超过供应商须知前附表中的</w:t>
            </w:r>
            <w:r>
              <w:rPr>
                <w:rFonts w:hint="eastAsia" w:ascii="仿宋" w:hAnsi="仿宋" w:eastAsia="仿宋" w:cs="仿宋"/>
                <w:color w:val="auto"/>
                <w:szCs w:val="21"/>
                <w:highlight w:val="none"/>
                <w:shd w:val="clear" w:color="auto" w:fill="FFFFFF" w:themeFill="background1"/>
                <w:lang w:eastAsia="zh-CN"/>
              </w:rPr>
              <w:t>最高限价</w:t>
            </w:r>
            <w:r>
              <w:rPr>
                <w:rFonts w:hint="eastAsia" w:ascii="仿宋" w:hAnsi="仿宋" w:eastAsia="仿宋" w:cs="仿宋"/>
                <w:color w:val="auto"/>
                <w:szCs w:val="21"/>
                <w:highlight w:val="none"/>
                <w:shd w:val="clear" w:color="auto" w:fill="FFFFFF" w:themeFill="background1"/>
              </w:rPr>
              <w:t>。</w:t>
            </w:r>
          </w:p>
        </w:tc>
        <w:tc>
          <w:tcPr>
            <w:tcW w:w="3457" w:type="dxa"/>
            <w:vAlign w:val="center"/>
          </w:tcPr>
          <w:p w14:paraId="6DD4106C">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2E48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8" w:hRule="atLeast"/>
          <w:jc w:val="center"/>
        </w:trPr>
        <w:tc>
          <w:tcPr>
            <w:tcW w:w="676" w:type="dxa"/>
            <w:vAlign w:val="center"/>
          </w:tcPr>
          <w:p w14:paraId="5EEA6E8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5</w:t>
            </w:r>
          </w:p>
        </w:tc>
        <w:tc>
          <w:tcPr>
            <w:tcW w:w="4922" w:type="dxa"/>
            <w:shd w:val="clear" w:color="auto" w:fill="auto"/>
            <w:vAlign w:val="center"/>
          </w:tcPr>
          <w:p w14:paraId="22B8E4E7">
            <w:pPr>
              <w:spacing w:line="360" w:lineRule="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eastAsia="zh-CN"/>
              </w:rPr>
              <w:t>响应保证金</w:t>
            </w:r>
            <w:r>
              <w:rPr>
                <w:rFonts w:hint="eastAsia" w:ascii="仿宋" w:hAnsi="仿宋" w:eastAsia="仿宋" w:cs="仿宋"/>
                <w:color w:val="auto"/>
                <w:szCs w:val="21"/>
                <w:highlight w:val="none"/>
                <w:shd w:val="clear" w:color="auto" w:fill="FFFFFF" w:themeFill="background1"/>
              </w:rPr>
              <w:t>必须按照</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要求缴纳。</w:t>
            </w:r>
          </w:p>
        </w:tc>
        <w:tc>
          <w:tcPr>
            <w:tcW w:w="3457" w:type="dxa"/>
            <w:shd w:val="clear" w:color="auto" w:fill="auto"/>
            <w:vAlign w:val="center"/>
          </w:tcPr>
          <w:p w14:paraId="4E8A4BFE">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保证金缴纳证明材料：汇款凭证或支票或汇票或保函或保证金收据等的扫描件。</w:t>
            </w:r>
          </w:p>
          <w:p w14:paraId="4F9E0C07">
            <w:pPr>
              <w:spacing w:line="360" w:lineRule="auto"/>
              <w:jc w:val="left"/>
              <w:rPr>
                <w:rFonts w:hint="eastAsia" w:ascii="仿宋" w:hAnsi="仿宋" w:eastAsia="仿宋" w:cs="仿宋"/>
                <w:color w:val="auto"/>
                <w:highlight w:val="none"/>
                <w:lang w:val="en-US" w:eastAsia="zh-CN"/>
              </w:rPr>
            </w:pPr>
            <w:r>
              <w:rPr>
                <w:rFonts w:hint="eastAsia" w:ascii="仿宋" w:hAnsi="仿宋" w:eastAsia="仿宋" w:cs="仿宋"/>
                <w:color w:val="auto"/>
                <w:szCs w:val="21"/>
                <w:highlight w:val="none"/>
                <w:shd w:val="clear" w:color="auto" w:fill="FFFFFF" w:themeFill="background1"/>
                <w:lang w:val="en-US" w:eastAsia="zh-CN"/>
              </w:rPr>
              <w:t>注：采用电汇方式缴纳</w:t>
            </w:r>
            <w:r>
              <w:rPr>
                <w:rFonts w:hint="eastAsia" w:ascii="仿宋" w:hAnsi="仿宋" w:eastAsia="仿宋" w:cs="仿宋"/>
                <w:color w:val="auto"/>
                <w:szCs w:val="21"/>
                <w:highlight w:val="none"/>
                <w:shd w:val="clear" w:color="auto" w:fill="FFFFFF" w:themeFill="background1"/>
                <w:lang w:eastAsia="zh-CN"/>
              </w:rPr>
              <w:t>响应保证金</w:t>
            </w:r>
            <w:r>
              <w:rPr>
                <w:rFonts w:hint="eastAsia" w:ascii="仿宋" w:hAnsi="仿宋" w:eastAsia="仿宋" w:cs="仿宋"/>
                <w:color w:val="auto"/>
                <w:szCs w:val="21"/>
                <w:highlight w:val="none"/>
                <w:shd w:val="clear" w:color="auto" w:fill="FFFFFF" w:themeFill="background1"/>
                <w:lang w:val="en-US" w:eastAsia="zh-CN"/>
              </w:rPr>
              <w:t>的，以采购代理机构查询结果为准。</w:t>
            </w:r>
          </w:p>
        </w:tc>
      </w:tr>
      <w:tr w14:paraId="3C51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8" w:hRule="atLeast"/>
          <w:jc w:val="center"/>
        </w:trPr>
        <w:tc>
          <w:tcPr>
            <w:tcW w:w="676" w:type="dxa"/>
            <w:vAlign w:val="center"/>
          </w:tcPr>
          <w:p w14:paraId="15AACE39">
            <w:pPr>
              <w:spacing w:line="360" w:lineRule="auto"/>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6</w:t>
            </w:r>
          </w:p>
        </w:tc>
        <w:tc>
          <w:tcPr>
            <w:tcW w:w="4922" w:type="dxa"/>
            <w:shd w:val="clear" w:color="auto" w:fill="auto"/>
            <w:vAlign w:val="center"/>
          </w:tcPr>
          <w:p w14:paraId="0E214339">
            <w:pPr>
              <w:spacing w:line="360" w:lineRule="auto"/>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val="en-US" w:eastAsia="zh-CN"/>
              </w:rPr>
              <w:t>供应商须提供满足</w:t>
            </w:r>
            <w:r>
              <w:rPr>
                <w:rFonts w:hint="eastAsia" w:ascii="仿宋" w:hAnsi="仿宋" w:eastAsia="仿宋" w:cs="仿宋"/>
                <w:color w:val="auto"/>
                <w:szCs w:val="21"/>
                <w:highlight w:val="none"/>
                <w:shd w:val="clear" w:color="auto" w:fill="FFFFFF" w:themeFill="background1"/>
                <w:lang w:eastAsia="zh-CN"/>
              </w:rPr>
              <w:t>数据库内容安全要求的承诺函，加盖供应商章。未响应或未承诺的，响应无效。</w:t>
            </w:r>
          </w:p>
        </w:tc>
        <w:tc>
          <w:tcPr>
            <w:tcW w:w="3457" w:type="dxa"/>
            <w:shd w:val="clear" w:color="auto" w:fill="auto"/>
            <w:vAlign w:val="center"/>
          </w:tcPr>
          <w:p w14:paraId="339CAC5B">
            <w:pPr>
              <w:spacing w:line="360" w:lineRule="auto"/>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承诺函，加盖供应商章。</w:t>
            </w:r>
          </w:p>
        </w:tc>
      </w:tr>
      <w:tr w14:paraId="3AD6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0A7EE060">
            <w:pPr>
              <w:spacing w:line="360" w:lineRule="auto"/>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7</w:t>
            </w:r>
          </w:p>
        </w:tc>
        <w:tc>
          <w:tcPr>
            <w:tcW w:w="4922" w:type="dxa"/>
            <w:shd w:val="clear" w:color="auto" w:fill="auto"/>
            <w:vAlign w:val="center"/>
          </w:tcPr>
          <w:p w14:paraId="2D04D59F">
            <w:pPr>
              <w:spacing w:line="360"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响应文件符合</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全部实质性要求。</w:t>
            </w:r>
          </w:p>
        </w:tc>
        <w:tc>
          <w:tcPr>
            <w:tcW w:w="3457" w:type="dxa"/>
            <w:shd w:val="clear" w:color="auto" w:fill="auto"/>
            <w:vAlign w:val="center"/>
          </w:tcPr>
          <w:p w14:paraId="282D439F">
            <w:pPr>
              <w:spacing w:line="360"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w:t>
            </w:r>
          </w:p>
        </w:tc>
      </w:tr>
      <w:tr w14:paraId="351AC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055" w:type="dxa"/>
            <w:gridSpan w:val="3"/>
            <w:vAlign w:val="center"/>
          </w:tcPr>
          <w:p w14:paraId="702762FB">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备注：完备性及符合性审查中有一项不满足评审标准的，磋商小组将认定该供应商不通过完备性及符合性审查，不得进入下一阶段评审。并且不允许供应商通过修改或撤销其不符合要求的差异或保留，使之成为具有响应性的</w:t>
            </w:r>
            <w:r>
              <w:rPr>
                <w:rFonts w:hint="eastAsia" w:ascii="仿宋" w:hAnsi="仿宋" w:eastAsia="仿宋" w:cs="仿宋"/>
                <w:color w:val="auto"/>
                <w:szCs w:val="21"/>
                <w:highlight w:val="none"/>
                <w:shd w:val="clear" w:color="auto" w:fill="FFFFFF" w:themeFill="background1"/>
                <w:lang w:val="en-US" w:eastAsia="zh-CN"/>
              </w:rPr>
              <w:t>响应文件</w:t>
            </w:r>
            <w:r>
              <w:rPr>
                <w:rFonts w:hint="eastAsia" w:ascii="仿宋" w:hAnsi="仿宋" w:eastAsia="仿宋" w:cs="仿宋"/>
                <w:color w:val="auto"/>
                <w:szCs w:val="21"/>
                <w:highlight w:val="none"/>
                <w:shd w:val="clear" w:color="auto" w:fill="FFFFFF" w:themeFill="background1"/>
              </w:rPr>
              <w:t>。</w:t>
            </w:r>
          </w:p>
        </w:tc>
      </w:tr>
    </w:tbl>
    <w:p w14:paraId="17A6AEC0">
      <w:pPr>
        <w:rPr>
          <w:rFonts w:hint="eastAsia" w:ascii="仿宋" w:hAnsi="仿宋" w:eastAsia="仿宋" w:cs="仿宋"/>
          <w:b/>
          <w:color w:val="auto"/>
          <w:kern w:val="0"/>
          <w:szCs w:val="21"/>
          <w:highlight w:val="none"/>
          <w:shd w:val="clear" w:color="auto" w:fill="FFFFFF" w:themeFill="background1"/>
        </w:rPr>
      </w:pPr>
    </w:p>
    <w:p w14:paraId="64CF54C8">
      <w:pPr>
        <w:jc w:val="center"/>
        <w:rPr>
          <w:rFonts w:hint="eastAsia"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《详细评审标准》</w:t>
      </w:r>
    </w:p>
    <w:tbl>
      <w:tblPr>
        <w:tblStyle w:val="44"/>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6"/>
        <w:gridCol w:w="1102"/>
        <w:gridCol w:w="1176"/>
        <w:gridCol w:w="6584"/>
      </w:tblGrid>
      <w:tr w14:paraId="1341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305" w:type="pct"/>
            <w:vAlign w:val="center"/>
          </w:tcPr>
          <w:p w14:paraId="58795F4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highlight w:val="none"/>
              </w:rPr>
              <w:t>序号</w:t>
            </w:r>
          </w:p>
        </w:tc>
        <w:tc>
          <w:tcPr>
            <w:tcW w:w="583" w:type="pct"/>
            <w:vAlign w:val="center"/>
          </w:tcPr>
          <w:p w14:paraId="2245376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highlight w:val="none"/>
              </w:rPr>
              <w:t>评审项目</w:t>
            </w:r>
          </w:p>
        </w:tc>
        <w:tc>
          <w:tcPr>
            <w:tcW w:w="623" w:type="pct"/>
            <w:shd w:val="clear" w:color="auto" w:fill="auto"/>
            <w:vAlign w:val="center"/>
          </w:tcPr>
          <w:p w14:paraId="4865F5FB">
            <w:pPr>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标准分</w:t>
            </w:r>
          </w:p>
        </w:tc>
        <w:tc>
          <w:tcPr>
            <w:tcW w:w="3487" w:type="pct"/>
            <w:vAlign w:val="center"/>
          </w:tcPr>
          <w:p w14:paraId="2A8D131D">
            <w:pPr>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评审标准</w:t>
            </w:r>
          </w:p>
        </w:tc>
      </w:tr>
      <w:tr w14:paraId="311A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305" w:type="pct"/>
            <w:shd w:val="clear" w:color="auto" w:fill="auto"/>
            <w:vAlign w:val="center"/>
          </w:tcPr>
          <w:p w14:paraId="578BA8D4">
            <w:pPr>
              <w:spacing w:line="360" w:lineRule="auto"/>
              <w:jc w:val="center"/>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highlight w:val="none"/>
              </w:rPr>
              <w:t>1</w:t>
            </w:r>
          </w:p>
        </w:tc>
        <w:tc>
          <w:tcPr>
            <w:tcW w:w="583" w:type="pct"/>
            <w:shd w:val="clear" w:color="auto" w:fill="auto"/>
            <w:vAlign w:val="center"/>
          </w:tcPr>
          <w:p w14:paraId="32638630">
            <w:pPr>
              <w:spacing w:line="360" w:lineRule="auto"/>
              <w:ind w:firstLine="0" w:firstLineChars="0"/>
              <w:jc w:val="center"/>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highlight w:val="none"/>
                <w:lang w:val="en-US" w:eastAsia="zh-CN"/>
              </w:rPr>
              <w:t>响应报价</w:t>
            </w:r>
          </w:p>
        </w:tc>
        <w:tc>
          <w:tcPr>
            <w:tcW w:w="623" w:type="pct"/>
            <w:shd w:val="clear" w:color="auto" w:fill="auto"/>
            <w:vAlign w:val="center"/>
          </w:tcPr>
          <w:p w14:paraId="545CAFD2">
            <w:pPr>
              <w:spacing w:line="360" w:lineRule="auto"/>
              <w:ind w:firstLine="0" w:firstLineChars="0"/>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30</w:t>
            </w:r>
          </w:p>
        </w:tc>
        <w:tc>
          <w:tcPr>
            <w:tcW w:w="3487" w:type="pct"/>
            <w:shd w:val="clear" w:color="auto" w:fill="auto"/>
            <w:vAlign w:val="center"/>
          </w:tcPr>
          <w:p w14:paraId="49DAB170">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响应报价得分计算方法：</w:t>
            </w:r>
          </w:p>
          <w:p w14:paraId="2696052C">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1.响应报价的确定</w:t>
            </w:r>
          </w:p>
          <w:p w14:paraId="2F508BF8">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响应报价是指经评审的且不超过最高限价的响应价格</w:t>
            </w:r>
          </w:p>
          <w:p w14:paraId="1D106D19">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2.基准价的确定</w:t>
            </w:r>
          </w:p>
          <w:p w14:paraId="48F61B94">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满足采购文件要求且最后响应报价最低的供应商的价格为基准价</w:t>
            </w:r>
          </w:p>
          <w:p w14:paraId="2F426D92">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3.响应报价得分=（基准价／响应报价）×30</w:t>
            </w:r>
          </w:p>
          <w:p w14:paraId="065D7914">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4.分值计算保留小数点后两位，小数点后三位“四舍五入”。</w:t>
            </w:r>
          </w:p>
          <w:p w14:paraId="03C99F99">
            <w:pPr>
              <w:spacing w:line="360" w:lineRule="auto"/>
              <w:ind w:firstLine="420" w:firstLineChars="20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w:t>
            </w:r>
            <w:r>
              <w:rPr>
                <w:rFonts w:hint="eastAsia" w:ascii="仿宋" w:hAnsi="仿宋" w:eastAsia="仿宋" w:cs="仿宋"/>
                <w:color w:val="auto"/>
                <w:sz w:val="21"/>
                <w:szCs w:val="21"/>
                <w:highlight w:val="none"/>
                <w:lang w:val="en-US" w:eastAsia="zh-CN"/>
              </w:rPr>
              <w:t>因落实政府采购政策对小微企业、残疾人福利性单位、监狱企业的价格给予10%价格扣除；以扣除后的价格参与评审，不重复享受价格扣除政策。</w:t>
            </w:r>
          </w:p>
        </w:tc>
      </w:tr>
      <w:tr w14:paraId="6540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jc w:val="center"/>
        </w:trPr>
        <w:tc>
          <w:tcPr>
            <w:tcW w:w="305" w:type="pct"/>
            <w:shd w:val="clear" w:color="auto" w:fill="auto"/>
            <w:vAlign w:val="center"/>
          </w:tcPr>
          <w:p w14:paraId="2E17999F">
            <w:pPr>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w:t>
            </w:r>
          </w:p>
        </w:tc>
        <w:tc>
          <w:tcPr>
            <w:tcW w:w="583" w:type="pct"/>
            <w:shd w:val="clear" w:color="auto" w:fill="auto"/>
            <w:vAlign w:val="center"/>
          </w:tcPr>
          <w:p w14:paraId="0E5400AF">
            <w:pPr>
              <w:spacing w:line="360" w:lineRule="auto"/>
              <w:ind w:firstLine="0" w:firstLineChars="0"/>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类似业绩</w:t>
            </w:r>
          </w:p>
        </w:tc>
        <w:tc>
          <w:tcPr>
            <w:tcW w:w="623" w:type="pct"/>
            <w:shd w:val="clear" w:color="auto" w:fill="auto"/>
            <w:vAlign w:val="center"/>
          </w:tcPr>
          <w:p w14:paraId="2419F9B3">
            <w:pPr>
              <w:spacing w:line="360" w:lineRule="auto"/>
              <w:ind w:firstLine="0" w:firstLineChars="0"/>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8</w:t>
            </w:r>
          </w:p>
        </w:tc>
        <w:tc>
          <w:tcPr>
            <w:tcW w:w="3487" w:type="pct"/>
            <w:shd w:val="clear" w:color="auto" w:fill="auto"/>
            <w:vAlign w:val="center"/>
          </w:tcPr>
          <w:p w14:paraId="165DB955">
            <w:pPr>
              <w:keepNext w:val="0"/>
              <w:keepLines w:val="0"/>
              <w:pageBreakBefore w:val="0"/>
              <w:widowControl w:val="0"/>
              <w:kinsoku/>
              <w:wordWrap/>
              <w:overflowPunct/>
              <w:topLinePunct w:val="0"/>
              <w:autoSpaceDE/>
              <w:autoSpaceDN/>
              <w:bidi w:val="0"/>
              <w:adjustRightInd/>
              <w:snapToGrid/>
              <w:spacing w:beforeAutospacing="0" w:afterAutospacing="0" w:line="276" w:lineRule="auto"/>
              <w:ind w:firstLine="420" w:firstLineChars="200"/>
              <w:jc w:val="left"/>
              <w:textAlignment w:val="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b w:val="0"/>
                <w:bCs w:val="0"/>
                <w:color w:val="auto"/>
                <w:kern w:val="0"/>
                <w:szCs w:val="21"/>
                <w:highlight w:val="none"/>
                <w:lang w:val="en-US" w:eastAsia="zh-CN"/>
              </w:rPr>
              <w:t>供应商</w:t>
            </w:r>
            <w:r>
              <w:rPr>
                <w:rFonts w:hint="eastAsia" w:ascii="仿宋" w:hAnsi="仿宋" w:eastAsia="仿宋" w:cs="仿宋"/>
                <w:b w:val="0"/>
                <w:bCs w:val="0"/>
                <w:color w:val="auto"/>
                <w:sz w:val="21"/>
                <w:szCs w:val="21"/>
                <w:highlight w:val="none"/>
                <w:lang w:val="en-US" w:eastAsia="zh-CN"/>
              </w:rPr>
              <w:t>近三年(2023年1月1日-至今，以合同签订时间为准)承接的类似业绩，一项计2分，最多计4项(须提供合同）</w:t>
            </w:r>
          </w:p>
        </w:tc>
      </w:tr>
      <w:tr w14:paraId="56D0F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3" w:hRule="atLeast"/>
          <w:jc w:val="center"/>
        </w:trPr>
        <w:tc>
          <w:tcPr>
            <w:tcW w:w="305" w:type="pct"/>
            <w:shd w:val="clear" w:color="auto" w:fill="auto"/>
            <w:vAlign w:val="center"/>
          </w:tcPr>
          <w:p w14:paraId="1A9C853D">
            <w:pPr>
              <w:spacing w:line="360" w:lineRule="auto"/>
              <w:ind w:firstLine="0" w:firstLineChars="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w:t>
            </w:r>
          </w:p>
        </w:tc>
        <w:tc>
          <w:tcPr>
            <w:tcW w:w="583" w:type="pct"/>
            <w:shd w:val="clear" w:color="auto" w:fill="auto"/>
            <w:vAlign w:val="center"/>
          </w:tcPr>
          <w:p w14:paraId="76E00885">
            <w:pPr>
              <w:keepNext w:val="0"/>
              <w:keepLines w:val="0"/>
              <w:pageBreakBefore w:val="0"/>
              <w:widowControl w:val="0"/>
              <w:kinsoku/>
              <w:wordWrap/>
              <w:overflowPunct/>
              <w:topLinePunct w:val="0"/>
              <w:autoSpaceDE/>
              <w:autoSpaceDN/>
              <w:bidi w:val="0"/>
              <w:adjustRightInd/>
              <w:snapToGrid/>
              <w:spacing w:beforeAutospacing="0" w:afterAutospacing="0" w:line="276"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Cs w:val="21"/>
                <w:highlight w:val="none"/>
              </w:rPr>
              <w:t>技术指标</w:t>
            </w:r>
          </w:p>
        </w:tc>
        <w:tc>
          <w:tcPr>
            <w:tcW w:w="623" w:type="pct"/>
            <w:shd w:val="clear" w:color="auto" w:fill="auto"/>
            <w:vAlign w:val="center"/>
          </w:tcPr>
          <w:p w14:paraId="2E1172B7">
            <w:pPr>
              <w:keepNext w:val="0"/>
              <w:keepLines w:val="0"/>
              <w:pageBreakBefore w:val="0"/>
              <w:widowControl w:val="0"/>
              <w:kinsoku/>
              <w:wordWrap/>
              <w:overflowPunct/>
              <w:topLinePunct w:val="0"/>
              <w:autoSpaceDE/>
              <w:autoSpaceDN/>
              <w:bidi w:val="0"/>
              <w:adjustRightInd/>
              <w:snapToGrid/>
              <w:spacing w:beforeAutospacing="0" w:afterAutospacing="0" w:line="276"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20</w:t>
            </w:r>
          </w:p>
        </w:tc>
        <w:tc>
          <w:tcPr>
            <w:tcW w:w="3487" w:type="pct"/>
            <w:shd w:val="clear" w:color="auto" w:fill="auto"/>
            <w:vAlign w:val="center"/>
          </w:tcPr>
          <w:p w14:paraId="53BAC9FA">
            <w:pPr>
              <w:keepNext w:val="0"/>
              <w:keepLines w:val="0"/>
              <w:pageBreakBefore w:val="0"/>
              <w:widowControl w:val="0"/>
              <w:kinsoku/>
              <w:wordWrap/>
              <w:overflowPunct/>
              <w:topLinePunct w:val="0"/>
              <w:autoSpaceDE/>
              <w:autoSpaceDN/>
              <w:bidi w:val="0"/>
              <w:adjustRightInd/>
              <w:snapToGrid/>
              <w:spacing w:beforeAutospacing="0" w:afterAutospacing="0" w:line="276" w:lineRule="auto"/>
              <w:ind w:firstLine="420" w:firstLineChars="2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供应商所投</w:t>
            </w:r>
            <w:r>
              <w:rPr>
                <w:rFonts w:hint="eastAsia" w:ascii="仿宋" w:hAnsi="仿宋" w:eastAsia="仿宋" w:cs="仿宋"/>
                <w:color w:val="auto"/>
                <w:kern w:val="0"/>
                <w:szCs w:val="21"/>
                <w:highlight w:val="none"/>
                <w:lang w:val="en-US" w:eastAsia="zh-CN"/>
              </w:rPr>
              <w:t>数据库</w:t>
            </w:r>
            <w:r>
              <w:rPr>
                <w:rFonts w:hint="eastAsia" w:ascii="仿宋" w:hAnsi="仿宋" w:eastAsia="仿宋" w:cs="仿宋"/>
                <w:color w:val="auto"/>
                <w:kern w:val="0"/>
                <w:szCs w:val="21"/>
                <w:highlight w:val="none"/>
              </w:rPr>
              <w:t>技术指标完全满足招标文件“第</w:t>
            </w:r>
            <w:r>
              <w:rPr>
                <w:rFonts w:hint="eastAsia" w:ascii="仿宋" w:hAnsi="仿宋" w:eastAsia="仿宋" w:cs="仿宋"/>
                <w:color w:val="auto"/>
                <w:kern w:val="0"/>
                <w:szCs w:val="21"/>
                <w:highlight w:val="none"/>
                <w:lang w:val="en-US" w:eastAsia="zh-CN"/>
              </w:rPr>
              <w:t>四</w:t>
            </w:r>
            <w:r>
              <w:rPr>
                <w:rFonts w:hint="eastAsia" w:ascii="仿宋" w:hAnsi="仿宋" w:eastAsia="仿宋" w:cs="仿宋"/>
                <w:color w:val="auto"/>
                <w:kern w:val="0"/>
                <w:szCs w:val="21"/>
                <w:highlight w:val="none"/>
              </w:rPr>
              <w:t xml:space="preserve">章 </w:t>
            </w:r>
            <w:r>
              <w:rPr>
                <w:rFonts w:hint="eastAsia" w:ascii="仿宋" w:hAnsi="仿宋" w:eastAsia="仿宋" w:cs="仿宋"/>
                <w:color w:val="auto"/>
                <w:kern w:val="0"/>
                <w:szCs w:val="21"/>
                <w:highlight w:val="none"/>
                <w:lang w:val="en-US" w:eastAsia="zh-CN"/>
              </w:rPr>
              <w:t>服务</w:t>
            </w:r>
            <w:r>
              <w:rPr>
                <w:rFonts w:hint="eastAsia" w:ascii="仿宋" w:hAnsi="仿宋" w:eastAsia="仿宋" w:cs="仿宋"/>
                <w:color w:val="auto"/>
                <w:kern w:val="0"/>
                <w:szCs w:val="21"/>
                <w:highlight w:val="none"/>
              </w:rPr>
              <w:t>标准和要求”的得</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0分，每有一条技术参数不满足扣</w:t>
            </w: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rPr>
              <w:t>分</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须提供证明材料</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w:t>
            </w:r>
            <w:r>
              <w:rPr>
                <w:rFonts w:hint="eastAsia" w:ascii="仿宋" w:hAnsi="仿宋" w:eastAsia="仿宋" w:cs="仿宋"/>
                <w:color w:val="auto"/>
                <w:kern w:val="0"/>
                <w:szCs w:val="21"/>
                <w:highlight w:val="none"/>
              </w:rPr>
              <w:t>扣完为止。</w:t>
            </w:r>
          </w:p>
          <w:p w14:paraId="339F0A07">
            <w:pPr>
              <w:keepNext w:val="0"/>
              <w:keepLines w:val="0"/>
              <w:pageBreakBefore w:val="0"/>
              <w:widowControl w:val="0"/>
              <w:kinsoku/>
              <w:wordWrap/>
              <w:overflowPunct/>
              <w:topLinePunct w:val="0"/>
              <w:autoSpaceDE/>
              <w:autoSpaceDN/>
              <w:bidi w:val="0"/>
              <w:adjustRightInd/>
              <w:snapToGrid/>
              <w:spacing w:beforeAutospacing="0" w:afterAutospacing="0" w:line="276" w:lineRule="auto"/>
              <w:ind w:firstLine="420" w:firstLineChars="2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供应商须对本</w:t>
            </w:r>
            <w:r>
              <w:rPr>
                <w:rFonts w:hint="eastAsia" w:ascii="仿宋" w:hAnsi="仿宋" w:eastAsia="仿宋" w:cs="仿宋"/>
                <w:color w:val="auto"/>
                <w:kern w:val="0"/>
                <w:szCs w:val="21"/>
                <w:highlight w:val="none"/>
                <w:lang w:val="en-US" w:eastAsia="zh-CN"/>
              </w:rPr>
              <w:t>采购</w:t>
            </w:r>
            <w:r>
              <w:rPr>
                <w:rFonts w:hint="eastAsia" w:ascii="仿宋" w:hAnsi="仿宋" w:eastAsia="仿宋" w:cs="仿宋"/>
                <w:color w:val="auto"/>
                <w:kern w:val="0"/>
                <w:szCs w:val="21"/>
                <w:highlight w:val="none"/>
              </w:rPr>
              <w:t>文件技术</w:t>
            </w:r>
            <w:r>
              <w:rPr>
                <w:rFonts w:hint="eastAsia" w:ascii="仿宋" w:hAnsi="仿宋" w:eastAsia="仿宋" w:cs="仿宋"/>
                <w:color w:val="auto"/>
                <w:kern w:val="0"/>
                <w:szCs w:val="21"/>
                <w:highlight w:val="none"/>
                <w:lang w:val="en-US" w:eastAsia="zh-CN"/>
              </w:rPr>
              <w:t>要求</w:t>
            </w:r>
            <w:r>
              <w:rPr>
                <w:rFonts w:hint="eastAsia" w:ascii="仿宋" w:hAnsi="仿宋" w:eastAsia="仿宋" w:cs="仿宋"/>
                <w:color w:val="auto"/>
                <w:kern w:val="0"/>
                <w:szCs w:val="21"/>
                <w:highlight w:val="none"/>
              </w:rPr>
              <w:t>进行点对点应答，提供证明材料彩色扫描件（证明材料包含但不仅限于承诺书或相关的使用说明等）未提供或提供不全该条参数不得分。</w:t>
            </w:r>
          </w:p>
        </w:tc>
      </w:tr>
      <w:tr w14:paraId="09D5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jc w:val="center"/>
        </w:trPr>
        <w:tc>
          <w:tcPr>
            <w:tcW w:w="305" w:type="pct"/>
            <w:shd w:val="clear" w:color="auto" w:fill="auto"/>
            <w:vAlign w:val="center"/>
          </w:tcPr>
          <w:p w14:paraId="277A3B1F">
            <w:pPr>
              <w:spacing w:line="360" w:lineRule="auto"/>
              <w:ind w:firstLine="0" w:firstLineChars="0"/>
              <w:jc w:val="center"/>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kern w:val="2"/>
                <w:sz w:val="21"/>
                <w:szCs w:val="22"/>
                <w:highlight w:val="none"/>
                <w:lang w:val="en-US" w:eastAsia="zh-CN" w:bidi="ar-SA"/>
              </w:rPr>
              <w:t>4</w:t>
            </w:r>
          </w:p>
        </w:tc>
        <w:tc>
          <w:tcPr>
            <w:tcW w:w="583" w:type="pct"/>
            <w:shd w:val="clear" w:color="auto" w:fill="auto"/>
            <w:vAlign w:val="center"/>
          </w:tcPr>
          <w:p w14:paraId="538E1818">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rPr>
              <w:t>服务方案</w:t>
            </w:r>
          </w:p>
        </w:tc>
        <w:tc>
          <w:tcPr>
            <w:tcW w:w="623" w:type="pct"/>
            <w:shd w:val="clear" w:color="auto" w:fill="auto"/>
            <w:vAlign w:val="center"/>
          </w:tcPr>
          <w:p w14:paraId="15791410">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25</w:t>
            </w:r>
          </w:p>
        </w:tc>
        <w:tc>
          <w:tcPr>
            <w:tcW w:w="3487" w:type="pct"/>
            <w:shd w:val="clear" w:color="auto" w:fill="auto"/>
            <w:vAlign w:val="center"/>
          </w:tcPr>
          <w:p w14:paraId="5BCA5A10">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服务方案包括但不限于：①系统维护服务；②咨询服务；③培训或宣传服务；④技术更新服务；⑤资源使用情况调研服务；5部分要素进行评审。</w:t>
            </w:r>
          </w:p>
          <w:p w14:paraId="178DB76C">
            <w:pPr>
              <w:keepNext w:val="0"/>
              <w:keepLines w:val="0"/>
              <w:pageBreakBefore w:val="0"/>
              <w:widowControl w:val="0"/>
              <w:kinsoku/>
              <w:wordWrap/>
              <w:overflowPunct/>
              <w:topLinePunct w:val="0"/>
              <w:autoSpaceDE/>
              <w:autoSpaceDN/>
              <w:bidi w:val="0"/>
              <w:adjustRightInd/>
              <w:snapToGrid/>
              <w:spacing w:beforeAutospacing="0" w:afterAutospacing="0" w:line="276" w:lineRule="auto"/>
              <w:ind w:firstLine="420" w:firstLineChars="2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所有要素齐全且完全满足项目要求得25分，每缺一个要素扣5分，每个要素里每有一处内容缺陷扣2.5分（扣完为止）。</w:t>
            </w:r>
          </w:p>
        </w:tc>
      </w:tr>
      <w:tr w14:paraId="628C3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3" w:hRule="atLeast"/>
          <w:jc w:val="center"/>
        </w:trPr>
        <w:tc>
          <w:tcPr>
            <w:tcW w:w="305" w:type="pct"/>
            <w:shd w:val="clear" w:color="auto" w:fill="auto"/>
            <w:vAlign w:val="center"/>
          </w:tcPr>
          <w:p w14:paraId="346773FA">
            <w:pPr>
              <w:spacing w:line="360" w:lineRule="auto"/>
              <w:ind w:firstLine="0" w:firstLineChars="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w:t>
            </w:r>
          </w:p>
        </w:tc>
        <w:tc>
          <w:tcPr>
            <w:tcW w:w="583" w:type="pct"/>
            <w:shd w:val="clear" w:color="auto" w:fill="auto"/>
            <w:vAlign w:val="center"/>
          </w:tcPr>
          <w:p w14:paraId="5D19EECD">
            <w:pPr>
              <w:keepNext w:val="0"/>
              <w:keepLines w:val="0"/>
              <w:pageBreakBefore w:val="0"/>
              <w:widowControl w:val="0"/>
              <w:kinsoku/>
              <w:wordWrap/>
              <w:overflowPunct/>
              <w:topLinePunct w:val="0"/>
              <w:autoSpaceDE/>
              <w:autoSpaceDN/>
              <w:bidi w:val="0"/>
              <w:adjustRightInd/>
              <w:snapToGrid/>
              <w:spacing w:beforeAutospacing="0" w:afterAutospacing="0" w:line="276"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售后服务</w:t>
            </w:r>
          </w:p>
        </w:tc>
        <w:tc>
          <w:tcPr>
            <w:tcW w:w="623" w:type="pct"/>
            <w:shd w:val="clear" w:color="auto" w:fill="auto"/>
            <w:vAlign w:val="center"/>
          </w:tcPr>
          <w:p w14:paraId="79C8C7EB">
            <w:pPr>
              <w:keepNext w:val="0"/>
              <w:keepLines w:val="0"/>
              <w:pageBreakBefore w:val="0"/>
              <w:widowControl w:val="0"/>
              <w:kinsoku/>
              <w:wordWrap/>
              <w:overflowPunct/>
              <w:topLinePunct w:val="0"/>
              <w:autoSpaceDE/>
              <w:autoSpaceDN/>
              <w:bidi w:val="0"/>
              <w:adjustRightInd/>
              <w:snapToGrid/>
              <w:spacing w:beforeAutospacing="0" w:afterAutospacing="0" w:line="276"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17</w:t>
            </w:r>
          </w:p>
        </w:tc>
        <w:tc>
          <w:tcPr>
            <w:tcW w:w="3487" w:type="pct"/>
            <w:shd w:val="clear" w:color="auto" w:fill="auto"/>
            <w:vAlign w:val="center"/>
          </w:tcPr>
          <w:p w14:paraId="64121996">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1.供应商每年至少线下走访用户1次，得基础分1分，每增加1次走访，加1分，本项满分3分（需提供承诺书，不提供不得分，格式自拟）。</w:t>
            </w:r>
          </w:p>
          <w:p w14:paraId="7FE6D49A">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供应商需每月15日按时提交使用统计，得2分；每半年提供采购方使用情况分析报告1次，得1分，满分2分；每一年提供同类院校使用情况横向对比报告1次，得2分，本项满分6分（需提供承诺书，不提供不得分，格式自拟）。</w:t>
            </w:r>
          </w:p>
          <w:p w14:paraId="5D3440EF">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3.提供 7（天）*24（小时）不间断数据库服务，并提供全天候电话技术支持和服务，得1分（需提供承诺书，不提供不得分，格式自拟）。 </w:t>
            </w:r>
          </w:p>
          <w:p w14:paraId="0B4D9BAA">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4.对数据库出现的一般问题，在1小时内作出实质性响应并在8小时内解决的得 1 分，每提前1小时解决问题，加0.5分，满分2分（需提供承诺书，不提供不得分，格式自拟）。 </w:t>
            </w:r>
          </w:p>
          <w:p w14:paraId="003CB928">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5.对重大问题提供现场技术支持，并在48小时内解决，得 1 分，每提前6小时，得 0.5 分，满分2分。（需提供承诺书，不提供不得分，格式自拟）。</w:t>
            </w:r>
          </w:p>
          <w:p w14:paraId="74AF90DC">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6.每年至少提供4次以上线上线下培训服务，提供4次得基础分1分，在此基础上每增加1场培训加1分，本项满分2分。（需提供承诺书，不提供不得分，格式自拟）。</w:t>
            </w:r>
          </w:p>
          <w:p w14:paraId="186CEB09">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仿宋" w:hAnsi="仿宋" w:eastAsia="仿宋" w:cs="仿宋"/>
                <w:kern w:val="2"/>
                <w:sz w:val="21"/>
                <w:szCs w:val="22"/>
                <w:highlight w:val="none"/>
                <w:lang w:val="en-US" w:eastAsia="zh-CN" w:bidi="ar-SA"/>
              </w:rPr>
            </w:pPr>
            <w:r>
              <w:rPr>
                <w:rFonts w:hint="eastAsia" w:ascii="仿宋" w:hAnsi="仿宋" w:eastAsia="仿宋" w:cs="仿宋"/>
                <w:color w:val="auto"/>
                <w:sz w:val="21"/>
                <w:szCs w:val="21"/>
                <w:highlight w:val="none"/>
                <w:lang w:val="en-US" w:eastAsia="zh-CN"/>
              </w:rPr>
              <w:t>7.供应商按采购单位要求主动通报数据库维护或故障，并在8小时内解决问题的，得1分（需提供承诺书，不提供不得分，格式自拟）。</w:t>
            </w:r>
          </w:p>
        </w:tc>
      </w:tr>
      <w:tr w14:paraId="46B6C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889" w:type="pct"/>
            <w:gridSpan w:val="2"/>
            <w:vAlign w:val="center"/>
          </w:tcPr>
          <w:p w14:paraId="6B347DC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highlight w:val="none"/>
              </w:rPr>
              <w:t>合计</w:t>
            </w:r>
          </w:p>
        </w:tc>
        <w:tc>
          <w:tcPr>
            <w:tcW w:w="623" w:type="pct"/>
            <w:shd w:val="clear" w:color="auto" w:fill="auto"/>
            <w:vAlign w:val="center"/>
          </w:tcPr>
          <w:p w14:paraId="5268758A">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100</w:t>
            </w:r>
          </w:p>
        </w:tc>
        <w:tc>
          <w:tcPr>
            <w:tcW w:w="3487" w:type="pct"/>
            <w:vAlign w:val="center"/>
          </w:tcPr>
          <w:p w14:paraId="54C29E9B">
            <w:pPr>
              <w:spacing w:line="360" w:lineRule="auto"/>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p>
        </w:tc>
      </w:tr>
      <w:tr w14:paraId="34AA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5000" w:type="pct"/>
            <w:gridSpan w:val="4"/>
            <w:vAlign w:val="center"/>
          </w:tcPr>
          <w:p w14:paraId="7B85EEC4">
            <w:pPr>
              <w:spacing w:line="360" w:lineRule="auto"/>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247DDDD5">
      <w:pPr>
        <w:rPr>
          <w:rFonts w:hint="eastAsia" w:ascii="仿宋" w:hAnsi="仿宋" w:eastAsia="仿宋" w:cs="仿宋"/>
          <w:color w:val="auto"/>
          <w:highlight w:val="none"/>
        </w:rPr>
      </w:pPr>
    </w:p>
    <w:p w14:paraId="77E7F562">
      <w:pPr>
        <w:rPr>
          <w:rFonts w:hint="eastAsia" w:ascii="仿宋" w:hAnsi="仿宋" w:eastAsia="仿宋" w:cs="仿宋"/>
          <w:color w:val="auto"/>
          <w:highlight w:val="none"/>
        </w:rPr>
      </w:pPr>
    </w:p>
    <w:p w14:paraId="4D03BB7B">
      <w:pPr>
        <w:tabs>
          <w:tab w:val="center" w:pos="4832"/>
          <w:tab w:val="left" w:pos="7140"/>
        </w:tabs>
        <w:spacing w:line="360" w:lineRule="auto"/>
        <w:ind w:firstLine="472" w:firstLineChars="196"/>
        <w:jc w:val="left"/>
        <w:outlineLvl w:val="1"/>
        <w:rPr>
          <w:rFonts w:hint="eastAsia" w:ascii="仿宋" w:hAnsi="仿宋" w:eastAsia="仿宋" w:cs="仿宋"/>
          <w:color w:val="auto"/>
          <w:highlight w:val="none"/>
        </w:rPr>
      </w:pPr>
      <w:bookmarkStart w:id="31" w:name="_Toc13501"/>
      <w:r>
        <w:rPr>
          <w:rFonts w:hint="eastAsia" w:ascii="仿宋" w:hAnsi="仿宋" w:eastAsia="仿宋" w:cs="仿宋"/>
          <w:b/>
          <w:color w:val="auto"/>
          <w:sz w:val="24"/>
          <w:szCs w:val="24"/>
          <w:highlight w:val="none"/>
          <w:shd w:val="clear" w:color="auto" w:fill="FFFFFF" w:themeFill="background1"/>
        </w:rPr>
        <w:t>一、评审方法</w:t>
      </w:r>
      <w:bookmarkEnd w:id="31"/>
    </w:p>
    <w:p w14:paraId="297C5F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本次评审采用综合评分法。磋商小组对满足</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实质性要求的响应文件，按照本节规定的评审标准进行评审。评审中各评审专家若发生意见分歧，以少数服从多数原则确定。</w:t>
      </w:r>
    </w:p>
    <w:p w14:paraId="56205253">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32" w:name="_Toc17644"/>
      <w:r>
        <w:rPr>
          <w:rFonts w:hint="eastAsia" w:ascii="仿宋" w:hAnsi="仿宋" w:eastAsia="仿宋" w:cs="仿宋"/>
          <w:b/>
          <w:color w:val="auto"/>
          <w:sz w:val="24"/>
          <w:szCs w:val="24"/>
          <w:highlight w:val="none"/>
          <w:shd w:val="clear" w:color="auto" w:fill="FFFFFF" w:themeFill="background1"/>
        </w:rPr>
        <w:t>二、评审标准</w:t>
      </w:r>
      <w:bookmarkEnd w:id="32"/>
    </w:p>
    <w:p w14:paraId="1E3633D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2.1资格审查：评审因素和评审标准见《资格审查标准》。</w:t>
      </w:r>
    </w:p>
    <w:p w14:paraId="23C2CCF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2.2完备性及符合性审查：评审因素和评审标准见《完备性及符合性审查标准》。</w:t>
      </w:r>
    </w:p>
    <w:p w14:paraId="6890D3C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2.3详细评审：</w:t>
      </w:r>
    </w:p>
    <w:p w14:paraId="144353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2.3.1详细评审：评审因素和评审标准见《详细评审标准》及本节第3.6款。</w:t>
      </w:r>
    </w:p>
    <w:p w14:paraId="1C028AD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2.3.2</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评分标准：</w:t>
      </w:r>
    </w:p>
    <w:p w14:paraId="07F0EB2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（1）分值构成及权重：见评审办法前附表。</w:t>
      </w:r>
    </w:p>
    <w:p w14:paraId="51F1F2B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（2）基准价计算：见评审办法前附表。</w:t>
      </w:r>
    </w:p>
    <w:p w14:paraId="0C3062E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得分的计算：见评审办法前附表。</w:t>
      </w:r>
    </w:p>
    <w:p w14:paraId="7DBFC3A1">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33" w:name="_Toc7227"/>
      <w:r>
        <w:rPr>
          <w:rFonts w:hint="eastAsia" w:ascii="仿宋" w:hAnsi="仿宋" w:eastAsia="仿宋" w:cs="仿宋"/>
          <w:b/>
          <w:color w:val="auto"/>
          <w:sz w:val="24"/>
          <w:szCs w:val="24"/>
          <w:highlight w:val="none"/>
          <w:shd w:val="clear" w:color="auto" w:fill="FFFFFF" w:themeFill="background1"/>
        </w:rPr>
        <w:t>三、评审程序</w:t>
      </w:r>
      <w:bookmarkEnd w:id="33"/>
    </w:p>
    <w:p w14:paraId="7BCCB8D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3.1基本程序</w:t>
      </w:r>
    </w:p>
    <w:p w14:paraId="569B9EE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评审活动将按以下步骤进行：</w:t>
      </w:r>
    </w:p>
    <w:p w14:paraId="7F1DE51E">
      <w:pPr>
        <w:pStyle w:val="68"/>
        <w:widowControl/>
        <w:numPr>
          <w:ilvl w:val="0"/>
          <w:numId w:val="0"/>
        </w:numPr>
        <w:shd w:val="clear" w:color="auto" w:fill="FFFFFF"/>
        <w:snapToGrid w:val="0"/>
        <w:spacing w:line="360" w:lineRule="auto"/>
        <w:ind w:left="1200" w:leftChars="0" w:hanging="720" w:firstLineChars="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fill="FFFFFF" w:themeFill="background1"/>
          <w:lang w:val="en-US" w:eastAsia="zh-CN" w:bidi="ar-SA"/>
        </w:rPr>
        <w:t>（1）</w:t>
      </w:r>
      <w:r>
        <w:rPr>
          <w:rFonts w:hint="eastAsia" w:ascii="仿宋" w:hAnsi="仿宋" w:eastAsia="仿宋" w:cs="仿宋"/>
          <w:color w:val="auto"/>
          <w:kern w:val="0"/>
          <w:sz w:val="24"/>
          <w:szCs w:val="24"/>
          <w:highlight w:val="none"/>
          <w:shd w:val="clear" w:color="auto" w:fill="FFFFFF" w:themeFill="background1"/>
        </w:rPr>
        <w:t>评审准备</w:t>
      </w:r>
    </w:p>
    <w:p w14:paraId="2B74B87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（2）资格审查</w:t>
      </w:r>
    </w:p>
    <w:p w14:paraId="3E5346B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（3）完备性及符合性审查</w:t>
      </w:r>
    </w:p>
    <w:p w14:paraId="577AEEA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（4）第二轮报价</w:t>
      </w:r>
    </w:p>
    <w:p w14:paraId="4C7F17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（5）详细评审</w:t>
      </w:r>
    </w:p>
    <w:p w14:paraId="6867AAA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（6）澄清、说明或补正</w:t>
      </w:r>
    </w:p>
    <w:p w14:paraId="500C738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（7）推荐成交候选人及提交评审报告</w:t>
      </w:r>
    </w:p>
    <w:p w14:paraId="04B4EFD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 评审准备</w:t>
      </w:r>
    </w:p>
    <w:p w14:paraId="3864AF2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3.2.1磋商小组成员签到</w:t>
      </w:r>
    </w:p>
    <w:p w14:paraId="175E607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磋商小组成员到达评审现场时应当在签到表上签到以证明其出席。</w:t>
      </w:r>
    </w:p>
    <w:p w14:paraId="1956AAF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3.2.2磋商小组的分工</w:t>
      </w:r>
    </w:p>
    <w:p w14:paraId="69C62CA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3.2.2.1磋商小组首先推选一名磋商小组组长。磋商小组组长负责评审活动的组织领导工作。磋商小组组长与磋商小组其他成员具有同等的评审权力。</w:t>
      </w:r>
    </w:p>
    <w:p w14:paraId="4F65D0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3.2.2.2磋商小组组长除履行自己作为磋商小组成员独立评审的职责外，主要负责以下工作： </w:t>
      </w:r>
    </w:p>
    <w:p w14:paraId="08B1901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（1）组织磋商小组成员学习</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w:t>
      </w:r>
    </w:p>
    <w:p w14:paraId="2DEF34C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（2）汇总各磋商小组成员认为需要供应商澄清、说明或者补正的问题；</w:t>
      </w:r>
    </w:p>
    <w:p w14:paraId="2DC0894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（3）组织磋商小组对供应商质询并对供应商的答复进行评审；</w:t>
      </w:r>
    </w:p>
    <w:p w14:paraId="2D84CA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（4）对出现较大争议的事项进行书面记录；</w:t>
      </w:r>
    </w:p>
    <w:p w14:paraId="6B93696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（5）组织收回评审过程中使用的文件、表格和评审记录以及其他资料，并查验评审记录的完整性及有效性；</w:t>
      </w:r>
    </w:p>
    <w:p w14:paraId="677CC25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（6）组织对评审结论进行复核确认；</w:t>
      </w:r>
    </w:p>
    <w:p w14:paraId="347332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（7）组织编写评审报告。</w:t>
      </w:r>
    </w:p>
    <w:p w14:paraId="028F6F7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3.2.3熟悉文件资料</w:t>
      </w:r>
    </w:p>
    <w:p w14:paraId="2BFB9DA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3.2.3.1磋商小组组长应当组织磋商小组成员认真研究</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，了解和熟悉</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目的、采购范围、主要合同条件、技术标准、质量标准和要求，掌握评审标准和方法，熟悉本章及附件中包括的评审表格的使用，如果本章及附件所附的表格不能满足评审所需时，磋商小组应当补充编制评审所需的表格。</w:t>
      </w:r>
    </w:p>
    <w:p w14:paraId="0E5AF34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3.2.3.2采购人或采购代理机构应当向磋商小组提供评审所需的信息和数据，包括：</w:t>
      </w:r>
    </w:p>
    <w:p w14:paraId="69F87EA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及其澄清修改等</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补充；</w:t>
      </w:r>
    </w:p>
    <w:p w14:paraId="7CB05D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（2）未在</w:t>
      </w:r>
      <w:r>
        <w:rPr>
          <w:rFonts w:hint="eastAsia" w:ascii="仿宋" w:hAnsi="仿宋" w:eastAsia="仿宋" w:cs="仿宋"/>
          <w:color w:val="auto"/>
          <w:kern w:val="0"/>
          <w:sz w:val="24"/>
          <w:szCs w:val="24"/>
          <w:highlight w:val="none"/>
          <w:shd w:val="clear" w:color="auto" w:fill="FFFFFF" w:themeFill="background1"/>
          <w:lang w:eastAsia="zh-CN"/>
        </w:rPr>
        <w:t>开启</w:t>
      </w:r>
      <w:r>
        <w:rPr>
          <w:rFonts w:hint="eastAsia" w:ascii="仿宋" w:hAnsi="仿宋" w:eastAsia="仿宋" w:cs="仿宋"/>
          <w:color w:val="auto"/>
          <w:kern w:val="0"/>
          <w:sz w:val="24"/>
          <w:szCs w:val="24"/>
          <w:highlight w:val="none"/>
          <w:shd w:val="clear" w:color="auto" w:fill="FFFFFF" w:themeFill="background1"/>
        </w:rPr>
        <w:t>会上当场拒绝的各响应文件；</w:t>
      </w:r>
    </w:p>
    <w:p w14:paraId="3BBC9B1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eastAsia="zh-CN"/>
        </w:rPr>
        <w:t>开启</w:t>
      </w:r>
      <w:r>
        <w:rPr>
          <w:rFonts w:hint="eastAsia" w:ascii="仿宋" w:hAnsi="仿宋" w:eastAsia="仿宋" w:cs="仿宋"/>
          <w:color w:val="auto"/>
          <w:kern w:val="0"/>
          <w:sz w:val="24"/>
          <w:szCs w:val="24"/>
          <w:highlight w:val="none"/>
          <w:shd w:val="clear" w:color="auto" w:fill="FFFFFF" w:themeFill="background1"/>
        </w:rPr>
        <w:t>会记录；</w:t>
      </w:r>
    </w:p>
    <w:p w14:paraId="6136A0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（4）评审表格；</w:t>
      </w:r>
    </w:p>
    <w:p w14:paraId="197035E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（5）其他信息和数据。</w:t>
      </w:r>
    </w:p>
    <w:p w14:paraId="7B9E82A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3.3资格审查（适用于资格后审）</w:t>
      </w:r>
    </w:p>
    <w:p w14:paraId="4843493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采购人依据本章规定的评审因素和审查标准，对供应商的资格审查资料进行资格审查。资格审查有一项未通过审查标准，采购人将认定整个响应文件不响应</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而否决其</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，并且不允许供应商通过修改或撤销其不符合要求的差异或保留，使之成为具有响应性的</w:t>
      </w:r>
      <w:r>
        <w:rPr>
          <w:rFonts w:hint="eastAsia" w:ascii="仿宋" w:hAnsi="仿宋" w:eastAsia="仿宋" w:cs="仿宋"/>
          <w:color w:val="auto"/>
          <w:kern w:val="0"/>
          <w:sz w:val="24"/>
          <w:szCs w:val="24"/>
          <w:highlight w:val="none"/>
          <w:shd w:val="clear" w:color="auto" w:fill="FFFFFF" w:themeFill="background1"/>
          <w:lang w:val="en-US" w:eastAsia="zh-CN"/>
        </w:rPr>
        <w:t>响应文件</w:t>
      </w:r>
      <w:r>
        <w:rPr>
          <w:rFonts w:hint="eastAsia" w:ascii="仿宋" w:hAnsi="仿宋" w:eastAsia="仿宋" w:cs="仿宋"/>
          <w:color w:val="auto"/>
          <w:kern w:val="0"/>
          <w:sz w:val="24"/>
          <w:szCs w:val="24"/>
          <w:highlight w:val="none"/>
          <w:shd w:val="clear" w:color="auto" w:fill="FFFFFF" w:themeFill="background1"/>
        </w:rPr>
        <w:t>。</w:t>
      </w:r>
    </w:p>
    <w:p w14:paraId="7199163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3.4完备性及符合性审查</w:t>
      </w:r>
    </w:p>
    <w:p w14:paraId="349F7A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3.4.1磋商小组依据本章规定的评审因素和评审标准，对供应商的响应文件进行完备性及符合性审查。完备性及符合性审查有一项未通过评审标准，磋商小组将认定整个响应文件不响应</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而否决其</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，并且不允许供应商通过修改或撤销其不符合要求的差异或保留，使之成为具有响应性的</w:t>
      </w:r>
      <w:r>
        <w:rPr>
          <w:rFonts w:hint="eastAsia" w:ascii="仿宋" w:hAnsi="仿宋" w:eastAsia="仿宋" w:cs="仿宋"/>
          <w:color w:val="auto"/>
          <w:kern w:val="0"/>
          <w:sz w:val="24"/>
          <w:szCs w:val="24"/>
          <w:highlight w:val="none"/>
          <w:shd w:val="clear" w:color="auto" w:fill="FFFFFF" w:themeFill="background1"/>
          <w:lang w:val="en-US" w:eastAsia="zh-CN"/>
        </w:rPr>
        <w:t>响应文件</w:t>
      </w:r>
      <w:r>
        <w:rPr>
          <w:rFonts w:hint="eastAsia" w:ascii="仿宋" w:hAnsi="仿宋" w:eastAsia="仿宋" w:cs="仿宋"/>
          <w:color w:val="auto"/>
          <w:kern w:val="0"/>
          <w:sz w:val="24"/>
          <w:szCs w:val="24"/>
          <w:highlight w:val="none"/>
          <w:shd w:val="clear" w:color="auto" w:fill="FFFFFF" w:themeFill="background1"/>
        </w:rPr>
        <w:t>。</w:t>
      </w:r>
    </w:p>
    <w:p w14:paraId="7AFAF45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3.4.2完备性及符合性审查条款是指对本采购项目产生了重大影响的重大偏差，而且纠正此类偏差将会对响应本次</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的其他供应商的竞争地位产生不公正的影响。</w:t>
      </w:r>
    </w:p>
    <w:p w14:paraId="265C491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3.4.3细微偏差是指响应文件在实质上响应</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要求，但在个别地方存在疏漏或者提供了不完整的技术信息和数据等情况，并且补正这些遗漏和不完整不会对其他供应商造成不公平的结果。细微偏差不影响响应文件的有效性，磋商小组可要求存在细微偏差的供应商予以补正。</w:t>
      </w:r>
    </w:p>
    <w:p w14:paraId="277F287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3.5第二轮报价</w:t>
      </w:r>
    </w:p>
    <w:p w14:paraId="12BADC9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3.5.1按照供应商递交响应文件的逆顺序，由磋商小组与各供应商进行磋商，对响应文件中的漏项、错误等问题进行统一补充和修正并告知供应商，在此基础上进行第二轮</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w:t>
      </w:r>
    </w:p>
    <w:p w14:paraId="77C2742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val="en-US" w:eastAsia="zh-CN"/>
        </w:rPr>
      </w:pPr>
      <w:r>
        <w:rPr>
          <w:rFonts w:hint="eastAsia" w:ascii="仿宋" w:hAnsi="仿宋" w:eastAsia="仿宋" w:cs="仿宋"/>
          <w:color w:val="auto"/>
          <w:kern w:val="0"/>
          <w:sz w:val="24"/>
          <w:szCs w:val="24"/>
          <w:highlight w:val="none"/>
          <w:shd w:val="clear" w:color="auto" w:fill="FFFFFF" w:themeFill="background1"/>
        </w:rPr>
        <w:t>3.5.2供应商分别进行各自第二轮</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，作为最终</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的依据。</w:t>
      </w:r>
      <w:r>
        <w:rPr>
          <w:rFonts w:hint="eastAsia" w:ascii="仿宋" w:hAnsi="仿宋" w:eastAsia="仿宋" w:cs="仿宋"/>
          <w:color w:val="auto"/>
          <w:kern w:val="0"/>
          <w:sz w:val="24"/>
          <w:szCs w:val="24"/>
          <w:highlight w:val="none"/>
          <w:shd w:val="clear" w:color="auto" w:fill="FFFFFF" w:themeFill="background1"/>
          <w:lang w:eastAsia="zh-CN"/>
        </w:rPr>
        <w:t>若供应商未进行第二轮报价，视为放弃响应资格；其响应无效；不在参与后续评审</w:t>
      </w:r>
      <w:r>
        <w:rPr>
          <w:rFonts w:hint="eastAsia" w:ascii="仿宋" w:hAnsi="仿宋" w:eastAsia="仿宋" w:cs="仿宋"/>
          <w:color w:val="auto"/>
          <w:kern w:val="0"/>
          <w:sz w:val="24"/>
          <w:szCs w:val="24"/>
          <w:highlight w:val="none"/>
          <w:shd w:val="clear" w:color="auto" w:fill="FFFFFF" w:themeFill="background1"/>
        </w:rPr>
        <w:t>。</w:t>
      </w:r>
    </w:p>
    <w:p w14:paraId="27F884F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3.6详细评审</w:t>
      </w:r>
    </w:p>
    <w:p w14:paraId="07C722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3.6.1只有通过了第二轮报价方可进入详细评审。</w:t>
      </w:r>
    </w:p>
    <w:p w14:paraId="6118FF8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3.6.2澄清、说明和补正</w:t>
      </w:r>
    </w:p>
    <w:p w14:paraId="72524BF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3.6.2.1在不改变供应商响应文件实质性内容的前提下，磋商小组应当对响应文件进行基础性数据分析和整理，从而发现并提取其中可能存在的对采购范围理解的偏差、技术响应偏离、</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的算术性错误、错漏项、</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构成不合理、不平衡报价等存在明显异常的问题。</w:t>
      </w:r>
    </w:p>
    <w:p w14:paraId="6F923D9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3.6.2.2澄清、说明和补正内容不得改变响应文件的实质性内容（算术性错误修正的除外）。供应商的书面澄清、说明和补正属于响应文件的组成部分。</w:t>
      </w:r>
    </w:p>
    <w:p w14:paraId="098AB2A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3.6.2.3磋商小组针对需要供应商对所提交响应文件中不明确的内容进行书面澄清、说明或补正。澄清通知不得向供应商提出带有暗示性或诱导性问题，或向其明确响应文件中的遗漏和错误。供应商接到磋商小组发出的书面澄清通知后，应按磋商小组的要求提供书面澄清资料，并在规定的时</w:t>
      </w:r>
      <w:r>
        <w:rPr>
          <w:rFonts w:hint="eastAsia" w:ascii="仿宋" w:hAnsi="仿宋" w:eastAsia="仿宋" w:cs="仿宋"/>
          <w:color w:val="auto"/>
          <w:kern w:val="0"/>
          <w:sz w:val="24"/>
          <w:szCs w:val="24"/>
          <w:highlight w:val="none"/>
          <w:shd w:val="clear" w:color="auto" w:fill="FFFFFF" w:themeFill="background1"/>
          <w:lang w:eastAsia="zh-CN"/>
        </w:rPr>
        <w:t>间内</w:t>
      </w:r>
      <w:r>
        <w:rPr>
          <w:rFonts w:hint="eastAsia" w:ascii="仿宋" w:hAnsi="仿宋" w:eastAsia="仿宋" w:cs="仿宋"/>
          <w:color w:val="auto"/>
          <w:kern w:val="0"/>
          <w:sz w:val="24"/>
          <w:szCs w:val="24"/>
          <w:highlight w:val="none"/>
          <w:shd w:val="clear" w:color="auto" w:fill="FFFFFF" w:themeFill="background1"/>
        </w:rPr>
        <w:t>递交到指定地点。磋商小组不接受供应商主动提出的澄清、说明或补正。</w:t>
      </w:r>
    </w:p>
    <w:p w14:paraId="550BCEF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3.6.2.4磋商小组对供应商提交的澄清、说明或补正有疑问的，可以要求供应商进一步澄清、说明或补正，直至满足磋商小组的要求。</w:t>
      </w:r>
    </w:p>
    <w:p w14:paraId="666D502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3.6.3评审专家评分：评审专家按照《详细评审标准》评分，供应商详细评审得分等于全部评审专家评分的算术平均值。</w:t>
      </w:r>
    </w:p>
    <w:p w14:paraId="565E43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3.6.4算术错误修正：</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rPr>
        <w:t>有算术错误或前后不一致的，</w:t>
      </w:r>
      <w:r>
        <w:rPr>
          <w:rFonts w:hint="eastAsia" w:ascii="仿宋" w:hAnsi="仿宋" w:eastAsia="仿宋" w:cs="仿宋"/>
          <w:color w:val="auto"/>
          <w:kern w:val="0"/>
          <w:sz w:val="24"/>
          <w:szCs w:val="24"/>
          <w:highlight w:val="none"/>
          <w:shd w:val="clear" w:color="auto" w:fill="FFFFFF" w:themeFill="background1"/>
        </w:rPr>
        <w:t>磋商小组</w:t>
      </w:r>
      <w:r>
        <w:rPr>
          <w:rFonts w:hint="eastAsia" w:ascii="仿宋" w:hAnsi="仿宋" w:eastAsia="仿宋" w:cs="仿宋"/>
          <w:color w:val="auto"/>
          <w:kern w:val="0"/>
          <w:sz w:val="24"/>
          <w:szCs w:val="24"/>
          <w:highlight w:val="none"/>
        </w:rPr>
        <w:t>按以下原则对</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rPr>
        <w:t>进行修正：</w:t>
      </w:r>
    </w:p>
    <w:p w14:paraId="169F649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（1）电子交易平台中报价与响应文件</w:t>
      </w:r>
      <w:r>
        <w:rPr>
          <w:rFonts w:hint="eastAsia" w:ascii="仿宋" w:hAnsi="仿宋" w:eastAsia="仿宋" w:cs="仿宋"/>
          <w:color w:val="auto"/>
          <w:kern w:val="0"/>
          <w:sz w:val="24"/>
          <w:szCs w:val="24"/>
          <w:highlight w:val="none"/>
          <w:lang w:val="en-US" w:eastAsia="zh-CN"/>
        </w:rPr>
        <w:t>响应</w:t>
      </w:r>
      <w:r>
        <w:rPr>
          <w:rFonts w:hint="eastAsia" w:ascii="仿宋" w:hAnsi="仿宋" w:eastAsia="仿宋" w:cs="仿宋"/>
          <w:color w:val="auto"/>
          <w:kern w:val="0"/>
          <w:sz w:val="24"/>
          <w:szCs w:val="24"/>
          <w:highlight w:val="none"/>
        </w:rPr>
        <w:t>内容不一致的，以响应文件为准；</w:t>
      </w:r>
    </w:p>
    <w:p w14:paraId="1DA36C7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（2）开</w:t>
      </w:r>
      <w:r>
        <w:rPr>
          <w:rFonts w:hint="eastAsia" w:ascii="仿宋" w:hAnsi="仿宋" w:eastAsia="仿宋" w:cs="仿宋"/>
          <w:color w:val="auto"/>
          <w:kern w:val="0"/>
          <w:sz w:val="24"/>
          <w:szCs w:val="24"/>
          <w:highlight w:val="none"/>
          <w:lang w:val="en-US" w:eastAsia="zh-CN"/>
        </w:rPr>
        <w:t>启</w:t>
      </w:r>
      <w:r>
        <w:rPr>
          <w:rFonts w:hint="eastAsia" w:ascii="仿宋" w:hAnsi="仿宋" w:eastAsia="仿宋" w:cs="仿宋"/>
          <w:color w:val="auto"/>
          <w:kern w:val="0"/>
          <w:sz w:val="24"/>
          <w:szCs w:val="24"/>
          <w:highlight w:val="none"/>
        </w:rPr>
        <w:t>一览表与响应文件中相应内容不一致的，以开</w:t>
      </w:r>
      <w:r>
        <w:rPr>
          <w:rFonts w:hint="eastAsia" w:ascii="仿宋" w:hAnsi="仿宋" w:eastAsia="仿宋" w:cs="仿宋"/>
          <w:color w:val="auto"/>
          <w:kern w:val="0"/>
          <w:sz w:val="24"/>
          <w:szCs w:val="24"/>
          <w:highlight w:val="none"/>
          <w:lang w:val="en-US" w:eastAsia="zh-CN"/>
        </w:rPr>
        <w:t>启</w:t>
      </w:r>
      <w:r>
        <w:rPr>
          <w:rFonts w:hint="eastAsia" w:ascii="仿宋" w:hAnsi="仿宋" w:eastAsia="仿宋" w:cs="仿宋"/>
          <w:color w:val="auto"/>
          <w:kern w:val="0"/>
          <w:sz w:val="24"/>
          <w:szCs w:val="24"/>
          <w:highlight w:val="none"/>
        </w:rPr>
        <w:t>一览表为准；</w:t>
      </w:r>
    </w:p>
    <w:p w14:paraId="44BDCCF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（3）大写金额和小写金额不一致的，以大写金额为准；</w:t>
      </w:r>
    </w:p>
    <w:p w14:paraId="688CADD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（4）单价金额小数点或者百分比有明显错位的，以开</w:t>
      </w:r>
      <w:r>
        <w:rPr>
          <w:rFonts w:hint="eastAsia" w:ascii="仿宋" w:hAnsi="仿宋" w:eastAsia="仿宋" w:cs="仿宋"/>
          <w:color w:val="auto"/>
          <w:kern w:val="0"/>
          <w:sz w:val="24"/>
          <w:szCs w:val="24"/>
          <w:highlight w:val="none"/>
          <w:lang w:val="en-US" w:eastAsia="zh-CN"/>
        </w:rPr>
        <w:t>启</w:t>
      </w:r>
      <w:r>
        <w:rPr>
          <w:rFonts w:hint="eastAsia" w:ascii="仿宋" w:hAnsi="仿宋" w:eastAsia="仿宋" w:cs="仿宋"/>
          <w:color w:val="auto"/>
          <w:kern w:val="0"/>
          <w:sz w:val="24"/>
          <w:szCs w:val="24"/>
          <w:highlight w:val="none"/>
        </w:rPr>
        <w:t>一览表的总价为准，并修改单价；</w:t>
      </w:r>
    </w:p>
    <w:p w14:paraId="70264A6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（5）总价金额与按单价汇总金额不一致的，以单价金额计算结果为准。</w:t>
      </w:r>
    </w:p>
    <w:p w14:paraId="37C6EFA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修正后的报价经供应商确认后产生约束力，供应商不确认或不接受的，其</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rPr>
        <w:t>无效。</w:t>
      </w:r>
    </w:p>
    <w:p w14:paraId="473235B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政府采购评审中出现下列情形之一的，</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应当启动异常低价投标（响应）审查程序：</w:t>
      </w:r>
    </w:p>
    <w:p w14:paraId="034539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低于全部通过符合性审查供应商</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平均值50%的，即</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全部通过符合性审查供应商</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平均值×50%；</w:t>
      </w:r>
    </w:p>
    <w:p w14:paraId="5D6F6B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低于通过符合性审查的次低报价供应商</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50%的，即</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通过符合性审查的次低报价供应商</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×50%；</w:t>
      </w:r>
    </w:p>
    <w:p w14:paraId="2B4B5BF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rPr>
        <w:t>低于采购项目最高限价45%的，即</w:t>
      </w:r>
      <w:r>
        <w:rPr>
          <w:rFonts w:hint="eastAsia" w:ascii="仿宋" w:hAnsi="仿宋" w:eastAsia="仿宋" w:cs="仿宋"/>
          <w:color w:val="auto"/>
          <w:kern w:val="0"/>
          <w:sz w:val="24"/>
          <w:szCs w:val="24"/>
          <w:highlight w:val="none"/>
          <w:lang w:eastAsia="zh-CN"/>
        </w:rPr>
        <w:t>响应报价</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采购项目最高限价×45%；</w:t>
      </w:r>
    </w:p>
    <w:p w14:paraId="4A7A08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基于专业判断，认为供应商报价过低，有可能影响产品质量或者不能诚信履约的其他情形。</w:t>
      </w:r>
    </w:p>
    <w:p w14:paraId="5BA4D5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3.6.6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35分钟。其中，属于第3项情形，供应商已随投标（响应）文件一并提交相关书面说明及必要的证明材料的，在评审现场可不再重复提交。</w:t>
      </w:r>
    </w:p>
    <w:p w14:paraId="362F00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3.6.7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39F2C42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8</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评分：对</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进行</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得分计算，计算方法详见评审办法前附表。</w:t>
      </w:r>
    </w:p>
    <w:p w14:paraId="58EE20D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汇总评分结果，评分分值计算保留小数点后两位，小数点后第三位“四舍五入”。</w:t>
      </w:r>
    </w:p>
    <w:p w14:paraId="79DF424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详细评审工作全部结束后，供应商总得分排序按照以下原则进行。</w:t>
      </w:r>
    </w:p>
    <w:p w14:paraId="36E1232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.1按照总得分由高到低顺序对供应商进行排序；</w:t>
      </w:r>
    </w:p>
    <w:p w14:paraId="69B4E81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.2总得分相同时报价低的供应商排序靠前；</w:t>
      </w:r>
    </w:p>
    <w:p w14:paraId="6474715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.3总得分相同</w:t>
      </w:r>
      <w:r>
        <w:rPr>
          <w:rFonts w:hint="eastAsia" w:ascii="仿宋" w:hAnsi="仿宋" w:eastAsia="仿宋" w:cs="仿宋"/>
          <w:color w:val="auto"/>
          <w:kern w:val="0"/>
          <w:sz w:val="24"/>
          <w:szCs w:val="24"/>
          <w:highlight w:val="none"/>
        </w:rPr>
        <w:t>且报价相同</w:t>
      </w:r>
      <w:r>
        <w:rPr>
          <w:rFonts w:hint="eastAsia" w:ascii="仿宋" w:hAnsi="仿宋" w:eastAsia="仿宋" w:cs="仿宋"/>
          <w:color w:val="auto"/>
          <w:kern w:val="0"/>
          <w:sz w:val="24"/>
          <w:szCs w:val="24"/>
          <w:highlight w:val="none"/>
          <w:shd w:val="clear" w:color="auto" w:fill="FFFFFF" w:themeFill="background1"/>
        </w:rPr>
        <w:t>的供应商，</w:t>
      </w:r>
      <w:r>
        <w:rPr>
          <w:rFonts w:hint="eastAsia" w:ascii="仿宋" w:hAnsi="仿宋" w:eastAsia="仿宋" w:cs="仿宋"/>
          <w:color w:val="auto"/>
          <w:kern w:val="0"/>
          <w:sz w:val="24"/>
          <w:szCs w:val="24"/>
          <w:highlight w:val="none"/>
        </w:rPr>
        <w:t>采取随机抽取方式确定排序顺序。</w:t>
      </w:r>
    </w:p>
    <w:p w14:paraId="6574018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3.7推荐成交候选人及提交评审报告</w:t>
      </w:r>
    </w:p>
    <w:p w14:paraId="1DE034C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3.7.1磋商小组推荐成交候选人，总得分排序第一的供应商将被确定为第一成交候选人，以此类推确定出规定数量</w:t>
      </w:r>
      <w:r>
        <w:rPr>
          <w:rFonts w:hint="eastAsia" w:ascii="仿宋" w:hAnsi="仿宋" w:eastAsia="仿宋" w:cs="仿宋"/>
          <w:color w:val="auto"/>
          <w:kern w:val="0"/>
          <w:sz w:val="24"/>
          <w:szCs w:val="24"/>
          <w:highlight w:val="none"/>
          <w:shd w:val="clear" w:color="auto" w:fill="FFFFFF" w:themeFill="background1"/>
          <w:lang w:eastAsia="zh-CN"/>
        </w:rPr>
        <w:t>的</w:t>
      </w:r>
      <w:r>
        <w:rPr>
          <w:rFonts w:hint="eastAsia" w:ascii="仿宋" w:hAnsi="仿宋" w:eastAsia="仿宋" w:cs="仿宋"/>
          <w:color w:val="auto"/>
          <w:kern w:val="0"/>
          <w:sz w:val="24"/>
          <w:szCs w:val="24"/>
          <w:highlight w:val="none"/>
          <w:shd w:val="clear" w:color="auto" w:fill="FFFFFF" w:themeFill="background1"/>
        </w:rPr>
        <w:t>成交候选人。</w:t>
      </w:r>
    </w:p>
    <w:p w14:paraId="7CBF67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3.7.2当通过了资格审查、完备性及符合性审查后，供应商少于3个时，采购人应当依法重新</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w:t>
      </w:r>
    </w:p>
    <w:p w14:paraId="12F6A73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3.7.3磋商小组完成评审后，应当向采购人提交书面评审报告。</w:t>
      </w:r>
    </w:p>
    <w:p w14:paraId="52685A7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 特殊情况的处置程序</w:t>
      </w:r>
    </w:p>
    <w:p w14:paraId="1F12430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3.8.1关于评审活动暂停</w:t>
      </w:r>
    </w:p>
    <w:p w14:paraId="4517FE2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应当执行连续评审的原则，按评审办法中规定的程序、内容、方法、标准完成全部评审工作。只有发生不可抗力导致评审工作无法继续时，评审活动方可暂停。发生评审暂停情况时，应当封存全部响应文件和评审记录，待不可抗力的影响结束且具备继续评审的条件时，由原磋商小组继续评审。</w:t>
      </w:r>
    </w:p>
    <w:p w14:paraId="6B514F0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3.8.2关于评审中途更换评审专家</w:t>
      </w:r>
    </w:p>
    <w:p w14:paraId="469C8EF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3.8.2.1除非发生下列情况之一，磋商小组成员不得在评审中途更换：</w:t>
      </w:r>
    </w:p>
    <w:p w14:paraId="3565AC4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（1）因不可抗拒的客观原因，不能到场或需在评审中途退出评审活动。</w:t>
      </w:r>
    </w:p>
    <w:p w14:paraId="02ACCB6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（2）根据法律法规规定，某个或某几个磋商小组成员需要回避。</w:t>
      </w:r>
    </w:p>
    <w:p w14:paraId="4684865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3.8.2.2退出评审的磋商小组成员，其已完成的评审行为无效，由更换的评审专家进行评审。</w:t>
      </w:r>
    </w:p>
    <w:p w14:paraId="1212DD4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3.8.3在评审环节中，需磋商小组就某项定性的评审结论做出表决的，由磋商小组全体成员按照少数服从多数的原则确定。</w:t>
      </w:r>
    </w:p>
    <w:p w14:paraId="7275AC7C">
      <w:pPr>
        <w:widowControl/>
        <w:spacing w:line="360" w:lineRule="auto"/>
        <w:jc w:val="left"/>
        <w:rPr>
          <w:rFonts w:hint="eastAsia" w:ascii="仿宋" w:hAnsi="仿宋" w:eastAsia="仿宋" w:cs="仿宋"/>
          <w:b/>
          <w:color w:val="auto"/>
          <w:sz w:val="24"/>
          <w:szCs w:val="24"/>
          <w:highlight w:val="none"/>
          <w:shd w:val="clear" w:color="auto" w:fill="FFFFFF" w:themeFill="background1"/>
        </w:rPr>
      </w:pPr>
      <w:bookmarkStart w:id="34" w:name="_Toc485312286"/>
      <w:r>
        <w:rPr>
          <w:rFonts w:hint="eastAsia" w:ascii="仿宋" w:hAnsi="仿宋" w:eastAsia="仿宋" w:cs="仿宋"/>
          <w:b/>
          <w:color w:val="auto"/>
          <w:sz w:val="24"/>
          <w:szCs w:val="24"/>
          <w:highlight w:val="none"/>
          <w:shd w:val="clear" w:color="auto" w:fill="FFFFFF" w:themeFill="background1"/>
        </w:rPr>
        <w:br w:type="page"/>
      </w:r>
    </w:p>
    <w:p w14:paraId="0FA33D26">
      <w:pPr>
        <w:spacing w:line="360" w:lineRule="auto"/>
        <w:jc w:val="center"/>
        <w:outlineLvl w:val="9"/>
        <w:rPr>
          <w:rFonts w:hint="eastAsia" w:ascii="仿宋" w:hAnsi="仿宋" w:eastAsia="仿宋" w:cs="仿宋"/>
          <w:b w:val="0"/>
          <w:bCs/>
          <w:color w:val="auto"/>
          <w:sz w:val="36"/>
          <w:szCs w:val="36"/>
          <w:highlight w:val="none"/>
          <w:shd w:val="clear" w:color="auto" w:fill="FFFFFF" w:themeFill="background1"/>
        </w:rPr>
      </w:pPr>
      <w:r>
        <w:rPr>
          <w:rFonts w:hint="eastAsia" w:ascii="仿宋" w:hAnsi="仿宋" w:eastAsia="仿宋" w:cs="仿宋"/>
          <w:b w:val="0"/>
          <w:bCs/>
          <w:color w:val="auto"/>
          <w:sz w:val="36"/>
          <w:szCs w:val="36"/>
          <w:highlight w:val="none"/>
          <w:shd w:val="clear" w:color="auto" w:fill="FFFFFF" w:themeFill="background1"/>
        </w:rPr>
        <w:t>问题澄清通知</w:t>
      </w:r>
    </w:p>
    <w:p w14:paraId="24A4A0AB">
      <w:pPr>
        <w:spacing w:line="360" w:lineRule="auto"/>
        <w:outlineLvl w:val="9"/>
        <w:rPr>
          <w:rFonts w:hint="eastAsia" w:ascii="仿宋" w:hAnsi="仿宋" w:eastAsia="仿宋" w:cs="仿宋"/>
          <w:color w:val="auto"/>
          <w:sz w:val="24"/>
          <w:szCs w:val="24"/>
          <w:highlight w:val="none"/>
          <w:shd w:val="clear" w:color="auto" w:fill="FFFFFF" w:themeFill="background1"/>
        </w:rPr>
      </w:pPr>
    </w:p>
    <w:p w14:paraId="3CDEAB0C">
      <w:pPr>
        <w:spacing w:line="360" w:lineRule="auto"/>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（供应商名称）：</w:t>
      </w:r>
    </w:p>
    <w:p w14:paraId="43F9FB6A">
      <w:pPr>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（采购项目名称）</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的磋商小组，对你方的响应文件进行了仔细的审查，现需你方对本通知所附质疑问卷中的问题以书面形式予以澄清、说明或者补正。</w:t>
      </w:r>
    </w:p>
    <w:p w14:paraId="1DB3CD00">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质疑问题：</w:t>
      </w:r>
    </w:p>
    <w:p w14:paraId="66B6287D">
      <w:pPr>
        <w:spacing w:line="360" w:lineRule="auto"/>
        <w:rPr>
          <w:rFonts w:hint="eastAsia" w:ascii="仿宋" w:hAnsi="仿宋" w:eastAsia="仿宋" w:cs="仿宋"/>
          <w:color w:val="auto"/>
          <w:kern w:val="0"/>
          <w:sz w:val="24"/>
          <w:szCs w:val="24"/>
          <w:highlight w:val="none"/>
          <w:shd w:val="clear" w:color="auto" w:fill="FFFFFF" w:themeFill="background1"/>
        </w:rPr>
      </w:pPr>
    </w:p>
    <w:p w14:paraId="612A90D3">
      <w:pPr>
        <w:spacing w:line="360" w:lineRule="auto"/>
        <w:rPr>
          <w:rFonts w:hint="eastAsia" w:ascii="仿宋" w:hAnsi="仿宋" w:eastAsia="仿宋" w:cs="仿宋"/>
          <w:color w:val="auto"/>
          <w:kern w:val="0"/>
          <w:sz w:val="24"/>
          <w:szCs w:val="24"/>
          <w:highlight w:val="none"/>
          <w:shd w:val="clear" w:color="auto" w:fill="FFFFFF" w:themeFill="background1"/>
        </w:rPr>
      </w:pPr>
    </w:p>
    <w:p w14:paraId="2B9B9385">
      <w:pPr>
        <w:spacing w:line="360" w:lineRule="auto"/>
        <w:rPr>
          <w:rFonts w:hint="eastAsia" w:ascii="仿宋" w:hAnsi="仿宋" w:eastAsia="仿宋" w:cs="仿宋"/>
          <w:color w:val="auto"/>
          <w:kern w:val="0"/>
          <w:sz w:val="24"/>
          <w:szCs w:val="24"/>
          <w:highlight w:val="none"/>
          <w:shd w:val="clear" w:color="auto" w:fill="FFFFFF" w:themeFill="background1"/>
        </w:rPr>
      </w:pPr>
    </w:p>
    <w:p w14:paraId="4DE6DF67">
      <w:pPr>
        <w:spacing w:line="360" w:lineRule="auto"/>
        <w:rPr>
          <w:rFonts w:hint="eastAsia" w:ascii="仿宋" w:hAnsi="仿宋" w:eastAsia="仿宋" w:cs="仿宋"/>
          <w:color w:val="auto"/>
          <w:kern w:val="0"/>
          <w:sz w:val="24"/>
          <w:szCs w:val="24"/>
          <w:highlight w:val="none"/>
          <w:shd w:val="clear" w:color="auto" w:fill="FFFFFF" w:themeFill="background1"/>
        </w:rPr>
      </w:pPr>
    </w:p>
    <w:p w14:paraId="15314702">
      <w:pPr>
        <w:spacing w:line="360" w:lineRule="auto"/>
        <w:rPr>
          <w:rFonts w:hint="eastAsia" w:ascii="仿宋" w:hAnsi="仿宋" w:eastAsia="仿宋" w:cs="仿宋"/>
          <w:color w:val="auto"/>
          <w:kern w:val="0"/>
          <w:sz w:val="24"/>
          <w:szCs w:val="24"/>
          <w:highlight w:val="none"/>
          <w:shd w:val="clear" w:color="auto" w:fill="FFFFFF" w:themeFill="background1"/>
        </w:rPr>
      </w:pPr>
    </w:p>
    <w:p w14:paraId="5FC13D46">
      <w:pPr>
        <w:spacing w:line="360" w:lineRule="auto"/>
        <w:rPr>
          <w:rFonts w:hint="eastAsia" w:ascii="仿宋" w:hAnsi="仿宋" w:eastAsia="仿宋" w:cs="仿宋"/>
          <w:color w:val="auto"/>
          <w:kern w:val="0"/>
          <w:sz w:val="24"/>
          <w:szCs w:val="24"/>
          <w:highlight w:val="none"/>
          <w:shd w:val="clear" w:color="auto" w:fill="FFFFFF" w:themeFill="background1"/>
        </w:rPr>
      </w:pPr>
    </w:p>
    <w:p w14:paraId="16CE3047">
      <w:pPr>
        <w:spacing w:line="360" w:lineRule="auto"/>
        <w:rPr>
          <w:rFonts w:hint="eastAsia" w:ascii="仿宋" w:hAnsi="仿宋" w:eastAsia="仿宋" w:cs="仿宋"/>
          <w:color w:val="auto"/>
          <w:kern w:val="0"/>
          <w:sz w:val="24"/>
          <w:szCs w:val="24"/>
          <w:highlight w:val="none"/>
          <w:shd w:val="clear" w:color="auto" w:fill="FFFFFF" w:themeFill="background1"/>
        </w:rPr>
      </w:pPr>
    </w:p>
    <w:p w14:paraId="19765679">
      <w:pPr>
        <w:spacing w:line="360" w:lineRule="auto"/>
        <w:rPr>
          <w:rFonts w:hint="eastAsia" w:ascii="仿宋" w:hAnsi="仿宋" w:eastAsia="仿宋" w:cs="仿宋"/>
          <w:color w:val="auto"/>
          <w:kern w:val="0"/>
          <w:sz w:val="24"/>
          <w:szCs w:val="24"/>
          <w:highlight w:val="none"/>
          <w:shd w:val="clear" w:color="auto" w:fill="FFFFFF" w:themeFill="background1"/>
        </w:rPr>
      </w:pPr>
    </w:p>
    <w:p w14:paraId="75D80367">
      <w:pPr>
        <w:spacing w:line="360" w:lineRule="auto"/>
        <w:rPr>
          <w:rFonts w:hint="eastAsia" w:ascii="仿宋" w:hAnsi="仿宋" w:eastAsia="仿宋" w:cs="仿宋"/>
          <w:color w:val="auto"/>
          <w:kern w:val="0"/>
          <w:sz w:val="24"/>
          <w:szCs w:val="24"/>
          <w:highlight w:val="none"/>
          <w:shd w:val="clear" w:color="auto" w:fill="FFFFFF" w:themeFill="background1"/>
        </w:rPr>
      </w:pPr>
    </w:p>
    <w:p w14:paraId="34025378">
      <w:pPr>
        <w:spacing w:line="360" w:lineRule="auto"/>
        <w:rPr>
          <w:rFonts w:hint="eastAsia" w:ascii="仿宋" w:hAnsi="仿宋" w:eastAsia="仿宋" w:cs="仿宋"/>
          <w:color w:val="auto"/>
          <w:kern w:val="0"/>
          <w:sz w:val="24"/>
          <w:szCs w:val="24"/>
          <w:highlight w:val="none"/>
          <w:shd w:val="clear" w:color="auto" w:fill="FFFFFF" w:themeFill="background1"/>
        </w:rPr>
      </w:pPr>
    </w:p>
    <w:p w14:paraId="03DA2750">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磋商小组成员（签字）：</w:t>
      </w:r>
    </w:p>
    <w:p w14:paraId="0D811D1B">
      <w:pPr>
        <w:spacing w:line="360" w:lineRule="auto"/>
        <w:rPr>
          <w:rFonts w:hint="eastAsia" w:ascii="仿宋" w:hAnsi="仿宋" w:eastAsia="仿宋" w:cs="仿宋"/>
          <w:color w:val="auto"/>
          <w:kern w:val="0"/>
          <w:sz w:val="24"/>
          <w:szCs w:val="24"/>
          <w:highlight w:val="none"/>
          <w:shd w:val="clear" w:color="auto" w:fill="FFFFFF" w:themeFill="background1"/>
        </w:rPr>
      </w:pPr>
    </w:p>
    <w:p w14:paraId="3C0573DC">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    年    月    日</w:t>
      </w:r>
    </w:p>
    <w:p w14:paraId="71563130">
      <w:pPr>
        <w:spacing w:line="360" w:lineRule="auto"/>
        <w:jc w:val="center"/>
        <w:outlineLvl w:val="9"/>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r>
        <w:rPr>
          <w:rFonts w:hint="eastAsia" w:ascii="仿宋" w:hAnsi="仿宋" w:eastAsia="仿宋" w:cs="仿宋"/>
          <w:b w:val="0"/>
          <w:bCs/>
          <w:color w:val="auto"/>
          <w:sz w:val="36"/>
          <w:szCs w:val="36"/>
          <w:highlight w:val="none"/>
          <w:shd w:val="clear" w:color="auto" w:fill="FFFFFF" w:themeFill="background1"/>
        </w:rPr>
        <w:t>问题的澄清、说明或补正</w:t>
      </w:r>
    </w:p>
    <w:p w14:paraId="795FF43B">
      <w:pPr>
        <w:spacing w:line="360" w:lineRule="auto"/>
        <w:outlineLvl w:val="9"/>
        <w:rPr>
          <w:rFonts w:hint="eastAsia" w:ascii="仿宋" w:hAnsi="仿宋" w:eastAsia="仿宋" w:cs="仿宋"/>
          <w:color w:val="auto"/>
          <w:kern w:val="0"/>
          <w:sz w:val="24"/>
          <w:szCs w:val="24"/>
          <w:highlight w:val="none"/>
          <w:shd w:val="clear" w:color="auto" w:fill="FFFFFF" w:themeFill="background1"/>
        </w:rPr>
      </w:pPr>
    </w:p>
    <w:p w14:paraId="013E5D7E">
      <w:pPr>
        <w:spacing w:line="360" w:lineRule="auto"/>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w:t>
      </w:r>
    </w:p>
    <w:p w14:paraId="0891D862">
      <w:pPr>
        <w:spacing w:line="360" w:lineRule="auto"/>
        <w:ind w:firstLine="480" w:firstLineChars="200"/>
        <w:outlineLvl w:val="9"/>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（采购项目名称）的问题澄清通知已收悉，现澄清、说明或者补正如下：</w:t>
      </w:r>
    </w:p>
    <w:p w14:paraId="513B454A">
      <w:pPr>
        <w:spacing w:line="360" w:lineRule="auto"/>
        <w:outlineLvl w:val="9"/>
        <w:rPr>
          <w:rFonts w:hint="eastAsia" w:ascii="仿宋" w:hAnsi="仿宋" w:eastAsia="仿宋" w:cs="仿宋"/>
          <w:color w:val="auto"/>
          <w:kern w:val="0"/>
          <w:sz w:val="24"/>
          <w:szCs w:val="24"/>
          <w:highlight w:val="none"/>
          <w:shd w:val="clear" w:color="auto" w:fill="FFFFFF" w:themeFill="background1"/>
        </w:rPr>
      </w:pPr>
    </w:p>
    <w:p w14:paraId="31CDAEAB">
      <w:pPr>
        <w:spacing w:line="360" w:lineRule="auto"/>
        <w:outlineLvl w:val="9"/>
        <w:rPr>
          <w:rFonts w:hint="eastAsia" w:ascii="仿宋" w:hAnsi="仿宋" w:eastAsia="仿宋" w:cs="仿宋"/>
          <w:color w:val="auto"/>
          <w:kern w:val="0"/>
          <w:sz w:val="24"/>
          <w:szCs w:val="24"/>
          <w:highlight w:val="none"/>
          <w:shd w:val="clear" w:color="auto" w:fill="FFFFFF" w:themeFill="background1"/>
        </w:rPr>
      </w:pPr>
    </w:p>
    <w:p w14:paraId="30F0FC98">
      <w:pPr>
        <w:spacing w:line="360" w:lineRule="auto"/>
        <w:outlineLvl w:val="9"/>
        <w:rPr>
          <w:rFonts w:hint="eastAsia" w:ascii="仿宋" w:hAnsi="仿宋" w:eastAsia="仿宋" w:cs="仿宋"/>
          <w:color w:val="auto"/>
          <w:kern w:val="0"/>
          <w:sz w:val="24"/>
          <w:szCs w:val="24"/>
          <w:highlight w:val="none"/>
          <w:shd w:val="clear" w:color="auto" w:fill="FFFFFF" w:themeFill="background1"/>
        </w:rPr>
      </w:pPr>
    </w:p>
    <w:p w14:paraId="36D1BFA9">
      <w:pPr>
        <w:spacing w:line="360" w:lineRule="auto"/>
        <w:outlineLvl w:val="9"/>
        <w:rPr>
          <w:rFonts w:hint="eastAsia" w:ascii="仿宋" w:hAnsi="仿宋" w:eastAsia="仿宋" w:cs="仿宋"/>
          <w:color w:val="auto"/>
          <w:kern w:val="0"/>
          <w:sz w:val="24"/>
          <w:szCs w:val="24"/>
          <w:highlight w:val="none"/>
          <w:shd w:val="clear" w:color="auto" w:fill="FFFFFF" w:themeFill="background1"/>
        </w:rPr>
      </w:pPr>
    </w:p>
    <w:p w14:paraId="675E3224">
      <w:pPr>
        <w:spacing w:line="360" w:lineRule="auto"/>
        <w:rPr>
          <w:rFonts w:hint="eastAsia" w:ascii="仿宋" w:hAnsi="仿宋" w:eastAsia="仿宋" w:cs="仿宋"/>
          <w:color w:val="auto"/>
          <w:kern w:val="0"/>
          <w:sz w:val="24"/>
          <w:szCs w:val="24"/>
          <w:highlight w:val="none"/>
          <w:shd w:val="clear" w:color="auto" w:fill="FFFFFF" w:themeFill="background1"/>
        </w:rPr>
      </w:pPr>
    </w:p>
    <w:p w14:paraId="3521B9F9">
      <w:pPr>
        <w:spacing w:line="360" w:lineRule="auto"/>
        <w:rPr>
          <w:rFonts w:hint="eastAsia" w:ascii="仿宋" w:hAnsi="仿宋" w:eastAsia="仿宋" w:cs="仿宋"/>
          <w:color w:val="auto"/>
          <w:kern w:val="0"/>
          <w:sz w:val="24"/>
          <w:szCs w:val="24"/>
          <w:highlight w:val="none"/>
          <w:shd w:val="clear" w:color="auto" w:fill="FFFFFF" w:themeFill="background1"/>
        </w:rPr>
      </w:pPr>
    </w:p>
    <w:p w14:paraId="5E106A18">
      <w:pPr>
        <w:spacing w:line="360" w:lineRule="auto"/>
        <w:rPr>
          <w:rFonts w:hint="eastAsia" w:ascii="仿宋" w:hAnsi="仿宋" w:eastAsia="仿宋" w:cs="仿宋"/>
          <w:color w:val="auto"/>
          <w:kern w:val="0"/>
          <w:sz w:val="24"/>
          <w:szCs w:val="24"/>
          <w:highlight w:val="none"/>
          <w:shd w:val="clear" w:color="auto" w:fill="FFFFFF" w:themeFill="background1"/>
        </w:rPr>
      </w:pPr>
    </w:p>
    <w:p w14:paraId="674988AE">
      <w:pPr>
        <w:spacing w:line="360" w:lineRule="auto"/>
        <w:rPr>
          <w:rFonts w:hint="eastAsia" w:ascii="仿宋" w:hAnsi="仿宋" w:eastAsia="仿宋" w:cs="仿宋"/>
          <w:color w:val="auto"/>
          <w:kern w:val="0"/>
          <w:sz w:val="24"/>
          <w:szCs w:val="24"/>
          <w:highlight w:val="none"/>
          <w:shd w:val="clear" w:color="auto" w:fill="FFFFFF" w:themeFill="background1"/>
        </w:rPr>
      </w:pPr>
    </w:p>
    <w:p w14:paraId="5D32AFC2">
      <w:pPr>
        <w:spacing w:line="360" w:lineRule="auto"/>
        <w:rPr>
          <w:rFonts w:hint="eastAsia" w:ascii="仿宋" w:hAnsi="仿宋" w:eastAsia="仿宋" w:cs="仿宋"/>
          <w:color w:val="auto"/>
          <w:kern w:val="0"/>
          <w:sz w:val="24"/>
          <w:szCs w:val="24"/>
          <w:highlight w:val="none"/>
          <w:shd w:val="clear" w:color="auto" w:fill="FFFFFF" w:themeFill="background1"/>
        </w:rPr>
      </w:pPr>
    </w:p>
    <w:p w14:paraId="507F6784">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法定代表人或其授权委托人（签字）：</w:t>
      </w:r>
    </w:p>
    <w:p w14:paraId="72C1E1F1">
      <w:pPr>
        <w:spacing w:line="360" w:lineRule="auto"/>
        <w:rPr>
          <w:rFonts w:hint="eastAsia" w:ascii="仿宋" w:hAnsi="仿宋" w:eastAsia="仿宋" w:cs="仿宋"/>
          <w:color w:val="auto"/>
          <w:kern w:val="0"/>
          <w:sz w:val="24"/>
          <w:szCs w:val="24"/>
          <w:highlight w:val="none"/>
          <w:shd w:val="clear" w:color="auto" w:fill="FFFFFF" w:themeFill="background1"/>
        </w:rPr>
      </w:pPr>
    </w:p>
    <w:p w14:paraId="505C390C">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    年    月    日</w:t>
      </w:r>
    </w:p>
    <w:p w14:paraId="19A757EE">
      <w:pPr>
        <w:spacing w:line="360" w:lineRule="auto"/>
        <w:jc w:val="center"/>
        <w:outlineLvl w:val="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themeFill="background1"/>
        </w:rPr>
        <w:br w:type="page"/>
      </w:r>
      <w:bookmarkEnd w:id="34"/>
      <w:bookmarkStart w:id="35" w:name="_Toc38446459"/>
      <w:bookmarkStart w:id="36" w:name="_Toc507586162"/>
      <w:bookmarkStart w:id="37" w:name="_Toc4967"/>
      <w:r>
        <w:rPr>
          <w:rFonts w:hint="eastAsia" w:ascii="仿宋" w:hAnsi="仿宋" w:eastAsia="仿宋" w:cs="仿宋"/>
          <w:b w:val="0"/>
          <w:bCs/>
          <w:color w:val="auto"/>
          <w:sz w:val="36"/>
          <w:szCs w:val="36"/>
          <w:highlight w:val="none"/>
          <w:shd w:val="clear" w:color="auto" w:fill="FFFFFF" w:themeFill="background1"/>
        </w:rPr>
        <w:t xml:space="preserve">第三章 </w:t>
      </w:r>
      <w:bookmarkEnd w:id="35"/>
      <w:bookmarkEnd w:id="36"/>
      <w:r>
        <w:rPr>
          <w:rFonts w:hint="eastAsia" w:ascii="仿宋" w:hAnsi="仿宋" w:eastAsia="仿宋" w:cs="仿宋"/>
          <w:b w:val="0"/>
          <w:bCs/>
          <w:color w:val="auto"/>
          <w:sz w:val="36"/>
          <w:szCs w:val="36"/>
          <w:highlight w:val="none"/>
          <w:shd w:val="clear" w:color="auto" w:fill="FFFFFF" w:themeFill="background1"/>
        </w:rPr>
        <w:t>合同文本</w:t>
      </w:r>
      <w:bookmarkEnd w:id="37"/>
    </w:p>
    <w:p w14:paraId="68530622">
      <w:pPr>
        <w:jc w:val="center"/>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注：本合同文本供参考，具体内容以双方签订的为准。</w:t>
      </w:r>
    </w:p>
    <w:p w14:paraId="6F3985E1">
      <w:pPr>
        <w:jc w:val="center"/>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外文</w:t>
      </w:r>
      <w:r>
        <w:rPr>
          <w:rFonts w:hint="eastAsia" w:ascii="仿宋" w:hAnsi="仿宋" w:eastAsia="仿宋" w:cs="仿宋"/>
          <w:sz w:val="24"/>
          <w:szCs w:val="24"/>
          <w:highlight w:val="none"/>
        </w:rPr>
        <w:t>数据库服务合同</w:t>
      </w:r>
    </w:p>
    <w:p w14:paraId="50104E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p w14:paraId="5B5FD7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w:t>
      </w:r>
      <w:r>
        <w:rPr>
          <w:rFonts w:hint="eastAsia" w:ascii="仿宋" w:hAnsi="仿宋" w:eastAsia="仿宋" w:cs="仿宋"/>
          <w:color w:val="auto"/>
          <w:sz w:val="24"/>
          <w:szCs w:val="24"/>
          <w:highlight w:val="none"/>
          <w:lang w:val="en-US" w:eastAsia="zh-CN"/>
        </w:rPr>
        <w:t xml:space="preserve"> 方： </w:t>
      </w:r>
    </w:p>
    <w:p w14:paraId="06B6D43C">
      <w:pPr>
        <w:keepNext w:val="0"/>
        <w:keepLines w:val="0"/>
        <w:pageBreakBefore w:val="0"/>
        <w:widowControl w:val="0"/>
        <w:tabs>
          <w:tab w:val="center" w:pos="4153"/>
        </w:tabs>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乙 方：</w:t>
      </w:r>
    </w:p>
    <w:p w14:paraId="7EEA4B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甲乙双方本着平等自愿、诚实信用的原则，根据《中华人民共和国民法典》等法律、法规规定，就乙方向甲方提供数据库的供货及相关服务，经甲、乙双方协商一致，签订本合同，共同遵守如下条款： </w:t>
      </w:r>
    </w:p>
    <w:p w14:paraId="703A13C2">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第一条 产品名称、使用期限 </w:t>
      </w:r>
    </w:p>
    <w:p w14:paraId="1CFA6879">
      <w:pPr>
        <w:spacing w:line="360" w:lineRule="auto"/>
        <w:ind w:left="479" w:leftChars="228" w:firstLine="0" w:firstLine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1、产品名称：</w:t>
      </w:r>
    </w:p>
    <w:p w14:paraId="145549B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2、使用期限： </w:t>
      </w:r>
    </w:p>
    <w:p w14:paraId="15FA15A3">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3、使用载体形式：</w:t>
      </w:r>
    </w:p>
    <w:p w14:paraId="75CCC9F0">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4、用户类型：</w:t>
      </w:r>
    </w:p>
    <w:p w14:paraId="72BA594F">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第二条 服务收费标准及支付方式 </w:t>
      </w:r>
    </w:p>
    <w:p w14:paraId="7D2F4FD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1、本合同产品：</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元</w:t>
      </w:r>
      <w:r>
        <w:rPr>
          <w:rFonts w:hint="eastAsia" w:ascii="仿宋" w:hAnsi="仿宋" w:eastAsia="仿宋" w:cs="仿宋"/>
          <w:color w:val="auto"/>
          <w:sz w:val="24"/>
          <w:szCs w:val="24"/>
          <w:highlight w:val="none"/>
        </w:rPr>
        <w:t>，大写人民币</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元整</w:t>
      </w:r>
      <w:r>
        <w:rPr>
          <w:rFonts w:hint="eastAsia" w:ascii="仿宋" w:hAnsi="仿宋" w:eastAsia="仿宋" w:cs="仿宋"/>
          <w:color w:val="auto"/>
          <w:sz w:val="24"/>
          <w:szCs w:val="24"/>
          <w:highlight w:val="none"/>
        </w:rPr>
        <w:t>。</w:t>
      </w:r>
    </w:p>
    <w:p w14:paraId="4E804707">
      <w:pPr>
        <w:tabs>
          <w:tab w:val="left" w:pos="9000"/>
        </w:tabs>
        <w:spacing w:line="360" w:lineRule="auto"/>
        <w:ind w:left="-420" w:leftChars="-200" w:right="-630" w:rightChars="-300" w:firstLine="960" w:firstLineChars="4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2、本合同金额包含出版商/数据库服务提供商须要收取的一切费用、进口代理费、银行费用、报关费、商检费、税费等相关费用，</w:t>
      </w:r>
      <w:r>
        <w:rPr>
          <w:rFonts w:hint="eastAsia" w:ascii="仿宋" w:hAnsi="仿宋" w:eastAsia="仿宋" w:cs="仿宋"/>
          <w:color w:val="auto"/>
          <w:sz w:val="24"/>
          <w:szCs w:val="24"/>
          <w:highlight w:val="none"/>
          <w:lang w:val="en-US" w:eastAsia="zh-CN"/>
        </w:rPr>
        <w:t>乙方不再就其提供的服务向甲方收取除上述总费用之外的任何其他费用。</w:t>
      </w:r>
    </w:p>
    <w:p w14:paraId="2D78F8D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3、乙方为甲方开通数据库服务后，甲方经验收通过后应将上述人民币款</w:t>
      </w:r>
      <w:r>
        <w:rPr>
          <w:rFonts w:hint="eastAsia" w:ascii="仿宋" w:hAnsi="仿宋" w:eastAsia="仿宋" w:cs="仿宋"/>
          <w:color w:val="auto"/>
          <w:sz w:val="24"/>
          <w:szCs w:val="24"/>
          <w:highlight w:val="none"/>
          <w:lang w:val="en-US" w:eastAsia="zh-CN"/>
        </w:rPr>
        <w:t>于  年  月  日前以支票或电汇方式一次性汇至</w:t>
      </w:r>
      <w:r>
        <w:rPr>
          <w:rFonts w:hint="eastAsia" w:ascii="仿宋" w:hAnsi="仿宋" w:eastAsia="仿宋" w:cs="仿宋"/>
          <w:color w:val="auto"/>
          <w:sz w:val="24"/>
          <w:szCs w:val="24"/>
          <w:highlight w:val="none"/>
        </w:rPr>
        <w:t xml:space="preserve">乙方指定银行账号，为方便甲方支付，订单以人民币结算。 </w:t>
      </w:r>
    </w:p>
    <w:p w14:paraId="61B1989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4、甲方付款前，乙方应当提供符合甲方财务做账需求的合格增值税普通发票，并经过甲方财务流程后支付，否则甲方有权不予支付且不承担任何违约责任。 </w:t>
      </w:r>
    </w:p>
    <w:p w14:paraId="73236D2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乙方账户信息如下： </w:t>
      </w:r>
    </w:p>
    <w:p w14:paraId="10AE838D">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开户名称：</w:t>
      </w:r>
    </w:p>
    <w:p w14:paraId="504E5BE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 户 行：</w:t>
      </w:r>
    </w:p>
    <w:p w14:paraId="330669B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w:t>
      </w:r>
    </w:p>
    <w:p w14:paraId="5DD1BB2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行 号： </w:t>
      </w:r>
    </w:p>
    <w:p w14:paraId="176D02E1">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第三条 质量服务标准 </w:t>
      </w:r>
    </w:p>
    <w:p w14:paraId="48BCCC9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必须负责监督和协调，使出版商/数据库服务提供商按行业标准的服务质量提供本合同约定的服务产品，服务质量标准包括但不限于如下内容：乙方应确保该系统数据库能够每周24（小时）*7（天）不间断的正常使用，如服务出现中断或暂停，则须尽快恢复服务。 </w:t>
      </w:r>
    </w:p>
    <w:p w14:paraId="6120EEF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若开通服务后，出版商/数据库服务提供商向甲方提供的服务质量达不到上述标准，则视为乙方违约。 </w:t>
      </w:r>
    </w:p>
    <w:p w14:paraId="5949E53F">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第四条 甲方权利与义务 </w:t>
      </w:r>
    </w:p>
    <w:p w14:paraId="06A27AE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1、合同约定使用期限内，甲方可访问、检索、浏览和查看所订购的产品，以使用为目的打印、下载并储存订购产品中合理部分的单个项目。拥有所订购产品在合理范围内的使用权。 </w:t>
      </w:r>
    </w:p>
    <w:p w14:paraId="733DDDC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2、甲方无权修改、改编、转换、翻译或创造任何衍生产品，或以其他类似方式改变产品的整体性、变更其含义，和/或损害其版权或其他专有权利 </w:t>
      </w:r>
    </w:p>
    <w:p w14:paraId="7F60EE1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遵守知识产权条约，不得从事可能造成任何知识产权无效或与其知识产权相抵触的任何行为。出版社保留从产品中撤回任何其不再享有许可权或其有合理依据认定为违法、有害、诽谤、虚假或侵权的内容。 </w:t>
      </w:r>
    </w:p>
    <w:p w14:paraId="641CE02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4、如非因甲方原因导致数据库开通使用时间延后，则使用截止日期相应延后。 </w:t>
      </w:r>
    </w:p>
    <w:p w14:paraId="69C0DCD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5、甲方应按本合同第二条约定向乙方足额支付合同价款。 </w:t>
      </w:r>
    </w:p>
    <w:p w14:paraId="328B9C07">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第五条 乙方权利与义务 </w:t>
      </w:r>
    </w:p>
    <w:p w14:paraId="613F1EE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1、乙方负责对外与出版商/数据库服务提供商签订技术与服务合同，并负责本合同数据库产品的服务维护与联系工作</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并确保该技术与服务合同条款不损害甲方在本合同项下的权益。 </w:t>
      </w:r>
    </w:p>
    <w:p w14:paraId="2030FCC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2、乙方应及时告知甲方所订购数据库产品和其他服务范围的更新内容，并提供必要的材料，协助售后服务事宜。联系日常服务与技术问题，向客户提供合理且必要的技术和服务支持。 </w:t>
      </w:r>
    </w:p>
    <w:p w14:paraId="7461AB3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3、乙方需保护甲方隐私权，不得将甲方信息转移给任何非关联的第三方。 </w:t>
      </w:r>
    </w:p>
    <w:p w14:paraId="7DEA7C0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4、乙方应保证拥有数据库在中国大陆地区的产品代理权。 </w:t>
      </w:r>
    </w:p>
    <w:p w14:paraId="4BB90B5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甲方在使用过程中，因该数据库版权问题引起的纠纷，由乙方负责与数据库厂商协商解决，乙方确保所有数据符合国家进口要求。乙方严格按合同规定履行向甲方提供数据库的全部责任，确保数据库的连续性和品质，保证提供的数据库未侵犯任何第三方的知识产权或所有权，并不断努力提高服务能力，如因乙方原因造成任何第三方向甲方主张权利的，乙方应自行承担全部责任（包括但不限于赔偿甲方因此遭受的全部损失，含诉讼费、律师费、调查取证费等），并按合同总额的 20% 向甲方支付违约金。 </w:t>
      </w:r>
    </w:p>
    <w:p w14:paraId="75B2E08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6、正式帐户开户后，乙方应在 15 个工作日内向甲方提供相关的使用资料并与甲方协商安排培训。甲方在实际操作过程中如遇到任何问题可以随时向乙方提出咨询，乙方将会同数据库厂商给予及时解答。 </w:t>
      </w:r>
    </w:p>
    <w:p w14:paraId="54C290B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7、乙方中断甲方正常使用数据库时，需提前 3 天告知甲方；非因乙方原因中断甲方正常使用数据库，乙方应在知道后的第一时间告知甲方。</w:t>
      </w:r>
    </w:p>
    <w:p w14:paraId="0BD0E64B">
      <w:pPr>
        <w:keepNext w:val="0"/>
        <w:widowControl w:val="0"/>
        <w:spacing w:line="360" w:lineRule="auto"/>
        <w:ind w:firstLine="482" w:firstLineChars="200"/>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t>8、内容审查、动态监管及问题处置专项义务（新增条款）</w:t>
      </w:r>
    </w:p>
    <w:p w14:paraId="14486C9E">
      <w:pPr>
        <w:widowControl w:val="0"/>
        <w:spacing w:line="360" w:lineRule="auto"/>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乙方为具备合法资质的出版物进出口经营单位，应当依照《出版管理条例》《出版物进口备案管理办法》等法规，对本境外数字文献数据库承担全流程合规主体责任：</w:t>
      </w:r>
    </w:p>
    <w:p w14:paraId="487C0AC5">
      <w:pPr>
        <w:shd w:val="clear"/>
        <w:snapToGrid w:val="0"/>
        <w:spacing w:line="360" w:lineRule="auto"/>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lang w:val="en-US" w:eastAsia="zh-CN" w:bidi="ar-SA"/>
        </w:rPr>
        <w:t>（1）前置内容审查：</w:t>
      </w:r>
      <w:r>
        <w:rPr>
          <w:rFonts w:hint="eastAsia" w:ascii="仿宋" w:hAnsi="仿宋" w:eastAsia="仿宋" w:cs="仿宋"/>
          <w:color w:val="auto"/>
          <w:sz w:val="24"/>
          <w:szCs w:val="24"/>
          <w:highlight w:val="none"/>
          <w:lang w:val="en-US" w:eastAsia="zh-CN" w:bidi="ar-SA"/>
        </w:rPr>
        <w:t>开通数据库前，乙方须完成内容审查，排查危害国家安全、破坏社会稳定、淫秽色情、虚假违法、侵权诽谤等违规内容；未经审查或审查不合格，不得向甲方开放。</w:t>
      </w:r>
    </w:p>
    <w:p w14:paraId="4CFFCBF1">
      <w:pPr>
        <w:shd w:val="clear"/>
        <w:snapToGrid w:val="0"/>
        <w:spacing w:line="360" w:lineRule="auto"/>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lang w:val="en-US" w:eastAsia="zh-CN" w:bidi="ar-SA"/>
        </w:rPr>
        <w:t>（2）常态化动态监管：</w:t>
      </w:r>
      <w:r>
        <w:rPr>
          <w:rFonts w:hint="eastAsia" w:ascii="仿宋" w:hAnsi="仿宋" w:eastAsia="仿宋" w:cs="仿宋"/>
          <w:color w:val="auto"/>
          <w:sz w:val="24"/>
          <w:szCs w:val="24"/>
          <w:highlight w:val="none"/>
          <w:lang w:val="en-US" w:eastAsia="zh-CN" w:bidi="ar-SA"/>
        </w:rPr>
        <w:t>服务期内，乙方建立内容监测与定期复核机制，核查数据库新增、更新内容，监控内容风险，留存审查台账与监测日志，接受甲方及监管部门核查。</w:t>
      </w:r>
    </w:p>
    <w:p w14:paraId="31C0118E">
      <w:pPr>
        <w:shd w:val="clear"/>
        <w:snapToGrid w:val="0"/>
        <w:spacing w:line="360" w:lineRule="auto"/>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lang w:val="en-US" w:eastAsia="zh-CN" w:bidi="ar-SA"/>
        </w:rPr>
        <w:t>（3）违规问题处置：</w:t>
      </w:r>
      <w:r>
        <w:rPr>
          <w:rFonts w:hint="eastAsia" w:ascii="仿宋" w:hAnsi="仿宋" w:eastAsia="仿宋" w:cs="仿宋"/>
          <w:color w:val="auto"/>
          <w:sz w:val="24"/>
          <w:szCs w:val="24"/>
          <w:highlight w:val="none"/>
          <w:lang w:val="en-US" w:eastAsia="zh-CN" w:bidi="ar-SA"/>
        </w:rPr>
        <w:t>发现违规内容、合规风险或收到监管整改通知，乙方立即采取下架、阻断访问等处置措施，24 小时内书面告知甲方，负责对接境外数据库商与监管部门完成整改、报备及复核，消除风险。</w:t>
      </w:r>
    </w:p>
    <w:p w14:paraId="7A089A2D">
      <w:pPr>
        <w:shd w:val="clear"/>
        <w:snapToGrid w:val="0"/>
        <w:spacing w:line="360" w:lineRule="auto"/>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lang w:val="en-US" w:eastAsia="zh-CN" w:bidi="ar-SA"/>
        </w:rPr>
        <w:t>（4）合规责任兜底：</w:t>
      </w:r>
      <w:r>
        <w:rPr>
          <w:rFonts w:hint="eastAsia" w:ascii="仿宋" w:hAnsi="仿宋" w:eastAsia="仿宋" w:cs="仿宋"/>
          <w:color w:val="auto"/>
          <w:sz w:val="24"/>
          <w:szCs w:val="24"/>
          <w:highlight w:val="none"/>
          <w:lang w:val="en-US" w:eastAsia="zh-CN" w:bidi="ar-SA"/>
        </w:rPr>
        <w:t>因乙方未履行上述义务，造成违规内容流入、监管处罚、舆情或甲方损失的，由乙方承担全部法律、行政及经济赔偿责任。</w:t>
      </w:r>
    </w:p>
    <w:p w14:paraId="3BF63CC3">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第六条 </w:t>
      </w:r>
      <w:r>
        <w:rPr>
          <w:rFonts w:hint="eastAsia" w:ascii="仿宋" w:hAnsi="仿宋" w:eastAsia="仿宋" w:cs="仿宋"/>
          <w:b/>
          <w:color w:val="auto"/>
          <w:sz w:val="24"/>
          <w:szCs w:val="24"/>
          <w:highlight w:val="none"/>
          <w:lang w:val="en-US" w:eastAsia="zh-CN"/>
        </w:rPr>
        <w:t>保密义务</w:t>
      </w:r>
      <w:r>
        <w:rPr>
          <w:rFonts w:hint="eastAsia" w:ascii="仿宋" w:hAnsi="仿宋" w:eastAsia="仿宋" w:cs="仿宋"/>
          <w:color w:val="auto"/>
          <w:sz w:val="24"/>
          <w:szCs w:val="24"/>
          <w:highlight w:val="none"/>
        </w:rPr>
        <w:t xml:space="preserve"> </w:t>
      </w:r>
    </w:p>
    <w:p w14:paraId="2B318A0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应对在签订和履行本合同过程中知悉的对方的商业秘密、技术秘密、用户数据及其他未公开信息承担保密义务。未经对方书面同意，任何一方不得向任何第三方披露上述信息，法律法规另有规定或监管机构强制要求的除外。本保密义务在本合同终止后</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年内持续有效。</w:t>
      </w:r>
    </w:p>
    <w:p w14:paraId="7B828AFF">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条 不可抗力</w:t>
      </w:r>
      <w:r>
        <w:rPr>
          <w:rFonts w:hint="eastAsia" w:ascii="仿宋" w:hAnsi="仿宋" w:eastAsia="仿宋" w:cs="仿宋"/>
          <w:color w:val="auto"/>
          <w:sz w:val="24"/>
          <w:szCs w:val="24"/>
          <w:highlight w:val="none"/>
        </w:rPr>
        <w:t xml:space="preserve"> </w:t>
      </w:r>
    </w:p>
    <w:p w14:paraId="51413EE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“不可抗力”是指本协议任何一方不能合理控制、不可预见或即使预见亦无法避免的事件，该事件妨碍、影响或延误任何一方根据本协议履行其全部或部分义务。 如发生不可抗力事件，双方应根据实际情况协商决定是否部分履行、延期履行或终止履行本协议。在乙方部分履行及未届期满终止履行的情形下，乙方应退还未履行部分的服务费。</w:t>
      </w:r>
    </w:p>
    <w:p w14:paraId="79649D08">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 xml:space="preserve">条 违约责任 </w:t>
      </w:r>
    </w:p>
    <w:p w14:paraId="4B3F89F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1、除非双方另有书面约定，若甲方违反本协议第二条，应承担违约责任，但不得超过合同总额的5%。 </w:t>
      </w:r>
    </w:p>
    <w:p w14:paraId="19B0801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2、乙方应确保甲方按合同第一条约定期限正常使用数据库产品服务，如因乙方原因导致出版商/数据库服务提供商未开通或试用期间中止甲方使用权限时，自使用权中止之日起，乙方应每日按总金额的 0.5‰ 承担违约责任</w:t>
      </w:r>
      <w:r>
        <w:rPr>
          <w:rFonts w:hint="eastAsia" w:ascii="仿宋" w:hAnsi="仿宋" w:eastAsia="仿宋" w:cs="仿宋"/>
          <w:color w:val="auto"/>
          <w:sz w:val="24"/>
          <w:szCs w:val="24"/>
          <w:highlight w:val="none"/>
          <w:lang w:eastAsia="zh-CN"/>
        </w:rPr>
        <w:t>。</w:t>
      </w:r>
    </w:p>
    <w:p w14:paraId="44FA240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应确保该系统数据库能够24（小时）*7（天）不间断的正常使用，如服务出现中断或暂停，应在日内恢复正常服务，逾期未恢复的，按日承担合同总额0.5‰的违约金；逾期天仍未恢复数据库正常使用的，甲方有权单方解除合同，乙方应退还已收取的款项，并向甲方承担合同总额20%的违约金。造成甲方损失的，应当赔偿，该损失包括但不限于因此而产生的诉讼费、律师费等相关费用。</w:t>
      </w:r>
    </w:p>
    <w:p w14:paraId="23F13C9C">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5、乙方人员不得违反保密义务将甲方任何资料和相关情况泄露给其他第三人，否则，乙方应按合同总金额的30%支付违约金，并且甲方有权解除合同并追究法律责任。</w:t>
      </w:r>
    </w:p>
    <w:p w14:paraId="7A77EF78">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6、除合同中另有规定或经双方协商同意外，合同所规定双方的任何权利和义务，任何一方在未经征得另一方书面同意之前，不得转让给第三者。任何转让，未经另一方书面明确同意，均属无效。</w:t>
      </w:r>
    </w:p>
    <w:p w14:paraId="09BDA28D">
      <w:pPr>
        <w:widowControl w:val="0"/>
        <w:spacing w:line="360" w:lineRule="auto"/>
        <w:ind w:firstLine="480" w:firstLineChars="200"/>
        <w:rPr>
          <w:rFonts w:hint="eastAsia" w:ascii="仿宋" w:hAnsi="仿宋" w:eastAsia="仿宋" w:cs="仿宋"/>
          <w:color w:val="auto"/>
          <w:kern w:val="2"/>
          <w:sz w:val="24"/>
          <w:szCs w:val="24"/>
          <w:highlight w:val="none"/>
          <w:lang w:val="en-US" w:eastAsia="zh-CN" w:bidi="ar-SA"/>
        </w:rPr>
      </w:pPr>
      <w:r>
        <w:rPr>
          <w:rStyle w:val="46"/>
          <w:rFonts w:hint="eastAsia" w:ascii="仿宋" w:hAnsi="仿宋" w:eastAsia="仿宋" w:cs="仿宋"/>
          <w:b w:val="0"/>
          <w:color w:val="auto"/>
          <w:kern w:val="2"/>
          <w:sz w:val="24"/>
          <w:szCs w:val="24"/>
          <w:highlight w:val="none"/>
          <w:lang w:val="en-US" w:eastAsia="zh-CN" w:bidi="ar-SA"/>
        </w:rPr>
        <w:t>7、内容合规违约</w:t>
      </w:r>
      <w:r>
        <w:rPr>
          <w:rFonts w:hint="eastAsia" w:ascii="仿宋" w:hAnsi="仿宋" w:eastAsia="仿宋" w:cs="仿宋"/>
          <w:color w:val="auto"/>
          <w:kern w:val="2"/>
          <w:sz w:val="24"/>
          <w:szCs w:val="24"/>
          <w:highlight w:val="none"/>
          <w:lang w:val="en-US" w:eastAsia="zh-CN" w:bidi="ar-SA"/>
        </w:rPr>
        <w:t xml:space="preserve"> 乙方未履行本合同第五条第 8 款约定的审查、监管、处置义务，出现违规内容、监管处罚、舆情或甲方损失的，乙方除赔偿甲方全部损失外，向甲方支付合同总额 20% 违约金；情节严重的，甲方可单方解除合同，乙方全额退还甲方已付合同款。</w:t>
      </w:r>
    </w:p>
    <w:p w14:paraId="087E2D85">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九</w:t>
      </w:r>
      <w:r>
        <w:rPr>
          <w:rFonts w:hint="eastAsia" w:ascii="仿宋" w:hAnsi="仿宋" w:eastAsia="仿宋" w:cs="仿宋"/>
          <w:b/>
          <w:color w:val="auto"/>
          <w:sz w:val="24"/>
          <w:szCs w:val="24"/>
          <w:highlight w:val="none"/>
        </w:rPr>
        <w:t xml:space="preserve">条 争议解决 </w:t>
      </w:r>
    </w:p>
    <w:p w14:paraId="0005F4E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本协议受中华人民共和国法律保护，如有分歧，应先通过友好协商解决。如协商不成，则提交甲方所在地人民法院起诉。</w:t>
      </w:r>
    </w:p>
    <w:p w14:paraId="31E11968">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十</w:t>
      </w:r>
      <w:r>
        <w:rPr>
          <w:rFonts w:hint="eastAsia" w:ascii="仿宋" w:hAnsi="仿宋" w:eastAsia="仿宋" w:cs="仿宋"/>
          <w:b/>
          <w:color w:val="auto"/>
          <w:sz w:val="24"/>
          <w:szCs w:val="24"/>
          <w:highlight w:val="none"/>
        </w:rPr>
        <w:t xml:space="preserve">条 附则 </w:t>
      </w:r>
    </w:p>
    <w:p w14:paraId="3D6C627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1、本合同未尽事宜，或本合同变更，由双方协商并以书面方式加以确定。 </w:t>
      </w:r>
    </w:p>
    <w:p w14:paraId="1AD9A8C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2、本合同自甲、乙双方法定代表人或授权代表签字、盖章之日起生效。 </w:t>
      </w:r>
    </w:p>
    <w:p w14:paraId="6167FBA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3、本合同一式</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份，甲方执</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份，乙方执</w:t>
      </w:r>
      <w:r>
        <w:rPr>
          <w:rFonts w:hint="eastAsia" w:ascii="仿宋" w:hAnsi="仿宋" w:eastAsia="仿宋" w:cs="仿宋"/>
          <w:color w:val="auto"/>
          <w:sz w:val="24"/>
          <w:szCs w:val="24"/>
          <w:highlight w:val="none"/>
          <w:lang w:val="en-US" w:eastAsia="zh-CN"/>
        </w:rPr>
        <w:t>两</w:t>
      </w:r>
      <w:r>
        <w:rPr>
          <w:rFonts w:hint="eastAsia" w:ascii="仿宋" w:hAnsi="仿宋" w:eastAsia="仿宋" w:cs="仿宋"/>
          <w:color w:val="auto"/>
          <w:sz w:val="24"/>
          <w:szCs w:val="24"/>
          <w:highlight w:val="none"/>
        </w:rPr>
        <w:t xml:space="preserve">份，具有同等法律效力。 </w:t>
      </w:r>
    </w:p>
    <w:p w14:paraId="588114D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4、本合同载明的双方地址、电话等信息，系双方有效联系方式，如发生变更，应提前书面通知另一方，否则依该联系方式送达相关文书的，</w:t>
      </w:r>
      <w:r>
        <w:rPr>
          <w:rFonts w:hint="eastAsia" w:ascii="仿宋" w:hAnsi="仿宋" w:eastAsia="仿宋" w:cs="仿宋"/>
          <w:color w:val="auto"/>
          <w:sz w:val="24"/>
          <w:szCs w:val="24"/>
          <w:highlight w:val="none"/>
          <w:lang w:val="en-US" w:eastAsia="zh-Hans"/>
        </w:rPr>
        <w:t>一经发出</w:t>
      </w:r>
      <w:r>
        <w:rPr>
          <w:rFonts w:hint="eastAsia" w:ascii="仿宋" w:hAnsi="仿宋" w:eastAsia="仿宋" w:cs="仿宋"/>
          <w:color w:val="auto"/>
          <w:sz w:val="24"/>
          <w:szCs w:val="24"/>
          <w:highlight w:val="none"/>
          <w:lang w:eastAsia="zh-Hans"/>
        </w:rPr>
        <w:t>3</w:t>
      </w:r>
      <w:r>
        <w:rPr>
          <w:rFonts w:hint="eastAsia" w:ascii="仿宋" w:hAnsi="仿宋" w:eastAsia="仿宋" w:cs="仿宋"/>
          <w:color w:val="auto"/>
          <w:sz w:val="24"/>
          <w:szCs w:val="24"/>
          <w:highlight w:val="none"/>
          <w:lang w:val="en-US" w:eastAsia="zh-Hans"/>
        </w:rPr>
        <w:t>日</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rPr>
        <w:t>视为送达成功。</w:t>
      </w:r>
    </w:p>
    <w:p w14:paraId="3DF5BEE4">
      <w:pPr>
        <w:spacing w:line="360" w:lineRule="auto"/>
        <w:ind w:firstLine="480" w:firstLineChars="200"/>
        <w:rPr>
          <w:rFonts w:hint="eastAsia" w:ascii="仿宋" w:hAnsi="仿宋" w:eastAsia="仿宋" w:cs="仿宋"/>
          <w:color w:val="auto"/>
          <w:sz w:val="24"/>
          <w:szCs w:val="24"/>
          <w:highlight w:val="none"/>
        </w:rPr>
      </w:pPr>
    </w:p>
    <w:p w14:paraId="6123C34C">
      <w:pPr>
        <w:keepNext w:val="0"/>
        <w:keepLines w:val="0"/>
        <w:pageBreakBefore w:val="0"/>
        <w:widowControl w:val="0"/>
        <w:kinsoku/>
        <w:wordWrap/>
        <w:overflowPunct/>
        <w:topLinePunct w:val="0"/>
        <w:autoSpaceDE/>
        <w:autoSpaceDN/>
        <w:bidi w:val="0"/>
        <w:adjustRightInd/>
        <w:snapToGrid/>
        <w:spacing w:line="480" w:lineRule="auto"/>
        <w:ind w:left="0" w:leftChars="0" w:right="-735" w:rightChars="-350"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甲方（盖章）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乙方（盖章）: </w:t>
      </w:r>
    </w:p>
    <w:p w14:paraId="52FA1A04">
      <w:pPr>
        <w:keepNext w:val="0"/>
        <w:keepLines w:val="0"/>
        <w:pageBreakBefore w:val="0"/>
        <w:widowControl w:val="0"/>
        <w:kinsoku/>
        <w:wordWrap/>
        <w:overflowPunct/>
        <w:topLinePunct w:val="0"/>
        <w:autoSpaceDE/>
        <w:autoSpaceDN/>
        <w:bidi w:val="0"/>
        <w:adjustRightInd/>
        <w:snapToGrid/>
        <w:spacing w:line="480" w:lineRule="auto"/>
        <w:ind w:left="0" w:leftChars="0" w:right="-735" w:rightChars="-350"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法人代表/委托代理人：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法人代表/委托代理人： </w:t>
      </w:r>
    </w:p>
    <w:p w14:paraId="3C3D2220">
      <w:pPr>
        <w:keepNext w:val="0"/>
        <w:keepLines w:val="0"/>
        <w:pageBreakBefore w:val="0"/>
        <w:widowControl w:val="0"/>
        <w:kinsoku/>
        <w:wordWrap/>
        <w:overflowPunct/>
        <w:topLinePunct w:val="0"/>
        <w:autoSpaceDE/>
        <w:autoSpaceDN/>
        <w:bidi w:val="0"/>
        <w:adjustRightInd/>
        <w:snapToGrid/>
        <w:spacing w:line="480" w:lineRule="auto"/>
        <w:ind w:left="0" w:leftChars="0" w:right="-735" w:rightChars="-35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通讯地址: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通讯地址:</w:t>
      </w:r>
    </w:p>
    <w:p w14:paraId="79589AAB">
      <w:pPr>
        <w:keepNext w:val="0"/>
        <w:keepLines w:val="0"/>
        <w:pageBreakBefore w:val="0"/>
        <w:widowControl w:val="0"/>
        <w:kinsoku/>
        <w:wordWrap/>
        <w:overflowPunct/>
        <w:topLinePunct w:val="0"/>
        <w:autoSpaceDE/>
        <w:autoSpaceDN/>
        <w:bidi w:val="0"/>
        <w:adjustRightInd/>
        <w:snapToGrid/>
        <w:spacing w:line="480" w:lineRule="auto"/>
        <w:ind w:left="0" w:leftChars="0" w:right="-735" w:rightChars="-35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 系 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联 系</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人:</w:t>
      </w:r>
    </w:p>
    <w:p w14:paraId="7C2DC86A">
      <w:pPr>
        <w:outlineLvl w:val="9"/>
        <w:rPr>
          <w:rFonts w:hint="eastAsia" w:ascii="仿宋" w:hAnsi="仿宋" w:eastAsia="仿宋" w:cs="仿宋"/>
          <w:b w:val="0"/>
          <w:bCs/>
          <w:color w:val="auto"/>
          <w:sz w:val="36"/>
          <w:szCs w:val="36"/>
          <w:highlight w:val="none"/>
          <w:shd w:val="clear" w:color="auto" w:fill="FFFFFF" w:themeFill="background1"/>
        </w:rPr>
      </w:pPr>
      <w:r>
        <w:rPr>
          <w:rFonts w:hint="eastAsia" w:ascii="仿宋" w:hAnsi="仿宋" w:eastAsia="仿宋" w:cs="仿宋"/>
          <w:color w:val="auto"/>
          <w:highlight w:val="none"/>
          <w:lang w:val="en-US" w:eastAsia="zh-CN"/>
        </w:rPr>
        <w:t xml:space="preserve">日      期：                              日      期：    </w:t>
      </w:r>
      <w:r>
        <w:rPr>
          <w:rFonts w:hint="eastAsia" w:ascii="仿宋" w:hAnsi="仿宋" w:eastAsia="仿宋" w:cs="仿宋"/>
          <w:b w:val="0"/>
          <w:bCs/>
          <w:color w:val="auto"/>
          <w:sz w:val="36"/>
          <w:szCs w:val="36"/>
          <w:highlight w:val="none"/>
          <w:shd w:val="clear" w:color="auto" w:fill="FFFFFF" w:themeFill="background1"/>
        </w:rPr>
        <w:br w:type="page"/>
      </w:r>
    </w:p>
    <w:p w14:paraId="610CD24B">
      <w:pPr>
        <w:spacing w:line="360" w:lineRule="auto"/>
        <w:jc w:val="center"/>
        <w:outlineLvl w:val="0"/>
        <w:rPr>
          <w:rFonts w:hint="eastAsia" w:ascii="仿宋" w:hAnsi="仿宋" w:eastAsia="仿宋" w:cs="仿宋"/>
          <w:b w:val="0"/>
          <w:bCs/>
          <w:color w:val="auto"/>
          <w:sz w:val="36"/>
          <w:szCs w:val="36"/>
          <w:highlight w:val="none"/>
          <w:shd w:val="clear" w:color="auto" w:fill="FFFFFF" w:themeFill="background1"/>
          <w:lang w:eastAsia="zh-CN"/>
        </w:rPr>
      </w:pPr>
      <w:bookmarkStart w:id="38" w:name="_Toc14475"/>
      <w:r>
        <w:rPr>
          <w:rFonts w:hint="eastAsia" w:ascii="仿宋" w:hAnsi="仿宋" w:eastAsia="仿宋" w:cs="仿宋"/>
          <w:b w:val="0"/>
          <w:bCs/>
          <w:color w:val="auto"/>
          <w:sz w:val="36"/>
          <w:szCs w:val="36"/>
          <w:highlight w:val="none"/>
          <w:shd w:val="clear" w:color="auto" w:fill="FFFFFF" w:themeFill="background1"/>
        </w:rPr>
        <w:t xml:space="preserve">第四章 </w:t>
      </w:r>
      <w:r>
        <w:rPr>
          <w:rFonts w:hint="eastAsia" w:ascii="仿宋" w:hAnsi="仿宋" w:eastAsia="仿宋" w:cs="仿宋"/>
          <w:b w:val="0"/>
          <w:bCs/>
          <w:color w:val="auto"/>
          <w:sz w:val="36"/>
          <w:szCs w:val="36"/>
          <w:highlight w:val="none"/>
          <w:shd w:val="clear" w:color="auto" w:fill="FFFFFF" w:themeFill="background1"/>
          <w:lang w:eastAsia="zh-CN"/>
        </w:rPr>
        <w:t>服务标准和要求</w:t>
      </w:r>
      <w:bookmarkEnd w:id="38"/>
    </w:p>
    <w:p w14:paraId="5FF5B578">
      <w:pPr>
        <w:spacing w:line="360" w:lineRule="auto"/>
        <w:ind w:firstLine="562" w:firstLineChars="200"/>
        <w:rPr>
          <w:rFonts w:hint="eastAsia"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u w:val="single"/>
          <w:lang w:val="en-US" w:eastAsia="zh-CN"/>
        </w:rPr>
        <w:t>一、数据库内容安全要求：</w:t>
      </w:r>
    </w:p>
    <w:p w14:paraId="40D7E1A5">
      <w:pPr>
        <w:spacing w:line="360" w:lineRule="auto"/>
        <w:ind w:firstLine="562" w:firstLineChars="200"/>
        <w:rPr>
          <w:rFonts w:hint="eastAsia"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u w:val="single"/>
          <w:lang w:val="en-US" w:eastAsia="zh-CN"/>
        </w:rPr>
        <w:t>1. 本项目供应商（出版物进出口经营单位）为本境外数字文献数据库内容安全责任主体。</w:t>
      </w:r>
    </w:p>
    <w:p w14:paraId="0E3D3B07">
      <w:pPr>
        <w:spacing w:line="360" w:lineRule="auto"/>
        <w:ind w:firstLine="562" w:firstLineChars="200"/>
        <w:rPr>
          <w:rFonts w:hint="eastAsia"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u w:val="single"/>
          <w:lang w:val="en-US" w:eastAsia="zh-CN"/>
        </w:rPr>
        <w:t>2. 数据库开通前，供应商须完成全库前置内容合规审查，审查不合格不得开通访问。</w:t>
      </w:r>
    </w:p>
    <w:p w14:paraId="076AA8DA">
      <w:pPr>
        <w:spacing w:line="360" w:lineRule="auto"/>
        <w:ind w:firstLine="562" w:firstLineChars="200"/>
        <w:rPr>
          <w:rFonts w:hint="eastAsia"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u w:val="single"/>
          <w:lang w:val="en-US" w:eastAsia="zh-CN"/>
        </w:rPr>
        <w:t>3. 合同履约期间，供应商对数据库新增、更新内容开展常态化监测排查，完整留存台账日志，接受采购人抽查。</w:t>
      </w:r>
    </w:p>
    <w:p w14:paraId="1F2BF6BB">
      <w:pPr>
        <w:spacing w:line="360" w:lineRule="auto"/>
        <w:ind w:firstLine="562" w:firstLineChars="200"/>
        <w:rPr>
          <w:rFonts w:hint="eastAsia"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u w:val="single"/>
          <w:lang w:val="en-US" w:eastAsia="zh-CN"/>
        </w:rPr>
        <w:t>4. 发现违规内容或风险隐患，供应商须立即采取阻断、下架处置，并于 24 小时内书面告知采购人，落实整改及相关报备工作。</w:t>
      </w:r>
    </w:p>
    <w:p w14:paraId="0C839481">
      <w:pPr>
        <w:spacing w:line="360" w:lineRule="auto"/>
        <w:ind w:firstLine="562" w:firstLineChars="200"/>
        <w:rPr>
          <w:rFonts w:hint="eastAsia"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u w:val="single"/>
          <w:lang w:val="en-US" w:eastAsia="zh-CN"/>
        </w:rPr>
        <w:t>5. 因供应商未落实审查、监测、处置义务引发的各类风险、处罚及损失，全部由供应商承担。</w:t>
      </w:r>
    </w:p>
    <w:p w14:paraId="33193E5A">
      <w:pPr>
        <w:spacing w:line="360" w:lineRule="auto"/>
        <w:ind w:firstLine="562" w:firstLineChars="200"/>
        <w:rPr>
          <w:rFonts w:hint="eastAsia"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u w:val="single"/>
          <w:lang w:val="en-US" w:eastAsia="zh-CN"/>
        </w:rPr>
        <w:t>注：本项为实质性要求，投标人须提供满足上述要求的承诺函，加盖供应商章。未响应或未承诺的，响应无效。</w:t>
      </w:r>
    </w:p>
    <w:p w14:paraId="34CEFD94">
      <w:pPr>
        <w:spacing w:line="360" w:lineRule="auto"/>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二、内容及技术要求</w:t>
      </w:r>
    </w:p>
    <w:tbl>
      <w:tblPr>
        <w:tblStyle w:val="44"/>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536"/>
        <w:gridCol w:w="6096"/>
        <w:gridCol w:w="462"/>
        <w:gridCol w:w="457"/>
        <w:gridCol w:w="942"/>
      </w:tblGrid>
      <w:tr w14:paraId="18038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4F61308B">
            <w:pPr>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0" w:type="auto"/>
            <w:noWrap w:val="0"/>
            <w:vAlign w:val="center"/>
          </w:tcPr>
          <w:p w14:paraId="7056030A">
            <w:pPr>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品目名称</w:t>
            </w:r>
          </w:p>
        </w:tc>
        <w:tc>
          <w:tcPr>
            <w:tcW w:w="0" w:type="auto"/>
            <w:noWrap w:val="0"/>
            <w:vAlign w:val="center"/>
          </w:tcPr>
          <w:p w14:paraId="33748B4E">
            <w:pPr>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主要技术参数</w:t>
            </w:r>
          </w:p>
        </w:tc>
        <w:tc>
          <w:tcPr>
            <w:tcW w:w="0" w:type="auto"/>
            <w:noWrap w:val="0"/>
            <w:vAlign w:val="center"/>
          </w:tcPr>
          <w:p w14:paraId="3503DB2E">
            <w:pPr>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计量单位</w:t>
            </w:r>
          </w:p>
        </w:tc>
        <w:tc>
          <w:tcPr>
            <w:tcW w:w="0" w:type="auto"/>
            <w:noWrap w:val="0"/>
            <w:vAlign w:val="center"/>
          </w:tcPr>
          <w:p w14:paraId="2449AD51">
            <w:pPr>
              <w:pageBreakBefore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数量</w:t>
            </w:r>
          </w:p>
        </w:tc>
        <w:tc>
          <w:tcPr>
            <w:tcW w:w="1179" w:type="dxa"/>
            <w:noWrap w:val="0"/>
            <w:vAlign w:val="center"/>
          </w:tcPr>
          <w:p w14:paraId="46D99F5F">
            <w:pPr>
              <w:pageBreakBefore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最高限价单价</w:t>
            </w:r>
            <w:r>
              <w:rPr>
                <w:rFonts w:hint="eastAsia" w:ascii="仿宋" w:hAnsi="仿宋" w:eastAsia="仿宋" w:cs="仿宋"/>
                <w:b/>
                <w:sz w:val="24"/>
                <w:szCs w:val="24"/>
                <w:highlight w:val="none"/>
              </w:rPr>
              <w:t>（元）</w:t>
            </w:r>
          </w:p>
        </w:tc>
      </w:tr>
      <w:tr w14:paraId="3A9A3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4F141B35">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0" w:type="auto"/>
            <w:noWrap w:val="0"/>
            <w:vAlign w:val="center"/>
          </w:tcPr>
          <w:p w14:paraId="668A251E">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SCIE</w:t>
            </w:r>
          </w:p>
        </w:tc>
        <w:tc>
          <w:tcPr>
            <w:tcW w:w="0" w:type="auto"/>
            <w:noWrap w:val="0"/>
            <w:vAlign w:val="center"/>
          </w:tcPr>
          <w:p w14:paraId="6FDE49BC">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一、</w:t>
            </w:r>
            <w:r>
              <w:rPr>
                <w:rFonts w:hint="eastAsia" w:ascii="仿宋" w:hAnsi="仿宋" w:eastAsia="仿宋" w:cs="仿宋"/>
                <w:color w:val="000000"/>
                <w:kern w:val="0"/>
                <w:sz w:val="24"/>
                <w:szCs w:val="24"/>
                <w:highlight w:val="none"/>
                <w:lang w:bidi="ar"/>
              </w:rPr>
              <w:t xml:space="preserve">技术要求： </w:t>
            </w:r>
          </w:p>
          <w:p w14:paraId="4B7F413A">
            <w:pPr>
              <w:pageBreakBefore w:val="0"/>
              <w:widowControl/>
              <w:numPr>
                <w:ilvl w:val="-1"/>
                <w:numId w:val="0"/>
              </w:numPr>
              <w:kinsoku/>
              <w:wordWrap/>
              <w:overflowPunct/>
              <w:topLinePunct w:val="0"/>
              <w:autoSpaceDE/>
              <w:autoSpaceDN/>
              <w:bidi w:val="0"/>
              <w:adjustRightInd/>
              <w:snapToGrid w:val="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1.</w:t>
            </w:r>
            <w:r>
              <w:rPr>
                <w:rFonts w:hint="eastAsia" w:ascii="仿宋" w:hAnsi="仿宋" w:eastAsia="仿宋" w:cs="仿宋"/>
                <w:color w:val="000000"/>
                <w:kern w:val="0"/>
                <w:sz w:val="24"/>
                <w:szCs w:val="24"/>
                <w:highlight w:val="none"/>
                <w:lang w:bidi="ar"/>
              </w:rPr>
              <w:t>学科覆盖：覆盖全球自然科学、工程技术、临床医学等领域内</w:t>
            </w:r>
            <w:r>
              <w:rPr>
                <w:rFonts w:hint="eastAsia" w:ascii="仿宋" w:hAnsi="仿宋" w:eastAsia="仿宋" w:cs="仿宋"/>
                <w:color w:val="000000"/>
                <w:kern w:val="0"/>
                <w:sz w:val="24"/>
                <w:szCs w:val="24"/>
                <w:highlight w:val="none"/>
                <w:lang w:val="en-US" w:eastAsia="zh-CN" w:bidi="ar"/>
              </w:rPr>
              <w:t>不少于</w:t>
            </w:r>
            <w:r>
              <w:rPr>
                <w:rFonts w:hint="eastAsia" w:ascii="仿宋" w:hAnsi="仿宋" w:eastAsia="仿宋" w:cs="仿宋"/>
                <w:color w:val="000000"/>
                <w:kern w:val="0"/>
                <w:sz w:val="24"/>
                <w:szCs w:val="24"/>
                <w:highlight w:val="none"/>
                <w:lang w:bidi="ar"/>
              </w:rPr>
              <w:t xml:space="preserve">180个学科； </w:t>
            </w:r>
            <w:r>
              <w:rPr>
                <w:rFonts w:hint="eastAsia" w:ascii="仿宋" w:hAnsi="仿宋" w:eastAsia="仿宋" w:cs="仿宋"/>
                <w:color w:val="000000"/>
                <w:kern w:val="0"/>
                <w:sz w:val="24"/>
                <w:szCs w:val="24"/>
                <w:highlight w:val="none"/>
                <w:lang w:val="en-US" w:eastAsia="zh-CN" w:bidi="ar"/>
              </w:rPr>
              <w:t>2.</w:t>
            </w:r>
            <w:r>
              <w:rPr>
                <w:rFonts w:hint="eastAsia" w:ascii="仿宋" w:hAnsi="仿宋" w:eastAsia="仿宋" w:cs="仿宋"/>
                <w:color w:val="000000"/>
                <w:kern w:val="0"/>
                <w:sz w:val="24"/>
                <w:szCs w:val="24"/>
                <w:highlight w:val="none"/>
                <w:lang w:bidi="ar"/>
              </w:rPr>
              <w:t>数据来源：</w:t>
            </w:r>
            <w:r>
              <w:rPr>
                <w:rFonts w:hint="eastAsia" w:ascii="仿宋" w:hAnsi="仿宋" w:eastAsia="仿宋" w:cs="仿宋"/>
                <w:color w:val="000000"/>
                <w:kern w:val="0"/>
                <w:sz w:val="24"/>
                <w:szCs w:val="24"/>
                <w:highlight w:val="none"/>
                <w:lang w:val="en-US" w:eastAsia="zh-CN" w:bidi="ar"/>
              </w:rPr>
              <w:t>不少于</w:t>
            </w:r>
            <w:r>
              <w:rPr>
                <w:rFonts w:hint="eastAsia" w:ascii="仿宋" w:hAnsi="仿宋" w:eastAsia="仿宋" w:cs="仿宋"/>
                <w:color w:val="000000"/>
                <w:kern w:val="0"/>
                <w:sz w:val="24"/>
                <w:szCs w:val="24"/>
                <w:highlight w:val="none"/>
                <w:lang w:bidi="ar"/>
              </w:rPr>
              <w:t>9,600种</w:t>
            </w:r>
            <w:r>
              <w:rPr>
                <w:rFonts w:hint="eastAsia" w:ascii="仿宋" w:hAnsi="仿宋" w:eastAsia="仿宋" w:cs="仿宋"/>
                <w:color w:val="000000"/>
                <w:kern w:val="0"/>
                <w:sz w:val="24"/>
                <w:szCs w:val="24"/>
                <w:highlight w:val="none"/>
                <w:lang w:val="en-US" w:eastAsia="zh-CN" w:bidi="ar"/>
              </w:rPr>
              <w:t>全球</w:t>
            </w:r>
            <w:r>
              <w:rPr>
                <w:rFonts w:hint="eastAsia" w:ascii="仿宋" w:hAnsi="仿宋" w:eastAsia="仿宋" w:cs="仿宋"/>
                <w:color w:val="000000"/>
                <w:kern w:val="0"/>
                <w:sz w:val="24"/>
                <w:szCs w:val="24"/>
                <w:highlight w:val="none"/>
                <w:lang w:bidi="ar"/>
              </w:rPr>
              <w:t xml:space="preserve">优质学术期刊； </w:t>
            </w:r>
            <w:r>
              <w:rPr>
                <w:rFonts w:hint="eastAsia" w:ascii="仿宋" w:hAnsi="仿宋" w:eastAsia="仿宋" w:cs="仿宋"/>
                <w:color w:val="000000"/>
                <w:kern w:val="0"/>
                <w:sz w:val="24"/>
                <w:szCs w:val="24"/>
                <w:highlight w:val="none"/>
                <w:lang w:val="en-US" w:eastAsia="zh-CN" w:bidi="ar"/>
              </w:rPr>
              <w:t>3.</w:t>
            </w:r>
            <w:r>
              <w:rPr>
                <w:rFonts w:hint="eastAsia" w:ascii="仿宋" w:hAnsi="仿宋" w:eastAsia="仿宋" w:cs="仿宋"/>
                <w:color w:val="000000"/>
                <w:kern w:val="0"/>
                <w:sz w:val="24"/>
                <w:szCs w:val="24"/>
                <w:highlight w:val="none"/>
                <w:lang w:bidi="ar"/>
              </w:rPr>
              <w:t xml:space="preserve">技术要求 访问方式：IP 认证远程访问，无并发用户限制； </w:t>
            </w:r>
            <w:r>
              <w:rPr>
                <w:rFonts w:hint="eastAsia" w:ascii="仿宋" w:hAnsi="仿宋" w:eastAsia="仿宋" w:cs="仿宋"/>
                <w:color w:val="000000"/>
                <w:kern w:val="0"/>
                <w:sz w:val="24"/>
                <w:szCs w:val="24"/>
                <w:highlight w:val="none"/>
                <w:lang w:val="en-US" w:eastAsia="zh-CN" w:bidi="ar"/>
              </w:rPr>
              <w:t>4.</w:t>
            </w:r>
            <w:r>
              <w:rPr>
                <w:rFonts w:hint="eastAsia" w:ascii="仿宋" w:hAnsi="仿宋" w:eastAsia="仿宋" w:cs="仿宋"/>
                <w:color w:val="000000"/>
                <w:kern w:val="0"/>
                <w:sz w:val="24"/>
                <w:szCs w:val="24"/>
                <w:highlight w:val="none"/>
                <w:lang w:bidi="ar"/>
              </w:rPr>
              <w:t xml:space="preserve">安装方式：在线开通； </w:t>
            </w:r>
            <w:r>
              <w:rPr>
                <w:rFonts w:hint="eastAsia" w:ascii="仿宋" w:hAnsi="仿宋" w:eastAsia="仿宋" w:cs="仿宋"/>
                <w:color w:val="000000"/>
                <w:kern w:val="0"/>
                <w:sz w:val="24"/>
                <w:szCs w:val="24"/>
                <w:highlight w:val="none"/>
                <w:lang w:val="en-US" w:eastAsia="zh-CN" w:bidi="ar"/>
              </w:rPr>
              <w:t>5.</w:t>
            </w:r>
            <w:r>
              <w:rPr>
                <w:rFonts w:hint="eastAsia" w:ascii="仿宋" w:hAnsi="仿宋" w:eastAsia="仿宋" w:cs="仿宋"/>
                <w:color w:val="000000"/>
                <w:kern w:val="0"/>
                <w:sz w:val="24"/>
                <w:szCs w:val="24"/>
                <w:highlight w:val="none"/>
                <w:lang w:bidi="ar"/>
              </w:rPr>
              <w:t xml:space="preserve">检索方式：支持基本检索、高级检索、被引参考文献检索和化学结构检索等多种检索方式； </w:t>
            </w:r>
            <w:r>
              <w:rPr>
                <w:rFonts w:hint="eastAsia" w:ascii="仿宋" w:hAnsi="仿宋" w:eastAsia="仿宋" w:cs="仿宋"/>
                <w:color w:val="000000"/>
                <w:kern w:val="0"/>
                <w:sz w:val="24"/>
                <w:szCs w:val="24"/>
                <w:highlight w:val="none"/>
                <w:lang w:val="en-US" w:eastAsia="zh-CN" w:bidi="ar"/>
              </w:rPr>
              <w:t>6.</w:t>
            </w:r>
            <w:r>
              <w:rPr>
                <w:rFonts w:hint="eastAsia" w:ascii="仿宋" w:hAnsi="仿宋" w:eastAsia="仿宋" w:cs="仿宋"/>
                <w:color w:val="000000"/>
                <w:kern w:val="0"/>
                <w:sz w:val="24"/>
                <w:szCs w:val="24"/>
                <w:highlight w:val="none"/>
                <w:lang w:bidi="ar"/>
              </w:rPr>
              <w:t>检索技术：</w:t>
            </w:r>
            <w:r>
              <w:rPr>
                <w:rFonts w:hint="eastAsia" w:ascii="仿宋" w:hAnsi="仿宋" w:eastAsia="仿宋" w:cs="仿宋"/>
                <w:color w:val="000000"/>
                <w:kern w:val="0"/>
                <w:sz w:val="24"/>
                <w:szCs w:val="24"/>
                <w:highlight w:val="none"/>
                <w:lang w:val="en-US" w:eastAsia="zh-CN" w:bidi="ar"/>
              </w:rPr>
              <w:t>支持</w:t>
            </w:r>
            <w:r>
              <w:rPr>
                <w:rFonts w:hint="eastAsia" w:ascii="仿宋" w:hAnsi="仿宋" w:eastAsia="仿宋" w:cs="仿宋"/>
                <w:color w:val="000000"/>
                <w:kern w:val="0"/>
                <w:sz w:val="24"/>
                <w:szCs w:val="24"/>
                <w:highlight w:val="none"/>
                <w:lang w:bidi="ar"/>
              </w:rPr>
              <w:t>使用布尔逻辑、组配检索等检索技术；</w:t>
            </w:r>
            <w:r>
              <w:rPr>
                <w:rFonts w:hint="eastAsia" w:ascii="仿宋" w:hAnsi="仿宋" w:eastAsia="仿宋" w:cs="仿宋"/>
                <w:color w:val="000000"/>
                <w:kern w:val="0"/>
                <w:sz w:val="24"/>
                <w:szCs w:val="24"/>
                <w:highlight w:val="none"/>
                <w:lang w:val="en-US" w:eastAsia="zh-CN" w:bidi="ar"/>
              </w:rPr>
              <w:t>7.</w:t>
            </w:r>
            <w:r>
              <w:rPr>
                <w:rFonts w:hint="eastAsia" w:ascii="仿宋" w:hAnsi="仿宋" w:eastAsia="仿宋" w:cs="仿宋"/>
                <w:color w:val="000000"/>
                <w:kern w:val="0"/>
                <w:sz w:val="24"/>
                <w:szCs w:val="24"/>
                <w:highlight w:val="none"/>
                <w:lang w:bidi="ar"/>
              </w:rPr>
              <w:t>检索字段：</w:t>
            </w:r>
            <w:r>
              <w:rPr>
                <w:rFonts w:hint="eastAsia" w:ascii="仿宋" w:hAnsi="仿宋" w:eastAsia="仿宋" w:cs="仿宋"/>
                <w:color w:val="000000"/>
                <w:kern w:val="0"/>
                <w:sz w:val="24"/>
                <w:szCs w:val="24"/>
                <w:highlight w:val="none"/>
                <w:lang w:val="en-US" w:eastAsia="zh-CN" w:bidi="ar"/>
              </w:rPr>
              <w:t>支持</w:t>
            </w:r>
            <w:r>
              <w:rPr>
                <w:rFonts w:hint="eastAsia" w:ascii="仿宋" w:hAnsi="仿宋" w:eastAsia="仿宋" w:cs="仿宋"/>
                <w:color w:val="000000"/>
                <w:kern w:val="0"/>
                <w:sz w:val="24"/>
                <w:szCs w:val="24"/>
                <w:highlight w:val="none"/>
                <w:lang w:bidi="ar"/>
              </w:rPr>
              <w:t>使用主题、标题、作者、作者标识符、团体作者、编者、出版物名称、DOI、 出版年、地址、增强组织信息、会议、语种、文献类型、基金资助机构、授权号、入藏号、PubMed ID 等字段进行检索；</w:t>
            </w:r>
            <w:r>
              <w:rPr>
                <w:rFonts w:hint="eastAsia" w:ascii="仿宋" w:hAnsi="仿宋" w:eastAsia="仿宋" w:cs="仿宋"/>
                <w:color w:val="000000"/>
                <w:kern w:val="0"/>
                <w:sz w:val="24"/>
                <w:szCs w:val="24"/>
                <w:highlight w:val="none"/>
                <w:lang w:val="en-US" w:eastAsia="zh-CN" w:bidi="ar"/>
              </w:rPr>
              <w:t>8.</w:t>
            </w:r>
            <w:r>
              <w:rPr>
                <w:rFonts w:hint="eastAsia" w:ascii="仿宋" w:hAnsi="仿宋" w:eastAsia="仿宋" w:cs="仿宋"/>
                <w:color w:val="000000"/>
                <w:kern w:val="0"/>
                <w:sz w:val="24"/>
                <w:szCs w:val="24"/>
                <w:highlight w:val="none"/>
                <w:lang w:bidi="ar"/>
              </w:rPr>
              <w:t xml:space="preserve">检索结果导出方式：可导出为 TXT、Excel、CSV、HTML、BibTeX、制表符分割等格式文件； </w:t>
            </w:r>
            <w:r>
              <w:rPr>
                <w:rFonts w:hint="eastAsia" w:ascii="仿宋" w:hAnsi="仿宋" w:eastAsia="仿宋" w:cs="仿宋"/>
                <w:color w:val="000000"/>
                <w:kern w:val="0"/>
                <w:sz w:val="24"/>
                <w:szCs w:val="24"/>
                <w:highlight w:val="none"/>
                <w:lang w:val="en-US" w:eastAsia="zh-CN" w:bidi="ar"/>
              </w:rPr>
              <w:t>9.</w:t>
            </w:r>
            <w:r>
              <w:rPr>
                <w:rFonts w:hint="eastAsia" w:ascii="仿宋" w:hAnsi="仿宋" w:eastAsia="仿宋" w:cs="仿宋"/>
                <w:color w:val="000000"/>
                <w:kern w:val="0"/>
                <w:sz w:val="24"/>
                <w:szCs w:val="24"/>
                <w:highlight w:val="none"/>
                <w:lang w:bidi="ar"/>
              </w:rPr>
              <w:t>数据更新频次：数据</w:t>
            </w:r>
            <w:r>
              <w:rPr>
                <w:rFonts w:hint="eastAsia" w:ascii="仿宋" w:hAnsi="仿宋" w:eastAsia="仿宋" w:cs="仿宋"/>
                <w:color w:val="000000"/>
                <w:kern w:val="0"/>
                <w:sz w:val="24"/>
                <w:szCs w:val="24"/>
                <w:highlight w:val="none"/>
                <w:lang w:val="en-US" w:eastAsia="zh-CN" w:bidi="ar"/>
              </w:rPr>
              <w:t>至少</w:t>
            </w:r>
            <w:r>
              <w:rPr>
                <w:rFonts w:hint="eastAsia" w:ascii="仿宋" w:hAnsi="仿宋" w:eastAsia="仿宋" w:cs="仿宋"/>
                <w:color w:val="000000"/>
                <w:kern w:val="0"/>
                <w:sz w:val="24"/>
                <w:szCs w:val="24"/>
                <w:highlight w:val="none"/>
                <w:lang w:bidi="ar"/>
              </w:rPr>
              <w:t>每天更新；</w:t>
            </w:r>
            <w:r>
              <w:rPr>
                <w:rFonts w:hint="eastAsia" w:ascii="仿宋" w:hAnsi="仿宋" w:eastAsia="仿宋" w:cs="仿宋"/>
                <w:color w:val="000000"/>
                <w:kern w:val="0"/>
                <w:sz w:val="24"/>
                <w:szCs w:val="24"/>
                <w:highlight w:val="none"/>
                <w:lang w:val="en-US" w:eastAsia="zh-CN" w:bidi="ar"/>
              </w:rPr>
              <w:t>10.</w:t>
            </w:r>
            <w:r>
              <w:rPr>
                <w:rFonts w:hint="eastAsia" w:ascii="仿宋" w:hAnsi="仿宋" w:eastAsia="仿宋" w:cs="仿宋"/>
                <w:color w:val="000000"/>
                <w:kern w:val="0"/>
                <w:sz w:val="24"/>
                <w:szCs w:val="24"/>
                <w:highlight w:val="none"/>
                <w:lang w:bidi="ar"/>
              </w:rPr>
              <w:t xml:space="preserve"> 跨库检索接口：支持跨库检索； </w:t>
            </w:r>
            <w:r>
              <w:rPr>
                <w:rFonts w:hint="eastAsia" w:ascii="仿宋" w:hAnsi="仿宋" w:eastAsia="仿宋" w:cs="仿宋"/>
                <w:color w:val="000000"/>
                <w:kern w:val="0"/>
                <w:sz w:val="24"/>
                <w:szCs w:val="24"/>
                <w:highlight w:val="none"/>
                <w:lang w:val="en-US" w:eastAsia="zh-CN" w:bidi="ar"/>
              </w:rPr>
              <w:t>11.</w:t>
            </w:r>
            <w:r>
              <w:rPr>
                <w:rFonts w:hint="eastAsia" w:ascii="仿宋" w:hAnsi="仿宋" w:eastAsia="仿宋" w:cs="仿宋"/>
                <w:color w:val="000000"/>
                <w:kern w:val="0"/>
                <w:sz w:val="24"/>
                <w:szCs w:val="24"/>
                <w:highlight w:val="none"/>
                <w:lang w:bidi="ar"/>
              </w:rPr>
              <w:t>元数据接口：提供被引频次、到 Web of Science 数据库全纪录超链接、到 Web of Science 的 施引文献超链接、到 Web of Science 的相关记录超链接、影响因子、入藏号、DOI 号、PubMed 号、 论文标题、ISBN、ISSN、出版年、出版日期、出版的页码数、Researcher ID、Researcher ID 的 姓名、卷、期、页码、关键词、文献类型、作者姓名等 API 接口字段。</w:t>
            </w:r>
          </w:p>
          <w:p w14:paraId="49424E01">
            <w:pPr>
              <w:pageBreakBefore w:val="0"/>
              <w:widowControl/>
              <w:numPr>
                <w:ilvl w:val="-1"/>
                <w:numId w:val="0"/>
              </w:numPr>
              <w:kinsoku/>
              <w:wordWrap/>
              <w:overflowPunct/>
              <w:topLinePunct w:val="0"/>
              <w:autoSpaceDE/>
              <w:autoSpaceDN/>
              <w:bidi w:val="0"/>
              <w:adjustRightInd/>
              <w:snapToGrid w:val="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二</w:t>
            </w:r>
            <w:r>
              <w:rPr>
                <w:rFonts w:hint="eastAsia" w:ascii="仿宋" w:hAnsi="仿宋" w:eastAsia="仿宋" w:cs="仿宋"/>
                <w:color w:val="000000"/>
                <w:kern w:val="0"/>
                <w:sz w:val="24"/>
                <w:szCs w:val="24"/>
                <w:highlight w:val="none"/>
                <w:lang w:bidi="ar"/>
              </w:rPr>
              <w:t>产品服务</w:t>
            </w:r>
            <w:r>
              <w:rPr>
                <w:rFonts w:hint="eastAsia" w:ascii="仿宋" w:hAnsi="仿宋" w:eastAsia="仿宋" w:cs="仿宋"/>
                <w:color w:val="000000"/>
                <w:kern w:val="0"/>
                <w:sz w:val="24"/>
                <w:szCs w:val="24"/>
                <w:highlight w:val="none"/>
                <w:lang w:val="en-US" w:eastAsia="zh-CN" w:bidi="ar"/>
              </w:rPr>
              <w:t>要求：</w:t>
            </w:r>
          </w:p>
          <w:p w14:paraId="6A5AEB68">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1.服务方式：IP 认证远程访问。</w:t>
            </w:r>
          </w:p>
          <w:p w14:paraId="20ADE351">
            <w:pPr>
              <w:pageBreakBefore w:val="0"/>
              <w:widowControl/>
              <w:numPr>
                <w:ilvl w:val="0"/>
                <w:numId w:val="3"/>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并发数：无并发数限制。</w:t>
            </w:r>
          </w:p>
          <w:p w14:paraId="4CE0B85E">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3.读者培训和数据库推广</w:t>
            </w:r>
            <w:r>
              <w:rPr>
                <w:rFonts w:hint="eastAsia" w:ascii="仿宋" w:hAnsi="仿宋" w:eastAsia="仿宋" w:cs="仿宋"/>
                <w:color w:val="000000"/>
                <w:kern w:val="0"/>
                <w:sz w:val="24"/>
                <w:szCs w:val="24"/>
                <w:highlight w:val="none"/>
                <w:lang w:val="en-US" w:eastAsia="zh-CN" w:bidi="ar"/>
              </w:rPr>
              <w:t>要求</w:t>
            </w:r>
            <w:r>
              <w:rPr>
                <w:rFonts w:hint="eastAsia" w:ascii="仿宋" w:hAnsi="仿宋" w:eastAsia="仿宋" w:cs="仿宋"/>
                <w:color w:val="000000"/>
                <w:kern w:val="0"/>
                <w:sz w:val="24"/>
                <w:szCs w:val="24"/>
                <w:highlight w:val="none"/>
                <w:lang w:bidi="ar"/>
              </w:rPr>
              <w:t xml:space="preserve">：每年不低于一次上门现场培训，并通过在线培训等多种形式提供培训服务。 </w:t>
            </w:r>
          </w:p>
          <w:p w14:paraId="589657FD">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4.使用量统计权限：提供在线查询符合 Counter 标准的试用统计账号。</w:t>
            </w:r>
          </w:p>
          <w:p w14:paraId="0A203754">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5.其他特色服务：无。</w:t>
            </w:r>
          </w:p>
        </w:tc>
        <w:tc>
          <w:tcPr>
            <w:tcW w:w="0" w:type="auto"/>
            <w:noWrap w:val="0"/>
            <w:vAlign w:val="center"/>
          </w:tcPr>
          <w:p w14:paraId="083BC523">
            <w:pPr>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年</w:t>
            </w:r>
          </w:p>
        </w:tc>
        <w:tc>
          <w:tcPr>
            <w:tcW w:w="0" w:type="auto"/>
            <w:noWrap w:val="0"/>
            <w:vAlign w:val="center"/>
          </w:tcPr>
          <w:p w14:paraId="21604170">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1179" w:type="dxa"/>
            <w:noWrap w:val="0"/>
            <w:vAlign w:val="center"/>
          </w:tcPr>
          <w:p w14:paraId="6C967F0D">
            <w:pPr>
              <w:pageBreakBefore w:val="0"/>
              <w:kinsoku/>
              <w:wordWrap/>
              <w:overflowPunct/>
              <w:topLinePunct w:val="0"/>
              <w:autoSpaceDE/>
              <w:autoSpaceDN/>
              <w:bidi w:val="0"/>
              <w:adjustRightInd/>
              <w:snapToGrid w:val="0"/>
              <w:ind w:left="0" w:leftChars="0" w:right="0" w:rightChars="0" w:firstLine="0" w:firstLineChars="0"/>
              <w:jc w:val="right"/>
              <w:textAlignment w:val="auto"/>
              <w:outlineLvl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530629</w:t>
            </w:r>
          </w:p>
        </w:tc>
      </w:tr>
      <w:tr w14:paraId="7EA92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52BACECB">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0" w:type="auto"/>
            <w:noWrap w:val="0"/>
            <w:vAlign w:val="center"/>
          </w:tcPr>
          <w:p w14:paraId="33041646">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JCR</w:t>
            </w:r>
          </w:p>
        </w:tc>
        <w:tc>
          <w:tcPr>
            <w:tcW w:w="0" w:type="auto"/>
            <w:noWrap w:val="0"/>
            <w:vAlign w:val="center"/>
          </w:tcPr>
          <w:p w14:paraId="168F742E">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 xml:space="preserve">技术要求： </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访问方式：</w:t>
            </w:r>
            <w:r>
              <w:rPr>
                <w:rFonts w:hint="eastAsia" w:ascii="仿宋" w:hAnsi="仿宋" w:eastAsia="仿宋" w:cs="仿宋"/>
                <w:color w:val="000000"/>
                <w:sz w:val="24"/>
                <w:szCs w:val="24"/>
                <w:highlight w:val="none"/>
                <w:lang w:val="en-US" w:eastAsia="zh-CN"/>
              </w:rPr>
              <w:t>支持</w:t>
            </w:r>
            <w:r>
              <w:rPr>
                <w:rFonts w:hint="eastAsia" w:ascii="仿宋" w:hAnsi="仿宋" w:eastAsia="仿宋" w:cs="仿宋"/>
                <w:color w:val="000000"/>
                <w:sz w:val="24"/>
                <w:szCs w:val="24"/>
                <w:highlight w:val="none"/>
              </w:rPr>
              <w:t xml:space="preserve">IP 认证远程访问，无并发用户限制； </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 xml:space="preserve">安装方式：在线开通； </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 xml:space="preserve">具体功能： • </w:t>
            </w:r>
            <w:r>
              <w:rPr>
                <w:rFonts w:hint="eastAsia" w:ascii="仿宋" w:hAnsi="仿宋" w:eastAsia="仿宋" w:cs="仿宋"/>
                <w:color w:val="000000"/>
                <w:sz w:val="24"/>
                <w:szCs w:val="24"/>
                <w:highlight w:val="none"/>
                <w:lang w:val="en-US" w:eastAsia="zh-CN"/>
              </w:rPr>
              <w:t>面向</w:t>
            </w:r>
            <w:r>
              <w:rPr>
                <w:rFonts w:hint="eastAsia" w:ascii="仿宋" w:hAnsi="仿宋" w:eastAsia="仿宋" w:cs="仿宋"/>
                <w:color w:val="000000"/>
                <w:sz w:val="24"/>
                <w:szCs w:val="24"/>
                <w:highlight w:val="none"/>
              </w:rPr>
              <w:t>科研人员</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 xml:space="preserve">找出最适合的、有影响力的期刊发表自己的文章； • </w:t>
            </w:r>
            <w:r>
              <w:rPr>
                <w:rFonts w:hint="eastAsia" w:ascii="仿宋" w:hAnsi="仿宋" w:eastAsia="仿宋" w:cs="仿宋"/>
                <w:color w:val="000000"/>
                <w:sz w:val="24"/>
                <w:szCs w:val="24"/>
                <w:highlight w:val="none"/>
                <w:lang w:val="en-US" w:eastAsia="zh-CN"/>
              </w:rPr>
              <w:t>面向</w:t>
            </w:r>
            <w:r>
              <w:rPr>
                <w:rFonts w:hint="eastAsia" w:ascii="仿宋" w:hAnsi="仿宋" w:eastAsia="仿宋" w:cs="仿宋"/>
                <w:color w:val="000000"/>
                <w:sz w:val="24"/>
                <w:szCs w:val="24"/>
                <w:highlight w:val="none"/>
              </w:rPr>
              <w:t>图书馆员</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 xml:space="preserve">协助做出期刊存档决定，帮助科研人员推荐优秀期刊； </w:t>
            </w:r>
            <w:r>
              <w:rPr>
                <w:rFonts w:hint="eastAsia" w:ascii="仿宋" w:hAnsi="仿宋" w:eastAsia="仿宋" w:cs="仿宋"/>
                <w:color w:val="000000"/>
                <w:sz w:val="24"/>
                <w:szCs w:val="24"/>
                <w:highlight w:val="none"/>
                <w:lang w:val="en-US" w:eastAsia="zh-CN"/>
              </w:rPr>
              <w:t>面向</w:t>
            </w:r>
            <w:r>
              <w:rPr>
                <w:rFonts w:hint="eastAsia" w:ascii="仿宋" w:hAnsi="仿宋" w:eastAsia="仿宋" w:cs="仿宋"/>
                <w:color w:val="000000"/>
                <w:sz w:val="24"/>
                <w:szCs w:val="24"/>
                <w:highlight w:val="none"/>
              </w:rPr>
              <w:t>科研管理人员</w:t>
            </w:r>
            <w:r>
              <w:rPr>
                <w:rFonts w:hint="eastAsia" w:ascii="仿宋" w:hAnsi="仿宋" w:eastAsia="仿宋" w:cs="仿宋"/>
                <w:color w:val="000000"/>
                <w:sz w:val="24"/>
                <w:szCs w:val="24"/>
                <w:highlight w:val="none"/>
                <w:lang w:val="en-US" w:eastAsia="zh-CN"/>
              </w:rPr>
              <w:t>:支持</w:t>
            </w:r>
            <w:r>
              <w:rPr>
                <w:rFonts w:hint="eastAsia" w:ascii="仿宋" w:hAnsi="仿宋" w:eastAsia="仿宋" w:cs="仿宋"/>
                <w:color w:val="000000"/>
                <w:sz w:val="24"/>
                <w:szCs w:val="24"/>
                <w:highlight w:val="none"/>
              </w:rPr>
              <w:t xml:space="preserve">纵览整个机构所发表文章的期刊质量； • </w:t>
            </w:r>
            <w:r>
              <w:rPr>
                <w:rFonts w:hint="eastAsia" w:ascii="仿宋" w:hAnsi="仿宋" w:eastAsia="仿宋" w:cs="仿宋"/>
                <w:color w:val="000000"/>
                <w:sz w:val="24"/>
                <w:szCs w:val="24"/>
                <w:highlight w:val="none"/>
                <w:lang w:val="en-US" w:eastAsia="zh-CN"/>
              </w:rPr>
              <w:t>面向</w:t>
            </w:r>
            <w:r>
              <w:rPr>
                <w:rFonts w:hint="eastAsia" w:ascii="仿宋" w:hAnsi="仿宋" w:eastAsia="仿宋" w:cs="仿宋"/>
                <w:color w:val="000000"/>
                <w:sz w:val="24"/>
                <w:szCs w:val="24"/>
                <w:highlight w:val="none"/>
              </w:rPr>
              <w:t>出版商和编辑人员</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能够</w:t>
            </w:r>
            <w:r>
              <w:rPr>
                <w:rFonts w:hint="eastAsia" w:ascii="仿宋" w:hAnsi="仿宋" w:eastAsia="仿宋" w:cs="仿宋"/>
                <w:color w:val="000000"/>
                <w:sz w:val="24"/>
                <w:szCs w:val="24"/>
                <w:highlight w:val="none"/>
              </w:rPr>
              <w:t xml:space="preserve">确定期刊在市场上的影响力，并评审编辑策略； • </w:t>
            </w:r>
            <w:r>
              <w:rPr>
                <w:rFonts w:hint="eastAsia" w:ascii="仿宋" w:hAnsi="仿宋" w:eastAsia="仿宋" w:cs="仿宋"/>
                <w:color w:val="000000"/>
                <w:sz w:val="24"/>
                <w:szCs w:val="24"/>
                <w:highlight w:val="none"/>
                <w:lang w:val="en-US" w:eastAsia="zh-CN"/>
              </w:rPr>
              <w:t>面向</w:t>
            </w:r>
            <w:r>
              <w:rPr>
                <w:rFonts w:hint="eastAsia" w:ascii="仿宋" w:hAnsi="仿宋" w:eastAsia="仿宋" w:cs="仿宋"/>
                <w:color w:val="000000"/>
                <w:sz w:val="24"/>
                <w:szCs w:val="24"/>
                <w:highlight w:val="none"/>
              </w:rPr>
              <w:t>情报分析人员</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支持</w:t>
            </w:r>
            <w:r>
              <w:rPr>
                <w:rFonts w:hint="eastAsia" w:ascii="仿宋" w:hAnsi="仿宋" w:eastAsia="仿宋" w:cs="仿宋"/>
                <w:color w:val="000000"/>
                <w:sz w:val="24"/>
                <w:szCs w:val="24"/>
                <w:highlight w:val="none"/>
              </w:rPr>
              <w:t xml:space="preserve">进行基于文献计量学的期刊研究。 </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数据更新频率：每年更新。</w:t>
            </w:r>
            <w:r>
              <w:rPr>
                <w:rFonts w:hint="eastAsia" w:ascii="仿宋" w:hAnsi="仿宋" w:eastAsia="仿宋" w:cs="仿宋"/>
                <w:color w:val="000000"/>
                <w:sz w:val="24"/>
                <w:szCs w:val="24"/>
                <w:highlight w:val="none"/>
                <w:lang w:val="en-US" w:eastAsia="zh-CN"/>
              </w:rPr>
              <w:t xml:space="preserve">二  </w:t>
            </w:r>
            <w:r>
              <w:rPr>
                <w:rFonts w:hint="eastAsia" w:ascii="仿宋" w:hAnsi="仿宋" w:eastAsia="仿宋" w:cs="仿宋"/>
                <w:color w:val="000000"/>
                <w:sz w:val="24"/>
                <w:szCs w:val="24"/>
                <w:highlight w:val="none"/>
              </w:rPr>
              <w:t>服务要求</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 xml:space="preserve">访问服务承诺：故障反应时间不超过 24 小时； </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 xml:space="preserve">使用情况报告：提供符合 COUNTER 标准的使用统计报告。 </w:t>
            </w:r>
          </w:p>
        </w:tc>
        <w:tc>
          <w:tcPr>
            <w:tcW w:w="462" w:type="dxa"/>
            <w:noWrap w:val="0"/>
            <w:vAlign w:val="center"/>
          </w:tcPr>
          <w:p w14:paraId="0621417D">
            <w:pPr>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年</w:t>
            </w:r>
          </w:p>
        </w:tc>
        <w:tc>
          <w:tcPr>
            <w:tcW w:w="457" w:type="dxa"/>
            <w:noWrap w:val="0"/>
            <w:vAlign w:val="center"/>
          </w:tcPr>
          <w:p w14:paraId="2F2097D0">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1179" w:type="dxa"/>
            <w:noWrap w:val="0"/>
            <w:vAlign w:val="center"/>
          </w:tcPr>
          <w:p w14:paraId="3CABFE8B">
            <w:pPr>
              <w:pageBreakBefore w:val="0"/>
              <w:kinsoku/>
              <w:wordWrap/>
              <w:overflowPunct/>
              <w:topLinePunct w:val="0"/>
              <w:autoSpaceDE/>
              <w:autoSpaceDN/>
              <w:bidi w:val="0"/>
              <w:adjustRightInd/>
              <w:snapToGrid w:val="0"/>
              <w:ind w:left="0" w:leftChars="0" w:right="0" w:rightChars="0" w:firstLine="0" w:firstLineChars="0"/>
              <w:jc w:val="righ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101707</w:t>
            </w:r>
          </w:p>
        </w:tc>
      </w:tr>
      <w:tr w14:paraId="033A7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143DB70E">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0" w:type="auto"/>
            <w:noWrap w:val="0"/>
            <w:vAlign w:val="center"/>
          </w:tcPr>
          <w:p w14:paraId="79A4DCE2">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Engineering Village 工程索引（EI）</w:t>
            </w:r>
          </w:p>
        </w:tc>
        <w:tc>
          <w:tcPr>
            <w:tcW w:w="0" w:type="auto"/>
            <w:noWrap w:val="0"/>
            <w:vAlign w:val="center"/>
          </w:tcPr>
          <w:p w14:paraId="28DFBA4B">
            <w:pPr>
              <w:keepNext w:val="0"/>
              <w:keepLines w:val="0"/>
              <w:widowControl/>
              <w:suppressLineNumbers w:val="0"/>
              <w:snapToGrid w:val="0"/>
              <w:jc w:val="left"/>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一、资源要求</w:t>
            </w:r>
          </w:p>
          <w:p w14:paraId="3BDD784B">
            <w:pPr>
              <w:keepNext w:val="0"/>
              <w:keepLines w:val="0"/>
              <w:widowControl/>
              <w:suppressLineNumbers w:val="0"/>
              <w:snapToGrid w:val="0"/>
              <w:jc w:val="left"/>
              <w:outlineLvl w:val="9"/>
              <w:rPr>
                <w:rFonts w:hint="eastAsia" w:ascii="仿宋" w:hAnsi="仿宋" w:eastAsia="仿宋" w:cs="仿宋"/>
                <w:b w:val="0"/>
                <w:bCs w:val="0"/>
                <w:color w:val="000000"/>
                <w:sz w:val="24"/>
                <w:szCs w:val="24"/>
                <w:highlight w:val="none"/>
              </w:rPr>
            </w:pPr>
            <w:r>
              <w:rPr>
                <w:rFonts w:hint="eastAsia" w:ascii="仿宋" w:hAnsi="仿宋" w:eastAsia="仿宋" w:cs="仿宋"/>
                <w:color w:val="000000"/>
                <w:kern w:val="0"/>
                <w:sz w:val="24"/>
                <w:szCs w:val="24"/>
                <w:highlight w:val="none"/>
                <w:lang w:val="en-US" w:eastAsia="zh-CN" w:bidi="ar"/>
              </w:rPr>
              <w:t>1. 学科覆盖：资源以工程技术领域为主，覆盖190个以上工程相关学科，包含核技术、生物工程、交通运输、化工工艺、光学技术、农业工程、计算机技术、电子通信、控制工程、土木、机械、材料、石油、宇航、汽车工程及各细分专业学科。资源收录范围覆盖全球90个以上国家和地区的出版文献。2. 资源体量：1970年以来收录文献记录不少于3800万条，累计收录总量不少于4000万条。年均新增文献不少于200万条，每周稳定新增3万至3.5万条文献数据。3. 文献类型：资源需全面覆盖学术期刊、开放获取期刊、行业杂志、会议论文集、系列丛书、图书、图书章节、期刊待刊论文等多种文献类型。4. 数据标引与特色数据：所有收录文献均经过专业筛选与规范叙词标引，保证工程类文献检索精准、可靠。系统需包含足量基金资助信息数据、化学索</w:t>
            </w:r>
            <w:r>
              <w:rPr>
                <w:rFonts w:hint="eastAsia" w:ascii="仿宋" w:hAnsi="仿宋" w:eastAsia="仿宋" w:cs="仿宋"/>
                <w:b w:val="0"/>
                <w:bCs w:val="0"/>
                <w:color w:val="000000"/>
                <w:kern w:val="2"/>
                <w:sz w:val="24"/>
                <w:szCs w:val="24"/>
                <w:highlight w:val="none"/>
                <w:lang w:val="en-US" w:eastAsia="zh-CN" w:bidi="ar-SA"/>
              </w:rPr>
              <w:t>引数据，同时支持62种以上物理、化学属性数值索引检索。</w:t>
            </w:r>
          </w:p>
          <w:p w14:paraId="256BFA78">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二、</w:t>
            </w:r>
            <w:r>
              <w:rPr>
                <w:rFonts w:hint="eastAsia" w:ascii="仿宋" w:hAnsi="仿宋" w:eastAsia="仿宋" w:cs="仿宋"/>
                <w:color w:val="000000"/>
                <w:kern w:val="0"/>
                <w:sz w:val="24"/>
                <w:szCs w:val="24"/>
                <w:highlight w:val="none"/>
                <w:lang w:bidi="ar"/>
              </w:rPr>
              <w:t>技术要求：</w:t>
            </w:r>
            <w:r>
              <w:rPr>
                <w:rFonts w:hint="eastAsia" w:ascii="仿宋" w:hAnsi="仿宋" w:eastAsia="仿宋" w:cs="仿宋"/>
                <w:color w:val="000000"/>
                <w:kern w:val="0"/>
                <w:sz w:val="24"/>
                <w:szCs w:val="24"/>
                <w:highlight w:val="none"/>
                <w:lang w:val="en-US" w:eastAsia="zh-CN" w:bidi="ar"/>
              </w:rPr>
              <w:t>1。</w:t>
            </w:r>
            <w:r>
              <w:rPr>
                <w:rFonts w:hint="eastAsia" w:ascii="仿宋" w:hAnsi="仿宋" w:eastAsia="仿宋" w:cs="仿宋"/>
                <w:color w:val="000000"/>
                <w:kern w:val="0"/>
                <w:sz w:val="24"/>
                <w:szCs w:val="24"/>
                <w:highlight w:val="none"/>
                <w:lang w:bidi="ar"/>
              </w:rPr>
              <w:t>提供多种形式检索</w:t>
            </w:r>
            <w:r>
              <w:rPr>
                <w:rFonts w:hint="eastAsia" w:ascii="仿宋" w:hAnsi="仿宋" w:eastAsia="仿宋" w:cs="仿宋"/>
                <w:color w:val="000000"/>
                <w:kern w:val="0"/>
                <w:sz w:val="24"/>
                <w:szCs w:val="24"/>
                <w:highlight w:val="none"/>
                <w:lang w:eastAsia="zh-CN" w:bidi="ar"/>
              </w:rPr>
              <w:t>：</w:t>
            </w:r>
            <w:r>
              <w:rPr>
                <w:rFonts w:hint="eastAsia" w:ascii="仿宋" w:hAnsi="仿宋" w:eastAsia="仿宋" w:cs="仿宋"/>
                <w:color w:val="000000"/>
                <w:kern w:val="0"/>
                <w:sz w:val="24"/>
                <w:szCs w:val="24"/>
                <w:highlight w:val="none"/>
                <w:lang w:bidi="ar"/>
              </w:rPr>
              <w:t>快速检索（Quick）、专家检索（Expert）和叙词检索（Thesaurus）， 满足</w:t>
            </w:r>
            <w:r>
              <w:rPr>
                <w:rFonts w:hint="eastAsia" w:ascii="仿宋" w:hAnsi="仿宋" w:eastAsia="仿宋" w:cs="仿宋"/>
                <w:color w:val="000000"/>
                <w:kern w:val="0"/>
                <w:sz w:val="24"/>
                <w:szCs w:val="24"/>
                <w:highlight w:val="none"/>
                <w:lang w:val="en-US" w:eastAsia="zh-CN" w:bidi="ar"/>
              </w:rPr>
              <w:t>不同人员和不同场景</w:t>
            </w:r>
            <w:r>
              <w:rPr>
                <w:rFonts w:hint="eastAsia" w:ascii="仿宋" w:hAnsi="仿宋" w:eastAsia="仿宋" w:cs="仿宋"/>
                <w:color w:val="000000"/>
                <w:kern w:val="0"/>
                <w:sz w:val="24"/>
                <w:szCs w:val="24"/>
                <w:highlight w:val="none"/>
                <w:lang w:bidi="ar"/>
              </w:rPr>
              <w:t>需求。</w:t>
            </w:r>
            <w:r>
              <w:rPr>
                <w:rFonts w:hint="eastAsia" w:ascii="仿宋" w:hAnsi="仿宋" w:eastAsia="仿宋" w:cs="仿宋"/>
                <w:color w:val="000000"/>
                <w:kern w:val="0"/>
                <w:sz w:val="24"/>
                <w:szCs w:val="24"/>
                <w:highlight w:val="none"/>
                <w:lang w:val="en-US" w:eastAsia="zh-CN" w:bidi="ar"/>
              </w:rPr>
              <w:t>2。</w:t>
            </w:r>
            <w:r>
              <w:rPr>
                <w:rFonts w:hint="eastAsia" w:ascii="仿宋" w:hAnsi="仿宋" w:eastAsia="仿宋" w:cs="仿宋"/>
                <w:color w:val="000000"/>
                <w:kern w:val="0"/>
                <w:sz w:val="24"/>
                <w:szCs w:val="24"/>
                <w:highlight w:val="none"/>
                <w:lang w:bidi="ar"/>
              </w:rPr>
              <w:t>文献搜索及分析功能</w:t>
            </w:r>
            <w:r>
              <w:rPr>
                <w:rFonts w:hint="eastAsia" w:ascii="仿宋" w:hAnsi="仿宋" w:eastAsia="仿宋" w:cs="仿宋"/>
                <w:color w:val="000000"/>
                <w:kern w:val="0"/>
                <w:sz w:val="24"/>
                <w:szCs w:val="24"/>
                <w:highlight w:val="none"/>
                <w:lang w:eastAsia="zh-CN" w:bidi="ar"/>
              </w:rPr>
              <w:t>：</w:t>
            </w:r>
            <w:r>
              <w:rPr>
                <w:rFonts w:hint="eastAsia" w:ascii="仿宋" w:hAnsi="仿宋" w:eastAsia="仿宋" w:cs="仿宋"/>
                <w:color w:val="000000"/>
                <w:kern w:val="0"/>
                <w:sz w:val="24"/>
                <w:szCs w:val="24"/>
                <w:highlight w:val="none"/>
                <w:lang w:val="en-US" w:eastAsia="zh-CN" w:bidi="ar"/>
              </w:rPr>
              <w:t>支持</w:t>
            </w:r>
            <w:r>
              <w:rPr>
                <w:rFonts w:hint="eastAsia" w:ascii="仿宋" w:hAnsi="仿宋" w:eastAsia="仿宋" w:cs="仿宋"/>
                <w:color w:val="000000"/>
                <w:kern w:val="0"/>
                <w:sz w:val="24"/>
                <w:szCs w:val="24"/>
                <w:highlight w:val="none"/>
                <w:lang w:bidi="ar"/>
              </w:rPr>
              <w:t>对文献搜索结果进行分析（来源出版物、作者、归属机构、 学科类别等）</w:t>
            </w:r>
            <w:r>
              <w:rPr>
                <w:rFonts w:hint="eastAsia" w:ascii="仿宋" w:hAnsi="仿宋" w:eastAsia="仿宋" w:cs="仿宋"/>
                <w:color w:val="000000"/>
                <w:kern w:val="0"/>
                <w:sz w:val="24"/>
                <w:szCs w:val="24"/>
                <w:highlight w:val="none"/>
                <w:lang w:eastAsia="zh-CN" w:bidi="ar"/>
              </w:rPr>
              <w:t>、</w:t>
            </w:r>
            <w:r>
              <w:rPr>
                <w:rFonts w:hint="eastAsia" w:ascii="仿宋" w:hAnsi="仿宋" w:eastAsia="仿宋" w:cs="仿宋"/>
                <w:color w:val="000000"/>
                <w:kern w:val="0"/>
                <w:sz w:val="24"/>
                <w:szCs w:val="24"/>
                <w:highlight w:val="none"/>
                <w:lang w:bidi="ar"/>
              </w:rPr>
              <w:t xml:space="preserve"> • </w:t>
            </w:r>
            <w:r>
              <w:rPr>
                <w:rFonts w:hint="eastAsia" w:ascii="仿宋" w:hAnsi="仿宋" w:eastAsia="仿宋" w:cs="仿宋"/>
                <w:color w:val="000000"/>
                <w:kern w:val="0"/>
                <w:sz w:val="24"/>
                <w:szCs w:val="24"/>
                <w:highlight w:val="none"/>
                <w:lang w:val="en-US" w:eastAsia="zh-CN" w:bidi="ar"/>
              </w:rPr>
              <w:t>支持</w:t>
            </w:r>
            <w:r>
              <w:rPr>
                <w:rFonts w:hint="eastAsia" w:ascii="仿宋" w:hAnsi="仿宋" w:eastAsia="仿宋" w:cs="仿宋"/>
                <w:color w:val="000000"/>
                <w:kern w:val="0"/>
                <w:sz w:val="24"/>
                <w:szCs w:val="24"/>
                <w:highlight w:val="none"/>
                <w:lang w:bidi="ar"/>
              </w:rPr>
              <w:t xml:space="preserve">将 Ei 数据库文献列表导出保存至 Mendeley、Ref-works、Endnote 等。 </w:t>
            </w:r>
          </w:p>
          <w:p w14:paraId="01AE29F7">
            <w:pPr>
              <w:keepNext w:val="0"/>
              <w:keepLines w:val="0"/>
              <w:widowControl/>
              <w:suppressLineNumbers w:val="0"/>
              <w:snapToGrid w:val="0"/>
              <w:ind w:left="0" w:leftChars="0" w:right="0" w:rightChars="0" w:firstLine="0" w:firstLineChars="0"/>
              <w:jc w:val="left"/>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三、</w:t>
            </w:r>
            <w:r>
              <w:rPr>
                <w:rFonts w:hint="eastAsia" w:ascii="仿宋" w:hAnsi="仿宋" w:eastAsia="仿宋" w:cs="仿宋"/>
                <w:color w:val="000000"/>
                <w:kern w:val="0"/>
                <w:sz w:val="24"/>
                <w:szCs w:val="24"/>
                <w:highlight w:val="none"/>
                <w:lang w:bidi="ar"/>
              </w:rPr>
              <w:t xml:space="preserve">服务模式 1.服务方式：IP 控制，无并发用户限制，提供远程访问。 </w:t>
            </w:r>
            <w:r>
              <w:rPr>
                <w:rFonts w:hint="eastAsia" w:ascii="仿宋" w:hAnsi="仿宋" w:eastAsia="仿宋" w:cs="仿宋"/>
                <w:color w:val="000000"/>
                <w:kern w:val="0"/>
                <w:sz w:val="24"/>
                <w:szCs w:val="24"/>
                <w:highlight w:val="none"/>
                <w:lang w:val="en-US" w:eastAsia="zh-CN" w:bidi="ar"/>
              </w:rPr>
              <w:t>2</w:t>
            </w:r>
            <w:r>
              <w:rPr>
                <w:rFonts w:hint="eastAsia" w:ascii="仿宋" w:hAnsi="仿宋" w:eastAsia="仿宋" w:cs="仿宋"/>
                <w:color w:val="000000"/>
                <w:kern w:val="0"/>
                <w:sz w:val="24"/>
                <w:szCs w:val="24"/>
                <w:highlight w:val="none"/>
                <w:lang w:bidi="ar"/>
              </w:rPr>
              <w:t xml:space="preserve">.读者培训和数据库推广：按需提供培训及推广物料。 </w:t>
            </w:r>
            <w:r>
              <w:rPr>
                <w:rFonts w:hint="eastAsia" w:ascii="仿宋" w:hAnsi="仿宋" w:eastAsia="仿宋" w:cs="仿宋"/>
                <w:color w:val="000000"/>
                <w:kern w:val="0"/>
                <w:sz w:val="24"/>
                <w:szCs w:val="24"/>
                <w:highlight w:val="none"/>
                <w:lang w:val="en-US" w:eastAsia="zh-CN" w:bidi="ar"/>
              </w:rPr>
              <w:t>3. 使用统计服务：能够提供符合COUNTER标准的官方使用统计数据，可提供集团成员馆统计数据，支持SUSHI数据收割协议，可对接集团门户自动同步使用数据。</w:t>
            </w:r>
          </w:p>
          <w:p w14:paraId="38E5EC87">
            <w:pPr>
              <w:keepNext w:val="0"/>
              <w:keepLines w:val="0"/>
              <w:widowControl/>
              <w:suppressLineNumbers w:val="0"/>
              <w:snapToGrid w:val="0"/>
              <w:jc w:val="left"/>
              <w:rPr>
                <w:rFonts w:hint="eastAsia" w:ascii="仿宋" w:hAnsi="仿宋" w:eastAsia="仿宋" w:cs="仿宋"/>
                <w:color w:val="auto"/>
                <w:sz w:val="24"/>
                <w:szCs w:val="24"/>
                <w:highlight w:val="none"/>
              </w:rPr>
            </w:pPr>
            <w:r>
              <w:rPr>
                <w:rFonts w:hint="eastAsia" w:ascii="仿宋" w:hAnsi="仿宋" w:eastAsia="仿宋" w:cs="仿宋"/>
                <w:color w:val="000000"/>
                <w:kern w:val="0"/>
                <w:sz w:val="24"/>
                <w:szCs w:val="24"/>
                <w:highlight w:val="none"/>
                <w:lang w:val="en-US" w:eastAsia="zh-CN" w:bidi="ar"/>
              </w:rPr>
              <w:t>4. 配套资源服务：提供数据库使用指南、操作视频、教学课件等全套学习资料，保障用户自主学习、日常教学、科研使用。</w:t>
            </w:r>
          </w:p>
        </w:tc>
        <w:tc>
          <w:tcPr>
            <w:tcW w:w="462" w:type="dxa"/>
            <w:noWrap w:val="0"/>
            <w:vAlign w:val="center"/>
          </w:tcPr>
          <w:p w14:paraId="0046C8F3">
            <w:pPr>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年</w:t>
            </w:r>
          </w:p>
        </w:tc>
        <w:tc>
          <w:tcPr>
            <w:tcW w:w="457" w:type="dxa"/>
            <w:noWrap w:val="0"/>
            <w:vAlign w:val="center"/>
          </w:tcPr>
          <w:p w14:paraId="57DED8C5">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1179" w:type="dxa"/>
            <w:noWrap w:val="0"/>
            <w:vAlign w:val="center"/>
          </w:tcPr>
          <w:p w14:paraId="5E363A5C">
            <w:pPr>
              <w:pageBreakBefore w:val="0"/>
              <w:kinsoku/>
              <w:wordWrap/>
              <w:overflowPunct/>
              <w:topLinePunct w:val="0"/>
              <w:autoSpaceDE/>
              <w:autoSpaceDN/>
              <w:bidi w:val="0"/>
              <w:adjustRightInd/>
              <w:snapToGrid w:val="0"/>
              <w:ind w:left="0" w:leftChars="0" w:right="0" w:rightChars="0" w:firstLine="0" w:firstLineChars="0"/>
              <w:jc w:val="righ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129072</w:t>
            </w:r>
          </w:p>
        </w:tc>
      </w:tr>
      <w:tr w14:paraId="71413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369F93AA">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0" w:type="auto"/>
            <w:noWrap w:val="0"/>
            <w:vAlign w:val="center"/>
          </w:tcPr>
          <w:p w14:paraId="015235B9">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中国科学引文索引(CSCD）数据库</w:t>
            </w:r>
          </w:p>
        </w:tc>
        <w:tc>
          <w:tcPr>
            <w:tcW w:w="0" w:type="auto"/>
            <w:noWrap w:val="0"/>
            <w:vAlign w:val="center"/>
          </w:tcPr>
          <w:p w14:paraId="4AAFC939">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 xml:space="preserve">一、要求 </w:t>
            </w:r>
          </w:p>
          <w:p w14:paraId="53CDD718">
            <w:pPr>
              <w:keepNext w:val="0"/>
              <w:keepLines w:val="0"/>
              <w:widowControl/>
              <w:suppressLineNumbers w:val="0"/>
              <w:snapToGrid w:val="0"/>
              <w:jc w:val="left"/>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1. 学科收录范围：数据库需覆盖数学、物理、化学、天文、地学、生物、农林、医药卫生、工程技术、环境科学、管理科学等全门类自然科学与主流科研学科领域。</w:t>
            </w:r>
          </w:p>
          <w:p w14:paraId="247972BC">
            <w:pPr>
              <w:keepNext w:val="0"/>
              <w:keepLines w:val="0"/>
              <w:widowControl/>
              <w:suppressLineNumbers w:val="0"/>
              <w:snapToGrid w:val="0"/>
              <w:jc w:val="left"/>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2. 期刊收录规模：收录国内正式出版的中英文核心科技期刊、优秀学术期刊数量不少于1200种，数据收录规范、专业性强、数据准确度高，能够满足国内高水平科研评价、论文检索与引文分析工作需要。</w:t>
            </w:r>
          </w:p>
          <w:p w14:paraId="56F55F74">
            <w:pPr>
              <w:keepNext w:val="0"/>
              <w:keepLines w:val="0"/>
              <w:widowControl/>
              <w:suppressLineNumbers w:val="0"/>
              <w:snapToGrid w:val="0"/>
              <w:jc w:val="left"/>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3. 数据资源体量：具备完善的论文数据与引文数据储备，拥有海量引文索引数据，可支撑大范围、多维度的文献被引查询与计量统计，可完整支撑交叉学科、新兴学科的科研文献溯源与研究分析工作。1. 多维度检索功能：系统需支持作者、关键词、发文机构、文献题名、出版物等多字段检索，可实现个人论文发表统计、机构发文统计、文献被引查询、期刊被引统计、专著被引统计等常用检索场景。</w:t>
            </w:r>
          </w:p>
          <w:p w14:paraId="12222DB7">
            <w:pPr>
              <w:keepNext w:val="0"/>
              <w:keepLines w:val="0"/>
              <w:widowControl/>
              <w:suppressLineNumbers w:val="0"/>
              <w:snapToGrid w:val="0"/>
              <w:jc w:val="left"/>
              <w:outlineLvl w:val="9"/>
              <w:rPr>
                <w:rFonts w:hint="eastAsia" w:ascii="仿宋" w:hAnsi="仿宋" w:eastAsia="仿宋" w:cs="仿宋"/>
                <w:color w:val="000000"/>
                <w:sz w:val="24"/>
                <w:szCs w:val="24"/>
                <w:highlight w:val="none"/>
                <w:lang w:bidi="ar"/>
              </w:rPr>
            </w:pPr>
            <w:r>
              <w:rPr>
                <w:rFonts w:hint="eastAsia" w:ascii="仿宋" w:hAnsi="仿宋" w:eastAsia="仿宋" w:cs="仿宋"/>
                <w:color w:val="000000"/>
                <w:kern w:val="0"/>
                <w:sz w:val="24"/>
                <w:szCs w:val="24"/>
                <w:highlight w:val="none"/>
                <w:lang w:val="en-US" w:eastAsia="zh-CN" w:bidi="ar"/>
              </w:rPr>
              <w:t>2. 多元化检索模式：支持字典式检索、命令式检索等灵活检索方式，可满足常规检索及个性化、特殊化的专业检索需求。</w:t>
            </w:r>
          </w:p>
          <w:p w14:paraId="1854C9EA">
            <w:pPr>
              <w:keepNext w:val="0"/>
              <w:keepLines w:val="0"/>
              <w:widowControl/>
              <w:suppressLineNumbers w:val="0"/>
              <w:snapToGrid w:val="0"/>
              <w:jc w:val="left"/>
              <w:outlineLvl w:val="9"/>
              <w:rPr>
                <w:rFonts w:hint="eastAsia" w:ascii="仿宋" w:hAnsi="仿宋" w:eastAsia="仿宋" w:cs="仿宋"/>
                <w:color w:val="000000"/>
                <w:sz w:val="24"/>
                <w:szCs w:val="24"/>
                <w:highlight w:val="none"/>
                <w:lang w:bidi="ar"/>
              </w:rPr>
            </w:pPr>
            <w:r>
              <w:rPr>
                <w:rFonts w:hint="eastAsia" w:ascii="仿宋" w:hAnsi="仿宋" w:eastAsia="仿宋" w:cs="仿宋"/>
                <w:color w:val="000000"/>
                <w:kern w:val="0"/>
                <w:sz w:val="24"/>
                <w:szCs w:val="24"/>
                <w:highlight w:val="none"/>
                <w:lang w:val="en-US" w:eastAsia="zh-CN" w:bidi="ar"/>
              </w:rPr>
              <w:t>3. 引文索引分析能力：具备完善的引文索引功能，可快速查询单篇文献、多位作者、机构整体的文献被引详情，可通过溯源早期文献获取最新相关研究成果，适用于交叉学科研究、前沿学科研究与文献调研工作。</w:t>
            </w:r>
          </w:p>
          <w:p w14:paraId="5C0CCD75">
            <w:pPr>
              <w:keepNext w:val="0"/>
              <w:keepLines w:val="0"/>
              <w:widowControl/>
              <w:suppressLineNumbers w:val="0"/>
              <w:snapToGrid w:val="0"/>
              <w:jc w:val="left"/>
              <w:outlineLvl w:val="9"/>
              <w:rPr>
                <w:rFonts w:hint="eastAsia" w:ascii="仿宋" w:hAnsi="仿宋" w:eastAsia="仿宋" w:cs="仿宋"/>
                <w:color w:val="000000"/>
                <w:sz w:val="24"/>
                <w:szCs w:val="24"/>
                <w:highlight w:val="none"/>
                <w:lang w:bidi="ar"/>
              </w:rPr>
            </w:pPr>
            <w:r>
              <w:rPr>
                <w:rFonts w:hint="eastAsia" w:ascii="仿宋" w:hAnsi="仿宋" w:eastAsia="仿宋" w:cs="仿宋"/>
                <w:color w:val="000000"/>
                <w:kern w:val="0"/>
                <w:sz w:val="24"/>
                <w:szCs w:val="24"/>
                <w:highlight w:val="none"/>
                <w:lang w:val="en-US" w:eastAsia="zh-CN" w:bidi="ar"/>
              </w:rPr>
              <w:t>4. 科研计量分析能力：具备成熟的文献计量统计功能，可针对机构、区域、基金项目、科研合作、人才成果、期刊影响力等维度开展数据统计分析，可从论文产出量、学术影响力两个维度客观展示科研成果情况，为科研项目评估、成果申报、人才评价、课题查新等工作提供权威量化数据支撑。</w:t>
            </w:r>
          </w:p>
          <w:p w14:paraId="0D4AAE05">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auto"/>
                <w:kern w:val="0"/>
                <w:sz w:val="24"/>
                <w:szCs w:val="24"/>
                <w:highlight w:val="none"/>
                <w:lang w:val="en-US" w:eastAsia="zh-CN" w:bidi="ar"/>
              </w:rPr>
              <w:t>二、</w:t>
            </w:r>
            <w:r>
              <w:rPr>
                <w:rFonts w:hint="eastAsia" w:ascii="仿宋" w:hAnsi="仿宋" w:eastAsia="仿宋" w:cs="仿宋"/>
                <w:color w:val="000000"/>
                <w:kern w:val="0"/>
                <w:sz w:val="24"/>
                <w:szCs w:val="24"/>
                <w:highlight w:val="none"/>
                <w:lang w:bidi="ar"/>
              </w:rPr>
              <w:t xml:space="preserve">产品服务模式 </w:t>
            </w:r>
            <w:r>
              <w:rPr>
                <w:rFonts w:hint="eastAsia" w:ascii="仿宋" w:hAnsi="仿宋" w:eastAsia="仿宋" w:cs="仿宋"/>
                <w:color w:val="000000"/>
                <w:kern w:val="0"/>
                <w:sz w:val="24"/>
                <w:szCs w:val="24"/>
                <w:highlight w:val="none"/>
                <w:lang w:val="en-US" w:eastAsia="zh-CN" w:bidi="ar"/>
              </w:rPr>
              <w:t>1.</w:t>
            </w:r>
            <w:r>
              <w:rPr>
                <w:rFonts w:hint="eastAsia" w:ascii="仿宋" w:hAnsi="仿宋" w:eastAsia="仿宋" w:cs="仿宋"/>
                <w:color w:val="000000"/>
                <w:kern w:val="0"/>
                <w:sz w:val="24"/>
                <w:szCs w:val="24"/>
                <w:highlight w:val="none"/>
                <w:lang w:bidi="ar"/>
              </w:rPr>
              <w:t xml:space="preserve">访问服务方式：互联网远程访问，采用 IP 开放授权，全年 7×24 小时提供在线服务，访问不产生国际流量费用。 </w:t>
            </w:r>
            <w:r>
              <w:rPr>
                <w:rFonts w:hint="eastAsia" w:ascii="仿宋" w:hAnsi="仿宋" w:eastAsia="仿宋" w:cs="仿宋"/>
                <w:color w:val="000000"/>
                <w:kern w:val="0"/>
                <w:sz w:val="24"/>
                <w:szCs w:val="24"/>
                <w:highlight w:val="none"/>
                <w:lang w:val="en-US" w:eastAsia="zh-CN" w:bidi="ar"/>
              </w:rPr>
              <w:t>2.</w:t>
            </w:r>
            <w:r>
              <w:rPr>
                <w:rFonts w:hint="eastAsia" w:ascii="仿宋" w:hAnsi="仿宋" w:eastAsia="仿宋" w:cs="仿宋"/>
                <w:color w:val="000000"/>
                <w:kern w:val="0"/>
                <w:sz w:val="24"/>
                <w:szCs w:val="24"/>
                <w:highlight w:val="none"/>
                <w:lang w:bidi="ar"/>
              </w:rPr>
              <w:t>并发访问：不设置并发用户数量限制用户培训与推广：可根据采购方需求，每年到校开展至少 1 场数据库使用培训与宣传讲座；采购方可参加供应商组织的集中培训、学术交流活动</w:t>
            </w:r>
            <w:r>
              <w:rPr>
                <w:rFonts w:hint="eastAsia" w:ascii="仿宋" w:hAnsi="仿宋" w:eastAsia="仿宋" w:cs="仿宋"/>
                <w:color w:val="000000"/>
                <w:kern w:val="0"/>
                <w:sz w:val="24"/>
                <w:szCs w:val="24"/>
                <w:highlight w:val="none"/>
                <w:lang w:eastAsia="zh-CN" w:bidi="ar"/>
              </w:rPr>
              <w:t>。</w:t>
            </w:r>
            <w:r>
              <w:rPr>
                <w:rFonts w:hint="eastAsia" w:ascii="仿宋" w:hAnsi="仿宋" w:eastAsia="仿宋" w:cs="仿宋"/>
                <w:color w:val="000000"/>
                <w:kern w:val="0"/>
                <w:sz w:val="24"/>
                <w:szCs w:val="24"/>
                <w:highlight w:val="none"/>
                <w:lang w:val="en-US" w:eastAsia="zh-CN" w:bidi="ar"/>
              </w:rPr>
              <w:t>4.</w:t>
            </w:r>
            <w:r>
              <w:rPr>
                <w:rFonts w:hint="eastAsia" w:ascii="仿宋" w:hAnsi="仿宋" w:eastAsia="仿宋" w:cs="仿宋"/>
                <w:color w:val="000000"/>
                <w:kern w:val="0"/>
                <w:sz w:val="24"/>
                <w:szCs w:val="24"/>
                <w:highlight w:val="none"/>
                <w:lang w:bidi="ar"/>
              </w:rPr>
              <w:t>使用统计权限：提供在线账号，支持查询符合 COUNTER 标准的使用统计数据 5.</w:t>
            </w:r>
            <w:r>
              <w:rPr>
                <w:rFonts w:hint="eastAsia" w:ascii="仿宋" w:hAnsi="仿宋" w:eastAsia="仿宋" w:cs="仿宋"/>
                <w:color w:val="000000"/>
                <w:kern w:val="0"/>
                <w:sz w:val="24"/>
                <w:szCs w:val="24"/>
                <w:highlight w:val="none"/>
                <w:lang w:val="en-US" w:eastAsia="zh-CN" w:bidi="ar"/>
              </w:rPr>
              <w:t>其他：</w:t>
            </w:r>
            <w:r>
              <w:rPr>
                <w:rFonts w:hint="eastAsia" w:ascii="仿宋" w:hAnsi="仿宋" w:eastAsia="仿宋" w:cs="仿宋"/>
                <w:color w:val="000000"/>
                <w:kern w:val="0"/>
                <w:sz w:val="24"/>
                <w:szCs w:val="24"/>
                <w:highlight w:val="none"/>
                <w:lang w:bidi="ar"/>
              </w:rPr>
              <w:t>（1）多语言界面：系统支持中文、英文、日文操作界面切换。（2）多字段检索：支持主题、标题、作者、作者识别号、出版物名称、DOI、出版年、地址、语种、文献类型、入藏号等字段检索。（3）多格式导出：支持 BibTeX、HTML、纯文本、Windows/Mac 制表符分隔及 UTF-8 编码制表符分隔等多种数据导出格式。（4）运维保障：系统发生故障时，供应商须在 48 小时内完成排查及修复。</w:t>
            </w:r>
          </w:p>
        </w:tc>
        <w:tc>
          <w:tcPr>
            <w:tcW w:w="462" w:type="dxa"/>
            <w:noWrap w:val="0"/>
            <w:vAlign w:val="center"/>
          </w:tcPr>
          <w:p w14:paraId="2BACC2EE">
            <w:pPr>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年</w:t>
            </w:r>
          </w:p>
        </w:tc>
        <w:tc>
          <w:tcPr>
            <w:tcW w:w="457" w:type="dxa"/>
            <w:noWrap w:val="0"/>
            <w:vAlign w:val="center"/>
          </w:tcPr>
          <w:p w14:paraId="09546BB2">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1179" w:type="dxa"/>
            <w:noWrap w:val="0"/>
            <w:vAlign w:val="center"/>
          </w:tcPr>
          <w:p w14:paraId="0A276C7E">
            <w:pPr>
              <w:pageBreakBefore w:val="0"/>
              <w:kinsoku/>
              <w:wordWrap/>
              <w:overflowPunct/>
              <w:topLinePunct w:val="0"/>
              <w:autoSpaceDE/>
              <w:autoSpaceDN/>
              <w:bidi w:val="0"/>
              <w:adjustRightInd/>
              <w:snapToGrid w:val="0"/>
              <w:ind w:left="0" w:leftChars="0" w:right="0" w:rightChars="0" w:firstLine="0" w:firstLineChars="0"/>
              <w:jc w:val="right"/>
              <w:textAlignment w:val="auto"/>
              <w:outlineLvl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38775</w:t>
            </w:r>
          </w:p>
        </w:tc>
      </w:tr>
      <w:tr w14:paraId="3183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6469AA13">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0" w:type="auto"/>
            <w:noWrap w:val="0"/>
            <w:vAlign w:val="center"/>
          </w:tcPr>
          <w:p w14:paraId="05900BE8">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CAB abstracts（CAB 文摘库）</w:t>
            </w:r>
          </w:p>
        </w:tc>
        <w:tc>
          <w:tcPr>
            <w:tcW w:w="0" w:type="auto"/>
            <w:noWrap w:val="0"/>
            <w:vAlign w:val="center"/>
          </w:tcPr>
          <w:p w14:paraId="16DF9C95">
            <w:pPr>
              <w:keepNext/>
              <w:keepLines/>
              <w:pageBreakBefore w:val="0"/>
              <w:widowControl w:val="0"/>
              <w:kinsoku/>
              <w:wordWrap/>
              <w:overflowPunct/>
              <w:topLinePunct w:val="0"/>
              <w:autoSpaceDE/>
              <w:autoSpaceDN/>
              <w:bidi w:val="0"/>
              <w:adjustRightInd/>
              <w:snapToGrid w:val="0"/>
              <w:spacing w:before="0" w:after="0" w:line="240" w:lineRule="auto"/>
              <w:ind w:left="0" w:leftChars="0" w:right="0" w:rightChars="0" w:firstLine="0" w:firstLineChars="0"/>
              <w:jc w:val="left"/>
              <w:textAlignment w:val="auto"/>
              <w:outlineLvl w:val="9"/>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一、资源内容要求：数据库要求覆盖农业、林业、生命科学领域，包含动植物管理、种养、植保、遗传、林业工程、农业经济、畜牧兽医、人类营养、欠发达地区发展等学科。</w:t>
            </w:r>
          </w:p>
          <w:p w14:paraId="7435DEB2">
            <w:pPr>
              <w:pageBreakBefore w:val="0"/>
              <w:widowControl w:val="0"/>
              <w:numPr>
                <w:ilvl w:val="0"/>
                <w:numId w:val="0"/>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1.索引记录数：收录引文不少于1000万条；</w:t>
            </w:r>
          </w:p>
          <w:p w14:paraId="1C9B9176">
            <w:pPr>
              <w:pageBreakBefore w:val="0"/>
              <w:widowControl w:val="0"/>
              <w:numPr>
                <w:ilvl w:val="0"/>
                <w:numId w:val="0"/>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2.覆盖期刊种数：可覆盖不少于7500种期刊；</w:t>
            </w:r>
          </w:p>
          <w:p w14:paraId="453E2347">
            <w:pPr>
              <w:pageBreakBefore w:val="0"/>
              <w:widowControl w:val="0"/>
              <w:numPr>
                <w:ilvl w:val="0"/>
                <w:numId w:val="0"/>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3.术语词库：需包含超过300+万个术语及大量同义词；</w:t>
            </w:r>
          </w:p>
          <w:p w14:paraId="75112988">
            <w:pPr>
              <w:pageBreakBefore w:val="0"/>
              <w:widowControl w:val="0"/>
              <w:numPr>
                <w:ilvl w:val="0"/>
                <w:numId w:val="0"/>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4.更新频率：数据库需每周更新；</w:t>
            </w:r>
          </w:p>
          <w:p w14:paraId="0802A736">
            <w:pPr>
              <w:pageBreakBefore w:val="0"/>
              <w:widowControl w:val="0"/>
              <w:numPr>
                <w:ilvl w:val="0"/>
                <w:numId w:val="0"/>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5.PDF资源：需包含不少于4万份PDF格式文件。</w:t>
            </w:r>
          </w:p>
          <w:p w14:paraId="298AAAD7">
            <w:pPr>
              <w:keepNext/>
              <w:keepLines/>
              <w:pageBreakBefore w:val="0"/>
              <w:widowControl w:val="0"/>
              <w:kinsoku/>
              <w:wordWrap/>
              <w:overflowPunct/>
              <w:topLinePunct w:val="0"/>
              <w:autoSpaceDE/>
              <w:autoSpaceDN/>
              <w:bidi w:val="0"/>
              <w:adjustRightInd/>
              <w:snapToGrid w:val="0"/>
              <w:spacing w:before="0" w:after="0" w:line="240" w:lineRule="auto"/>
              <w:ind w:left="0" w:leftChars="0" w:right="0" w:rightChars="0" w:firstLine="0" w:firstLineChars="0"/>
              <w:jc w:val="left"/>
              <w:textAlignment w:val="auto"/>
              <w:outlineLvl w:val="9"/>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二、平台功能要求：</w:t>
            </w:r>
          </w:p>
          <w:p w14:paraId="7893FF73">
            <w:pPr>
              <w:pageBreakBefore w:val="0"/>
              <w:widowControl w:val="0"/>
              <w:numPr>
                <w:ilvl w:val="0"/>
                <w:numId w:val="0"/>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检索功能：支持基本检索、高级检索、检索工具、常用字段检索、字段检索、多字段检索等6种检索模式；提供过滤方式和限制功能两种模式对检索结果进行多次筛选；检索结果可以根据出版时间、相关度等多种方式排序。主题词、作者等都可使用超链接直接进行二次检索；</w:t>
            </w:r>
          </w:p>
          <w:p w14:paraId="5D06D283">
            <w:pPr>
              <w:pageBreakBefore w:val="0"/>
              <w:widowControl w:val="0"/>
              <w:numPr>
                <w:ilvl w:val="0"/>
                <w:numId w:val="0"/>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2浏览功能：提供期刊和图书按题名首字母排序浏览和主题分类浏览；</w:t>
            </w:r>
          </w:p>
          <w:p w14:paraId="713B98C9">
            <w:pPr>
              <w:pageBreakBefore w:val="0"/>
              <w:widowControl w:val="0"/>
              <w:numPr>
                <w:ilvl w:val="0"/>
                <w:numId w:val="0"/>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3文摘数据库内容做精确标引处理，提供主题词、分类、CAS注册号等标引项；</w:t>
            </w:r>
          </w:p>
          <w:p w14:paraId="70B2AB16">
            <w:pPr>
              <w:pageBreakBefore w:val="0"/>
              <w:widowControl w:val="0"/>
              <w:numPr>
                <w:ilvl w:val="0"/>
                <w:numId w:val="0"/>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4检索结果可以批量输出，能够支持进行打印、电邮发送、文件（Word文件、Excel文件和PDF文件）输出、兼容文献管理工具（EndNote，RefWorks等）；提供全文跳转链接，主题词、作者超链接；</w:t>
            </w:r>
          </w:p>
          <w:p w14:paraId="3DDB9588">
            <w:pPr>
              <w:pageBreakBefore w:val="0"/>
              <w:widowControl w:val="0"/>
              <w:numPr>
                <w:ilvl w:val="0"/>
                <w:numId w:val="0"/>
              </w:numPr>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5提供个性化定制功能，支持用户账号登录个人工作区，可在线标引、收藏重点文献；提供自动定题题录功能，帮助用户跟踪最新发展趋势，便捷收取最新文献成果。</w:t>
            </w:r>
          </w:p>
        </w:tc>
        <w:tc>
          <w:tcPr>
            <w:tcW w:w="462" w:type="dxa"/>
            <w:noWrap w:val="0"/>
            <w:vAlign w:val="center"/>
          </w:tcPr>
          <w:p w14:paraId="6CED11A1">
            <w:pPr>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年</w:t>
            </w:r>
          </w:p>
        </w:tc>
        <w:tc>
          <w:tcPr>
            <w:tcW w:w="457" w:type="dxa"/>
            <w:noWrap w:val="0"/>
            <w:vAlign w:val="center"/>
          </w:tcPr>
          <w:p w14:paraId="40840830">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1179" w:type="dxa"/>
            <w:noWrap w:val="0"/>
            <w:vAlign w:val="center"/>
          </w:tcPr>
          <w:p w14:paraId="7E2AB02C">
            <w:pPr>
              <w:pageBreakBefore w:val="0"/>
              <w:kinsoku/>
              <w:wordWrap/>
              <w:overflowPunct/>
              <w:topLinePunct w:val="0"/>
              <w:autoSpaceDE/>
              <w:autoSpaceDN/>
              <w:bidi w:val="0"/>
              <w:adjustRightInd/>
              <w:snapToGrid w:val="0"/>
              <w:ind w:left="0" w:leftChars="0" w:right="0" w:rightChars="0" w:firstLine="0" w:firstLineChars="0"/>
              <w:jc w:val="right"/>
              <w:textAlignment w:val="auto"/>
              <w:outlineLvl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58682</w:t>
            </w:r>
          </w:p>
        </w:tc>
      </w:tr>
      <w:tr w14:paraId="545A6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430C2359">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w:t>
            </w:r>
          </w:p>
        </w:tc>
        <w:tc>
          <w:tcPr>
            <w:tcW w:w="0" w:type="auto"/>
            <w:noWrap w:val="0"/>
            <w:vAlign w:val="center"/>
          </w:tcPr>
          <w:p w14:paraId="1623C66D">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ProQuest生农库</w:t>
            </w:r>
          </w:p>
        </w:tc>
        <w:tc>
          <w:tcPr>
            <w:tcW w:w="0" w:type="auto"/>
            <w:noWrap w:val="0"/>
            <w:vAlign w:val="center"/>
          </w:tcPr>
          <w:p w14:paraId="5785BEE2">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一、产品内容和性能指标：</w:t>
            </w:r>
          </w:p>
          <w:p w14:paraId="777D7BB3">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1.</w:t>
            </w:r>
            <w:r>
              <w:rPr>
                <w:rFonts w:hint="eastAsia" w:ascii="仿宋" w:hAnsi="仿宋" w:eastAsia="仿宋" w:cs="仿宋"/>
                <w:color w:val="000000"/>
                <w:kern w:val="0"/>
                <w:sz w:val="24"/>
                <w:szCs w:val="24"/>
                <w:highlight w:val="none"/>
                <w:lang w:bidi="ar"/>
              </w:rPr>
              <w:t>生物科学数据库</w:t>
            </w:r>
          </w:p>
          <w:p w14:paraId="67CAE1C8">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须提供生物科学综合文献资源，收录年限自 1946 年至今，出版物不少于 2300 种，其中全文期刊不少于 1600 种。覆盖生物学、微生物学、生物化学、遗传学、生物技术、生态学、神经科学、免疫学等学科。收录文献含学术期刊、行业刊物、技术报告、图书、会议论文、政府出版物，满足生物领域教学科研文献检索需求。</w:t>
            </w:r>
          </w:p>
          <w:p w14:paraId="2EE629DB">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2.</w:t>
            </w:r>
            <w:r>
              <w:rPr>
                <w:rFonts w:hint="eastAsia" w:ascii="仿宋" w:hAnsi="仿宋" w:eastAsia="仿宋" w:cs="仿宋"/>
                <w:color w:val="000000"/>
                <w:kern w:val="0"/>
                <w:sz w:val="24"/>
                <w:szCs w:val="24"/>
                <w:highlight w:val="none"/>
                <w:lang w:bidi="ar"/>
              </w:rPr>
              <w:t>农业与环境科学数据库</w:t>
            </w:r>
          </w:p>
          <w:p w14:paraId="59DAF24F">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须提供农学、环境科学专业文献资源，收录年限自 1960 年至今，出版物不少于 2800 种，其中全文期刊不少于 2100 种。覆盖农业经济、动物兽医、水产渔业、食品营养、林业、植物与环境科学等领域。文献类型包含期刊、报告、图书、会议论文、政府出版物，支撑农业、环境学科科研与文献调研</w:t>
            </w:r>
          </w:p>
          <w:p w14:paraId="2742457D">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二、产品服务模式</w:t>
            </w:r>
          </w:p>
          <w:p w14:paraId="4A9FC16C">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1.服务方式：远程访问</w:t>
            </w:r>
          </w:p>
          <w:p w14:paraId="2BA1C6AE">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https://www.proquest.com/agricenvironm；https://www.proquest.com/biologicalscience1/index</w:t>
            </w:r>
          </w:p>
          <w:p w14:paraId="4461D8A4">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2.并发数：无限制</w:t>
            </w:r>
          </w:p>
          <w:p w14:paraId="7D409219">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3.读者培训和数据库推广：按需求提供网络培训</w:t>
            </w:r>
            <w:r>
              <w:rPr>
                <w:rFonts w:hint="eastAsia" w:ascii="仿宋" w:hAnsi="仿宋" w:eastAsia="仿宋" w:cs="仿宋"/>
                <w:color w:val="000000"/>
                <w:kern w:val="0"/>
                <w:sz w:val="24"/>
                <w:szCs w:val="24"/>
                <w:highlight w:val="none"/>
                <w:lang w:val="en-US" w:eastAsia="zh-CN" w:bidi="ar"/>
              </w:rPr>
              <w:t>等活动</w:t>
            </w:r>
          </w:p>
          <w:p w14:paraId="0D0EC6FC">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4.使用量统计权限：按需求提供</w:t>
            </w:r>
          </w:p>
        </w:tc>
        <w:tc>
          <w:tcPr>
            <w:tcW w:w="462" w:type="dxa"/>
            <w:noWrap w:val="0"/>
            <w:vAlign w:val="center"/>
          </w:tcPr>
          <w:p w14:paraId="30515A46">
            <w:pPr>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年</w:t>
            </w:r>
          </w:p>
        </w:tc>
        <w:tc>
          <w:tcPr>
            <w:tcW w:w="457" w:type="dxa"/>
            <w:noWrap w:val="0"/>
            <w:vAlign w:val="center"/>
          </w:tcPr>
          <w:p w14:paraId="23DF2DF7">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1179" w:type="dxa"/>
            <w:noWrap w:val="0"/>
            <w:vAlign w:val="center"/>
          </w:tcPr>
          <w:p w14:paraId="0C576465">
            <w:pPr>
              <w:pageBreakBefore w:val="0"/>
              <w:kinsoku/>
              <w:wordWrap/>
              <w:overflowPunct/>
              <w:topLinePunct w:val="0"/>
              <w:autoSpaceDE/>
              <w:autoSpaceDN/>
              <w:bidi w:val="0"/>
              <w:adjustRightInd/>
              <w:snapToGrid w:val="0"/>
              <w:ind w:left="0" w:leftChars="0" w:right="0" w:rightChars="0" w:firstLine="0" w:firstLineChars="0"/>
              <w:jc w:val="right"/>
              <w:textAlignment w:val="auto"/>
              <w:outlineLvl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109138</w:t>
            </w:r>
          </w:p>
        </w:tc>
      </w:tr>
      <w:tr w14:paraId="5F7C0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66C69888">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0" w:type="auto"/>
            <w:noWrap w:val="0"/>
            <w:vAlign w:val="center"/>
          </w:tcPr>
          <w:p w14:paraId="56ADDB1A">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ESI</w:t>
            </w:r>
          </w:p>
        </w:tc>
        <w:tc>
          <w:tcPr>
            <w:tcW w:w="0" w:type="auto"/>
            <w:noWrap w:val="0"/>
            <w:vAlign w:val="center"/>
          </w:tcPr>
          <w:p w14:paraId="72B13E1F">
            <w:pPr>
              <w:keepNext/>
              <w:keepLines/>
              <w:pageBreakBefore w:val="0"/>
              <w:widowControl w:val="0"/>
              <w:kinsoku/>
              <w:wordWrap/>
              <w:overflowPunct/>
              <w:topLinePunct w:val="0"/>
              <w:autoSpaceDE/>
              <w:autoSpaceDN/>
              <w:bidi w:val="0"/>
              <w:adjustRightInd/>
              <w:snapToGrid w:val="0"/>
              <w:spacing w:before="0" w:after="0" w:line="240" w:lineRule="auto"/>
              <w:ind w:left="0" w:leftChars="0" w:right="0" w:rightChars="0" w:firstLine="0" w:firstLineChars="0"/>
              <w:jc w:val="left"/>
              <w:textAlignment w:val="auto"/>
              <w:outlineLvl w:val="9"/>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一、产品内容及要求：本科研分析工具需依托权威核心学术文献数据，收录SCIE、SSCI 期刊不少于 12200 种，仅收录正式学术论文、综述类有效文献。所有期刊需按照22 个标准学科门类逐一精准分类标引，学科划分独立无重叠，保障科研数据分析精准规范。</w:t>
            </w:r>
          </w:p>
          <w:p w14:paraId="62257A8E">
            <w:pPr>
              <w:keepNext/>
              <w:keepLines/>
              <w:pageBreakBefore w:val="0"/>
              <w:widowControl w:val="0"/>
              <w:kinsoku/>
              <w:wordWrap/>
              <w:overflowPunct/>
              <w:topLinePunct w:val="0"/>
              <w:autoSpaceDE/>
              <w:autoSpaceDN/>
              <w:bidi w:val="0"/>
              <w:adjustRightInd/>
              <w:snapToGrid w:val="0"/>
              <w:spacing w:before="0" w:after="0" w:line="240" w:lineRule="auto"/>
              <w:ind w:left="0" w:leftChars="0" w:right="0" w:rightChars="0" w:firstLine="0" w:firstLineChars="0"/>
              <w:jc w:val="left"/>
              <w:textAlignment w:val="auto"/>
              <w:outlineLvl w:val="9"/>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系统数据每两月更新一次，留存近十年滚动统计数据，内置标准化科研绩效基准指标，可用于机构科研水平评估、学科影响力分析、科研成果统计研判等工作。</w:t>
            </w:r>
          </w:p>
          <w:p w14:paraId="076F32EB">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二、</w:t>
            </w:r>
            <w:r>
              <w:rPr>
                <w:rFonts w:hint="eastAsia" w:ascii="仿宋" w:hAnsi="仿宋" w:eastAsia="仿宋" w:cs="仿宋"/>
                <w:color w:val="000000"/>
                <w:kern w:val="0"/>
                <w:sz w:val="24"/>
                <w:szCs w:val="24"/>
                <w:highlight w:val="none"/>
                <w:lang w:bidi="ar"/>
              </w:rPr>
              <w:t>访问方式：IP认证远程访问，无并发用户限制；安装方式：在线开通。</w:t>
            </w:r>
          </w:p>
          <w:p w14:paraId="645F55B8">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三、</w:t>
            </w:r>
            <w:r>
              <w:rPr>
                <w:rFonts w:hint="eastAsia" w:ascii="仿宋" w:hAnsi="仿宋" w:eastAsia="仿宋" w:cs="仿宋"/>
                <w:color w:val="000000"/>
                <w:kern w:val="0"/>
                <w:sz w:val="24"/>
                <w:szCs w:val="24"/>
                <w:highlight w:val="none"/>
                <w:lang w:bidi="ar"/>
              </w:rPr>
              <w:t>功能</w:t>
            </w:r>
            <w:r>
              <w:rPr>
                <w:rFonts w:hint="eastAsia" w:ascii="仿宋" w:hAnsi="仿宋" w:eastAsia="仿宋" w:cs="仿宋"/>
                <w:color w:val="000000"/>
                <w:kern w:val="0"/>
                <w:sz w:val="24"/>
                <w:szCs w:val="24"/>
                <w:highlight w:val="none"/>
                <w:lang w:val="en-US" w:eastAsia="zh-CN" w:bidi="ar"/>
              </w:rPr>
              <w:t>要求</w:t>
            </w:r>
            <w:r>
              <w:rPr>
                <w:rFonts w:hint="eastAsia" w:ascii="仿宋" w:hAnsi="仿宋" w:eastAsia="仿宋" w:cs="仿宋"/>
                <w:color w:val="000000"/>
                <w:kern w:val="0"/>
                <w:sz w:val="24"/>
                <w:szCs w:val="24"/>
                <w:highlight w:val="none"/>
                <w:lang w:bidi="ar"/>
              </w:rPr>
              <w:t>：系统需具备多维度科研分析能力，可对机构、国家、期刊科研成果进行统计分析，研判自然科学、社会科学领域科研发展趋势；支持分学科对优质国家、期刊、科研人员、高影响力论文、科研机构进行排名对比；可精准研判各学科科研产出规模与学术影响力，梳理各领域最新研究前沿。同时支持对科研人才、合作单位、审稿专家、同类科研机构开展综合评估，满足科研管理、学科建设、成果评价工作需求。</w:t>
            </w:r>
          </w:p>
        </w:tc>
        <w:tc>
          <w:tcPr>
            <w:tcW w:w="462" w:type="dxa"/>
            <w:noWrap w:val="0"/>
            <w:vAlign w:val="center"/>
          </w:tcPr>
          <w:p w14:paraId="361DC476">
            <w:pPr>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年</w:t>
            </w:r>
          </w:p>
        </w:tc>
        <w:tc>
          <w:tcPr>
            <w:tcW w:w="457" w:type="dxa"/>
            <w:noWrap w:val="0"/>
            <w:vAlign w:val="center"/>
          </w:tcPr>
          <w:p w14:paraId="5E2BC561">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1179" w:type="dxa"/>
            <w:noWrap w:val="0"/>
            <w:vAlign w:val="center"/>
          </w:tcPr>
          <w:p w14:paraId="5A7E1408">
            <w:pPr>
              <w:pageBreakBefore w:val="0"/>
              <w:kinsoku/>
              <w:wordWrap/>
              <w:overflowPunct/>
              <w:topLinePunct w:val="0"/>
              <w:autoSpaceDE/>
              <w:autoSpaceDN/>
              <w:bidi w:val="0"/>
              <w:adjustRightInd/>
              <w:snapToGrid w:val="0"/>
              <w:ind w:left="0" w:leftChars="0" w:right="0" w:rightChars="0" w:firstLine="0" w:firstLineChars="0"/>
              <w:jc w:val="right"/>
              <w:textAlignment w:val="auto"/>
              <w:outlineLvl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152799</w:t>
            </w:r>
          </w:p>
        </w:tc>
      </w:tr>
      <w:tr w14:paraId="56D3A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7" w:type="dxa"/>
            <w:noWrap w:val="0"/>
            <w:vAlign w:val="center"/>
          </w:tcPr>
          <w:p w14:paraId="0B774993">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1536" w:type="dxa"/>
            <w:noWrap w:val="0"/>
            <w:vAlign w:val="center"/>
          </w:tcPr>
          <w:p w14:paraId="1970EC3A">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InCites</w:t>
            </w:r>
          </w:p>
        </w:tc>
        <w:tc>
          <w:tcPr>
            <w:tcW w:w="5444" w:type="dxa"/>
            <w:noWrap w:val="0"/>
            <w:vAlign w:val="center"/>
          </w:tcPr>
          <w:p w14:paraId="21FFC28E">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一、产品要求：</w:t>
            </w:r>
            <w:r>
              <w:rPr>
                <w:rFonts w:hint="eastAsia" w:ascii="仿宋" w:hAnsi="仿宋" w:eastAsia="仿宋" w:cs="仿宋"/>
                <w:color w:val="000000"/>
                <w:kern w:val="0"/>
                <w:sz w:val="24"/>
                <w:szCs w:val="24"/>
                <w:highlight w:val="none"/>
                <w:lang w:bidi="ar"/>
              </w:rPr>
              <w:t>系统需支持不少于14套主流学科分类体系，包含ESI学科、WOS学科、教育部一级学科、引文主题学科等分类标准，适配国内学科评估、科研统计与国际对标分析需求。</w:t>
            </w:r>
          </w:p>
          <w:p w14:paraId="0E143E49">
            <w:pPr>
              <w:pageBreakBefore w:val="0"/>
              <w:widowControl/>
              <w:kinsoku/>
              <w:wordWrap/>
              <w:overflowPunct/>
              <w:topLinePunct w:val="0"/>
              <w:autoSpaceDE/>
              <w:autoSpaceDN/>
              <w:bidi w:val="0"/>
              <w:adjustRightInd/>
              <w:snapToGrid w:val="0"/>
              <w:ind w:left="0" w:leftChars="0" w:right="0" w:rightChars="0" w:firstLine="0" w:firstLineChars="0"/>
              <w:jc w:val="left"/>
              <w:textAlignment w:val="auto"/>
              <w:outlineLvl w:val="9"/>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二、</w:t>
            </w:r>
            <w:r>
              <w:rPr>
                <w:rFonts w:hint="eastAsia" w:ascii="仿宋" w:hAnsi="仿宋" w:eastAsia="仿宋" w:cs="仿宋"/>
                <w:color w:val="000000"/>
                <w:kern w:val="0"/>
                <w:sz w:val="24"/>
                <w:szCs w:val="24"/>
                <w:highlight w:val="none"/>
                <w:lang w:bidi="ar"/>
              </w:rPr>
              <w:t>访问方式：IP认证远程访问，无并发用户限制；安装方式：在线开通；</w:t>
            </w:r>
            <w:r>
              <w:rPr>
                <w:rFonts w:hint="eastAsia" w:ascii="仿宋" w:hAnsi="仿宋" w:eastAsia="仿宋" w:cs="仿宋"/>
                <w:color w:val="000000"/>
                <w:kern w:val="0"/>
                <w:sz w:val="24"/>
                <w:szCs w:val="24"/>
                <w:highlight w:val="none"/>
                <w:lang w:bidi="ar"/>
              </w:rPr>
              <w:tab/>
            </w:r>
          </w:p>
          <w:p w14:paraId="5AE84713">
            <w:pPr>
              <w:keepNext w:val="0"/>
              <w:keepLines w:val="0"/>
              <w:widowControl/>
              <w:suppressLineNumbers w:val="0"/>
              <w:jc w:val="left"/>
              <w:rPr>
                <w:rFonts w:hint="eastAsia" w:ascii="仿宋" w:hAnsi="仿宋" w:eastAsia="宋体" w:cs="仿宋"/>
                <w:color w:val="auto"/>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三、功能要求：系统需具备综合性科研评价与分析能力，可对机构学科发展现状进行量化分析，助力优化学科建设布局；支持机构科研绩效对标研判，明确机构全球学术定位。可精准梳理机构科研成果主题分布，识别优势研究方向、核心贡献人员、重点资助基金及核心发表期刊。能够全面分析机构科研合作网络与合作成效，筛选优质合作对象；可量化评价科研人员学术表现，挖掘潜在优秀科研人才，并统计分析各类基金资助来源与规律，为科研管理、学科建设、人才培养、合作交流及基金项目申报提供全面的数据支撑。四、数据更新频率：需每月完成全量数据更新，保障科研分析数据的实时性与准确性。</w:t>
            </w:r>
          </w:p>
        </w:tc>
        <w:tc>
          <w:tcPr>
            <w:tcW w:w="877" w:type="dxa"/>
            <w:noWrap w:val="0"/>
            <w:vAlign w:val="center"/>
          </w:tcPr>
          <w:p w14:paraId="288FDD14">
            <w:pPr>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年</w:t>
            </w:r>
          </w:p>
        </w:tc>
        <w:tc>
          <w:tcPr>
            <w:tcW w:w="457" w:type="dxa"/>
            <w:noWrap w:val="0"/>
            <w:vAlign w:val="center"/>
          </w:tcPr>
          <w:p w14:paraId="614D430E">
            <w:pPr>
              <w:pageBreakBefore w:val="0"/>
              <w:kinsoku/>
              <w:wordWrap/>
              <w:overflowPunct/>
              <w:topLinePunct w:val="0"/>
              <w:autoSpaceDE/>
              <w:autoSpaceDN/>
              <w:bidi w:val="0"/>
              <w:adjustRightInd/>
              <w:snapToGrid w:val="0"/>
              <w:ind w:left="0" w:leftChars="0" w:right="0" w:rightChars="0" w:firstLine="0" w:firstLineChars="0"/>
              <w:jc w:val="center"/>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1179" w:type="dxa"/>
            <w:noWrap w:val="0"/>
            <w:vAlign w:val="center"/>
          </w:tcPr>
          <w:p w14:paraId="79369FB7">
            <w:pPr>
              <w:pageBreakBefore w:val="0"/>
              <w:kinsoku/>
              <w:wordWrap/>
              <w:overflowPunct/>
              <w:topLinePunct w:val="0"/>
              <w:autoSpaceDE/>
              <w:autoSpaceDN/>
              <w:bidi w:val="0"/>
              <w:adjustRightInd/>
              <w:snapToGrid w:val="0"/>
              <w:ind w:left="0" w:leftChars="0" w:right="0" w:rightChars="0" w:firstLine="0" w:firstLineChars="0"/>
              <w:jc w:val="right"/>
              <w:textAlignment w:val="auto"/>
              <w:outlineLvl w:val="9"/>
              <w:rPr>
                <w:rFonts w:hint="eastAsia" w:ascii="仿宋" w:hAnsi="仿宋" w:eastAsia="仿宋" w:cs="仿宋"/>
                <w:kern w:val="0"/>
                <w:sz w:val="24"/>
                <w:szCs w:val="24"/>
                <w:highlight w:val="none"/>
              </w:rPr>
            </w:pPr>
            <w:r>
              <w:rPr>
                <w:rFonts w:hint="eastAsia" w:ascii="仿宋" w:hAnsi="仿宋" w:eastAsia="仿宋" w:cs="仿宋"/>
                <w:sz w:val="24"/>
                <w:szCs w:val="24"/>
                <w:highlight w:val="none"/>
              </w:rPr>
              <w:t>104086</w:t>
            </w:r>
          </w:p>
        </w:tc>
      </w:tr>
    </w:tbl>
    <w:p w14:paraId="21A8E49D">
      <w:pPr>
        <w:spacing w:line="360" w:lineRule="auto"/>
        <w:rPr>
          <w:rFonts w:hint="eastAsia" w:ascii="仿宋" w:hAnsi="仿宋" w:eastAsia="仿宋" w:cs="仿宋"/>
          <w:color w:val="auto"/>
          <w:kern w:val="0"/>
          <w:sz w:val="24"/>
          <w:szCs w:val="24"/>
          <w:highlight w:val="none"/>
          <w:shd w:val="clear" w:color="auto" w:fill="FFFFFF" w:themeFill="background1"/>
          <w:lang w:val="en-US" w:eastAsia="zh-CN"/>
        </w:rPr>
      </w:pPr>
    </w:p>
    <w:p w14:paraId="025DCCA8">
      <w:pPr>
        <w:spacing w:line="240" w:lineRule="auto"/>
        <w:jc w:val="left"/>
        <w:outlineLvl w:val="9"/>
        <w:rPr>
          <w:rFonts w:hint="eastAsia" w:ascii="仿宋" w:hAnsi="仿宋" w:eastAsia="仿宋" w:cs="仿宋"/>
          <w:b w:val="0"/>
          <w:bCs/>
          <w:color w:val="auto"/>
          <w:sz w:val="36"/>
          <w:szCs w:val="36"/>
          <w:highlight w:val="none"/>
          <w:shd w:val="clear" w:color="auto" w:fill="FFFFFF" w:themeFill="background1"/>
          <w:lang w:eastAsia="zh-CN"/>
        </w:rPr>
      </w:pPr>
      <w:bookmarkStart w:id="39" w:name="_Toc25428"/>
      <w:r>
        <w:rPr>
          <w:rFonts w:hint="eastAsia" w:ascii="仿宋" w:hAnsi="仿宋" w:eastAsia="仿宋" w:cs="仿宋"/>
          <w:b w:val="0"/>
          <w:bCs/>
          <w:color w:val="auto"/>
          <w:sz w:val="36"/>
          <w:szCs w:val="36"/>
          <w:highlight w:val="none"/>
          <w:shd w:val="clear" w:color="auto" w:fill="FFFFFF" w:themeFill="background1"/>
          <w:lang w:eastAsia="zh-CN"/>
        </w:rPr>
        <w:br w:type="page"/>
      </w:r>
    </w:p>
    <w:p w14:paraId="1FC9BAA4">
      <w:pPr>
        <w:spacing w:line="360" w:lineRule="auto"/>
        <w:jc w:val="center"/>
        <w:outlineLvl w:val="0"/>
        <w:rPr>
          <w:rFonts w:hint="eastAsia" w:ascii="仿宋" w:hAnsi="仿宋" w:eastAsia="仿宋" w:cs="仿宋"/>
          <w:b w:val="0"/>
          <w:bCs/>
          <w:color w:val="auto"/>
          <w:sz w:val="36"/>
          <w:szCs w:val="36"/>
          <w:highlight w:val="none"/>
          <w:shd w:val="clear" w:color="auto" w:fill="FFFFFF" w:themeFill="background1"/>
          <w:lang w:eastAsia="zh-CN"/>
        </w:rPr>
      </w:pPr>
      <w:r>
        <w:rPr>
          <w:rFonts w:hint="eastAsia" w:ascii="仿宋" w:hAnsi="仿宋" w:eastAsia="仿宋" w:cs="仿宋"/>
          <w:b w:val="0"/>
          <w:bCs/>
          <w:color w:val="auto"/>
          <w:sz w:val="36"/>
          <w:szCs w:val="36"/>
          <w:highlight w:val="none"/>
          <w:shd w:val="clear" w:color="auto" w:fill="FFFFFF" w:themeFill="background1"/>
          <w:lang w:eastAsia="zh-CN"/>
        </w:rPr>
        <w:t>第五章 响应文件格式</w:t>
      </w:r>
      <w:bookmarkEnd w:id="39"/>
    </w:p>
    <w:p w14:paraId="58DA57B4">
      <w:pPr>
        <w:spacing w:line="360" w:lineRule="auto"/>
        <w:rPr>
          <w:rFonts w:hint="eastAsia" w:ascii="仿宋" w:hAnsi="仿宋" w:eastAsia="仿宋" w:cs="仿宋"/>
          <w:b/>
          <w:color w:val="auto"/>
          <w:sz w:val="24"/>
          <w:szCs w:val="24"/>
          <w:highlight w:val="none"/>
          <w:shd w:val="clear" w:color="auto" w:fill="FFFFFF" w:themeFill="background1"/>
        </w:rPr>
      </w:pPr>
    </w:p>
    <w:p w14:paraId="2153CF87">
      <w:pPr>
        <w:spacing w:line="360" w:lineRule="auto"/>
        <w:rPr>
          <w:rFonts w:hint="eastAsia" w:ascii="仿宋" w:hAnsi="仿宋" w:eastAsia="仿宋" w:cs="仿宋"/>
          <w:b/>
          <w:color w:val="auto"/>
          <w:sz w:val="24"/>
          <w:szCs w:val="24"/>
          <w:highlight w:val="none"/>
          <w:shd w:val="clear" w:color="auto" w:fill="FFFFFF" w:themeFill="background1"/>
        </w:rPr>
      </w:pPr>
    </w:p>
    <w:p w14:paraId="006F2460">
      <w:pPr>
        <w:spacing w:line="360" w:lineRule="auto"/>
        <w:rPr>
          <w:rFonts w:hint="eastAsia" w:ascii="仿宋" w:hAnsi="仿宋" w:eastAsia="仿宋" w:cs="仿宋"/>
          <w:color w:val="auto"/>
          <w:sz w:val="24"/>
          <w:szCs w:val="24"/>
          <w:highlight w:val="none"/>
          <w:u w:val="single"/>
          <w:shd w:val="clear" w:color="auto" w:fill="FFFFFF" w:themeFill="background1"/>
        </w:rPr>
      </w:pPr>
      <w:r>
        <w:rPr>
          <w:rFonts w:hint="eastAsia" w:ascii="仿宋" w:hAnsi="仿宋" w:eastAsia="仿宋" w:cs="仿宋"/>
          <w:color w:val="auto"/>
          <w:sz w:val="24"/>
          <w:szCs w:val="24"/>
          <w:highlight w:val="none"/>
          <w:u w:val="single"/>
          <w:shd w:val="clear" w:color="auto" w:fill="FFFFFF" w:themeFill="background1"/>
        </w:rPr>
        <w:t>响应文件封面示例</w:t>
      </w:r>
    </w:p>
    <w:p w14:paraId="197A03D3">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3CA3008C">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1B693C00">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43CCD6B3">
      <w:pPr>
        <w:spacing w:line="360" w:lineRule="auto"/>
        <w:jc w:val="center"/>
        <w:rPr>
          <w:rFonts w:hint="eastAsia"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（项目名称）</w:t>
      </w:r>
    </w:p>
    <w:p w14:paraId="2EF415F2">
      <w:pPr>
        <w:spacing w:line="360" w:lineRule="auto"/>
        <w:jc w:val="center"/>
        <w:rPr>
          <w:rFonts w:hint="eastAsia"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（项目编号）</w:t>
      </w:r>
    </w:p>
    <w:p w14:paraId="3EF08870">
      <w:pPr>
        <w:spacing w:line="360" w:lineRule="auto"/>
        <w:jc w:val="center"/>
        <w:rPr>
          <w:rFonts w:hint="eastAsia" w:ascii="仿宋" w:hAnsi="仿宋" w:eastAsia="仿宋" w:cs="仿宋"/>
          <w:b/>
          <w:bCs/>
          <w:color w:val="auto"/>
          <w:sz w:val="24"/>
          <w:szCs w:val="24"/>
          <w:highlight w:val="none"/>
          <w:shd w:val="clear" w:color="auto" w:fill="FFFFFF" w:themeFill="background1"/>
        </w:rPr>
      </w:pPr>
    </w:p>
    <w:p w14:paraId="56BA818B">
      <w:pPr>
        <w:spacing w:line="360" w:lineRule="auto"/>
        <w:jc w:val="center"/>
        <w:rPr>
          <w:rFonts w:hint="eastAsia" w:ascii="仿宋" w:hAnsi="仿宋" w:eastAsia="仿宋" w:cs="仿宋"/>
          <w:b/>
          <w:bCs/>
          <w:color w:val="auto"/>
          <w:sz w:val="24"/>
          <w:szCs w:val="24"/>
          <w:highlight w:val="none"/>
          <w:shd w:val="clear" w:color="auto" w:fill="FFFFFF" w:themeFill="background1"/>
        </w:rPr>
      </w:pPr>
    </w:p>
    <w:p w14:paraId="30F9A47D">
      <w:pPr>
        <w:spacing w:line="360" w:lineRule="auto"/>
        <w:jc w:val="center"/>
        <w:rPr>
          <w:rFonts w:hint="eastAsia"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t>响应文件</w:t>
      </w:r>
    </w:p>
    <w:p w14:paraId="2ED13C2B">
      <w:pPr>
        <w:spacing w:line="360" w:lineRule="auto"/>
        <w:rPr>
          <w:rFonts w:hint="eastAsia" w:ascii="仿宋" w:hAnsi="仿宋" w:eastAsia="仿宋" w:cs="仿宋"/>
          <w:color w:val="auto"/>
          <w:sz w:val="24"/>
          <w:szCs w:val="24"/>
          <w:highlight w:val="none"/>
          <w:shd w:val="clear" w:color="auto" w:fill="FFFFFF" w:themeFill="background1"/>
        </w:rPr>
      </w:pPr>
    </w:p>
    <w:p w14:paraId="309368BC">
      <w:pPr>
        <w:spacing w:line="360" w:lineRule="auto"/>
        <w:rPr>
          <w:rFonts w:hint="eastAsia" w:ascii="仿宋" w:hAnsi="仿宋" w:eastAsia="仿宋" w:cs="仿宋"/>
          <w:color w:val="auto"/>
          <w:sz w:val="24"/>
          <w:szCs w:val="24"/>
          <w:highlight w:val="none"/>
          <w:shd w:val="clear" w:color="auto" w:fill="FFFFFF" w:themeFill="background1"/>
        </w:rPr>
      </w:pPr>
    </w:p>
    <w:p w14:paraId="7A990FA7">
      <w:pPr>
        <w:spacing w:line="360" w:lineRule="auto"/>
        <w:rPr>
          <w:rFonts w:hint="eastAsia" w:ascii="仿宋" w:hAnsi="仿宋" w:eastAsia="仿宋" w:cs="仿宋"/>
          <w:color w:val="auto"/>
          <w:sz w:val="24"/>
          <w:szCs w:val="24"/>
          <w:highlight w:val="none"/>
          <w:shd w:val="clear" w:color="auto" w:fill="FFFFFF" w:themeFill="background1"/>
        </w:rPr>
      </w:pPr>
    </w:p>
    <w:p w14:paraId="53A078E6">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供应商：（盖章）</w:t>
      </w:r>
    </w:p>
    <w:p w14:paraId="3FF4D81A">
      <w:pPr>
        <w:spacing w:line="360" w:lineRule="auto"/>
        <w:rPr>
          <w:rFonts w:hint="eastAsia" w:ascii="仿宋" w:hAnsi="仿宋" w:eastAsia="仿宋" w:cs="仿宋"/>
          <w:color w:val="auto"/>
          <w:sz w:val="24"/>
          <w:szCs w:val="24"/>
          <w:highlight w:val="none"/>
          <w:shd w:val="clear" w:color="auto" w:fill="FFFFFF" w:themeFill="background1"/>
        </w:rPr>
      </w:pPr>
    </w:p>
    <w:p w14:paraId="6244285A">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或签字</w:t>
      </w:r>
      <w:r>
        <w:rPr>
          <w:rFonts w:hint="eastAsia" w:ascii="仿宋" w:hAnsi="仿宋" w:eastAsia="仿宋" w:cs="仿宋"/>
          <w:color w:val="auto"/>
          <w:kern w:val="0"/>
          <w:sz w:val="24"/>
          <w:szCs w:val="24"/>
          <w:highlight w:val="none"/>
          <w:shd w:val="clear" w:color="auto" w:fill="FFFFFF" w:themeFill="background1"/>
        </w:rPr>
        <w:t>）</w:t>
      </w:r>
    </w:p>
    <w:p w14:paraId="20EB9A3F">
      <w:pPr>
        <w:spacing w:line="360" w:lineRule="auto"/>
        <w:rPr>
          <w:rFonts w:hint="eastAsia" w:ascii="仿宋" w:hAnsi="仿宋" w:eastAsia="仿宋" w:cs="仿宋"/>
          <w:color w:val="auto"/>
          <w:sz w:val="24"/>
          <w:szCs w:val="24"/>
          <w:highlight w:val="none"/>
          <w:shd w:val="clear" w:color="auto" w:fill="FFFFFF" w:themeFill="background1"/>
        </w:rPr>
      </w:pPr>
    </w:p>
    <w:p w14:paraId="1E8BD01E">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单位地址：</w:t>
      </w:r>
    </w:p>
    <w:p w14:paraId="232168C5">
      <w:pPr>
        <w:spacing w:line="360" w:lineRule="auto"/>
        <w:rPr>
          <w:rFonts w:hint="eastAsia" w:ascii="仿宋" w:hAnsi="仿宋" w:eastAsia="仿宋" w:cs="仿宋"/>
          <w:color w:val="auto"/>
          <w:sz w:val="24"/>
          <w:szCs w:val="24"/>
          <w:highlight w:val="none"/>
          <w:shd w:val="clear" w:color="auto" w:fill="FFFFFF" w:themeFill="background1"/>
        </w:rPr>
      </w:pPr>
    </w:p>
    <w:p w14:paraId="71FED771">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邮政编码：</w:t>
      </w:r>
    </w:p>
    <w:p w14:paraId="32335CD0">
      <w:pPr>
        <w:spacing w:line="360" w:lineRule="auto"/>
        <w:rPr>
          <w:rFonts w:hint="eastAsia" w:ascii="仿宋" w:hAnsi="仿宋" w:eastAsia="仿宋" w:cs="仿宋"/>
          <w:color w:val="auto"/>
          <w:sz w:val="24"/>
          <w:szCs w:val="24"/>
          <w:highlight w:val="none"/>
          <w:shd w:val="clear" w:color="auto" w:fill="FFFFFF" w:themeFill="background1"/>
        </w:rPr>
      </w:pPr>
    </w:p>
    <w:p w14:paraId="6EA93789">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联系人：</w:t>
      </w:r>
    </w:p>
    <w:p w14:paraId="7BD9C36A">
      <w:pPr>
        <w:spacing w:line="360" w:lineRule="auto"/>
        <w:rPr>
          <w:rFonts w:hint="eastAsia" w:ascii="仿宋" w:hAnsi="仿宋" w:eastAsia="仿宋" w:cs="仿宋"/>
          <w:color w:val="auto"/>
          <w:sz w:val="24"/>
          <w:szCs w:val="24"/>
          <w:highlight w:val="none"/>
          <w:shd w:val="clear" w:color="auto" w:fill="FFFFFF" w:themeFill="background1"/>
        </w:rPr>
      </w:pPr>
    </w:p>
    <w:p w14:paraId="4592903B">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联系电话：</w:t>
      </w:r>
    </w:p>
    <w:p w14:paraId="126B7992">
      <w:pPr>
        <w:spacing w:line="360" w:lineRule="auto"/>
        <w:rPr>
          <w:rFonts w:hint="eastAsia" w:ascii="仿宋" w:hAnsi="仿宋" w:eastAsia="仿宋" w:cs="仿宋"/>
          <w:color w:val="auto"/>
          <w:sz w:val="24"/>
          <w:szCs w:val="24"/>
          <w:highlight w:val="none"/>
          <w:shd w:val="clear" w:color="auto" w:fill="FFFFFF" w:themeFill="background1"/>
        </w:rPr>
      </w:pPr>
    </w:p>
    <w:p w14:paraId="671CF031">
      <w:pPr>
        <w:spacing w:line="360" w:lineRule="auto"/>
        <w:ind w:firstLine="2" w:firstLineChars="1"/>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年  月  日</w:t>
      </w:r>
    </w:p>
    <w:p w14:paraId="337F41B9">
      <w:pPr>
        <w:spacing w:line="360" w:lineRule="auto"/>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bookmarkStart w:id="40" w:name="_Toc38446469"/>
      <w:bookmarkStart w:id="41" w:name="_Toc38910521"/>
      <w:r>
        <w:rPr>
          <w:rFonts w:hint="eastAsia" w:ascii="仿宋" w:hAnsi="仿宋" w:eastAsia="仿宋" w:cs="仿宋"/>
          <w:color w:val="auto"/>
          <w:sz w:val="24"/>
          <w:szCs w:val="24"/>
          <w:highlight w:val="none"/>
          <w:shd w:val="clear" w:color="auto" w:fill="FFFFFF" w:themeFill="background1"/>
        </w:rPr>
        <w:t>目录</w:t>
      </w:r>
      <w:bookmarkEnd w:id="40"/>
      <w:bookmarkEnd w:id="41"/>
    </w:p>
    <w:p w14:paraId="57062FE9">
      <w:pPr>
        <w:spacing w:line="360" w:lineRule="auto"/>
        <w:rPr>
          <w:rFonts w:hint="eastAsia" w:ascii="仿宋" w:hAnsi="仿宋" w:eastAsia="仿宋" w:cs="仿宋"/>
          <w:bCs/>
          <w:color w:val="auto"/>
          <w:sz w:val="24"/>
          <w:szCs w:val="24"/>
          <w:highlight w:val="none"/>
          <w:shd w:val="clear" w:color="auto" w:fill="FFFFFF" w:themeFill="background1"/>
        </w:rPr>
      </w:pPr>
    </w:p>
    <w:p w14:paraId="1076F07A">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一、开</w:t>
      </w:r>
      <w:r>
        <w:rPr>
          <w:rFonts w:hint="eastAsia" w:ascii="仿宋" w:hAnsi="仿宋" w:eastAsia="仿宋" w:cs="仿宋"/>
          <w:color w:val="auto"/>
          <w:kern w:val="0"/>
          <w:sz w:val="24"/>
          <w:szCs w:val="24"/>
          <w:highlight w:val="none"/>
          <w:lang w:val="en-US" w:eastAsia="zh-CN"/>
        </w:rPr>
        <w:t>启</w:t>
      </w:r>
      <w:r>
        <w:rPr>
          <w:rFonts w:hint="eastAsia" w:ascii="仿宋" w:hAnsi="仿宋" w:eastAsia="仿宋" w:cs="仿宋"/>
          <w:color w:val="auto"/>
          <w:kern w:val="0"/>
          <w:sz w:val="24"/>
          <w:szCs w:val="24"/>
          <w:highlight w:val="none"/>
        </w:rPr>
        <w:t>一览表</w:t>
      </w:r>
    </w:p>
    <w:p w14:paraId="6BF7CA79">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w:t>
      </w:r>
      <w:r>
        <w:rPr>
          <w:rFonts w:hint="eastAsia" w:ascii="仿宋" w:hAnsi="仿宋" w:eastAsia="仿宋" w:cs="仿宋"/>
          <w:bCs/>
          <w:color w:val="auto"/>
          <w:sz w:val="24"/>
          <w:szCs w:val="24"/>
          <w:highlight w:val="none"/>
          <w:shd w:val="clear" w:color="auto" w:fill="FFFFFF" w:themeFill="background1"/>
          <w:lang w:eastAsia="zh-CN"/>
        </w:rPr>
        <w:t>响应函</w:t>
      </w:r>
    </w:p>
    <w:p w14:paraId="306E97CD">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w:t>
      </w:r>
      <w:r>
        <w:rPr>
          <w:rFonts w:hint="eastAsia" w:ascii="仿宋" w:hAnsi="仿宋" w:eastAsia="仿宋" w:cs="仿宋"/>
          <w:bCs/>
          <w:color w:val="auto"/>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rPr>
        <w:t>价格明细表</w:t>
      </w:r>
    </w:p>
    <w:p w14:paraId="336DC9EA">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四、商务条款偏离表</w:t>
      </w:r>
    </w:p>
    <w:p w14:paraId="4A06B4BD">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五、技术条款偏离表</w:t>
      </w:r>
    </w:p>
    <w:p w14:paraId="0829B2D0">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六、法定代表人身份证明书</w:t>
      </w:r>
    </w:p>
    <w:p w14:paraId="6F375270">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七、法定代表人授权委托书</w:t>
      </w:r>
    </w:p>
    <w:p w14:paraId="66BEA769">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八、</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资格条件证明材料</w:t>
      </w:r>
    </w:p>
    <w:p w14:paraId="1DBBB66B">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九、</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近年类似项目情况表</w:t>
      </w:r>
    </w:p>
    <w:p w14:paraId="266195C6">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十、项目负责人简历表</w:t>
      </w:r>
    </w:p>
    <w:p w14:paraId="0A8775A7">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十一、拟派主要服务人员情况表</w:t>
      </w:r>
    </w:p>
    <w:p w14:paraId="7769A88D">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十二、服务方案</w:t>
      </w:r>
    </w:p>
    <w:p w14:paraId="345D7C08">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十三、保证金缴纳证明材料</w:t>
      </w:r>
    </w:p>
    <w:p w14:paraId="1CA196E5">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十四、其他</w:t>
      </w:r>
      <w:r>
        <w:rPr>
          <w:rFonts w:hint="eastAsia" w:ascii="仿宋" w:hAnsi="仿宋" w:eastAsia="仿宋" w:cs="仿宋"/>
          <w:color w:val="auto"/>
          <w:kern w:val="0"/>
          <w:sz w:val="24"/>
          <w:szCs w:val="24"/>
          <w:highlight w:val="none"/>
        </w:rPr>
        <w:t>需要提交的资料</w:t>
      </w:r>
    </w:p>
    <w:p w14:paraId="02D83712">
      <w:pPr>
        <w:spacing w:line="360" w:lineRule="auto"/>
        <w:ind w:firstLine="480" w:firstLineChars="200"/>
        <w:rPr>
          <w:rFonts w:hint="eastAsia"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tab/>
      </w:r>
    </w:p>
    <w:p w14:paraId="6505B67D">
      <w:pPr>
        <w:spacing w:line="360" w:lineRule="auto"/>
        <w:rPr>
          <w:rFonts w:hint="eastAsia" w:ascii="仿宋" w:hAnsi="仿宋" w:eastAsia="仿宋" w:cs="仿宋"/>
          <w:bCs/>
          <w:color w:val="auto"/>
          <w:sz w:val="24"/>
          <w:szCs w:val="24"/>
          <w:highlight w:val="none"/>
          <w:shd w:val="clear" w:color="auto" w:fill="FFFFFF" w:themeFill="background1"/>
        </w:rPr>
      </w:pPr>
    </w:p>
    <w:p w14:paraId="5BACEB89">
      <w:pPr>
        <w:spacing w:line="360" w:lineRule="auto"/>
        <w:ind w:firstLine="480" w:firstLineChars="200"/>
        <w:rPr>
          <w:rFonts w:hint="eastAsia"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t>注：为了便于查找，请按上述顺序编制</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bCs/>
          <w:color w:val="auto"/>
          <w:sz w:val="24"/>
          <w:szCs w:val="24"/>
          <w:highlight w:val="none"/>
          <w:shd w:val="clear" w:color="auto" w:fill="FFFFFF" w:themeFill="background1"/>
        </w:rPr>
        <w:t>内容，并在目录中标明每项内容的起始页码。</w:t>
      </w:r>
    </w:p>
    <w:p w14:paraId="61C54233">
      <w:pPr>
        <w:rPr>
          <w:rFonts w:hint="eastAsia"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br w:type="page"/>
      </w:r>
    </w:p>
    <w:p w14:paraId="55C1F794">
      <w:pPr>
        <w:spacing w:line="360" w:lineRule="auto"/>
        <w:jc w:val="center"/>
        <w:outlineLvl w:val="1"/>
        <w:rPr>
          <w:rFonts w:hint="eastAsia" w:ascii="仿宋" w:hAnsi="仿宋" w:eastAsia="仿宋" w:cs="仿宋"/>
          <w:color w:val="auto"/>
          <w:sz w:val="24"/>
          <w:szCs w:val="24"/>
          <w:highlight w:val="none"/>
          <w:shd w:val="clear" w:color="auto" w:fill="FFFFFF" w:themeFill="background1"/>
          <w:lang w:eastAsia="zh-CN"/>
        </w:rPr>
      </w:pPr>
      <w:bookmarkStart w:id="42" w:name="_Toc1962"/>
      <w:bookmarkStart w:id="43" w:name="_Toc6644"/>
      <w:bookmarkStart w:id="44" w:name="_Toc9674"/>
      <w:r>
        <w:rPr>
          <w:rFonts w:hint="eastAsia" w:ascii="仿宋" w:hAnsi="仿宋" w:eastAsia="仿宋" w:cs="仿宋"/>
          <w:color w:val="auto"/>
          <w:sz w:val="24"/>
          <w:szCs w:val="24"/>
          <w:highlight w:val="none"/>
          <w:shd w:val="clear" w:color="auto" w:fill="FFFFFF" w:themeFill="background1"/>
          <w:lang w:val="en-US" w:eastAsia="zh-CN"/>
        </w:rPr>
        <w:t>一、</w:t>
      </w:r>
      <w:r>
        <w:rPr>
          <w:rFonts w:hint="eastAsia" w:ascii="仿宋" w:hAnsi="仿宋" w:eastAsia="仿宋" w:cs="仿宋"/>
          <w:color w:val="auto"/>
          <w:sz w:val="24"/>
          <w:szCs w:val="24"/>
          <w:highlight w:val="none"/>
          <w:shd w:val="clear" w:color="auto" w:fill="FFFFFF" w:themeFill="background1"/>
          <w:lang w:eastAsia="zh-CN"/>
        </w:rPr>
        <w:t>开</w:t>
      </w:r>
      <w:r>
        <w:rPr>
          <w:rFonts w:hint="eastAsia" w:ascii="仿宋" w:hAnsi="仿宋" w:eastAsia="仿宋" w:cs="仿宋"/>
          <w:color w:val="auto"/>
          <w:sz w:val="24"/>
          <w:szCs w:val="24"/>
          <w:highlight w:val="none"/>
          <w:shd w:val="clear" w:color="auto" w:fill="FFFFFF" w:themeFill="background1"/>
          <w:lang w:val="en-US" w:eastAsia="zh-CN"/>
        </w:rPr>
        <w:t>启</w:t>
      </w:r>
      <w:r>
        <w:rPr>
          <w:rFonts w:hint="eastAsia" w:ascii="仿宋" w:hAnsi="仿宋" w:eastAsia="仿宋" w:cs="仿宋"/>
          <w:color w:val="auto"/>
          <w:sz w:val="24"/>
          <w:szCs w:val="24"/>
          <w:highlight w:val="none"/>
          <w:shd w:val="clear" w:color="auto" w:fill="FFFFFF" w:themeFill="background1"/>
          <w:lang w:eastAsia="zh-CN"/>
        </w:rPr>
        <w:t>一览表</w:t>
      </w:r>
      <w:bookmarkEnd w:id="42"/>
      <w:bookmarkEnd w:id="43"/>
      <w:bookmarkEnd w:id="44"/>
    </w:p>
    <w:p w14:paraId="3AEE6744">
      <w:pPr>
        <w:rPr>
          <w:rFonts w:hint="eastAsia" w:ascii="仿宋" w:hAnsi="仿宋" w:eastAsia="仿宋" w:cs="仿宋"/>
          <w:color w:val="auto"/>
          <w:highlight w:val="none"/>
        </w:rPr>
      </w:pPr>
    </w:p>
    <w:p w14:paraId="3772166F">
      <w:pPr>
        <w:rPr>
          <w:rFonts w:hint="eastAsia" w:ascii="仿宋" w:hAnsi="仿宋" w:eastAsia="仿宋" w:cs="仿宋"/>
          <w:color w:val="auto"/>
          <w:highlight w:val="none"/>
        </w:rPr>
      </w:pPr>
    </w:p>
    <w:tbl>
      <w:tblPr>
        <w:tblStyle w:val="44"/>
        <w:tblpPr w:leftFromText="180" w:rightFromText="180" w:vertAnchor="text" w:horzAnchor="page" w:tblpX="1590" w:tblpY="473"/>
        <w:tblOverlap w:val="never"/>
        <w:tblW w:w="48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5"/>
        <w:gridCol w:w="6706"/>
      </w:tblGrid>
      <w:tr w14:paraId="4A837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62E9D982">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项目名称</w:t>
            </w:r>
          </w:p>
        </w:tc>
        <w:tc>
          <w:tcPr>
            <w:tcW w:w="3499" w:type="pct"/>
            <w:tcBorders>
              <w:left w:val="single" w:color="auto" w:sz="4" w:space="0"/>
            </w:tcBorders>
            <w:shd w:val="clear" w:color="auto" w:fill="auto"/>
            <w:vAlign w:val="center"/>
          </w:tcPr>
          <w:p w14:paraId="51F124AB">
            <w:pPr>
              <w:spacing w:line="360" w:lineRule="auto"/>
              <w:ind w:right="-670" w:rightChars="0"/>
              <w:rPr>
                <w:rFonts w:hint="eastAsia" w:ascii="仿宋" w:hAnsi="仿宋" w:eastAsia="仿宋" w:cs="仿宋"/>
                <w:bCs/>
                <w:color w:val="auto"/>
                <w:kern w:val="2"/>
                <w:sz w:val="24"/>
                <w:szCs w:val="24"/>
                <w:highlight w:val="none"/>
                <w:lang w:val="en-US" w:eastAsia="zh-CN" w:bidi="ar-SA"/>
              </w:rPr>
            </w:pPr>
          </w:p>
        </w:tc>
      </w:tr>
      <w:tr w14:paraId="7E45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2C72A370">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项目编号</w:t>
            </w:r>
          </w:p>
        </w:tc>
        <w:tc>
          <w:tcPr>
            <w:tcW w:w="3499" w:type="pct"/>
            <w:tcBorders>
              <w:left w:val="single" w:color="auto" w:sz="4" w:space="0"/>
            </w:tcBorders>
            <w:shd w:val="clear" w:color="auto" w:fill="auto"/>
            <w:vAlign w:val="center"/>
          </w:tcPr>
          <w:p w14:paraId="50981E76">
            <w:pPr>
              <w:spacing w:line="360" w:lineRule="auto"/>
              <w:ind w:right="-670" w:rightChars="0"/>
              <w:rPr>
                <w:rFonts w:hint="eastAsia" w:ascii="仿宋" w:hAnsi="仿宋" w:eastAsia="仿宋" w:cs="仿宋"/>
                <w:bCs/>
                <w:color w:val="auto"/>
                <w:kern w:val="2"/>
                <w:sz w:val="24"/>
                <w:szCs w:val="24"/>
                <w:highlight w:val="none"/>
                <w:lang w:val="en-US" w:eastAsia="zh-CN" w:bidi="ar-SA"/>
              </w:rPr>
            </w:pPr>
          </w:p>
        </w:tc>
      </w:tr>
      <w:tr w14:paraId="0114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221E9B8B">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响应价格</w:t>
            </w:r>
          </w:p>
        </w:tc>
        <w:tc>
          <w:tcPr>
            <w:tcW w:w="3499" w:type="pct"/>
            <w:tcBorders>
              <w:left w:val="single" w:color="auto" w:sz="4" w:space="0"/>
            </w:tcBorders>
            <w:shd w:val="clear" w:color="auto" w:fill="auto"/>
            <w:vAlign w:val="center"/>
          </w:tcPr>
          <w:p w14:paraId="6C9BC66A">
            <w:pPr>
              <w:pStyle w:val="43"/>
              <w:ind w:left="0" w:leftChars="0" w:firstLine="0" w:firstLineChars="0"/>
              <w:rPr>
                <w:rFonts w:hint="eastAsia" w:ascii="仿宋" w:hAnsi="仿宋" w:eastAsia="仿宋" w:cs="仿宋"/>
                <w:bCs/>
                <w:color w:val="auto"/>
                <w:kern w:val="2"/>
                <w:sz w:val="24"/>
                <w:szCs w:val="24"/>
                <w:highlight w:val="none"/>
                <w:u w:val="single"/>
                <w:lang w:val="en-US" w:eastAsia="zh-CN" w:bidi="ar-SA"/>
              </w:rPr>
            </w:pPr>
            <w:r>
              <w:rPr>
                <w:rFonts w:hint="eastAsia" w:ascii="仿宋" w:hAnsi="仿宋" w:eastAsia="仿宋" w:cs="仿宋"/>
                <w:bCs/>
                <w:color w:val="auto"/>
                <w:kern w:val="2"/>
                <w:sz w:val="24"/>
                <w:szCs w:val="24"/>
                <w:highlight w:val="none"/>
                <w:lang w:val="en-US" w:eastAsia="zh-CN" w:bidi="ar-SA"/>
              </w:rPr>
              <w:t>小写：</w:t>
            </w:r>
            <w:r>
              <w:rPr>
                <w:rFonts w:hint="eastAsia" w:ascii="仿宋" w:hAnsi="仿宋" w:eastAsia="仿宋" w:cs="仿宋"/>
                <w:bCs/>
                <w:color w:val="auto"/>
                <w:kern w:val="2"/>
                <w:sz w:val="24"/>
                <w:szCs w:val="24"/>
                <w:highlight w:val="none"/>
                <w:u w:val="single"/>
                <w:lang w:val="en-US" w:eastAsia="zh-CN" w:bidi="ar-SA"/>
              </w:rPr>
              <w:t xml:space="preserve">             元</w:t>
            </w:r>
          </w:p>
          <w:p w14:paraId="04AED564">
            <w:pPr>
              <w:rPr>
                <w:rFonts w:hint="eastAsia" w:ascii="仿宋" w:hAnsi="仿宋" w:eastAsia="仿宋" w:cs="仿宋"/>
                <w:color w:val="auto"/>
                <w:highlight w:val="none"/>
                <w:lang w:val="en-US" w:eastAsia="zh-CN"/>
              </w:rPr>
            </w:pPr>
            <w:r>
              <w:rPr>
                <w:rFonts w:hint="eastAsia" w:ascii="仿宋" w:hAnsi="仿宋" w:eastAsia="仿宋" w:cs="仿宋"/>
                <w:bCs/>
                <w:color w:val="auto"/>
                <w:kern w:val="2"/>
                <w:sz w:val="24"/>
                <w:szCs w:val="24"/>
                <w:highlight w:val="none"/>
                <w:lang w:val="en-US" w:eastAsia="zh-CN" w:bidi="ar-SA"/>
              </w:rPr>
              <w:t>大写：</w:t>
            </w:r>
            <w:r>
              <w:rPr>
                <w:rFonts w:hint="eastAsia" w:ascii="仿宋" w:hAnsi="仿宋" w:eastAsia="仿宋" w:cs="仿宋"/>
                <w:bCs/>
                <w:color w:val="auto"/>
                <w:kern w:val="2"/>
                <w:sz w:val="24"/>
                <w:szCs w:val="24"/>
                <w:highlight w:val="none"/>
                <w:u w:val="single"/>
                <w:lang w:val="en-US" w:eastAsia="zh-CN" w:bidi="ar-SA"/>
              </w:rPr>
              <w:t xml:space="preserve">             元</w:t>
            </w:r>
          </w:p>
        </w:tc>
      </w:tr>
      <w:tr w14:paraId="67827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63E4F25D">
            <w:pPr>
              <w:snapToGrid w:val="0"/>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合同履约期限</w:t>
            </w:r>
          </w:p>
        </w:tc>
        <w:tc>
          <w:tcPr>
            <w:tcW w:w="3499" w:type="pct"/>
            <w:tcBorders>
              <w:left w:val="single" w:color="auto" w:sz="4" w:space="0"/>
            </w:tcBorders>
            <w:shd w:val="clear" w:color="auto" w:fill="auto"/>
            <w:vAlign w:val="center"/>
          </w:tcPr>
          <w:p w14:paraId="1DE7FC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32"/>
                <w:highlight w:val="none"/>
                <w:u w:val="none"/>
                <w:lang w:val="en-US" w:eastAsia="zh-CN"/>
              </w:rPr>
              <w:t xml:space="preserve"> 1年</w:t>
            </w:r>
          </w:p>
        </w:tc>
      </w:tr>
      <w:tr w14:paraId="217D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1677E23F">
            <w:pPr>
              <w:snapToGrid w:val="0"/>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响应有效期</w:t>
            </w:r>
          </w:p>
        </w:tc>
        <w:tc>
          <w:tcPr>
            <w:tcW w:w="3499" w:type="pct"/>
            <w:tcBorders>
              <w:left w:val="single" w:color="auto" w:sz="4" w:space="0"/>
            </w:tcBorders>
            <w:shd w:val="clear" w:color="auto" w:fill="auto"/>
            <w:vAlign w:val="center"/>
          </w:tcPr>
          <w:p w14:paraId="0E7870B2">
            <w:pPr>
              <w:snapToGrid w:val="0"/>
              <w:spacing w:line="360" w:lineRule="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自响应截止之日</w:t>
            </w:r>
            <w:r>
              <w:rPr>
                <w:rFonts w:hint="eastAsia" w:ascii="仿宋" w:hAnsi="仿宋" w:eastAsia="仿宋" w:cs="仿宋"/>
                <w:bCs/>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日历日</w:t>
            </w:r>
          </w:p>
        </w:tc>
      </w:tr>
      <w:tr w14:paraId="0909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1FE8837E">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备注</w:t>
            </w:r>
          </w:p>
        </w:tc>
        <w:tc>
          <w:tcPr>
            <w:tcW w:w="3499" w:type="pct"/>
            <w:tcBorders>
              <w:left w:val="single" w:color="auto" w:sz="4" w:space="0"/>
            </w:tcBorders>
            <w:shd w:val="clear" w:color="auto" w:fill="auto"/>
            <w:vAlign w:val="center"/>
          </w:tcPr>
          <w:p w14:paraId="056CF9DE">
            <w:pPr>
              <w:rPr>
                <w:rFonts w:hint="eastAsia" w:ascii="仿宋" w:hAnsi="仿宋" w:eastAsia="仿宋" w:cs="仿宋"/>
                <w:bCs/>
                <w:color w:val="auto"/>
                <w:kern w:val="2"/>
                <w:sz w:val="24"/>
                <w:szCs w:val="24"/>
                <w:highlight w:val="none"/>
                <w:lang w:val="en-US" w:eastAsia="zh-CN" w:bidi="ar-SA"/>
              </w:rPr>
            </w:pPr>
          </w:p>
        </w:tc>
      </w:tr>
    </w:tbl>
    <w:p w14:paraId="0AAECBC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2A7DDE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4841C89">
      <w:pPr>
        <w:pStyle w:val="43"/>
        <w:rPr>
          <w:rFonts w:hint="eastAsia" w:ascii="仿宋" w:hAnsi="仿宋" w:eastAsia="仿宋" w:cs="仿宋"/>
          <w:color w:val="auto"/>
          <w:highlight w:val="none"/>
        </w:rPr>
      </w:pPr>
    </w:p>
    <w:p w14:paraId="45235AB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供应商</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71C7700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AFA75F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0433F31C">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66E9A015">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3C23F436">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45" w:name="_Toc507586166"/>
      <w:bookmarkStart w:id="46" w:name="_Toc38446470"/>
      <w:bookmarkStart w:id="47" w:name="_Toc533503181"/>
      <w:bookmarkStart w:id="48" w:name="_Toc8617"/>
      <w:r>
        <w:rPr>
          <w:rFonts w:hint="eastAsia" w:ascii="仿宋" w:hAnsi="仿宋" w:eastAsia="仿宋" w:cs="仿宋"/>
          <w:color w:val="auto"/>
          <w:sz w:val="24"/>
          <w:szCs w:val="24"/>
          <w:highlight w:val="none"/>
          <w:shd w:val="clear" w:color="auto" w:fill="FFFFFF" w:themeFill="background1"/>
          <w:lang w:val="en-US" w:eastAsia="zh-CN"/>
        </w:rPr>
        <w:t>二、</w:t>
      </w:r>
      <w:bookmarkEnd w:id="45"/>
      <w:bookmarkEnd w:id="46"/>
      <w:bookmarkEnd w:id="47"/>
      <w:r>
        <w:rPr>
          <w:rFonts w:hint="eastAsia" w:ascii="仿宋" w:hAnsi="仿宋" w:eastAsia="仿宋" w:cs="仿宋"/>
          <w:color w:val="auto"/>
          <w:sz w:val="24"/>
          <w:szCs w:val="24"/>
          <w:highlight w:val="none"/>
          <w:shd w:val="clear" w:color="auto" w:fill="FFFFFF" w:themeFill="background1"/>
          <w:lang w:val="en-US" w:eastAsia="zh-CN"/>
        </w:rPr>
        <w:t>响应函</w:t>
      </w:r>
      <w:bookmarkEnd w:id="48"/>
    </w:p>
    <w:p w14:paraId="12F1D0C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79671B59">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47474B18">
      <w:pPr>
        <w:widowControl/>
        <w:shd w:val="clear" w:color="auto" w:fill="FFFFFF"/>
        <w:snapToGrid w:val="0"/>
        <w:spacing w:line="384"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根据已收到的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项目名称</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，遵照《中华人民共和国政府采购法》等有关法律法规的规定，经考察现场和充分研究贵方的</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的全部内容后，我方郑重承诺如下：</w:t>
      </w:r>
    </w:p>
    <w:p w14:paraId="57E30557">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eastAsia="zh-CN"/>
        </w:rPr>
        <w:t>1.</w:t>
      </w:r>
      <w:r>
        <w:rPr>
          <w:rFonts w:hint="eastAsia" w:ascii="仿宋" w:hAnsi="仿宋" w:eastAsia="仿宋" w:cs="仿宋"/>
          <w:color w:val="auto"/>
          <w:kern w:val="0"/>
          <w:sz w:val="24"/>
          <w:szCs w:val="24"/>
          <w:highlight w:val="none"/>
          <w:lang w:val="zh-CN"/>
        </w:rPr>
        <w:t xml:space="preserve">不向项目有关人员及部门赠送礼金礼物、有价证券、回扣以及中介费、介绍费、咨询费等好处费；不为项目有关人员及部门报销应由你方单位或个人支付的费用。 </w:t>
      </w:r>
    </w:p>
    <w:p w14:paraId="00CEADBE">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eastAsia="zh-CN"/>
        </w:rPr>
        <w:t>2.</w:t>
      </w:r>
      <w:r>
        <w:rPr>
          <w:rFonts w:hint="eastAsia" w:ascii="仿宋" w:hAnsi="仿宋" w:eastAsia="仿宋" w:cs="仿宋"/>
          <w:color w:val="auto"/>
          <w:kern w:val="0"/>
          <w:sz w:val="24"/>
          <w:szCs w:val="24"/>
          <w:highlight w:val="none"/>
          <w:lang w:val="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74B9B536">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w:t>
      </w:r>
      <w:r>
        <w:rPr>
          <w:rFonts w:hint="eastAsia" w:ascii="仿宋" w:hAnsi="仿宋" w:eastAsia="仿宋" w:cs="仿宋"/>
          <w:color w:val="auto"/>
          <w:kern w:val="0"/>
          <w:sz w:val="24"/>
          <w:szCs w:val="24"/>
          <w:highlight w:val="none"/>
          <w:lang w:val="zh-CN"/>
        </w:rPr>
        <w:t xml:space="preserve">严格遵守《中华人民共和国政府采购法》《中华人民共和国民法典》等法律法规，诚实守信，合法经营，坚决抵制各种违法违纪行为。 </w:t>
      </w:r>
    </w:p>
    <w:p w14:paraId="1DB9613F">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lang w:eastAsia="zh-CN"/>
        </w:rPr>
        <w:t>4.</w:t>
      </w:r>
      <w:r>
        <w:rPr>
          <w:rFonts w:hint="eastAsia" w:ascii="仿宋" w:hAnsi="仿宋" w:eastAsia="仿宋" w:cs="仿宋"/>
          <w:color w:val="auto"/>
          <w:kern w:val="0"/>
          <w:sz w:val="24"/>
          <w:szCs w:val="24"/>
          <w:highlight w:val="none"/>
        </w:rPr>
        <w:t>我方所递交的</w:t>
      </w:r>
      <w:r>
        <w:rPr>
          <w:rFonts w:hint="eastAsia" w:ascii="仿宋" w:hAnsi="仿宋" w:eastAsia="仿宋" w:cs="仿宋"/>
          <w:color w:val="auto"/>
          <w:kern w:val="0"/>
          <w:sz w:val="24"/>
          <w:szCs w:val="24"/>
          <w:highlight w:val="none"/>
          <w:lang w:eastAsia="zh-CN"/>
        </w:rPr>
        <w:t>响应文件</w:t>
      </w:r>
      <w:r>
        <w:rPr>
          <w:rFonts w:hint="eastAsia" w:ascii="仿宋" w:hAnsi="仿宋" w:eastAsia="仿宋" w:cs="仿宋"/>
          <w:color w:val="auto"/>
          <w:kern w:val="0"/>
          <w:sz w:val="24"/>
          <w:szCs w:val="24"/>
          <w:highlight w:val="none"/>
        </w:rPr>
        <w:t>及有关资料内容完整、真实和准确，且不存在</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须知前附表规定的</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不得存在的任何一种情形。</w:t>
      </w:r>
    </w:p>
    <w:p w14:paraId="4A34307B">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5.</w:t>
      </w:r>
      <w:r>
        <w:rPr>
          <w:rFonts w:hint="eastAsia" w:ascii="仿宋" w:hAnsi="仿宋" w:eastAsia="仿宋" w:cs="仿宋"/>
          <w:color w:val="auto"/>
          <w:kern w:val="0"/>
          <w:sz w:val="24"/>
          <w:szCs w:val="24"/>
          <w:highlight w:val="none"/>
          <w:shd w:val="clear" w:color="auto" w:fill="FFFFFF" w:themeFill="background1"/>
        </w:rPr>
        <w:t>本</w:t>
      </w:r>
      <w:r>
        <w:rPr>
          <w:rFonts w:hint="eastAsia" w:ascii="仿宋" w:hAnsi="仿宋" w:eastAsia="仿宋" w:cs="仿宋"/>
          <w:color w:val="auto"/>
          <w:sz w:val="24"/>
          <w:szCs w:val="24"/>
          <w:highlight w:val="none"/>
          <w:shd w:val="clear" w:color="auto" w:fill="FFFFFF" w:themeFill="background1"/>
          <w:lang w:eastAsia="zh-CN"/>
        </w:rPr>
        <w:t>响应文件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规定的</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有效期内对我方具有约束力，如果我方在</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有效期内撤销</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，其</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保证金将被贵方没收。</w:t>
      </w:r>
    </w:p>
    <w:p w14:paraId="766BEBCD">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lang w:eastAsia="zh-CN"/>
        </w:rPr>
        <w:t>6.</w:t>
      </w:r>
      <w:r>
        <w:rPr>
          <w:rFonts w:hint="eastAsia" w:ascii="仿宋" w:hAnsi="仿宋" w:eastAsia="仿宋" w:cs="仿宋"/>
          <w:color w:val="auto"/>
          <w:kern w:val="0"/>
          <w:sz w:val="24"/>
          <w:szCs w:val="24"/>
          <w:highlight w:val="none"/>
        </w:rPr>
        <w:t>我方已完全理解</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的全部内容，并无异议。</w:t>
      </w:r>
    </w:p>
    <w:p w14:paraId="41493F6B">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7.</w:t>
      </w:r>
      <w:r>
        <w:rPr>
          <w:rFonts w:hint="eastAsia" w:ascii="仿宋" w:hAnsi="仿宋" w:eastAsia="仿宋" w:cs="仿宋"/>
          <w:color w:val="auto"/>
          <w:kern w:val="0"/>
          <w:sz w:val="24"/>
          <w:szCs w:val="24"/>
          <w:highlight w:val="none"/>
          <w:shd w:val="clear" w:color="auto" w:fill="FFFFFF" w:themeFill="background1"/>
        </w:rPr>
        <w:t>如我方中标，我方自愿向代理机构支付咨询费，并在合同签订后</w:t>
      </w:r>
      <w:r>
        <w:rPr>
          <w:rFonts w:hint="eastAsia" w:ascii="仿宋" w:hAnsi="仿宋" w:eastAsia="仿宋" w:cs="仿宋"/>
          <w:color w:val="auto"/>
          <w:kern w:val="0"/>
          <w:sz w:val="24"/>
          <w:szCs w:val="24"/>
          <w:highlight w:val="none"/>
          <w:shd w:val="clear" w:color="auto" w:fill="FFFFFF" w:themeFill="background1"/>
          <w:lang w:val="en-US" w:eastAsia="zh-CN"/>
        </w:rPr>
        <w:t>1</w:t>
      </w:r>
      <w:r>
        <w:rPr>
          <w:rFonts w:hint="eastAsia" w:ascii="仿宋" w:hAnsi="仿宋" w:eastAsia="仿宋" w:cs="仿宋"/>
          <w:color w:val="auto"/>
          <w:kern w:val="0"/>
          <w:sz w:val="24"/>
          <w:szCs w:val="24"/>
          <w:highlight w:val="none"/>
          <w:shd w:val="clear" w:color="auto" w:fill="FFFFFF" w:themeFill="background1"/>
        </w:rPr>
        <w:t>个工作日内向采购代理机构提供采购合同原件一份用于采购资料备案工作。</w:t>
      </w:r>
    </w:p>
    <w:p w14:paraId="053776F3">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eastAsia="zh-CN"/>
        </w:rPr>
        <w:t>8.</w:t>
      </w:r>
      <w:r>
        <w:rPr>
          <w:rFonts w:hint="eastAsia" w:ascii="仿宋" w:hAnsi="仿宋" w:eastAsia="仿宋" w:cs="仿宋"/>
          <w:color w:val="auto"/>
          <w:kern w:val="0"/>
          <w:sz w:val="24"/>
          <w:szCs w:val="24"/>
          <w:highlight w:val="none"/>
          <w:shd w:val="clear" w:color="auto" w:fill="FFFFFF" w:themeFill="background1"/>
        </w:rPr>
        <w:t>我方愿意提供贵方可能要求的与采购有关的一切数据或资料，完全理解贵方不一定接受最低报价的</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或收到的任何</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w:t>
      </w:r>
    </w:p>
    <w:p w14:paraId="5910C5CD">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D45304E">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206D21F">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736E6BE8">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shd w:val="clear" w:color="auto" w:fill="FFFFFF" w:themeFill="background1"/>
        </w:rPr>
        <w:t xml:space="preserve">）                       </w:t>
      </w:r>
    </w:p>
    <w:p w14:paraId="57E6DFBB">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日期：年 月 日</w:t>
      </w:r>
    </w:p>
    <w:p w14:paraId="24289400">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49" w:name="_Toc533503184"/>
      <w:bookmarkStart w:id="50" w:name="_Toc38446474"/>
      <w:bookmarkStart w:id="51" w:name="_Toc507586169"/>
    </w:p>
    <w:p w14:paraId="0077770D">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52" w:name="_Toc309"/>
      <w:r>
        <w:rPr>
          <w:rFonts w:hint="eastAsia" w:ascii="仿宋" w:hAnsi="仿宋" w:eastAsia="仿宋" w:cs="仿宋"/>
          <w:color w:val="auto"/>
          <w:sz w:val="24"/>
          <w:szCs w:val="24"/>
          <w:highlight w:val="none"/>
          <w:shd w:val="clear" w:color="auto" w:fill="FFFFFF" w:themeFill="background1"/>
          <w:lang w:val="en-US" w:eastAsia="zh-CN"/>
        </w:rPr>
        <w:t>三、响应价格明细表</w:t>
      </w:r>
      <w:bookmarkEnd w:id="52"/>
    </w:p>
    <w:tbl>
      <w:tblPr>
        <w:tblStyle w:val="44"/>
        <w:tblpPr w:leftFromText="180" w:rightFromText="180" w:vertAnchor="text" w:horzAnchor="page" w:tblpX="1227" w:tblpY="432"/>
        <w:tblOverlap w:val="neve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2"/>
        <w:gridCol w:w="2198"/>
        <w:gridCol w:w="1467"/>
        <w:gridCol w:w="1467"/>
        <w:gridCol w:w="1477"/>
        <w:gridCol w:w="1467"/>
        <w:gridCol w:w="1042"/>
      </w:tblGrid>
      <w:tr w14:paraId="07F23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3" w:type="pct"/>
            <w:vAlign w:val="center"/>
          </w:tcPr>
          <w:p w14:paraId="1BFCE65E">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103" w:type="pct"/>
            <w:vAlign w:val="center"/>
          </w:tcPr>
          <w:p w14:paraId="2F6D3CBF">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名称</w:t>
            </w:r>
          </w:p>
        </w:tc>
        <w:tc>
          <w:tcPr>
            <w:tcW w:w="736" w:type="pct"/>
            <w:vAlign w:val="center"/>
          </w:tcPr>
          <w:p w14:paraId="3454548F">
            <w:pPr>
              <w:spacing w:line="360" w:lineRule="auto"/>
              <w:jc w:val="center"/>
              <w:rPr>
                <w:rFonts w:hint="default"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单位</w:t>
            </w:r>
          </w:p>
        </w:tc>
        <w:tc>
          <w:tcPr>
            <w:tcW w:w="736" w:type="pct"/>
            <w:vAlign w:val="center"/>
          </w:tcPr>
          <w:p w14:paraId="58BAEFCC">
            <w:pPr>
              <w:spacing w:line="360" w:lineRule="auto"/>
              <w:jc w:val="center"/>
              <w:rPr>
                <w:rFonts w:hint="default"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数量</w:t>
            </w:r>
          </w:p>
        </w:tc>
        <w:tc>
          <w:tcPr>
            <w:tcW w:w="740" w:type="pct"/>
            <w:vAlign w:val="center"/>
          </w:tcPr>
          <w:p w14:paraId="48B85BDE">
            <w:pPr>
              <w:spacing w:line="360" w:lineRule="auto"/>
              <w:jc w:val="center"/>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单价</w:t>
            </w:r>
            <w:r>
              <w:rPr>
                <w:rFonts w:hint="eastAsia" w:ascii="仿宋" w:hAnsi="仿宋" w:eastAsia="仿宋" w:cs="仿宋"/>
                <w:color w:val="auto"/>
                <w:szCs w:val="21"/>
                <w:highlight w:val="none"/>
                <w:shd w:val="clear" w:color="auto" w:fill="FFFFFF" w:themeFill="background1"/>
              </w:rPr>
              <w:t>（元）</w:t>
            </w:r>
          </w:p>
        </w:tc>
        <w:tc>
          <w:tcPr>
            <w:tcW w:w="736" w:type="pct"/>
            <w:vAlign w:val="center"/>
          </w:tcPr>
          <w:p w14:paraId="6E945F10">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小计（元）</w:t>
            </w:r>
          </w:p>
        </w:tc>
        <w:tc>
          <w:tcPr>
            <w:tcW w:w="523" w:type="pct"/>
            <w:vAlign w:val="center"/>
          </w:tcPr>
          <w:p w14:paraId="79AE8F8D">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备注</w:t>
            </w:r>
          </w:p>
        </w:tc>
      </w:tr>
      <w:tr w14:paraId="2F28D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3" w:type="pct"/>
            <w:vAlign w:val="center"/>
          </w:tcPr>
          <w:p w14:paraId="761E4997">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1</w:t>
            </w:r>
          </w:p>
        </w:tc>
        <w:tc>
          <w:tcPr>
            <w:tcW w:w="1103" w:type="pct"/>
            <w:vAlign w:val="center"/>
          </w:tcPr>
          <w:p w14:paraId="503644E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4762D18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50FE06C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40" w:type="pct"/>
            <w:vAlign w:val="center"/>
          </w:tcPr>
          <w:p w14:paraId="39999A72">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2CF3EC9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523" w:type="pct"/>
            <w:vAlign w:val="center"/>
          </w:tcPr>
          <w:p w14:paraId="4FAE5327">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35175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3" w:type="pct"/>
            <w:vAlign w:val="center"/>
          </w:tcPr>
          <w:p w14:paraId="5A92445C">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2</w:t>
            </w:r>
          </w:p>
        </w:tc>
        <w:tc>
          <w:tcPr>
            <w:tcW w:w="1103" w:type="pct"/>
            <w:vAlign w:val="center"/>
          </w:tcPr>
          <w:p w14:paraId="4AC3458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472D6FA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7856890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40" w:type="pct"/>
            <w:vAlign w:val="center"/>
          </w:tcPr>
          <w:p w14:paraId="0DE1D82C">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46FBA42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523" w:type="pct"/>
            <w:vAlign w:val="center"/>
          </w:tcPr>
          <w:p w14:paraId="686819A1">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77DCF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3" w:type="pct"/>
            <w:vAlign w:val="center"/>
          </w:tcPr>
          <w:p w14:paraId="088AF4BB">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3</w:t>
            </w:r>
          </w:p>
        </w:tc>
        <w:tc>
          <w:tcPr>
            <w:tcW w:w="1103" w:type="pct"/>
            <w:vAlign w:val="center"/>
          </w:tcPr>
          <w:p w14:paraId="562642F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5A30CD9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4895C302">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40" w:type="pct"/>
            <w:vAlign w:val="center"/>
          </w:tcPr>
          <w:p w14:paraId="5183C7C9">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0574ED1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523" w:type="pct"/>
            <w:vAlign w:val="center"/>
          </w:tcPr>
          <w:p w14:paraId="1CB93D9B">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40BC9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3" w:type="pct"/>
            <w:vAlign w:val="center"/>
          </w:tcPr>
          <w:p w14:paraId="729FCA72">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4</w:t>
            </w:r>
          </w:p>
        </w:tc>
        <w:tc>
          <w:tcPr>
            <w:tcW w:w="1103" w:type="pct"/>
            <w:vAlign w:val="center"/>
          </w:tcPr>
          <w:p w14:paraId="64ED1F7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07A08D4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1D19E1F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40" w:type="pct"/>
            <w:vAlign w:val="center"/>
          </w:tcPr>
          <w:p w14:paraId="21DE6C47">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2EEFFB4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523" w:type="pct"/>
            <w:vAlign w:val="center"/>
          </w:tcPr>
          <w:p w14:paraId="26281B5B">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5B188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3" w:type="pct"/>
            <w:vAlign w:val="center"/>
          </w:tcPr>
          <w:p w14:paraId="19954165">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w:t>
            </w:r>
          </w:p>
        </w:tc>
        <w:tc>
          <w:tcPr>
            <w:tcW w:w="1103" w:type="pct"/>
            <w:vAlign w:val="center"/>
          </w:tcPr>
          <w:p w14:paraId="0D4AA85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68F04C91">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2C3D759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40" w:type="pct"/>
            <w:vAlign w:val="center"/>
          </w:tcPr>
          <w:p w14:paraId="64BA039D">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736" w:type="pct"/>
            <w:vAlign w:val="center"/>
          </w:tcPr>
          <w:p w14:paraId="58B5418C">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523" w:type="pct"/>
            <w:vAlign w:val="center"/>
          </w:tcPr>
          <w:p w14:paraId="49C5F8C8">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4C6E3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739" w:type="pct"/>
            <w:gridSpan w:val="5"/>
            <w:vAlign w:val="center"/>
          </w:tcPr>
          <w:p w14:paraId="223D7BC2">
            <w:pPr>
              <w:spacing w:line="360" w:lineRule="auto"/>
              <w:jc w:val="center"/>
              <w:rPr>
                <w:rFonts w:hint="eastAsia" w:ascii="仿宋" w:hAnsi="仿宋" w:eastAsia="仿宋" w:cs="仿宋"/>
                <w:b/>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合计</w:t>
            </w:r>
            <w:r>
              <w:rPr>
                <w:rFonts w:hint="eastAsia" w:ascii="仿宋" w:hAnsi="仿宋" w:eastAsia="仿宋" w:cs="仿宋"/>
                <w:color w:val="auto"/>
                <w:szCs w:val="21"/>
                <w:highlight w:val="none"/>
                <w:shd w:val="clear" w:color="auto" w:fill="FFFFFF" w:themeFill="background1"/>
              </w:rPr>
              <w:t>（元）</w:t>
            </w:r>
          </w:p>
        </w:tc>
        <w:tc>
          <w:tcPr>
            <w:tcW w:w="736" w:type="pct"/>
            <w:vAlign w:val="center"/>
          </w:tcPr>
          <w:p w14:paraId="5201E67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523" w:type="pct"/>
            <w:vAlign w:val="center"/>
          </w:tcPr>
          <w:p w14:paraId="511E3379">
            <w:pPr>
              <w:spacing w:line="360" w:lineRule="auto"/>
              <w:jc w:val="center"/>
              <w:rPr>
                <w:rFonts w:hint="eastAsia" w:ascii="仿宋" w:hAnsi="仿宋" w:eastAsia="仿宋" w:cs="仿宋"/>
                <w:b/>
                <w:bCs/>
                <w:color w:val="auto"/>
                <w:szCs w:val="21"/>
                <w:highlight w:val="none"/>
                <w:shd w:val="clear" w:color="auto" w:fill="FFFFFF" w:themeFill="background1"/>
              </w:rPr>
            </w:pPr>
          </w:p>
        </w:tc>
      </w:tr>
    </w:tbl>
    <w:p w14:paraId="31B3D468">
      <w:pPr>
        <w:spacing w:line="360" w:lineRule="auto"/>
        <w:rPr>
          <w:rFonts w:hint="eastAsia" w:ascii="仿宋" w:hAnsi="仿宋" w:eastAsia="仿宋" w:cs="仿宋"/>
          <w:color w:val="auto"/>
          <w:highlight w:val="none"/>
          <w:shd w:val="clear" w:color="auto" w:fill="FFFFFF" w:themeFill="background1"/>
        </w:rPr>
      </w:pPr>
    </w:p>
    <w:p w14:paraId="4B1A5A59">
      <w:pPr>
        <w:spacing w:line="360" w:lineRule="auto"/>
        <w:rPr>
          <w:rFonts w:hint="eastAsia"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rPr>
        <w:t>注：</w:t>
      </w:r>
    </w:p>
    <w:p w14:paraId="5AB18B59">
      <w:pPr>
        <w:spacing w:line="360" w:lineRule="auto"/>
        <w:ind w:firstLine="420" w:firstLineChars="200"/>
        <w:jc w:val="left"/>
        <w:rPr>
          <w:rFonts w:hint="eastAsia"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lang w:eastAsia="zh-CN"/>
        </w:rPr>
        <w:t>1.</w:t>
      </w:r>
      <w:r>
        <w:rPr>
          <w:rFonts w:hint="eastAsia" w:ascii="仿宋" w:hAnsi="仿宋" w:eastAsia="仿宋" w:cs="仿宋"/>
          <w:color w:val="auto"/>
          <w:highlight w:val="none"/>
          <w:shd w:val="clear" w:color="auto" w:fill="FFFFFF" w:themeFill="background1"/>
        </w:rPr>
        <w:t>供应商填报</w:t>
      </w:r>
      <w:r>
        <w:rPr>
          <w:rFonts w:hint="eastAsia" w:ascii="仿宋" w:hAnsi="仿宋" w:eastAsia="仿宋" w:cs="仿宋"/>
          <w:color w:val="auto"/>
          <w:highlight w:val="none"/>
          <w:shd w:val="clear" w:color="auto" w:fill="FFFFFF" w:themeFill="background1"/>
          <w:lang w:eastAsia="zh-CN"/>
        </w:rPr>
        <w:t>响应价格</w:t>
      </w:r>
      <w:r>
        <w:rPr>
          <w:rFonts w:hint="eastAsia" w:ascii="仿宋" w:hAnsi="仿宋" w:eastAsia="仿宋" w:cs="仿宋"/>
          <w:color w:val="auto"/>
          <w:highlight w:val="none"/>
          <w:shd w:val="clear" w:color="auto" w:fill="FFFFFF" w:themeFill="background1"/>
        </w:rPr>
        <w:t>合计应与</w:t>
      </w:r>
      <w:r>
        <w:rPr>
          <w:rFonts w:hint="eastAsia" w:ascii="仿宋" w:hAnsi="仿宋" w:eastAsia="仿宋" w:cs="仿宋"/>
          <w:color w:val="auto"/>
          <w:highlight w:val="none"/>
          <w:shd w:val="clear" w:color="auto" w:fill="FFFFFF" w:themeFill="background1"/>
          <w:lang w:eastAsia="zh-CN"/>
        </w:rPr>
        <w:t>响应函</w:t>
      </w:r>
      <w:r>
        <w:rPr>
          <w:rFonts w:hint="eastAsia" w:ascii="仿宋" w:hAnsi="仿宋" w:eastAsia="仿宋" w:cs="仿宋"/>
          <w:color w:val="auto"/>
          <w:highlight w:val="none"/>
          <w:shd w:val="clear" w:color="auto" w:fill="FFFFFF" w:themeFill="background1"/>
        </w:rPr>
        <w:t>载明价格一致，若不一致，应按照第二章评审办法修正原则进行修正。</w:t>
      </w:r>
    </w:p>
    <w:p w14:paraId="33E2DE6F">
      <w:pPr>
        <w:spacing w:line="360" w:lineRule="auto"/>
        <w:ind w:firstLine="420" w:firstLineChars="200"/>
        <w:jc w:val="left"/>
        <w:rPr>
          <w:rFonts w:hint="eastAsia"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lang w:eastAsia="zh-CN"/>
        </w:rPr>
        <w:t>2.</w:t>
      </w:r>
      <w:r>
        <w:rPr>
          <w:rFonts w:hint="eastAsia" w:ascii="仿宋" w:hAnsi="仿宋" w:eastAsia="仿宋" w:cs="仿宋"/>
          <w:color w:val="auto"/>
          <w:highlight w:val="none"/>
          <w:shd w:val="clear" w:color="auto" w:fill="FFFFFF" w:themeFill="background1"/>
        </w:rPr>
        <w:t>供应商的服务只允许有一个报价，采购人不接受有任何选择的报价。</w:t>
      </w:r>
      <w:r>
        <w:rPr>
          <w:rFonts w:hint="eastAsia" w:ascii="仿宋" w:hAnsi="仿宋" w:eastAsia="仿宋" w:cs="仿宋"/>
          <w:color w:val="auto"/>
          <w:highlight w:val="none"/>
          <w:shd w:val="clear" w:color="auto" w:fill="FFFFFF" w:themeFill="background1"/>
          <w:lang w:eastAsia="zh-CN"/>
        </w:rPr>
        <w:t>响应价格</w:t>
      </w:r>
      <w:r>
        <w:rPr>
          <w:rFonts w:hint="eastAsia" w:ascii="仿宋" w:hAnsi="仿宋" w:eastAsia="仿宋" w:cs="仿宋"/>
          <w:color w:val="auto"/>
          <w:highlight w:val="none"/>
          <w:shd w:val="clear" w:color="auto" w:fill="FFFFFF" w:themeFill="background1"/>
        </w:rPr>
        <w:t>应包括供应商履行本项目合同（如果成交）所必须的所有成本费用和成交供应商应承担的一切费用，包括但不仅限于必要资料、交通、保险、人工费、税费等一切费用。未列和没有填写的项目费用，采购人将视为已包括在</w:t>
      </w:r>
      <w:r>
        <w:rPr>
          <w:rFonts w:hint="eastAsia" w:ascii="仿宋" w:hAnsi="仿宋" w:eastAsia="仿宋" w:cs="仿宋"/>
          <w:color w:val="auto"/>
          <w:highlight w:val="none"/>
          <w:shd w:val="clear" w:color="auto" w:fill="FFFFFF" w:themeFill="background1"/>
          <w:lang w:eastAsia="zh-CN"/>
        </w:rPr>
        <w:t>响应价格</w:t>
      </w:r>
      <w:r>
        <w:rPr>
          <w:rFonts w:hint="eastAsia" w:ascii="仿宋" w:hAnsi="仿宋" w:eastAsia="仿宋" w:cs="仿宋"/>
          <w:color w:val="auto"/>
          <w:highlight w:val="none"/>
          <w:shd w:val="clear" w:color="auto" w:fill="FFFFFF" w:themeFill="background1"/>
        </w:rPr>
        <w:t>中。</w:t>
      </w:r>
    </w:p>
    <w:p w14:paraId="60479090">
      <w:pPr>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84AE30E">
      <w:pPr>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C37369D">
      <w:pPr>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316D12DA">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37E33C3">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shd w:val="clear" w:color="auto" w:fill="FFFFFF" w:themeFill="background1"/>
        </w:rPr>
        <w:t>）</w:t>
      </w:r>
    </w:p>
    <w:p w14:paraId="2F9ACCCD">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6917A5EC">
      <w:pP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p>
    <w:p w14:paraId="6DDAB73B">
      <w:pPr>
        <w:rPr>
          <w:rFonts w:hint="eastAsia" w:ascii="仿宋" w:hAnsi="仿宋" w:eastAsia="仿宋" w:cs="仿宋"/>
          <w:color w:val="auto"/>
          <w:highlight w:val="none"/>
          <w:lang w:val="en-US" w:eastAsia="zh-CN"/>
        </w:rPr>
        <w:sectPr>
          <w:headerReference r:id="rId8" w:type="default"/>
          <w:footerReference r:id="rId9" w:type="default"/>
          <w:pgSz w:w="11910" w:h="16840"/>
          <w:pgMar w:top="1440" w:right="1080" w:bottom="1440" w:left="1080" w:header="0" w:footer="1036" w:gutter="0"/>
          <w:pgNumType w:fmt="decimal"/>
          <w:cols w:space="720" w:num="1"/>
        </w:sectPr>
      </w:pPr>
    </w:p>
    <w:p w14:paraId="765377CD">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53" w:name="_Toc21063"/>
      <w:r>
        <w:rPr>
          <w:rFonts w:hint="eastAsia" w:ascii="仿宋" w:hAnsi="仿宋" w:eastAsia="仿宋" w:cs="仿宋"/>
          <w:color w:val="auto"/>
          <w:sz w:val="24"/>
          <w:szCs w:val="24"/>
          <w:highlight w:val="none"/>
          <w:shd w:val="clear" w:color="auto" w:fill="FFFFFF" w:themeFill="background1"/>
          <w:lang w:val="en-US" w:eastAsia="zh-CN"/>
        </w:rPr>
        <w:t>四、商务条款偏离表</w:t>
      </w:r>
      <w:bookmarkEnd w:id="49"/>
      <w:bookmarkEnd w:id="50"/>
      <w:bookmarkEnd w:id="51"/>
      <w:bookmarkEnd w:id="53"/>
    </w:p>
    <w:tbl>
      <w:tblPr>
        <w:tblStyle w:val="44"/>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3"/>
        <w:gridCol w:w="1814"/>
        <w:gridCol w:w="2083"/>
        <w:gridCol w:w="2182"/>
        <w:gridCol w:w="1155"/>
        <w:gridCol w:w="1219"/>
      </w:tblGrid>
      <w:tr w14:paraId="35AD9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7E9C479F">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32561054">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条目号</w:t>
            </w:r>
          </w:p>
        </w:tc>
        <w:tc>
          <w:tcPr>
            <w:tcW w:w="2083" w:type="dxa"/>
            <w:vAlign w:val="center"/>
          </w:tcPr>
          <w:p w14:paraId="758D1349">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的商务条款</w:t>
            </w:r>
          </w:p>
        </w:tc>
        <w:tc>
          <w:tcPr>
            <w:tcW w:w="2182" w:type="dxa"/>
            <w:vAlign w:val="center"/>
          </w:tcPr>
          <w:p w14:paraId="6C3787BC">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响应文件的商务条款</w:t>
            </w:r>
          </w:p>
        </w:tc>
        <w:tc>
          <w:tcPr>
            <w:tcW w:w="1155" w:type="dxa"/>
            <w:vAlign w:val="center"/>
          </w:tcPr>
          <w:p w14:paraId="4023B4F6">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44BF2A9A">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2C773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54865C4C">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10AA9542">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77A0E56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02E7A1B1">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73C0670C">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1A721C82">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20B48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5349609D">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20DA44F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471C2F1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0F714D4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596DCC17">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7D5587D8">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5AC60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479B940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62A55C6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4573CEC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2ED40CE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10B268D1">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7349A7FA">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390AE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3D95952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5E54475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27DBF40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27A18F9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118B513D">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718A0D53">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39812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1B97D17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4AF59DB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42E2DD6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4D0791E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36E6B012">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031E081F">
            <w:pPr>
              <w:spacing w:line="360" w:lineRule="auto"/>
              <w:jc w:val="center"/>
              <w:rPr>
                <w:rFonts w:hint="eastAsia" w:ascii="仿宋" w:hAnsi="仿宋" w:eastAsia="仿宋" w:cs="仿宋"/>
                <w:b/>
                <w:bCs/>
                <w:color w:val="auto"/>
                <w:szCs w:val="21"/>
                <w:highlight w:val="none"/>
                <w:shd w:val="clear" w:color="auto" w:fill="FFFFFF" w:themeFill="background1"/>
              </w:rPr>
            </w:pPr>
          </w:p>
        </w:tc>
      </w:tr>
    </w:tbl>
    <w:p w14:paraId="232F7FA2">
      <w:pPr>
        <w:spacing w:line="360" w:lineRule="auto"/>
        <w:ind w:firstLine="420" w:firstLineChars="200"/>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注：供应商对</w:t>
      </w:r>
      <w:r>
        <w:rPr>
          <w:rFonts w:hint="eastAsia" w:ascii="仿宋" w:hAnsi="仿宋" w:eastAsia="仿宋" w:cs="仿宋"/>
          <w:color w:val="auto"/>
          <w:szCs w:val="24"/>
          <w:highlight w:val="none"/>
          <w:shd w:val="clear" w:color="auto" w:fill="FFFFFF" w:themeFill="background1"/>
          <w:lang w:eastAsia="zh-CN"/>
        </w:rPr>
        <w:t>采购文件</w:t>
      </w:r>
      <w:r>
        <w:rPr>
          <w:rFonts w:hint="eastAsia" w:ascii="仿宋" w:hAnsi="仿宋" w:eastAsia="仿宋" w:cs="仿宋"/>
          <w:color w:val="auto"/>
          <w:szCs w:val="24"/>
          <w:highlight w:val="none"/>
          <w:shd w:val="clear" w:color="auto" w:fill="FFFFFF" w:themeFill="background1"/>
        </w:rPr>
        <w:t>商务条款有偏离的，应在此表中列明实际响应的内容并加以说明，以便查对。请在此偏离表“偏离”中填写无偏离或正偏离或负偏离。</w:t>
      </w:r>
    </w:p>
    <w:p w14:paraId="3B523685">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2133A362">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1105F65B">
      <w:pPr>
        <w:spacing w:line="360" w:lineRule="auto"/>
        <w:jc w:val="left"/>
        <w:rPr>
          <w:rFonts w:hint="eastAsia" w:ascii="仿宋" w:hAnsi="仿宋" w:eastAsia="仿宋" w:cs="仿宋"/>
          <w:color w:val="auto"/>
          <w:sz w:val="24"/>
          <w:szCs w:val="24"/>
          <w:highlight w:val="none"/>
          <w:shd w:val="clear" w:color="auto" w:fill="FFFFFF" w:themeFill="background1"/>
        </w:rPr>
      </w:pPr>
    </w:p>
    <w:p w14:paraId="078786B6">
      <w:pPr>
        <w:spacing w:line="360" w:lineRule="auto"/>
        <w:jc w:val="left"/>
        <w:rPr>
          <w:rFonts w:hint="eastAsia" w:ascii="仿宋" w:hAnsi="仿宋" w:eastAsia="仿宋" w:cs="仿宋"/>
          <w:color w:val="auto"/>
          <w:sz w:val="24"/>
          <w:szCs w:val="24"/>
          <w:highlight w:val="none"/>
          <w:shd w:val="clear" w:color="auto" w:fill="FFFFFF" w:themeFill="background1"/>
        </w:rPr>
      </w:pPr>
    </w:p>
    <w:p w14:paraId="21FE42AE">
      <w:pPr>
        <w:spacing w:line="360" w:lineRule="auto"/>
        <w:jc w:val="left"/>
        <w:rPr>
          <w:rFonts w:hint="eastAsia" w:ascii="仿宋" w:hAnsi="仿宋" w:eastAsia="仿宋" w:cs="仿宋"/>
          <w:color w:val="auto"/>
          <w:sz w:val="24"/>
          <w:szCs w:val="24"/>
          <w:highlight w:val="none"/>
          <w:shd w:val="clear" w:color="auto" w:fill="FFFFFF" w:themeFill="background1"/>
        </w:rPr>
      </w:pPr>
    </w:p>
    <w:p w14:paraId="759CC3F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1D47A20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185E76F">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shd w:val="clear" w:color="auto" w:fill="FFFFFF" w:themeFill="background1"/>
        </w:rPr>
        <w:t>）</w:t>
      </w:r>
    </w:p>
    <w:p w14:paraId="2EC87EC0">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FE6CF9A">
      <w:pPr>
        <w:widowControl/>
        <w:spacing w:line="360" w:lineRule="auto"/>
        <w:jc w:val="left"/>
        <w:rPr>
          <w:rFonts w:hint="eastAsia" w:ascii="仿宋" w:hAnsi="仿宋" w:eastAsia="仿宋" w:cs="仿宋"/>
          <w:b/>
          <w:bCs/>
          <w:color w:val="auto"/>
          <w:kern w:val="36"/>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p>
    <w:p w14:paraId="420CE190">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54" w:name="_Toc5216"/>
      <w:r>
        <w:rPr>
          <w:rFonts w:hint="eastAsia" w:ascii="仿宋" w:hAnsi="仿宋" w:eastAsia="仿宋" w:cs="仿宋"/>
          <w:color w:val="auto"/>
          <w:sz w:val="24"/>
          <w:szCs w:val="24"/>
          <w:highlight w:val="none"/>
          <w:shd w:val="clear" w:color="auto" w:fill="FFFFFF" w:themeFill="background1"/>
          <w:lang w:val="en-US" w:eastAsia="zh-CN"/>
        </w:rPr>
        <w:t>五、技术条款偏离表</w:t>
      </w:r>
      <w:bookmarkEnd w:id="54"/>
    </w:p>
    <w:tbl>
      <w:tblPr>
        <w:tblStyle w:val="44"/>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3"/>
        <w:gridCol w:w="1814"/>
        <w:gridCol w:w="2083"/>
        <w:gridCol w:w="2182"/>
        <w:gridCol w:w="1155"/>
        <w:gridCol w:w="1219"/>
      </w:tblGrid>
      <w:tr w14:paraId="290B6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12987421">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32CB02C5">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条目号</w:t>
            </w:r>
          </w:p>
        </w:tc>
        <w:tc>
          <w:tcPr>
            <w:tcW w:w="2083" w:type="dxa"/>
            <w:vAlign w:val="center"/>
          </w:tcPr>
          <w:p w14:paraId="5A1AC8D6">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的技术条款</w:t>
            </w:r>
          </w:p>
        </w:tc>
        <w:tc>
          <w:tcPr>
            <w:tcW w:w="2182" w:type="dxa"/>
            <w:vAlign w:val="center"/>
          </w:tcPr>
          <w:p w14:paraId="7FA49507">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响应文件的技术条款</w:t>
            </w:r>
          </w:p>
        </w:tc>
        <w:tc>
          <w:tcPr>
            <w:tcW w:w="1155" w:type="dxa"/>
            <w:vAlign w:val="center"/>
          </w:tcPr>
          <w:p w14:paraId="3BB147EE">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4684364B">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18090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5457C6F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5F86DB6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7D75A48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3D7A801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46343AD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5D06F6C5">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6524E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0D2296E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21CF98C9">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178D223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0DAAD407">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723FE63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7D260203">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10AE2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153F83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4073897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1354A9F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43C1DD5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06A7CC5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2140789B">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780DD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3DB8492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0D6E10AD">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2812C3A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7AFF503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1E62E0E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5057F72D">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044F3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48E421C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1F6494D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7A7D67D1">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4BF5922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69D0C0B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0AF462C5">
            <w:pPr>
              <w:spacing w:line="360" w:lineRule="auto"/>
              <w:jc w:val="center"/>
              <w:rPr>
                <w:rFonts w:hint="eastAsia" w:ascii="仿宋" w:hAnsi="仿宋" w:eastAsia="仿宋" w:cs="仿宋"/>
                <w:b/>
                <w:bCs/>
                <w:color w:val="auto"/>
                <w:szCs w:val="21"/>
                <w:highlight w:val="none"/>
                <w:shd w:val="clear" w:color="auto" w:fill="FFFFFF" w:themeFill="background1"/>
              </w:rPr>
            </w:pPr>
          </w:p>
        </w:tc>
      </w:tr>
    </w:tbl>
    <w:p w14:paraId="68686263">
      <w:pPr>
        <w:spacing w:line="360" w:lineRule="auto"/>
        <w:ind w:firstLine="420" w:firstLineChars="200"/>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注：供应商对</w:t>
      </w:r>
      <w:r>
        <w:rPr>
          <w:rFonts w:hint="eastAsia" w:ascii="仿宋" w:hAnsi="仿宋" w:eastAsia="仿宋" w:cs="仿宋"/>
          <w:color w:val="auto"/>
          <w:szCs w:val="24"/>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技术</w:t>
      </w:r>
      <w:r>
        <w:rPr>
          <w:rFonts w:hint="eastAsia" w:ascii="仿宋" w:hAnsi="仿宋" w:eastAsia="仿宋" w:cs="仿宋"/>
          <w:color w:val="auto"/>
          <w:szCs w:val="24"/>
          <w:highlight w:val="none"/>
          <w:shd w:val="clear" w:color="auto" w:fill="FFFFFF" w:themeFill="background1"/>
        </w:rPr>
        <w:t>条款有偏离的，应在此表中列明实际响应的内容并加以说明，以便查对。请在此偏离表“偏离”中填写无偏离或正偏离或负偏离。</w:t>
      </w:r>
    </w:p>
    <w:p w14:paraId="6E6A6518">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1A2ECC4D">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2FC40B80">
      <w:pPr>
        <w:spacing w:line="360" w:lineRule="auto"/>
        <w:jc w:val="left"/>
        <w:rPr>
          <w:rFonts w:hint="eastAsia" w:ascii="仿宋" w:hAnsi="仿宋" w:eastAsia="仿宋" w:cs="仿宋"/>
          <w:color w:val="auto"/>
          <w:sz w:val="24"/>
          <w:szCs w:val="24"/>
          <w:highlight w:val="none"/>
          <w:shd w:val="clear" w:color="auto" w:fill="FFFFFF" w:themeFill="background1"/>
        </w:rPr>
      </w:pPr>
    </w:p>
    <w:p w14:paraId="28FBC943">
      <w:pPr>
        <w:spacing w:line="360" w:lineRule="auto"/>
        <w:jc w:val="left"/>
        <w:rPr>
          <w:rFonts w:hint="eastAsia" w:ascii="仿宋" w:hAnsi="仿宋" w:eastAsia="仿宋" w:cs="仿宋"/>
          <w:color w:val="auto"/>
          <w:sz w:val="24"/>
          <w:szCs w:val="24"/>
          <w:highlight w:val="none"/>
          <w:shd w:val="clear" w:color="auto" w:fill="FFFFFF" w:themeFill="background1"/>
        </w:rPr>
      </w:pPr>
    </w:p>
    <w:p w14:paraId="50FE12D4">
      <w:pPr>
        <w:spacing w:line="360" w:lineRule="auto"/>
        <w:jc w:val="left"/>
        <w:rPr>
          <w:rFonts w:hint="eastAsia" w:ascii="仿宋" w:hAnsi="仿宋" w:eastAsia="仿宋" w:cs="仿宋"/>
          <w:color w:val="auto"/>
          <w:sz w:val="24"/>
          <w:szCs w:val="24"/>
          <w:highlight w:val="none"/>
          <w:shd w:val="clear" w:color="auto" w:fill="FFFFFF" w:themeFill="background1"/>
        </w:rPr>
      </w:pPr>
    </w:p>
    <w:p w14:paraId="0F60B8FD">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002FAB32">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17C24A8">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shd w:val="clear" w:color="auto" w:fill="FFFFFF" w:themeFill="background1"/>
        </w:rPr>
        <w:t>）</w:t>
      </w:r>
    </w:p>
    <w:p w14:paraId="45B81B76">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6602672D">
      <w:pPr>
        <w:spacing w:line="360" w:lineRule="auto"/>
        <w:jc w:val="center"/>
        <w:outlineLvl w:val="1"/>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bookmarkStart w:id="55" w:name="_Toc24797"/>
      <w:bookmarkStart w:id="56" w:name="_Toc533503185"/>
      <w:bookmarkStart w:id="57" w:name="_Toc507586170"/>
      <w:bookmarkStart w:id="58" w:name="_Toc38446475"/>
      <w:r>
        <w:rPr>
          <w:rFonts w:hint="eastAsia" w:ascii="仿宋" w:hAnsi="仿宋" w:eastAsia="仿宋" w:cs="仿宋"/>
          <w:color w:val="auto"/>
          <w:sz w:val="24"/>
          <w:szCs w:val="24"/>
          <w:highlight w:val="none"/>
          <w:shd w:val="clear" w:color="auto" w:fill="FFFFFF" w:themeFill="background1"/>
          <w:lang w:val="en-US" w:eastAsia="zh-CN"/>
        </w:rPr>
        <w:t>六、法定代表人身份证明书</w:t>
      </w:r>
      <w:bookmarkEnd w:id="55"/>
      <w:bookmarkEnd w:id="56"/>
      <w:bookmarkEnd w:id="57"/>
      <w:bookmarkEnd w:id="58"/>
    </w:p>
    <w:p w14:paraId="504D0D65">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3BC8FA8">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投 标 人：</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4ABD2958">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单位性质：</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3531BAC7">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地    址：</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2A9CF3F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成立时间：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日</w:t>
      </w:r>
    </w:p>
    <w:p w14:paraId="0B27A941">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经营期限：</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5C185B55">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616E2A7">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姓名：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年龄：</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职务：</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（供应商名称）的法定代表人。</w:t>
      </w:r>
    </w:p>
    <w:p w14:paraId="4331D714">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特此证明。</w:t>
      </w:r>
    </w:p>
    <w:p w14:paraId="04090F5E">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AA7A251">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附：法定代表人身份证明</w:t>
      </w:r>
    </w:p>
    <w:p w14:paraId="00965FC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tbl>
      <w:tblPr>
        <w:tblStyle w:val="44"/>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27CA0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4088DFBA">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w:t>
            </w:r>
            <w:r>
              <w:rPr>
                <w:rFonts w:hint="eastAsia" w:ascii="仿宋" w:hAnsi="仿宋" w:eastAsia="仿宋" w:cs="仿宋"/>
                <w:color w:val="auto"/>
                <w:kern w:val="0"/>
                <w:sz w:val="24"/>
                <w:szCs w:val="24"/>
                <w:highlight w:val="none"/>
                <w:shd w:val="clear" w:color="auto" w:fill="FFFFFF" w:themeFill="background1"/>
                <w:lang w:eastAsia="zh-CN"/>
              </w:rPr>
              <w:t>扫描件</w:t>
            </w:r>
            <w:r>
              <w:rPr>
                <w:rFonts w:hint="eastAsia" w:ascii="仿宋" w:hAnsi="仿宋" w:eastAsia="仿宋" w:cs="仿宋"/>
                <w:color w:val="auto"/>
                <w:kern w:val="0"/>
                <w:sz w:val="24"/>
                <w:szCs w:val="24"/>
                <w:highlight w:val="none"/>
                <w:shd w:val="clear" w:color="auto" w:fill="FFFFFF" w:themeFill="background1"/>
              </w:rPr>
              <w:t>（正面）</w:t>
            </w:r>
          </w:p>
        </w:tc>
      </w:tr>
    </w:tbl>
    <w:p w14:paraId="09EF1570">
      <w:pPr>
        <w:spacing w:line="360" w:lineRule="auto"/>
        <w:rPr>
          <w:rFonts w:hint="eastAsia" w:ascii="仿宋" w:hAnsi="仿宋" w:eastAsia="仿宋" w:cs="仿宋"/>
          <w:vanish/>
          <w:color w:val="auto"/>
          <w:sz w:val="24"/>
          <w:szCs w:val="24"/>
          <w:highlight w:val="none"/>
          <w:shd w:val="clear" w:color="auto" w:fill="FFFFFF" w:themeFill="background1"/>
        </w:rPr>
      </w:pPr>
    </w:p>
    <w:tbl>
      <w:tblPr>
        <w:tblStyle w:val="44"/>
        <w:tblpPr w:leftFromText="180" w:rightFromText="180" w:vertAnchor="text" w:horzAnchor="page" w:tblpX="597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5FBBC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65CC0E8A">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w:t>
            </w:r>
            <w:r>
              <w:rPr>
                <w:rFonts w:hint="eastAsia" w:ascii="仿宋" w:hAnsi="仿宋" w:eastAsia="仿宋" w:cs="仿宋"/>
                <w:color w:val="auto"/>
                <w:kern w:val="0"/>
                <w:sz w:val="24"/>
                <w:szCs w:val="24"/>
                <w:highlight w:val="none"/>
                <w:shd w:val="clear" w:color="auto" w:fill="FFFFFF" w:themeFill="background1"/>
                <w:lang w:eastAsia="zh-CN"/>
              </w:rPr>
              <w:t>扫描件</w:t>
            </w:r>
            <w:r>
              <w:rPr>
                <w:rFonts w:hint="eastAsia" w:ascii="仿宋" w:hAnsi="仿宋" w:eastAsia="仿宋" w:cs="仿宋"/>
                <w:color w:val="auto"/>
                <w:kern w:val="0"/>
                <w:sz w:val="24"/>
                <w:szCs w:val="24"/>
                <w:highlight w:val="none"/>
                <w:shd w:val="clear" w:color="auto" w:fill="FFFFFF" w:themeFill="background1"/>
              </w:rPr>
              <w:t>（反面）</w:t>
            </w:r>
          </w:p>
        </w:tc>
      </w:tr>
    </w:tbl>
    <w:p w14:paraId="419FF5B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w:t>
      </w:r>
    </w:p>
    <w:p w14:paraId="740D00CE">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0FCCFB2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12D0071F">
      <w:pPr>
        <w:widowControl/>
        <w:shd w:val="clear" w:color="auto" w:fill="FFFFFF"/>
        <w:wordWrap w:val="0"/>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日 </w:t>
      </w:r>
    </w:p>
    <w:p w14:paraId="79582534">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p>
    <w:p w14:paraId="788F907F">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p>
    <w:p w14:paraId="7244970A">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p>
    <w:p w14:paraId="71739C6E">
      <w:pPr>
        <w:spacing w:line="360" w:lineRule="auto"/>
        <w:jc w:val="center"/>
        <w:outlineLvl w:val="1"/>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0"/>
          <w:sz w:val="24"/>
          <w:szCs w:val="24"/>
          <w:highlight w:val="none"/>
          <w:shd w:val="clear" w:color="auto" w:fill="FFFFFF" w:themeFill="background1"/>
        </w:rPr>
        <w:br w:type="page"/>
      </w:r>
      <w:bookmarkStart w:id="59" w:name="_Toc38446476"/>
      <w:bookmarkStart w:id="60" w:name="_Toc27385"/>
      <w:bookmarkStart w:id="61" w:name="_Toc533503186"/>
      <w:bookmarkStart w:id="62" w:name="_Toc507586171"/>
      <w:r>
        <w:rPr>
          <w:rFonts w:hint="eastAsia" w:ascii="仿宋" w:hAnsi="仿宋" w:eastAsia="仿宋" w:cs="仿宋"/>
          <w:color w:val="auto"/>
          <w:sz w:val="24"/>
          <w:szCs w:val="24"/>
          <w:highlight w:val="none"/>
          <w:shd w:val="clear" w:color="auto" w:fill="FFFFFF" w:themeFill="background1"/>
          <w:lang w:val="en-US" w:eastAsia="zh-CN"/>
        </w:rPr>
        <w:t>七、法定代表人授权委托书</w:t>
      </w:r>
      <w:bookmarkEnd w:id="59"/>
      <w:bookmarkEnd w:id="60"/>
      <w:bookmarkEnd w:id="61"/>
      <w:bookmarkEnd w:id="62"/>
    </w:p>
    <w:p w14:paraId="0F58F5FA">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5562C63E">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（供应商名称）的法定代表人，现拟派我单位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（姓名）为我方委托代理人。委托代理人根据授权，就</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项目名称）的</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，以本公司名义处理一切与之有关的事务，其法律后果由我方承担。</w:t>
      </w:r>
    </w:p>
    <w:p w14:paraId="1B201CC6">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u w:val="singl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w:t>
      </w:r>
      <w:r>
        <w:rPr>
          <w:rFonts w:hint="eastAsia" w:ascii="仿宋" w:hAnsi="仿宋" w:eastAsia="仿宋" w:cs="仿宋"/>
          <w:i/>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年龄：</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5E7A7E41">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  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部门：</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职务：</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5C9944FA">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代理人无转委权，特此申明。</w:t>
      </w:r>
    </w:p>
    <w:p w14:paraId="0CB7AD49">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08218A69">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附：委托代理人身份证明。</w:t>
      </w:r>
    </w:p>
    <w:tbl>
      <w:tblPr>
        <w:tblStyle w:val="44"/>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37810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2410748C">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w:t>
            </w:r>
            <w:r>
              <w:rPr>
                <w:rFonts w:hint="eastAsia" w:ascii="仿宋" w:hAnsi="仿宋" w:eastAsia="仿宋" w:cs="仿宋"/>
                <w:color w:val="auto"/>
                <w:kern w:val="0"/>
                <w:sz w:val="24"/>
                <w:szCs w:val="24"/>
                <w:highlight w:val="none"/>
                <w:shd w:val="clear" w:color="auto" w:fill="FFFFFF" w:themeFill="background1"/>
                <w:lang w:eastAsia="zh-CN"/>
              </w:rPr>
              <w:t>扫描件</w:t>
            </w:r>
            <w:r>
              <w:rPr>
                <w:rFonts w:hint="eastAsia" w:ascii="仿宋" w:hAnsi="仿宋" w:eastAsia="仿宋" w:cs="仿宋"/>
                <w:color w:val="auto"/>
                <w:kern w:val="0"/>
                <w:sz w:val="24"/>
                <w:szCs w:val="24"/>
                <w:highlight w:val="none"/>
                <w:shd w:val="clear" w:color="auto" w:fill="FFFFFF" w:themeFill="background1"/>
              </w:rPr>
              <w:t>（正面）</w:t>
            </w:r>
          </w:p>
        </w:tc>
      </w:tr>
    </w:tbl>
    <w:tbl>
      <w:tblPr>
        <w:tblStyle w:val="44"/>
        <w:tblpPr w:leftFromText="180" w:rightFromText="180" w:vertAnchor="text" w:horzAnchor="margin" w:tblpXSpec="right" w:tblpY="-2443"/>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7B7D0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7BE88283">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w:t>
            </w:r>
            <w:r>
              <w:rPr>
                <w:rFonts w:hint="eastAsia" w:ascii="仿宋" w:hAnsi="仿宋" w:eastAsia="仿宋" w:cs="仿宋"/>
                <w:color w:val="auto"/>
                <w:kern w:val="0"/>
                <w:sz w:val="24"/>
                <w:szCs w:val="24"/>
                <w:highlight w:val="none"/>
                <w:shd w:val="clear" w:color="auto" w:fill="FFFFFF" w:themeFill="background1"/>
                <w:lang w:eastAsia="zh-CN"/>
              </w:rPr>
              <w:t>扫描件</w:t>
            </w:r>
            <w:r>
              <w:rPr>
                <w:rFonts w:hint="eastAsia" w:ascii="仿宋" w:hAnsi="仿宋" w:eastAsia="仿宋" w:cs="仿宋"/>
                <w:color w:val="auto"/>
                <w:kern w:val="0"/>
                <w:sz w:val="24"/>
                <w:szCs w:val="24"/>
                <w:highlight w:val="none"/>
                <w:shd w:val="clear" w:color="auto" w:fill="FFFFFF" w:themeFill="background1"/>
              </w:rPr>
              <w:t>（反面）</w:t>
            </w:r>
          </w:p>
        </w:tc>
      </w:tr>
    </w:tbl>
    <w:p w14:paraId="4217791E">
      <w:pPr>
        <w:spacing w:line="360" w:lineRule="auto"/>
        <w:rPr>
          <w:rFonts w:hint="eastAsia" w:ascii="仿宋" w:hAnsi="仿宋" w:eastAsia="仿宋" w:cs="仿宋"/>
          <w:vanish/>
          <w:color w:val="auto"/>
          <w:sz w:val="24"/>
          <w:szCs w:val="24"/>
          <w:highlight w:val="none"/>
          <w:shd w:val="clear" w:color="auto" w:fill="FFFFFF" w:themeFill="background1"/>
        </w:rPr>
      </w:pPr>
    </w:p>
    <w:p w14:paraId="28366B0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740841A">
      <w:pPr>
        <w:widowControl/>
        <w:shd w:val="clear" w:color="auto" w:fill="FFFFFF"/>
        <w:snapToGrid w:val="0"/>
        <w:spacing w:line="360" w:lineRule="auto"/>
        <w:jc w:val="left"/>
        <w:rPr>
          <w:rFonts w:hint="eastAsia" w:ascii="仿宋" w:hAnsi="仿宋" w:eastAsia="仿宋" w:cs="仿宋"/>
          <w:b/>
          <w:bCs/>
          <w:color w:val="auto"/>
          <w:kern w:val="0"/>
          <w:sz w:val="24"/>
          <w:szCs w:val="24"/>
          <w:highlight w:val="none"/>
          <w:shd w:val="clear" w:color="auto" w:fill="FFFFFF" w:themeFill="background1"/>
        </w:rPr>
      </w:pPr>
    </w:p>
    <w:p w14:paraId="5DB811EB">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BA28072">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0893F20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76DE0ADD">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shd w:val="clear" w:color="auto" w:fill="FFFFFF" w:themeFill="background1"/>
        </w:rPr>
        <w:t>）</w:t>
      </w:r>
    </w:p>
    <w:p w14:paraId="13F7BC11">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763D54E">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58ABC4E">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 xml:space="preserve"> </w:t>
      </w:r>
    </w:p>
    <w:p w14:paraId="375A9D03">
      <w:pPr>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63" w:name="_Toc507586173"/>
      <w:r>
        <w:rPr>
          <w:rFonts w:hint="eastAsia" w:ascii="仿宋" w:hAnsi="仿宋" w:eastAsia="仿宋" w:cs="仿宋"/>
          <w:b/>
          <w:color w:val="auto"/>
          <w:sz w:val="24"/>
          <w:szCs w:val="24"/>
          <w:highlight w:val="none"/>
          <w:shd w:val="clear" w:color="auto" w:fill="FFFFFF" w:themeFill="background1"/>
        </w:rPr>
        <w:br w:type="page"/>
      </w:r>
      <w:bookmarkStart w:id="64" w:name="_Toc17944"/>
      <w:bookmarkStart w:id="65" w:name="_Toc38446478"/>
      <w:bookmarkStart w:id="66" w:name="_Toc533503189"/>
      <w:r>
        <w:rPr>
          <w:rFonts w:hint="eastAsia" w:ascii="仿宋" w:hAnsi="仿宋" w:eastAsia="仿宋" w:cs="仿宋"/>
          <w:color w:val="auto"/>
          <w:sz w:val="24"/>
          <w:szCs w:val="24"/>
          <w:highlight w:val="none"/>
          <w:shd w:val="clear" w:color="auto" w:fill="FFFFFF" w:themeFill="background1"/>
          <w:lang w:val="en-US" w:eastAsia="zh-CN"/>
        </w:rPr>
        <w:t>八、供应商资格条件证明材料</w:t>
      </w:r>
      <w:bookmarkEnd w:id="63"/>
      <w:bookmarkEnd w:id="64"/>
      <w:bookmarkEnd w:id="65"/>
      <w:bookmarkEnd w:id="66"/>
    </w:p>
    <w:p w14:paraId="2B4E6D9D">
      <w:pPr>
        <w:spacing w:line="360" w:lineRule="auto"/>
        <w:jc w:val="left"/>
        <w:rPr>
          <w:rFonts w:hint="eastAsia" w:ascii="仿宋" w:hAnsi="仿宋" w:eastAsia="仿宋" w:cs="仿宋"/>
          <w:color w:val="auto"/>
          <w:sz w:val="24"/>
          <w:szCs w:val="24"/>
          <w:highlight w:val="none"/>
          <w:shd w:val="clear" w:color="auto" w:fill="FFFFFF" w:themeFill="background1"/>
        </w:rPr>
      </w:pPr>
    </w:p>
    <w:tbl>
      <w:tblPr>
        <w:tblStyle w:val="44"/>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0775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32FD67D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供应商名称</w:t>
            </w:r>
          </w:p>
        </w:tc>
        <w:tc>
          <w:tcPr>
            <w:tcW w:w="7300" w:type="dxa"/>
            <w:gridSpan w:val="3"/>
            <w:vAlign w:val="center"/>
          </w:tcPr>
          <w:p w14:paraId="0508E7D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r>
      <w:tr w14:paraId="0684F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81067B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62CBE02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47EF092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421860BC">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9F52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ABFE36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1D5FFA4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38CEE49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7FE384C5">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E34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5ACDAC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2A203CA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25DC874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554A2D88">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5C958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8DB4F8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4583D53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13411EC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6DF1C639">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2030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DAD7B23">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417C5CF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5EE9CEEA">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7DCCB18B">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4A07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53BC7E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1612D67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1D35E823">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2BCF8789">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6C0B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C9C0C2A">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46F2E0E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692F649A">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eastAsia="zh-CN"/>
              </w:rPr>
              <w:t>银行账号</w:t>
            </w:r>
          </w:p>
        </w:tc>
        <w:tc>
          <w:tcPr>
            <w:tcW w:w="2140" w:type="dxa"/>
            <w:vAlign w:val="center"/>
          </w:tcPr>
          <w:p w14:paraId="360A4F56">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63B3E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426326A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51E3B654">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3BDB2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3A49C60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23B25523">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666B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1F45FB5A">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0833449C">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rPr>
              <w:t>（如有）</w:t>
            </w:r>
          </w:p>
        </w:tc>
        <w:tc>
          <w:tcPr>
            <w:tcW w:w="7300" w:type="dxa"/>
            <w:gridSpan w:val="3"/>
            <w:vAlign w:val="center"/>
          </w:tcPr>
          <w:p w14:paraId="2EE31FDC">
            <w:pPr>
              <w:autoSpaceDE w:val="0"/>
              <w:autoSpaceDN w:val="0"/>
              <w:adjustRightInd w:val="0"/>
              <w:snapToGrid w:val="0"/>
              <w:spacing w:line="520" w:lineRule="exact"/>
              <w:rPr>
                <w:rFonts w:hint="eastAsia" w:ascii="仿宋" w:hAnsi="仿宋" w:eastAsia="仿宋" w:cs="仿宋"/>
                <w:color w:val="auto"/>
                <w:kern w:val="0"/>
                <w:sz w:val="24"/>
                <w:szCs w:val="24"/>
                <w:highlight w:val="none"/>
              </w:rPr>
            </w:pPr>
          </w:p>
          <w:p w14:paraId="5CDC569C">
            <w:pPr>
              <w:autoSpaceDE w:val="0"/>
              <w:autoSpaceDN w:val="0"/>
              <w:adjustRightInd w:val="0"/>
              <w:snapToGrid w:val="0"/>
              <w:spacing w:line="520" w:lineRule="exact"/>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Cs w:val="21"/>
                <w:highlight w:val="none"/>
              </w:rPr>
              <w:t>注：此处关联单位指单位负责人为同一人或者存在直接控股、管理关系的不同单位。</w:t>
            </w:r>
          </w:p>
        </w:tc>
      </w:tr>
    </w:tbl>
    <w:p w14:paraId="3B9E3FB6">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p>
    <w:p w14:paraId="7B740391">
      <w:pPr>
        <w:widowControl/>
        <w:jc w:val="left"/>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br w:type="page"/>
      </w:r>
    </w:p>
    <w:p w14:paraId="1FC3216B">
      <w:pPr>
        <w:spacing w:line="360" w:lineRule="auto"/>
        <w:jc w:val="center"/>
        <w:rPr>
          <w:rFonts w:hint="eastAsia" w:ascii="仿宋" w:hAnsi="仿宋" w:eastAsia="仿宋" w:cs="仿宋"/>
          <w:color w:val="auto"/>
          <w:sz w:val="24"/>
          <w:szCs w:val="24"/>
          <w:highlight w:val="none"/>
          <w:shd w:val="clear" w:color="auto" w:fill="FFFFFF" w:themeFill="background1"/>
          <w:lang w:val="en-US" w:eastAsia="zh-CN"/>
        </w:rPr>
      </w:pPr>
      <w:bookmarkStart w:id="67" w:name="_Toc11207"/>
      <w:bookmarkStart w:id="68" w:name="_Toc109143671"/>
      <w:bookmarkStart w:id="69" w:name="_Toc107422184"/>
      <w:bookmarkStart w:id="70" w:name="_Toc32366"/>
      <w:bookmarkStart w:id="71" w:name="_Toc111556487"/>
    </w:p>
    <w:p w14:paraId="2E4ADFEB">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72" w:name="_Toc15861"/>
      <w:bookmarkStart w:id="73" w:name="_Toc5871"/>
      <w:bookmarkStart w:id="74" w:name="_Toc19929"/>
      <w:bookmarkStart w:id="75" w:name="_Toc18683"/>
      <w:bookmarkStart w:id="76" w:name="_Toc128476878"/>
      <w:bookmarkStart w:id="77" w:name="_Toc22428"/>
      <w:bookmarkStart w:id="78" w:name="_Toc156750399"/>
      <w:bookmarkStart w:id="79" w:name="_Toc17516"/>
      <w:bookmarkStart w:id="80" w:name="_Toc29377"/>
      <w:bookmarkStart w:id="81" w:name="_Toc18532"/>
      <w:bookmarkStart w:id="82" w:name="_Toc113901849"/>
      <w:bookmarkStart w:id="83" w:name="_Toc6417"/>
      <w:bookmarkStart w:id="84" w:name="_Toc1895"/>
      <w:bookmarkStart w:id="85" w:name="_Toc8342"/>
      <w:bookmarkStart w:id="86" w:name="_Toc12243"/>
      <w:bookmarkStart w:id="87" w:name="_Toc20057"/>
      <w:bookmarkStart w:id="88" w:name="_Toc24572"/>
      <w:bookmarkStart w:id="89" w:name="_Toc20683"/>
      <w:bookmarkStart w:id="90" w:name="_Toc30680"/>
      <w:bookmarkStart w:id="91" w:name="_Toc11608"/>
      <w:bookmarkStart w:id="92" w:name="_Toc9314"/>
      <w:r>
        <w:rPr>
          <w:rFonts w:hint="eastAsia" w:ascii="仿宋" w:hAnsi="仿宋" w:eastAsia="仿宋" w:cs="仿宋"/>
          <w:color w:val="auto"/>
          <w:sz w:val="24"/>
          <w:szCs w:val="24"/>
          <w:highlight w:val="none"/>
          <w:shd w:val="clear" w:color="auto" w:fill="FFFFFF" w:themeFill="background1"/>
          <w:lang w:val="en-US" w:eastAsia="zh-CN"/>
        </w:rPr>
        <w:t>8.1、</w:t>
      </w:r>
      <w:bookmarkEnd w:id="67"/>
      <w:bookmarkEnd w:id="68"/>
      <w:bookmarkEnd w:id="69"/>
      <w:bookmarkEnd w:id="70"/>
      <w:r>
        <w:rPr>
          <w:rFonts w:hint="eastAsia" w:ascii="仿宋" w:hAnsi="仿宋" w:eastAsia="仿宋" w:cs="仿宋"/>
          <w:color w:val="auto"/>
          <w:sz w:val="24"/>
          <w:szCs w:val="24"/>
          <w:highlight w:val="none"/>
          <w:shd w:val="clear" w:color="auto" w:fill="FFFFFF" w:themeFill="background1"/>
          <w:lang w:val="en-US" w:eastAsia="zh-CN"/>
        </w:rPr>
        <w:t>法人或者其他组织的营业执照等证明文件，自然人的身份证明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4E9BE812">
      <w:pPr>
        <w:spacing w:line="360" w:lineRule="auto"/>
        <w:rPr>
          <w:rFonts w:hint="eastAsia" w:ascii="仿宋" w:hAnsi="仿宋" w:eastAsia="仿宋" w:cs="仿宋"/>
          <w:color w:val="auto"/>
          <w:sz w:val="24"/>
          <w:szCs w:val="24"/>
          <w:highlight w:val="none"/>
          <w:shd w:val="clear" w:color="auto" w:fill="FFFFFF" w:themeFill="background1"/>
        </w:rPr>
      </w:pPr>
    </w:p>
    <w:p w14:paraId="19EF0059">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一、如供应商是企业（包括合伙企业</w:t>
      </w:r>
      <w:r>
        <w:rPr>
          <w:rFonts w:hint="eastAsia" w:ascii="仿宋" w:hAnsi="仿宋" w:eastAsia="仿宋" w:cs="仿宋"/>
          <w:color w:val="auto"/>
          <w:sz w:val="24"/>
          <w:szCs w:val="24"/>
          <w:highlight w:val="none"/>
          <w:shd w:val="clear" w:color="auto" w:fill="FFFFFF" w:themeFill="background1"/>
          <w:lang w:eastAsia="zh-CN"/>
        </w:rPr>
        <w:t>）</w:t>
      </w:r>
      <w:r>
        <w:rPr>
          <w:rFonts w:hint="eastAsia" w:ascii="仿宋" w:hAnsi="仿宋" w:eastAsia="仿宋" w:cs="仿宋"/>
          <w:color w:val="auto"/>
          <w:sz w:val="24"/>
          <w:szCs w:val="24"/>
          <w:highlight w:val="none"/>
          <w:shd w:val="clear" w:color="auto" w:fill="FFFFFF" w:themeFill="background1"/>
        </w:rPr>
        <w:t>，应提供在工商部门注册的有效“企业法人营业执照”或“营业执照”</w:t>
      </w:r>
      <w:r>
        <w:rPr>
          <w:rFonts w:hint="eastAsia" w:ascii="仿宋" w:hAnsi="仿宋" w:eastAsia="仿宋" w:cs="仿宋"/>
          <w:color w:val="auto"/>
          <w:sz w:val="24"/>
          <w:szCs w:val="24"/>
          <w:highlight w:val="none"/>
          <w:shd w:val="clear" w:color="auto" w:fill="FFFFFF" w:themeFill="background1"/>
          <w:lang w:eastAsia="zh-CN"/>
        </w:rPr>
        <w:t>；</w:t>
      </w:r>
    </w:p>
    <w:p w14:paraId="2226D533">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二、如供应商是事业单位，应提供有效的“事业单位法人证书”</w:t>
      </w:r>
      <w:r>
        <w:rPr>
          <w:rFonts w:hint="eastAsia" w:ascii="仿宋" w:hAnsi="仿宋" w:eastAsia="仿宋" w:cs="仿宋"/>
          <w:color w:val="auto"/>
          <w:sz w:val="24"/>
          <w:szCs w:val="24"/>
          <w:highlight w:val="none"/>
          <w:shd w:val="clear" w:color="auto" w:fill="FFFFFF" w:themeFill="background1"/>
          <w:lang w:eastAsia="zh-CN"/>
        </w:rPr>
        <w:t>；</w:t>
      </w:r>
    </w:p>
    <w:p w14:paraId="1DC5C9C8">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三、供应商是非企业专业服务机构的，应提供执业许可证等证明文件</w:t>
      </w:r>
      <w:r>
        <w:rPr>
          <w:rFonts w:hint="eastAsia" w:ascii="仿宋" w:hAnsi="仿宋" w:eastAsia="仿宋" w:cs="仿宋"/>
          <w:color w:val="auto"/>
          <w:sz w:val="24"/>
          <w:szCs w:val="24"/>
          <w:highlight w:val="none"/>
          <w:shd w:val="clear" w:color="auto" w:fill="FFFFFF" w:themeFill="background1"/>
          <w:lang w:eastAsia="zh-CN"/>
        </w:rPr>
        <w:t>；</w:t>
      </w:r>
    </w:p>
    <w:p w14:paraId="611FF4D3">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四、如供应商是个体工商户，应提供有效的“个体工商户营业执照”</w:t>
      </w:r>
      <w:r>
        <w:rPr>
          <w:rFonts w:hint="eastAsia" w:ascii="仿宋" w:hAnsi="仿宋" w:eastAsia="仿宋" w:cs="仿宋"/>
          <w:color w:val="auto"/>
          <w:sz w:val="24"/>
          <w:szCs w:val="24"/>
          <w:highlight w:val="none"/>
          <w:shd w:val="clear" w:color="auto" w:fill="FFFFFF" w:themeFill="background1"/>
          <w:lang w:eastAsia="zh-CN"/>
        </w:rPr>
        <w:t>；</w:t>
      </w:r>
    </w:p>
    <w:p w14:paraId="3469A608">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五、如供应商是自然人，应提供有效的自然人身份证明。</w:t>
      </w:r>
    </w:p>
    <w:p w14:paraId="52B99C12">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2DBE2386">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注：银行、保险、石油石化、电力、电信等行业特殊情况的，法人的分支机构可以自身身份参加。</w:t>
      </w:r>
    </w:p>
    <w:p w14:paraId="1BA82D7A">
      <w:pPr>
        <w:spacing w:line="360" w:lineRule="auto"/>
        <w:rPr>
          <w:rFonts w:hint="eastAsia" w:ascii="仿宋" w:hAnsi="仿宋" w:eastAsia="仿宋" w:cs="仿宋"/>
          <w:color w:val="auto"/>
          <w:sz w:val="24"/>
          <w:szCs w:val="24"/>
          <w:highlight w:val="none"/>
          <w:shd w:val="clear" w:color="auto" w:fill="FFFFFF" w:themeFill="background1"/>
        </w:rPr>
      </w:pPr>
    </w:p>
    <w:p w14:paraId="48EBA028">
      <w:pPr>
        <w:spacing w:line="360" w:lineRule="auto"/>
        <w:rPr>
          <w:rFonts w:hint="eastAsia" w:ascii="仿宋" w:hAnsi="仿宋" w:eastAsia="仿宋" w:cs="仿宋"/>
          <w:color w:val="auto"/>
          <w:sz w:val="24"/>
          <w:szCs w:val="24"/>
          <w:highlight w:val="none"/>
          <w:shd w:val="clear" w:color="auto" w:fill="FFFFFF" w:themeFill="background1"/>
        </w:rPr>
      </w:pPr>
    </w:p>
    <w:p w14:paraId="48BE3BA9">
      <w:pPr>
        <w:widowControl/>
        <w:spacing w:line="360" w:lineRule="auto"/>
        <w:jc w:val="left"/>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2F9992F3">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93" w:name="_Toc2830"/>
      <w:bookmarkStart w:id="94" w:name="_Toc21646"/>
      <w:bookmarkStart w:id="95" w:name="_Toc128476879"/>
      <w:bookmarkStart w:id="96" w:name="_Toc20271"/>
      <w:bookmarkStart w:id="97" w:name="_Toc10010"/>
      <w:bookmarkStart w:id="98" w:name="_Toc113901850"/>
      <w:bookmarkStart w:id="99" w:name="_Toc4484"/>
      <w:bookmarkStart w:id="100" w:name="_Toc2389"/>
      <w:bookmarkStart w:id="101" w:name="_Toc15683"/>
      <w:bookmarkStart w:id="102" w:name="_Toc156750400"/>
      <w:bookmarkStart w:id="103" w:name="_Toc22474"/>
      <w:bookmarkStart w:id="104" w:name="_Toc24966"/>
      <w:bookmarkStart w:id="105" w:name="_Toc10441"/>
      <w:bookmarkStart w:id="106" w:name="_Toc9294"/>
      <w:bookmarkStart w:id="107" w:name="_Toc31191"/>
      <w:bookmarkStart w:id="108" w:name="_Toc28858"/>
      <w:bookmarkStart w:id="109" w:name="_Toc18504"/>
      <w:bookmarkStart w:id="110" w:name="_Toc25980"/>
      <w:bookmarkStart w:id="111" w:name="_Toc18595"/>
      <w:bookmarkStart w:id="112" w:name="_Toc32279"/>
      <w:bookmarkStart w:id="113" w:name="_Toc11592"/>
      <w:r>
        <w:rPr>
          <w:rFonts w:hint="eastAsia" w:ascii="仿宋" w:hAnsi="仿宋" w:eastAsia="仿宋" w:cs="仿宋"/>
          <w:color w:val="auto"/>
          <w:sz w:val="24"/>
          <w:szCs w:val="24"/>
          <w:highlight w:val="none"/>
          <w:shd w:val="clear" w:color="auto" w:fill="FFFFFF" w:themeFill="background1"/>
          <w:lang w:val="en-US" w:eastAsia="zh-CN"/>
        </w:rPr>
        <w:t>8.2、</w:t>
      </w:r>
      <w:bookmarkEnd w:id="71"/>
      <w:r>
        <w:rPr>
          <w:rFonts w:hint="eastAsia" w:ascii="仿宋" w:hAnsi="仿宋" w:eastAsia="仿宋" w:cs="仿宋"/>
          <w:color w:val="auto"/>
          <w:sz w:val="24"/>
          <w:szCs w:val="24"/>
          <w:highlight w:val="none"/>
          <w:shd w:val="clear" w:color="auto" w:fill="FFFFFF" w:themeFill="background1"/>
          <w:lang w:val="en-US" w:eastAsia="zh-CN"/>
        </w:rPr>
        <w:t>财务状况报告，依法缴纳税收和社会保障资金的相关材料</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40CC6935">
      <w:pPr>
        <w:pStyle w:val="15"/>
        <w:spacing w:after="0" w:line="360" w:lineRule="auto"/>
        <w:rPr>
          <w:rFonts w:hint="eastAsia" w:ascii="仿宋" w:hAnsi="仿宋" w:eastAsia="仿宋" w:cs="仿宋"/>
          <w:color w:val="auto"/>
          <w:spacing w:val="10"/>
          <w:szCs w:val="24"/>
          <w:highlight w:val="none"/>
          <w:shd w:val="clear" w:color="auto" w:fill="FFFFFF" w:themeFill="background1"/>
        </w:rPr>
      </w:pPr>
    </w:p>
    <w:p w14:paraId="230E55BA">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w:t>
      </w:r>
      <w:r>
        <w:rPr>
          <w:rFonts w:hint="eastAsia" w:ascii="仿宋" w:hAnsi="仿宋" w:eastAsia="仿宋" w:cs="仿宋"/>
          <w:color w:val="auto"/>
          <w:spacing w:val="10"/>
          <w:szCs w:val="24"/>
          <w:highlight w:val="none"/>
          <w:shd w:val="clear" w:color="auto" w:fill="FFFFFF" w:themeFill="background1"/>
          <w:lang w:eastAsia="zh-CN"/>
        </w:rPr>
        <w:t>（</w:t>
      </w:r>
      <w:r>
        <w:rPr>
          <w:rFonts w:hint="eastAsia" w:ascii="仿宋" w:hAnsi="仿宋" w:eastAsia="仿宋" w:cs="仿宋"/>
          <w:color w:val="auto"/>
          <w:spacing w:val="10"/>
          <w:szCs w:val="24"/>
          <w:highlight w:val="none"/>
          <w:shd w:val="clear" w:color="auto" w:fill="FFFFFF" w:themeFill="background1"/>
        </w:rPr>
        <w:t>满足下述一条要求即可</w:t>
      </w:r>
      <w:r>
        <w:rPr>
          <w:rFonts w:hint="eastAsia" w:ascii="仿宋" w:hAnsi="仿宋" w:eastAsia="仿宋" w:cs="仿宋"/>
          <w:color w:val="auto"/>
          <w:spacing w:val="10"/>
          <w:szCs w:val="24"/>
          <w:highlight w:val="none"/>
          <w:shd w:val="clear" w:color="auto" w:fill="FFFFFF" w:themeFill="background1"/>
          <w:lang w:eastAsia="zh-CN"/>
        </w:rPr>
        <w:t>）</w:t>
      </w:r>
      <w:r>
        <w:rPr>
          <w:rFonts w:hint="eastAsia" w:ascii="仿宋" w:hAnsi="仿宋" w:eastAsia="仿宋" w:cs="仿宋"/>
          <w:color w:val="auto"/>
          <w:spacing w:val="10"/>
          <w:szCs w:val="24"/>
          <w:highlight w:val="none"/>
          <w:shd w:val="clear" w:color="auto" w:fill="FFFFFF" w:themeFill="background1"/>
        </w:rPr>
        <w:t>：</w:t>
      </w:r>
    </w:p>
    <w:p w14:paraId="4609D3A7">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1.经审计的财务报告（2025年度，包括“四表－注”，即资产负债表、利润表、现金流量表、所有者权益变动表及其附注）或银行出具的资信证明（响应文件递交截止之日前六个月内任意一个月，不限制采购人主体）。</w:t>
      </w:r>
    </w:p>
    <w:p w14:paraId="70C53C4B">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要求2.成立不足六个月（以响应文件递交截止之日为期限）的供应商无需提供。</w:t>
      </w:r>
    </w:p>
    <w:p w14:paraId="4B8C0C76">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p>
    <w:p w14:paraId="145BCBE7">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4AB1D9AD">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2F06A9A0">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供应商参加政府采购活动前一段时间（响应文件递交截止之日前六个月内任一个月）内缴纳税收的完税凭证（指各种完税证、缴款书、印花税票、扣（收）税凭证以及其他完税证明</w:t>
      </w:r>
      <w:r>
        <w:rPr>
          <w:rFonts w:hint="eastAsia" w:ascii="仿宋" w:hAnsi="仿宋" w:eastAsia="仿宋" w:cs="仿宋"/>
          <w:color w:val="auto"/>
          <w:szCs w:val="21"/>
          <w:highlight w:val="none"/>
          <w:shd w:val="clear" w:color="auto" w:fill="FFFFFF" w:themeFill="background1"/>
        </w:rPr>
        <w:t>，提供上述任意一种即可</w:t>
      </w:r>
      <w:r>
        <w:rPr>
          <w:rFonts w:hint="eastAsia" w:ascii="仿宋" w:hAnsi="仿宋" w:eastAsia="仿宋" w:cs="仿宋"/>
          <w:color w:val="auto"/>
          <w:spacing w:val="10"/>
          <w:szCs w:val="24"/>
          <w:highlight w:val="none"/>
          <w:shd w:val="clear" w:color="auto" w:fill="FFFFFF" w:themeFill="background1"/>
        </w:rPr>
        <w:t>）。</w:t>
      </w:r>
    </w:p>
    <w:p w14:paraId="07579B10">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58DE1185">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供应商参加政府采购活动前一段时间（响应文件递交截止之日前六个月内任一个月）内缴纳社会保险的凭据，其他组织和自然人也需要提供缴纳税收的凭据和缴纳社会保险的凭据。</w:t>
      </w:r>
    </w:p>
    <w:p w14:paraId="64C9968B">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2.3依法免税或不需要缴纳社会保障资金的供应商，应提供相应文件证明其依法免税或不需要缴纳社会保障资金。</w:t>
      </w:r>
    </w:p>
    <w:p w14:paraId="595FC5B9">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p>
    <w:p w14:paraId="794E0A6B">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6393C13A">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6161DFE6">
      <w:pPr>
        <w:pStyle w:val="15"/>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3.2如供应商所在地有关主管部门反馈的证明材料与本文中要求不一致时，以当地要求为准，但</w:t>
      </w:r>
      <w:r>
        <w:rPr>
          <w:rFonts w:hint="eastAsia" w:ascii="仿宋" w:hAnsi="仿宋" w:eastAsia="仿宋" w:cs="仿宋"/>
          <w:color w:val="auto"/>
          <w:spacing w:val="10"/>
          <w:szCs w:val="24"/>
          <w:highlight w:val="none"/>
          <w:shd w:val="clear" w:color="auto" w:fill="FFFFFF" w:themeFill="background1"/>
          <w:lang w:eastAsia="zh-CN"/>
        </w:rPr>
        <w:t>需</w:t>
      </w:r>
      <w:r>
        <w:rPr>
          <w:rFonts w:hint="eastAsia" w:ascii="仿宋" w:hAnsi="仿宋" w:eastAsia="仿宋" w:cs="仿宋"/>
          <w:color w:val="auto"/>
          <w:spacing w:val="10"/>
          <w:szCs w:val="24"/>
          <w:highlight w:val="none"/>
          <w:shd w:val="clear" w:color="auto" w:fill="FFFFFF" w:themeFill="background1"/>
        </w:rPr>
        <w:t>供应商提供文字说明。</w:t>
      </w:r>
    </w:p>
    <w:p w14:paraId="4E44C0E6">
      <w:pPr>
        <w:widowControl/>
        <w:jc w:val="left"/>
        <w:rPr>
          <w:rFonts w:hint="eastAsia" w:ascii="仿宋" w:hAnsi="仿宋" w:eastAsia="仿宋" w:cs="仿宋"/>
          <w:b/>
          <w:color w:val="auto"/>
          <w:sz w:val="24"/>
          <w:szCs w:val="24"/>
          <w:highlight w:val="none"/>
          <w:shd w:val="clear" w:color="auto" w:fill="FFFFFF" w:themeFill="background1"/>
        </w:rPr>
      </w:pPr>
      <w:bookmarkStart w:id="114" w:name="_Toc30348"/>
      <w:bookmarkStart w:id="115" w:name="_Toc113901851"/>
      <w:bookmarkStart w:id="116" w:name="_Toc128476880"/>
      <w:bookmarkStart w:id="117" w:name="_Toc111556488"/>
      <w:r>
        <w:rPr>
          <w:rFonts w:hint="eastAsia" w:ascii="仿宋" w:hAnsi="仿宋" w:eastAsia="仿宋" w:cs="仿宋"/>
          <w:b/>
          <w:color w:val="auto"/>
          <w:sz w:val="24"/>
          <w:szCs w:val="24"/>
          <w:highlight w:val="none"/>
          <w:shd w:val="clear" w:color="auto" w:fill="FFFFFF" w:themeFill="background1"/>
        </w:rPr>
        <w:br w:type="page"/>
      </w:r>
    </w:p>
    <w:p w14:paraId="5A8C16CE">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118" w:name="_Toc11771"/>
      <w:bookmarkStart w:id="119" w:name="_Toc19026"/>
      <w:bookmarkStart w:id="120" w:name="_Toc6914"/>
      <w:bookmarkStart w:id="121" w:name="_Toc25066"/>
      <w:bookmarkStart w:id="122" w:name="_Toc14318"/>
      <w:bookmarkStart w:id="123" w:name="_Toc19442"/>
      <w:bookmarkStart w:id="124" w:name="_Toc22343"/>
      <w:bookmarkStart w:id="125" w:name="_Toc156750401"/>
      <w:bookmarkStart w:id="126" w:name="_Toc10802"/>
      <w:bookmarkStart w:id="127" w:name="_Toc15227"/>
      <w:bookmarkStart w:id="128" w:name="_Toc31257"/>
      <w:bookmarkStart w:id="129" w:name="_Toc30026"/>
      <w:bookmarkStart w:id="130" w:name="_Toc12437"/>
      <w:bookmarkStart w:id="131" w:name="_Toc25022"/>
      <w:bookmarkStart w:id="132" w:name="_Toc10694"/>
      <w:bookmarkStart w:id="133" w:name="_Toc26412"/>
      <w:bookmarkStart w:id="134" w:name="_Toc21256"/>
      <w:bookmarkStart w:id="135" w:name="_Toc26275"/>
      <w:r>
        <w:rPr>
          <w:rFonts w:hint="eastAsia" w:ascii="仿宋" w:hAnsi="仿宋" w:eastAsia="仿宋" w:cs="仿宋"/>
          <w:color w:val="auto"/>
          <w:sz w:val="24"/>
          <w:szCs w:val="24"/>
          <w:highlight w:val="none"/>
          <w:shd w:val="clear" w:color="auto" w:fill="FFFFFF" w:themeFill="background1"/>
          <w:lang w:val="en-US" w:eastAsia="zh-CN"/>
        </w:rPr>
        <w:t>8.3、具备履行合同所必需的设备和专业技术能力的证明材料</w:t>
      </w:r>
      <w:bookmarkEnd w:id="114"/>
      <w:bookmarkEnd w:id="115"/>
      <w:bookmarkEnd w:id="11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720B5F29">
      <w:pPr>
        <w:spacing w:line="360" w:lineRule="auto"/>
        <w:rPr>
          <w:rFonts w:hint="eastAsia" w:ascii="仿宋" w:hAnsi="仿宋" w:eastAsia="仿宋" w:cs="仿宋"/>
          <w:color w:val="auto"/>
          <w:sz w:val="24"/>
          <w:szCs w:val="24"/>
          <w:highlight w:val="none"/>
          <w:shd w:val="clear" w:color="auto" w:fill="FFFFFF" w:themeFill="background1"/>
        </w:rPr>
      </w:pPr>
    </w:p>
    <w:p w14:paraId="17E15A21">
      <w:pPr>
        <w:spacing w:line="360" w:lineRule="auto"/>
        <w:rPr>
          <w:rFonts w:hint="eastAsia" w:ascii="仿宋" w:hAnsi="仿宋" w:eastAsia="仿宋" w:cs="仿宋"/>
          <w:color w:val="auto"/>
          <w:sz w:val="24"/>
          <w:szCs w:val="24"/>
          <w:highlight w:val="none"/>
          <w:shd w:val="clear" w:color="auto" w:fill="FFFFFF" w:themeFill="background1"/>
        </w:rPr>
      </w:pPr>
    </w:p>
    <w:p w14:paraId="2302CC0D">
      <w:pPr>
        <w:spacing w:line="360" w:lineRule="auto"/>
        <w:jc w:val="cente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t>具有履行合同所必需的设备和专业技术能力的承诺</w:t>
      </w:r>
      <w:bookmarkEnd w:id="117"/>
      <w:r>
        <w:rPr>
          <w:rFonts w:hint="eastAsia" w:ascii="仿宋" w:hAnsi="仿宋" w:eastAsia="仿宋" w:cs="仿宋"/>
          <w:b/>
          <w:color w:val="auto"/>
          <w:sz w:val="24"/>
          <w:szCs w:val="24"/>
          <w:highlight w:val="none"/>
          <w:shd w:val="clear" w:color="auto" w:fill="FFFFFF" w:themeFill="background1"/>
        </w:rPr>
        <w:t>函</w:t>
      </w:r>
    </w:p>
    <w:p w14:paraId="7B76D96A">
      <w:pPr>
        <w:adjustRightInd w:val="0"/>
        <w:snapToGrid w:val="0"/>
        <w:spacing w:line="360" w:lineRule="auto"/>
        <w:ind w:firstLine="480" w:firstLineChars="200"/>
        <w:jc w:val="center"/>
        <w:rPr>
          <w:rFonts w:hint="eastAsia" w:ascii="仿宋" w:hAnsi="仿宋" w:eastAsia="仿宋" w:cs="仿宋"/>
          <w:color w:val="auto"/>
          <w:sz w:val="24"/>
          <w:szCs w:val="24"/>
          <w:highlight w:val="none"/>
          <w:shd w:val="clear" w:color="auto" w:fill="FFFFFF" w:themeFill="background1"/>
        </w:rPr>
      </w:pPr>
    </w:p>
    <w:p w14:paraId="5099C836">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39336BB2">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p>
    <w:p w14:paraId="223B94D3">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我单位郑重承诺： </w:t>
      </w:r>
    </w:p>
    <w:p w14:paraId="6E5BC874">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我单位具备履行</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（项目名称）合同所必需的设备和专业技术能力；</w:t>
      </w:r>
    </w:p>
    <w:p w14:paraId="609653C4">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特此承诺。 </w:t>
      </w:r>
    </w:p>
    <w:p w14:paraId="37027138">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DA1E66E">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5AA773D">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6FF2A4CF">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0280F63F">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53E72D4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63458193">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9B293E7">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0705479A">
      <w:pPr>
        <w:adjustRightInd w:val="0"/>
        <w:snapToGrid w:val="0"/>
        <w:spacing w:line="360" w:lineRule="auto"/>
        <w:rPr>
          <w:rFonts w:hint="eastAsia" w:ascii="仿宋" w:hAnsi="仿宋" w:eastAsia="仿宋" w:cs="仿宋"/>
          <w:bCs/>
          <w:color w:val="auto"/>
          <w:sz w:val="24"/>
          <w:szCs w:val="24"/>
          <w:highlight w:val="none"/>
          <w:shd w:val="clear" w:color="auto" w:fill="FFFFFF" w:themeFill="background1"/>
        </w:rPr>
      </w:pPr>
    </w:p>
    <w:p w14:paraId="5F1319F6">
      <w:pPr>
        <w:spacing w:line="360" w:lineRule="auto"/>
        <w:rPr>
          <w:rFonts w:hint="eastAsia" w:ascii="仿宋" w:hAnsi="仿宋" w:eastAsia="仿宋" w:cs="仿宋"/>
          <w:color w:val="auto"/>
          <w:sz w:val="24"/>
          <w:szCs w:val="24"/>
          <w:highlight w:val="none"/>
          <w:shd w:val="clear" w:color="auto" w:fill="FFFFFF" w:themeFill="background1"/>
        </w:rPr>
      </w:pPr>
    </w:p>
    <w:p w14:paraId="317B0A14">
      <w:pPr>
        <w:spacing w:line="360" w:lineRule="auto"/>
        <w:rPr>
          <w:rFonts w:hint="eastAsia" w:ascii="仿宋" w:hAnsi="仿宋" w:eastAsia="仿宋" w:cs="仿宋"/>
          <w:color w:val="auto"/>
          <w:sz w:val="24"/>
          <w:szCs w:val="24"/>
          <w:highlight w:val="none"/>
          <w:shd w:val="clear" w:color="auto" w:fill="FFFFFF" w:themeFill="background1"/>
        </w:rPr>
      </w:pPr>
    </w:p>
    <w:p w14:paraId="45BED777">
      <w:pPr>
        <w:spacing w:line="360" w:lineRule="auto"/>
        <w:rPr>
          <w:rFonts w:hint="eastAsia" w:ascii="仿宋" w:hAnsi="仿宋" w:eastAsia="仿宋" w:cs="仿宋"/>
          <w:color w:val="auto"/>
          <w:sz w:val="24"/>
          <w:szCs w:val="24"/>
          <w:highlight w:val="none"/>
          <w:shd w:val="clear" w:color="auto" w:fill="FFFFFF" w:themeFill="background1"/>
        </w:rPr>
      </w:pPr>
    </w:p>
    <w:p w14:paraId="09059CD9">
      <w:pPr>
        <w:spacing w:line="360" w:lineRule="auto"/>
        <w:rPr>
          <w:rFonts w:hint="eastAsia" w:ascii="仿宋" w:hAnsi="仿宋" w:eastAsia="仿宋" w:cs="仿宋"/>
          <w:color w:val="auto"/>
          <w:sz w:val="24"/>
          <w:szCs w:val="24"/>
          <w:highlight w:val="none"/>
          <w:shd w:val="clear" w:color="auto" w:fill="FFFFFF" w:themeFill="background1"/>
        </w:rPr>
      </w:pPr>
    </w:p>
    <w:p w14:paraId="78A165AA">
      <w:pPr>
        <w:spacing w:line="360" w:lineRule="auto"/>
        <w:rPr>
          <w:rFonts w:hint="eastAsia" w:ascii="仿宋" w:hAnsi="仿宋" w:eastAsia="仿宋" w:cs="仿宋"/>
          <w:color w:val="auto"/>
          <w:sz w:val="24"/>
          <w:szCs w:val="24"/>
          <w:highlight w:val="none"/>
          <w:shd w:val="clear" w:color="auto" w:fill="FFFFFF" w:themeFill="background1"/>
        </w:rPr>
      </w:pPr>
    </w:p>
    <w:p w14:paraId="189A1248">
      <w:pPr>
        <w:spacing w:line="360" w:lineRule="auto"/>
        <w:rPr>
          <w:rFonts w:hint="eastAsia" w:ascii="仿宋" w:hAnsi="仿宋" w:eastAsia="仿宋" w:cs="仿宋"/>
          <w:color w:val="auto"/>
          <w:sz w:val="24"/>
          <w:szCs w:val="24"/>
          <w:highlight w:val="none"/>
          <w:shd w:val="clear" w:color="auto" w:fill="FFFFFF" w:themeFill="background1"/>
        </w:rPr>
      </w:pPr>
    </w:p>
    <w:p w14:paraId="307DD524">
      <w:pPr>
        <w:widowControl/>
        <w:spacing w:line="360" w:lineRule="auto"/>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7D72BDFA">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136" w:name="_Toc16084"/>
      <w:bookmarkStart w:id="137" w:name="_Toc8030"/>
      <w:bookmarkStart w:id="138" w:name="_Toc18306"/>
      <w:bookmarkStart w:id="139" w:name="_Toc128476881"/>
      <w:bookmarkStart w:id="140" w:name="_Toc25190"/>
      <w:bookmarkStart w:id="141" w:name="_Toc29214"/>
      <w:bookmarkStart w:id="142" w:name="_Toc27352"/>
      <w:bookmarkStart w:id="143" w:name="_Toc17735"/>
      <w:bookmarkStart w:id="144" w:name="_Toc113901852"/>
      <w:bookmarkStart w:id="145" w:name="_Toc2437"/>
      <w:bookmarkStart w:id="146" w:name="_Toc16168"/>
      <w:bookmarkStart w:id="147" w:name="_Toc9191"/>
      <w:bookmarkStart w:id="148" w:name="_Toc30447"/>
      <w:bookmarkStart w:id="149" w:name="_Toc16519"/>
      <w:bookmarkStart w:id="150" w:name="_Toc24077"/>
      <w:bookmarkStart w:id="151" w:name="_Toc156750402"/>
      <w:bookmarkStart w:id="152" w:name="_Toc2931"/>
      <w:bookmarkStart w:id="153" w:name="_Toc5703"/>
      <w:bookmarkStart w:id="154" w:name="_Toc18842"/>
      <w:bookmarkStart w:id="155" w:name="_Toc24173"/>
      <w:bookmarkStart w:id="156" w:name="_Toc1015"/>
      <w:bookmarkStart w:id="157" w:name="_Toc111556490"/>
      <w:r>
        <w:rPr>
          <w:rFonts w:hint="eastAsia" w:ascii="仿宋" w:hAnsi="仿宋" w:eastAsia="仿宋" w:cs="仿宋"/>
          <w:color w:val="auto"/>
          <w:sz w:val="24"/>
          <w:szCs w:val="24"/>
          <w:highlight w:val="none"/>
          <w:shd w:val="clear" w:color="auto" w:fill="FFFFFF" w:themeFill="background1"/>
          <w:lang w:val="en-US" w:eastAsia="zh-CN"/>
        </w:rPr>
        <w:t>8.4、参加政府采购活动前3年内在经营活动中没有重大违法记录的书面声明</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bookmarkEnd w:id="157"/>
    <w:p w14:paraId="13E7692B">
      <w:pPr>
        <w:widowControl/>
        <w:adjustRightInd w:val="0"/>
        <w:snapToGrid w:val="0"/>
        <w:spacing w:line="360" w:lineRule="auto"/>
        <w:rPr>
          <w:rFonts w:hint="eastAsia" w:ascii="仿宋" w:hAnsi="仿宋" w:eastAsia="仿宋" w:cs="仿宋"/>
          <w:color w:val="auto"/>
          <w:sz w:val="24"/>
          <w:szCs w:val="24"/>
          <w:highlight w:val="none"/>
          <w:shd w:val="clear" w:color="auto" w:fill="FFFFFF" w:themeFill="background1"/>
        </w:rPr>
      </w:pPr>
    </w:p>
    <w:p w14:paraId="5A80F3C3">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31F8F1F0">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4389163A">
      <w:pPr>
        <w:adjustRightInd w:val="0"/>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我单位在参与</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sz w:val="24"/>
          <w:szCs w:val="24"/>
          <w:highlight w:val="none"/>
          <w:shd w:val="clear" w:color="auto" w:fill="FFFFFF" w:themeFill="background1"/>
        </w:rPr>
        <w:t>（项目名称）</w:t>
      </w:r>
      <w:r>
        <w:rPr>
          <w:rFonts w:hint="eastAsia" w:ascii="仿宋" w:hAnsi="仿宋" w:eastAsia="仿宋" w:cs="仿宋"/>
          <w:color w:val="auto"/>
          <w:kern w:val="0"/>
          <w:sz w:val="24"/>
          <w:szCs w:val="24"/>
          <w:highlight w:val="none"/>
          <w:shd w:val="clear" w:color="auto" w:fill="FFFFFF" w:themeFill="background1"/>
        </w:rPr>
        <w:t>前三年内（以</w:t>
      </w:r>
      <w:r>
        <w:rPr>
          <w:rFonts w:hint="eastAsia" w:ascii="仿宋" w:hAnsi="仿宋" w:eastAsia="仿宋" w:cs="仿宋"/>
          <w:color w:val="auto"/>
          <w:sz w:val="24"/>
          <w:szCs w:val="24"/>
          <w:highlight w:val="none"/>
          <w:shd w:val="clear" w:color="auto" w:fill="FFFFFF" w:themeFill="background1"/>
        </w:rPr>
        <w:t>响应文件递交截止之日为期限</w:t>
      </w:r>
      <w:r>
        <w:rPr>
          <w:rFonts w:hint="eastAsia" w:ascii="仿宋" w:hAnsi="仿宋" w:eastAsia="仿宋" w:cs="仿宋"/>
          <w:color w:val="auto"/>
          <w:kern w:val="0"/>
          <w:sz w:val="24"/>
          <w:szCs w:val="24"/>
          <w:highlight w:val="none"/>
          <w:shd w:val="clear" w:color="auto" w:fill="FFFFFF" w:themeFill="background1"/>
        </w:rPr>
        <w:t>）在经营活动中没有重大违法记录。</w:t>
      </w:r>
    </w:p>
    <w:p w14:paraId="43718B14">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若贵方在本项目采购过程中发现我方参加政府采购活动前三年内有重大违法记录；</w:t>
      </w:r>
      <w:r>
        <w:rPr>
          <w:rFonts w:hint="eastAsia" w:ascii="仿宋" w:hAnsi="仿宋" w:eastAsia="仿宋" w:cs="仿宋"/>
          <w:color w:val="auto"/>
          <w:kern w:val="0"/>
          <w:sz w:val="24"/>
          <w:szCs w:val="24"/>
          <w:highlight w:val="none"/>
          <w:shd w:val="clear" w:color="auto" w:fill="FFFFFF" w:themeFill="background1"/>
        </w:rPr>
        <w:t>我单位</w:t>
      </w:r>
      <w:r>
        <w:rPr>
          <w:rFonts w:hint="eastAsia" w:ascii="仿宋" w:hAnsi="仿宋" w:eastAsia="仿宋" w:cs="仿宋"/>
          <w:color w:val="auto"/>
          <w:sz w:val="24"/>
          <w:szCs w:val="24"/>
          <w:highlight w:val="none"/>
          <w:shd w:val="clear" w:color="auto" w:fill="FFFFFF" w:themeFill="background1"/>
        </w:rPr>
        <w:t>将无条件退出本项目的</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sz w:val="24"/>
          <w:szCs w:val="24"/>
          <w:highlight w:val="none"/>
          <w:shd w:val="clear" w:color="auto" w:fill="FFFFFF" w:themeFill="background1"/>
        </w:rPr>
        <w:t>，并承担因此引起的一切后果。我方对此声明负全部法律责任。</w:t>
      </w:r>
    </w:p>
    <w:p w14:paraId="16E1F870">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特此声明！</w:t>
      </w:r>
    </w:p>
    <w:p w14:paraId="19D7AA01">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45C8B346">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11414758">
      <w:pPr>
        <w:adjustRightInd w:val="0"/>
        <w:snapToGrid w:val="0"/>
        <w:spacing w:line="360" w:lineRule="auto"/>
        <w:ind w:firstLine="420" w:firstLineChars="200"/>
        <w:rPr>
          <w:rFonts w:hint="eastAsia" w:ascii="仿宋" w:hAnsi="仿宋" w:eastAsia="仿宋" w:cs="仿宋"/>
          <w:color w:val="auto"/>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注：</w:t>
      </w:r>
    </w:p>
    <w:p w14:paraId="78E59336">
      <w:pPr>
        <w:adjustRightInd w:val="0"/>
        <w:snapToGrid w:val="0"/>
        <w:spacing w:line="360" w:lineRule="auto"/>
        <w:ind w:firstLine="42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若供应商在响应文件递交截止之日成立时间不足三年，以自成立以来的时间计取。</w:t>
      </w:r>
    </w:p>
    <w:p w14:paraId="3C9A8A85">
      <w:pPr>
        <w:adjustRightInd w:val="0"/>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p>
    <w:p w14:paraId="5CC600E3">
      <w:pPr>
        <w:adjustRightInd w:val="0"/>
        <w:snapToGrid w:val="0"/>
        <w:spacing w:line="360" w:lineRule="auto"/>
        <w:ind w:firstLine="3112" w:firstLineChars="1297"/>
        <w:rPr>
          <w:rFonts w:hint="eastAsia" w:ascii="仿宋" w:hAnsi="仿宋" w:eastAsia="仿宋" w:cs="仿宋"/>
          <w:color w:val="auto"/>
          <w:sz w:val="24"/>
          <w:szCs w:val="24"/>
          <w:highlight w:val="none"/>
          <w:shd w:val="clear" w:color="auto" w:fill="FFFFFF" w:themeFill="background1"/>
        </w:rPr>
      </w:pPr>
    </w:p>
    <w:p w14:paraId="65DFE9C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53C04BAF">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p>
    <w:p w14:paraId="40438475">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p>
    <w:p w14:paraId="24971FAE">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0CAB78E2">
      <w:pPr>
        <w:widowControl/>
        <w:shd w:val="clear" w:color="auto" w:fill="FFFFFF"/>
        <w:snapToGrid w:val="0"/>
        <w:spacing w:line="360" w:lineRule="auto"/>
        <w:ind w:firstLine="420"/>
        <w:rPr>
          <w:rFonts w:hint="eastAsia" w:ascii="仿宋" w:hAnsi="仿宋" w:eastAsia="仿宋" w:cs="仿宋"/>
          <w:color w:val="auto"/>
          <w:kern w:val="0"/>
          <w:sz w:val="24"/>
          <w:szCs w:val="24"/>
          <w:highlight w:val="none"/>
          <w:shd w:val="clear" w:color="auto" w:fill="FFFFFF" w:themeFill="background1"/>
        </w:rPr>
      </w:pPr>
    </w:p>
    <w:p w14:paraId="7D45087E">
      <w:pPr>
        <w:widowControl/>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p>
    <w:p w14:paraId="69D1EB40">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158" w:name="_Toc1758"/>
      <w:bookmarkStart w:id="159" w:name="_Toc128476882"/>
      <w:bookmarkStart w:id="160" w:name="_Toc19062"/>
      <w:bookmarkStart w:id="161" w:name="_Toc10130"/>
      <w:bookmarkStart w:id="162" w:name="_Toc113901853"/>
      <w:bookmarkStart w:id="163" w:name="_Toc5886"/>
      <w:bookmarkStart w:id="164" w:name="_Toc25682"/>
      <w:bookmarkStart w:id="165" w:name="_Toc22191"/>
      <w:bookmarkStart w:id="166" w:name="_Toc156750403"/>
      <w:bookmarkStart w:id="167" w:name="_Toc16785"/>
      <w:bookmarkStart w:id="168" w:name="_Toc10894"/>
      <w:bookmarkStart w:id="169" w:name="_Toc3248"/>
      <w:bookmarkStart w:id="170" w:name="_Toc4228"/>
      <w:bookmarkStart w:id="171" w:name="_Toc15699"/>
      <w:bookmarkStart w:id="172" w:name="_Toc23458"/>
      <w:bookmarkStart w:id="173" w:name="_Toc8918"/>
      <w:bookmarkStart w:id="174" w:name="_Toc22511"/>
      <w:bookmarkStart w:id="175" w:name="_Toc21901"/>
      <w:bookmarkStart w:id="176" w:name="_Toc16470"/>
      <w:bookmarkStart w:id="177" w:name="_Toc6166"/>
      <w:bookmarkStart w:id="178" w:name="_Toc31476"/>
      <w:r>
        <w:rPr>
          <w:rFonts w:hint="eastAsia" w:ascii="仿宋" w:hAnsi="仿宋" w:eastAsia="仿宋" w:cs="仿宋"/>
          <w:color w:val="auto"/>
          <w:sz w:val="24"/>
          <w:szCs w:val="24"/>
          <w:highlight w:val="none"/>
          <w:shd w:val="clear" w:color="auto" w:fill="FFFFFF" w:themeFill="background1"/>
          <w:lang w:val="en-US" w:eastAsia="zh-CN"/>
        </w:rPr>
        <w:t>8.5、具备法律、行政法规规定的其他条件的证明材料</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2B79E490">
      <w:pPr>
        <w:widowControl/>
        <w:adjustRightInd w:val="0"/>
        <w:snapToGrid w:val="0"/>
        <w:spacing w:line="360" w:lineRule="auto"/>
        <w:rPr>
          <w:rFonts w:hint="eastAsia" w:ascii="仿宋" w:hAnsi="仿宋" w:eastAsia="仿宋" w:cs="仿宋"/>
          <w:color w:val="auto"/>
          <w:sz w:val="24"/>
          <w:szCs w:val="24"/>
          <w:highlight w:val="none"/>
          <w:shd w:val="clear" w:color="auto" w:fill="FFFFFF" w:themeFill="background1"/>
        </w:rPr>
      </w:pPr>
    </w:p>
    <w:p w14:paraId="2AE2489E">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国家有关主管部门的行政许可（如有时）。</w:t>
      </w:r>
    </w:p>
    <w:p w14:paraId="5E37EAC3">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中小企业声明函/残疾人福利性单位声明函/监狱企业证明文件（如</w:t>
      </w:r>
      <w:r>
        <w:rPr>
          <w:rFonts w:hint="eastAsia" w:ascii="仿宋" w:hAnsi="仿宋" w:eastAsia="仿宋" w:cs="仿宋"/>
          <w:color w:val="auto"/>
          <w:sz w:val="24"/>
          <w:szCs w:val="24"/>
          <w:highlight w:val="none"/>
          <w:lang w:eastAsia="zh-CN"/>
        </w:rPr>
        <w:t>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page"/>
      </w:r>
    </w:p>
    <w:p w14:paraId="51216385">
      <w:pPr>
        <w:pStyle w:val="38"/>
        <w:spacing w:before="0" w:beforeAutospacing="0" w:after="0" w:afterAutospacing="0" w:line="360" w:lineRule="auto"/>
        <w:rPr>
          <w:rStyle w:val="47"/>
          <w:rFonts w:hint="eastAsia" w:ascii="仿宋" w:hAnsi="仿宋" w:eastAsia="仿宋" w:cs="仿宋"/>
          <w:color w:val="auto"/>
          <w:highlight w:val="none"/>
          <w:shd w:val="clear" w:color="auto" w:fill="FFFFFF" w:themeFill="background1"/>
        </w:rPr>
      </w:pPr>
      <w:r>
        <w:rPr>
          <w:rStyle w:val="47"/>
          <w:rFonts w:hint="eastAsia" w:ascii="仿宋" w:hAnsi="仿宋" w:eastAsia="仿宋" w:cs="仿宋"/>
          <w:color w:val="auto"/>
          <w:highlight w:val="none"/>
          <w:shd w:val="clear" w:color="auto" w:fill="FFFFFF" w:themeFill="background1"/>
        </w:rPr>
        <w:t xml:space="preserve">附表一、                  </w:t>
      </w:r>
    </w:p>
    <w:p w14:paraId="67B0BCD5">
      <w:pPr>
        <w:spacing w:line="360" w:lineRule="auto"/>
        <w:jc w:val="center"/>
        <w:rPr>
          <w:rFonts w:hint="eastAsia" w:ascii="仿宋" w:hAnsi="仿宋" w:eastAsia="仿宋" w:cs="仿宋"/>
          <w:color w:val="auto"/>
          <w:sz w:val="24"/>
          <w:szCs w:val="24"/>
          <w:highlight w:val="none"/>
          <w:shd w:val="clear" w:color="auto" w:fill="FFFFFF" w:themeFill="background1"/>
          <w:lang w:val="en-US" w:eastAsia="zh-CN"/>
        </w:rPr>
      </w:pPr>
    </w:p>
    <w:p w14:paraId="36A7478C">
      <w:pPr>
        <w:spacing w:line="360" w:lineRule="auto"/>
        <w:jc w:val="center"/>
        <w:rPr>
          <w:rFonts w:hint="eastAsia" w:ascii="仿宋" w:hAnsi="仿宋" w:eastAsia="仿宋" w:cs="仿宋"/>
          <w:color w:val="auto"/>
          <w:sz w:val="24"/>
          <w:szCs w:val="24"/>
          <w:highlight w:val="none"/>
          <w:shd w:val="clear" w:color="auto" w:fill="FFFFFF" w:themeFill="background1"/>
          <w:lang w:val="en-US" w:eastAsia="zh-CN"/>
        </w:rPr>
      </w:pPr>
      <w:r>
        <w:rPr>
          <w:rFonts w:hint="eastAsia" w:ascii="仿宋" w:hAnsi="仿宋" w:eastAsia="仿宋" w:cs="仿宋"/>
          <w:color w:val="auto"/>
          <w:sz w:val="24"/>
          <w:szCs w:val="24"/>
          <w:highlight w:val="none"/>
          <w:shd w:val="clear" w:color="auto" w:fill="FFFFFF" w:themeFill="background1"/>
          <w:lang w:val="en-US" w:eastAsia="zh-CN"/>
        </w:rPr>
        <w:t>中小企业声明函（工程、服务）</w:t>
      </w:r>
    </w:p>
    <w:p w14:paraId="1BC7C534">
      <w:pPr>
        <w:spacing w:line="360" w:lineRule="auto"/>
        <w:jc w:val="center"/>
        <w:rPr>
          <w:rFonts w:hint="eastAsia" w:ascii="仿宋" w:hAnsi="仿宋" w:eastAsia="仿宋" w:cs="仿宋"/>
          <w:b/>
          <w:color w:val="auto"/>
          <w:spacing w:val="6"/>
          <w:sz w:val="24"/>
          <w:szCs w:val="24"/>
          <w:highlight w:val="none"/>
          <w:shd w:val="clear" w:color="auto" w:fill="FFFFFF" w:themeFill="background1"/>
        </w:rPr>
      </w:pPr>
    </w:p>
    <w:p w14:paraId="309CEDF0">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shd w:val="clear" w:color="auto" w:fill="FFFFFF" w:themeFill="background1"/>
        </w:rPr>
        <w:t xml:space="preserve">  （联合体）</w:t>
      </w:r>
      <w:r>
        <w:rPr>
          <w:rFonts w:hint="eastAsia" w:ascii="仿宋" w:hAnsi="仿宋" w:eastAsia="仿宋" w:cs="仿宋"/>
          <w:color w:val="auto"/>
          <w:kern w:val="0"/>
          <w:sz w:val="24"/>
          <w:szCs w:val="24"/>
          <w:highlight w:val="none"/>
          <w:shd w:val="clear" w:color="auto" w:fill="FFFFFF" w:themeFill="background1"/>
        </w:rPr>
        <w:t>参加</w:t>
      </w:r>
      <w:r>
        <w:rPr>
          <w:rFonts w:hint="eastAsia" w:ascii="仿宋" w:hAnsi="仿宋" w:eastAsia="仿宋" w:cs="仿宋"/>
          <w:color w:val="auto"/>
          <w:kern w:val="0"/>
          <w:sz w:val="24"/>
          <w:szCs w:val="24"/>
          <w:highlight w:val="none"/>
          <w:u w:val="single"/>
          <w:shd w:val="clear" w:color="auto" w:fill="FFFFFF" w:themeFill="background1"/>
        </w:rPr>
        <w:t xml:space="preserve">   （单位名称）</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u w:val="single"/>
          <w:shd w:val="clear" w:color="auto" w:fill="FFFFFF" w:themeFill="background1"/>
        </w:rPr>
        <w:t xml:space="preserve">   （项目名称）</w:t>
      </w:r>
      <w:r>
        <w:rPr>
          <w:rFonts w:hint="eastAsia" w:ascii="仿宋" w:hAnsi="仿宋" w:eastAsia="仿宋" w:cs="仿宋"/>
          <w:color w:val="auto"/>
          <w:kern w:val="0"/>
          <w:sz w:val="24"/>
          <w:szCs w:val="24"/>
          <w:highlight w:val="none"/>
          <w:shd w:val="clear" w:color="auto" w:fill="FFFFFF" w:themeFill="background1"/>
        </w:rPr>
        <w:t>采购活动，工程的施工单位全部为符合政策要求的中小企业（或者：服务全部由符合政策要求的中小企业承接）。相关企业（含联合体中的中小企业、签订分包意向协议的中小企业）的具体情况如下：</w:t>
      </w:r>
    </w:p>
    <w:p w14:paraId="60FAA2E3">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1. </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rPr>
        <w:t xml:space="preserve">   （企业名称）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rPr>
        <w:t xml:space="preserve">   （中型企业、小型企业、微型企业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025B5AAB">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2.  </w:t>
      </w:r>
      <w:r>
        <w:rPr>
          <w:rFonts w:hint="eastAsia" w:ascii="仿宋" w:hAnsi="仿宋" w:eastAsia="仿宋" w:cs="仿宋"/>
          <w:color w:val="auto"/>
          <w:kern w:val="0"/>
          <w:sz w:val="24"/>
          <w:szCs w:val="24"/>
          <w:highlight w:val="none"/>
          <w:u w:val="single"/>
          <w:shd w:val="clear" w:color="auto" w:fill="FFFFFF" w:themeFill="background1"/>
        </w:rPr>
        <w:t xml:space="preserve">   （标的名称）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rPr>
        <w:t xml:space="preserve">   （采购文件中明确的所属行业）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rPr>
        <w:t xml:space="preserve">   （企业名称）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rPr>
        <w:t xml:space="preserve">   （中型企业、小型企业、微型企业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45BC08F3">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w:t>
      </w:r>
    </w:p>
    <w:p w14:paraId="46E624A2">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以上企业，不属于大企业的分支机构，不存在控股股东为大企业的情形，也不存在与大企业的负责人为同一人的情形。</w:t>
      </w:r>
    </w:p>
    <w:p w14:paraId="43C5E39F">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本企业对上述声明内容的真实性负责。如有虚假，将依法承担相应责任。</w:t>
      </w:r>
    </w:p>
    <w:p w14:paraId="6D758188">
      <w:pPr>
        <w:spacing w:line="360" w:lineRule="auto"/>
        <w:ind w:firstLine="480" w:firstLineChars="200"/>
        <w:jc w:val="right"/>
        <w:rPr>
          <w:rFonts w:hint="eastAsia" w:ascii="仿宋" w:hAnsi="仿宋" w:eastAsia="仿宋" w:cs="仿宋"/>
          <w:color w:val="auto"/>
          <w:kern w:val="0"/>
          <w:sz w:val="24"/>
          <w:szCs w:val="24"/>
          <w:highlight w:val="none"/>
          <w:shd w:val="clear" w:color="auto" w:fill="FFFFFF" w:themeFill="background1"/>
        </w:rPr>
      </w:pPr>
    </w:p>
    <w:p w14:paraId="43C34824">
      <w:pPr>
        <w:spacing w:line="360" w:lineRule="auto"/>
        <w:ind w:firstLine="480" w:firstLineChars="20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企业名称（盖章）：</w:t>
      </w:r>
    </w:p>
    <w:p w14:paraId="109233E8">
      <w:pPr>
        <w:spacing w:line="360" w:lineRule="auto"/>
        <w:ind w:right="480" w:firstLine="480" w:firstLineChars="200"/>
        <w:jc w:val="cente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w:t>
      </w:r>
    </w:p>
    <w:p w14:paraId="4D53F36A">
      <w:pPr>
        <w:spacing w:line="360" w:lineRule="auto"/>
        <w:rPr>
          <w:rFonts w:hint="eastAsia" w:ascii="仿宋" w:hAnsi="仿宋" w:eastAsia="仿宋" w:cs="仿宋"/>
          <w:color w:val="auto"/>
          <w:kern w:val="0"/>
          <w:sz w:val="24"/>
          <w:szCs w:val="24"/>
          <w:highlight w:val="none"/>
          <w:shd w:val="clear" w:color="auto" w:fill="FFFFFF" w:themeFill="background1"/>
        </w:rPr>
      </w:pPr>
    </w:p>
    <w:p w14:paraId="188F74CF">
      <w:pPr>
        <w:spacing w:line="360" w:lineRule="auto"/>
        <w:rPr>
          <w:rStyle w:val="47"/>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注：人员、营业收入、资产总额填报上一年度数据，无上一年度数据的新成立企业可不填报。</w:t>
      </w:r>
    </w:p>
    <w:p w14:paraId="7FC77F9B">
      <w:pPr>
        <w:pStyle w:val="15"/>
        <w:spacing w:after="0"/>
        <w:ind w:firstLine="480" w:firstLineChars="200"/>
        <w:rPr>
          <w:rFonts w:hint="eastAsia" w:ascii="仿宋" w:hAnsi="仿宋" w:eastAsia="仿宋" w:cs="仿宋"/>
          <w:color w:val="auto"/>
          <w:sz w:val="21"/>
          <w:szCs w:val="21"/>
          <w:highlight w:val="none"/>
        </w:rPr>
      </w:pPr>
      <w:r>
        <w:rPr>
          <w:rFonts w:hint="eastAsia" w:ascii="仿宋" w:hAnsi="仿宋" w:eastAsia="仿宋" w:cs="仿宋"/>
          <w:color w:val="auto"/>
          <w:highlight w:val="none"/>
        </w:rPr>
        <w:br w:type="page"/>
      </w:r>
    </w:p>
    <w:p w14:paraId="344A281D">
      <w:pPr>
        <w:widowControl/>
        <w:spacing w:line="360" w:lineRule="auto"/>
        <w:jc w:val="left"/>
        <w:rPr>
          <w:rFonts w:hint="eastAsia" w:ascii="仿宋" w:hAnsi="仿宋" w:eastAsia="仿宋" w:cs="仿宋"/>
          <w:color w:val="auto"/>
          <w:spacing w:val="6"/>
          <w:sz w:val="24"/>
          <w:szCs w:val="24"/>
          <w:highlight w:val="none"/>
          <w:shd w:val="clear" w:color="auto" w:fill="FFFFFF" w:themeFill="background1"/>
        </w:rPr>
      </w:pPr>
      <w:r>
        <w:rPr>
          <w:rStyle w:val="47"/>
          <w:rFonts w:hint="eastAsia" w:ascii="仿宋" w:hAnsi="仿宋" w:eastAsia="仿宋" w:cs="仿宋"/>
          <w:color w:val="auto"/>
          <w:kern w:val="0"/>
          <w:sz w:val="24"/>
          <w:szCs w:val="24"/>
          <w:highlight w:val="none"/>
          <w:shd w:val="clear" w:color="auto" w:fill="FFFFFF" w:themeFill="background1"/>
        </w:rPr>
        <w:t>附表二、</w:t>
      </w:r>
    </w:p>
    <w:p w14:paraId="18541745">
      <w:pPr>
        <w:spacing w:line="360" w:lineRule="auto"/>
        <w:jc w:val="center"/>
        <w:rPr>
          <w:rFonts w:hint="eastAsia" w:ascii="仿宋" w:hAnsi="仿宋" w:eastAsia="仿宋" w:cs="仿宋"/>
          <w:color w:val="auto"/>
          <w:sz w:val="24"/>
          <w:szCs w:val="24"/>
          <w:highlight w:val="none"/>
          <w:shd w:val="clear" w:color="auto" w:fill="FFFFFF" w:themeFill="background1"/>
          <w:lang w:val="en-US" w:eastAsia="zh-CN"/>
        </w:rPr>
      </w:pPr>
      <w:r>
        <w:rPr>
          <w:rFonts w:hint="eastAsia" w:ascii="仿宋" w:hAnsi="仿宋" w:eastAsia="仿宋" w:cs="仿宋"/>
          <w:color w:val="auto"/>
          <w:sz w:val="24"/>
          <w:szCs w:val="24"/>
          <w:highlight w:val="none"/>
          <w:shd w:val="clear" w:color="auto" w:fill="FFFFFF" w:themeFill="background1"/>
          <w:lang w:val="en-US" w:eastAsia="zh-CN"/>
        </w:rPr>
        <w:t>残疾人福利性单位声明函</w:t>
      </w:r>
    </w:p>
    <w:p w14:paraId="621CCFCA">
      <w:pPr>
        <w:spacing w:line="360" w:lineRule="auto"/>
        <w:rPr>
          <w:rFonts w:hint="eastAsia" w:ascii="仿宋" w:hAnsi="仿宋" w:eastAsia="仿宋" w:cs="仿宋"/>
          <w:b/>
          <w:color w:val="auto"/>
          <w:spacing w:val="6"/>
          <w:sz w:val="24"/>
          <w:szCs w:val="24"/>
          <w:highlight w:val="none"/>
          <w:shd w:val="clear" w:color="auto" w:fill="FFFFFF" w:themeFill="background1"/>
        </w:rPr>
      </w:pPr>
    </w:p>
    <w:p w14:paraId="444BB2C2">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本单位郑重声明，根据《财政部 民政部 中国残疾人联合会关于促进残疾人就业政府采购政策的通知》（财库</w:t>
      </w:r>
      <w:r>
        <w:rPr>
          <w:rFonts w:hint="eastAsia" w:ascii="仿宋" w:hAnsi="仿宋" w:eastAsia="仿宋" w:cs="仿宋"/>
          <w:color w:val="auto"/>
          <w:spacing w:val="6"/>
          <w:sz w:val="24"/>
          <w:szCs w:val="24"/>
          <w:highlight w:val="none"/>
          <w:shd w:val="clear" w:color="auto" w:fill="FFFFFF" w:themeFill="background1"/>
          <w:lang w:eastAsia="zh-CN"/>
        </w:rPr>
        <w:t>〔2017〕141号</w:t>
      </w:r>
      <w:r>
        <w:rPr>
          <w:rFonts w:hint="eastAsia" w:ascii="仿宋" w:hAnsi="仿宋" w:eastAsia="仿宋" w:cs="仿宋"/>
          <w:color w:val="auto"/>
          <w:spacing w:val="6"/>
          <w:sz w:val="24"/>
          <w:szCs w:val="24"/>
          <w:highlight w:val="none"/>
          <w:shd w:val="clear" w:color="auto" w:fill="FFFFFF" w:themeFill="background1"/>
        </w:rPr>
        <w:t>）的规定，本单位为符合条件的残疾人福利性单位，且本单位参加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shd w:val="clear" w:color="auto" w:fill="FFFFFF" w:themeFill="background1"/>
        </w:rPr>
        <w:t>单位的</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shd w:val="clear" w:color="auto" w:fill="FFFFFF" w:themeFill="background1"/>
        </w:rPr>
        <w:t>项目采购活动提供本单位制造的货物（由本单位承担工程/提供服务），或者提供其他残疾人福利性单位制造的货物（不包括使用非残疾人福利性单位注册商标的货物）。</w:t>
      </w:r>
    </w:p>
    <w:p w14:paraId="0159A5EB">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本单位对上述声明的真实性负责。如有虚假，将依法承担相应责任。</w:t>
      </w:r>
    </w:p>
    <w:p w14:paraId="399A51D9">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p>
    <w:p w14:paraId="35A24264">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p>
    <w:p w14:paraId="0B8E1CAC">
      <w:pPr>
        <w:tabs>
          <w:tab w:val="left" w:pos="4860"/>
        </w:tabs>
        <w:spacing w:line="360" w:lineRule="auto"/>
        <w:ind w:right="1560"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单位名称（盖章）：</w:t>
      </w:r>
    </w:p>
    <w:p w14:paraId="66DCA1EB">
      <w:pP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 xml:space="preserve">                                           日  期：</w:t>
      </w:r>
    </w:p>
    <w:p w14:paraId="175A8D2D">
      <w:pPr>
        <w:spacing w:line="360" w:lineRule="auto"/>
        <w:rPr>
          <w:rFonts w:hint="eastAsia" w:ascii="仿宋" w:hAnsi="仿宋" w:eastAsia="仿宋" w:cs="仿宋"/>
          <w:color w:val="auto"/>
          <w:sz w:val="24"/>
          <w:szCs w:val="24"/>
          <w:highlight w:val="none"/>
          <w:shd w:val="clear" w:color="auto" w:fill="FFFFFF" w:themeFill="background1"/>
        </w:rPr>
      </w:pPr>
    </w:p>
    <w:p w14:paraId="4A8BD7CA">
      <w:pPr>
        <w:spacing w:line="360" w:lineRule="auto"/>
        <w:rPr>
          <w:rFonts w:hint="eastAsia" w:ascii="仿宋" w:hAnsi="仿宋" w:eastAsia="仿宋" w:cs="仿宋"/>
          <w:color w:val="auto"/>
          <w:sz w:val="24"/>
          <w:szCs w:val="24"/>
          <w:highlight w:val="none"/>
          <w:shd w:val="clear" w:color="auto" w:fill="FFFFFF" w:themeFill="background1"/>
        </w:rPr>
      </w:pPr>
    </w:p>
    <w:p w14:paraId="118C2B6D">
      <w:pPr>
        <w:spacing w:line="360" w:lineRule="auto"/>
        <w:rPr>
          <w:rFonts w:hint="eastAsia" w:ascii="仿宋" w:hAnsi="仿宋" w:eastAsia="仿宋" w:cs="仿宋"/>
          <w:color w:val="auto"/>
          <w:sz w:val="24"/>
          <w:szCs w:val="24"/>
          <w:highlight w:val="none"/>
          <w:shd w:val="clear" w:color="auto" w:fill="FFFFFF" w:themeFill="background1"/>
        </w:rPr>
      </w:pPr>
    </w:p>
    <w:p w14:paraId="4053A49F">
      <w:pPr>
        <w:widowControl/>
        <w:spacing w:line="360" w:lineRule="auto"/>
        <w:jc w:val="left"/>
        <w:rPr>
          <w:rStyle w:val="47"/>
          <w:rFonts w:hint="eastAsia" w:ascii="仿宋" w:hAnsi="仿宋" w:eastAsia="仿宋" w:cs="仿宋"/>
          <w:b w:val="0"/>
          <w:color w:val="auto"/>
          <w:sz w:val="24"/>
          <w:szCs w:val="24"/>
          <w:highlight w:val="none"/>
          <w:shd w:val="clear" w:color="auto" w:fill="FFFFFF" w:themeFill="background1"/>
        </w:rPr>
      </w:pPr>
      <w:r>
        <w:rPr>
          <w:rStyle w:val="47"/>
          <w:rFonts w:hint="eastAsia" w:ascii="仿宋" w:hAnsi="仿宋" w:eastAsia="仿宋" w:cs="仿宋"/>
          <w:color w:val="auto"/>
          <w:kern w:val="0"/>
          <w:sz w:val="24"/>
          <w:szCs w:val="24"/>
          <w:highlight w:val="none"/>
          <w:shd w:val="clear" w:color="auto" w:fill="FFFFFF" w:themeFill="background1"/>
        </w:rPr>
        <w:t>附表三、</w:t>
      </w:r>
    </w:p>
    <w:p w14:paraId="2AB43E7F">
      <w:pPr>
        <w:spacing w:line="360" w:lineRule="auto"/>
        <w:jc w:val="center"/>
        <w:rPr>
          <w:rStyle w:val="47"/>
          <w:rFonts w:hint="eastAsia" w:ascii="仿宋" w:hAnsi="仿宋" w:eastAsia="仿宋" w:cs="仿宋"/>
          <w:b w:val="0"/>
          <w:color w:val="auto"/>
          <w:kern w:val="0"/>
          <w:sz w:val="24"/>
          <w:szCs w:val="24"/>
          <w:highlight w:val="none"/>
          <w:shd w:val="clear" w:color="auto" w:fill="FFFFFF" w:themeFill="background1"/>
        </w:rPr>
      </w:pPr>
      <w:r>
        <w:rPr>
          <w:rStyle w:val="47"/>
          <w:rFonts w:hint="eastAsia" w:ascii="仿宋" w:hAnsi="仿宋" w:eastAsia="仿宋" w:cs="仿宋"/>
          <w:color w:val="auto"/>
          <w:kern w:val="0"/>
          <w:sz w:val="24"/>
          <w:szCs w:val="24"/>
          <w:highlight w:val="none"/>
          <w:shd w:val="clear" w:color="auto" w:fill="FFFFFF" w:themeFill="background1"/>
        </w:rPr>
        <w:t>监狱企业证明文件</w:t>
      </w:r>
    </w:p>
    <w:p w14:paraId="2EDBF17F">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监狱企业参加政府采购活动时，应当提供由省级以上监狱管理局、戒毒管理局（含新疆生产建设兵团）出具的属于监狱企业的证明文件。</w:t>
      </w:r>
    </w:p>
    <w:p w14:paraId="36454E1C">
      <w:pPr>
        <w:widowControl/>
        <w:adjustRightInd w:val="0"/>
        <w:snapToGrid w:val="0"/>
        <w:spacing w:line="360" w:lineRule="auto"/>
        <w:rPr>
          <w:rFonts w:hint="eastAsia" w:ascii="仿宋" w:hAnsi="仿宋" w:eastAsia="仿宋" w:cs="仿宋"/>
          <w:color w:val="auto"/>
          <w:sz w:val="24"/>
          <w:szCs w:val="24"/>
          <w:highlight w:val="none"/>
          <w:shd w:val="clear" w:color="auto" w:fill="FFFFFF" w:themeFill="background1"/>
        </w:rPr>
      </w:pPr>
    </w:p>
    <w:p w14:paraId="2438C638">
      <w:pPr>
        <w:rPr>
          <w:rFonts w:hint="eastAsia" w:ascii="仿宋" w:hAnsi="仿宋" w:eastAsia="仿宋" w:cs="仿宋"/>
          <w:b/>
          <w:color w:val="auto"/>
          <w:sz w:val="24"/>
          <w:szCs w:val="24"/>
          <w:highlight w:val="none"/>
          <w:shd w:val="clear" w:color="auto" w:fill="FFFFFF" w:themeFill="background1"/>
        </w:rPr>
      </w:pPr>
    </w:p>
    <w:p w14:paraId="1B6F49DA">
      <w:pPr>
        <w:widowControl/>
        <w:spacing w:line="360" w:lineRule="auto"/>
        <w:jc w:val="left"/>
        <w:rPr>
          <w:rFonts w:hint="eastAsia" w:ascii="仿宋" w:hAnsi="仿宋" w:eastAsia="仿宋" w:cs="仿宋"/>
          <w:b/>
          <w:color w:val="auto"/>
          <w:sz w:val="24"/>
          <w:szCs w:val="24"/>
          <w:highlight w:val="none"/>
          <w:shd w:val="clear" w:color="auto" w:fill="FFFFFF" w:themeFill="background1"/>
        </w:rPr>
      </w:pPr>
    </w:p>
    <w:p w14:paraId="4FF9F8B6">
      <w:pPr>
        <w:widowControl/>
        <w:spacing w:line="360" w:lineRule="auto"/>
        <w:jc w:val="left"/>
        <w:rPr>
          <w:rFonts w:hint="eastAsia" w:ascii="仿宋" w:hAnsi="仿宋" w:eastAsia="仿宋" w:cs="仿宋"/>
          <w:b/>
          <w:color w:val="auto"/>
          <w:sz w:val="24"/>
          <w:szCs w:val="24"/>
          <w:highlight w:val="none"/>
          <w:shd w:val="clear" w:color="auto" w:fill="FFFFFF" w:themeFill="background1"/>
        </w:rPr>
      </w:pPr>
    </w:p>
    <w:p w14:paraId="58E84925">
      <w:pPr>
        <w:rPr>
          <w:rFonts w:hint="eastAsia" w:ascii="仿宋" w:hAnsi="仿宋" w:eastAsia="仿宋" w:cs="仿宋"/>
          <w:b/>
          <w:color w:val="auto"/>
          <w:sz w:val="24"/>
          <w:szCs w:val="24"/>
          <w:highlight w:val="none"/>
          <w:shd w:val="clear" w:color="auto" w:fill="FFFFFF" w:themeFill="background1"/>
        </w:rPr>
      </w:pPr>
      <w:bookmarkStart w:id="179" w:name="_Toc38446479"/>
      <w:bookmarkStart w:id="180" w:name="_Toc533503190"/>
      <w:bookmarkStart w:id="181" w:name="_Toc507586174"/>
      <w:r>
        <w:rPr>
          <w:rFonts w:hint="eastAsia" w:ascii="仿宋" w:hAnsi="仿宋" w:eastAsia="仿宋" w:cs="仿宋"/>
          <w:b/>
          <w:color w:val="auto"/>
          <w:sz w:val="24"/>
          <w:szCs w:val="24"/>
          <w:highlight w:val="none"/>
          <w:shd w:val="clear" w:color="auto" w:fill="FFFFFF" w:themeFill="background1"/>
        </w:rPr>
        <w:br w:type="page"/>
      </w:r>
    </w:p>
    <w:p w14:paraId="0A94CF5B">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182" w:name="_Toc14293"/>
      <w:r>
        <w:rPr>
          <w:rFonts w:hint="eastAsia" w:ascii="仿宋" w:hAnsi="仿宋" w:eastAsia="仿宋" w:cs="仿宋"/>
          <w:color w:val="auto"/>
          <w:sz w:val="24"/>
          <w:szCs w:val="24"/>
          <w:highlight w:val="none"/>
          <w:shd w:val="clear" w:color="auto" w:fill="FFFFFF" w:themeFill="background1"/>
          <w:lang w:val="en-US" w:eastAsia="zh-CN"/>
        </w:rPr>
        <w:t>九、供应商近年类似项目业绩表</w:t>
      </w:r>
      <w:bookmarkEnd w:id="179"/>
      <w:bookmarkEnd w:id="180"/>
      <w:bookmarkEnd w:id="181"/>
      <w:bookmarkEnd w:id="182"/>
    </w:p>
    <w:p w14:paraId="3B143F0C">
      <w:pPr>
        <w:spacing w:line="360" w:lineRule="auto"/>
        <w:jc w:val="left"/>
        <w:rPr>
          <w:rFonts w:hint="eastAsia" w:ascii="仿宋" w:hAnsi="仿宋" w:eastAsia="仿宋" w:cs="仿宋"/>
          <w:color w:val="auto"/>
          <w:sz w:val="24"/>
          <w:szCs w:val="24"/>
          <w:highlight w:val="none"/>
          <w:shd w:val="clear" w:color="auto" w:fill="FFFFFF" w:themeFill="background1"/>
        </w:rPr>
      </w:pPr>
    </w:p>
    <w:tbl>
      <w:tblPr>
        <w:tblStyle w:val="45"/>
        <w:tblW w:w="932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
        <w:gridCol w:w="1549"/>
        <w:gridCol w:w="1134"/>
        <w:gridCol w:w="1369"/>
        <w:gridCol w:w="1194"/>
        <w:gridCol w:w="1213"/>
        <w:gridCol w:w="1213"/>
        <w:gridCol w:w="787"/>
      </w:tblGrid>
      <w:tr w14:paraId="0201E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1E0E9402">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序号</w:t>
            </w:r>
          </w:p>
        </w:tc>
        <w:tc>
          <w:tcPr>
            <w:tcW w:w="1549" w:type="dxa"/>
            <w:tcBorders>
              <w:top w:val="single" w:color="000000" w:sz="4" w:space="0"/>
              <w:left w:val="single" w:color="000000" w:sz="4" w:space="0"/>
              <w:bottom w:val="single" w:color="000000" w:sz="4" w:space="0"/>
              <w:right w:val="single" w:color="000000" w:sz="4" w:space="0"/>
            </w:tcBorders>
            <w:vAlign w:val="center"/>
          </w:tcPr>
          <w:p w14:paraId="7CC8987C">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项目名称</w:t>
            </w:r>
          </w:p>
        </w:tc>
        <w:tc>
          <w:tcPr>
            <w:tcW w:w="1134" w:type="dxa"/>
            <w:tcBorders>
              <w:top w:val="single" w:color="000000" w:sz="4" w:space="0"/>
              <w:left w:val="single" w:color="000000" w:sz="4" w:space="0"/>
              <w:bottom w:val="single" w:color="000000" w:sz="4" w:space="0"/>
              <w:right w:val="single" w:color="000000" w:sz="4" w:space="0"/>
            </w:tcBorders>
            <w:vAlign w:val="center"/>
          </w:tcPr>
          <w:p w14:paraId="7C6D4279">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tc>
        <w:tc>
          <w:tcPr>
            <w:tcW w:w="1369" w:type="dxa"/>
            <w:tcBorders>
              <w:top w:val="single" w:color="000000" w:sz="4" w:space="0"/>
              <w:left w:val="single" w:color="000000" w:sz="4" w:space="0"/>
              <w:bottom w:val="single" w:color="000000" w:sz="4" w:space="0"/>
              <w:right w:val="single" w:color="000000" w:sz="4" w:space="0"/>
            </w:tcBorders>
            <w:vAlign w:val="center"/>
          </w:tcPr>
          <w:p w14:paraId="680426B2">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p w14:paraId="4F3795F4">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联系方式</w:t>
            </w:r>
          </w:p>
        </w:tc>
        <w:tc>
          <w:tcPr>
            <w:tcW w:w="1194" w:type="dxa"/>
            <w:tcBorders>
              <w:top w:val="single" w:color="000000" w:sz="4" w:space="0"/>
              <w:left w:val="single" w:color="000000" w:sz="4" w:space="0"/>
              <w:bottom w:val="single" w:color="000000" w:sz="4" w:space="0"/>
              <w:right w:val="single" w:color="000000" w:sz="4" w:space="0"/>
            </w:tcBorders>
            <w:vAlign w:val="center"/>
          </w:tcPr>
          <w:p w14:paraId="3FAA5BA3">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项目规模</w:t>
            </w:r>
          </w:p>
        </w:tc>
        <w:tc>
          <w:tcPr>
            <w:tcW w:w="1213" w:type="dxa"/>
            <w:tcBorders>
              <w:top w:val="single" w:color="000000" w:sz="4" w:space="0"/>
              <w:left w:val="single" w:color="000000" w:sz="4" w:space="0"/>
              <w:bottom w:val="single" w:color="000000" w:sz="4" w:space="0"/>
              <w:right w:val="single" w:color="000000" w:sz="4" w:space="0"/>
            </w:tcBorders>
            <w:vAlign w:val="center"/>
          </w:tcPr>
          <w:p w14:paraId="6A39BC70">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合同金额</w:t>
            </w:r>
          </w:p>
        </w:tc>
        <w:tc>
          <w:tcPr>
            <w:tcW w:w="1213" w:type="dxa"/>
            <w:tcBorders>
              <w:top w:val="single" w:color="000000" w:sz="4" w:space="0"/>
              <w:left w:val="single" w:color="000000" w:sz="4" w:space="0"/>
              <w:bottom w:val="single" w:color="000000" w:sz="4" w:space="0"/>
              <w:right w:val="single" w:color="000000" w:sz="4" w:space="0"/>
            </w:tcBorders>
            <w:vAlign w:val="center"/>
          </w:tcPr>
          <w:p w14:paraId="5807B262">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合同日期</w:t>
            </w:r>
          </w:p>
        </w:tc>
        <w:tc>
          <w:tcPr>
            <w:tcW w:w="787" w:type="dxa"/>
            <w:tcBorders>
              <w:top w:val="single" w:color="000000" w:sz="4" w:space="0"/>
              <w:left w:val="single" w:color="000000" w:sz="4" w:space="0"/>
              <w:bottom w:val="single" w:color="000000" w:sz="4" w:space="0"/>
              <w:right w:val="single" w:color="000000" w:sz="4" w:space="0"/>
            </w:tcBorders>
            <w:vAlign w:val="center"/>
          </w:tcPr>
          <w:p w14:paraId="70E007F2">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备注</w:t>
            </w:r>
          </w:p>
        </w:tc>
      </w:tr>
      <w:tr w14:paraId="00A94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4F3D6881">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1590965F">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22761B2">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6085B0C4">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52B82335">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463D5DB2">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6ECDD288">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68960C06">
            <w:pPr>
              <w:jc w:val="center"/>
              <w:rPr>
                <w:rFonts w:hint="eastAsia" w:ascii="仿宋" w:hAnsi="仿宋" w:eastAsia="仿宋" w:cs="仿宋"/>
                <w:color w:val="auto"/>
                <w:kern w:val="0"/>
                <w:sz w:val="24"/>
                <w:szCs w:val="24"/>
                <w:highlight w:val="none"/>
                <w:shd w:val="clear" w:color="auto" w:fill="FFFFFF" w:themeFill="background1"/>
              </w:rPr>
            </w:pPr>
          </w:p>
        </w:tc>
      </w:tr>
      <w:tr w14:paraId="5E775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30A87201">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7ACD670D">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1D8A92A">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49E2B8A6">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0BCD90D6">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F797E64">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290766D5">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7832F20E">
            <w:pPr>
              <w:jc w:val="center"/>
              <w:rPr>
                <w:rFonts w:hint="eastAsia" w:ascii="仿宋" w:hAnsi="仿宋" w:eastAsia="仿宋" w:cs="仿宋"/>
                <w:color w:val="auto"/>
                <w:kern w:val="0"/>
                <w:sz w:val="24"/>
                <w:szCs w:val="24"/>
                <w:highlight w:val="none"/>
                <w:shd w:val="clear" w:color="auto" w:fill="FFFFFF" w:themeFill="background1"/>
              </w:rPr>
            </w:pPr>
          </w:p>
        </w:tc>
      </w:tr>
      <w:tr w14:paraId="6C632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7FB02D30">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3A046382">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41418BF">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31DD4E72">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060B3BFC">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0A42EF37">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7122B208">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5DF1DDE4">
            <w:pPr>
              <w:jc w:val="center"/>
              <w:rPr>
                <w:rFonts w:hint="eastAsia" w:ascii="仿宋" w:hAnsi="仿宋" w:eastAsia="仿宋" w:cs="仿宋"/>
                <w:color w:val="auto"/>
                <w:kern w:val="0"/>
                <w:sz w:val="24"/>
                <w:szCs w:val="24"/>
                <w:highlight w:val="none"/>
                <w:shd w:val="clear" w:color="auto" w:fill="FFFFFF" w:themeFill="background1"/>
              </w:rPr>
            </w:pPr>
          </w:p>
        </w:tc>
      </w:tr>
      <w:tr w14:paraId="1E41E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6C534026">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75B0E049">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1F554B2">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5033F4F8">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0514B2C8">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0AC432E0">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1057245B">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5B797A4A">
            <w:pPr>
              <w:jc w:val="center"/>
              <w:rPr>
                <w:rFonts w:hint="eastAsia" w:ascii="仿宋" w:hAnsi="仿宋" w:eastAsia="仿宋" w:cs="仿宋"/>
                <w:color w:val="auto"/>
                <w:kern w:val="0"/>
                <w:sz w:val="24"/>
                <w:szCs w:val="24"/>
                <w:highlight w:val="none"/>
                <w:shd w:val="clear" w:color="auto" w:fill="FFFFFF" w:themeFill="background1"/>
              </w:rPr>
            </w:pPr>
          </w:p>
        </w:tc>
      </w:tr>
      <w:tr w14:paraId="39428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068EA7ED">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61200853">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11BF344">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6F2293C7">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758AD170">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471F9831">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01B7E960">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04C1F95B">
            <w:pPr>
              <w:jc w:val="center"/>
              <w:rPr>
                <w:rFonts w:hint="eastAsia" w:ascii="仿宋" w:hAnsi="仿宋" w:eastAsia="仿宋" w:cs="仿宋"/>
                <w:color w:val="auto"/>
                <w:kern w:val="0"/>
                <w:sz w:val="24"/>
                <w:szCs w:val="24"/>
                <w:highlight w:val="none"/>
                <w:shd w:val="clear" w:color="auto" w:fill="FFFFFF" w:themeFill="background1"/>
              </w:rPr>
            </w:pPr>
          </w:p>
        </w:tc>
      </w:tr>
    </w:tbl>
    <w:p w14:paraId="0340220D">
      <w:pPr>
        <w:spacing w:line="360" w:lineRule="auto"/>
        <w:ind w:firstLine="420" w:firstLineChars="200"/>
        <w:rPr>
          <w:rFonts w:hint="eastAsia" w:ascii="仿宋" w:hAnsi="仿宋" w:eastAsia="仿宋" w:cs="仿宋"/>
          <w:color w:val="auto"/>
          <w:szCs w:val="24"/>
          <w:highlight w:val="none"/>
          <w:u w:val="single"/>
          <w:shd w:val="clear" w:color="auto" w:fill="FFFFFF" w:themeFill="background1"/>
        </w:rPr>
      </w:pPr>
    </w:p>
    <w:p w14:paraId="49093C1C">
      <w:pPr>
        <w:spacing w:line="360" w:lineRule="auto"/>
        <w:ind w:firstLine="480" w:firstLineChars="200"/>
        <w:rPr>
          <w:rFonts w:hint="eastAsia" w:ascii="仿宋" w:hAnsi="仿宋" w:eastAsia="仿宋" w:cs="仿宋"/>
          <w:color w:val="auto"/>
          <w:sz w:val="24"/>
          <w:szCs w:val="24"/>
          <w:highlight w:val="none"/>
          <w:u w:val="single"/>
          <w:shd w:val="clear" w:color="auto" w:fill="FFFFFF" w:themeFill="background1"/>
        </w:rPr>
      </w:pPr>
    </w:p>
    <w:p w14:paraId="2B92E538">
      <w:pPr>
        <w:widowControl/>
        <w:spacing w:line="360" w:lineRule="auto"/>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36640A7F">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183" w:name="_Toc533503191"/>
      <w:bookmarkStart w:id="184" w:name="_Toc1766"/>
      <w:bookmarkStart w:id="185" w:name="_Toc38446480"/>
      <w:bookmarkStart w:id="186" w:name="_Toc507586175"/>
      <w:r>
        <w:rPr>
          <w:rFonts w:hint="eastAsia" w:ascii="仿宋" w:hAnsi="仿宋" w:eastAsia="仿宋" w:cs="仿宋"/>
          <w:color w:val="auto"/>
          <w:sz w:val="24"/>
          <w:szCs w:val="24"/>
          <w:highlight w:val="none"/>
          <w:shd w:val="clear" w:color="auto" w:fill="FFFFFF" w:themeFill="background1"/>
          <w:lang w:val="en-US" w:eastAsia="zh-CN"/>
        </w:rPr>
        <w:t>十、项目负责人简历表</w:t>
      </w:r>
      <w:bookmarkEnd w:id="183"/>
      <w:bookmarkEnd w:id="184"/>
      <w:bookmarkEnd w:id="185"/>
      <w:bookmarkEnd w:id="186"/>
    </w:p>
    <w:p w14:paraId="5ED9ACC1">
      <w:pPr>
        <w:spacing w:line="360" w:lineRule="auto"/>
        <w:jc w:val="left"/>
        <w:rPr>
          <w:rFonts w:hint="eastAsia" w:ascii="仿宋" w:hAnsi="仿宋" w:eastAsia="仿宋" w:cs="仿宋"/>
          <w:color w:val="auto"/>
          <w:sz w:val="24"/>
          <w:szCs w:val="24"/>
          <w:highlight w:val="none"/>
          <w:shd w:val="clear" w:color="auto" w:fill="FFFFFF" w:themeFill="background1"/>
        </w:rPr>
      </w:pPr>
    </w:p>
    <w:tbl>
      <w:tblPr>
        <w:tblStyle w:val="44"/>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1372"/>
        <w:gridCol w:w="1230"/>
        <w:gridCol w:w="233"/>
        <w:gridCol w:w="1702"/>
        <w:gridCol w:w="1275"/>
        <w:gridCol w:w="1364"/>
      </w:tblGrid>
      <w:tr w14:paraId="6F4BE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6B9A565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姓名</w:t>
            </w:r>
          </w:p>
        </w:tc>
        <w:tc>
          <w:tcPr>
            <w:tcW w:w="2602" w:type="dxa"/>
            <w:gridSpan w:val="2"/>
            <w:vAlign w:val="center"/>
          </w:tcPr>
          <w:p w14:paraId="73AEC9B4">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56BF2923">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性别</w:t>
            </w:r>
          </w:p>
        </w:tc>
        <w:tc>
          <w:tcPr>
            <w:tcW w:w="2639" w:type="dxa"/>
            <w:gridSpan w:val="2"/>
            <w:vAlign w:val="center"/>
          </w:tcPr>
          <w:p w14:paraId="0514D785">
            <w:pPr>
              <w:spacing w:line="360" w:lineRule="auto"/>
              <w:jc w:val="center"/>
              <w:rPr>
                <w:rFonts w:hint="eastAsia" w:ascii="仿宋" w:hAnsi="仿宋" w:eastAsia="仿宋" w:cs="仿宋"/>
                <w:color w:val="auto"/>
                <w:szCs w:val="21"/>
                <w:highlight w:val="none"/>
                <w:shd w:val="clear" w:color="auto" w:fill="FFFFFF" w:themeFill="background1"/>
              </w:rPr>
            </w:pPr>
          </w:p>
        </w:tc>
      </w:tr>
      <w:tr w14:paraId="15DBD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28C4B224">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身份证号码</w:t>
            </w:r>
          </w:p>
        </w:tc>
        <w:tc>
          <w:tcPr>
            <w:tcW w:w="2602" w:type="dxa"/>
            <w:gridSpan w:val="2"/>
            <w:vAlign w:val="center"/>
          </w:tcPr>
          <w:p w14:paraId="5541D95D">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11B31813">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学历</w:t>
            </w:r>
          </w:p>
        </w:tc>
        <w:tc>
          <w:tcPr>
            <w:tcW w:w="2639" w:type="dxa"/>
            <w:gridSpan w:val="2"/>
            <w:vAlign w:val="center"/>
          </w:tcPr>
          <w:p w14:paraId="76643739">
            <w:pPr>
              <w:spacing w:line="360" w:lineRule="auto"/>
              <w:jc w:val="center"/>
              <w:rPr>
                <w:rFonts w:hint="eastAsia" w:ascii="仿宋" w:hAnsi="仿宋" w:eastAsia="仿宋" w:cs="仿宋"/>
                <w:color w:val="auto"/>
                <w:szCs w:val="21"/>
                <w:highlight w:val="none"/>
                <w:shd w:val="clear" w:color="auto" w:fill="FFFFFF" w:themeFill="background1"/>
              </w:rPr>
            </w:pPr>
          </w:p>
        </w:tc>
      </w:tr>
      <w:tr w14:paraId="423E8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7AD6F0A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毕业学校</w:t>
            </w:r>
          </w:p>
        </w:tc>
        <w:tc>
          <w:tcPr>
            <w:tcW w:w="2602" w:type="dxa"/>
            <w:gridSpan w:val="2"/>
            <w:vAlign w:val="center"/>
          </w:tcPr>
          <w:p w14:paraId="0C8EB697">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6B64415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专业</w:t>
            </w:r>
          </w:p>
        </w:tc>
        <w:tc>
          <w:tcPr>
            <w:tcW w:w="2639" w:type="dxa"/>
            <w:gridSpan w:val="2"/>
            <w:vAlign w:val="center"/>
          </w:tcPr>
          <w:p w14:paraId="00BB476D">
            <w:pPr>
              <w:spacing w:line="360" w:lineRule="auto"/>
              <w:jc w:val="center"/>
              <w:rPr>
                <w:rFonts w:hint="eastAsia" w:ascii="仿宋" w:hAnsi="仿宋" w:eastAsia="仿宋" w:cs="仿宋"/>
                <w:color w:val="auto"/>
                <w:szCs w:val="21"/>
                <w:highlight w:val="none"/>
                <w:shd w:val="clear" w:color="auto" w:fill="FFFFFF" w:themeFill="background1"/>
              </w:rPr>
            </w:pPr>
          </w:p>
        </w:tc>
      </w:tr>
      <w:tr w14:paraId="6392B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22C604E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参加工作时间</w:t>
            </w:r>
          </w:p>
        </w:tc>
        <w:tc>
          <w:tcPr>
            <w:tcW w:w="2602" w:type="dxa"/>
            <w:gridSpan w:val="2"/>
            <w:vAlign w:val="center"/>
          </w:tcPr>
          <w:p w14:paraId="6B125267">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28E758B3">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从事相关工作年限</w:t>
            </w:r>
          </w:p>
        </w:tc>
        <w:tc>
          <w:tcPr>
            <w:tcW w:w="2639" w:type="dxa"/>
            <w:gridSpan w:val="2"/>
            <w:vAlign w:val="center"/>
          </w:tcPr>
          <w:p w14:paraId="27CE47E3">
            <w:pPr>
              <w:spacing w:line="360" w:lineRule="auto"/>
              <w:jc w:val="center"/>
              <w:rPr>
                <w:rFonts w:hint="eastAsia" w:ascii="仿宋" w:hAnsi="仿宋" w:eastAsia="仿宋" w:cs="仿宋"/>
                <w:color w:val="auto"/>
                <w:szCs w:val="21"/>
                <w:highlight w:val="none"/>
                <w:shd w:val="clear" w:color="auto" w:fill="FFFFFF" w:themeFill="background1"/>
              </w:rPr>
            </w:pPr>
          </w:p>
        </w:tc>
      </w:tr>
      <w:tr w14:paraId="1CD69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787208D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在公司担任职务</w:t>
            </w:r>
          </w:p>
        </w:tc>
        <w:tc>
          <w:tcPr>
            <w:tcW w:w="2602" w:type="dxa"/>
            <w:gridSpan w:val="2"/>
            <w:vAlign w:val="center"/>
          </w:tcPr>
          <w:p w14:paraId="7A94A04B">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6816565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联系方式</w:t>
            </w:r>
          </w:p>
        </w:tc>
        <w:tc>
          <w:tcPr>
            <w:tcW w:w="2639" w:type="dxa"/>
            <w:gridSpan w:val="2"/>
            <w:vAlign w:val="center"/>
          </w:tcPr>
          <w:p w14:paraId="26DD8D28">
            <w:pPr>
              <w:spacing w:line="360" w:lineRule="auto"/>
              <w:jc w:val="center"/>
              <w:rPr>
                <w:rFonts w:hint="eastAsia" w:ascii="仿宋" w:hAnsi="仿宋" w:eastAsia="仿宋" w:cs="仿宋"/>
                <w:color w:val="auto"/>
                <w:szCs w:val="21"/>
                <w:highlight w:val="none"/>
                <w:shd w:val="clear" w:color="auto" w:fill="FFFFFF" w:themeFill="background1"/>
              </w:rPr>
            </w:pPr>
          </w:p>
        </w:tc>
      </w:tr>
      <w:tr w14:paraId="460D7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42ED489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证书名称</w:t>
            </w:r>
          </w:p>
        </w:tc>
        <w:tc>
          <w:tcPr>
            <w:tcW w:w="2602" w:type="dxa"/>
            <w:gridSpan w:val="2"/>
            <w:vAlign w:val="center"/>
          </w:tcPr>
          <w:p w14:paraId="0E0473F5">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0007C8C8">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证书编号</w:t>
            </w:r>
          </w:p>
        </w:tc>
        <w:tc>
          <w:tcPr>
            <w:tcW w:w="2639" w:type="dxa"/>
            <w:gridSpan w:val="2"/>
            <w:vAlign w:val="center"/>
          </w:tcPr>
          <w:p w14:paraId="235B4271">
            <w:pPr>
              <w:spacing w:line="360" w:lineRule="auto"/>
              <w:jc w:val="center"/>
              <w:rPr>
                <w:rFonts w:hint="eastAsia" w:ascii="仿宋" w:hAnsi="仿宋" w:eastAsia="仿宋" w:cs="仿宋"/>
                <w:color w:val="auto"/>
                <w:szCs w:val="21"/>
                <w:highlight w:val="none"/>
                <w:shd w:val="clear" w:color="auto" w:fill="FFFFFF" w:themeFill="background1"/>
              </w:rPr>
            </w:pPr>
          </w:p>
        </w:tc>
      </w:tr>
      <w:tr w14:paraId="4863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restart"/>
            <w:vAlign w:val="center"/>
          </w:tcPr>
          <w:p w14:paraId="6BD2322F">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近三年类似业绩</w:t>
            </w:r>
          </w:p>
        </w:tc>
        <w:tc>
          <w:tcPr>
            <w:tcW w:w="1372" w:type="dxa"/>
            <w:vAlign w:val="center"/>
          </w:tcPr>
          <w:p w14:paraId="144B05D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项目名称</w:t>
            </w:r>
          </w:p>
        </w:tc>
        <w:tc>
          <w:tcPr>
            <w:tcW w:w="1463" w:type="dxa"/>
            <w:gridSpan w:val="2"/>
            <w:vAlign w:val="center"/>
          </w:tcPr>
          <w:p w14:paraId="3617510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采购人</w:t>
            </w:r>
          </w:p>
        </w:tc>
        <w:tc>
          <w:tcPr>
            <w:tcW w:w="1702" w:type="dxa"/>
            <w:vAlign w:val="center"/>
          </w:tcPr>
          <w:p w14:paraId="06DC9842">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合同内容</w:t>
            </w:r>
          </w:p>
        </w:tc>
        <w:tc>
          <w:tcPr>
            <w:tcW w:w="1275" w:type="dxa"/>
            <w:vAlign w:val="center"/>
          </w:tcPr>
          <w:p w14:paraId="6A8DC84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合同价格</w:t>
            </w:r>
          </w:p>
        </w:tc>
        <w:tc>
          <w:tcPr>
            <w:tcW w:w="1364" w:type="dxa"/>
            <w:vAlign w:val="center"/>
          </w:tcPr>
          <w:p w14:paraId="7B07C280">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签约日期</w:t>
            </w:r>
          </w:p>
        </w:tc>
      </w:tr>
      <w:tr w14:paraId="008B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6B211774">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2AC098E4">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0CB193D9">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4B942B89">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10134AE8">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02DE8A1D">
            <w:pPr>
              <w:spacing w:line="360" w:lineRule="auto"/>
              <w:jc w:val="center"/>
              <w:rPr>
                <w:rFonts w:hint="eastAsia" w:ascii="仿宋" w:hAnsi="仿宋" w:eastAsia="仿宋" w:cs="仿宋"/>
                <w:color w:val="auto"/>
                <w:szCs w:val="21"/>
                <w:highlight w:val="none"/>
                <w:shd w:val="clear" w:color="auto" w:fill="FFFFFF" w:themeFill="background1"/>
              </w:rPr>
            </w:pPr>
          </w:p>
        </w:tc>
      </w:tr>
      <w:tr w14:paraId="26C6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0997AA0A">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505EDD78">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7339585B">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59D3404E">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527D4681">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35FCFE31">
            <w:pPr>
              <w:spacing w:line="360" w:lineRule="auto"/>
              <w:jc w:val="center"/>
              <w:rPr>
                <w:rFonts w:hint="eastAsia" w:ascii="仿宋" w:hAnsi="仿宋" w:eastAsia="仿宋" w:cs="仿宋"/>
                <w:color w:val="auto"/>
                <w:szCs w:val="21"/>
                <w:highlight w:val="none"/>
                <w:shd w:val="clear" w:color="auto" w:fill="FFFFFF" w:themeFill="background1"/>
              </w:rPr>
            </w:pPr>
          </w:p>
        </w:tc>
      </w:tr>
      <w:tr w14:paraId="1716F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900D42C">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74DAB23A">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1D9515ED">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2AF974B5">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57A2EEE4">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7AB52F63">
            <w:pPr>
              <w:spacing w:line="360" w:lineRule="auto"/>
              <w:jc w:val="center"/>
              <w:rPr>
                <w:rFonts w:hint="eastAsia" w:ascii="仿宋" w:hAnsi="仿宋" w:eastAsia="仿宋" w:cs="仿宋"/>
                <w:color w:val="auto"/>
                <w:szCs w:val="21"/>
                <w:highlight w:val="none"/>
                <w:shd w:val="clear" w:color="auto" w:fill="FFFFFF" w:themeFill="background1"/>
              </w:rPr>
            </w:pPr>
          </w:p>
        </w:tc>
      </w:tr>
      <w:tr w14:paraId="44777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0114BA2B">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4ABF2AA4">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59C67E9E">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06065733">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6E14E9C7">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0CC6C006">
            <w:pPr>
              <w:spacing w:line="360" w:lineRule="auto"/>
              <w:jc w:val="center"/>
              <w:rPr>
                <w:rFonts w:hint="eastAsia" w:ascii="仿宋" w:hAnsi="仿宋" w:eastAsia="仿宋" w:cs="仿宋"/>
                <w:color w:val="auto"/>
                <w:szCs w:val="21"/>
                <w:highlight w:val="none"/>
                <w:shd w:val="clear" w:color="auto" w:fill="FFFFFF" w:themeFill="background1"/>
              </w:rPr>
            </w:pPr>
          </w:p>
        </w:tc>
      </w:tr>
      <w:tr w14:paraId="6358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6F5997EF">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00C78B2B">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31E3D1BA">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1540F324">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56245138">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2F7F6ADB">
            <w:pPr>
              <w:spacing w:line="360" w:lineRule="auto"/>
              <w:jc w:val="center"/>
              <w:rPr>
                <w:rFonts w:hint="eastAsia" w:ascii="仿宋" w:hAnsi="仿宋" w:eastAsia="仿宋" w:cs="仿宋"/>
                <w:color w:val="auto"/>
                <w:szCs w:val="21"/>
                <w:highlight w:val="none"/>
                <w:shd w:val="clear" w:color="auto" w:fill="FFFFFF" w:themeFill="background1"/>
              </w:rPr>
            </w:pPr>
          </w:p>
        </w:tc>
      </w:tr>
    </w:tbl>
    <w:p w14:paraId="072A4860">
      <w:pPr>
        <w:spacing w:line="360" w:lineRule="auto"/>
        <w:ind w:firstLine="420" w:firstLineChars="200"/>
        <w:rPr>
          <w:rFonts w:hint="eastAsia" w:ascii="仿宋" w:hAnsi="仿宋" w:eastAsia="仿宋" w:cs="仿宋"/>
          <w:color w:val="auto"/>
          <w:sz w:val="22"/>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注：附身份证等</w:t>
      </w:r>
      <w:r>
        <w:rPr>
          <w:rFonts w:hint="eastAsia" w:ascii="仿宋" w:hAnsi="仿宋" w:eastAsia="仿宋" w:cs="仿宋"/>
          <w:color w:val="auto"/>
          <w:szCs w:val="21"/>
          <w:highlight w:val="none"/>
          <w:shd w:val="clear" w:color="auto" w:fill="FFFFFF" w:themeFill="background1"/>
          <w:lang w:eastAsia="zh-CN"/>
        </w:rPr>
        <w:t>其他</w:t>
      </w:r>
      <w:r>
        <w:rPr>
          <w:rFonts w:hint="eastAsia" w:ascii="仿宋" w:hAnsi="仿宋" w:eastAsia="仿宋" w:cs="仿宋"/>
          <w:color w:val="auto"/>
          <w:szCs w:val="21"/>
          <w:highlight w:val="none"/>
          <w:shd w:val="clear" w:color="auto" w:fill="FFFFFF" w:themeFill="background1"/>
        </w:rPr>
        <w:t>相关材料扫描件</w:t>
      </w:r>
      <w:r>
        <w:rPr>
          <w:rFonts w:hint="eastAsia" w:ascii="仿宋" w:hAnsi="仿宋" w:eastAsia="仿宋" w:cs="仿宋"/>
          <w:color w:val="auto"/>
          <w:sz w:val="22"/>
          <w:highlight w:val="none"/>
          <w:shd w:val="clear" w:color="auto" w:fill="FFFFFF" w:themeFill="background1"/>
        </w:rPr>
        <w:t>。</w:t>
      </w:r>
    </w:p>
    <w:p w14:paraId="23FAB982">
      <w:pPr>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187" w:name="_Toc507586176"/>
      <w:r>
        <w:rPr>
          <w:rFonts w:hint="eastAsia" w:ascii="仿宋" w:hAnsi="仿宋" w:eastAsia="仿宋" w:cs="仿宋"/>
          <w:b/>
          <w:bCs/>
          <w:color w:val="auto"/>
          <w:sz w:val="24"/>
          <w:szCs w:val="24"/>
          <w:highlight w:val="none"/>
          <w:shd w:val="clear" w:color="auto" w:fill="FFFFFF" w:themeFill="background1"/>
        </w:rPr>
        <w:br w:type="page"/>
      </w:r>
      <w:bookmarkStart w:id="188" w:name="_Toc144993319"/>
      <w:bookmarkStart w:id="189" w:name="_Toc27220"/>
      <w:bookmarkStart w:id="190" w:name="_Toc38446481"/>
      <w:bookmarkStart w:id="191" w:name="_Toc533503192"/>
      <w:r>
        <w:rPr>
          <w:rFonts w:hint="eastAsia" w:ascii="仿宋" w:hAnsi="仿宋" w:eastAsia="仿宋" w:cs="仿宋"/>
          <w:color w:val="auto"/>
          <w:sz w:val="24"/>
          <w:szCs w:val="24"/>
          <w:highlight w:val="none"/>
          <w:shd w:val="clear" w:color="auto" w:fill="FFFFFF" w:themeFill="background1"/>
          <w:lang w:val="en-US" w:eastAsia="zh-CN"/>
        </w:rPr>
        <w:t>十一、</w:t>
      </w:r>
      <w:bookmarkEnd w:id="188"/>
      <w:r>
        <w:rPr>
          <w:rFonts w:hint="eastAsia" w:ascii="仿宋" w:hAnsi="仿宋" w:eastAsia="仿宋" w:cs="仿宋"/>
          <w:color w:val="auto"/>
          <w:sz w:val="24"/>
          <w:szCs w:val="24"/>
          <w:highlight w:val="none"/>
          <w:shd w:val="clear" w:color="auto" w:fill="FFFFFF" w:themeFill="background1"/>
          <w:lang w:val="en-US" w:eastAsia="zh-CN"/>
        </w:rPr>
        <w:t>拟派主要服务人员</w:t>
      </w:r>
      <w:bookmarkEnd w:id="189"/>
    </w:p>
    <w:p w14:paraId="42BBCBC8">
      <w:pPr>
        <w:rPr>
          <w:rFonts w:hint="eastAsia" w:ascii="仿宋" w:hAnsi="仿宋" w:eastAsia="仿宋" w:cs="仿宋"/>
          <w:color w:val="auto"/>
          <w:sz w:val="24"/>
          <w:szCs w:val="24"/>
          <w:highlight w:val="none"/>
        </w:rPr>
      </w:pPr>
    </w:p>
    <w:tbl>
      <w:tblPr>
        <w:tblStyle w:val="44"/>
        <w:tblW w:w="10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170"/>
        <w:gridCol w:w="1172"/>
        <w:gridCol w:w="1144"/>
        <w:gridCol w:w="1172"/>
        <w:gridCol w:w="1172"/>
        <w:gridCol w:w="1146"/>
        <w:gridCol w:w="1172"/>
        <w:gridCol w:w="1138"/>
      </w:tblGrid>
      <w:tr w14:paraId="2368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170" w:type="dxa"/>
            <w:vAlign w:val="center"/>
          </w:tcPr>
          <w:p w14:paraId="5B2F6D7F">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170" w:type="dxa"/>
            <w:vAlign w:val="center"/>
          </w:tcPr>
          <w:p w14:paraId="522B36D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172" w:type="dxa"/>
            <w:vAlign w:val="center"/>
          </w:tcPr>
          <w:p w14:paraId="7D1FC4D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p>
        </w:tc>
        <w:tc>
          <w:tcPr>
            <w:tcW w:w="1144" w:type="dxa"/>
            <w:vAlign w:val="center"/>
          </w:tcPr>
          <w:p w14:paraId="48C4941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1172" w:type="dxa"/>
            <w:vAlign w:val="center"/>
          </w:tcPr>
          <w:p w14:paraId="64ECDE6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1172" w:type="dxa"/>
            <w:vAlign w:val="center"/>
          </w:tcPr>
          <w:p w14:paraId="1C346C9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146" w:type="dxa"/>
            <w:vAlign w:val="center"/>
          </w:tcPr>
          <w:p w14:paraId="32DC8DF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w:t>
            </w:r>
          </w:p>
        </w:tc>
        <w:tc>
          <w:tcPr>
            <w:tcW w:w="1172" w:type="dxa"/>
            <w:vAlign w:val="center"/>
          </w:tcPr>
          <w:p w14:paraId="437E3A0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从事相关工作年限</w:t>
            </w:r>
          </w:p>
        </w:tc>
        <w:tc>
          <w:tcPr>
            <w:tcW w:w="1138" w:type="dxa"/>
            <w:vAlign w:val="center"/>
          </w:tcPr>
          <w:p w14:paraId="79DFC28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54DF7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3EF93878">
            <w:pPr>
              <w:jc w:val="center"/>
              <w:rPr>
                <w:rFonts w:hint="eastAsia" w:ascii="仿宋" w:hAnsi="仿宋" w:eastAsia="仿宋" w:cs="仿宋"/>
                <w:color w:val="auto"/>
                <w:sz w:val="24"/>
                <w:szCs w:val="24"/>
                <w:highlight w:val="none"/>
              </w:rPr>
            </w:pPr>
          </w:p>
        </w:tc>
        <w:tc>
          <w:tcPr>
            <w:tcW w:w="1170" w:type="dxa"/>
            <w:vAlign w:val="center"/>
          </w:tcPr>
          <w:p w14:paraId="75A04231">
            <w:pPr>
              <w:jc w:val="center"/>
              <w:rPr>
                <w:rFonts w:hint="eastAsia" w:ascii="仿宋" w:hAnsi="仿宋" w:eastAsia="仿宋" w:cs="仿宋"/>
                <w:color w:val="auto"/>
                <w:sz w:val="24"/>
                <w:szCs w:val="24"/>
                <w:highlight w:val="none"/>
              </w:rPr>
            </w:pPr>
          </w:p>
        </w:tc>
        <w:tc>
          <w:tcPr>
            <w:tcW w:w="1172" w:type="dxa"/>
            <w:vAlign w:val="center"/>
          </w:tcPr>
          <w:p w14:paraId="3B8C21D2">
            <w:pPr>
              <w:jc w:val="center"/>
              <w:rPr>
                <w:rFonts w:hint="eastAsia" w:ascii="仿宋" w:hAnsi="仿宋" w:eastAsia="仿宋" w:cs="仿宋"/>
                <w:color w:val="auto"/>
                <w:sz w:val="24"/>
                <w:szCs w:val="24"/>
                <w:highlight w:val="none"/>
              </w:rPr>
            </w:pPr>
          </w:p>
        </w:tc>
        <w:tc>
          <w:tcPr>
            <w:tcW w:w="1144" w:type="dxa"/>
            <w:vAlign w:val="center"/>
          </w:tcPr>
          <w:p w14:paraId="4287A37A">
            <w:pPr>
              <w:jc w:val="center"/>
              <w:rPr>
                <w:rFonts w:hint="eastAsia" w:ascii="仿宋" w:hAnsi="仿宋" w:eastAsia="仿宋" w:cs="仿宋"/>
                <w:color w:val="auto"/>
                <w:sz w:val="24"/>
                <w:szCs w:val="24"/>
                <w:highlight w:val="none"/>
              </w:rPr>
            </w:pPr>
          </w:p>
        </w:tc>
        <w:tc>
          <w:tcPr>
            <w:tcW w:w="1172" w:type="dxa"/>
            <w:vAlign w:val="center"/>
          </w:tcPr>
          <w:p w14:paraId="285A2486">
            <w:pPr>
              <w:jc w:val="center"/>
              <w:rPr>
                <w:rFonts w:hint="eastAsia" w:ascii="仿宋" w:hAnsi="仿宋" w:eastAsia="仿宋" w:cs="仿宋"/>
                <w:color w:val="auto"/>
                <w:sz w:val="24"/>
                <w:szCs w:val="24"/>
                <w:highlight w:val="none"/>
              </w:rPr>
            </w:pPr>
          </w:p>
        </w:tc>
        <w:tc>
          <w:tcPr>
            <w:tcW w:w="1172" w:type="dxa"/>
            <w:vAlign w:val="center"/>
          </w:tcPr>
          <w:p w14:paraId="052B5100">
            <w:pPr>
              <w:jc w:val="center"/>
              <w:rPr>
                <w:rFonts w:hint="eastAsia" w:ascii="仿宋" w:hAnsi="仿宋" w:eastAsia="仿宋" w:cs="仿宋"/>
                <w:color w:val="auto"/>
                <w:sz w:val="24"/>
                <w:szCs w:val="24"/>
                <w:highlight w:val="none"/>
              </w:rPr>
            </w:pPr>
          </w:p>
        </w:tc>
        <w:tc>
          <w:tcPr>
            <w:tcW w:w="1146" w:type="dxa"/>
            <w:vAlign w:val="center"/>
          </w:tcPr>
          <w:p w14:paraId="571BB2B3">
            <w:pPr>
              <w:jc w:val="center"/>
              <w:rPr>
                <w:rFonts w:hint="eastAsia" w:ascii="仿宋" w:hAnsi="仿宋" w:eastAsia="仿宋" w:cs="仿宋"/>
                <w:color w:val="auto"/>
                <w:sz w:val="24"/>
                <w:szCs w:val="24"/>
                <w:highlight w:val="none"/>
              </w:rPr>
            </w:pPr>
          </w:p>
        </w:tc>
        <w:tc>
          <w:tcPr>
            <w:tcW w:w="1172" w:type="dxa"/>
            <w:vAlign w:val="center"/>
          </w:tcPr>
          <w:p w14:paraId="0BC7CBC9">
            <w:pPr>
              <w:jc w:val="center"/>
              <w:rPr>
                <w:rFonts w:hint="eastAsia" w:ascii="仿宋" w:hAnsi="仿宋" w:eastAsia="仿宋" w:cs="仿宋"/>
                <w:color w:val="auto"/>
                <w:sz w:val="24"/>
                <w:szCs w:val="24"/>
                <w:highlight w:val="none"/>
              </w:rPr>
            </w:pPr>
          </w:p>
        </w:tc>
        <w:tc>
          <w:tcPr>
            <w:tcW w:w="1138" w:type="dxa"/>
            <w:vAlign w:val="center"/>
          </w:tcPr>
          <w:p w14:paraId="11CFBF76">
            <w:pPr>
              <w:jc w:val="center"/>
              <w:rPr>
                <w:rFonts w:hint="eastAsia" w:ascii="仿宋" w:hAnsi="仿宋" w:eastAsia="仿宋" w:cs="仿宋"/>
                <w:color w:val="auto"/>
                <w:sz w:val="24"/>
                <w:szCs w:val="24"/>
                <w:highlight w:val="none"/>
              </w:rPr>
            </w:pPr>
          </w:p>
        </w:tc>
      </w:tr>
      <w:tr w14:paraId="12EB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170" w:type="dxa"/>
            <w:vAlign w:val="center"/>
          </w:tcPr>
          <w:p w14:paraId="7CA88E1F">
            <w:pPr>
              <w:jc w:val="center"/>
              <w:rPr>
                <w:rFonts w:hint="eastAsia" w:ascii="仿宋" w:hAnsi="仿宋" w:eastAsia="仿宋" w:cs="仿宋"/>
                <w:color w:val="auto"/>
                <w:sz w:val="24"/>
                <w:szCs w:val="24"/>
                <w:highlight w:val="none"/>
              </w:rPr>
            </w:pPr>
          </w:p>
        </w:tc>
        <w:tc>
          <w:tcPr>
            <w:tcW w:w="1170" w:type="dxa"/>
            <w:vAlign w:val="center"/>
          </w:tcPr>
          <w:p w14:paraId="6BCA6F34">
            <w:pPr>
              <w:jc w:val="center"/>
              <w:rPr>
                <w:rFonts w:hint="eastAsia" w:ascii="仿宋" w:hAnsi="仿宋" w:eastAsia="仿宋" w:cs="仿宋"/>
                <w:color w:val="auto"/>
                <w:sz w:val="24"/>
                <w:szCs w:val="24"/>
                <w:highlight w:val="none"/>
              </w:rPr>
            </w:pPr>
          </w:p>
        </w:tc>
        <w:tc>
          <w:tcPr>
            <w:tcW w:w="1172" w:type="dxa"/>
            <w:vAlign w:val="center"/>
          </w:tcPr>
          <w:p w14:paraId="3B3AA379">
            <w:pPr>
              <w:jc w:val="center"/>
              <w:rPr>
                <w:rFonts w:hint="eastAsia" w:ascii="仿宋" w:hAnsi="仿宋" w:eastAsia="仿宋" w:cs="仿宋"/>
                <w:color w:val="auto"/>
                <w:sz w:val="24"/>
                <w:szCs w:val="24"/>
                <w:highlight w:val="none"/>
              </w:rPr>
            </w:pPr>
          </w:p>
        </w:tc>
        <w:tc>
          <w:tcPr>
            <w:tcW w:w="1144" w:type="dxa"/>
            <w:vAlign w:val="center"/>
          </w:tcPr>
          <w:p w14:paraId="4D29F78D">
            <w:pPr>
              <w:jc w:val="center"/>
              <w:rPr>
                <w:rFonts w:hint="eastAsia" w:ascii="仿宋" w:hAnsi="仿宋" w:eastAsia="仿宋" w:cs="仿宋"/>
                <w:color w:val="auto"/>
                <w:sz w:val="24"/>
                <w:szCs w:val="24"/>
                <w:highlight w:val="none"/>
              </w:rPr>
            </w:pPr>
          </w:p>
        </w:tc>
        <w:tc>
          <w:tcPr>
            <w:tcW w:w="1172" w:type="dxa"/>
            <w:vAlign w:val="center"/>
          </w:tcPr>
          <w:p w14:paraId="5ACA7401">
            <w:pPr>
              <w:jc w:val="center"/>
              <w:rPr>
                <w:rFonts w:hint="eastAsia" w:ascii="仿宋" w:hAnsi="仿宋" w:eastAsia="仿宋" w:cs="仿宋"/>
                <w:color w:val="auto"/>
                <w:sz w:val="24"/>
                <w:szCs w:val="24"/>
                <w:highlight w:val="none"/>
              </w:rPr>
            </w:pPr>
          </w:p>
        </w:tc>
        <w:tc>
          <w:tcPr>
            <w:tcW w:w="1172" w:type="dxa"/>
            <w:vAlign w:val="center"/>
          </w:tcPr>
          <w:p w14:paraId="36E5E1C7">
            <w:pPr>
              <w:jc w:val="center"/>
              <w:rPr>
                <w:rFonts w:hint="eastAsia" w:ascii="仿宋" w:hAnsi="仿宋" w:eastAsia="仿宋" w:cs="仿宋"/>
                <w:color w:val="auto"/>
                <w:sz w:val="24"/>
                <w:szCs w:val="24"/>
                <w:highlight w:val="none"/>
              </w:rPr>
            </w:pPr>
          </w:p>
        </w:tc>
        <w:tc>
          <w:tcPr>
            <w:tcW w:w="1146" w:type="dxa"/>
            <w:vAlign w:val="center"/>
          </w:tcPr>
          <w:p w14:paraId="08F804C0">
            <w:pPr>
              <w:jc w:val="center"/>
              <w:rPr>
                <w:rFonts w:hint="eastAsia" w:ascii="仿宋" w:hAnsi="仿宋" w:eastAsia="仿宋" w:cs="仿宋"/>
                <w:color w:val="auto"/>
                <w:sz w:val="24"/>
                <w:szCs w:val="24"/>
                <w:highlight w:val="none"/>
              </w:rPr>
            </w:pPr>
          </w:p>
        </w:tc>
        <w:tc>
          <w:tcPr>
            <w:tcW w:w="1172" w:type="dxa"/>
            <w:vAlign w:val="center"/>
          </w:tcPr>
          <w:p w14:paraId="4870EE3F">
            <w:pPr>
              <w:jc w:val="center"/>
              <w:rPr>
                <w:rFonts w:hint="eastAsia" w:ascii="仿宋" w:hAnsi="仿宋" w:eastAsia="仿宋" w:cs="仿宋"/>
                <w:color w:val="auto"/>
                <w:sz w:val="24"/>
                <w:szCs w:val="24"/>
                <w:highlight w:val="none"/>
              </w:rPr>
            </w:pPr>
          </w:p>
        </w:tc>
        <w:tc>
          <w:tcPr>
            <w:tcW w:w="1138" w:type="dxa"/>
            <w:vAlign w:val="center"/>
          </w:tcPr>
          <w:p w14:paraId="41C3FBA8">
            <w:pPr>
              <w:jc w:val="center"/>
              <w:rPr>
                <w:rFonts w:hint="eastAsia" w:ascii="仿宋" w:hAnsi="仿宋" w:eastAsia="仿宋" w:cs="仿宋"/>
                <w:color w:val="auto"/>
                <w:sz w:val="24"/>
                <w:szCs w:val="24"/>
                <w:highlight w:val="none"/>
              </w:rPr>
            </w:pPr>
          </w:p>
        </w:tc>
      </w:tr>
      <w:tr w14:paraId="11856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33151C07">
            <w:pPr>
              <w:jc w:val="center"/>
              <w:rPr>
                <w:rFonts w:hint="eastAsia" w:ascii="仿宋" w:hAnsi="仿宋" w:eastAsia="仿宋" w:cs="仿宋"/>
                <w:color w:val="auto"/>
                <w:sz w:val="24"/>
                <w:szCs w:val="24"/>
                <w:highlight w:val="none"/>
              </w:rPr>
            </w:pPr>
          </w:p>
        </w:tc>
        <w:tc>
          <w:tcPr>
            <w:tcW w:w="1170" w:type="dxa"/>
            <w:vAlign w:val="center"/>
          </w:tcPr>
          <w:p w14:paraId="6C221815">
            <w:pPr>
              <w:jc w:val="center"/>
              <w:rPr>
                <w:rFonts w:hint="eastAsia" w:ascii="仿宋" w:hAnsi="仿宋" w:eastAsia="仿宋" w:cs="仿宋"/>
                <w:color w:val="auto"/>
                <w:sz w:val="24"/>
                <w:szCs w:val="24"/>
                <w:highlight w:val="none"/>
              </w:rPr>
            </w:pPr>
          </w:p>
        </w:tc>
        <w:tc>
          <w:tcPr>
            <w:tcW w:w="1172" w:type="dxa"/>
            <w:vAlign w:val="center"/>
          </w:tcPr>
          <w:p w14:paraId="093BCBDF">
            <w:pPr>
              <w:jc w:val="center"/>
              <w:rPr>
                <w:rFonts w:hint="eastAsia" w:ascii="仿宋" w:hAnsi="仿宋" w:eastAsia="仿宋" w:cs="仿宋"/>
                <w:color w:val="auto"/>
                <w:sz w:val="24"/>
                <w:szCs w:val="24"/>
                <w:highlight w:val="none"/>
              </w:rPr>
            </w:pPr>
          </w:p>
        </w:tc>
        <w:tc>
          <w:tcPr>
            <w:tcW w:w="1144" w:type="dxa"/>
            <w:vAlign w:val="center"/>
          </w:tcPr>
          <w:p w14:paraId="3431A0AD">
            <w:pPr>
              <w:jc w:val="center"/>
              <w:rPr>
                <w:rFonts w:hint="eastAsia" w:ascii="仿宋" w:hAnsi="仿宋" w:eastAsia="仿宋" w:cs="仿宋"/>
                <w:color w:val="auto"/>
                <w:sz w:val="24"/>
                <w:szCs w:val="24"/>
                <w:highlight w:val="none"/>
              </w:rPr>
            </w:pPr>
          </w:p>
        </w:tc>
        <w:tc>
          <w:tcPr>
            <w:tcW w:w="1172" w:type="dxa"/>
            <w:vAlign w:val="center"/>
          </w:tcPr>
          <w:p w14:paraId="538781AB">
            <w:pPr>
              <w:jc w:val="center"/>
              <w:rPr>
                <w:rFonts w:hint="eastAsia" w:ascii="仿宋" w:hAnsi="仿宋" w:eastAsia="仿宋" w:cs="仿宋"/>
                <w:color w:val="auto"/>
                <w:sz w:val="24"/>
                <w:szCs w:val="24"/>
                <w:highlight w:val="none"/>
              </w:rPr>
            </w:pPr>
          </w:p>
        </w:tc>
        <w:tc>
          <w:tcPr>
            <w:tcW w:w="1172" w:type="dxa"/>
            <w:vAlign w:val="center"/>
          </w:tcPr>
          <w:p w14:paraId="37FCE958">
            <w:pPr>
              <w:jc w:val="center"/>
              <w:rPr>
                <w:rFonts w:hint="eastAsia" w:ascii="仿宋" w:hAnsi="仿宋" w:eastAsia="仿宋" w:cs="仿宋"/>
                <w:color w:val="auto"/>
                <w:sz w:val="24"/>
                <w:szCs w:val="24"/>
                <w:highlight w:val="none"/>
              </w:rPr>
            </w:pPr>
          </w:p>
        </w:tc>
        <w:tc>
          <w:tcPr>
            <w:tcW w:w="1146" w:type="dxa"/>
            <w:vAlign w:val="center"/>
          </w:tcPr>
          <w:p w14:paraId="09E08CD8">
            <w:pPr>
              <w:jc w:val="center"/>
              <w:rPr>
                <w:rFonts w:hint="eastAsia" w:ascii="仿宋" w:hAnsi="仿宋" w:eastAsia="仿宋" w:cs="仿宋"/>
                <w:color w:val="auto"/>
                <w:sz w:val="24"/>
                <w:szCs w:val="24"/>
                <w:highlight w:val="none"/>
              </w:rPr>
            </w:pPr>
          </w:p>
        </w:tc>
        <w:tc>
          <w:tcPr>
            <w:tcW w:w="1172" w:type="dxa"/>
            <w:vAlign w:val="center"/>
          </w:tcPr>
          <w:p w14:paraId="4B6FE918">
            <w:pPr>
              <w:jc w:val="center"/>
              <w:rPr>
                <w:rFonts w:hint="eastAsia" w:ascii="仿宋" w:hAnsi="仿宋" w:eastAsia="仿宋" w:cs="仿宋"/>
                <w:color w:val="auto"/>
                <w:sz w:val="24"/>
                <w:szCs w:val="24"/>
                <w:highlight w:val="none"/>
              </w:rPr>
            </w:pPr>
          </w:p>
        </w:tc>
        <w:tc>
          <w:tcPr>
            <w:tcW w:w="1138" w:type="dxa"/>
            <w:vAlign w:val="center"/>
          </w:tcPr>
          <w:p w14:paraId="4893DE94">
            <w:pPr>
              <w:jc w:val="center"/>
              <w:rPr>
                <w:rFonts w:hint="eastAsia" w:ascii="仿宋" w:hAnsi="仿宋" w:eastAsia="仿宋" w:cs="仿宋"/>
                <w:color w:val="auto"/>
                <w:sz w:val="24"/>
                <w:szCs w:val="24"/>
                <w:highlight w:val="none"/>
              </w:rPr>
            </w:pPr>
          </w:p>
        </w:tc>
      </w:tr>
      <w:tr w14:paraId="701BB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170" w:type="dxa"/>
            <w:vAlign w:val="center"/>
          </w:tcPr>
          <w:p w14:paraId="290C9335">
            <w:pPr>
              <w:jc w:val="center"/>
              <w:rPr>
                <w:rFonts w:hint="eastAsia" w:ascii="仿宋" w:hAnsi="仿宋" w:eastAsia="仿宋" w:cs="仿宋"/>
                <w:color w:val="auto"/>
                <w:sz w:val="24"/>
                <w:szCs w:val="24"/>
                <w:highlight w:val="none"/>
              </w:rPr>
            </w:pPr>
          </w:p>
        </w:tc>
        <w:tc>
          <w:tcPr>
            <w:tcW w:w="1170" w:type="dxa"/>
            <w:vAlign w:val="center"/>
          </w:tcPr>
          <w:p w14:paraId="649319EB">
            <w:pPr>
              <w:jc w:val="center"/>
              <w:rPr>
                <w:rFonts w:hint="eastAsia" w:ascii="仿宋" w:hAnsi="仿宋" w:eastAsia="仿宋" w:cs="仿宋"/>
                <w:color w:val="auto"/>
                <w:sz w:val="24"/>
                <w:szCs w:val="24"/>
                <w:highlight w:val="none"/>
              </w:rPr>
            </w:pPr>
          </w:p>
        </w:tc>
        <w:tc>
          <w:tcPr>
            <w:tcW w:w="1172" w:type="dxa"/>
            <w:vAlign w:val="center"/>
          </w:tcPr>
          <w:p w14:paraId="2096C2B0">
            <w:pPr>
              <w:jc w:val="center"/>
              <w:rPr>
                <w:rFonts w:hint="eastAsia" w:ascii="仿宋" w:hAnsi="仿宋" w:eastAsia="仿宋" w:cs="仿宋"/>
                <w:color w:val="auto"/>
                <w:sz w:val="24"/>
                <w:szCs w:val="24"/>
                <w:highlight w:val="none"/>
              </w:rPr>
            </w:pPr>
          </w:p>
        </w:tc>
        <w:tc>
          <w:tcPr>
            <w:tcW w:w="1144" w:type="dxa"/>
            <w:vAlign w:val="center"/>
          </w:tcPr>
          <w:p w14:paraId="0A1A163A">
            <w:pPr>
              <w:jc w:val="center"/>
              <w:rPr>
                <w:rFonts w:hint="eastAsia" w:ascii="仿宋" w:hAnsi="仿宋" w:eastAsia="仿宋" w:cs="仿宋"/>
                <w:color w:val="auto"/>
                <w:sz w:val="24"/>
                <w:szCs w:val="24"/>
                <w:highlight w:val="none"/>
              </w:rPr>
            </w:pPr>
          </w:p>
        </w:tc>
        <w:tc>
          <w:tcPr>
            <w:tcW w:w="1172" w:type="dxa"/>
            <w:vAlign w:val="center"/>
          </w:tcPr>
          <w:p w14:paraId="369EF209">
            <w:pPr>
              <w:jc w:val="center"/>
              <w:rPr>
                <w:rFonts w:hint="eastAsia" w:ascii="仿宋" w:hAnsi="仿宋" w:eastAsia="仿宋" w:cs="仿宋"/>
                <w:color w:val="auto"/>
                <w:sz w:val="24"/>
                <w:szCs w:val="24"/>
                <w:highlight w:val="none"/>
              </w:rPr>
            </w:pPr>
          </w:p>
        </w:tc>
        <w:tc>
          <w:tcPr>
            <w:tcW w:w="1172" w:type="dxa"/>
            <w:vAlign w:val="center"/>
          </w:tcPr>
          <w:p w14:paraId="76C78B0F">
            <w:pPr>
              <w:jc w:val="center"/>
              <w:rPr>
                <w:rFonts w:hint="eastAsia" w:ascii="仿宋" w:hAnsi="仿宋" w:eastAsia="仿宋" w:cs="仿宋"/>
                <w:color w:val="auto"/>
                <w:sz w:val="24"/>
                <w:szCs w:val="24"/>
                <w:highlight w:val="none"/>
              </w:rPr>
            </w:pPr>
          </w:p>
        </w:tc>
        <w:tc>
          <w:tcPr>
            <w:tcW w:w="1146" w:type="dxa"/>
            <w:vAlign w:val="center"/>
          </w:tcPr>
          <w:p w14:paraId="331BA356">
            <w:pPr>
              <w:jc w:val="center"/>
              <w:rPr>
                <w:rFonts w:hint="eastAsia" w:ascii="仿宋" w:hAnsi="仿宋" w:eastAsia="仿宋" w:cs="仿宋"/>
                <w:color w:val="auto"/>
                <w:sz w:val="24"/>
                <w:szCs w:val="24"/>
                <w:highlight w:val="none"/>
              </w:rPr>
            </w:pPr>
          </w:p>
        </w:tc>
        <w:tc>
          <w:tcPr>
            <w:tcW w:w="1172" w:type="dxa"/>
            <w:vAlign w:val="center"/>
          </w:tcPr>
          <w:p w14:paraId="3976FFD5">
            <w:pPr>
              <w:jc w:val="center"/>
              <w:rPr>
                <w:rFonts w:hint="eastAsia" w:ascii="仿宋" w:hAnsi="仿宋" w:eastAsia="仿宋" w:cs="仿宋"/>
                <w:color w:val="auto"/>
                <w:sz w:val="24"/>
                <w:szCs w:val="24"/>
                <w:highlight w:val="none"/>
              </w:rPr>
            </w:pPr>
          </w:p>
        </w:tc>
        <w:tc>
          <w:tcPr>
            <w:tcW w:w="1138" w:type="dxa"/>
            <w:vAlign w:val="center"/>
          </w:tcPr>
          <w:p w14:paraId="03AF2E43">
            <w:pPr>
              <w:jc w:val="center"/>
              <w:rPr>
                <w:rFonts w:hint="eastAsia" w:ascii="仿宋" w:hAnsi="仿宋" w:eastAsia="仿宋" w:cs="仿宋"/>
                <w:color w:val="auto"/>
                <w:sz w:val="24"/>
                <w:szCs w:val="24"/>
                <w:highlight w:val="none"/>
              </w:rPr>
            </w:pPr>
          </w:p>
        </w:tc>
      </w:tr>
      <w:tr w14:paraId="47AA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2946EC96">
            <w:pPr>
              <w:jc w:val="center"/>
              <w:rPr>
                <w:rFonts w:hint="eastAsia" w:ascii="仿宋" w:hAnsi="仿宋" w:eastAsia="仿宋" w:cs="仿宋"/>
                <w:color w:val="auto"/>
                <w:sz w:val="24"/>
                <w:szCs w:val="24"/>
                <w:highlight w:val="none"/>
              </w:rPr>
            </w:pPr>
          </w:p>
        </w:tc>
        <w:tc>
          <w:tcPr>
            <w:tcW w:w="1170" w:type="dxa"/>
            <w:vAlign w:val="center"/>
          </w:tcPr>
          <w:p w14:paraId="25C3CBC5">
            <w:pPr>
              <w:jc w:val="center"/>
              <w:rPr>
                <w:rFonts w:hint="eastAsia" w:ascii="仿宋" w:hAnsi="仿宋" w:eastAsia="仿宋" w:cs="仿宋"/>
                <w:color w:val="auto"/>
                <w:sz w:val="24"/>
                <w:szCs w:val="24"/>
                <w:highlight w:val="none"/>
              </w:rPr>
            </w:pPr>
          </w:p>
        </w:tc>
        <w:tc>
          <w:tcPr>
            <w:tcW w:w="1172" w:type="dxa"/>
            <w:vAlign w:val="center"/>
          </w:tcPr>
          <w:p w14:paraId="43B38D58">
            <w:pPr>
              <w:jc w:val="center"/>
              <w:rPr>
                <w:rFonts w:hint="eastAsia" w:ascii="仿宋" w:hAnsi="仿宋" w:eastAsia="仿宋" w:cs="仿宋"/>
                <w:color w:val="auto"/>
                <w:sz w:val="24"/>
                <w:szCs w:val="24"/>
                <w:highlight w:val="none"/>
              </w:rPr>
            </w:pPr>
          </w:p>
        </w:tc>
        <w:tc>
          <w:tcPr>
            <w:tcW w:w="1144" w:type="dxa"/>
            <w:vAlign w:val="center"/>
          </w:tcPr>
          <w:p w14:paraId="49E58810">
            <w:pPr>
              <w:jc w:val="center"/>
              <w:rPr>
                <w:rFonts w:hint="eastAsia" w:ascii="仿宋" w:hAnsi="仿宋" w:eastAsia="仿宋" w:cs="仿宋"/>
                <w:color w:val="auto"/>
                <w:sz w:val="24"/>
                <w:szCs w:val="24"/>
                <w:highlight w:val="none"/>
              </w:rPr>
            </w:pPr>
          </w:p>
        </w:tc>
        <w:tc>
          <w:tcPr>
            <w:tcW w:w="1172" w:type="dxa"/>
            <w:vAlign w:val="center"/>
          </w:tcPr>
          <w:p w14:paraId="4BFE7ED0">
            <w:pPr>
              <w:jc w:val="center"/>
              <w:rPr>
                <w:rFonts w:hint="eastAsia" w:ascii="仿宋" w:hAnsi="仿宋" w:eastAsia="仿宋" w:cs="仿宋"/>
                <w:color w:val="auto"/>
                <w:sz w:val="24"/>
                <w:szCs w:val="24"/>
                <w:highlight w:val="none"/>
              </w:rPr>
            </w:pPr>
          </w:p>
        </w:tc>
        <w:tc>
          <w:tcPr>
            <w:tcW w:w="1172" w:type="dxa"/>
            <w:vAlign w:val="center"/>
          </w:tcPr>
          <w:p w14:paraId="6F5C977B">
            <w:pPr>
              <w:jc w:val="center"/>
              <w:rPr>
                <w:rFonts w:hint="eastAsia" w:ascii="仿宋" w:hAnsi="仿宋" w:eastAsia="仿宋" w:cs="仿宋"/>
                <w:color w:val="auto"/>
                <w:sz w:val="24"/>
                <w:szCs w:val="24"/>
                <w:highlight w:val="none"/>
              </w:rPr>
            </w:pPr>
          </w:p>
        </w:tc>
        <w:tc>
          <w:tcPr>
            <w:tcW w:w="1146" w:type="dxa"/>
            <w:vAlign w:val="center"/>
          </w:tcPr>
          <w:p w14:paraId="18057A9B">
            <w:pPr>
              <w:jc w:val="center"/>
              <w:rPr>
                <w:rFonts w:hint="eastAsia" w:ascii="仿宋" w:hAnsi="仿宋" w:eastAsia="仿宋" w:cs="仿宋"/>
                <w:color w:val="auto"/>
                <w:sz w:val="24"/>
                <w:szCs w:val="24"/>
                <w:highlight w:val="none"/>
              </w:rPr>
            </w:pPr>
          </w:p>
        </w:tc>
        <w:tc>
          <w:tcPr>
            <w:tcW w:w="1172" w:type="dxa"/>
            <w:vAlign w:val="center"/>
          </w:tcPr>
          <w:p w14:paraId="38537B33">
            <w:pPr>
              <w:jc w:val="center"/>
              <w:rPr>
                <w:rFonts w:hint="eastAsia" w:ascii="仿宋" w:hAnsi="仿宋" w:eastAsia="仿宋" w:cs="仿宋"/>
                <w:color w:val="auto"/>
                <w:sz w:val="24"/>
                <w:szCs w:val="24"/>
                <w:highlight w:val="none"/>
              </w:rPr>
            </w:pPr>
          </w:p>
        </w:tc>
        <w:tc>
          <w:tcPr>
            <w:tcW w:w="1138" w:type="dxa"/>
            <w:vAlign w:val="center"/>
          </w:tcPr>
          <w:p w14:paraId="668CB84D">
            <w:pPr>
              <w:jc w:val="center"/>
              <w:rPr>
                <w:rFonts w:hint="eastAsia" w:ascii="仿宋" w:hAnsi="仿宋" w:eastAsia="仿宋" w:cs="仿宋"/>
                <w:color w:val="auto"/>
                <w:sz w:val="24"/>
                <w:szCs w:val="24"/>
                <w:highlight w:val="none"/>
              </w:rPr>
            </w:pPr>
          </w:p>
        </w:tc>
      </w:tr>
      <w:tr w14:paraId="7CBA8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170" w:type="dxa"/>
            <w:vAlign w:val="center"/>
          </w:tcPr>
          <w:p w14:paraId="419F4779">
            <w:pPr>
              <w:jc w:val="center"/>
              <w:rPr>
                <w:rFonts w:hint="eastAsia" w:ascii="仿宋" w:hAnsi="仿宋" w:eastAsia="仿宋" w:cs="仿宋"/>
                <w:color w:val="auto"/>
                <w:sz w:val="24"/>
                <w:szCs w:val="24"/>
                <w:highlight w:val="none"/>
              </w:rPr>
            </w:pPr>
          </w:p>
        </w:tc>
        <w:tc>
          <w:tcPr>
            <w:tcW w:w="1170" w:type="dxa"/>
            <w:vAlign w:val="center"/>
          </w:tcPr>
          <w:p w14:paraId="4F8549B8">
            <w:pPr>
              <w:jc w:val="center"/>
              <w:rPr>
                <w:rFonts w:hint="eastAsia" w:ascii="仿宋" w:hAnsi="仿宋" w:eastAsia="仿宋" w:cs="仿宋"/>
                <w:color w:val="auto"/>
                <w:sz w:val="24"/>
                <w:szCs w:val="24"/>
                <w:highlight w:val="none"/>
              </w:rPr>
            </w:pPr>
          </w:p>
        </w:tc>
        <w:tc>
          <w:tcPr>
            <w:tcW w:w="1172" w:type="dxa"/>
            <w:vAlign w:val="center"/>
          </w:tcPr>
          <w:p w14:paraId="6B2452EF">
            <w:pPr>
              <w:jc w:val="center"/>
              <w:rPr>
                <w:rFonts w:hint="eastAsia" w:ascii="仿宋" w:hAnsi="仿宋" w:eastAsia="仿宋" w:cs="仿宋"/>
                <w:color w:val="auto"/>
                <w:sz w:val="24"/>
                <w:szCs w:val="24"/>
                <w:highlight w:val="none"/>
              </w:rPr>
            </w:pPr>
          </w:p>
        </w:tc>
        <w:tc>
          <w:tcPr>
            <w:tcW w:w="1144" w:type="dxa"/>
            <w:vAlign w:val="center"/>
          </w:tcPr>
          <w:p w14:paraId="20ADC356">
            <w:pPr>
              <w:jc w:val="center"/>
              <w:rPr>
                <w:rFonts w:hint="eastAsia" w:ascii="仿宋" w:hAnsi="仿宋" w:eastAsia="仿宋" w:cs="仿宋"/>
                <w:color w:val="auto"/>
                <w:sz w:val="24"/>
                <w:szCs w:val="24"/>
                <w:highlight w:val="none"/>
              </w:rPr>
            </w:pPr>
          </w:p>
        </w:tc>
        <w:tc>
          <w:tcPr>
            <w:tcW w:w="1172" w:type="dxa"/>
            <w:vAlign w:val="center"/>
          </w:tcPr>
          <w:p w14:paraId="1BA825B4">
            <w:pPr>
              <w:jc w:val="center"/>
              <w:rPr>
                <w:rFonts w:hint="eastAsia" w:ascii="仿宋" w:hAnsi="仿宋" w:eastAsia="仿宋" w:cs="仿宋"/>
                <w:color w:val="auto"/>
                <w:sz w:val="24"/>
                <w:szCs w:val="24"/>
                <w:highlight w:val="none"/>
              </w:rPr>
            </w:pPr>
          </w:p>
        </w:tc>
        <w:tc>
          <w:tcPr>
            <w:tcW w:w="1172" w:type="dxa"/>
            <w:vAlign w:val="center"/>
          </w:tcPr>
          <w:p w14:paraId="645ED0C1">
            <w:pPr>
              <w:jc w:val="center"/>
              <w:rPr>
                <w:rFonts w:hint="eastAsia" w:ascii="仿宋" w:hAnsi="仿宋" w:eastAsia="仿宋" w:cs="仿宋"/>
                <w:color w:val="auto"/>
                <w:sz w:val="24"/>
                <w:szCs w:val="24"/>
                <w:highlight w:val="none"/>
              </w:rPr>
            </w:pPr>
          </w:p>
        </w:tc>
        <w:tc>
          <w:tcPr>
            <w:tcW w:w="1146" w:type="dxa"/>
            <w:vAlign w:val="center"/>
          </w:tcPr>
          <w:p w14:paraId="47E66508">
            <w:pPr>
              <w:jc w:val="center"/>
              <w:rPr>
                <w:rFonts w:hint="eastAsia" w:ascii="仿宋" w:hAnsi="仿宋" w:eastAsia="仿宋" w:cs="仿宋"/>
                <w:color w:val="auto"/>
                <w:sz w:val="24"/>
                <w:szCs w:val="24"/>
                <w:highlight w:val="none"/>
              </w:rPr>
            </w:pPr>
          </w:p>
        </w:tc>
        <w:tc>
          <w:tcPr>
            <w:tcW w:w="1172" w:type="dxa"/>
            <w:vAlign w:val="center"/>
          </w:tcPr>
          <w:p w14:paraId="2990FAD8">
            <w:pPr>
              <w:jc w:val="center"/>
              <w:rPr>
                <w:rFonts w:hint="eastAsia" w:ascii="仿宋" w:hAnsi="仿宋" w:eastAsia="仿宋" w:cs="仿宋"/>
                <w:color w:val="auto"/>
                <w:sz w:val="24"/>
                <w:szCs w:val="24"/>
                <w:highlight w:val="none"/>
              </w:rPr>
            </w:pPr>
          </w:p>
        </w:tc>
        <w:tc>
          <w:tcPr>
            <w:tcW w:w="1138" w:type="dxa"/>
            <w:vAlign w:val="center"/>
          </w:tcPr>
          <w:p w14:paraId="17C066CF">
            <w:pPr>
              <w:jc w:val="center"/>
              <w:rPr>
                <w:rFonts w:hint="eastAsia" w:ascii="仿宋" w:hAnsi="仿宋" w:eastAsia="仿宋" w:cs="仿宋"/>
                <w:color w:val="auto"/>
                <w:sz w:val="24"/>
                <w:szCs w:val="24"/>
                <w:highlight w:val="none"/>
              </w:rPr>
            </w:pPr>
          </w:p>
        </w:tc>
      </w:tr>
      <w:tr w14:paraId="70A5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75069363">
            <w:pPr>
              <w:jc w:val="center"/>
              <w:rPr>
                <w:rFonts w:hint="eastAsia" w:ascii="仿宋" w:hAnsi="仿宋" w:eastAsia="仿宋" w:cs="仿宋"/>
                <w:color w:val="auto"/>
                <w:sz w:val="24"/>
                <w:szCs w:val="24"/>
                <w:highlight w:val="none"/>
              </w:rPr>
            </w:pPr>
          </w:p>
        </w:tc>
        <w:tc>
          <w:tcPr>
            <w:tcW w:w="1170" w:type="dxa"/>
            <w:vAlign w:val="center"/>
          </w:tcPr>
          <w:p w14:paraId="3FACC929">
            <w:pPr>
              <w:jc w:val="center"/>
              <w:rPr>
                <w:rFonts w:hint="eastAsia" w:ascii="仿宋" w:hAnsi="仿宋" w:eastAsia="仿宋" w:cs="仿宋"/>
                <w:color w:val="auto"/>
                <w:sz w:val="24"/>
                <w:szCs w:val="24"/>
                <w:highlight w:val="none"/>
              </w:rPr>
            </w:pPr>
          </w:p>
        </w:tc>
        <w:tc>
          <w:tcPr>
            <w:tcW w:w="1172" w:type="dxa"/>
            <w:vAlign w:val="center"/>
          </w:tcPr>
          <w:p w14:paraId="44F72460">
            <w:pPr>
              <w:jc w:val="center"/>
              <w:rPr>
                <w:rFonts w:hint="eastAsia" w:ascii="仿宋" w:hAnsi="仿宋" w:eastAsia="仿宋" w:cs="仿宋"/>
                <w:color w:val="auto"/>
                <w:sz w:val="24"/>
                <w:szCs w:val="24"/>
                <w:highlight w:val="none"/>
              </w:rPr>
            </w:pPr>
          </w:p>
        </w:tc>
        <w:tc>
          <w:tcPr>
            <w:tcW w:w="1144" w:type="dxa"/>
            <w:vAlign w:val="center"/>
          </w:tcPr>
          <w:p w14:paraId="78C5E60B">
            <w:pPr>
              <w:jc w:val="center"/>
              <w:rPr>
                <w:rFonts w:hint="eastAsia" w:ascii="仿宋" w:hAnsi="仿宋" w:eastAsia="仿宋" w:cs="仿宋"/>
                <w:color w:val="auto"/>
                <w:sz w:val="24"/>
                <w:szCs w:val="24"/>
                <w:highlight w:val="none"/>
              </w:rPr>
            </w:pPr>
          </w:p>
        </w:tc>
        <w:tc>
          <w:tcPr>
            <w:tcW w:w="1172" w:type="dxa"/>
            <w:vAlign w:val="center"/>
          </w:tcPr>
          <w:p w14:paraId="116AE6E6">
            <w:pPr>
              <w:jc w:val="center"/>
              <w:rPr>
                <w:rFonts w:hint="eastAsia" w:ascii="仿宋" w:hAnsi="仿宋" w:eastAsia="仿宋" w:cs="仿宋"/>
                <w:color w:val="auto"/>
                <w:sz w:val="24"/>
                <w:szCs w:val="24"/>
                <w:highlight w:val="none"/>
              </w:rPr>
            </w:pPr>
          </w:p>
        </w:tc>
        <w:tc>
          <w:tcPr>
            <w:tcW w:w="1172" w:type="dxa"/>
            <w:vAlign w:val="center"/>
          </w:tcPr>
          <w:p w14:paraId="780D9D60">
            <w:pPr>
              <w:jc w:val="center"/>
              <w:rPr>
                <w:rFonts w:hint="eastAsia" w:ascii="仿宋" w:hAnsi="仿宋" w:eastAsia="仿宋" w:cs="仿宋"/>
                <w:color w:val="auto"/>
                <w:sz w:val="24"/>
                <w:szCs w:val="24"/>
                <w:highlight w:val="none"/>
              </w:rPr>
            </w:pPr>
          </w:p>
        </w:tc>
        <w:tc>
          <w:tcPr>
            <w:tcW w:w="1146" w:type="dxa"/>
            <w:vAlign w:val="center"/>
          </w:tcPr>
          <w:p w14:paraId="3DF4FABD">
            <w:pPr>
              <w:jc w:val="center"/>
              <w:rPr>
                <w:rFonts w:hint="eastAsia" w:ascii="仿宋" w:hAnsi="仿宋" w:eastAsia="仿宋" w:cs="仿宋"/>
                <w:color w:val="auto"/>
                <w:sz w:val="24"/>
                <w:szCs w:val="24"/>
                <w:highlight w:val="none"/>
              </w:rPr>
            </w:pPr>
          </w:p>
        </w:tc>
        <w:tc>
          <w:tcPr>
            <w:tcW w:w="1172" w:type="dxa"/>
            <w:vAlign w:val="center"/>
          </w:tcPr>
          <w:p w14:paraId="40AAE4B6">
            <w:pPr>
              <w:jc w:val="center"/>
              <w:rPr>
                <w:rFonts w:hint="eastAsia" w:ascii="仿宋" w:hAnsi="仿宋" w:eastAsia="仿宋" w:cs="仿宋"/>
                <w:color w:val="auto"/>
                <w:sz w:val="24"/>
                <w:szCs w:val="24"/>
                <w:highlight w:val="none"/>
              </w:rPr>
            </w:pPr>
          </w:p>
        </w:tc>
        <w:tc>
          <w:tcPr>
            <w:tcW w:w="1138" w:type="dxa"/>
            <w:vAlign w:val="center"/>
          </w:tcPr>
          <w:p w14:paraId="7BFF1135">
            <w:pPr>
              <w:jc w:val="center"/>
              <w:rPr>
                <w:rFonts w:hint="eastAsia" w:ascii="仿宋" w:hAnsi="仿宋" w:eastAsia="仿宋" w:cs="仿宋"/>
                <w:color w:val="auto"/>
                <w:sz w:val="24"/>
                <w:szCs w:val="24"/>
                <w:highlight w:val="none"/>
              </w:rPr>
            </w:pPr>
          </w:p>
        </w:tc>
      </w:tr>
    </w:tbl>
    <w:p w14:paraId="6893455A">
      <w:pPr>
        <w:widowControl/>
        <w:jc w:val="left"/>
        <w:rPr>
          <w:rFonts w:hint="eastAsia" w:ascii="仿宋" w:hAnsi="仿宋" w:eastAsia="仿宋" w:cs="仿宋"/>
          <w:color w:val="auto"/>
          <w:highlight w:val="none"/>
        </w:rPr>
      </w:pPr>
    </w:p>
    <w:p w14:paraId="52839E32">
      <w:pPr>
        <w:spacing w:line="360" w:lineRule="auto"/>
        <w:ind w:firstLine="420" w:firstLineChars="200"/>
        <w:rPr>
          <w:rFonts w:hint="eastAsia" w:ascii="仿宋" w:hAnsi="仿宋" w:eastAsia="仿宋" w:cs="仿宋"/>
          <w:color w:val="auto"/>
          <w:sz w:val="21"/>
          <w:szCs w:val="21"/>
          <w:highlight w:val="none"/>
          <w:shd w:val="clear" w:color="auto" w:fill="FFFFFF" w:themeFill="background1"/>
          <w:lang w:eastAsia="zh-CN"/>
        </w:rPr>
      </w:pPr>
      <w:r>
        <w:rPr>
          <w:rFonts w:hint="eastAsia" w:ascii="仿宋" w:hAnsi="仿宋" w:eastAsia="仿宋" w:cs="仿宋"/>
          <w:color w:val="auto"/>
          <w:sz w:val="21"/>
          <w:szCs w:val="21"/>
          <w:highlight w:val="none"/>
          <w:shd w:val="clear" w:color="auto" w:fill="FFFFFF" w:themeFill="background1"/>
        </w:rPr>
        <w:t>注：拟派主要</w:t>
      </w:r>
      <w:r>
        <w:rPr>
          <w:rFonts w:hint="eastAsia" w:ascii="仿宋" w:hAnsi="仿宋" w:eastAsia="仿宋" w:cs="仿宋"/>
          <w:color w:val="auto"/>
          <w:sz w:val="21"/>
          <w:szCs w:val="21"/>
          <w:highlight w:val="none"/>
          <w:shd w:val="clear" w:color="auto" w:fill="FFFFFF" w:themeFill="background1"/>
          <w:lang w:val="en-US" w:eastAsia="zh-CN"/>
        </w:rPr>
        <w:t>服务</w:t>
      </w:r>
      <w:r>
        <w:rPr>
          <w:rFonts w:hint="eastAsia" w:ascii="仿宋" w:hAnsi="仿宋" w:eastAsia="仿宋" w:cs="仿宋"/>
          <w:color w:val="auto"/>
          <w:sz w:val="21"/>
          <w:szCs w:val="21"/>
          <w:highlight w:val="none"/>
          <w:shd w:val="clear" w:color="auto" w:fill="FFFFFF" w:themeFill="background1"/>
        </w:rPr>
        <w:t>人员由</w:t>
      </w:r>
      <w:r>
        <w:rPr>
          <w:rFonts w:hint="eastAsia" w:ascii="仿宋" w:hAnsi="仿宋" w:eastAsia="仿宋" w:cs="仿宋"/>
          <w:color w:val="auto"/>
          <w:sz w:val="21"/>
          <w:szCs w:val="21"/>
          <w:highlight w:val="none"/>
          <w:shd w:val="clear" w:color="auto" w:fill="FFFFFF" w:themeFill="background1"/>
          <w:lang w:val="en-US" w:eastAsia="zh-CN"/>
        </w:rPr>
        <w:t>供应商</w:t>
      </w:r>
      <w:r>
        <w:rPr>
          <w:rFonts w:hint="eastAsia" w:ascii="仿宋" w:hAnsi="仿宋" w:eastAsia="仿宋" w:cs="仿宋"/>
          <w:color w:val="auto"/>
          <w:sz w:val="21"/>
          <w:szCs w:val="21"/>
          <w:highlight w:val="none"/>
          <w:shd w:val="clear" w:color="auto" w:fill="FFFFFF" w:themeFill="background1"/>
        </w:rPr>
        <w:t>自行确定，但应能够满足本项目的基本需求；</w:t>
      </w:r>
      <w:r>
        <w:rPr>
          <w:rFonts w:hint="eastAsia" w:ascii="仿宋" w:hAnsi="仿宋" w:eastAsia="仿宋" w:cs="仿宋"/>
          <w:color w:val="auto"/>
          <w:sz w:val="21"/>
          <w:szCs w:val="21"/>
          <w:highlight w:val="none"/>
          <w:shd w:val="clear" w:color="auto" w:fill="FFFFFF" w:themeFill="background1"/>
          <w:lang w:val="en-US" w:eastAsia="zh-CN"/>
        </w:rPr>
        <w:t>后</w:t>
      </w:r>
      <w:r>
        <w:rPr>
          <w:rFonts w:hint="eastAsia" w:ascii="仿宋" w:hAnsi="仿宋" w:eastAsia="仿宋" w:cs="仿宋"/>
          <w:color w:val="auto"/>
          <w:sz w:val="21"/>
          <w:szCs w:val="21"/>
          <w:highlight w:val="none"/>
          <w:shd w:val="clear" w:color="auto" w:fill="FFFFFF" w:themeFill="background1"/>
        </w:rPr>
        <w:t>附身份证等其他相关材料</w:t>
      </w:r>
      <w:r>
        <w:rPr>
          <w:rFonts w:hint="eastAsia" w:ascii="仿宋" w:hAnsi="仿宋" w:eastAsia="仿宋" w:cs="仿宋"/>
          <w:color w:val="auto"/>
          <w:sz w:val="21"/>
          <w:szCs w:val="21"/>
          <w:highlight w:val="none"/>
          <w:shd w:val="clear" w:color="auto" w:fill="FFFFFF" w:themeFill="background1"/>
          <w:lang w:eastAsia="zh-CN"/>
        </w:rPr>
        <w:t>。</w:t>
      </w:r>
    </w:p>
    <w:p w14:paraId="4DFF263D">
      <w:pPr>
        <w:spacing w:line="360" w:lineRule="auto"/>
        <w:ind w:firstLine="482" w:firstLineChars="200"/>
        <w:rPr>
          <w:rFonts w:hint="eastAsia"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br w:type="page"/>
      </w:r>
    </w:p>
    <w:bookmarkEnd w:id="187"/>
    <w:bookmarkEnd w:id="190"/>
    <w:bookmarkEnd w:id="191"/>
    <w:p w14:paraId="43012606">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192" w:name="_Toc38446482"/>
      <w:bookmarkStart w:id="193" w:name="_Toc19354"/>
      <w:bookmarkStart w:id="194" w:name="_Toc533503193"/>
      <w:bookmarkStart w:id="195" w:name="_Toc507586177"/>
      <w:r>
        <w:rPr>
          <w:rFonts w:hint="eastAsia" w:ascii="仿宋" w:hAnsi="仿宋" w:eastAsia="仿宋" w:cs="仿宋"/>
          <w:color w:val="auto"/>
          <w:sz w:val="24"/>
          <w:szCs w:val="24"/>
          <w:highlight w:val="none"/>
          <w:shd w:val="clear" w:color="auto" w:fill="FFFFFF" w:themeFill="background1"/>
          <w:lang w:val="en-US" w:eastAsia="zh-CN"/>
        </w:rPr>
        <w:t>十二、服务方案</w:t>
      </w:r>
      <w:bookmarkEnd w:id="192"/>
      <w:bookmarkEnd w:id="193"/>
      <w:bookmarkEnd w:id="194"/>
      <w:bookmarkEnd w:id="195"/>
    </w:p>
    <w:p w14:paraId="0C4C81D0">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23A16DCB">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lang w:val="en-US" w:eastAsia="zh-CN"/>
        </w:rPr>
        <w:t>供应商</w:t>
      </w:r>
      <w:r>
        <w:rPr>
          <w:rFonts w:hint="eastAsia" w:ascii="仿宋" w:hAnsi="仿宋" w:eastAsia="仿宋" w:cs="仿宋"/>
          <w:bCs/>
          <w:color w:val="auto"/>
          <w:sz w:val="24"/>
          <w:szCs w:val="24"/>
          <w:highlight w:val="none"/>
          <w:shd w:val="clear" w:color="auto" w:fill="FFFFFF" w:themeFill="background1"/>
        </w:rPr>
        <w:t>须提交拟完成本项目的服务方案，服务方案的格式和内容由</w:t>
      </w:r>
      <w:r>
        <w:rPr>
          <w:rFonts w:hint="eastAsia" w:ascii="仿宋" w:hAnsi="仿宋" w:eastAsia="仿宋" w:cs="仿宋"/>
          <w:bCs/>
          <w:color w:val="auto"/>
          <w:sz w:val="24"/>
          <w:szCs w:val="24"/>
          <w:highlight w:val="none"/>
          <w:shd w:val="clear" w:color="auto" w:fill="FFFFFF" w:themeFill="background1"/>
          <w:lang w:val="en-US" w:eastAsia="zh-CN"/>
        </w:rPr>
        <w:t>供应商</w:t>
      </w:r>
      <w:r>
        <w:rPr>
          <w:rFonts w:hint="eastAsia" w:ascii="仿宋" w:hAnsi="仿宋" w:eastAsia="仿宋" w:cs="仿宋"/>
          <w:bCs/>
          <w:color w:val="auto"/>
          <w:sz w:val="24"/>
          <w:szCs w:val="24"/>
          <w:highlight w:val="none"/>
          <w:shd w:val="clear" w:color="auto" w:fill="FFFFFF" w:themeFill="background1"/>
        </w:rPr>
        <w:t>根据本项目的具体情况自行拟定。</w:t>
      </w:r>
    </w:p>
    <w:p w14:paraId="1A447725">
      <w:pPr>
        <w:rPr>
          <w:rFonts w:hint="eastAsia" w:ascii="仿宋" w:hAnsi="仿宋" w:eastAsia="仿宋" w:cs="仿宋"/>
          <w:b/>
          <w:color w:val="auto"/>
          <w:sz w:val="24"/>
          <w:szCs w:val="24"/>
          <w:highlight w:val="none"/>
          <w:shd w:val="clear" w:color="auto" w:fill="FFFFFF" w:themeFill="background1"/>
        </w:rPr>
      </w:pPr>
      <w:bookmarkStart w:id="196" w:name="_Toc533503194"/>
      <w:bookmarkStart w:id="197" w:name="_Toc38446484"/>
      <w:bookmarkStart w:id="198" w:name="_Toc507586178"/>
    </w:p>
    <w:p w14:paraId="77C65BEB">
      <w:pP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bookmarkEnd w:id="196"/>
    <w:bookmarkEnd w:id="197"/>
    <w:bookmarkEnd w:id="198"/>
    <w:p w14:paraId="6E063EDE">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199" w:name="_Toc12468"/>
      <w:bookmarkStart w:id="200" w:name="_Toc19661"/>
      <w:bookmarkStart w:id="201" w:name="_Toc77455658"/>
      <w:bookmarkStart w:id="202" w:name="_Toc60925660"/>
      <w:r>
        <w:rPr>
          <w:rFonts w:hint="eastAsia" w:ascii="仿宋" w:hAnsi="仿宋" w:eastAsia="仿宋" w:cs="仿宋"/>
          <w:color w:val="auto"/>
          <w:sz w:val="24"/>
          <w:szCs w:val="24"/>
          <w:highlight w:val="none"/>
          <w:shd w:val="clear" w:color="auto" w:fill="FFFFFF" w:themeFill="background1"/>
          <w:lang w:val="en-US" w:eastAsia="zh-CN"/>
        </w:rPr>
        <w:t>十三、保证金缴纳证明材料</w:t>
      </w:r>
      <w:bookmarkEnd w:id="199"/>
      <w:bookmarkEnd w:id="200"/>
    </w:p>
    <w:p w14:paraId="7436713F">
      <w:pPr>
        <w:spacing w:line="360" w:lineRule="auto"/>
        <w:ind w:firstLine="480" w:firstLineChars="200"/>
        <w:rPr>
          <w:rFonts w:hint="eastAsia" w:ascii="仿宋" w:hAnsi="仿宋" w:eastAsia="仿宋" w:cs="仿宋"/>
          <w:color w:val="auto"/>
          <w:sz w:val="24"/>
          <w:szCs w:val="24"/>
          <w:highlight w:val="none"/>
        </w:rPr>
      </w:pPr>
    </w:p>
    <w:p w14:paraId="0C9AF771">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34DD5FCB">
      <w:pPr>
        <w:spacing w:line="360" w:lineRule="auto"/>
        <w:ind w:firstLine="480" w:firstLineChars="200"/>
        <w:rPr>
          <w:rFonts w:hint="eastAsia" w:ascii="仿宋" w:hAnsi="仿宋" w:eastAsia="仿宋" w:cs="仿宋"/>
          <w:color w:val="auto"/>
          <w:sz w:val="24"/>
          <w:szCs w:val="24"/>
          <w:highlight w:val="none"/>
        </w:rPr>
      </w:pPr>
    </w:p>
    <w:p w14:paraId="42D04846">
      <w:pPr>
        <w:spacing w:line="360" w:lineRule="auto"/>
        <w:ind w:firstLine="480" w:firstLineChars="200"/>
        <w:rPr>
          <w:rFonts w:hint="eastAsia" w:ascii="仿宋" w:hAnsi="仿宋" w:eastAsia="仿宋" w:cs="仿宋"/>
          <w:color w:val="auto"/>
          <w:sz w:val="24"/>
          <w:szCs w:val="24"/>
          <w:highlight w:val="none"/>
        </w:rPr>
      </w:pPr>
    </w:p>
    <w:p w14:paraId="510D2977">
      <w:pPr>
        <w:spacing w:line="360" w:lineRule="auto"/>
        <w:ind w:firstLine="480" w:firstLineChars="200"/>
        <w:rPr>
          <w:rFonts w:hint="eastAsia" w:ascii="仿宋" w:hAnsi="仿宋" w:eastAsia="仿宋" w:cs="仿宋"/>
          <w:color w:val="auto"/>
          <w:sz w:val="24"/>
          <w:szCs w:val="24"/>
          <w:highlight w:val="none"/>
        </w:rPr>
      </w:pPr>
    </w:p>
    <w:p w14:paraId="387049A4">
      <w:pPr>
        <w:spacing w:line="360" w:lineRule="auto"/>
        <w:ind w:firstLine="480" w:firstLineChars="200"/>
        <w:rPr>
          <w:rFonts w:hint="eastAsia" w:ascii="仿宋" w:hAnsi="仿宋" w:eastAsia="仿宋" w:cs="仿宋"/>
          <w:color w:val="auto"/>
          <w:sz w:val="24"/>
          <w:szCs w:val="24"/>
          <w:highlight w:val="none"/>
        </w:rPr>
      </w:pPr>
    </w:p>
    <w:p w14:paraId="4F5A64C4">
      <w:pPr>
        <w:rPr>
          <w:rFonts w:hint="eastAsia" w:ascii="仿宋" w:hAnsi="仿宋" w:eastAsia="仿宋" w:cs="仿宋"/>
          <w:b/>
          <w:color w:val="auto"/>
          <w:sz w:val="24"/>
          <w:szCs w:val="24"/>
          <w:highlight w:val="none"/>
        </w:rPr>
      </w:pPr>
      <w:bookmarkStart w:id="203" w:name="_Toc110707975"/>
      <w:bookmarkStart w:id="204" w:name="_Toc109921168"/>
      <w:bookmarkStart w:id="205" w:name="_Toc24108"/>
      <w:bookmarkStart w:id="206" w:name="_Toc130252630"/>
      <w:bookmarkStart w:id="207" w:name="_Toc14156"/>
      <w:bookmarkStart w:id="208" w:name="_Toc109941775"/>
      <w:r>
        <w:rPr>
          <w:rFonts w:hint="eastAsia" w:ascii="仿宋" w:hAnsi="仿宋" w:eastAsia="仿宋" w:cs="仿宋"/>
          <w:b/>
          <w:color w:val="auto"/>
          <w:sz w:val="24"/>
          <w:szCs w:val="24"/>
          <w:highlight w:val="none"/>
        </w:rPr>
        <w:br w:type="page"/>
      </w:r>
    </w:p>
    <w:p w14:paraId="62B4EBB1">
      <w:pPr>
        <w:spacing w:line="360" w:lineRule="auto"/>
        <w:jc w:val="center"/>
        <w:outlineLvl w:val="1"/>
        <w:rPr>
          <w:rFonts w:hint="eastAsia" w:ascii="仿宋" w:hAnsi="仿宋" w:eastAsia="仿宋" w:cs="仿宋"/>
          <w:color w:val="auto"/>
          <w:sz w:val="24"/>
          <w:szCs w:val="24"/>
          <w:highlight w:val="none"/>
          <w:shd w:val="clear" w:color="auto" w:fill="FFFFFF" w:themeFill="background1"/>
          <w:lang w:val="en-US" w:eastAsia="zh-CN"/>
        </w:rPr>
      </w:pPr>
      <w:bookmarkStart w:id="209" w:name="_Toc17171"/>
      <w:bookmarkStart w:id="210" w:name="_Toc29087"/>
      <w:r>
        <w:rPr>
          <w:rFonts w:hint="eastAsia" w:ascii="仿宋" w:hAnsi="仿宋" w:eastAsia="仿宋" w:cs="仿宋"/>
          <w:color w:val="auto"/>
          <w:sz w:val="24"/>
          <w:szCs w:val="24"/>
          <w:highlight w:val="none"/>
          <w:shd w:val="clear" w:color="auto" w:fill="FFFFFF" w:themeFill="background1"/>
          <w:lang w:val="en-US" w:eastAsia="zh-CN"/>
        </w:rPr>
        <w:t>十四、其他需要提交的资料</w:t>
      </w:r>
      <w:bookmarkEnd w:id="203"/>
      <w:bookmarkEnd w:id="204"/>
      <w:bookmarkEnd w:id="205"/>
      <w:bookmarkEnd w:id="206"/>
      <w:bookmarkEnd w:id="207"/>
      <w:bookmarkEnd w:id="208"/>
      <w:bookmarkEnd w:id="209"/>
      <w:bookmarkEnd w:id="210"/>
    </w:p>
    <w:p w14:paraId="1EFD0F99">
      <w:pPr>
        <w:spacing w:line="360" w:lineRule="auto"/>
        <w:ind w:firstLine="480" w:firstLineChars="200"/>
        <w:rPr>
          <w:rFonts w:hint="eastAsia" w:ascii="仿宋" w:hAnsi="仿宋" w:eastAsia="仿宋" w:cs="仿宋"/>
          <w:color w:val="auto"/>
          <w:sz w:val="24"/>
          <w:szCs w:val="24"/>
          <w:highlight w:val="none"/>
        </w:rPr>
      </w:pPr>
    </w:p>
    <w:p w14:paraId="419941D8">
      <w:pPr>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eastAsia="zh-CN"/>
        </w:rPr>
        <w:t>采购文件</w:t>
      </w:r>
      <w:r>
        <w:rPr>
          <w:rFonts w:hint="eastAsia" w:ascii="仿宋" w:hAnsi="仿宋" w:eastAsia="仿宋" w:cs="仿宋"/>
          <w:color w:val="auto"/>
          <w:sz w:val="24"/>
          <w:szCs w:val="24"/>
          <w:highlight w:val="none"/>
        </w:rPr>
        <w:t>的要求和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认为需要提供的资料</w:t>
      </w:r>
      <w:r>
        <w:rPr>
          <w:rFonts w:hint="eastAsia" w:ascii="仿宋" w:hAnsi="仿宋" w:eastAsia="仿宋" w:cs="仿宋"/>
          <w:color w:val="auto"/>
          <w:sz w:val="24"/>
          <w:szCs w:val="24"/>
          <w:highlight w:val="none"/>
          <w:lang w:val="en-US" w:eastAsia="zh-CN"/>
        </w:rPr>
        <w:t>。</w:t>
      </w:r>
    </w:p>
    <w:p w14:paraId="2A045D50">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0C8EC4C6">
      <w:pPr>
        <w:spacing w:line="360" w:lineRule="auto"/>
        <w:jc w:val="center"/>
        <w:outlineLvl w:val="0"/>
        <w:rPr>
          <w:rFonts w:hint="eastAsia" w:ascii="仿宋" w:hAnsi="仿宋" w:eastAsia="仿宋" w:cs="仿宋"/>
          <w:b w:val="0"/>
          <w:bCs/>
          <w:color w:val="auto"/>
          <w:sz w:val="36"/>
          <w:szCs w:val="36"/>
          <w:highlight w:val="none"/>
          <w:shd w:val="clear" w:color="auto" w:fill="FFFFFF" w:themeFill="background1"/>
          <w:lang w:val="en-US" w:eastAsia="zh-CN"/>
        </w:rPr>
      </w:pPr>
      <w:bookmarkStart w:id="211" w:name="_Toc30673"/>
      <w:r>
        <w:rPr>
          <w:rFonts w:hint="eastAsia" w:ascii="仿宋" w:hAnsi="仿宋" w:eastAsia="仿宋" w:cs="仿宋"/>
          <w:b w:val="0"/>
          <w:bCs/>
          <w:color w:val="auto"/>
          <w:sz w:val="36"/>
          <w:szCs w:val="36"/>
          <w:highlight w:val="none"/>
          <w:shd w:val="clear" w:color="auto" w:fill="FFFFFF" w:themeFill="background1"/>
          <w:lang w:val="en-US" w:eastAsia="zh-CN"/>
        </w:rPr>
        <w:t>第六章 补充条款</w:t>
      </w:r>
      <w:bookmarkEnd w:id="201"/>
      <w:bookmarkEnd w:id="202"/>
      <w:bookmarkEnd w:id="211"/>
    </w:p>
    <w:p w14:paraId="54CBE0F5">
      <w:pPr>
        <w:spacing w:line="360" w:lineRule="auto"/>
        <w:outlineLvl w:val="1"/>
        <w:rPr>
          <w:rFonts w:hint="eastAsia" w:ascii="仿宋" w:hAnsi="仿宋" w:eastAsia="仿宋" w:cs="仿宋"/>
          <w:color w:val="auto"/>
          <w:spacing w:val="6"/>
          <w:sz w:val="24"/>
          <w:szCs w:val="24"/>
          <w:highlight w:val="none"/>
        </w:rPr>
      </w:pPr>
      <w:bookmarkStart w:id="212" w:name="_Toc5592"/>
      <w:bookmarkStart w:id="213" w:name="_Toc17236"/>
      <w:bookmarkStart w:id="214" w:name="_Toc15921"/>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1</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中小企业扶持政策</w:t>
      </w:r>
      <w:bookmarkEnd w:id="212"/>
      <w:bookmarkEnd w:id="213"/>
      <w:bookmarkEnd w:id="214"/>
    </w:p>
    <w:p w14:paraId="66E3D5D5">
      <w:pPr>
        <w:spacing w:line="360" w:lineRule="auto"/>
        <w:jc w:val="center"/>
        <w:rPr>
          <w:rFonts w:hint="eastAsia" w:ascii="仿宋" w:hAnsi="仿宋" w:eastAsia="仿宋" w:cs="仿宋"/>
          <w:color w:val="auto"/>
          <w:spacing w:val="6"/>
          <w:sz w:val="24"/>
          <w:szCs w:val="24"/>
          <w:highlight w:val="none"/>
        </w:rPr>
      </w:pPr>
    </w:p>
    <w:p w14:paraId="148010D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3C705406">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4276095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3FDDC89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8BDD1D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06950004">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4455EC35">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58521107">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179CA05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eastAsia="zh-CN"/>
        </w:rPr>
        <w:t>二〇一一</w:t>
      </w:r>
      <w:r>
        <w:rPr>
          <w:rFonts w:hint="eastAsia" w:ascii="仿宋" w:hAnsi="仿宋" w:eastAsia="仿宋" w:cs="仿宋"/>
          <w:color w:val="auto"/>
          <w:spacing w:val="6"/>
          <w:sz w:val="24"/>
          <w:szCs w:val="24"/>
          <w:highlight w:val="none"/>
        </w:rPr>
        <w:t>年六月十八日</w:t>
      </w:r>
    </w:p>
    <w:p w14:paraId="1DDD656E">
      <w:pPr>
        <w:spacing w:line="360" w:lineRule="auto"/>
        <w:ind w:firstLine="504" w:firstLineChars="200"/>
        <w:rPr>
          <w:rFonts w:hint="eastAsia" w:ascii="仿宋" w:hAnsi="仿宋" w:eastAsia="仿宋" w:cs="仿宋"/>
          <w:color w:val="auto"/>
          <w:spacing w:val="6"/>
          <w:sz w:val="24"/>
          <w:szCs w:val="24"/>
          <w:highlight w:val="none"/>
        </w:rPr>
      </w:pPr>
    </w:p>
    <w:p w14:paraId="1EB147B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6C5BC20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国发〔2009〕36号</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，制定本规定。</w:t>
      </w:r>
    </w:p>
    <w:p w14:paraId="7BB756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14E0EDC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4293C1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3906DA6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067E32B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274D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E0135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5BCCF6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F18D97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4881E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9A4D28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D37CA2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270FC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A3AC33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686EC0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C0CB22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707456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164B0F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A445B7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03D57AC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6630774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208720C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DE3234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35DAB4B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1604C05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05F1EB11">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1DAF3BFD">
      <w:pPr>
        <w:spacing w:line="360" w:lineRule="auto"/>
        <w:outlineLvl w:val="1"/>
        <w:rPr>
          <w:rFonts w:hint="eastAsia" w:ascii="仿宋" w:hAnsi="仿宋" w:eastAsia="仿宋" w:cs="仿宋"/>
          <w:color w:val="auto"/>
          <w:spacing w:val="6"/>
          <w:sz w:val="24"/>
          <w:szCs w:val="24"/>
          <w:highlight w:val="none"/>
          <w:lang w:val="en-US" w:eastAsia="zh-CN"/>
        </w:rPr>
      </w:pPr>
      <w:bookmarkStart w:id="215" w:name="_Toc372"/>
      <w:bookmarkStart w:id="216" w:name="_Toc21062"/>
      <w:bookmarkStart w:id="217" w:name="_Toc20667"/>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2</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残疾人企业扶持政策</w:t>
      </w:r>
      <w:bookmarkEnd w:id="215"/>
      <w:bookmarkEnd w:id="216"/>
      <w:bookmarkEnd w:id="217"/>
    </w:p>
    <w:p w14:paraId="691F0BAB">
      <w:pPr>
        <w:spacing w:line="360" w:lineRule="auto"/>
        <w:jc w:val="center"/>
        <w:rPr>
          <w:rFonts w:hint="eastAsia" w:ascii="仿宋" w:hAnsi="仿宋" w:eastAsia="仿宋" w:cs="仿宋"/>
          <w:color w:val="auto"/>
          <w:spacing w:val="6"/>
          <w:sz w:val="24"/>
          <w:szCs w:val="24"/>
          <w:highlight w:val="none"/>
        </w:rPr>
      </w:pPr>
    </w:p>
    <w:p w14:paraId="462725D7">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0ABF691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42AD0D7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w:t>
      </w:r>
      <w:r>
        <w:rPr>
          <w:rFonts w:hint="eastAsia" w:ascii="仿宋" w:hAnsi="仿宋" w:eastAsia="仿宋" w:cs="仿宋"/>
          <w:color w:val="auto"/>
          <w:spacing w:val="6"/>
          <w:sz w:val="24"/>
          <w:szCs w:val="24"/>
          <w:highlight w:val="none"/>
          <w:lang w:eastAsia="zh-CN"/>
        </w:rPr>
        <w:t>《中华人民共和国政府采购法》《</w:t>
      </w:r>
      <w:r>
        <w:rPr>
          <w:rFonts w:hint="eastAsia" w:ascii="仿宋" w:hAnsi="仿宋" w:eastAsia="仿宋" w:cs="仿宋"/>
          <w:color w:val="auto"/>
          <w:spacing w:val="6"/>
          <w:sz w:val="24"/>
          <w:szCs w:val="24"/>
          <w:highlight w:val="none"/>
        </w:rPr>
        <w:t>残疾人保障法》等法律法规及相关规定，现就促进残疾人就业政府采购政策通知如下：</w:t>
      </w:r>
    </w:p>
    <w:p w14:paraId="6730DFA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646BCB6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2CE4ADB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54B5842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0956FB6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4F878A2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2D96946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9E2E69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0682F3D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w:t>
      </w:r>
      <w:r>
        <w:rPr>
          <w:rFonts w:hint="eastAsia" w:ascii="仿宋" w:hAnsi="仿宋" w:eastAsia="仿宋" w:cs="仿宋"/>
          <w:color w:val="auto"/>
          <w:spacing w:val="6"/>
          <w:sz w:val="24"/>
          <w:szCs w:val="24"/>
          <w:highlight w:val="none"/>
          <w:lang w:eastAsia="zh-CN"/>
        </w:rPr>
        <w:t>供应商</w:t>
      </w:r>
      <w:r>
        <w:rPr>
          <w:rFonts w:hint="eastAsia" w:ascii="仿宋" w:hAnsi="仿宋" w:eastAsia="仿宋" w:cs="仿宋"/>
          <w:color w:val="auto"/>
          <w:spacing w:val="6"/>
          <w:sz w:val="24"/>
          <w:szCs w:val="24"/>
          <w:highlight w:val="none"/>
        </w:rPr>
        <w:t>为残疾人福利性单位的，采购人或者其委托的采购代理机构应当随中标、成交结果同时公告其《残疾人福利性单位声明函》，接受社会监督。</w:t>
      </w:r>
    </w:p>
    <w:p w14:paraId="2F04741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eastAsia="zh-CN"/>
        </w:rPr>
        <w:t>供应商</w:t>
      </w:r>
      <w:r>
        <w:rPr>
          <w:rFonts w:hint="eastAsia" w:ascii="仿宋" w:hAnsi="仿宋" w:eastAsia="仿宋" w:cs="仿宋"/>
          <w:color w:val="auto"/>
          <w:spacing w:val="6"/>
          <w:sz w:val="24"/>
          <w:szCs w:val="24"/>
          <w:highlight w:val="none"/>
        </w:rPr>
        <w:t>提供的《残疾人福利性单位声明函》与事实不符的，依照</w:t>
      </w:r>
      <w:r>
        <w:rPr>
          <w:rFonts w:hint="eastAsia" w:ascii="仿宋" w:hAnsi="仿宋" w:eastAsia="仿宋" w:cs="仿宋"/>
          <w:color w:val="auto"/>
          <w:spacing w:val="6"/>
          <w:sz w:val="24"/>
          <w:szCs w:val="24"/>
          <w:highlight w:val="none"/>
          <w:lang w:eastAsia="zh-CN"/>
        </w:rPr>
        <w:t>《中华人民共和国政府采购法》</w:t>
      </w:r>
      <w:r>
        <w:rPr>
          <w:rFonts w:hint="eastAsia" w:ascii="仿宋" w:hAnsi="仿宋" w:eastAsia="仿宋" w:cs="仿宋"/>
          <w:color w:val="auto"/>
          <w:spacing w:val="6"/>
          <w:sz w:val="24"/>
          <w:szCs w:val="24"/>
          <w:highlight w:val="none"/>
        </w:rPr>
        <w:t>第七十七条第一款的规定追究法律责任。</w:t>
      </w:r>
    </w:p>
    <w:p w14:paraId="65F96FD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528782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716A064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63F1123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0C497C0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34A2E7AB">
      <w:pPr>
        <w:pStyle w:val="9"/>
        <w:rPr>
          <w:rFonts w:hint="eastAsia" w:ascii="仿宋" w:hAnsi="仿宋" w:eastAsia="仿宋" w:cs="仿宋"/>
          <w:color w:val="auto"/>
          <w:highlight w:val="none"/>
        </w:rPr>
      </w:pPr>
    </w:p>
    <w:p w14:paraId="06B46E2D">
      <w:pPr>
        <w:spacing w:line="360" w:lineRule="auto"/>
        <w:jc w:val="center"/>
        <w:rPr>
          <w:rFonts w:hint="eastAsia" w:ascii="仿宋" w:hAnsi="仿宋" w:eastAsia="仿宋" w:cs="仿宋"/>
          <w:color w:val="auto"/>
          <w:spacing w:val="6"/>
          <w:sz w:val="24"/>
          <w:szCs w:val="24"/>
          <w:highlight w:val="none"/>
        </w:rPr>
      </w:pPr>
    </w:p>
    <w:p w14:paraId="387AC15B">
      <w:pPr>
        <w:spacing w:line="360" w:lineRule="auto"/>
        <w:jc w:val="center"/>
        <w:rPr>
          <w:rFonts w:hint="eastAsia" w:ascii="仿宋" w:hAnsi="仿宋" w:eastAsia="仿宋" w:cs="仿宋"/>
          <w:color w:val="auto"/>
          <w:spacing w:val="6"/>
          <w:sz w:val="24"/>
          <w:szCs w:val="24"/>
          <w:highlight w:val="none"/>
        </w:rPr>
      </w:pPr>
    </w:p>
    <w:p w14:paraId="58C0FA81">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2017年8月22日</w:t>
      </w:r>
    </w:p>
    <w:p w14:paraId="7275990B">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04AC875F">
      <w:pPr>
        <w:spacing w:line="360" w:lineRule="auto"/>
        <w:outlineLvl w:val="1"/>
        <w:rPr>
          <w:rFonts w:hint="eastAsia" w:ascii="仿宋" w:hAnsi="仿宋" w:eastAsia="仿宋" w:cs="仿宋"/>
          <w:color w:val="auto"/>
          <w:spacing w:val="6"/>
          <w:sz w:val="24"/>
          <w:szCs w:val="24"/>
          <w:highlight w:val="none"/>
        </w:rPr>
      </w:pPr>
      <w:bookmarkStart w:id="218" w:name="_Toc11453"/>
      <w:bookmarkStart w:id="219" w:name="_Toc1259"/>
      <w:bookmarkStart w:id="220" w:name="_Toc244"/>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3</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监狱扶持政策</w:t>
      </w:r>
      <w:bookmarkEnd w:id="218"/>
      <w:bookmarkEnd w:id="219"/>
      <w:bookmarkEnd w:id="220"/>
    </w:p>
    <w:p w14:paraId="57B5C2F9">
      <w:pPr>
        <w:spacing w:line="360" w:lineRule="auto"/>
        <w:jc w:val="center"/>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财政部 司法部关于政府采购支持</w:t>
      </w:r>
    </w:p>
    <w:p w14:paraId="16997E4C">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监狱企业发展有关问题的通知</w:t>
      </w:r>
    </w:p>
    <w:p w14:paraId="10CFA68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3390E7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w:t>
      </w:r>
      <w:r>
        <w:rPr>
          <w:rFonts w:hint="eastAsia" w:ascii="仿宋" w:hAnsi="仿宋" w:eastAsia="仿宋" w:cs="仿宋"/>
          <w:color w:val="auto"/>
          <w:spacing w:val="6"/>
          <w:sz w:val="24"/>
          <w:szCs w:val="24"/>
          <w:highlight w:val="none"/>
          <w:lang w:eastAsia="zh-CN"/>
        </w:rPr>
        <w:t>〔2003〕7号</w:t>
      </w:r>
      <w:r>
        <w:rPr>
          <w:rFonts w:hint="eastAsia" w:ascii="仿宋" w:hAnsi="仿宋" w:eastAsia="仿宋" w:cs="仿宋"/>
          <w:color w:val="auto"/>
          <w:spacing w:val="6"/>
          <w:sz w:val="24"/>
          <w:szCs w:val="24"/>
          <w:highlight w:val="none"/>
        </w:rPr>
        <w:t>）文件精神，发挥政府采购支持监狱企业发展的作用，现就有关事项通知如下：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63DC48C6">
      <w:pPr>
        <w:pStyle w:val="42"/>
        <w:rPr>
          <w:rFonts w:hint="eastAsia" w:ascii="仿宋" w:hAnsi="仿宋" w:eastAsia="仿宋" w:cs="仿宋"/>
          <w:color w:val="auto"/>
          <w:spacing w:val="6"/>
          <w:sz w:val="24"/>
          <w:szCs w:val="24"/>
          <w:highlight w:val="none"/>
        </w:rPr>
      </w:pPr>
    </w:p>
    <w:p w14:paraId="213276A3">
      <w:pPr>
        <w:pStyle w:val="15"/>
        <w:rPr>
          <w:rFonts w:hint="eastAsia" w:ascii="仿宋" w:hAnsi="仿宋" w:eastAsia="仿宋" w:cs="仿宋"/>
          <w:color w:val="auto"/>
          <w:highlight w:val="none"/>
        </w:rPr>
      </w:pPr>
    </w:p>
    <w:p w14:paraId="5D1DFF0F">
      <w:pPr>
        <w:pStyle w:val="9"/>
        <w:rPr>
          <w:rFonts w:hint="eastAsia" w:ascii="仿宋" w:hAnsi="仿宋" w:eastAsia="仿宋" w:cs="仿宋"/>
          <w:color w:val="auto"/>
          <w:highlight w:val="none"/>
        </w:rPr>
      </w:pPr>
    </w:p>
    <w:p w14:paraId="6E175885">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rPr>
        <w:t>2014年6月10日</w:t>
      </w:r>
    </w:p>
    <w:p w14:paraId="051B58EF">
      <w:pPr>
        <w:spacing w:line="360" w:lineRule="auto"/>
        <w:rPr>
          <w:rFonts w:hint="eastAsia" w:ascii="仿宋" w:hAnsi="仿宋" w:eastAsia="仿宋" w:cs="仿宋"/>
          <w:color w:val="auto"/>
          <w:sz w:val="24"/>
          <w:szCs w:val="24"/>
          <w:highlight w:val="none"/>
          <w:shd w:val="clear" w:color="auto" w:fill="FFFFFF" w:themeFill="background1"/>
        </w:rPr>
      </w:pPr>
    </w:p>
    <w:p w14:paraId="0540D77B">
      <w:pPr>
        <w:rPr>
          <w:rFonts w:hint="eastAsia" w:ascii="仿宋" w:hAnsi="仿宋" w:eastAsia="仿宋" w:cs="仿宋"/>
          <w:color w:val="auto"/>
          <w:highlight w:val="none"/>
        </w:rPr>
      </w:pPr>
    </w:p>
    <w:sectPr>
      <w:headerReference r:id="rId10" w:type="default"/>
      <w:footerReference r:id="rId11" w:type="default"/>
      <w:pgSz w:w="11906" w:h="16838"/>
      <w:pgMar w:top="1440" w:right="1080" w:bottom="1440" w:left="1080" w:header="851" w:footer="992"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
    <w:altName w:val="宋体"/>
    <w:panose1 w:val="00000000000000000000"/>
    <w:charset w:val="86"/>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embedRegular r:id="rId1" w:fontKey="{6D0239FC-9FE0-48DF-8157-8A990EDA5BEF}"/>
  </w:font>
  <w:font w:name="monospace">
    <w:altName w:val="Segoe Print"/>
    <w:panose1 w:val="00000000000000000000"/>
    <w:charset w:val="00"/>
    <w:family w:val="auto"/>
    <w:pitch w:val="default"/>
    <w:sig w:usb0="00000000" w:usb1="00000000" w:usb2="00000000" w:usb3="00000000" w:csb0="00000001" w:csb1="00000000"/>
  </w:font>
  <w:font w:name="Trebuchet MS">
    <w:panose1 w:val="020B0603020202020204"/>
    <w:charset w:val="00"/>
    <w:family w:val="swiss"/>
    <w:pitch w:val="default"/>
    <w:sig w:usb0="00000687" w:usb1="00000000" w:usb2="00000000" w:usb3="00000000" w:csb0="2000009F"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0A726">
    <w:pPr>
      <w:pStyle w:val="24"/>
      <w:jc w:val="center"/>
      <w:rPr>
        <w:rFonts w:asciiTheme="minorEastAsia" w:hAnsiTheme="minorEastAsia" w:eastAsiaTheme="minorEastAsia"/>
        <w:sz w:val="21"/>
        <w:szCs w:val="21"/>
        <w:lang w:val="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3612F">
    <w:pPr>
      <w:pStyle w:val="24"/>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rPr>
      <w:t>68</w:t>
    </w:r>
    <w:r>
      <w:rPr>
        <w:rStyle w:val="48"/>
      </w:rPr>
      <w:fldChar w:fldCharType="end"/>
    </w:r>
  </w:p>
  <w:p w14:paraId="69FDF088">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7CB63">
    <w:pPr>
      <w:pStyle w:val="24"/>
      <w:jc w:val="center"/>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PAGE   \* MERGEFORMAT </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lang w:val="zh-CN"/>
      </w:rPr>
      <w:t>3</w:t>
    </w:r>
    <w:r>
      <w:rPr>
        <w:rFonts w:asciiTheme="minorEastAsia" w:hAnsiTheme="minorEastAsia" w:eastAsiaTheme="minorEastAsia"/>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EDC45">
    <w:pPr>
      <w:pStyle w:val="24"/>
      <w:rPr>
        <w:rFonts w:ascii="宋体" w:hAnsi="宋体"/>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33AE3">
                          <w:pPr>
                            <w:pStyle w:val="24"/>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2733AE3">
                    <w:pPr>
                      <w:pStyle w:val="24"/>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58788">
    <w:pPr>
      <w:spacing w:before="0" w:after="0" w:line="14" w:lineRule="auto"/>
      <w:rPr>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5E502">
                          <w:pPr>
                            <w:pStyle w:val="24"/>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39</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35E502">
                    <w:pPr>
                      <w:pStyle w:val="24"/>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39</w:t>
                    </w:r>
                    <w:r>
                      <w:rPr>
                        <w:rFonts w:hint="eastAsia" w:ascii="仿宋" w:hAnsi="仿宋" w:eastAsia="仿宋" w:cs="仿宋"/>
                        <w:sz w:val="24"/>
                        <w:szCs w:val="24"/>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BF270">
    <w:pPr>
      <w:pStyle w:val="24"/>
      <w:ind w:right="360"/>
      <w:rPr>
        <w:rFonts w:ascii="仿宋" w:hAnsi="仿宋" w:eastAsia="仿宋" w:cs="仿宋"/>
        <w:sz w:val="24"/>
        <w:szCs w:val="24"/>
        <w:lang w:val="zh-CN"/>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C88C92">
                          <w:pPr>
                            <w:pStyle w:val="24"/>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8C88C92">
                    <w:pPr>
                      <w:pStyle w:val="2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1BADA">
    <w:pPr>
      <w:pStyle w:val="25"/>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10344">
    <w:pPr>
      <w:pStyle w:val="25"/>
      <w:pBdr>
        <w:bottom w:val="none" w:color="auto" w:sz="0" w:space="0"/>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D6D58">
    <w:pPr>
      <w:pStyle w:val="25"/>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4E943B"/>
    <w:multiLevelType w:val="singleLevel"/>
    <w:tmpl w:val="974E943B"/>
    <w:lvl w:ilvl="0" w:tentative="0">
      <w:start w:val="1"/>
      <w:numFmt w:val="chineseCounting"/>
      <w:suff w:val="space"/>
      <w:lvlText w:val="第%1章"/>
      <w:lvlJc w:val="left"/>
      <w:rPr>
        <w:rFonts w:hint="eastAsia"/>
      </w:rPr>
    </w:lvl>
  </w:abstractNum>
  <w:abstractNum w:abstractNumId="1">
    <w:nsid w:val="51D3F462"/>
    <w:multiLevelType w:val="singleLevel"/>
    <w:tmpl w:val="51D3F462"/>
    <w:lvl w:ilvl="0" w:tentative="0">
      <w:start w:val="1"/>
      <w:numFmt w:val="decimal"/>
      <w:suff w:val="nothing"/>
      <w:lvlText w:val="（%1）"/>
      <w:lvlJc w:val="left"/>
    </w:lvl>
  </w:abstractNum>
  <w:abstractNum w:abstractNumId="2">
    <w:nsid w:val="7D2CAC9B"/>
    <w:multiLevelType w:val="singleLevel"/>
    <w:tmpl w:val="7D2CAC9B"/>
    <w:lvl w:ilvl="0" w:tentative="0">
      <w:start w:val="2"/>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hideSpellingErrors/>
  <w:documentProtection w:formatting="1"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5YzQ0MWM2NDg3NzAxNTI3MDYxNmNiYmNjZWVhNTgifQ=="/>
    <w:docVar w:name="KSO_WPS_MARK_KEY" w:val="8964930e-b812-44f6-ad31-5e90c699a630"/>
  </w:docVars>
  <w:rsids>
    <w:rsidRoot w:val="00172A27"/>
    <w:rsid w:val="00001340"/>
    <w:rsid w:val="00003F6D"/>
    <w:rsid w:val="00004DAA"/>
    <w:rsid w:val="0000568A"/>
    <w:rsid w:val="00006BD9"/>
    <w:rsid w:val="00007487"/>
    <w:rsid w:val="00007BA8"/>
    <w:rsid w:val="00013484"/>
    <w:rsid w:val="000149FB"/>
    <w:rsid w:val="00014F7D"/>
    <w:rsid w:val="000159AC"/>
    <w:rsid w:val="000162FE"/>
    <w:rsid w:val="00016F23"/>
    <w:rsid w:val="00020B17"/>
    <w:rsid w:val="000212A6"/>
    <w:rsid w:val="00022B09"/>
    <w:rsid w:val="00022B6E"/>
    <w:rsid w:val="00022B77"/>
    <w:rsid w:val="000244CA"/>
    <w:rsid w:val="00025CCF"/>
    <w:rsid w:val="00026F71"/>
    <w:rsid w:val="00030171"/>
    <w:rsid w:val="000304C4"/>
    <w:rsid w:val="00033566"/>
    <w:rsid w:val="000335F4"/>
    <w:rsid w:val="00036B12"/>
    <w:rsid w:val="000400E8"/>
    <w:rsid w:val="00046152"/>
    <w:rsid w:val="0005003E"/>
    <w:rsid w:val="00050467"/>
    <w:rsid w:val="000536BB"/>
    <w:rsid w:val="0005677C"/>
    <w:rsid w:val="000604DE"/>
    <w:rsid w:val="000616A1"/>
    <w:rsid w:val="00062A04"/>
    <w:rsid w:val="00063C04"/>
    <w:rsid w:val="000641A9"/>
    <w:rsid w:val="00065D98"/>
    <w:rsid w:val="00070AF5"/>
    <w:rsid w:val="00071140"/>
    <w:rsid w:val="00071492"/>
    <w:rsid w:val="00071EBA"/>
    <w:rsid w:val="000726EA"/>
    <w:rsid w:val="00072968"/>
    <w:rsid w:val="00073D96"/>
    <w:rsid w:val="0007571C"/>
    <w:rsid w:val="000762D4"/>
    <w:rsid w:val="0007797D"/>
    <w:rsid w:val="0008025F"/>
    <w:rsid w:val="0008034C"/>
    <w:rsid w:val="00080E16"/>
    <w:rsid w:val="0008176E"/>
    <w:rsid w:val="00081BD3"/>
    <w:rsid w:val="0008215D"/>
    <w:rsid w:val="00082FC4"/>
    <w:rsid w:val="00083B64"/>
    <w:rsid w:val="00085BB6"/>
    <w:rsid w:val="000904A3"/>
    <w:rsid w:val="000916AB"/>
    <w:rsid w:val="000923E8"/>
    <w:rsid w:val="000941A8"/>
    <w:rsid w:val="00094989"/>
    <w:rsid w:val="000A02F9"/>
    <w:rsid w:val="000A1822"/>
    <w:rsid w:val="000A32B9"/>
    <w:rsid w:val="000A3552"/>
    <w:rsid w:val="000A3C63"/>
    <w:rsid w:val="000A68F0"/>
    <w:rsid w:val="000B0F6F"/>
    <w:rsid w:val="000B210F"/>
    <w:rsid w:val="000B331B"/>
    <w:rsid w:val="000B581D"/>
    <w:rsid w:val="000B6244"/>
    <w:rsid w:val="000B74E1"/>
    <w:rsid w:val="000B797D"/>
    <w:rsid w:val="000C3368"/>
    <w:rsid w:val="000C388B"/>
    <w:rsid w:val="000C3905"/>
    <w:rsid w:val="000C62C3"/>
    <w:rsid w:val="000D171A"/>
    <w:rsid w:val="000D37C8"/>
    <w:rsid w:val="000D3B49"/>
    <w:rsid w:val="000D7CE7"/>
    <w:rsid w:val="000E20F2"/>
    <w:rsid w:val="000E5B9C"/>
    <w:rsid w:val="000E6FF4"/>
    <w:rsid w:val="000E7461"/>
    <w:rsid w:val="000E7AF9"/>
    <w:rsid w:val="000E7B9A"/>
    <w:rsid w:val="000F1BFD"/>
    <w:rsid w:val="000F2511"/>
    <w:rsid w:val="000F74B7"/>
    <w:rsid w:val="00101A72"/>
    <w:rsid w:val="00101AA4"/>
    <w:rsid w:val="001060B3"/>
    <w:rsid w:val="001063D0"/>
    <w:rsid w:val="0010650C"/>
    <w:rsid w:val="001079FC"/>
    <w:rsid w:val="00107FE2"/>
    <w:rsid w:val="001100D5"/>
    <w:rsid w:val="00112251"/>
    <w:rsid w:val="00114633"/>
    <w:rsid w:val="00115D31"/>
    <w:rsid w:val="00117093"/>
    <w:rsid w:val="00117660"/>
    <w:rsid w:val="0012205E"/>
    <w:rsid w:val="001227D5"/>
    <w:rsid w:val="00123259"/>
    <w:rsid w:val="0012668B"/>
    <w:rsid w:val="001279E1"/>
    <w:rsid w:val="00127B38"/>
    <w:rsid w:val="0013312B"/>
    <w:rsid w:val="00133C36"/>
    <w:rsid w:val="001346CB"/>
    <w:rsid w:val="00134F82"/>
    <w:rsid w:val="00135714"/>
    <w:rsid w:val="001378D2"/>
    <w:rsid w:val="00140D70"/>
    <w:rsid w:val="001411D9"/>
    <w:rsid w:val="00141AF5"/>
    <w:rsid w:val="001431D9"/>
    <w:rsid w:val="00143612"/>
    <w:rsid w:val="00144E0F"/>
    <w:rsid w:val="001450A1"/>
    <w:rsid w:val="00145F16"/>
    <w:rsid w:val="00146B4C"/>
    <w:rsid w:val="00146E26"/>
    <w:rsid w:val="001511BA"/>
    <w:rsid w:val="00151679"/>
    <w:rsid w:val="00151E56"/>
    <w:rsid w:val="0015454B"/>
    <w:rsid w:val="0015454E"/>
    <w:rsid w:val="0015472C"/>
    <w:rsid w:val="00154A10"/>
    <w:rsid w:val="00156E77"/>
    <w:rsid w:val="0015794E"/>
    <w:rsid w:val="00160C84"/>
    <w:rsid w:val="00162304"/>
    <w:rsid w:val="00162D5F"/>
    <w:rsid w:val="001635B4"/>
    <w:rsid w:val="001663BF"/>
    <w:rsid w:val="001676DD"/>
    <w:rsid w:val="00171B8B"/>
    <w:rsid w:val="00172A27"/>
    <w:rsid w:val="001733AF"/>
    <w:rsid w:val="00173CD5"/>
    <w:rsid w:val="00176984"/>
    <w:rsid w:val="00176FAD"/>
    <w:rsid w:val="0018101E"/>
    <w:rsid w:val="001825D7"/>
    <w:rsid w:val="0018398B"/>
    <w:rsid w:val="0018468F"/>
    <w:rsid w:val="00186618"/>
    <w:rsid w:val="00190CFC"/>
    <w:rsid w:val="00192309"/>
    <w:rsid w:val="00192531"/>
    <w:rsid w:val="00193A7C"/>
    <w:rsid w:val="001940A4"/>
    <w:rsid w:val="001970FB"/>
    <w:rsid w:val="0019744D"/>
    <w:rsid w:val="001A148C"/>
    <w:rsid w:val="001A1642"/>
    <w:rsid w:val="001A2117"/>
    <w:rsid w:val="001A27D4"/>
    <w:rsid w:val="001A2D5E"/>
    <w:rsid w:val="001A3274"/>
    <w:rsid w:val="001A33AD"/>
    <w:rsid w:val="001A377B"/>
    <w:rsid w:val="001A45DD"/>
    <w:rsid w:val="001A4A04"/>
    <w:rsid w:val="001A4E5A"/>
    <w:rsid w:val="001A5AD8"/>
    <w:rsid w:val="001B1748"/>
    <w:rsid w:val="001B36D6"/>
    <w:rsid w:val="001B7A07"/>
    <w:rsid w:val="001C09A4"/>
    <w:rsid w:val="001C0C4F"/>
    <w:rsid w:val="001C3DA2"/>
    <w:rsid w:val="001C5D03"/>
    <w:rsid w:val="001C7321"/>
    <w:rsid w:val="001D024E"/>
    <w:rsid w:val="001D50A5"/>
    <w:rsid w:val="001D53FB"/>
    <w:rsid w:val="001D79E8"/>
    <w:rsid w:val="001E1D3C"/>
    <w:rsid w:val="001E33A7"/>
    <w:rsid w:val="001E3D69"/>
    <w:rsid w:val="001E4755"/>
    <w:rsid w:val="001E5AAE"/>
    <w:rsid w:val="001E6E8F"/>
    <w:rsid w:val="001E700D"/>
    <w:rsid w:val="001E7813"/>
    <w:rsid w:val="001F22E9"/>
    <w:rsid w:val="001F3A08"/>
    <w:rsid w:val="001F610A"/>
    <w:rsid w:val="001F7725"/>
    <w:rsid w:val="0020058C"/>
    <w:rsid w:val="00200BA8"/>
    <w:rsid w:val="002011FB"/>
    <w:rsid w:val="002016BA"/>
    <w:rsid w:val="0020210D"/>
    <w:rsid w:val="002055DD"/>
    <w:rsid w:val="00205DF6"/>
    <w:rsid w:val="002071B0"/>
    <w:rsid w:val="00207852"/>
    <w:rsid w:val="002115F3"/>
    <w:rsid w:val="00213B45"/>
    <w:rsid w:val="00213C80"/>
    <w:rsid w:val="00215811"/>
    <w:rsid w:val="0022177D"/>
    <w:rsid w:val="0022315A"/>
    <w:rsid w:val="002233BB"/>
    <w:rsid w:val="00225083"/>
    <w:rsid w:val="002250F4"/>
    <w:rsid w:val="00226DEC"/>
    <w:rsid w:val="002271B7"/>
    <w:rsid w:val="0022755E"/>
    <w:rsid w:val="0022787A"/>
    <w:rsid w:val="00231BFB"/>
    <w:rsid w:val="002327C7"/>
    <w:rsid w:val="0023316F"/>
    <w:rsid w:val="00234F95"/>
    <w:rsid w:val="0023520B"/>
    <w:rsid w:val="002362FF"/>
    <w:rsid w:val="00236964"/>
    <w:rsid w:val="00236D43"/>
    <w:rsid w:val="00237C99"/>
    <w:rsid w:val="00237D81"/>
    <w:rsid w:val="0024079C"/>
    <w:rsid w:val="00241719"/>
    <w:rsid w:val="00241F93"/>
    <w:rsid w:val="002443C9"/>
    <w:rsid w:val="00245F22"/>
    <w:rsid w:val="002472C0"/>
    <w:rsid w:val="00247F47"/>
    <w:rsid w:val="002508FA"/>
    <w:rsid w:val="00253DC3"/>
    <w:rsid w:val="00254157"/>
    <w:rsid w:val="002541CE"/>
    <w:rsid w:val="002545CB"/>
    <w:rsid w:val="00257F22"/>
    <w:rsid w:val="002604A7"/>
    <w:rsid w:val="00260910"/>
    <w:rsid w:val="00262839"/>
    <w:rsid w:val="00263CA6"/>
    <w:rsid w:val="00264ECA"/>
    <w:rsid w:val="00266F04"/>
    <w:rsid w:val="002677CF"/>
    <w:rsid w:val="00272DDC"/>
    <w:rsid w:val="0028204B"/>
    <w:rsid w:val="00283F2B"/>
    <w:rsid w:val="00292040"/>
    <w:rsid w:val="0029280E"/>
    <w:rsid w:val="00294684"/>
    <w:rsid w:val="00294BD6"/>
    <w:rsid w:val="00294D99"/>
    <w:rsid w:val="002967DA"/>
    <w:rsid w:val="00297672"/>
    <w:rsid w:val="002A6A08"/>
    <w:rsid w:val="002A76F7"/>
    <w:rsid w:val="002B0041"/>
    <w:rsid w:val="002B0624"/>
    <w:rsid w:val="002B0980"/>
    <w:rsid w:val="002B0C40"/>
    <w:rsid w:val="002C0E26"/>
    <w:rsid w:val="002C1AFD"/>
    <w:rsid w:val="002C2DD2"/>
    <w:rsid w:val="002C33A1"/>
    <w:rsid w:val="002C3AB5"/>
    <w:rsid w:val="002D10A3"/>
    <w:rsid w:val="002D1BE8"/>
    <w:rsid w:val="002D25D3"/>
    <w:rsid w:val="002D27BF"/>
    <w:rsid w:val="002D2A64"/>
    <w:rsid w:val="002D3439"/>
    <w:rsid w:val="002D6CF2"/>
    <w:rsid w:val="002E0067"/>
    <w:rsid w:val="002E0574"/>
    <w:rsid w:val="002E15A3"/>
    <w:rsid w:val="002E1D0A"/>
    <w:rsid w:val="002E4293"/>
    <w:rsid w:val="002E5AAD"/>
    <w:rsid w:val="002E6176"/>
    <w:rsid w:val="002E6670"/>
    <w:rsid w:val="002E7D55"/>
    <w:rsid w:val="002F10F5"/>
    <w:rsid w:val="002F2283"/>
    <w:rsid w:val="002F54A1"/>
    <w:rsid w:val="002F66E8"/>
    <w:rsid w:val="00300AC7"/>
    <w:rsid w:val="00300C92"/>
    <w:rsid w:val="00301B47"/>
    <w:rsid w:val="00301F82"/>
    <w:rsid w:val="003024B8"/>
    <w:rsid w:val="00303002"/>
    <w:rsid w:val="00304D2D"/>
    <w:rsid w:val="00312306"/>
    <w:rsid w:val="0031257E"/>
    <w:rsid w:val="003131AE"/>
    <w:rsid w:val="00313F13"/>
    <w:rsid w:val="00314210"/>
    <w:rsid w:val="00315623"/>
    <w:rsid w:val="00315D4B"/>
    <w:rsid w:val="00315D59"/>
    <w:rsid w:val="00316DBA"/>
    <w:rsid w:val="00316E96"/>
    <w:rsid w:val="0032116D"/>
    <w:rsid w:val="00321D81"/>
    <w:rsid w:val="003233E1"/>
    <w:rsid w:val="00324A7B"/>
    <w:rsid w:val="003264F1"/>
    <w:rsid w:val="0032668D"/>
    <w:rsid w:val="00326D40"/>
    <w:rsid w:val="00327B52"/>
    <w:rsid w:val="0033094D"/>
    <w:rsid w:val="00330F50"/>
    <w:rsid w:val="00331C14"/>
    <w:rsid w:val="0033356A"/>
    <w:rsid w:val="003344D9"/>
    <w:rsid w:val="00336C8C"/>
    <w:rsid w:val="00336E0F"/>
    <w:rsid w:val="00336F54"/>
    <w:rsid w:val="00336F6F"/>
    <w:rsid w:val="003426B2"/>
    <w:rsid w:val="00343622"/>
    <w:rsid w:val="003458F7"/>
    <w:rsid w:val="00345FE0"/>
    <w:rsid w:val="00350D9E"/>
    <w:rsid w:val="0035279D"/>
    <w:rsid w:val="00353142"/>
    <w:rsid w:val="00357570"/>
    <w:rsid w:val="00360323"/>
    <w:rsid w:val="00360D30"/>
    <w:rsid w:val="00361C9D"/>
    <w:rsid w:val="00361CD5"/>
    <w:rsid w:val="00362CA2"/>
    <w:rsid w:val="00363991"/>
    <w:rsid w:val="00364473"/>
    <w:rsid w:val="003659B8"/>
    <w:rsid w:val="00365DA6"/>
    <w:rsid w:val="00367609"/>
    <w:rsid w:val="00367A6E"/>
    <w:rsid w:val="003706ED"/>
    <w:rsid w:val="00370F25"/>
    <w:rsid w:val="00372DE6"/>
    <w:rsid w:val="003738A8"/>
    <w:rsid w:val="00373CAA"/>
    <w:rsid w:val="003766F5"/>
    <w:rsid w:val="00376E83"/>
    <w:rsid w:val="00381492"/>
    <w:rsid w:val="00382C56"/>
    <w:rsid w:val="00387372"/>
    <w:rsid w:val="00387B8B"/>
    <w:rsid w:val="0039170F"/>
    <w:rsid w:val="003923EF"/>
    <w:rsid w:val="0039269B"/>
    <w:rsid w:val="00395423"/>
    <w:rsid w:val="00396138"/>
    <w:rsid w:val="00396B25"/>
    <w:rsid w:val="003972C3"/>
    <w:rsid w:val="003A2B5A"/>
    <w:rsid w:val="003A5B50"/>
    <w:rsid w:val="003A6FF0"/>
    <w:rsid w:val="003B375E"/>
    <w:rsid w:val="003B3EF1"/>
    <w:rsid w:val="003B508E"/>
    <w:rsid w:val="003B6120"/>
    <w:rsid w:val="003B70AD"/>
    <w:rsid w:val="003B72EC"/>
    <w:rsid w:val="003B75FA"/>
    <w:rsid w:val="003C0B9E"/>
    <w:rsid w:val="003C2CBB"/>
    <w:rsid w:val="003C452F"/>
    <w:rsid w:val="003C6C59"/>
    <w:rsid w:val="003C7619"/>
    <w:rsid w:val="003D01BB"/>
    <w:rsid w:val="003D05EA"/>
    <w:rsid w:val="003D4211"/>
    <w:rsid w:val="003D5B21"/>
    <w:rsid w:val="003D5CDD"/>
    <w:rsid w:val="003D6081"/>
    <w:rsid w:val="003D678F"/>
    <w:rsid w:val="003E1C9B"/>
    <w:rsid w:val="003E27FC"/>
    <w:rsid w:val="003E476A"/>
    <w:rsid w:val="003E4A7A"/>
    <w:rsid w:val="003E612D"/>
    <w:rsid w:val="003F2B4D"/>
    <w:rsid w:val="003F443A"/>
    <w:rsid w:val="003F5C6B"/>
    <w:rsid w:val="00400C51"/>
    <w:rsid w:val="00401A88"/>
    <w:rsid w:val="0040310D"/>
    <w:rsid w:val="00403C31"/>
    <w:rsid w:val="004214CD"/>
    <w:rsid w:val="004220B6"/>
    <w:rsid w:val="00423D2D"/>
    <w:rsid w:val="004269F5"/>
    <w:rsid w:val="00426E22"/>
    <w:rsid w:val="00427988"/>
    <w:rsid w:val="0043107A"/>
    <w:rsid w:val="0043182A"/>
    <w:rsid w:val="00432C0C"/>
    <w:rsid w:val="004334BF"/>
    <w:rsid w:val="00433AA5"/>
    <w:rsid w:val="00433EED"/>
    <w:rsid w:val="00434DA2"/>
    <w:rsid w:val="004373BC"/>
    <w:rsid w:val="00437914"/>
    <w:rsid w:val="00444EE1"/>
    <w:rsid w:val="004453B8"/>
    <w:rsid w:val="0044799D"/>
    <w:rsid w:val="0045091A"/>
    <w:rsid w:val="00450A93"/>
    <w:rsid w:val="00450B61"/>
    <w:rsid w:val="0045260B"/>
    <w:rsid w:val="00452BB8"/>
    <w:rsid w:val="004534FA"/>
    <w:rsid w:val="00454A56"/>
    <w:rsid w:val="00455C21"/>
    <w:rsid w:val="00460531"/>
    <w:rsid w:val="0046196D"/>
    <w:rsid w:val="00462B25"/>
    <w:rsid w:val="004640C1"/>
    <w:rsid w:val="00464441"/>
    <w:rsid w:val="00464E09"/>
    <w:rsid w:val="00471946"/>
    <w:rsid w:val="004814EE"/>
    <w:rsid w:val="00483315"/>
    <w:rsid w:val="004948A3"/>
    <w:rsid w:val="00496454"/>
    <w:rsid w:val="004972B4"/>
    <w:rsid w:val="0049776B"/>
    <w:rsid w:val="004A010F"/>
    <w:rsid w:val="004A1E94"/>
    <w:rsid w:val="004A36AE"/>
    <w:rsid w:val="004A383A"/>
    <w:rsid w:val="004A4981"/>
    <w:rsid w:val="004A5376"/>
    <w:rsid w:val="004A57DB"/>
    <w:rsid w:val="004A6517"/>
    <w:rsid w:val="004A68AF"/>
    <w:rsid w:val="004A7D7E"/>
    <w:rsid w:val="004B0537"/>
    <w:rsid w:val="004B1332"/>
    <w:rsid w:val="004B1F18"/>
    <w:rsid w:val="004B4371"/>
    <w:rsid w:val="004B441A"/>
    <w:rsid w:val="004B49BA"/>
    <w:rsid w:val="004B7605"/>
    <w:rsid w:val="004C28AA"/>
    <w:rsid w:val="004C380F"/>
    <w:rsid w:val="004C4D2E"/>
    <w:rsid w:val="004C55B6"/>
    <w:rsid w:val="004D11B3"/>
    <w:rsid w:val="004D65F4"/>
    <w:rsid w:val="004D75D5"/>
    <w:rsid w:val="004D780A"/>
    <w:rsid w:val="004E1539"/>
    <w:rsid w:val="004E170F"/>
    <w:rsid w:val="004E1E11"/>
    <w:rsid w:val="004E2088"/>
    <w:rsid w:val="004E419C"/>
    <w:rsid w:val="004E42A0"/>
    <w:rsid w:val="004E4876"/>
    <w:rsid w:val="004E6506"/>
    <w:rsid w:val="004E76D1"/>
    <w:rsid w:val="004E7786"/>
    <w:rsid w:val="004F0D23"/>
    <w:rsid w:val="004F1B97"/>
    <w:rsid w:val="004F3534"/>
    <w:rsid w:val="004F4E62"/>
    <w:rsid w:val="00501303"/>
    <w:rsid w:val="00501762"/>
    <w:rsid w:val="00504761"/>
    <w:rsid w:val="0050500E"/>
    <w:rsid w:val="00505D61"/>
    <w:rsid w:val="00507DCF"/>
    <w:rsid w:val="00510D95"/>
    <w:rsid w:val="00510FAA"/>
    <w:rsid w:val="00511747"/>
    <w:rsid w:val="00512B3E"/>
    <w:rsid w:val="00520FE8"/>
    <w:rsid w:val="00521371"/>
    <w:rsid w:val="00521B49"/>
    <w:rsid w:val="005230D2"/>
    <w:rsid w:val="00523E02"/>
    <w:rsid w:val="00526A5F"/>
    <w:rsid w:val="00526F0E"/>
    <w:rsid w:val="005307A5"/>
    <w:rsid w:val="00531310"/>
    <w:rsid w:val="0053132A"/>
    <w:rsid w:val="005315B6"/>
    <w:rsid w:val="00534A62"/>
    <w:rsid w:val="00535AFD"/>
    <w:rsid w:val="0053703C"/>
    <w:rsid w:val="00540929"/>
    <w:rsid w:val="0054181E"/>
    <w:rsid w:val="005431E4"/>
    <w:rsid w:val="00543EF0"/>
    <w:rsid w:val="00544DAB"/>
    <w:rsid w:val="00545C11"/>
    <w:rsid w:val="00546AF9"/>
    <w:rsid w:val="00547C3A"/>
    <w:rsid w:val="0055435D"/>
    <w:rsid w:val="0055693E"/>
    <w:rsid w:val="00556DE1"/>
    <w:rsid w:val="00560B54"/>
    <w:rsid w:val="0056149F"/>
    <w:rsid w:val="00561C6E"/>
    <w:rsid w:val="00561E3A"/>
    <w:rsid w:val="00563383"/>
    <w:rsid w:val="0056642B"/>
    <w:rsid w:val="005664C2"/>
    <w:rsid w:val="00566F28"/>
    <w:rsid w:val="0057237E"/>
    <w:rsid w:val="0057327B"/>
    <w:rsid w:val="00573463"/>
    <w:rsid w:val="00573E10"/>
    <w:rsid w:val="0057576E"/>
    <w:rsid w:val="00575869"/>
    <w:rsid w:val="00577ECB"/>
    <w:rsid w:val="00577FFA"/>
    <w:rsid w:val="0058149C"/>
    <w:rsid w:val="00582395"/>
    <w:rsid w:val="00582453"/>
    <w:rsid w:val="00582F95"/>
    <w:rsid w:val="0058332C"/>
    <w:rsid w:val="00584B8C"/>
    <w:rsid w:val="0058687A"/>
    <w:rsid w:val="005879D1"/>
    <w:rsid w:val="00587F35"/>
    <w:rsid w:val="00587F68"/>
    <w:rsid w:val="0059433E"/>
    <w:rsid w:val="00595E23"/>
    <w:rsid w:val="00596F2C"/>
    <w:rsid w:val="0059795A"/>
    <w:rsid w:val="005A0D00"/>
    <w:rsid w:val="005A215C"/>
    <w:rsid w:val="005A2D64"/>
    <w:rsid w:val="005A31BE"/>
    <w:rsid w:val="005A4B20"/>
    <w:rsid w:val="005A69CA"/>
    <w:rsid w:val="005A6E28"/>
    <w:rsid w:val="005A7D87"/>
    <w:rsid w:val="005B0282"/>
    <w:rsid w:val="005B0D2C"/>
    <w:rsid w:val="005B2051"/>
    <w:rsid w:val="005B2CB8"/>
    <w:rsid w:val="005B319E"/>
    <w:rsid w:val="005B4857"/>
    <w:rsid w:val="005C19F6"/>
    <w:rsid w:val="005C4260"/>
    <w:rsid w:val="005C53A8"/>
    <w:rsid w:val="005C7EA7"/>
    <w:rsid w:val="005D13CC"/>
    <w:rsid w:val="005D1FF8"/>
    <w:rsid w:val="005D3BA9"/>
    <w:rsid w:val="005D5A13"/>
    <w:rsid w:val="005D651D"/>
    <w:rsid w:val="005E3AF0"/>
    <w:rsid w:val="005E3C18"/>
    <w:rsid w:val="005E5AF5"/>
    <w:rsid w:val="005E617A"/>
    <w:rsid w:val="005E69C2"/>
    <w:rsid w:val="005F0454"/>
    <w:rsid w:val="005F4907"/>
    <w:rsid w:val="005F496A"/>
    <w:rsid w:val="005F7132"/>
    <w:rsid w:val="0060072E"/>
    <w:rsid w:val="006007B3"/>
    <w:rsid w:val="00600C9C"/>
    <w:rsid w:val="0060581D"/>
    <w:rsid w:val="006069F3"/>
    <w:rsid w:val="00612345"/>
    <w:rsid w:val="00614572"/>
    <w:rsid w:val="00615EA1"/>
    <w:rsid w:val="00617B6A"/>
    <w:rsid w:val="00622533"/>
    <w:rsid w:val="00622699"/>
    <w:rsid w:val="0062361A"/>
    <w:rsid w:val="00627128"/>
    <w:rsid w:val="00630529"/>
    <w:rsid w:val="00630AAC"/>
    <w:rsid w:val="006314C2"/>
    <w:rsid w:val="00631C5A"/>
    <w:rsid w:val="00635290"/>
    <w:rsid w:val="006360FE"/>
    <w:rsid w:val="0063610A"/>
    <w:rsid w:val="006367D4"/>
    <w:rsid w:val="006372C6"/>
    <w:rsid w:val="006409A7"/>
    <w:rsid w:val="00641966"/>
    <w:rsid w:val="00642A9D"/>
    <w:rsid w:val="00643880"/>
    <w:rsid w:val="00644CAA"/>
    <w:rsid w:val="0064722F"/>
    <w:rsid w:val="00647296"/>
    <w:rsid w:val="00647D58"/>
    <w:rsid w:val="00650391"/>
    <w:rsid w:val="00651875"/>
    <w:rsid w:val="00652149"/>
    <w:rsid w:val="00652A1B"/>
    <w:rsid w:val="00652A7E"/>
    <w:rsid w:val="00657AD0"/>
    <w:rsid w:val="00661E10"/>
    <w:rsid w:val="0066511C"/>
    <w:rsid w:val="00665BBC"/>
    <w:rsid w:val="0066681E"/>
    <w:rsid w:val="00671508"/>
    <w:rsid w:val="006728AB"/>
    <w:rsid w:val="00674656"/>
    <w:rsid w:val="00674A1B"/>
    <w:rsid w:val="00675171"/>
    <w:rsid w:val="00677777"/>
    <w:rsid w:val="006804BB"/>
    <w:rsid w:val="00682D47"/>
    <w:rsid w:val="0068600F"/>
    <w:rsid w:val="00690B8C"/>
    <w:rsid w:val="0069349B"/>
    <w:rsid w:val="00694313"/>
    <w:rsid w:val="00697DA0"/>
    <w:rsid w:val="006A4875"/>
    <w:rsid w:val="006A4AC4"/>
    <w:rsid w:val="006B014A"/>
    <w:rsid w:val="006B1566"/>
    <w:rsid w:val="006B2DDD"/>
    <w:rsid w:val="006B36B5"/>
    <w:rsid w:val="006B36FC"/>
    <w:rsid w:val="006B5580"/>
    <w:rsid w:val="006B6739"/>
    <w:rsid w:val="006B68DE"/>
    <w:rsid w:val="006B7027"/>
    <w:rsid w:val="006B76F1"/>
    <w:rsid w:val="006C059C"/>
    <w:rsid w:val="006C067A"/>
    <w:rsid w:val="006C06C9"/>
    <w:rsid w:val="006C08F0"/>
    <w:rsid w:val="006C1460"/>
    <w:rsid w:val="006C214D"/>
    <w:rsid w:val="006C29C7"/>
    <w:rsid w:val="006C38F9"/>
    <w:rsid w:val="006C4A2A"/>
    <w:rsid w:val="006C4E5B"/>
    <w:rsid w:val="006C551A"/>
    <w:rsid w:val="006C70F0"/>
    <w:rsid w:val="006C7CC8"/>
    <w:rsid w:val="006D3668"/>
    <w:rsid w:val="006D5AF8"/>
    <w:rsid w:val="006E249F"/>
    <w:rsid w:val="006E344D"/>
    <w:rsid w:val="006E51CF"/>
    <w:rsid w:val="006E5FE5"/>
    <w:rsid w:val="006E65C8"/>
    <w:rsid w:val="006F1C1C"/>
    <w:rsid w:val="006F2A4E"/>
    <w:rsid w:val="006F43E1"/>
    <w:rsid w:val="006F6DB0"/>
    <w:rsid w:val="006F7BBE"/>
    <w:rsid w:val="007007DA"/>
    <w:rsid w:val="0070157E"/>
    <w:rsid w:val="00703805"/>
    <w:rsid w:val="00704AEC"/>
    <w:rsid w:val="007059ED"/>
    <w:rsid w:val="00706514"/>
    <w:rsid w:val="00706A17"/>
    <w:rsid w:val="007076D2"/>
    <w:rsid w:val="00707E51"/>
    <w:rsid w:val="00711806"/>
    <w:rsid w:val="00711C48"/>
    <w:rsid w:val="00711DFE"/>
    <w:rsid w:val="00712744"/>
    <w:rsid w:val="007137F1"/>
    <w:rsid w:val="007138FC"/>
    <w:rsid w:val="007156D2"/>
    <w:rsid w:val="00717CDB"/>
    <w:rsid w:val="0072037A"/>
    <w:rsid w:val="00721DA0"/>
    <w:rsid w:val="00722364"/>
    <w:rsid w:val="00725381"/>
    <w:rsid w:val="0072662D"/>
    <w:rsid w:val="007277B0"/>
    <w:rsid w:val="00727EAB"/>
    <w:rsid w:val="007306DD"/>
    <w:rsid w:val="00731897"/>
    <w:rsid w:val="0073306F"/>
    <w:rsid w:val="00734DE1"/>
    <w:rsid w:val="00736681"/>
    <w:rsid w:val="0074166A"/>
    <w:rsid w:val="00741C4B"/>
    <w:rsid w:val="0074370A"/>
    <w:rsid w:val="0074426E"/>
    <w:rsid w:val="0074546D"/>
    <w:rsid w:val="00746398"/>
    <w:rsid w:val="0075151D"/>
    <w:rsid w:val="00754316"/>
    <w:rsid w:val="00754C0A"/>
    <w:rsid w:val="0075583A"/>
    <w:rsid w:val="00757B07"/>
    <w:rsid w:val="00757C4E"/>
    <w:rsid w:val="00760768"/>
    <w:rsid w:val="0076202B"/>
    <w:rsid w:val="00762219"/>
    <w:rsid w:val="00763863"/>
    <w:rsid w:val="00763FE6"/>
    <w:rsid w:val="007643EE"/>
    <w:rsid w:val="007658ED"/>
    <w:rsid w:val="00767044"/>
    <w:rsid w:val="0076772C"/>
    <w:rsid w:val="007729C6"/>
    <w:rsid w:val="00772B13"/>
    <w:rsid w:val="00773822"/>
    <w:rsid w:val="00775D8E"/>
    <w:rsid w:val="00784173"/>
    <w:rsid w:val="00784793"/>
    <w:rsid w:val="007856A2"/>
    <w:rsid w:val="00787D19"/>
    <w:rsid w:val="00787F29"/>
    <w:rsid w:val="007911C0"/>
    <w:rsid w:val="00793FDF"/>
    <w:rsid w:val="00794B68"/>
    <w:rsid w:val="007954DC"/>
    <w:rsid w:val="00796034"/>
    <w:rsid w:val="00796F49"/>
    <w:rsid w:val="007A0E43"/>
    <w:rsid w:val="007A1915"/>
    <w:rsid w:val="007A2281"/>
    <w:rsid w:val="007A2460"/>
    <w:rsid w:val="007A5319"/>
    <w:rsid w:val="007A5EAB"/>
    <w:rsid w:val="007A6417"/>
    <w:rsid w:val="007A7EF1"/>
    <w:rsid w:val="007B2335"/>
    <w:rsid w:val="007B23B1"/>
    <w:rsid w:val="007B2A84"/>
    <w:rsid w:val="007B2F31"/>
    <w:rsid w:val="007B60D5"/>
    <w:rsid w:val="007C389A"/>
    <w:rsid w:val="007C5747"/>
    <w:rsid w:val="007C5ABC"/>
    <w:rsid w:val="007C66D2"/>
    <w:rsid w:val="007D68A5"/>
    <w:rsid w:val="007D78E8"/>
    <w:rsid w:val="007D7C72"/>
    <w:rsid w:val="007E170C"/>
    <w:rsid w:val="007E2464"/>
    <w:rsid w:val="007E2857"/>
    <w:rsid w:val="007E5766"/>
    <w:rsid w:val="007E66CA"/>
    <w:rsid w:val="007F0D8B"/>
    <w:rsid w:val="007F3BED"/>
    <w:rsid w:val="007F4A6C"/>
    <w:rsid w:val="007F5620"/>
    <w:rsid w:val="007F659E"/>
    <w:rsid w:val="007F6C55"/>
    <w:rsid w:val="007F741A"/>
    <w:rsid w:val="00800372"/>
    <w:rsid w:val="008029D1"/>
    <w:rsid w:val="00803C6A"/>
    <w:rsid w:val="00804E94"/>
    <w:rsid w:val="008060F8"/>
    <w:rsid w:val="0080672E"/>
    <w:rsid w:val="008068DA"/>
    <w:rsid w:val="008068EC"/>
    <w:rsid w:val="00806F37"/>
    <w:rsid w:val="008104C1"/>
    <w:rsid w:val="008108D3"/>
    <w:rsid w:val="00813D04"/>
    <w:rsid w:val="008140A8"/>
    <w:rsid w:val="0081414C"/>
    <w:rsid w:val="00820914"/>
    <w:rsid w:val="008247D9"/>
    <w:rsid w:val="00826C3A"/>
    <w:rsid w:val="00834286"/>
    <w:rsid w:val="00837F36"/>
    <w:rsid w:val="00837F86"/>
    <w:rsid w:val="00840834"/>
    <w:rsid w:val="00843C8F"/>
    <w:rsid w:val="00846F1B"/>
    <w:rsid w:val="00850C31"/>
    <w:rsid w:val="00851279"/>
    <w:rsid w:val="008517A8"/>
    <w:rsid w:val="00851933"/>
    <w:rsid w:val="00852C4C"/>
    <w:rsid w:val="0085318D"/>
    <w:rsid w:val="00854756"/>
    <w:rsid w:val="00854939"/>
    <w:rsid w:val="0085611C"/>
    <w:rsid w:val="00857654"/>
    <w:rsid w:val="00857B62"/>
    <w:rsid w:val="00857DAE"/>
    <w:rsid w:val="008606B9"/>
    <w:rsid w:val="00860FFC"/>
    <w:rsid w:val="00861A5D"/>
    <w:rsid w:val="00861D9E"/>
    <w:rsid w:val="00862930"/>
    <w:rsid w:val="00862EBB"/>
    <w:rsid w:val="008631DD"/>
    <w:rsid w:val="00865ABB"/>
    <w:rsid w:val="00865FCD"/>
    <w:rsid w:val="008675CD"/>
    <w:rsid w:val="008703DB"/>
    <w:rsid w:val="00870A04"/>
    <w:rsid w:val="00870D07"/>
    <w:rsid w:val="00871A8D"/>
    <w:rsid w:val="008729A4"/>
    <w:rsid w:val="00872CE4"/>
    <w:rsid w:val="00874C29"/>
    <w:rsid w:val="00875212"/>
    <w:rsid w:val="00875534"/>
    <w:rsid w:val="00876CB5"/>
    <w:rsid w:val="00877E4D"/>
    <w:rsid w:val="0088119D"/>
    <w:rsid w:val="00881663"/>
    <w:rsid w:val="00882E04"/>
    <w:rsid w:val="00882EB5"/>
    <w:rsid w:val="008836C9"/>
    <w:rsid w:val="00884BA6"/>
    <w:rsid w:val="008858F6"/>
    <w:rsid w:val="00886A11"/>
    <w:rsid w:val="00890A9E"/>
    <w:rsid w:val="00890CF1"/>
    <w:rsid w:val="00891481"/>
    <w:rsid w:val="00891C8E"/>
    <w:rsid w:val="00892CDB"/>
    <w:rsid w:val="00892D76"/>
    <w:rsid w:val="00892DE8"/>
    <w:rsid w:val="008931EB"/>
    <w:rsid w:val="008946FE"/>
    <w:rsid w:val="00894F41"/>
    <w:rsid w:val="008953BF"/>
    <w:rsid w:val="008959F0"/>
    <w:rsid w:val="00895C8B"/>
    <w:rsid w:val="00896271"/>
    <w:rsid w:val="00896F7A"/>
    <w:rsid w:val="008A046E"/>
    <w:rsid w:val="008A6628"/>
    <w:rsid w:val="008B1C0E"/>
    <w:rsid w:val="008B1D39"/>
    <w:rsid w:val="008B2BE1"/>
    <w:rsid w:val="008B39D9"/>
    <w:rsid w:val="008B3F0E"/>
    <w:rsid w:val="008B4BF9"/>
    <w:rsid w:val="008B5573"/>
    <w:rsid w:val="008C32AB"/>
    <w:rsid w:val="008C35FD"/>
    <w:rsid w:val="008C3A97"/>
    <w:rsid w:val="008C6135"/>
    <w:rsid w:val="008C7706"/>
    <w:rsid w:val="008C7741"/>
    <w:rsid w:val="008C7BEB"/>
    <w:rsid w:val="008D39FF"/>
    <w:rsid w:val="008D5387"/>
    <w:rsid w:val="008D6647"/>
    <w:rsid w:val="008D7578"/>
    <w:rsid w:val="008E200B"/>
    <w:rsid w:val="008E2341"/>
    <w:rsid w:val="008E6991"/>
    <w:rsid w:val="008E7014"/>
    <w:rsid w:val="008F0B40"/>
    <w:rsid w:val="008F0CF1"/>
    <w:rsid w:val="008F1D6D"/>
    <w:rsid w:val="008F45EF"/>
    <w:rsid w:val="008F6AA2"/>
    <w:rsid w:val="008F71D3"/>
    <w:rsid w:val="00900116"/>
    <w:rsid w:val="009015ED"/>
    <w:rsid w:val="00901EC4"/>
    <w:rsid w:val="00901FC1"/>
    <w:rsid w:val="00904E9A"/>
    <w:rsid w:val="00906288"/>
    <w:rsid w:val="00907356"/>
    <w:rsid w:val="00907869"/>
    <w:rsid w:val="0090793B"/>
    <w:rsid w:val="00910795"/>
    <w:rsid w:val="0091080B"/>
    <w:rsid w:val="00910B36"/>
    <w:rsid w:val="0091635D"/>
    <w:rsid w:val="00916987"/>
    <w:rsid w:val="0091776B"/>
    <w:rsid w:val="00922592"/>
    <w:rsid w:val="00922911"/>
    <w:rsid w:val="0092308E"/>
    <w:rsid w:val="00923995"/>
    <w:rsid w:val="00926EE7"/>
    <w:rsid w:val="009306C6"/>
    <w:rsid w:val="00930E5F"/>
    <w:rsid w:val="00931F9B"/>
    <w:rsid w:val="009324A1"/>
    <w:rsid w:val="009324FE"/>
    <w:rsid w:val="009342AD"/>
    <w:rsid w:val="009354D8"/>
    <w:rsid w:val="009366A1"/>
    <w:rsid w:val="009401BF"/>
    <w:rsid w:val="0094041C"/>
    <w:rsid w:val="0094055B"/>
    <w:rsid w:val="00941545"/>
    <w:rsid w:val="00941F19"/>
    <w:rsid w:val="00942729"/>
    <w:rsid w:val="009437A7"/>
    <w:rsid w:val="00945DCD"/>
    <w:rsid w:val="00945FE5"/>
    <w:rsid w:val="00946789"/>
    <w:rsid w:val="00946F1D"/>
    <w:rsid w:val="0094755C"/>
    <w:rsid w:val="0095114F"/>
    <w:rsid w:val="00954FDC"/>
    <w:rsid w:val="00955047"/>
    <w:rsid w:val="00957E0C"/>
    <w:rsid w:val="009613A3"/>
    <w:rsid w:val="0096147D"/>
    <w:rsid w:val="00964D3A"/>
    <w:rsid w:val="00965552"/>
    <w:rsid w:val="0096574A"/>
    <w:rsid w:val="0096617A"/>
    <w:rsid w:val="00966734"/>
    <w:rsid w:val="00966D0A"/>
    <w:rsid w:val="00966E63"/>
    <w:rsid w:val="00966EE6"/>
    <w:rsid w:val="0097008C"/>
    <w:rsid w:val="009700E7"/>
    <w:rsid w:val="00973457"/>
    <w:rsid w:val="00975577"/>
    <w:rsid w:val="00975775"/>
    <w:rsid w:val="0097689B"/>
    <w:rsid w:val="0097728B"/>
    <w:rsid w:val="00980CE0"/>
    <w:rsid w:val="009810CE"/>
    <w:rsid w:val="0098149F"/>
    <w:rsid w:val="00981669"/>
    <w:rsid w:val="00981749"/>
    <w:rsid w:val="00982B86"/>
    <w:rsid w:val="009840B0"/>
    <w:rsid w:val="009869E5"/>
    <w:rsid w:val="0098708B"/>
    <w:rsid w:val="009875C2"/>
    <w:rsid w:val="00990636"/>
    <w:rsid w:val="009930AE"/>
    <w:rsid w:val="009937B6"/>
    <w:rsid w:val="0099499D"/>
    <w:rsid w:val="009953B0"/>
    <w:rsid w:val="00995F93"/>
    <w:rsid w:val="00996993"/>
    <w:rsid w:val="00996DE1"/>
    <w:rsid w:val="009A0191"/>
    <w:rsid w:val="009A0B72"/>
    <w:rsid w:val="009A10FB"/>
    <w:rsid w:val="009A19B4"/>
    <w:rsid w:val="009A1D1F"/>
    <w:rsid w:val="009A26FE"/>
    <w:rsid w:val="009A32F3"/>
    <w:rsid w:val="009A3390"/>
    <w:rsid w:val="009A3A2D"/>
    <w:rsid w:val="009A3F97"/>
    <w:rsid w:val="009A456E"/>
    <w:rsid w:val="009A6799"/>
    <w:rsid w:val="009A693B"/>
    <w:rsid w:val="009A71B6"/>
    <w:rsid w:val="009A7284"/>
    <w:rsid w:val="009A749E"/>
    <w:rsid w:val="009B018E"/>
    <w:rsid w:val="009B074B"/>
    <w:rsid w:val="009B090B"/>
    <w:rsid w:val="009B0A3E"/>
    <w:rsid w:val="009B460E"/>
    <w:rsid w:val="009B4DB7"/>
    <w:rsid w:val="009B5730"/>
    <w:rsid w:val="009B6DB8"/>
    <w:rsid w:val="009B7DCA"/>
    <w:rsid w:val="009C0761"/>
    <w:rsid w:val="009C110A"/>
    <w:rsid w:val="009C4888"/>
    <w:rsid w:val="009C5FF2"/>
    <w:rsid w:val="009C747C"/>
    <w:rsid w:val="009C7FD8"/>
    <w:rsid w:val="009D03AC"/>
    <w:rsid w:val="009D05BF"/>
    <w:rsid w:val="009D0798"/>
    <w:rsid w:val="009D19E0"/>
    <w:rsid w:val="009D2432"/>
    <w:rsid w:val="009D33DB"/>
    <w:rsid w:val="009D5AE6"/>
    <w:rsid w:val="009E0142"/>
    <w:rsid w:val="009E0C46"/>
    <w:rsid w:val="009E6131"/>
    <w:rsid w:val="009E75F9"/>
    <w:rsid w:val="009E77FC"/>
    <w:rsid w:val="009F064F"/>
    <w:rsid w:val="009F12E3"/>
    <w:rsid w:val="009F15EF"/>
    <w:rsid w:val="009F24D1"/>
    <w:rsid w:val="009F266C"/>
    <w:rsid w:val="009F31AC"/>
    <w:rsid w:val="009F4C1B"/>
    <w:rsid w:val="009F5DA5"/>
    <w:rsid w:val="009F69E1"/>
    <w:rsid w:val="009F7205"/>
    <w:rsid w:val="00A00684"/>
    <w:rsid w:val="00A01EFD"/>
    <w:rsid w:val="00A02E4D"/>
    <w:rsid w:val="00A03AC7"/>
    <w:rsid w:val="00A04B51"/>
    <w:rsid w:val="00A0509D"/>
    <w:rsid w:val="00A068B7"/>
    <w:rsid w:val="00A106FA"/>
    <w:rsid w:val="00A112E7"/>
    <w:rsid w:val="00A1183F"/>
    <w:rsid w:val="00A15101"/>
    <w:rsid w:val="00A15172"/>
    <w:rsid w:val="00A15738"/>
    <w:rsid w:val="00A17158"/>
    <w:rsid w:val="00A20856"/>
    <w:rsid w:val="00A2630C"/>
    <w:rsid w:val="00A27445"/>
    <w:rsid w:val="00A320D2"/>
    <w:rsid w:val="00A33300"/>
    <w:rsid w:val="00A35333"/>
    <w:rsid w:val="00A36250"/>
    <w:rsid w:val="00A36BD6"/>
    <w:rsid w:val="00A377F1"/>
    <w:rsid w:val="00A41CA5"/>
    <w:rsid w:val="00A42164"/>
    <w:rsid w:val="00A45D00"/>
    <w:rsid w:val="00A46BC3"/>
    <w:rsid w:val="00A50020"/>
    <w:rsid w:val="00A503F2"/>
    <w:rsid w:val="00A5088A"/>
    <w:rsid w:val="00A5113A"/>
    <w:rsid w:val="00A53297"/>
    <w:rsid w:val="00A5392E"/>
    <w:rsid w:val="00A5556E"/>
    <w:rsid w:val="00A56F7A"/>
    <w:rsid w:val="00A57C84"/>
    <w:rsid w:val="00A61FBA"/>
    <w:rsid w:val="00A63E68"/>
    <w:rsid w:val="00A648D2"/>
    <w:rsid w:val="00A648FB"/>
    <w:rsid w:val="00A665B8"/>
    <w:rsid w:val="00A6778D"/>
    <w:rsid w:val="00A677BE"/>
    <w:rsid w:val="00A72586"/>
    <w:rsid w:val="00A72A06"/>
    <w:rsid w:val="00A7351F"/>
    <w:rsid w:val="00A73D9B"/>
    <w:rsid w:val="00A7407E"/>
    <w:rsid w:val="00A74E2E"/>
    <w:rsid w:val="00A766B8"/>
    <w:rsid w:val="00A77E23"/>
    <w:rsid w:val="00A836DB"/>
    <w:rsid w:val="00A83CBD"/>
    <w:rsid w:val="00A83FE0"/>
    <w:rsid w:val="00A841E3"/>
    <w:rsid w:val="00A84A76"/>
    <w:rsid w:val="00A8579A"/>
    <w:rsid w:val="00A8620D"/>
    <w:rsid w:val="00A867EA"/>
    <w:rsid w:val="00A920ED"/>
    <w:rsid w:val="00A92AA7"/>
    <w:rsid w:val="00A92ACF"/>
    <w:rsid w:val="00A9412E"/>
    <w:rsid w:val="00A96C5C"/>
    <w:rsid w:val="00A96EED"/>
    <w:rsid w:val="00A971EB"/>
    <w:rsid w:val="00A97447"/>
    <w:rsid w:val="00AA0C7F"/>
    <w:rsid w:val="00AA0E37"/>
    <w:rsid w:val="00AA1E25"/>
    <w:rsid w:val="00AA2184"/>
    <w:rsid w:val="00AA2BDB"/>
    <w:rsid w:val="00AA65EF"/>
    <w:rsid w:val="00AB07FC"/>
    <w:rsid w:val="00AB0BCB"/>
    <w:rsid w:val="00AB3FD0"/>
    <w:rsid w:val="00AB4874"/>
    <w:rsid w:val="00AB6D21"/>
    <w:rsid w:val="00AB706C"/>
    <w:rsid w:val="00AB7635"/>
    <w:rsid w:val="00AB7D40"/>
    <w:rsid w:val="00AC0B44"/>
    <w:rsid w:val="00AC169A"/>
    <w:rsid w:val="00AC17BD"/>
    <w:rsid w:val="00AC2B08"/>
    <w:rsid w:val="00AC2D29"/>
    <w:rsid w:val="00AC3DDA"/>
    <w:rsid w:val="00AD0858"/>
    <w:rsid w:val="00AD159E"/>
    <w:rsid w:val="00AD3423"/>
    <w:rsid w:val="00AD3FA3"/>
    <w:rsid w:val="00AD5B07"/>
    <w:rsid w:val="00AE1905"/>
    <w:rsid w:val="00AE2804"/>
    <w:rsid w:val="00AE2F7F"/>
    <w:rsid w:val="00AE4760"/>
    <w:rsid w:val="00AE5366"/>
    <w:rsid w:val="00AE5935"/>
    <w:rsid w:val="00AE6558"/>
    <w:rsid w:val="00AE677E"/>
    <w:rsid w:val="00AF0B18"/>
    <w:rsid w:val="00AF1261"/>
    <w:rsid w:val="00AF27EF"/>
    <w:rsid w:val="00AF35AE"/>
    <w:rsid w:val="00AF4288"/>
    <w:rsid w:val="00AF4321"/>
    <w:rsid w:val="00AF727F"/>
    <w:rsid w:val="00AF7858"/>
    <w:rsid w:val="00B00632"/>
    <w:rsid w:val="00B02D93"/>
    <w:rsid w:val="00B03C70"/>
    <w:rsid w:val="00B0493F"/>
    <w:rsid w:val="00B05F78"/>
    <w:rsid w:val="00B11638"/>
    <w:rsid w:val="00B14B7E"/>
    <w:rsid w:val="00B15EDE"/>
    <w:rsid w:val="00B165AD"/>
    <w:rsid w:val="00B17992"/>
    <w:rsid w:val="00B20979"/>
    <w:rsid w:val="00B250E9"/>
    <w:rsid w:val="00B253DA"/>
    <w:rsid w:val="00B25BF9"/>
    <w:rsid w:val="00B26486"/>
    <w:rsid w:val="00B3066F"/>
    <w:rsid w:val="00B31413"/>
    <w:rsid w:val="00B318DD"/>
    <w:rsid w:val="00B31F28"/>
    <w:rsid w:val="00B32FDE"/>
    <w:rsid w:val="00B3485C"/>
    <w:rsid w:val="00B3551C"/>
    <w:rsid w:val="00B36091"/>
    <w:rsid w:val="00B3642B"/>
    <w:rsid w:val="00B4100F"/>
    <w:rsid w:val="00B4145E"/>
    <w:rsid w:val="00B41BA7"/>
    <w:rsid w:val="00B42098"/>
    <w:rsid w:val="00B44ADD"/>
    <w:rsid w:val="00B44C76"/>
    <w:rsid w:val="00B455A2"/>
    <w:rsid w:val="00B52440"/>
    <w:rsid w:val="00B530FB"/>
    <w:rsid w:val="00B55DD4"/>
    <w:rsid w:val="00B6041A"/>
    <w:rsid w:val="00B61231"/>
    <w:rsid w:val="00B62621"/>
    <w:rsid w:val="00B628A3"/>
    <w:rsid w:val="00B650BB"/>
    <w:rsid w:val="00B65DD7"/>
    <w:rsid w:val="00B66D36"/>
    <w:rsid w:val="00B70BA9"/>
    <w:rsid w:val="00B71045"/>
    <w:rsid w:val="00B716F5"/>
    <w:rsid w:val="00B76B5B"/>
    <w:rsid w:val="00B77E95"/>
    <w:rsid w:val="00B81EE5"/>
    <w:rsid w:val="00B836E8"/>
    <w:rsid w:val="00B837F7"/>
    <w:rsid w:val="00B840BB"/>
    <w:rsid w:val="00B841A4"/>
    <w:rsid w:val="00B871DD"/>
    <w:rsid w:val="00B87871"/>
    <w:rsid w:val="00B904BC"/>
    <w:rsid w:val="00B904BD"/>
    <w:rsid w:val="00B904C6"/>
    <w:rsid w:val="00B94F46"/>
    <w:rsid w:val="00B95D06"/>
    <w:rsid w:val="00B97024"/>
    <w:rsid w:val="00BA13CF"/>
    <w:rsid w:val="00BA1954"/>
    <w:rsid w:val="00BA3109"/>
    <w:rsid w:val="00BA3821"/>
    <w:rsid w:val="00BA4ED7"/>
    <w:rsid w:val="00BA5D51"/>
    <w:rsid w:val="00BA6DE7"/>
    <w:rsid w:val="00BA7063"/>
    <w:rsid w:val="00BB33FE"/>
    <w:rsid w:val="00BB399B"/>
    <w:rsid w:val="00BB546D"/>
    <w:rsid w:val="00BB57F2"/>
    <w:rsid w:val="00BB5C5F"/>
    <w:rsid w:val="00BB612A"/>
    <w:rsid w:val="00BB7BE1"/>
    <w:rsid w:val="00BC31ED"/>
    <w:rsid w:val="00BC378F"/>
    <w:rsid w:val="00BC679D"/>
    <w:rsid w:val="00BC6F1B"/>
    <w:rsid w:val="00BC7668"/>
    <w:rsid w:val="00BC7FCC"/>
    <w:rsid w:val="00BD1FA5"/>
    <w:rsid w:val="00BD2812"/>
    <w:rsid w:val="00BD2AA1"/>
    <w:rsid w:val="00BD4F83"/>
    <w:rsid w:val="00BD6825"/>
    <w:rsid w:val="00BD68F5"/>
    <w:rsid w:val="00BD6949"/>
    <w:rsid w:val="00BE1B0A"/>
    <w:rsid w:val="00BE2053"/>
    <w:rsid w:val="00BE4B8D"/>
    <w:rsid w:val="00BE5BB0"/>
    <w:rsid w:val="00BE5EB9"/>
    <w:rsid w:val="00BE6BAD"/>
    <w:rsid w:val="00BE7350"/>
    <w:rsid w:val="00BF07AF"/>
    <w:rsid w:val="00BF28EC"/>
    <w:rsid w:val="00BF3023"/>
    <w:rsid w:val="00BF30DF"/>
    <w:rsid w:val="00BF3C75"/>
    <w:rsid w:val="00BF4D37"/>
    <w:rsid w:val="00BF4FA6"/>
    <w:rsid w:val="00BF51F6"/>
    <w:rsid w:val="00BF67A4"/>
    <w:rsid w:val="00BF736A"/>
    <w:rsid w:val="00BF7C79"/>
    <w:rsid w:val="00BF7E00"/>
    <w:rsid w:val="00C021C5"/>
    <w:rsid w:val="00C024DE"/>
    <w:rsid w:val="00C02D9A"/>
    <w:rsid w:val="00C0323D"/>
    <w:rsid w:val="00C0414C"/>
    <w:rsid w:val="00C05A34"/>
    <w:rsid w:val="00C062CE"/>
    <w:rsid w:val="00C12240"/>
    <w:rsid w:val="00C12A4C"/>
    <w:rsid w:val="00C13F57"/>
    <w:rsid w:val="00C21672"/>
    <w:rsid w:val="00C228C9"/>
    <w:rsid w:val="00C23951"/>
    <w:rsid w:val="00C2434C"/>
    <w:rsid w:val="00C24A6F"/>
    <w:rsid w:val="00C24B25"/>
    <w:rsid w:val="00C24B71"/>
    <w:rsid w:val="00C25400"/>
    <w:rsid w:val="00C32B90"/>
    <w:rsid w:val="00C34FE2"/>
    <w:rsid w:val="00C355E3"/>
    <w:rsid w:val="00C35B06"/>
    <w:rsid w:val="00C36578"/>
    <w:rsid w:val="00C421E7"/>
    <w:rsid w:val="00C45175"/>
    <w:rsid w:val="00C45C27"/>
    <w:rsid w:val="00C466A2"/>
    <w:rsid w:val="00C479FE"/>
    <w:rsid w:val="00C47EB3"/>
    <w:rsid w:val="00C50B7E"/>
    <w:rsid w:val="00C51716"/>
    <w:rsid w:val="00C53ADD"/>
    <w:rsid w:val="00C56FCE"/>
    <w:rsid w:val="00C57F31"/>
    <w:rsid w:val="00C60BE2"/>
    <w:rsid w:val="00C62E07"/>
    <w:rsid w:val="00C630C0"/>
    <w:rsid w:val="00C6630D"/>
    <w:rsid w:val="00C70585"/>
    <w:rsid w:val="00C70E6B"/>
    <w:rsid w:val="00C70F4F"/>
    <w:rsid w:val="00C735C8"/>
    <w:rsid w:val="00C81A50"/>
    <w:rsid w:val="00C8225B"/>
    <w:rsid w:val="00C8247E"/>
    <w:rsid w:val="00C824BC"/>
    <w:rsid w:val="00C82F49"/>
    <w:rsid w:val="00C840F2"/>
    <w:rsid w:val="00C90624"/>
    <w:rsid w:val="00C9122B"/>
    <w:rsid w:val="00C91710"/>
    <w:rsid w:val="00C91CF5"/>
    <w:rsid w:val="00C92046"/>
    <w:rsid w:val="00C9347A"/>
    <w:rsid w:val="00C93969"/>
    <w:rsid w:val="00C954F2"/>
    <w:rsid w:val="00C9683B"/>
    <w:rsid w:val="00C97CBA"/>
    <w:rsid w:val="00CA012F"/>
    <w:rsid w:val="00CA03A3"/>
    <w:rsid w:val="00CA03E4"/>
    <w:rsid w:val="00CA0EF6"/>
    <w:rsid w:val="00CA2C2E"/>
    <w:rsid w:val="00CA31DB"/>
    <w:rsid w:val="00CA368F"/>
    <w:rsid w:val="00CA5325"/>
    <w:rsid w:val="00CA54C7"/>
    <w:rsid w:val="00CA7EEA"/>
    <w:rsid w:val="00CB0DB8"/>
    <w:rsid w:val="00CB3D54"/>
    <w:rsid w:val="00CB5E73"/>
    <w:rsid w:val="00CB6363"/>
    <w:rsid w:val="00CB6B10"/>
    <w:rsid w:val="00CB71A5"/>
    <w:rsid w:val="00CB78B8"/>
    <w:rsid w:val="00CC09E1"/>
    <w:rsid w:val="00CC22E5"/>
    <w:rsid w:val="00CC2BDA"/>
    <w:rsid w:val="00CC41C9"/>
    <w:rsid w:val="00CC7637"/>
    <w:rsid w:val="00CD1F7C"/>
    <w:rsid w:val="00CD22B4"/>
    <w:rsid w:val="00CD22FD"/>
    <w:rsid w:val="00CD33AB"/>
    <w:rsid w:val="00CD4714"/>
    <w:rsid w:val="00CD5DA8"/>
    <w:rsid w:val="00CD5E71"/>
    <w:rsid w:val="00CD7088"/>
    <w:rsid w:val="00CD73CF"/>
    <w:rsid w:val="00CD7AEF"/>
    <w:rsid w:val="00CE0520"/>
    <w:rsid w:val="00CE263C"/>
    <w:rsid w:val="00CE3DCA"/>
    <w:rsid w:val="00CE4795"/>
    <w:rsid w:val="00CE63BA"/>
    <w:rsid w:val="00CE7441"/>
    <w:rsid w:val="00CE7ECF"/>
    <w:rsid w:val="00CF172B"/>
    <w:rsid w:val="00CF1C70"/>
    <w:rsid w:val="00CF291C"/>
    <w:rsid w:val="00CF4B54"/>
    <w:rsid w:val="00CF579A"/>
    <w:rsid w:val="00D011AF"/>
    <w:rsid w:val="00D02A38"/>
    <w:rsid w:val="00D02CDB"/>
    <w:rsid w:val="00D060F5"/>
    <w:rsid w:val="00D061F7"/>
    <w:rsid w:val="00D06613"/>
    <w:rsid w:val="00D07C47"/>
    <w:rsid w:val="00D119E0"/>
    <w:rsid w:val="00D1264E"/>
    <w:rsid w:val="00D12679"/>
    <w:rsid w:val="00D13FCC"/>
    <w:rsid w:val="00D15B9A"/>
    <w:rsid w:val="00D15C72"/>
    <w:rsid w:val="00D15D80"/>
    <w:rsid w:val="00D163C4"/>
    <w:rsid w:val="00D17D8C"/>
    <w:rsid w:val="00D22932"/>
    <w:rsid w:val="00D2307C"/>
    <w:rsid w:val="00D23BE8"/>
    <w:rsid w:val="00D24DED"/>
    <w:rsid w:val="00D251B5"/>
    <w:rsid w:val="00D26793"/>
    <w:rsid w:val="00D273F1"/>
    <w:rsid w:val="00D27953"/>
    <w:rsid w:val="00D307AC"/>
    <w:rsid w:val="00D30FCC"/>
    <w:rsid w:val="00D32D6D"/>
    <w:rsid w:val="00D330EC"/>
    <w:rsid w:val="00D334C0"/>
    <w:rsid w:val="00D34610"/>
    <w:rsid w:val="00D35E77"/>
    <w:rsid w:val="00D35F50"/>
    <w:rsid w:val="00D36619"/>
    <w:rsid w:val="00D366DC"/>
    <w:rsid w:val="00D440EA"/>
    <w:rsid w:val="00D4473F"/>
    <w:rsid w:val="00D450F4"/>
    <w:rsid w:val="00D45431"/>
    <w:rsid w:val="00D50E97"/>
    <w:rsid w:val="00D61D2D"/>
    <w:rsid w:val="00D62FEB"/>
    <w:rsid w:val="00D631D5"/>
    <w:rsid w:val="00D70370"/>
    <w:rsid w:val="00D7086E"/>
    <w:rsid w:val="00D71DCC"/>
    <w:rsid w:val="00D736C1"/>
    <w:rsid w:val="00D744E3"/>
    <w:rsid w:val="00D774D6"/>
    <w:rsid w:val="00D8223C"/>
    <w:rsid w:val="00D829FE"/>
    <w:rsid w:val="00D84C15"/>
    <w:rsid w:val="00D84E89"/>
    <w:rsid w:val="00D85475"/>
    <w:rsid w:val="00D85D15"/>
    <w:rsid w:val="00D87DC8"/>
    <w:rsid w:val="00D9044D"/>
    <w:rsid w:val="00D92085"/>
    <w:rsid w:val="00D92A15"/>
    <w:rsid w:val="00D9567D"/>
    <w:rsid w:val="00D97792"/>
    <w:rsid w:val="00DA2563"/>
    <w:rsid w:val="00DA3144"/>
    <w:rsid w:val="00DA380B"/>
    <w:rsid w:val="00DA46BF"/>
    <w:rsid w:val="00DA5D2B"/>
    <w:rsid w:val="00DA6E85"/>
    <w:rsid w:val="00DB026D"/>
    <w:rsid w:val="00DB55BF"/>
    <w:rsid w:val="00DB6DE4"/>
    <w:rsid w:val="00DB7459"/>
    <w:rsid w:val="00DC0AE8"/>
    <w:rsid w:val="00DC1E56"/>
    <w:rsid w:val="00DC22A3"/>
    <w:rsid w:val="00DC2870"/>
    <w:rsid w:val="00DC357F"/>
    <w:rsid w:val="00DC499D"/>
    <w:rsid w:val="00DC530E"/>
    <w:rsid w:val="00DC6F4D"/>
    <w:rsid w:val="00DC7034"/>
    <w:rsid w:val="00DC7123"/>
    <w:rsid w:val="00DD0935"/>
    <w:rsid w:val="00DD413C"/>
    <w:rsid w:val="00DD5620"/>
    <w:rsid w:val="00DD5A57"/>
    <w:rsid w:val="00DD69FD"/>
    <w:rsid w:val="00DE3995"/>
    <w:rsid w:val="00DE3D4E"/>
    <w:rsid w:val="00DE499C"/>
    <w:rsid w:val="00DE51E6"/>
    <w:rsid w:val="00DE7383"/>
    <w:rsid w:val="00DF29E0"/>
    <w:rsid w:val="00E006C0"/>
    <w:rsid w:val="00E010C0"/>
    <w:rsid w:val="00E02410"/>
    <w:rsid w:val="00E0297A"/>
    <w:rsid w:val="00E056E2"/>
    <w:rsid w:val="00E05CD7"/>
    <w:rsid w:val="00E1005E"/>
    <w:rsid w:val="00E121FC"/>
    <w:rsid w:val="00E12587"/>
    <w:rsid w:val="00E12AF3"/>
    <w:rsid w:val="00E1692B"/>
    <w:rsid w:val="00E16DE5"/>
    <w:rsid w:val="00E17C56"/>
    <w:rsid w:val="00E2069A"/>
    <w:rsid w:val="00E20CEB"/>
    <w:rsid w:val="00E2623C"/>
    <w:rsid w:val="00E311A1"/>
    <w:rsid w:val="00E335B6"/>
    <w:rsid w:val="00E34833"/>
    <w:rsid w:val="00E34AA5"/>
    <w:rsid w:val="00E34FF9"/>
    <w:rsid w:val="00E35CFB"/>
    <w:rsid w:val="00E40272"/>
    <w:rsid w:val="00E41690"/>
    <w:rsid w:val="00E4229F"/>
    <w:rsid w:val="00E422C7"/>
    <w:rsid w:val="00E45AB6"/>
    <w:rsid w:val="00E47291"/>
    <w:rsid w:val="00E50150"/>
    <w:rsid w:val="00E53529"/>
    <w:rsid w:val="00E53FDA"/>
    <w:rsid w:val="00E54D24"/>
    <w:rsid w:val="00E54DB3"/>
    <w:rsid w:val="00E56210"/>
    <w:rsid w:val="00E56EAE"/>
    <w:rsid w:val="00E5757F"/>
    <w:rsid w:val="00E603D7"/>
    <w:rsid w:val="00E638EA"/>
    <w:rsid w:val="00E656AA"/>
    <w:rsid w:val="00E66181"/>
    <w:rsid w:val="00E66C53"/>
    <w:rsid w:val="00E6736C"/>
    <w:rsid w:val="00E6785B"/>
    <w:rsid w:val="00E67BB4"/>
    <w:rsid w:val="00E705A5"/>
    <w:rsid w:val="00E715AA"/>
    <w:rsid w:val="00E72A65"/>
    <w:rsid w:val="00E7531B"/>
    <w:rsid w:val="00E761CC"/>
    <w:rsid w:val="00E76696"/>
    <w:rsid w:val="00E76A25"/>
    <w:rsid w:val="00E77A12"/>
    <w:rsid w:val="00E82AD8"/>
    <w:rsid w:val="00E8351B"/>
    <w:rsid w:val="00E847F7"/>
    <w:rsid w:val="00E8563B"/>
    <w:rsid w:val="00E86281"/>
    <w:rsid w:val="00E87230"/>
    <w:rsid w:val="00E872AD"/>
    <w:rsid w:val="00E87666"/>
    <w:rsid w:val="00E90187"/>
    <w:rsid w:val="00E9078D"/>
    <w:rsid w:val="00E912E2"/>
    <w:rsid w:val="00E91776"/>
    <w:rsid w:val="00E91F35"/>
    <w:rsid w:val="00E92B97"/>
    <w:rsid w:val="00E9657A"/>
    <w:rsid w:val="00E96D5C"/>
    <w:rsid w:val="00EA1BD1"/>
    <w:rsid w:val="00EB1A1D"/>
    <w:rsid w:val="00EC22AB"/>
    <w:rsid w:val="00EC3FE2"/>
    <w:rsid w:val="00EC4B99"/>
    <w:rsid w:val="00EC7068"/>
    <w:rsid w:val="00EC7DD2"/>
    <w:rsid w:val="00ED2BB4"/>
    <w:rsid w:val="00ED3584"/>
    <w:rsid w:val="00ED4027"/>
    <w:rsid w:val="00ED60D0"/>
    <w:rsid w:val="00ED6C3C"/>
    <w:rsid w:val="00ED76F3"/>
    <w:rsid w:val="00ED7DB6"/>
    <w:rsid w:val="00EE1040"/>
    <w:rsid w:val="00EE21F8"/>
    <w:rsid w:val="00EE2E7A"/>
    <w:rsid w:val="00EE2F7B"/>
    <w:rsid w:val="00EE3B90"/>
    <w:rsid w:val="00EE53E1"/>
    <w:rsid w:val="00EE65FD"/>
    <w:rsid w:val="00EE66C4"/>
    <w:rsid w:val="00EE687C"/>
    <w:rsid w:val="00EE76F2"/>
    <w:rsid w:val="00EE7F58"/>
    <w:rsid w:val="00EF0CEA"/>
    <w:rsid w:val="00EF18C4"/>
    <w:rsid w:val="00EF35ED"/>
    <w:rsid w:val="00EF3B3E"/>
    <w:rsid w:val="00EF41E5"/>
    <w:rsid w:val="00EF4B01"/>
    <w:rsid w:val="00EF51F5"/>
    <w:rsid w:val="00F00A1D"/>
    <w:rsid w:val="00F01518"/>
    <w:rsid w:val="00F06D4E"/>
    <w:rsid w:val="00F06EE8"/>
    <w:rsid w:val="00F10359"/>
    <w:rsid w:val="00F1099B"/>
    <w:rsid w:val="00F112FD"/>
    <w:rsid w:val="00F11777"/>
    <w:rsid w:val="00F1211D"/>
    <w:rsid w:val="00F13338"/>
    <w:rsid w:val="00F141A0"/>
    <w:rsid w:val="00F1438C"/>
    <w:rsid w:val="00F15103"/>
    <w:rsid w:val="00F15461"/>
    <w:rsid w:val="00F16187"/>
    <w:rsid w:val="00F224E3"/>
    <w:rsid w:val="00F233B5"/>
    <w:rsid w:val="00F2452B"/>
    <w:rsid w:val="00F24FE1"/>
    <w:rsid w:val="00F2619A"/>
    <w:rsid w:val="00F2710C"/>
    <w:rsid w:val="00F2729C"/>
    <w:rsid w:val="00F31B29"/>
    <w:rsid w:val="00F31FED"/>
    <w:rsid w:val="00F321DC"/>
    <w:rsid w:val="00F3403B"/>
    <w:rsid w:val="00F37934"/>
    <w:rsid w:val="00F37DC2"/>
    <w:rsid w:val="00F41097"/>
    <w:rsid w:val="00F41962"/>
    <w:rsid w:val="00F42632"/>
    <w:rsid w:val="00F42B8A"/>
    <w:rsid w:val="00F437B8"/>
    <w:rsid w:val="00F4666F"/>
    <w:rsid w:val="00F51285"/>
    <w:rsid w:val="00F5283D"/>
    <w:rsid w:val="00F52CD7"/>
    <w:rsid w:val="00F543FA"/>
    <w:rsid w:val="00F6004B"/>
    <w:rsid w:val="00F60674"/>
    <w:rsid w:val="00F61041"/>
    <w:rsid w:val="00F61283"/>
    <w:rsid w:val="00F654E8"/>
    <w:rsid w:val="00F65CFD"/>
    <w:rsid w:val="00F66864"/>
    <w:rsid w:val="00F72FCF"/>
    <w:rsid w:val="00F756C3"/>
    <w:rsid w:val="00F767C2"/>
    <w:rsid w:val="00F806F1"/>
    <w:rsid w:val="00F817AD"/>
    <w:rsid w:val="00F8450E"/>
    <w:rsid w:val="00F84C5B"/>
    <w:rsid w:val="00F90B1B"/>
    <w:rsid w:val="00F933D8"/>
    <w:rsid w:val="00F94DA0"/>
    <w:rsid w:val="00F97519"/>
    <w:rsid w:val="00FA2416"/>
    <w:rsid w:val="00FA386D"/>
    <w:rsid w:val="00FA6AA1"/>
    <w:rsid w:val="00FA6BE0"/>
    <w:rsid w:val="00FA72A6"/>
    <w:rsid w:val="00FA754C"/>
    <w:rsid w:val="00FB0525"/>
    <w:rsid w:val="00FB21A6"/>
    <w:rsid w:val="00FB2314"/>
    <w:rsid w:val="00FB2B29"/>
    <w:rsid w:val="00FB558D"/>
    <w:rsid w:val="00FB5939"/>
    <w:rsid w:val="00FB6276"/>
    <w:rsid w:val="00FB637F"/>
    <w:rsid w:val="00FB7217"/>
    <w:rsid w:val="00FC02BF"/>
    <w:rsid w:val="00FC08E6"/>
    <w:rsid w:val="00FC1561"/>
    <w:rsid w:val="00FC212C"/>
    <w:rsid w:val="00FC2AF7"/>
    <w:rsid w:val="00FD03E2"/>
    <w:rsid w:val="00FD06BC"/>
    <w:rsid w:val="00FD2465"/>
    <w:rsid w:val="00FD6B4B"/>
    <w:rsid w:val="00FD7E63"/>
    <w:rsid w:val="00FE1245"/>
    <w:rsid w:val="00FE19AC"/>
    <w:rsid w:val="00FE2336"/>
    <w:rsid w:val="00FE4098"/>
    <w:rsid w:val="00FE5627"/>
    <w:rsid w:val="00FF0BA2"/>
    <w:rsid w:val="00FF2520"/>
    <w:rsid w:val="00FF3930"/>
    <w:rsid w:val="00FF4215"/>
    <w:rsid w:val="00FF48D6"/>
    <w:rsid w:val="00FF4C4F"/>
    <w:rsid w:val="00FF4C85"/>
    <w:rsid w:val="00FF4D7D"/>
    <w:rsid w:val="00FF566C"/>
    <w:rsid w:val="00FF7770"/>
    <w:rsid w:val="00FF7BA0"/>
    <w:rsid w:val="01073EEA"/>
    <w:rsid w:val="012E2284"/>
    <w:rsid w:val="014A102B"/>
    <w:rsid w:val="01541EA9"/>
    <w:rsid w:val="018362EB"/>
    <w:rsid w:val="018F2EE2"/>
    <w:rsid w:val="019422A6"/>
    <w:rsid w:val="01AC5842"/>
    <w:rsid w:val="01EC5C3E"/>
    <w:rsid w:val="02377801"/>
    <w:rsid w:val="02614AEE"/>
    <w:rsid w:val="02741E8A"/>
    <w:rsid w:val="029307AF"/>
    <w:rsid w:val="02AB78A7"/>
    <w:rsid w:val="02B32C00"/>
    <w:rsid w:val="02C44E0D"/>
    <w:rsid w:val="030376E3"/>
    <w:rsid w:val="03415CF6"/>
    <w:rsid w:val="03465822"/>
    <w:rsid w:val="034877EC"/>
    <w:rsid w:val="035C02E7"/>
    <w:rsid w:val="03791753"/>
    <w:rsid w:val="039667A9"/>
    <w:rsid w:val="03F23E6F"/>
    <w:rsid w:val="040C25C7"/>
    <w:rsid w:val="04702B56"/>
    <w:rsid w:val="048815E2"/>
    <w:rsid w:val="04B862AB"/>
    <w:rsid w:val="04BC368C"/>
    <w:rsid w:val="04C3537C"/>
    <w:rsid w:val="04DA2804"/>
    <w:rsid w:val="04FD5688"/>
    <w:rsid w:val="051A5D86"/>
    <w:rsid w:val="053412CC"/>
    <w:rsid w:val="054B35C3"/>
    <w:rsid w:val="0580326D"/>
    <w:rsid w:val="05816FE5"/>
    <w:rsid w:val="05C64F69"/>
    <w:rsid w:val="05D62C76"/>
    <w:rsid w:val="0603313C"/>
    <w:rsid w:val="06B50CF4"/>
    <w:rsid w:val="06CA0F4B"/>
    <w:rsid w:val="06CB684B"/>
    <w:rsid w:val="0701218C"/>
    <w:rsid w:val="07397B77"/>
    <w:rsid w:val="07403B48"/>
    <w:rsid w:val="074B4542"/>
    <w:rsid w:val="078B42EC"/>
    <w:rsid w:val="07E01DA1"/>
    <w:rsid w:val="07FC5C4D"/>
    <w:rsid w:val="0884412C"/>
    <w:rsid w:val="08B5190C"/>
    <w:rsid w:val="08DD4532"/>
    <w:rsid w:val="090546AC"/>
    <w:rsid w:val="091B505B"/>
    <w:rsid w:val="09544BC8"/>
    <w:rsid w:val="096802A0"/>
    <w:rsid w:val="096909F8"/>
    <w:rsid w:val="099F5881"/>
    <w:rsid w:val="09CD0A4B"/>
    <w:rsid w:val="09DF2111"/>
    <w:rsid w:val="09EB7C1C"/>
    <w:rsid w:val="0A4A3E4A"/>
    <w:rsid w:val="0A5D7472"/>
    <w:rsid w:val="0A6B478F"/>
    <w:rsid w:val="0A7C0731"/>
    <w:rsid w:val="0AAA48E8"/>
    <w:rsid w:val="0AD11E75"/>
    <w:rsid w:val="0B073AE9"/>
    <w:rsid w:val="0B5A00BC"/>
    <w:rsid w:val="0B8A6024"/>
    <w:rsid w:val="0BA702E7"/>
    <w:rsid w:val="0BC67500"/>
    <w:rsid w:val="0BE12CEF"/>
    <w:rsid w:val="0BF73B5D"/>
    <w:rsid w:val="0C0F70F9"/>
    <w:rsid w:val="0C1069CD"/>
    <w:rsid w:val="0C177C63"/>
    <w:rsid w:val="0C2B01F2"/>
    <w:rsid w:val="0C442D39"/>
    <w:rsid w:val="0C774C9E"/>
    <w:rsid w:val="0CF137AD"/>
    <w:rsid w:val="0D38442D"/>
    <w:rsid w:val="0D6916C7"/>
    <w:rsid w:val="0D7B6C30"/>
    <w:rsid w:val="0DF20A80"/>
    <w:rsid w:val="0E175629"/>
    <w:rsid w:val="0E4868F2"/>
    <w:rsid w:val="0E5E1C72"/>
    <w:rsid w:val="0E7E40C2"/>
    <w:rsid w:val="0E8B5099"/>
    <w:rsid w:val="0EB6385C"/>
    <w:rsid w:val="0EC75245"/>
    <w:rsid w:val="0EEA4289"/>
    <w:rsid w:val="0EF84D38"/>
    <w:rsid w:val="0F5D017B"/>
    <w:rsid w:val="0F83329A"/>
    <w:rsid w:val="0FB71F81"/>
    <w:rsid w:val="0FC3503C"/>
    <w:rsid w:val="0FCE32B0"/>
    <w:rsid w:val="0FF83C25"/>
    <w:rsid w:val="103203DE"/>
    <w:rsid w:val="10710382"/>
    <w:rsid w:val="1125116C"/>
    <w:rsid w:val="114C494B"/>
    <w:rsid w:val="11553800"/>
    <w:rsid w:val="11765FD1"/>
    <w:rsid w:val="11934328"/>
    <w:rsid w:val="11943BFC"/>
    <w:rsid w:val="11A80796"/>
    <w:rsid w:val="11BC011F"/>
    <w:rsid w:val="11CE710E"/>
    <w:rsid w:val="11DC67DA"/>
    <w:rsid w:val="11E62C1D"/>
    <w:rsid w:val="11E903EC"/>
    <w:rsid w:val="120945EA"/>
    <w:rsid w:val="120E39AF"/>
    <w:rsid w:val="12255CB7"/>
    <w:rsid w:val="12371157"/>
    <w:rsid w:val="123F24AA"/>
    <w:rsid w:val="125A2040"/>
    <w:rsid w:val="12785A55"/>
    <w:rsid w:val="1283439D"/>
    <w:rsid w:val="12902616"/>
    <w:rsid w:val="12D63E94"/>
    <w:rsid w:val="12D86756"/>
    <w:rsid w:val="135C4810"/>
    <w:rsid w:val="137B1518"/>
    <w:rsid w:val="139B5716"/>
    <w:rsid w:val="13A20852"/>
    <w:rsid w:val="14076907"/>
    <w:rsid w:val="1421789F"/>
    <w:rsid w:val="14551D69"/>
    <w:rsid w:val="14643D5A"/>
    <w:rsid w:val="146855F8"/>
    <w:rsid w:val="14702016"/>
    <w:rsid w:val="148E7DB7"/>
    <w:rsid w:val="14AD5701"/>
    <w:rsid w:val="14C64A14"/>
    <w:rsid w:val="14E37374"/>
    <w:rsid w:val="15521101"/>
    <w:rsid w:val="15545B7C"/>
    <w:rsid w:val="15D90A9B"/>
    <w:rsid w:val="160E6673"/>
    <w:rsid w:val="16526560"/>
    <w:rsid w:val="16EF0253"/>
    <w:rsid w:val="16FE2244"/>
    <w:rsid w:val="17101F77"/>
    <w:rsid w:val="172D2B29"/>
    <w:rsid w:val="17544559"/>
    <w:rsid w:val="17793FC0"/>
    <w:rsid w:val="17996410"/>
    <w:rsid w:val="17A45E25"/>
    <w:rsid w:val="17B44FF8"/>
    <w:rsid w:val="17D9680D"/>
    <w:rsid w:val="17EE6794"/>
    <w:rsid w:val="1816180F"/>
    <w:rsid w:val="183973F1"/>
    <w:rsid w:val="18421C82"/>
    <w:rsid w:val="1853036D"/>
    <w:rsid w:val="18932E60"/>
    <w:rsid w:val="18F71640"/>
    <w:rsid w:val="19742C91"/>
    <w:rsid w:val="199B021E"/>
    <w:rsid w:val="19AD646C"/>
    <w:rsid w:val="19B90EF2"/>
    <w:rsid w:val="19E219A9"/>
    <w:rsid w:val="1A02029D"/>
    <w:rsid w:val="1A2E40E5"/>
    <w:rsid w:val="1A4B0B32"/>
    <w:rsid w:val="1A6352C4"/>
    <w:rsid w:val="1A89451A"/>
    <w:rsid w:val="1A961EAB"/>
    <w:rsid w:val="1AAB623F"/>
    <w:rsid w:val="1AB62CA6"/>
    <w:rsid w:val="1B040045"/>
    <w:rsid w:val="1B661967"/>
    <w:rsid w:val="1BA550D1"/>
    <w:rsid w:val="1BA96177"/>
    <w:rsid w:val="1BB9313E"/>
    <w:rsid w:val="1C00080C"/>
    <w:rsid w:val="1C016E0E"/>
    <w:rsid w:val="1C44694B"/>
    <w:rsid w:val="1C5D5C5E"/>
    <w:rsid w:val="1C6A7A58"/>
    <w:rsid w:val="1C70131B"/>
    <w:rsid w:val="1C76287C"/>
    <w:rsid w:val="1CAB5593"/>
    <w:rsid w:val="1CC21F65"/>
    <w:rsid w:val="1CCB0E1A"/>
    <w:rsid w:val="1CDB1137"/>
    <w:rsid w:val="1CDC489E"/>
    <w:rsid w:val="1CF739BD"/>
    <w:rsid w:val="1CFA525B"/>
    <w:rsid w:val="1CFE623E"/>
    <w:rsid w:val="1D1B1F25"/>
    <w:rsid w:val="1D1C78C7"/>
    <w:rsid w:val="1D2207B9"/>
    <w:rsid w:val="1D4026A8"/>
    <w:rsid w:val="1D436C02"/>
    <w:rsid w:val="1D4448D9"/>
    <w:rsid w:val="1D6A0633"/>
    <w:rsid w:val="1D6B1ED1"/>
    <w:rsid w:val="1D8B2357"/>
    <w:rsid w:val="1DD12460"/>
    <w:rsid w:val="1DEB1048"/>
    <w:rsid w:val="1E1665EA"/>
    <w:rsid w:val="1E19760E"/>
    <w:rsid w:val="1E2277E6"/>
    <w:rsid w:val="1E2A35D7"/>
    <w:rsid w:val="1E37603B"/>
    <w:rsid w:val="1E522E75"/>
    <w:rsid w:val="1E6F2058"/>
    <w:rsid w:val="1EC15C9C"/>
    <w:rsid w:val="1F106FB8"/>
    <w:rsid w:val="1F2111C5"/>
    <w:rsid w:val="1F861028"/>
    <w:rsid w:val="1FBA5176"/>
    <w:rsid w:val="1FBF278C"/>
    <w:rsid w:val="20071E19"/>
    <w:rsid w:val="200919D3"/>
    <w:rsid w:val="200F101E"/>
    <w:rsid w:val="20286583"/>
    <w:rsid w:val="203543E6"/>
    <w:rsid w:val="2040730C"/>
    <w:rsid w:val="20410F91"/>
    <w:rsid w:val="208F03B0"/>
    <w:rsid w:val="20994D8B"/>
    <w:rsid w:val="209B4FA7"/>
    <w:rsid w:val="20A918DB"/>
    <w:rsid w:val="20C7005C"/>
    <w:rsid w:val="20C938C2"/>
    <w:rsid w:val="20DA787E"/>
    <w:rsid w:val="20EA3839"/>
    <w:rsid w:val="213F3B84"/>
    <w:rsid w:val="21457AA6"/>
    <w:rsid w:val="215F5FD5"/>
    <w:rsid w:val="2160757F"/>
    <w:rsid w:val="21617F9F"/>
    <w:rsid w:val="2169425B"/>
    <w:rsid w:val="21701F90"/>
    <w:rsid w:val="21817CF9"/>
    <w:rsid w:val="21DC13D3"/>
    <w:rsid w:val="21FC7CC7"/>
    <w:rsid w:val="220821C8"/>
    <w:rsid w:val="224F6049"/>
    <w:rsid w:val="22633F3F"/>
    <w:rsid w:val="22661210"/>
    <w:rsid w:val="229C1B6E"/>
    <w:rsid w:val="22A719E1"/>
    <w:rsid w:val="22B44975"/>
    <w:rsid w:val="22D034C2"/>
    <w:rsid w:val="22EB2BDA"/>
    <w:rsid w:val="230B2DFF"/>
    <w:rsid w:val="233C481F"/>
    <w:rsid w:val="23566F63"/>
    <w:rsid w:val="236E69A3"/>
    <w:rsid w:val="23827D58"/>
    <w:rsid w:val="23DF164F"/>
    <w:rsid w:val="23FA0237"/>
    <w:rsid w:val="244871F4"/>
    <w:rsid w:val="24586AC6"/>
    <w:rsid w:val="24732C75"/>
    <w:rsid w:val="248144B4"/>
    <w:rsid w:val="24816262"/>
    <w:rsid w:val="24A00DDE"/>
    <w:rsid w:val="24A51F50"/>
    <w:rsid w:val="24B0423F"/>
    <w:rsid w:val="24BF1897"/>
    <w:rsid w:val="24CF417D"/>
    <w:rsid w:val="24DD1691"/>
    <w:rsid w:val="24DD17C0"/>
    <w:rsid w:val="24E65B35"/>
    <w:rsid w:val="24E707BB"/>
    <w:rsid w:val="25237319"/>
    <w:rsid w:val="255676EF"/>
    <w:rsid w:val="2566249D"/>
    <w:rsid w:val="25696723"/>
    <w:rsid w:val="25D7082F"/>
    <w:rsid w:val="25EF714A"/>
    <w:rsid w:val="25FA2770"/>
    <w:rsid w:val="261F3F85"/>
    <w:rsid w:val="2629095F"/>
    <w:rsid w:val="26345C82"/>
    <w:rsid w:val="26393298"/>
    <w:rsid w:val="269D1521"/>
    <w:rsid w:val="26A12BEB"/>
    <w:rsid w:val="26C03072"/>
    <w:rsid w:val="26F25034"/>
    <w:rsid w:val="26F2791B"/>
    <w:rsid w:val="278F0C96"/>
    <w:rsid w:val="27A72C93"/>
    <w:rsid w:val="27B9274C"/>
    <w:rsid w:val="27E9484A"/>
    <w:rsid w:val="27FF5E1C"/>
    <w:rsid w:val="284B5B2B"/>
    <w:rsid w:val="2851632F"/>
    <w:rsid w:val="2852419D"/>
    <w:rsid w:val="28AA222B"/>
    <w:rsid w:val="28C21D69"/>
    <w:rsid w:val="290D4D9A"/>
    <w:rsid w:val="2946482C"/>
    <w:rsid w:val="2963618A"/>
    <w:rsid w:val="29870F46"/>
    <w:rsid w:val="2989303D"/>
    <w:rsid w:val="29E51041"/>
    <w:rsid w:val="2A1E44A1"/>
    <w:rsid w:val="2A24600D"/>
    <w:rsid w:val="2A4E308A"/>
    <w:rsid w:val="2A9A62D0"/>
    <w:rsid w:val="2AF52EA6"/>
    <w:rsid w:val="2B2F07C6"/>
    <w:rsid w:val="2B7345A8"/>
    <w:rsid w:val="2B8A00F2"/>
    <w:rsid w:val="2BB94533"/>
    <w:rsid w:val="2BCE7716"/>
    <w:rsid w:val="2BDB094E"/>
    <w:rsid w:val="2C1520B2"/>
    <w:rsid w:val="2C167BD8"/>
    <w:rsid w:val="2C73041D"/>
    <w:rsid w:val="2C792640"/>
    <w:rsid w:val="2CA174A1"/>
    <w:rsid w:val="2CAD22EA"/>
    <w:rsid w:val="2CD258AD"/>
    <w:rsid w:val="2CD87B57"/>
    <w:rsid w:val="2D1759B5"/>
    <w:rsid w:val="2D1B68AA"/>
    <w:rsid w:val="2D662499"/>
    <w:rsid w:val="2D8172D3"/>
    <w:rsid w:val="2D856CCB"/>
    <w:rsid w:val="2D9E1C33"/>
    <w:rsid w:val="2DBD030B"/>
    <w:rsid w:val="2DC93154"/>
    <w:rsid w:val="2E0028ED"/>
    <w:rsid w:val="2E031E2E"/>
    <w:rsid w:val="2E04418C"/>
    <w:rsid w:val="2E130F54"/>
    <w:rsid w:val="2E4B1DBB"/>
    <w:rsid w:val="2E50690A"/>
    <w:rsid w:val="2E5A0250"/>
    <w:rsid w:val="2E5E1B7B"/>
    <w:rsid w:val="2E7B1F74"/>
    <w:rsid w:val="2E8048AF"/>
    <w:rsid w:val="2EA4771D"/>
    <w:rsid w:val="2EA65A14"/>
    <w:rsid w:val="2EB96AE5"/>
    <w:rsid w:val="2EF97A69"/>
    <w:rsid w:val="2F083808"/>
    <w:rsid w:val="2F1C4306"/>
    <w:rsid w:val="2F266384"/>
    <w:rsid w:val="2F3E7229"/>
    <w:rsid w:val="2FE37DD1"/>
    <w:rsid w:val="30140C31"/>
    <w:rsid w:val="306B04F2"/>
    <w:rsid w:val="30977539"/>
    <w:rsid w:val="309D2676"/>
    <w:rsid w:val="30A41222"/>
    <w:rsid w:val="30F304E8"/>
    <w:rsid w:val="31085D41"/>
    <w:rsid w:val="31321010"/>
    <w:rsid w:val="313F54DB"/>
    <w:rsid w:val="31556AAC"/>
    <w:rsid w:val="3175714F"/>
    <w:rsid w:val="31B41A25"/>
    <w:rsid w:val="31B62D44"/>
    <w:rsid w:val="322E7A29"/>
    <w:rsid w:val="323730C8"/>
    <w:rsid w:val="324816C4"/>
    <w:rsid w:val="3262491A"/>
    <w:rsid w:val="326F3B9E"/>
    <w:rsid w:val="327318E0"/>
    <w:rsid w:val="32B53CA7"/>
    <w:rsid w:val="32C53F54"/>
    <w:rsid w:val="32C959A4"/>
    <w:rsid w:val="33024A12"/>
    <w:rsid w:val="330F5F53"/>
    <w:rsid w:val="331035D3"/>
    <w:rsid w:val="33174961"/>
    <w:rsid w:val="331E1B39"/>
    <w:rsid w:val="33324FAE"/>
    <w:rsid w:val="3337078A"/>
    <w:rsid w:val="33A501AB"/>
    <w:rsid w:val="33E5680D"/>
    <w:rsid w:val="33F16F60"/>
    <w:rsid w:val="34104626"/>
    <w:rsid w:val="34125129"/>
    <w:rsid w:val="343E5F1E"/>
    <w:rsid w:val="34465710"/>
    <w:rsid w:val="3450057F"/>
    <w:rsid w:val="345D45F6"/>
    <w:rsid w:val="34A57D4B"/>
    <w:rsid w:val="34B03AD6"/>
    <w:rsid w:val="34DA4EAE"/>
    <w:rsid w:val="34E24AFB"/>
    <w:rsid w:val="35150A2C"/>
    <w:rsid w:val="35337105"/>
    <w:rsid w:val="353D61D5"/>
    <w:rsid w:val="35571045"/>
    <w:rsid w:val="35777939"/>
    <w:rsid w:val="35846E2F"/>
    <w:rsid w:val="35935DF5"/>
    <w:rsid w:val="3598300D"/>
    <w:rsid w:val="359E6B64"/>
    <w:rsid w:val="35A95619"/>
    <w:rsid w:val="35AB75E3"/>
    <w:rsid w:val="35ED7BFB"/>
    <w:rsid w:val="35FB40C6"/>
    <w:rsid w:val="360A4309"/>
    <w:rsid w:val="3656754F"/>
    <w:rsid w:val="36716136"/>
    <w:rsid w:val="36820344"/>
    <w:rsid w:val="36837C3A"/>
    <w:rsid w:val="3694083F"/>
    <w:rsid w:val="36B64491"/>
    <w:rsid w:val="36E27034"/>
    <w:rsid w:val="36E96615"/>
    <w:rsid w:val="37103BA1"/>
    <w:rsid w:val="371442C0"/>
    <w:rsid w:val="37585548"/>
    <w:rsid w:val="37672E6A"/>
    <w:rsid w:val="378D6D31"/>
    <w:rsid w:val="37B95FE7"/>
    <w:rsid w:val="37BB6822"/>
    <w:rsid w:val="37CD77F5"/>
    <w:rsid w:val="37D72911"/>
    <w:rsid w:val="380D6333"/>
    <w:rsid w:val="3816520F"/>
    <w:rsid w:val="383438BF"/>
    <w:rsid w:val="38431D54"/>
    <w:rsid w:val="38445935"/>
    <w:rsid w:val="387704DC"/>
    <w:rsid w:val="387719FE"/>
    <w:rsid w:val="3894435E"/>
    <w:rsid w:val="38ED3A6E"/>
    <w:rsid w:val="3909523B"/>
    <w:rsid w:val="39A405D1"/>
    <w:rsid w:val="39A64349"/>
    <w:rsid w:val="39A84849"/>
    <w:rsid w:val="39AE1450"/>
    <w:rsid w:val="39B50A30"/>
    <w:rsid w:val="3A0948D8"/>
    <w:rsid w:val="3A127D55"/>
    <w:rsid w:val="3A3130D5"/>
    <w:rsid w:val="3A4818A4"/>
    <w:rsid w:val="3A63223A"/>
    <w:rsid w:val="3A6D30B9"/>
    <w:rsid w:val="3A7A7584"/>
    <w:rsid w:val="3AFE262F"/>
    <w:rsid w:val="3B3E6803"/>
    <w:rsid w:val="3BA23236"/>
    <w:rsid w:val="3BB05953"/>
    <w:rsid w:val="3BC62A80"/>
    <w:rsid w:val="3BD66A3C"/>
    <w:rsid w:val="3BF45E43"/>
    <w:rsid w:val="3C0435A9"/>
    <w:rsid w:val="3C1F6635"/>
    <w:rsid w:val="3C3F2403"/>
    <w:rsid w:val="3C4B24C9"/>
    <w:rsid w:val="3C5A4785"/>
    <w:rsid w:val="3C5A58BF"/>
    <w:rsid w:val="3CC6146E"/>
    <w:rsid w:val="3CFC24D2"/>
    <w:rsid w:val="3D2F28A7"/>
    <w:rsid w:val="3D6844FA"/>
    <w:rsid w:val="3D6D7F4C"/>
    <w:rsid w:val="3D7F382F"/>
    <w:rsid w:val="3DF00289"/>
    <w:rsid w:val="3E5D4C7A"/>
    <w:rsid w:val="3E9458E4"/>
    <w:rsid w:val="3E990920"/>
    <w:rsid w:val="3E99447C"/>
    <w:rsid w:val="3E9A0E65"/>
    <w:rsid w:val="3EAE5A4E"/>
    <w:rsid w:val="3EDB51F8"/>
    <w:rsid w:val="3F0062A9"/>
    <w:rsid w:val="3F0A0758"/>
    <w:rsid w:val="3F0C172B"/>
    <w:rsid w:val="3F2C0AE5"/>
    <w:rsid w:val="3F516B05"/>
    <w:rsid w:val="3F584CF9"/>
    <w:rsid w:val="3F7D5B4C"/>
    <w:rsid w:val="3FAC00F9"/>
    <w:rsid w:val="3FCF3A3E"/>
    <w:rsid w:val="3FCF3ECE"/>
    <w:rsid w:val="4024421A"/>
    <w:rsid w:val="40503261"/>
    <w:rsid w:val="40525E10"/>
    <w:rsid w:val="4070547F"/>
    <w:rsid w:val="408D0011"/>
    <w:rsid w:val="408D6263"/>
    <w:rsid w:val="408E5B37"/>
    <w:rsid w:val="409A0980"/>
    <w:rsid w:val="409C46F8"/>
    <w:rsid w:val="40A73392"/>
    <w:rsid w:val="40A80AB7"/>
    <w:rsid w:val="40B530C4"/>
    <w:rsid w:val="40F33877"/>
    <w:rsid w:val="40F956A6"/>
    <w:rsid w:val="41043009"/>
    <w:rsid w:val="41320BB8"/>
    <w:rsid w:val="41D90C14"/>
    <w:rsid w:val="41E9571B"/>
    <w:rsid w:val="41F8595E"/>
    <w:rsid w:val="42024A2E"/>
    <w:rsid w:val="421D53C4"/>
    <w:rsid w:val="424C4545"/>
    <w:rsid w:val="4258464E"/>
    <w:rsid w:val="425863FC"/>
    <w:rsid w:val="42976F25"/>
    <w:rsid w:val="42B75819"/>
    <w:rsid w:val="42BA70B7"/>
    <w:rsid w:val="42F00D2B"/>
    <w:rsid w:val="430D368B"/>
    <w:rsid w:val="43662FA4"/>
    <w:rsid w:val="43860D47"/>
    <w:rsid w:val="43882D11"/>
    <w:rsid w:val="43B52CBE"/>
    <w:rsid w:val="43B9111D"/>
    <w:rsid w:val="43D1290A"/>
    <w:rsid w:val="43E316A9"/>
    <w:rsid w:val="43F03E56"/>
    <w:rsid w:val="43F6411F"/>
    <w:rsid w:val="440D2025"/>
    <w:rsid w:val="44207E0E"/>
    <w:rsid w:val="44316C9F"/>
    <w:rsid w:val="444F55DD"/>
    <w:rsid w:val="44701859"/>
    <w:rsid w:val="44BC4DD3"/>
    <w:rsid w:val="44C50125"/>
    <w:rsid w:val="44D41900"/>
    <w:rsid w:val="44DF6E38"/>
    <w:rsid w:val="44DF74EB"/>
    <w:rsid w:val="44E64193"/>
    <w:rsid w:val="44F51BD1"/>
    <w:rsid w:val="450B59A8"/>
    <w:rsid w:val="455455A1"/>
    <w:rsid w:val="45561319"/>
    <w:rsid w:val="456826CA"/>
    <w:rsid w:val="45684BA8"/>
    <w:rsid w:val="45A91F82"/>
    <w:rsid w:val="45BB5620"/>
    <w:rsid w:val="45C51FFB"/>
    <w:rsid w:val="45C83899"/>
    <w:rsid w:val="45CD0EAF"/>
    <w:rsid w:val="4627448B"/>
    <w:rsid w:val="4650424D"/>
    <w:rsid w:val="466E553A"/>
    <w:rsid w:val="46C04255"/>
    <w:rsid w:val="471C7AE0"/>
    <w:rsid w:val="47451645"/>
    <w:rsid w:val="47685334"/>
    <w:rsid w:val="476A10AC"/>
    <w:rsid w:val="477E3F21"/>
    <w:rsid w:val="47B642F1"/>
    <w:rsid w:val="47EF7803"/>
    <w:rsid w:val="481D7ECC"/>
    <w:rsid w:val="482A4397"/>
    <w:rsid w:val="482C6361"/>
    <w:rsid w:val="482D19C9"/>
    <w:rsid w:val="482E032B"/>
    <w:rsid w:val="48345216"/>
    <w:rsid w:val="48355EC6"/>
    <w:rsid w:val="483D056E"/>
    <w:rsid w:val="48541414"/>
    <w:rsid w:val="485E04E5"/>
    <w:rsid w:val="486378A9"/>
    <w:rsid w:val="486908F2"/>
    <w:rsid w:val="492359B6"/>
    <w:rsid w:val="492434DC"/>
    <w:rsid w:val="49325BF9"/>
    <w:rsid w:val="4989333F"/>
    <w:rsid w:val="49E63B8C"/>
    <w:rsid w:val="4A203CA4"/>
    <w:rsid w:val="4A3A6AD6"/>
    <w:rsid w:val="4A3E412A"/>
    <w:rsid w:val="4A4C4A99"/>
    <w:rsid w:val="4A5D6CA6"/>
    <w:rsid w:val="4A7B537E"/>
    <w:rsid w:val="4AC5484B"/>
    <w:rsid w:val="4AD131F0"/>
    <w:rsid w:val="4AD351BA"/>
    <w:rsid w:val="4AF173EE"/>
    <w:rsid w:val="4AF64A04"/>
    <w:rsid w:val="4B0709C0"/>
    <w:rsid w:val="4B1706C2"/>
    <w:rsid w:val="4B374E90"/>
    <w:rsid w:val="4B5005B9"/>
    <w:rsid w:val="4B5700E4"/>
    <w:rsid w:val="4B5F25AA"/>
    <w:rsid w:val="4B991F60"/>
    <w:rsid w:val="4BBF1EF3"/>
    <w:rsid w:val="4C1B2975"/>
    <w:rsid w:val="4C3457E4"/>
    <w:rsid w:val="4C762224"/>
    <w:rsid w:val="4CE03BBE"/>
    <w:rsid w:val="4D1B1945"/>
    <w:rsid w:val="4D2150F8"/>
    <w:rsid w:val="4D2373BA"/>
    <w:rsid w:val="4D673998"/>
    <w:rsid w:val="4D73233C"/>
    <w:rsid w:val="4D7E765F"/>
    <w:rsid w:val="4D827EB9"/>
    <w:rsid w:val="4D8B1D7C"/>
    <w:rsid w:val="4D9662FF"/>
    <w:rsid w:val="4E045E55"/>
    <w:rsid w:val="4ECC61A8"/>
    <w:rsid w:val="4EE86E84"/>
    <w:rsid w:val="4EF61477"/>
    <w:rsid w:val="4F1E0688"/>
    <w:rsid w:val="4F42290E"/>
    <w:rsid w:val="4F4B3D3E"/>
    <w:rsid w:val="4F7A5C04"/>
    <w:rsid w:val="4F9D18F3"/>
    <w:rsid w:val="4FB235F0"/>
    <w:rsid w:val="4FB56C3C"/>
    <w:rsid w:val="4FB63D89"/>
    <w:rsid w:val="4FC2067F"/>
    <w:rsid w:val="4FC60863"/>
    <w:rsid w:val="4FDA48F5"/>
    <w:rsid w:val="4FE31FFC"/>
    <w:rsid w:val="4FEB6B02"/>
    <w:rsid w:val="50175B49"/>
    <w:rsid w:val="50412BC6"/>
    <w:rsid w:val="50B41558"/>
    <w:rsid w:val="511931FB"/>
    <w:rsid w:val="51581F75"/>
    <w:rsid w:val="516A7EFA"/>
    <w:rsid w:val="51750D79"/>
    <w:rsid w:val="517D3175"/>
    <w:rsid w:val="519A07DF"/>
    <w:rsid w:val="51C846F3"/>
    <w:rsid w:val="51D174B1"/>
    <w:rsid w:val="51DC2BA6"/>
    <w:rsid w:val="52061CD8"/>
    <w:rsid w:val="52155FD2"/>
    <w:rsid w:val="522B58DB"/>
    <w:rsid w:val="524B3888"/>
    <w:rsid w:val="52742DDF"/>
    <w:rsid w:val="527F631B"/>
    <w:rsid w:val="5283316D"/>
    <w:rsid w:val="528943B0"/>
    <w:rsid w:val="52AA6A41"/>
    <w:rsid w:val="52D910E5"/>
    <w:rsid w:val="52DB0D18"/>
    <w:rsid w:val="52F65BC8"/>
    <w:rsid w:val="53193986"/>
    <w:rsid w:val="534A1D91"/>
    <w:rsid w:val="53553BF1"/>
    <w:rsid w:val="538C4158"/>
    <w:rsid w:val="53EC4BF7"/>
    <w:rsid w:val="53F35F85"/>
    <w:rsid w:val="54065CB8"/>
    <w:rsid w:val="541D7610"/>
    <w:rsid w:val="542425E2"/>
    <w:rsid w:val="543547EF"/>
    <w:rsid w:val="54696247"/>
    <w:rsid w:val="549459BA"/>
    <w:rsid w:val="549B3399"/>
    <w:rsid w:val="54B61B71"/>
    <w:rsid w:val="54DB0444"/>
    <w:rsid w:val="550348EE"/>
    <w:rsid w:val="5503669C"/>
    <w:rsid w:val="55197C6D"/>
    <w:rsid w:val="552B25EE"/>
    <w:rsid w:val="55525C11"/>
    <w:rsid w:val="556C4241"/>
    <w:rsid w:val="557E4FD6"/>
    <w:rsid w:val="55986DE4"/>
    <w:rsid w:val="55B81234"/>
    <w:rsid w:val="55CF47D0"/>
    <w:rsid w:val="55CF5EF1"/>
    <w:rsid w:val="5622559B"/>
    <w:rsid w:val="562875A6"/>
    <w:rsid w:val="563C00B7"/>
    <w:rsid w:val="56462CE4"/>
    <w:rsid w:val="56503B63"/>
    <w:rsid w:val="56CD6F61"/>
    <w:rsid w:val="56FE35BF"/>
    <w:rsid w:val="57081D47"/>
    <w:rsid w:val="57193F55"/>
    <w:rsid w:val="571C57F3"/>
    <w:rsid w:val="57200B83"/>
    <w:rsid w:val="572F07AB"/>
    <w:rsid w:val="57555DE6"/>
    <w:rsid w:val="5770166D"/>
    <w:rsid w:val="57711FE2"/>
    <w:rsid w:val="577E200A"/>
    <w:rsid w:val="57B123DF"/>
    <w:rsid w:val="57B74395"/>
    <w:rsid w:val="57B95737"/>
    <w:rsid w:val="57C87729"/>
    <w:rsid w:val="57E427B4"/>
    <w:rsid w:val="57F535F0"/>
    <w:rsid w:val="58101160"/>
    <w:rsid w:val="58B27195"/>
    <w:rsid w:val="58E40592"/>
    <w:rsid w:val="58FC1D80"/>
    <w:rsid w:val="596811C3"/>
    <w:rsid w:val="598A113A"/>
    <w:rsid w:val="59D6437F"/>
    <w:rsid w:val="59E06FAB"/>
    <w:rsid w:val="59E36A9C"/>
    <w:rsid w:val="59FD5DAF"/>
    <w:rsid w:val="5A1E103A"/>
    <w:rsid w:val="5A20095D"/>
    <w:rsid w:val="5A4C6CD8"/>
    <w:rsid w:val="5A4E03B9"/>
    <w:rsid w:val="5A58296B"/>
    <w:rsid w:val="5A5D23AA"/>
    <w:rsid w:val="5A7823A2"/>
    <w:rsid w:val="5AAF37BD"/>
    <w:rsid w:val="5AD56B5A"/>
    <w:rsid w:val="5B2F1F99"/>
    <w:rsid w:val="5B555777"/>
    <w:rsid w:val="5B597015"/>
    <w:rsid w:val="5BA364E3"/>
    <w:rsid w:val="5BBB1A7E"/>
    <w:rsid w:val="5BC22E0D"/>
    <w:rsid w:val="5BD20B76"/>
    <w:rsid w:val="5BE977B3"/>
    <w:rsid w:val="5BF15A06"/>
    <w:rsid w:val="5BF25068"/>
    <w:rsid w:val="5C030AA8"/>
    <w:rsid w:val="5C084598"/>
    <w:rsid w:val="5C090F2F"/>
    <w:rsid w:val="5C693288"/>
    <w:rsid w:val="5C6E4DC9"/>
    <w:rsid w:val="5CA50038"/>
    <w:rsid w:val="5CB94A17"/>
    <w:rsid w:val="5CFF3BED"/>
    <w:rsid w:val="5D221689"/>
    <w:rsid w:val="5D414205"/>
    <w:rsid w:val="5D50269A"/>
    <w:rsid w:val="5D7E1EC0"/>
    <w:rsid w:val="5D9229BB"/>
    <w:rsid w:val="5DA87DE0"/>
    <w:rsid w:val="5DFE5C52"/>
    <w:rsid w:val="5E4919D3"/>
    <w:rsid w:val="5E4F2952"/>
    <w:rsid w:val="5EB32EE1"/>
    <w:rsid w:val="5EE25574"/>
    <w:rsid w:val="5EE96902"/>
    <w:rsid w:val="5EFF6126"/>
    <w:rsid w:val="5F092B01"/>
    <w:rsid w:val="5F1A4D0E"/>
    <w:rsid w:val="5F323AA6"/>
    <w:rsid w:val="5F4E6765"/>
    <w:rsid w:val="5F7C1524"/>
    <w:rsid w:val="5F953CFB"/>
    <w:rsid w:val="5F9C5723"/>
    <w:rsid w:val="5FAF18FA"/>
    <w:rsid w:val="600532C8"/>
    <w:rsid w:val="6036191B"/>
    <w:rsid w:val="6040150D"/>
    <w:rsid w:val="60477D84"/>
    <w:rsid w:val="606E3563"/>
    <w:rsid w:val="609603C4"/>
    <w:rsid w:val="60A96349"/>
    <w:rsid w:val="60F82E2D"/>
    <w:rsid w:val="60F833C5"/>
    <w:rsid w:val="60FD48E7"/>
    <w:rsid w:val="61001CE1"/>
    <w:rsid w:val="6118527D"/>
    <w:rsid w:val="612F6320"/>
    <w:rsid w:val="61734BA9"/>
    <w:rsid w:val="61AD3C17"/>
    <w:rsid w:val="61B45646"/>
    <w:rsid w:val="61EE40B9"/>
    <w:rsid w:val="62214205"/>
    <w:rsid w:val="623F6839"/>
    <w:rsid w:val="627E7362"/>
    <w:rsid w:val="62B15989"/>
    <w:rsid w:val="62E3561A"/>
    <w:rsid w:val="62E52BF0"/>
    <w:rsid w:val="630006BE"/>
    <w:rsid w:val="63500CFE"/>
    <w:rsid w:val="63500FD0"/>
    <w:rsid w:val="63A4104A"/>
    <w:rsid w:val="63BA261B"/>
    <w:rsid w:val="63BC2837"/>
    <w:rsid w:val="63C16BEA"/>
    <w:rsid w:val="63DC4C88"/>
    <w:rsid w:val="642F1B54"/>
    <w:rsid w:val="645C1924"/>
    <w:rsid w:val="6477675E"/>
    <w:rsid w:val="6490560B"/>
    <w:rsid w:val="64942E6C"/>
    <w:rsid w:val="64EA33D4"/>
    <w:rsid w:val="64FC57C2"/>
    <w:rsid w:val="651B7271"/>
    <w:rsid w:val="657C2D0E"/>
    <w:rsid w:val="659417A4"/>
    <w:rsid w:val="659D726C"/>
    <w:rsid w:val="65B37C6A"/>
    <w:rsid w:val="65C94540"/>
    <w:rsid w:val="65D94704"/>
    <w:rsid w:val="65F8742B"/>
    <w:rsid w:val="65FF2424"/>
    <w:rsid w:val="661955A0"/>
    <w:rsid w:val="664D59C9"/>
    <w:rsid w:val="6663130C"/>
    <w:rsid w:val="668F6040"/>
    <w:rsid w:val="66AD290B"/>
    <w:rsid w:val="66B028AC"/>
    <w:rsid w:val="66B73179"/>
    <w:rsid w:val="66C11F13"/>
    <w:rsid w:val="66D103A8"/>
    <w:rsid w:val="66EF082E"/>
    <w:rsid w:val="66F67E0E"/>
    <w:rsid w:val="674F5770"/>
    <w:rsid w:val="677953F6"/>
    <w:rsid w:val="6784541A"/>
    <w:rsid w:val="67CA4DF7"/>
    <w:rsid w:val="67F500C6"/>
    <w:rsid w:val="6804655B"/>
    <w:rsid w:val="68071BA7"/>
    <w:rsid w:val="68250567"/>
    <w:rsid w:val="686F60CA"/>
    <w:rsid w:val="68871BEB"/>
    <w:rsid w:val="688D47A2"/>
    <w:rsid w:val="688F051A"/>
    <w:rsid w:val="68AA5354"/>
    <w:rsid w:val="68AB69D7"/>
    <w:rsid w:val="68E1689C"/>
    <w:rsid w:val="690D7691"/>
    <w:rsid w:val="691B3B5C"/>
    <w:rsid w:val="69205616"/>
    <w:rsid w:val="69231D99"/>
    <w:rsid w:val="693D7F76"/>
    <w:rsid w:val="69531548"/>
    <w:rsid w:val="697B45FB"/>
    <w:rsid w:val="6981521F"/>
    <w:rsid w:val="6996429D"/>
    <w:rsid w:val="69A04061"/>
    <w:rsid w:val="69A51678"/>
    <w:rsid w:val="6A541451"/>
    <w:rsid w:val="6A8C11F2"/>
    <w:rsid w:val="6AAB7162"/>
    <w:rsid w:val="6ABF5C01"/>
    <w:rsid w:val="6ADE12E5"/>
    <w:rsid w:val="6B431148"/>
    <w:rsid w:val="6B6F018F"/>
    <w:rsid w:val="6BA73DCD"/>
    <w:rsid w:val="6BAE6CEA"/>
    <w:rsid w:val="6BEE7306"/>
    <w:rsid w:val="6BF3491C"/>
    <w:rsid w:val="6C2E180A"/>
    <w:rsid w:val="6C3F4E4E"/>
    <w:rsid w:val="6C560CAF"/>
    <w:rsid w:val="6C5D26DE"/>
    <w:rsid w:val="6CB30550"/>
    <w:rsid w:val="6CB57E24"/>
    <w:rsid w:val="6CBF6EF4"/>
    <w:rsid w:val="6D1D48B7"/>
    <w:rsid w:val="6D4425D2"/>
    <w:rsid w:val="6D867B90"/>
    <w:rsid w:val="6D920165"/>
    <w:rsid w:val="6D9D5488"/>
    <w:rsid w:val="6DDB33BB"/>
    <w:rsid w:val="6E1F2C65"/>
    <w:rsid w:val="6E9C573F"/>
    <w:rsid w:val="6EC45236"/>
    <w:rsid w:val="6ED82BBA"/>
    <w:rsid w:val="6EE844E0"/>
    <w:rsid w:val="6EFC61DE"/>
    <w:rsid w:val="6F0D2199"/>
    <w:rsid w:val="6FC440D0"/>
    <w:rsid w:val="6FDF458D"/>
    <w:rsid w:val="6FF46EB5"/>
    <w:rsid w:val="6FFD045F"/>
    <w:rsid w:val="700D50E9"/>
    <w:rsid w:val="702C664F"/>
    <w:rsid w:val="704240C4"/>
    <w:rsid w:val="70721977"/>
    <w:rsid w:val="708B5A6B"/>
    <w:rsid w:val="708F2650"/>
    <w:rsid w:val="70B14DA6"/>
    <w:rsid w:val="70C66AA3"/>
    <w:rsid w:val="70D958BC"/>
    <w:rsid w:val="70FE448F"/>
    <w:rsid w:val="713A08A9"/>
    <w:rsid w:val="71866233"/>
    <w:rsid w:val="71926986"/>
    <w:rsid w:val="71A010A2"/>
    <w:rsid w:val="71B96608"/>
    <w:rsid w:val="71C34D91"/>
    <w:rsid w:val="71E929E5"/>
    <w:rsid w:val="72231CD3"/>
    <w:rsid w:val="7229553C"/>
    <w:rsid w:val="722A12B4"/>
    <w:rsid w:val="7235379B"/>
    <w:rsid w:val="723D2D95"/>
    <w:rsid w:val="72402057"/>
    <w:rsid w:val="72451C4A"/>
    <w:rsid w:val="724A3704"/>
    <w:rsid w:val="727A2DEB"/>
    <w:rsid w:val="72AE77EF"/>
    <w:rsid w:val="72B1108D"/>
    <w:rsid w:val="72F759AB"/>
    <w:rsid w:val="72F87D05"/>
    <w:rsid w:val="7346211D"/>
    <w:rsid w:val="73614861"/>
    <w:rsid w:val="737A5923"/>
    <w:rsid w:val="738239FA"/>
    <w:rsid w:val="7393283D"/>
    <w:rsid w:val="73B88F80"/>
    <w:rsid w:val="73C03C7E"/>
    <w:rsid w:val="73D86C91"/>
    <w:rsid w:val="73EF00BF"/>
    <w:rsid w:val="741E09A4"/>
    <w:rsid w:val="74212243"/>
    <w:rsid w:val="749649DF"/>
    <w:rsid w:val="749857BF"/>
    <w:rsid w:val="74AB0A44"/>
    <w:rsid w:val="74AD776E"/>
    <w:rsid w:val="74C652C4"/>
    <w:rsid w:val="74C94E19"/>
    <w:rsid w:val="75054F76"/>
    <w:rsid w:val="756E770A"/>
    <w:rsid w:val="759251A6"/>
    <w:rsid w:val="760D6F22"/>
    <w:rsid w:val="76263B40"/>
    <w:rsid w:val="762A7AD4"/>
    <w:rsid w:val="76937428"/>
    <w:rsid w:val="769431A0"/>
    <w:rsid w:val="769A6A08"/>
    <w:rsid w:val="76C16F73"/>
    <w:rsid w:val="76DD69CC"/>
    <w:rsid w:val="76E01F41"/>
    <w:rsid w:val="771D3108"/>
    <w:rsid w:val="77A318EC"/>
    <w:rsid w:val="77E15F71"/>
    <w:rsid w:val="77F30BCF"/>
    <w:rsid w:val="78025A15"/>
    <w:rsid w:val="782C08FA"/>
    <w:rsid w:val="78767001"/>
    <w:rsid w:val="787A073D"/>
    <w:rsid w:val="789254BD"/>
    <w:rsid w:val="78947487"/>
    <w:rsid w:val="78CD4747"/>
    <w:rsid w:val="78DE6954"/>
    <w:rsid w:val="78E04567"/>
    <w:rsid w:val="790A14F7"/>
    <w:rsid w:val="790D2465"/>
    <w:rsid w:val="791D56CF"/>
    <w:rsid w:val="7931117A"/>
    <w:rsid w:val="793D7B1F"/>
    <w:rsid w:val="7983342B"/>
    <w:rsid w:val="798C1249"/>
    <w:rsid w:val="79B376BA"/>
    <w:rsid w:val="79D833A4"/>
    <w:rsid w:val="7A0643B5"/>
    <w:rsid w:val="7A262361"/>
    <w:rsid w:val="7A4078C7"/>
    <w:rsid w:val="7A523156"/>
    <w:rsid w:val="7A601D17"/>
    <w:rsid w:val="7A85352B"/>
    <w:rsid w:val="7A8A6D94"/>
    <w:rsid w:val="7A8C43C6"/>
    <w:rsid w:val="7AA2698F"/>
    <w:rsid w:val="7AAC0AB8"/>
    <w:rsid w:val="7AAD65DE"/>
    <w:rsid w:val="7AE00762"/>
    <w:rsid w:val="7AFB3B2F"/>
    <w:rsid w:val="7B783090"/>
    <w:rsid w:val="7BAE6AB2"/>
    <w:rsid w:val="7BB340C8"/>
    <w:rsid w:val="7BE25154"/>
    <w:rsid w:val="7BE7708B"/>
    <w:rsid w:val="7BF73FB5"/>
    <w:rsid w:val="7C1032C9"/>
    <w:rsid w:val="7C350F81"/>
    <w:rsid w:val="7C43369E"/>
    <w:rsid w:val="7C851F6D"/>
    <w:rsid w:val="7CB974BC"/>
    <w:rsid w:val="7D311748"/>
    <w:rsid w:val="7D4C20DE"/>
    <w:rsid w:val="7D503278"/>
    <w:rsid w:val="7D6A5E50"/>
    <w:rsid w:val="7D8C6BBD"/>
    <w:rsid w:val="7D92927F"/>
    <w:rsid w:val="7DA963CF"/>
    <w:rsid w:val="7DD16A88"/>
    <w:rsid w:val="7DFA7D8C"/>
    <w:rsid w:val="7E1A3F8B"/>
    <w:rsid w:val="7EB02B41"/>
    <w:rsid w:val="7F8E2E82"/>
    <w:rsid w:val="7F9F6E3D"/>
    <w:rsid w:val="7FB00320"/>
    <w:rsid w:val="8DDF90BA"/>
    <w:rsid w:val="FBEFD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0" w:semiHidden="0" w:name="toa heading"/>
    <w:lsdException w:uiPriority="99"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0" w:semiHidden="0" w:name="Table Grid"/>
    <w:lsdException w:unhideWhenUsed="0"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63"/>
    <w:qFormat/>
    <w:uiPriority w:val="9"/>
    <w:pPr>
      <w:keepNext/>
      <w:widowControl/>
      <w:spacing w:before="340" w:after="330" w:line="576" w:lineRule="auto"/>
    </w:pPr>
    <w:rPr>
      <w:rFonts w:ascii="???" w:hAnsi="???" w:eastAsia="宋体" w:cs="Arial"/>
      <w:color w:val="020000"/>
      <w:kern w:val="36"/>
      <w:sz w:val="44"/>
      <w:szCs w:val="44"/>
    </w:rPr>
  </w:style>
  <w:style w:type="paragraph" w:styleId="4">
    <w:name w:val="heading 2"/>
    <w:basedOn w:val="1"/>
    <w:next w:val="1"/>
    <w:link w:val="62"/>
    <w:qFormat/>
    <w:uiPriority w:val="0"/>
    <w:pPr>
      <w:keepNext/>
      <w:widowControl/>
      <w:spacing w:before="260" w:after="260" w:line="412" w:lineRule="auto"/>
      <w:outlineLvl w:val="1"/>
    </w:pPr>
    <w:rPr>
      <w:rFonts w:ascii="???" w:hAnsi="???" w:eastAsia="宋体" w:cs="Arial"/>
      <w:b/>
      <w:bCs/>
      <w:color w:val="020000"/>
      <w:kern w:val="0"/>
      <w:sz w:val="32"/>
      <w:szCs w:val="32"/>
    </w:rPr>
  </w:style>
  <w:style w:type="paragraph" w:styleId="2">
    <w:name w:val="heading 3"/>
    <w:basedOn w:val="1"/>
    <w:next w:val="1"/>
    <w:link w:val="64"/>
    <w:qFormat/>
    <w:uiPriority w:val="0"/>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unhideWhenUsed/>
    <w:qFormat/>
    <w:uiPriority w:val="0"/>
    <w:pPr>
      <w:keepNext/>
      <w:keepLines/>
      <w:spacing w:before="280" w:after="290" w:line="377" w:lineRule="auto"/>
      <w:outlineLvl w:val="3"/>
    </w:pPr>
    <w:rPr>
      <w:rFonts w:asciiTheme="majorHAnsi" w:hAnsiTheme="majorHAnsi" w:eastAsiaTheme="majorEastAsia" w:cstheme="majorBidi"/>
      <w:b/>
      <w:bCs/>
      <w:szCs w:val="28"/>
    </w:rPr>
  </w:style>
  <w:style w:type="paragraph" w:styleId="6">
    <w:name w:val="heading 5"/>
    <w:basedOn w:val="1"/>
    <w:next w:val="1"/>
    <w:link w:val="221"/>
    <w:unhideWhenUsed/>
    <w:qFormat/>
    <w:uiPriority w:val="0"/>
    <w:pPr>
      <w:keepNext/>
      <w:keepLines/>
      <w:spacing w:before="280" w:after="290" w:line="376" w:lineRule="auto"/>
      <w:outlineLvl w:val="4"/>
    </w:pPr>
    <w:rPr>
      <w:b/>
      <w:bCs/>
      <w:sz w:val="28"/>
      <w:szCs w:val="28"/>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0"/>
    <w:pPr>
      <w:ind w:left="2520" w:leftChars="1200"/>
    </w:pPr>
    <w:rPr>
      <w:rFonts w:ascii="Times New Roman" w:hAnsi="Times New Roman" w:eastAsia="宋体" w:cs="Times New Roman"/>
      <w:szCs w:val="24"/>
    </w:rPr>
  </w:style>
  <w:style w:type="paragraph" w:styleId="8">
    <w:name w:val="List Numb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Normal Indent"/>
    <w:basedOn w:val="1"/>
    <w:link w:val="115"/>
    <w:qFormat/>
    <w:uiPriority w:val="0"/>
    <w:pPr>
      <w:ind w:firstLine="420" w:firstLineChars="200"/>
    </w:pPr>
    <w:rPr>
      <w:rFonts w:ascii="Times New Roman" w:hAnsi="Times New Roman" w:eastAsia="宋体" w:cs="Times New Roman"/>
      <w:kern w:val="0"/>
      <w:sz w:val="24"/>
      <w:szCs w:val="20"/>
    </w:rPr>
  </w:style>
  <w:style w:type="paragraph" w:styleId="10">
    <w:name w:val="Document Map"/>
    <w:basedOn w:val="1"/>
    <w:link w:val="133"/>
    <w:qFormat/>
    <w:uiPriority w:val="0"/>
    <w:rPr>
      <w:rFonts w:ascii="宋体" w:hAnsi="Calibri" w:eastAsia="宋体" w:cs="Times New Roman"/>
      <w:kern w:val="0"/>
      <w:sz w:val="18"/>
      <w:szCs w:val="20"/>
    </w:rPr>
  </w:style>
  <w:style w:type="paragraph" w:styleId="11">
    <w:name w:val="toa heading"/>
    <w:basedOn w:val="1"/>
    <w:next w:val="1"/>
    <w:unhideWhenUsed/>
    <w:qFormat/>
    <w:uiPriority w:val="0"/>
    <w:pPr>
      <w:spacing w:before="120"/>
    </w:pPr>
    <w:rPr>
      <w:rFonts w:ascii="Cambria" w:hAnsi="Cambria" w:eastAsia="宋体" w:cs="Times New Roman"/>
      <w:sz w:val="24"/>
    </w:rPr>
  </w:style>
  <w:style w:type="paragraph" w:styleId="12">
    <w:name w:val="annotation text"/>
    <w:basedOn w:val="1"/>
    <w:link w:val="161"/>
    <w:qFormat/>
    <w:uiPriority w:val="0"/>
    <w:pPr>
      <w:jc w:val="left"/>
    </w:pPr>
  </w:style>
  <w:style w:type="paragraph" w:styleId="13">
    <w:name w:val="index 6"/>
    <w:basedOn w:val="1"/>
    <w:next w:val="1"/>
    <w:qFormat/>
    <w:uiPriority w:val="0"/>
    <w:pPr>
      <w:ind w:left="2100"/>
    </w:pPr>
    <w:rPr>
      <w:rFonts w:ascii="Times New Roman" w:hAnsi="Times New Roman" w:eastAsia="宋体" w:cs="Times New Roman"/>
    </w:rPr>
  </w:style>
  <w:style w:type="paragraph" w:styleId="14">
    <w:name w:val="Salutation"/>
    <w:basedOn w:val="1"/>
    <w:next w:val="1"/>
    <w:link w:val="222"/>
    <w:qFormat/>
    <w:uiPriority w:val="0"/>
    <w:rPr>
      <w:rFonts w:ascii="宋体" w:hAnsi="Times New Roman" w:eastAsia="宋体" w:cs="Times New Roman"/>
      <w:b/>
      <w:sz w:val="28"/>
      <w:szCs w:val="24"/>
    </w:rPr>
  </w:style>
  <w:style w:type="paragraph" w:styleId="15">
    <w:name w:val="Body Text"/>
    <w:basedOn w:val="1"/>
    <w:next w:val="1"/>
    <w:link w:val="136"/>
    <w:qFormat/>
    <w:uiPriority w:val="99"/>
    <w:pPr>
      <w:spacing w:after="120"/>
    </w:pPr>
    <w:rPr>
      <w:rFonts w:ascii="Calibri" w:hAnsi="Calibri" w:eastAsia="宋体" w:cs="Times New Roman"/>
      <w:kern w:val="0"/>
      <w:sz w:val="24"/>
      <w:szCs w:val="20"/>
    </w:rPr>
  </w:style>
  <w:style w:type="paragraph" w:styleId="16">
    <w:name w:val="Body Text Indent"/>
    <w:basedOn w:val="1"/>
    <w:link w:val="67"/>
    <w:qFormat/>
    <w:uiPriority w:val="0"/>
    <w:pPr>
      <w:widowControl/>
      <w:spacing w:after="120"/>
      <w:ind w:left="420"/>
    </w:pPr>
    <w:rPr>
      <w:rFonts w:ascii="??" w:hAnsi="??" w:eastAsia="宋体" w:cs="Arial"/>
      <w:kern w:val="0"/>
      <w:sz w:val="24"/>
      <w:szCs w:val="24"/>
    </w:rPr>
  </w:style>
  <w:style w:type="paragraph" w:styleId="17">
    <w:name w:val="toc 5"/>
    <w:basedOn w:val="1"/>
    <w:next w:val="1"/>
    <w:qFormat/>
    <w:uiPriority w:val="0"/>
    <w:pPr>
      <w:ind w:left="1680" w:leftChars="800"/>
    </w:pPr>
    <w:rPr>
      <w:rFonts w:ascii="Times New Roman" w:hAnsi="Times New Roman" w:eastAsia="宋体" w:cs="Times New Roman"/>
      <w:szCs w:val="24"/>
    </w:rPr>
  </w:style>
  <w:style w:type="paragraph" w:styleId="18">
    <w:name w:val="toc 3"/>
    <w:basedOn w:val="1"/>
    <w:next w:val="1"/>
    <w:qFormat/>
    <w:uiPriority w:val="39"/>
    <w:pPr>
      <w:ind w:left="840" w:leftChars="400"/>
    </w:pPr>
    <w:rPr>
      <w:rFonts w:ascii="Times New Roman" w:hAnsi="Times New Roman" w:eastAsia="宋体" w:cs="Times New Roman"/>
      <w:szCs w:val="24"/>
    </w:rPr>
  </w:style>
  <w:style w:type="paragraph" w:styleId="19">
    <w:name w:val="Plain Text"/>
    <w:basedOn w:val="1"/>
    <w:link w:val="199"/>
    <w:qFormat/>
    <w:uiPriority w:val="0"/>
    <w:rPr>
      <w:rFonts w:ascii="宋体" w:hAnsi="Courier New" w:eastAsia="宋体" w:cs="宋体"/>
      <w:szCs w:val="21"/>
    </w:rPr>
  </w:style>
  <w:style w:type="paragraph" w:styleId="20">
    <w:name w:val="toc 8"/>
    <w:basedOn w:val="1"/>
    <w:next w:val="1"/>
    <w:qFormat/>
    <w:uiPriority w:val="0"/>
    <w:pPr>
      <w:ind w:left="2940" w:leftChars="1400"/>
    </w:pPr>
    <w:rPr>
      <w:rFonts w:ascii="Times New Roman" w:hAnsi="Times New Roman" w:eastAsia="宋体" w:cs="Times New Roman"/>
      <w:szCs w:val="24"/>
    </w:rPr>
  </w:style>
  <w:style w:type="paragraph" w:styleId="21">
    <w:name w:val="Date"/>
    <w:basedOn w:val="1"/>
    <w:next w:val="1"/>
    <w:link w:val="156"/>
    <w:qFormat/>
    <w:uiPriority w:val="0"/>
    <w:rPr>
      <w:szCs w:val="21"/>
    </w:rPr>
  </w:style>
  <w:style w:type="paragraph" w:styleId="22">
    <w:name w:val="Body Text Indent 2"/>
    <w:basedOn w:val="1"/>
    <w:link w:val="129"/>
    <w:qFormat/>
    <w:uiPriority w:val="99"/>
    <w:pPr>
      <w:spacing w:before="100" w:beforeAutospacing="1" w:after="100" w:afterAutospacing="1" w:line="360" w:lineRule="auto"/>
      <w:ind w:firstLine="420"/>
    </w:pPr>
    <w:rPr>
      <w:rFonts w:ascii="宋体" w:hAnsi="Calibri" w:eastAsia="宋体" w:cs="Times New Roman"/>
      <w:kern w:val="0"/>
      <w:sz w:val="24"/>
      <w:szCs w:val="20"/>
    </w:rPr>
  </w:style>
  <w:style w:type="paragraph" w:styleId="23">
    <w:name w:val="Balloon Text"/>
    <w:basedOn w:val="1"/>
    <w:link w:val="79"/>
    <w:qFormat/>
    <w:uiPriority w:val="0"/>
    <w:rPr>
      <w:rFonts w:ascii="Calibri" w:hAnsi="Calibri" w:eastAsia="宋体" w:cs="Times New Roman"/>
      <w:sz w:val="18"/>
      <w:szCs w:val="18"/>
    </w:rPr>
  </w:style>
  <w:style w:type="paragraph" w:styleId="24">
    <w:name w:val="footer"/>
    <w:basedOn w:val="1"/>
    <w:link w:val="66"/>
    <w:qFormat/>
    <w:uiPriority w:val="99"/>
    <w:pPr>
      <w:tabs>
        <w:tab w:val="center" w:pos="4153"/>
        <w:tab w:val="right" w:pos="8306"/>
      </w:tabs>
      <w:snapToGrid w:val="0"/>
      <w:jc w:val="left"/>
    </w:pPr>
    <w:rPr>
      <w:rFonts w:ascii="Calibri" w:hAnsi="Calibri" w:eastAsia="宋体" w:cs="Times New Roman"/>
      <w:sz w:val="18"/>
      <w:szCs w:val="18"/>
    </w:rPr>
  </w:style>
  <w:style w:type="paragraph" w:styleId="25">
    <w:name w:val="header"/>
    <w:basedOn w:val="1"/>
    <w:link w:val="65"/>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6">
    <w:name w:val="toc 1"/>
    <w:basedOn w:val="1"/>
    <w:next w:val="1"/>
    <w:qFormat/>
    <w:uiPriority w:val="39"/>
    <w:rPr>
      <w:rFonts w:ascii="Times New Roman" w:hAnsi="Times New Roman" w:eastAsia="宋体" w:cs="Times New Roman"/>
      <w:szCs w:val="24"/>
    </w:rPr>
  </w:style>
  <w:style w:type="paragraph" w:styleId="27">
    <w:name w:val="toc 4"/>
    <w:basedOn w:val="1"/>
    <w:next w:val="1"/>
    <w:qFormat/>
    <w:uiPriority w:val="0"/>
    <w:pPr>
      <w:ind w:left="1260" w:leftChars="600"/>
    </w:pPr>
    <w:rPr>
      <w:rFonts w:ascii="Times New Roman" w:hAnsi="Times New Roman" w:eastAsia="宋体" w:cs="Times New Roman"/>
      <w:szCs w:val="24"/>
    </w:rPr>
  </w:style>
  <w:style w:type="paragraph" w:styleId="28">
    <w:name w:val="Subtitle"/>
    <w:basedOn w:val="1"/>
    <w:next w:val="1"/>
    <w:link w:val="223"/>
    <w:qFormat/>
    <w:uiPriority w:val="11"/>
    <w:pPr>
      <w:spacing w:before="240" w:after="60" w:line="312" w:lineRule="auto"/>
      <w:jc w:val="center"/>
      <w:outlineLvl w:val="1"/>
    </w:pPr>
    <w:rPr>
      <w:rFonts w:ascii="Cambria" w:hAnsi="Cambria" w:eastAsia="仿宋" w:cs="Times New Roman"/>
      <w:b/>
      <w:bCs/>
      <w:kern w:val="28"/>
      <w:sz w:val="32"/>
      <w:szCs w:val="32"/>
    </w:rPr>
  </w:style>
  <w:style w:type="paragraph" w:styleId="29">
    <w:name w:val="footnote text"/>
    <w:basedOn w:val="1"/>
    <w:link w:val="173"/>
    <w:qFormat/>
    <w:uiPriority w:val="0"/>
    <w:pPr>
      <w:snapToGrid w:val="0"/>
      <w:jc w:val="left"/>
    </w:pPr>
    <w:rPr>
      <w:rFonts w:ascii="Times New Roman" w:hAnsi="Times New Roman" w:eastAsia="宋体" w:cs="Times New Roman"/>
      <w:sz w:val="18"/>
      <w:szCs w:val="18"/>
    </w:rPr>
  </w:style>
  <w:style w:type="paragraph" w:styleId="30">
    <w:name w:val="toc 6"/>
    <w:basedOn w:val="1"/>
    <w:next w:val="1"/>
    <w:qFormat/>
    <w:uiPriority w:val="0"/>
    <w:pPr>
      <w:ind w:left="2100" w:leftChars="1000"/>
    </w:pPr>
    <w:rPr>
      <w:rFonts w:ascii="Times New Roman" w:hAnsi="Times New Roman" w:eastAsia="宋体" w:cs="Times New Roman"/>
      <w:szCs w:val="24"/>
    </w:rPr>
  </w:style>
  <w:style w:type="paragraph" w:styleId="31">
    <w:name w:val="Body Text Indent 3"/>
    <w:basedOn w:val="1"/>
    <w:link w:val="131"/>
    <w:qFormat/>
    <w:uiPriority w:val="99"/>
    <w:pPr>
      <w:spacing w:line="440" w:lineRule="exact"/>
      <w:ind w:firstLine="412" w:firstLineChars="200"/>
    </w:pPr>
    <w:rPr>
      <w:rFonts w:ascii="宋体" w:hAnsi="Calibri" w:eastAsia="宋体" w:cs="Times New Roman"/>
      <w:kern w:val="0"/>
      <w:sz w:val="20"/>
      <w:szCs w:val="20"/>
    </w:rPr>
  </w:style>
  <w:style w:type="paragraph" w:styleId="32">
    <w:name w:val="table of figures"/>
    <w:basedOn w:val="1"/>
    <w:next w:val="1"/>
    <w:qFormat/>
    <w:uiPriority w:val="0"/>
    <w:pPr>
      <w:ind w:left="200" w:leftChars="200" w:hanging="200" w:hangingChars="200"/>
    </w:pPr>
    <w:rPr>
      <w:rFonts w:ascii="Times New Roman" w:hAnsi="Times New Roman" w:eastAsia="宋体" w:cs="Times New Roman"/>
      <w:szCs w:val="20"/>
    </w:rPr>
  </w:style>
  <w:style w:type="paragraph" w:styleId="33">
    <w:name w:val="toc 2"/>
    <w:basedOn w:val="1"/>
    <w:next w:val="1"/>
    <w:qFormat/>
    <w:uiPriority w:val="39"/>
    <w:pPr>
      <w:ind w:left="420" w:leftChars="200"/>
    </w:pPr>
    <w:rPr>
      <w:rFonts w:ascii="Times New Roman" w:hAnsi="Times New Roman" w:eastAsia="宋体" w:cs="Times New Roman"/>
      <w:szCs w:val="24"/>
    </w:rPr>
  </w:style>
  <w:style w:type="paragraph" w:styleId="34">
    <w:name w:val="toc 9"/>
    <w:basedOn w:val="1"/>
    <w:next w:val="1"/>
    <w:qFormat/>
    <w:uiPriority w:val="0"/>
    <w:pPr>
      <w:ind w:left="3360" w:leftChars="1600"/>
    </w:pPr>
    <w:rPr>
      <w:rFonts w:ascii="Times New Roman" w:hAnsi="Times New Roman" w:eastAsia="宋体" w:cs="Times New Roman"/>
      <w:szCs w:val="24"/>
    </w:rPr>
  </w:style>
  <w:style w:type="paragraph" w:styleId="35">
    <w:name w:val="Body Text 2"/>
    <w:basedOn w:val="1"/>
    <w:link w:val="206"/>
    <w:unhideWhenUsed/>
    <w:qFormat/>
    <w:uiPriority w:val="99"/>
    <w:pPr>
      <w:spacing w:after="120" w:line="480" w:lineRule="auto"/>
    </w:pPr>
  </w:style>
  <w:style w:type="paragraph" w:styleId="36">
    <w:name w:val="List Continue 2"/>
    <w:basedOn w:val="1"/>
    <w:qFormat/>
    <w:uiPriority w:val="99"/>
    <w:pPr>
      <w:spacing w:after="120"/>
      <w:ind w:left="840" w:leftChars="400"/>
    </w:pPr>
    <w:rPr>
      <w:rFonts w:ascii="Times New Roman" w:hAnsi="Times New Roman" w:eastAsia="宋体" w:cs="Times New Roman"/>
      <w:szCs w:val="24"/>
    </w:rPr>
  </w:style>
  <w:style w:type="paragraph" w:styleId="37">
    <w:name w:val="HTML Preformatted"/>
    <w:basedOn w:val="1"/>
    <w:link w:val="21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atLeast"/>
      <w:jc w:val="left"/>
    </w:pPr>
    <w:rPr>
      <w:rFonts w:ascii="Arial" w:hAnsi="Arial" w:cs="Arial"/>
      <w:kern w:val="0"/>
      <w:sz w:val="28"/>
      <w:szCs w:val="28"/>
    </w:rPr>
  </w:style>
  <w:style w:type="paragraph" w:styleId="38">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9">
    <w:name w:val="index 1"/>
    <w:basedOn w:val="1"/>
    <w:next w:val="1"/>
    <w:qFormat/>
    <w:uiPriority w:val="0"/>
    <w:pPr>
      <w:adjustRightInd w:val="0"/>
      <w:snapToGrid w:val="0"/>
      <w:spacing w:line="300" w:lineRule="exact"/>
    </w:pPr>
    <w:rPr>
      <w:rFonts w:ascii="宋体" w:hAnsi="宋体" w:eastAsia="宋体" w:cs="Times New Roman"/>
      <w:bCs/>
      <w:sz w:val="20"/>
      <w:szCs w:val="21"/>
    </w:rPr>
  </w:style>
  <w:style w:type="paragraph" w:styleId="40">
    <w:name w:val="Title"/>
    <w:basedOn w:val="1"/>
    <w:next w:val="1"/>
    <w:link w:val="159"/>
    <w:qFormat/>
    <w:uiPriority w:val="0"/>
    <w:pPr>
      <w:spacing w:before="240" w:after="60"/>
      <w:jc w:val="center"/>
      <w:outlineLvl w:val="0"/>
    </w:pPr>
    <w:rPr>
      <w:rFonts w:ascii="Cambria" w:hAnsi="Cambria" w:cs="Times New Roman"/>
      <w:b/>
      <w:bCs/>
      <w:sz w:val="32"/>
      <w:szCs w:val="32"/>
    </w:rPr>
  </w:style>
  <w:style w:type="paragraph" w:styleId="41">
    <w:name w:val="annotation subject"/>
    <w:basedOn w:val="12"/>
    <w:next w:val="12"/>
    <w:link w:val="166"/>
    <w:qFormat/>
    <w:uiPriority w:val="0"/>
    <w:rPr>
      <w:b/>
      <w:bCs/>
    </w:rPr>
  </w:style>
  <w:style w:type="paragraph" w:styleId="42">
    <w:name w:val="Body Text First Indent"/>
    <w:basedOn w:val="15"/>
    <w:next w:val="15"/>
    <w:link w:val="224"/>
    <w:qFormat/>
    <w:uiPriority w:val="0"/>
    <w:pPr>
      <w:autoSpaceDE w:val="0"/>
      <w:autoSpaceDN w:val="0"/>
      <w:adjustRightInd w:val="0"/>
      <w:spacing w:line="360" w:lineRule="auto"/>
      <w:ind w:firstLine="420" w:firstLineChars="200"/>
    </w:pPr>
    <w:rPr>
      <w:rFonts w:ascii="Arial" w:hAnsi="Arial"/>
      <w:sz w:val="20"/>
      <w:szCs w:val="21"/>
    </w:rPr>
  </w:style>
  <w:style w:type="paragraph" w:styleId="43">
    <w:name w:val="Body Text First Indent 2"/>
    <w:basedOn w:val="16"/>
    <w:link w:val="203"/>
    <w:unhideWhenUsed/>
    <w:qFormat/>
    <w:uiPriority w:val="99"/>
    <w:pPr>
      <w:widowControl w:val="0"/>
      <w:ind w:left="200" w:leftChars="200" w:firstLine="420" w:firstLineChars="200"/>
    </w:pPr>
    <w:rPr>
      <w:rFonts w:asciiTheme="minorHAnsi" w:hAnsiTheme="minorHAnsi" w:eastAsiaTheme="minorEastAsia" w:cstheme="minorBidi"/>
      <w:kern w:val="2"/>
      <w:sz w:val="21"/>
      <w:szCs w:val="22"/>
    </w:rPr>
  </w:style>
  <w:style w:type="table" w:styleId="45">
    <w:name w:val="Table Grid"/>
    <w:basedOn w:val="4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basedOn w:val="46"/>
    <w:qFormat/>
    <w:uiPriority w:val="22"/>
    <w:rPr>
      <w:rFonts w:cs="Times New Roman"/>
      <w:b/>
    </w:rPr>
  </w:style>
  <w:style w:type="character" w:styleId="48">
    <w:name w:val="page number"/>
    <w:basedOn w:val="46"/>
    <w:qFormat/>
    <w:uiPriority w:val="0"/>
    <w:rPr>
      <w:rFonts w:cs="Times New Roman"/>
    </w:rPr>
  </w:style>
  <w:style w:type="character" w:styleId="49">
    <w:name w:val="FollowedHyperlink"/>
    <w:basedOn w:val="46"/>
    <w:qFormat/>
    <w:uiPriority w:val="99"/>
    <w:rPr>
      <w:rFonts w:cs="Times New Roman"/>
      <w:color w:val="555555"/>
      <w:u w:val="none"/>
    </w:rPr>
  </w:style>
  <w:style w:type="character" w:styleId="50">
    <w:name w:val="Emphasis"/>
    <w:basedOn w:val="46"/>
    <w:qFormat/>
    <w:uiPriority w:val="0"/>
    <w:rPr>
      <w:rFonts w:cs="Times New Roman"/>
      <w:i/>
    </w:rPr>
  </w:style>
  <w:style w:type="character" w:styleId="51">
    <w:name w:val="HTML Definition"/>
    <w:basedOn w:val="46"/>
    <w:qFormat/>
    <w:uiPriority w:val="99"/>
    <w:rPr>
      <w:rFonts w:cs="Times New Roman"/>
    </w:rPr>
  </w:style>
  <w:style w:type="character" w:styleId="52">
    <w:name w:val="HTML Acronym"/>
    <w:basedOn w:val="46"/>
    <w:qFormat/>
    <w:uiPriority w:val="99"/>
    <w:rPr>
      <w:rFonts w:cs="Times New Roman"/>
    </w:rPr>
  </w:style>
  <w:style w:type="character" w:styleId="53">
    <w:name w:val="HTML Variable"/>
    <w:basedOn w:val="46"/>
    <w:qFormat/>
    <w:uiPriority w:val="99"/>
    <w:rPr>
      <w:rFonts w:cs="Times New Roman"/>
    </w:rPr>
  </w:style>
  <w:style w:type="character" w:styleId="54">
    <w:name w:val="Hyperlink"/>
    <w:basedOn w:val="46"/>
    <w:qFormat/>
    <w:uiPriority w:val="99"/>
    <w:rPr>
      <w:rFonts w:cs="Times New Roman"/>
      <w:color w:val="555555"/>
      <w:u w:val="none"/>
    </w:rPr>
  </w:style>
  <w:style w:type="character" w:styleId="55">
    <w:name w:val="HTML Code"/>
    <w:basedOn w:val="46"/>
    <w:qFormat/>
    <w:uiPriority w:val="99"/>
    <w:rPr>
      <w:rFonts w:ascii="monospace" w:hAnsi="monospace" w:cs="Times New Roman"/>
      <w:sz w:val="24"/>
    </w:rPr>
  </w:style>
  <w:style w:type="character" w:styleId="56">
    <w:name w:val="annotation reference"/>
    <w:qFormat/>
    <w:uiPriority w:val="0"/>
    <w:rPr>
      <w:sz w:val="21"/>
      <w:szCs w:val="21"/>
    </w:rPr>
  </w:style>
  <w:style w:type="character" w:styleId="57">
    <w:name w:val="HTML Cite"/>
    <w:basedOn w:val="46"/>
    <w:qFormat/>
    <w:uiPriority w:val="99"/>
    <w:rPr>
      <w:rFonts w:cs="Times New Roman"/>
    </w:rPr>
  </w:style>
  <w:style w:type="character" w:styleId="58">
    <w:name w:val="footnote reference"/>
    <w:semiHidden/>
    <w:qFormat/>
    <w:uiPriority w:val="0"/>
    <w:rPr>
      <w:vertAlign w:val="superscript"/>
    </w:rPr>
  </w:style>
  <w:style w:type="character" w:styleId="59">
    <w:name w:val="HTML Keyboard"/>
    <w:basedOn w:val="46"/>
    <w:qFormat/>
    <w:uiPriority w:val="99"/>
    <w:rPr>
      <w:rFonts w:ascii="monospace" w:hAnsi="monospace" w:cs="Times New Roman"/>
      <w:sz w:val="24"/>
    </w:rPr>
  </w:style>
  <w:style w:type="character" w:styleId="60">
    <w:name w:val="HTML Sample"/>
    <w:basedOn w:val="46"/>
    <w:qFormat/>
    <w:uiPriority w:val="99"/>
    <w:rPr>
      <w:rFonts w:ascii="monospace" w:hAnsi="monospace" w:cs="Times New Roman"/>
      <w:sz w:val="24"/>
    </w:rPr>
  </w:style>
  <w:style w:type="paragraph" w:customStyle="1" w:styleId="61">
    <w:name w:val="目录 81"/>
    <w:basedOn w:val="1"/>
    <w:next w:val="1"/>
    <w:qFormat/>
    <w:uiPriority w:val="99"/>
    <w:pPr>
      <w:ind w:left="1470"/>
      <w:jc w:val="left"/>
    </w:pPr>
  </w:style>
  <w:style w:type="character" w:customStyle="1" w:styleId="62">
    <w:name w:val="标题 2 Char"/>
    <w:basedOn w:val="46"/>
    <w:link w:val="4"/>
    <w:qFormat/>
    <w:uiPriority w:val="99"/>
    <w:rPr>
      <w:rFonts w:ascii="???" w:hAnsi="???" w:eastAsia="宋体" w:cs="Arial"/>
      <w:b/>
      <w:bCs/>
      <w:color w:val="020000"/>
      <w:kern w:val="0"/>
      <w:sz w:val="32"/>
      <w:szCs w:val="32"/>
    </w:rPr>
  </w:style>
  <w:style w:type="character" w:customStyle="1" w:styleId="63">
    <w:name w:val="标题 1 Char"/>
    <w:basedOn w:val="46"/>
    <w:link w:val="3"/>
    <w:qFormat/>
    <w:uiPriority w:val="9"/>
    <w:rPr>
      <w:rFonts w:ascii="???" w:hAnsi="???" w:eastAsia="宋体" w:cs="Arial"/>
      <w:b/>
      <w:bCs/>
      <w:color w:val="020000"/>
      <w:kern w:val="36"/>
      <w:sz w:val="44"/>
      <w:szCs w:val="44"/>
    </w:rPr>
  </w:style>
  <w:style w:type="character" w:customStyle="1" w:styleId="64">
    <w:name w:val="标题 3 Char"/>
    <w:basedOn w:val="46"/>
    <w:link w:val="2"/>
    <w:qFormat/>
    <w:uiPriority w:val="99"/>
    <w:rPr>
      <w:rFonts w:ascii="??" w:hAnsi="??" w:eastAsia="宋体" w:cs="Arial"/>
      <w:b/>
      <w:bCs/>
      <w:color w:val="000000"/>
      <w:kern w:val="0"/>
      <w:sz w:val="32"/>
      <w:szCs w:val="32"/>
    </w:rPr>
  </w:style>
  <w:style w:type="character" w:customStyle="1" w:styleId="65">
    <w:name w:val="页眉 Char"/>
    <w:basedOn w:val="46"/>
    <w:link w:val="25"/>
    <w:qFormat/>
    <w:uiPriority w:val="99"/>
    <w:rPr>
      <w:rFonts w:ascii="Calibri" w:hAnsi="Calibri" w:eastAsia="宋体" w:cs="Times New Roman"/>
      <w:sz w:val="18"/>
      <w:szCs w:val="18"/>
    </w:rPr>
  </w:style>
  <w:style w:type="character" w:customStyle="1" w:styleId="66">
    <w:name w:val="页脚 Char"/>
    <w:basedOn w:val="46"/>
    <w:link w:val="24"/>
    <w:qFormat/>
    <w:uiPriority w:val="99"/>
    <w:rPr>
      <w:rFonts w:ascii="Calibri" w:hAnsi="Calibri" w:eastAsia="宋体" w:cs="Times New Roman"/>
      <w:sz w:val="18"/>
      <w:szCs w:val="18"/>
    </w:rPr>
  </w:style>
  <w:style w:type="character" w:customStyle="1" w:styleId="67">
    <w:name w:val="正文文本缩进 Char"/>
    <w:basedOn w:val="46"/>
    <w:link w:val="16"/>
    <w:qFormat/>
    <w:uiPriority w:val="0"/>
    <w:rPr>
      <w:rFonts w:ascii="??" w:hAnsi="??" w:eastAsia="宋体" w:cs="Arial"/>
      <w:kern w:val="0"/>
      <w:sz w:val="24"/>
      <w:szCs w:val="24"/>
    </w:rPr>
  </w:style>
  <w:style w:type="paragraph" w:customStyle="1" w:styleId="68">
    <w:name w:val="列出段落1"/>
    <w:basedOn w:val="1"/>
    <w:link w:val="209"/>
    <w:qFormat/>
    <w:uiPriority w:val="0"/>
    <w:pPr>
      <w:ind w:firstLine="420" w:firstLineChars="200"/>
    </w:pPr>
    <w:rPr>
      <w:rFonts w:ascii="Calibri" w:hAnsi="Calibri" w:eastAsia="宋体" w:cs="Times New Roman"/>
    </w:rPr>
  </w:style>
  <w:style w:type="character" w:customStyle="1" w:styleId="69">
    <w:name w:val="标题 2 Char Char"/>
    <w:qFormat/>
    <w:uiPriority w:val="99"/>
    <w:rPr>
      <w:rFonts w:ascii="Arial" w:hAnsi="Arial" w:eastAsia="黑体"/>
      <w:b/>
      <w:kern w:val="2"/>
      <w:sz w:val="32"/>
      <w:lang w:val="en-US" w:eastAsia="zh-CN"/>
    </w:rPr>
  </w:style>
  <w:style w:type="character" w:customStyle="1" w:styleId="70">
    <w:name w:val="2charchar"/>
    <w:basedOn w:val="46"/>
    <w:qFormat/>
    <w:uiPriority w:val="99"/>
    <w:rPr>
      <w:rFonts w:cs="Times New Roman"/>
    </w:rPr>
  </w:style>
  <w:style w:type="paragraph" w:customStyle="1" w:styleId="71">
    <w:name w:val="表格文字"/>
    <w:basedOn w:val="1"/>
    <w:qFormat/>
    <w:uiPriority w:val="0"/>
    <w:pPr>
      <w:adjustRightInd w:val="0"/>
      <w:spacing w:line="420" w:lineRule="atLeast"/>
      <w:jc w:val="left"/>
    </w:pPr>
    <w:rPr>
      <w:rFonts w:ascii="Times New Roman" w:hAnsi="Times New Roman" w:eastAsia="宋体" w:cs="Times New Roman"/>
      <w:kern w:val="0"/>
      <w:szCs w:val="20"/>
    </w:rPr>
  </w:style>
  <w:style w:type="paragraph" w:customStyle="1" w:styleId="72">
    <w:name w:val="z-窗体顶端1"/>
    <w:basedOn w:val="1"/>
    <w:next w:val="1"/>
    <w:link w:val="73"/>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73">
    <w:name w:val="z-窗体顶端 Char"/>
    <w:basedOn w:val="46"/>
    <w:link w:val="72"/>
    <w:semiHidden/>
    <w:qFormat/>
    <w:uiPriority w:val="99"/>
    <w:rPr>
      <w:rFonts w:ascii="Arial" w:hAnsi="Arial" w:eastAsia="宋体" w:cs="Arial"/>
      <w:vanish/>
      <w:kern w:val="0"/>
      <w:sz w:val="16"/>
      <w:szCs w:val="16"/>
    </w:rPr>
  </w:style>
  <w:style w:type="paragraph" w:customStyle="1" w:styleId="74">
    <w:name w:val="z-窗体底端1"/>
    <w:basedOn w:val="1"/>
    <w:next w:val="1"/>
    <w:link w:val="75"/>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5">
    <w:name w:val="z-窗体底端 Char"/>
    <w:basedOn w:val="46"/>
    <w:link w:val="74"/>
    <w:semiHidden/>
    <w:qFormat/>
    <w:uiPriority w:val="99"/>
    <w:rPr>
      <w:rFonts w:ascii="Arial" w:hAnsi="Arial" w:eastAsia="宋体" w:cs="Arial"/>
      <w:vanish/>
      <w:kern w:val="0"/>
      <w:sz w:val="16"/>
      <w:szCs w:val="16"/>
    </w:rPr>
  </w:style>
  <w:style w:type="paragraph" w:customStyle="1" w:styleId="76">
    <w:name w:val="hu正文"/>
    <w:basedOn w:val="1"/>
    <w:link w:val="77"/>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77">
    <w:name w:val="hu正文 Char"/>
    <w:link w:val="76"/>
    <w:qFormat/>
    <w:locked/>
    <w:uiPriority w:val="99"/>
    <w:rPr>
      <w:rFonts w:ascii="Times New Roman" w:hAnsi="Times New Roman" w:eastAsia="宋体" w:cs="Times New Roman"/>
      <w:kern w:val="0"/>
      <w:sz w:val="24"/>
      <w:szCs w:val="20"/>
    </w:rPr>
  </w:style>
  <w:style w:type="paragraph" w:customStyle="1" w:styleId="78">
    <w:name w:val="无间隔1"/>
    <w:qFormat/>
    <w:uiPriority w:val="99"/>
    <w:pPr>
      <w:widowControl w:val="0"/>
      <w:jc w:val="both"/>
    </w:pPr>
    <w:rPr>
      <w:rFonts w:ascii="Calibri" w:hAnsi="Calibri" w:eastAsia="宋体" w:cs="Times New Roman"/>
      <w:kern w:val="2"/>
      <w:sz w:val="21"/>
      <w:szCs w:val="22"/>
      <w:lang w:val="en-US" w:eastAsia="zh-CN" w:bidi="ar-SA"/>
    </w:rPr>
  </w:style>
  <w:style w:type="character" w:customStyle="1" w:styleId="79">
    <w:name w:val="批注框文本 Char"/>
    <w:basedOn w:val="46"/>
    <w:link w:val="23"/>
    <w:qFormat/>
    <w:uiPriority w:val="0"/>
    <w:rPr>
      <w:rFonts w:ascii="Calibri" w:hAnsi="Calibri" w:eastAsia="宋体" w:cs="Times New Roman"/>
      <w:sz w:val="18"/>
      <w:szCs w:val="18"/>
    </w:rPr>
  </w:style>
  <w:style w:type="character" w:customStyle="1" w:styleId="80">
    <w:name w:val="ui-bz-bg-hover1"/>
    <w:basedOn w:val="46"/>
    <w:qFormat/>
    <w:uiPriority w:val="99"/>
    <w:rPr>
      <w:rFonts w:cs="Times New Roman"/>
    </w:rPr>
  </w:style>
  <w:style w:type="character" w:customStyle="1" w:styleId="81">
    <w:name w:val="批注框文本 Char1"/>
    <w:qFormat/>
    <w:uiPriority w:val="99"/>
    <w:rPr>
      <w:rFonts w:ascii="Times New Roman" w:hAnsi="Times New Roman" w:eastAsia="宋体"/>
      <w:sz w:val="18"/>
    </w:rPr>
  </w:style>
  <w:style w:type="character" w:customStyle="1" w:styleId="82">
    <w:name w:val="bds_nopic"/>
    <w:basedOn w:val="46"/>
    <w:qFormat/>
    <w:uiPriority w:val="99"/>
    <w:rPr>
      <w:rFonts w:cs="Times New Roman"/>
    </w:rPr>
  </w:style>
  <w:style w:type="character" w:customStyle="1" w:styleId="83">
    <w:name w:val="tip12"/>
    <w:qFormat/>
    <w:uiPriority w:val="99"/>
    <w:rPr>
      <w:vanish/>
      <w:color w:val="FF0000"/>
      <w:sz w:val="18"/>
    </w:rPr>
  </w:style>
  <w:style w:type="character" w:customStyle="1" w:styleId="84">
    <w:name w:val="Body Text Indent 3 Char"/>
    <w:qFormat/>
    <w:locked/>
    <w:uiPriority w:val="99"/>
    <w:rPr>
      <w:rFonts w:ascii="宋体" w:eastAsia="宋体"/>
    </w:rPr>
  </w:style>
  <w:style w:type="character" w:customStyle="1" w:styleId="85">
    <w:name w:val="HTML Markup"/>
    <w:qFormat/>
    <w:uiPriority w:val="99"/>
    <w:rPr>
      <w:vanish/>
      <w:color w:val="FF0000"/>
    </w:rPr>
  </w:style>
  <w:style w:type="character" w:customStyle="1" w:styleId="86">
    <w:name w:val="tip7"/>
    <w:qFormat/>
    <w:uiPriority w:val="99"/>
    <w:rPr>
      <w:vanish/>
      <w:color w:val="FF0000"/>
      <w:sz w:val="18"/>
    </w:rPr>
  </w:style>
  <w:style w:type="character" w:customStyle="1" w:styleId="87">
    <w:name w:val="f-star"/>
    <w:qFormat/>
    <w:uiPriority w:val="99"/>
    <w:rPr>
      <w:color w:val="999999"/>
      <w:sz w:val="21"/>
    </w:rPr>
  </w:style>
  <w:style w:type="character" w:customStyle="1" w:styleId="88">
    <w:name w:val="Document Map Char1"/>
    <w:qFormat/>
    <w:uiPriority w:val="99"/>
    <w:rPr>
      <w:rFonts w:ascii="Times New Roman" w:hAnsi="Times New Roman"/>
      <w:kern w:val="2"/>
      <w:sz w:val="2"/>
    </w:rPr>
  </w:style>
  <w:style w:type="character" w:customStyle="1" w:styleId="89">
    <w:name w:val="my-class2"/>
    <w:basedOn w:val="46"/>
    <w:qFormat/>
    <w:uiPriority w:val="99"/>
    <w:rPr>
      <w:rFonts w:cs="Times New Roman"/>
    </w:rPr>
  </w:style>
  <w:style w:type="character" w:customStyle="1" w:styleId="90">
    <w:name w:val="no52"/>
    <w:basedOn w:val="46"/>
    <w:qFormat/>
    <w:uiPriority w:val="99"/>
    <w:rPr>
      <w:rFonts w:cs="Times New Roman"/>
    </w:rPr>
  </w:style>
  <w:style w:type="character" w:customStyle="1" w:styleId="91">
    <w:name w:val="no4"/>
    <w:basedOn w:val="46"/>
    <w:qFormat/>
    <w:uiPriority w:val="99"/>
    <w:rPr>
      <w:rFonts w:cs="Times New Roman"/>
    </w:rPr>
  </w:style>
  <w:style w:type="character" w:customStyle="1" w:styleId="92">
    <w:name w:val="my-notice"/>
    <w:basedOn w:val="46"/>
    <w:qFormat/>
    <w:uiPriority w:val="99"/>
    <w:rPr>
      <w:rFonts w:cs="Times New Roman"/>
    </w:rPr>
  </w:style>
  <w:style w:type="character" w:customStyle="1" w:styleId="93">
    <w:name w:val="ico-jiang"/>
    <w:basedOn w:val="46"/>
    <w:qFormat/>
    <w:uiPriority w:val="99"/>
    <w:rPr>
      <w:rFonts w:cs="Times New Roman"/>
    </w:rPr>
  </w:style>
  <w:style w:type="character" w:customStyle="1" w:styleId="94">
    <w:name w:val="ico-jiang2"/>
    <w:basedOn w:val="46"/>
    <w:qFormat/>
    <w:uiPriority w:val="99"/>
    <w:rPr>
      <w:rFonts w:cs="Times New Roman"/>
    </w:rPr>
  </w:style>
  <w:style w:type="character" w:customStyle="1" w:styleId="95">
    <w:name w:val="bds_more1"/>
    <w:qFormat/>
    <w:uiPriority w:val="99"/>
    <w:rPr>
      <w:rFonts w:ascii="宋体" w:hAnsi="宋体" w:eastAsia="宋体"/>
    </w:rPr>
  </w:style>
  <w:style w:type="character" w:customStyle="1" w:styleId="96">
    <w:name w:val="Body Text Indent 2 Char"/>
    <w:qFormat/>
    <w:locked/>
    <w:uiPriority w:val="99"/>
    <w:rPr>
      <w:rFonts w:ascii="宋体" w:eastAsia="宋体"/>
      <w:sz w:val="24"/>
    </w:rPr>
  </w:style>
  <w:style w:type="character" w:customStyle="1" w:styleId="97">
    <w:name w:val="org_name"/>
    <w:basedOn w:val="46"/>
    <w:qFormat/>
    <w:uiPriority w:val="99"/>
    <w:rPr>
      <w:rFonts w:cs="Times New Roman"/>
    </w:rPr>
  </w:style>
  <w:style w:type="character" w:customStyle="1" w:styleId="98">
    <w:name w:val="org_name2"/>
    <w:basedOn w:val="46"/>
    <w:qFormat/>
    <w:uiPriority w:val="99"/>
    <w:rPr>
      <w:rFonts w:cs="Times New Roman"/>
    </w:rPr>
  </w:style>
  <w:style w:type="character" w:customStyle="1" w:styleId="99">
    <w:name w:val="tip10"/>
    <w:qFormat/>
    <w:uiPriority w:val="99"/>
    <w:rPr>
      <w:vanish/>
      <w:color w:val="FF0000"/>
      <w:sz w:val="18"/>
    </w:rPr>
  </w:style>
  <w:style w:type="character" w:customStyle="1" w:styleId="100">
    <w:name w:val="orange"/>
    <w:qFormat/>
    <w:uiPriority w:val="99"/>
    <w:rPr>
      <w:color w:val="3FB58F"/>
    </w:rPr>
  </w:style>
  <w:style w:type="character" w:customStyle="1" w:styleId="101">
    <w:name w:val="bds_more"/>
    <w:basedOn w:val="46"/>
    <w:qFormat/>
    <w:uiPriority w:val="99"/>
    <w:rPr>
      <w:rFonts w:cs="Times New Roman"/>
    </w:rPr>
  </w:style>
  <w:style w:type="character" w:customStyle="1" w:styleId="102">
    <w:name w:val="t-tag"/>
    <w:qFormat/>
    <w:uiPriority w:val="99"/>
    <w:rPr>
      <w:color w:val="FFFFFF"/>
      <w:sz w:val="18"/>
      <w:shd w:val="clear" w:color="auto" w:fill="FE8833"/>
    </w:rPr>
  </w:style>
  <w:style w:type="character" w:customStyle="1" w:styleId="103">
    <w:name w:val="top-icon"/>
    <w:basedOn w:val="46"/>
    <w:qFormat/>
    <w:uiPriority w:val="99"/>
    <w:rPr>
      <w:rFonts w:cs="Times New Roman"/>
    </w:rPr>
  </w:style>
  <w:style w:type="character" w:customStyle="1" w:styleId="104">
    <w:name w:val="Body Text Char"/>
    <w:qFormat/>
    <w:locked/>
    <w:uiPriority w:val="99"/>
    <w:rPr>
      <w:sz w:val="24"/>
    </w:rPr>
  </w:style>
  <w:style w:type="character" w:customStyle="1" w:styleId="105">
    <w:name w:val="no72"/>
    <w:basedOn w:val="46"/>
    <w:qFormat/>
    <w:uiPriority w:val="99"/>
    <w:rPr>
      <w:rFonts w:cs="Times New Roman"/>
    </w:rPr>
  </w:style>
  <w:style w:type="character" w:customStyle="1" w:styleId="106">
    <w:name w:val="bds_nopic2"/>
    <w:basedOn w:val="46"/>
    <w:qFormat/>
    <w:uiPriority w:val="99"/>
    <w:rPr>
      <w:rFonts w:cs="Times New Roman"/>
    </w:rPr>
  </w:style>
  <w:style w:type="character" w:customStyle="1" w:styleId="107">
    <w:name w:val="Document Map Char"/>
    <w:qFormat/>
    <w:uiPriority w:val="99"/>
    <w:rPr>
      <w:rFonts w:ascii="宋体"/>
      <w:sz w:val="18"/>
    </w:rPr>
  </w:style>
  <w:style w:type="character" w:customStyle="1" w:styleId="108">
    <w:name w:val="no6"/>
    <w:basedOn w:val="46"/>
    <w:qFormat/>
    <w:uiPriority w:val="99"/>
    <w:rPr>
      <w:rFonts w:cs="Times New Roman"/>
    </w:rPr>
  </w:style>
  <w:style w:type="character" w:customStyle="1" w:styleId="109">
    <w:name w:val="tip"/>
    <w:qFormat/>
    <w:uiPriority w:val="99"/>
    <w:rPr>
      <w:vanish/>
      <w:color w:val="FF0000"/>
      <w:sz w:val="18"/>
    </w:rPr>
  </w:style>
  <w:style w:type="character" w:customStyle="1" w:styleId="110">
    <w:name w:val="apple-converted-space"/>
    <w:basedOn w:val="46"/>
    <w:qFormat/>
    <w:uiPriority w:val="99"/>
    <w:rPr>
      <w:rFonts w:cs="Times New Roman"/>
    </w:rPr>
  </w:style>
  <w:style w:type="character" w:customStyle="1" w:styleId="111">
    <w:name w:val="bds_more2"/>
    <w:basedOn w:val="46"/>
    <w:qFormat/>
    <w:uiPriority w:val="99"/>
    <w:rPr>
      <w:rFonts w:cs="Times New Roman"/>
    </w:rPr>
  </w:style>
  <w:style w:type="character" w:customStyle="1" w:styleId="112">
    <w:name w:val="my-class"/>
    <w:basedOn w:val="46"/>
    <w:qFormat/>
    <w:uiPriority w:val="99"/>
    <w:rPr>
      <w:rFonts w:cs="Times New Roman"/>
    </w:rPr>
  </w:style>
  <w:style w:type="character" w:customStyle="1" w:styleId="113">
    <w:name w:val="ui-bz-bg-hover"/>
    <w:qFormat/>
    <w:uiPriority w:val="99"/>
    <w:rPr>
      <w:shd w:val="clear" w:color="auto" w:fill="000000"/>
    </w:rPr>
  </w:style>
  <w:style w:type="character" w:customStyle="1" w:styleId="114">
    <w:name w:val="no7"/>
    <w:basedOn w:val="46"/>
    <w:qFormat/>
    <w:uiPriority w:val="99"/>
    <w:rPr>
      <w:rFonts w:cs="Times New Roman"/>
    </w:rPr>
  </w:style>
  <w:style w:type="character" w:customStyle="1" w:styleId="115">
    <w:name w:val="正文缩进 Char"/>
    <w:link w:val="9"/>
    <w:qFormat/>
    <w:locked/>
    <w:uiPriority w:val="0"/>
    <w:rPr>
      <w:rFonts w:ascii="Times New Roman" w:hAnsi="Times New Roman" w:eastAsia="宋体" w:cs="Times New Roman"/>
      <w:kern w:val="0"/>
      <w:sz w:val="24"/>
      <w:szCs w:val="20"/>
    </w:rPr>
  </w:style>
  <w:style w:type="character" w:customStyle="1" w:styleId="116">
    <w:name w:val="ico-jiang1"/>
    <w:basedOn w:val="46"/>
    <w:qFormat/>
    <w:uiPriority w:val="99"/>
    <w:rPr>
      <w:rFonts w:cs="Times New Roman"/>
    </w:rPr>
  </w:style>
  <w:style w:type="character" w:customStyle="1" w:styleId="117">
    <w:name w:val="no62"/>
    <w:basedOn w:val="46"/>
    <w:qFormat/>
    <w:uiPriority w:val="99"/>
    <w:rPr>
      <w:rFonts w:cs="Times New Roman"/>
    </w:rPr>
  </w:style>
  <w:style w:type="character" w:customStyle="1" w:styleId="118">
    <w:name w:val="orange5"/>
    <w:qFormat/>
    <w:uiPriority w:val="99"/>
    <w:rPr>
      <w:color w:val="3FB58F"/>
    </w:rPr>
  </w:style>
  <w:style w:type="character" w:customStyle="1" w:styleId="119">
    <w:name w:val="bds_more4"/>
    <w:basedOn w:val="46"/>
    <w:qFormat/>
    <w:uiPriority w:val="99"/>
    <w:rPr>
      <w:rFonts w:cs="Times New Roman"/>
    </w:rPr>
  </w:style>
  <w:style w:type="character" w:customStyle="1" w:styleId="120">
    <w:name w:val="no5"/>
    <w:basedOn w:val="46"/>
    <w:qFormat/>
    <w:uiPriority w:val="99"/>
    <w:rPr>
      <w:rFonts w:cs="Times New Roman"/>
    </w:rPr>
  </w:style>
  <w:style w:type="character" w:customStyle="1" w:styleId="121">
    <w:name w:val="bds_more3"/>
    <w:basedOn w:val="46"/>
    <w:qFormat/>
    <w:uiPriority w:val="99"/>
    <w:rPr>
      <w:rFonts w:cs="Times New Roman"/>
    </w:rPr>
  </w:style>
  <w:style w:type="character" w:customStyle="1" w:styleId="122">
    <w:name w:val="no42"/>
    <w:basedOn w:val="46"/>
    <w:qFormat/>
    <w:uiPriority w:val="99"/>
    <w:rPr>
      <w:rFonts w:cs="Times New Roman"/>
    </w:rPr>
  </w:style>
  <w:style w:type="character" w:customStyle="1" w:styleId="123">
    <w:name w:val="bds_nopic1"/>
    <w:basedOn w:val="46"/>
    <w:qFormat/>
    <w:uiPriority w:val="99"/>
    <w:rPr>
      <w:rFonts w:cs="Times New Roman"/>
    </w:rPr>
  </w:style>
  <w:style w:type="character" w:customStyle="1" w:styleId="124">
    <w:name w:val="my-notice1"/>
    <w:basedOn w:val="46"/>
    <w:qFormat/>
    <w:uiPriority w:val="99"/>
    <w:rPr>
      <w:rFonts w:cs="Times New Roman"/>
    </w:rPr>
  </w:style>
  <w:style w:type="character" w:customStyle="1" w:styleId="125">
    <w:name w:val="orange6"/>
    <w:qFormat/>
    <w:uiPriority w:val="99"/>
    <w:rPr>
      <w:color w:val="3FB58F"/>
    </w:rPr>
  </w:style>
  <w:style w:type="character" w:customStyle="1" w:styleId="126">
    <w:name w:val="Document Map Char2"/>
    <w:qFormat/>
    <w:locked/>
    <w:uiPriority w:val="99"/>
    <w:rPr>
      <w:rFonts w:ascii="宋体"/>
      <w:sz w:val="18"/>
    </w:rPr>
  </w:style>
  <w:style w:type="character" w:customStyle="1" w:styleId="127">
    <w:name w:val="ico-jiang3"/>
    <w:basedOn w:val="46"/>
    <w:qFormat/>
    <w:uiPriority w:val="99"/>
    <w:rPr>
      <w:rFonts w:cs="Times New Roman"/>
    </w:rPr>
  </w:style>
  <w:style w:type="character" w:customStyle="1" w:styleId="128">
    <w:name w:val="tip13"/>
    <w:qFormat/>
    <w:uiPriority w:val="99"/>
    <w:rPr>
      <w:vanish/>
      <w:color w:val="FF0000"/>
      <w:sz w:val="18"/>
    </w:rPr>
  </w:style>
  <w:style w:type="character" w:customStyle="1" w:styleId="129">
    <w:name w:val="正文文本缩进 2 Char"/>
    <w:basedOn w:val="46"/>
    <w:link w:val="22"/>
    <w:qFormat/>
    <w:uiPriority w:val="99"/>
    <w:rPr>
      <w:rFonts w:ascii="宋体" w:hAnsi="Calibri" w:eastAsia="宋体" w:cs="Times New Roman"/>
      <w:kern w:val="0"/>
      <w:sz w:val="24"/>
      <w:szCs w:val="20"/>
    </w:rPr>
  </w:style>
  <w:style w:type="character" w:customStyle="1" w:styleId="130">
    <w:name w:val="Body Text Indent 2 Char1"/>
    <w:basedOn w:val="46"/>
    <w:semiHidden/>
    <w:qFormat/>
    <w:locked/>
    <w:uiPriority w:val="99"/>
    <w:rPr>
      <w:rFonts w:cs="Times New Roman"/>
    </w:rPr>
  </w:style>
  <w:style w:type="character" w:customStyle="1" w:styleId="131">
    <w:name w:val="正文文本缩进 3 Char"/>
    <w:basedOn w:val="46"/>
    <w:link w:val="31"/>
    <w:qFormat/>
    <w:uiPriority w:val="99"/>
    <w:rPr>
      <w:rFonts w:ascii="宋体" w:hAnsi="Calibri" w:eastAsia="宋体" w:cs="Times New Roman"/>
      <w:kern w:val="0"/>
      <w:sz w:val="20"/>
      <w:szCs w:val="20"/>
    </w:rPr>
  </w:style>
  <w:style w:type="character" w:customStyle="1" w:styleId="132">
    <w:name w:val="Body Text Indent 3 Char1"/>
    <w:basedOn w:val="46"/>
    <w:semiHidden/>
    <w:qFormat/>
    <w:locked/>
    <w:uiPriority w:val="99"/>
    <w:rPr>
      <w:rFonts w:cs="Times New Roman"/>
      <w:sz w:val="16"/>
      <w:szCs w:val="16"/>
    </w:rPr>
  </w:style>
  <w:style w:type="character" w:customStyle="1" w:styleId="133">
    <w:name w:val="文档结构图 Char"/>
    <w:basedOn w:val="46"/>
    <w:link w:val="10"/>
    <w:qFormat/>
    <w:uiPriority w:val="99"/>
    <w:rPr>
      <w:rFonts w:ascii="宋体" w:hAnsi="Calibri" w:eastAsia="宋体" w:cs="Times New Roman"/>
      <w:kern w:val="0"/>
      <w:sz w:val="18"/>
      <w:szCs w:val="20"/>
    </w:rPr>
  </w:style>
  <w:style w:type="character" w:customStyle="1" w:styleId="134">
    <w:name w:val="Document Map Char3"/>
    <w:basedOn w:val="46"/>
    <w:semiHidden/>
    <w:qFormat/>
    <w:locked/>
    <w:uiPriority w:val="99"/>
    <w:rPr>
      <w:rFonts w:ascii="Times New Roman" w:hAnsi="Times New Roman" w:cs="Times New Roman"/>
      <w:sz w:val="2"/>
    </w:rPr>
  </w:style>
  <w:style w:type="paragraph" w:customStyle="1" w:styleId="135">
    <w:name w:val="_Style 1"/>
    <w:basedOn w:val="1"/>
    <w:qFormat/>
    <w:uiPriority w:val="99"/>
    <w:pPr>
      <w:ind w:firstLine="420" w:firstLineChars="200"/>
    </w:pPr>
    <w:rPr>
      <w:rFonts w:ascii="Times New Roman" w:hAnsi="Times New Roman" w:eastAsia="宋体" w:cs="Times New Roman"/>
      <w:szCs w:val="24"/>
    </w:rPr>
  </w:style>
  <w:style w:type="character" w:customStyle="1" w:styleId="136">
    <w:name w:val="正文文本 Char"/>
    <w:basedOn w:val="46"/>
    <w:link w:val="15"/>
    <w:qFormat/>
    <w:uiPriority w:val="99"/>
    <w:rPr>
      <w:rFonts w:ascii="Calibri" w:hAnsi="Calibri" w:eastAsia="宋体" w:cs="Times New Roman"/>
      <w:kern w:val="0"/>
      <w:sz w:val="24"/>
      <w:szCs w:val="20"/>
    </w:rPr>
  </w:style>
  <w:style w:type="character" w:customStyle="1" w:styleId="137">
    <w:name w:val="Body Text Char1"/>
    <w:basedOn w:val="46"/>
    <w:semiHidden/>
    <w:qFormat/>
    <w:locked/>
    <w:uiPriority w:val="99"/>
    <w:rPr>
      <w:rFonts w:cs="Times New Roman"/>
    </w:rPr>
  </w:style>
  <w:style w:type="paragraph" w:customStyle="1" w:styleId="138">
    <w:name w:val="_Style 21"/>
    <w:basedOn w:val="1"/>
    <w:qFormat/>
    <w:uiPriority w:val="99"/>
    <w:rPr>
      <w:rFonts w:ascii="Times New Roman" w:hAnsi="Times New Roman" w:eastAsia="宋体" w:cs="Times New Roman"/>
      <w:szCs w:val="20"/>
    </w:rPr>
  </w:style>
  <w:style w:type="paragraph" w:customStyle="1" w:styleId="139">
    <w:name w:val="p0"/>
    <w:basedOn w:val="1"/>
    <w:qFormat/>
    <w:uiPriority w:val="0"/>
    <w:pPr>
      <w:widowControl/>
    </w:pPr>
    <w:rPr>
      <w:rFonts w:ascii="Times New Roman" w:hAnsi="Times New Roman" w:eastAsia="宋体" w:cs="Times New Roman"/>
      <w:kern w:val="0"/>
      <w:szCs w:val="21"/>
    </w:rPr>
  </w:style>
  <w:style w:type="paragraph" w:customStyle="1" w:styleId="140">
    <w:name w:val="xl37"/>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41">
    <w:name w:val="xl25"/>
    <w:basedOn w:val="1"/>
    <w:qFormat/>
    <w:uiPriority w:val="99"/>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42">
    <w:name w:val="样式 样式 样式 样式 内容 + 首行缩进:  2 字符18 + 首行缩进:  5.71 厘米 + 首行缩进:  8.04 厘米..."/>
    <w:basedOn w:val="1"/>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43">
    <w:name w:val="无间隔11"/>
    <w:qFormat/>
    <w:uiPriority w:val="99"/>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44">
    <w:name w:val="列出段落11"/>
    <w:basedOn w:val="1"/>
    <w:qFormat/>
    <w:uiPriority w:val="99"/>
    <w:pPr>
      <w:ind w:firstLine="420" w:firstLineChars="200"/>
    </w:pPr>
    <w:rPr>
      <w:rFonts w:ascii="Times New Roman" w:hAnsi="Times New Roman" w:eastAsia="宋体" w:cs="Times New Roman"/>
      <w:szCs w:val="24"/>
    </w:rPr>
  </w:style>
  <w:style w:type="paragraph" w:customStyle="1" w:styleId="145">
    <w:name w:val="_Style 2"/>
    <w:basedOn w:val="1"/>
    <w:qFormat/>
    <w:uiPriority w:val="34"/>
    <w:pPr>
      <w:ind w:firstLine="420" w:firstLineChars="200"/>
    </w:pPr>
    <w:rPr>
      <w:rFonts w:ascii="Calibri" w:hAnsi="Calibri" w:eastAsia="宋体" w:cs="Times New Roman"/>
    </w:rPr>
  </w:style>
  <w:style w:type="paragraph" w:customStyle="1" w:styleId="146">
    <w:name w:val="txt14"/>
    <w:basedOn w:val="1"/>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47">
    <w:name w:val="_Style 11"/>
    <w:basedOn w:val="1"/>
    <w:qFormat/>
    <w:uiPriority w:val="99"/>
    <w:rPr>
      <w:rFonts w:ascii="Times New Roman" w:hAnsi="Times New Roman" w:eastAsia="宋体" w:cs="Times New Roman"/>
      <w:szCs w:val="24"/>
    </w:rPr>
  </w:style>
  <w:style w:type="paragraph" w:customStyle="1" w:styleId="148">
    <w:name w:val="Char"/>
    <w:basedOn w:val="1"/>
    <w:qFormat/>
    <w:uiPriority w:val="99"/>
    <w:rPr>
      <w:rFonts w:ascii="Times New Roman" w:hAnsi="Times New Roman" w:eastAsia="宋体" w:cs="Times New Roman"/>
      <w:szCs w:val="21"/>
    </w:rPr>
  </w:style>
  <w:style w:type="paragraph" w:customStyle="1" w:styleId="149">
    <w:name w:val="列出段落12"/>
    <w:basedOn w:val="1"/>
    <w:qFormat/>
    <w:uiPriority w:val="99"/>
    <w:pPr>
      <w:ind w:firstLine="420" w:firstLineChars="200"/>
    </w:pPr>
    <w:rPr>
      <w:rFonts w:ascii="Times New Roman" w:hAnsi="Times New Roman" w:eastAsia="宋体" w:cs="Times New Roman"/>
      <w:szCs w:val="24"/>
    </w:rPr>
  </w:style>
  <w:style w:type="paragraph" w:customStyle="1" w:styleId="150">
    <w:name w:val="列出段落2"/>
    <w:basedOn w:val="1"/>
    <w:qFormat/>
    <w:uiPriority w:val="99"/>
    <w:pPr>
      <w:ind w:firstLine="420" w:firstLineChars="200"/>
    </w:pPr>
    <w:rPr>
      <w:rFonts w:ascii="Times New Roman" w:hAnsi="Times New Roman" w:eastAsia="宋体" w:cs="Times New Roman"/>
      <w:szCs w:val="24"/>
    </w:rPr>
  </w:style>
  <w:style w:type="paragraph" w:customStyle="1" w:styleId="151">
    <w:name w:val="TOC 标题1"/>
    <w:basedOn w:val="3"/>
    <w:next w:val="1"/>
    <w:qFormat/>
    <w:uiPriority w:val="39"/>
    <w:pPr>
      <w:keepLines/>
      <w:spacing w:before="480" w:after="0" w:line="276" w:lineRule="auto"/>
      <w:jc w:val="left"/>
      <w:outlineLvl w:val="9"/>
    </w:pPr>
    <w:rPr>
      <w:rFonts w:ascii="Cambria" w:hAnsi="Cambria" w:cs="Times New Roman"/>
      <w:color w:val="365F91"/>
      <w:kern w:val="0"/>
      <w:sz w:val="28"/>
      <w:szCs w:val="28"/>
    </w:rPr>
  </w:style>
  <w:style w:type="paragraph" w:customStyle="1" w:styleId="152">
    <w:name w:val="正文文本缩进 31"/>
    <w:basedOn w:val="1"/>
    <w:qFormat/>
    <w:uiPriority w:val="99"/>
    <w:pPr>
      <w:spacing w:line="440" w:lineRule="exact"/>
      <w:ind w:firstLine="412" w:firstLineChars="200"/>
    </w:pPr>
    <w:rPr>
      <w:rFonts w:ascii="宋体" w:hAnsi="宋体" w:eastAsia="宋体" w:cs="Times New Roman"/>
      <w:kern w:val="0"/>
      <w:sz w:val="20"/>
      <w:szCs w:val="20"/>
    </w:rPr>
  </w:style>
  <w:style w:type="character" w:customStyle="1" w:styleId="153">
    <w:name w:val="font41"/>
    <w:qFormat/>
    <w:uiPriority w:val="99"/>
    <w:rPr>
      <w:rFonts w:hint="eastAsia" w:ascii="宋体" w:hAnsi="宋体" w:eastAsia="宋体" w:cs="宋体"/>
      <w:b/>
      <w:color w:val="000000"/>
      <w:sz w:val="22"/>
      <w:szCs w:val="22"/>
      <w:u w:val="none"/>
    </w:rPr>
  </w:style>
  <w:style w:type="character" w:customStyle="1" w:styleId="154">
    <w:name w:val="font81"/>
    <w:qFormat/>
    <w:uiPriority w:val="0"/>
    <w:rPr>
      <w:rFonts w:hint="eastAsia" w:ascii="宋体" w:hAnsi="宋体" w:eastAsia="宋体" w:cs="宋体"/>
      <w:b/>
      <w:color w:val="000000"/>
      <w:sz w:val="22"/>
      <w:szCs w:val="22"/>
      <w:u w:val="none"/>
    </w:rPr>
  </w:style>
  <w:style w:type="character" w:customStyle="1" w:styleId="155">
    <w:name w:val="font21"/>
    <w:qFormat/>
    <w:uiPriority w:val="0"/>
    <w:rPr>
      <w:rFonts w:hint="eastAsia" w:ascii="宋体" w:hAnsi="宋体" w:eastAsia="宋体" w:cs="宋体"/>
      <w:color w:val="000000"/>
      <w:sz w:val="18"/>
      <w:szCs w:val="18"/>
      <w:u w:val="none"/>
    </w:rPr>
  </w:style>
  <w:style w:type="character" w:customStyle="1" w:styleId="156">
    <w:name w:val="日期 Char"/>
    <w:link w:val="21"/>
    <w:qFormat/>
    <w:uiPriority w:val="0"/>
    <w:rPr>
      <w:szCs w:val="21"/>
    </w:rPr>
  </w:style>
  <w:style w:type="character" w:customStyle="1" w:styleId="157">
    <w:name w:val="font01"/>
    <w:qFormat/>
    <w:uiPriority w:val="99"/>
    <w:rPr>
      <w:rFonts w:hint="eastAsia" w:ascii="宋体" w:hAnsi="宋体" w:eastAsia="宋体" w:cs="宋体"/>
      <w:color w:val="000000"/>
      <w:sz w:val="22"/>
      <w:szCs w:val="22"/>
      <w:u w:val="none"/>
    </w:rPr>
  </w:style>
  <w:style w:type="character" w:customStyle="1" w:styleId="158">
    <w:name w:val="Char Char1"/>
    <w:qFormat/>
    <w:uiPriority w:val="0"/>
    <w:rPr>
      <w:rFonts w:eastAsia="宋体"/>
      <w:kern w:val="2"/>
      <w:sz w:val="18"/>
      <w:szCs w:val="18"/>
      <w:lang w:val="en-US" w:eastAsia="zh-CN" w:bidi="ar-SA"/>
    </w:rPr>
  </w:style>
  <w:style w:type="character" w:customStyle="1" w:styleId="159">
    <w:name w:val="标题 Char"/>
    <w:link w:val="40"/>
    <w:qFormat/>
    <w:uiPriority w:val="0"/>
    <w:rPr>
      <w:rFonts w:ascii="Cambria" w:hAnsi="Cambria" w:cs="Times New Roman"/>
      <w:b/>
      <w:bCs/>
      <w:sz w:val="32"/>
      <w:szCs w:val="32"/>
    </w:rPr>
  </w:style>
  <w:style w:type="character" w:customStyle="1" w:styleId="160">
    <w:name w:val="hei141"/>
    <w:qFormat/>
    <w:uiPriority w:val="0"/>
    <w:rPr>
      <w:rFonts w:hint="eastAsia" w:ascii="宋体" w:hAnsi="宋体" w:eastAsia="宋体"/>
      <w:color w:val="000000"/>
      <w:sz w:val="19"/>
      <w:szCs w:val="19"/>
      <w:u w:val="none"/>
    </w:rPr>
  </w:style>
  <w:style w:type="character" w:customStyle="1" w:styleId="161">
    <w:name w:val="批注文字 Char"/>
    <w:link w:val="12"/>
    <w:qFormat/>
    <w:uiPriority w:val="0"/>
  </w:style>
  <w:style w:type="character" w:customStyle="1" w:styleId="162">
    <w:name w:val="apple-style-span"/>
    <w:basedOn w:val="46"/>
    <w:qFormat/>
    <w:uiPriority w:val="0"/>
  </w:style>
  <w:style w:type="character" w:customStyle="1" w:styleId="163">
    <w:name w:val="param-value"/>
    <w:qFormat/>
    <w:uiPriority w:val="99"/>
    <w:rPr>
      <w:rFonts w:cs="Times New Roman"/>
    </w:rPr>
  </w:style>
  <w:style w:type="character" w:customStyle="1" w:styleId="164">
    <w:name w:val="font61"/>
    <w:qFormat/>
    <w:uiPriority w:val="0"/>
    <w:rPr>
      <w:rFonts w:hint="eastAsia" w:ascii="宋体" w:hAnsi="宋体" w:eastAsia="宋体" w:cs="宋体"/>
      <w:color w:val="000000"/>
      <w:sz w:val="22"/>
      <w:szCs w:val="22"/>
      <w:u w:val="none"/>
    </w:rPr>
  </w:style>
  <w:style w:type="character" w:customStyle="1" w:styleId="165">
    <w:name w:val="font11"/>
    <w:qFormat/>
    <w:uiPriority w:val="0"/>
    <w:rPr>
      <w:rFonts w:hint="eastAsia" w:ascii="宋体" w:hAnsi="宋体" w:eastAsia="宋体" w:cs="宋体"/>
      <w:color w:val="FF0000"/>
      <w:sz w:val="22"/>
      <w:szCs w:val="22"/>
      <w:u w:val="none"/>
    </w:rPr>
  </w:style>
  <w:style w:type="character" w:customStyle="1" w:styleId="166">
    <w:name w:val="批注主题 Char"/>
    <w:link w:val="41"/>
    <w:qFormat/>
    <w:uiPriority w:val="0"/>
    <w:rPr>
      <w:b/>
      <w:bCs/>
    </w:rPr>
  </w:style>
  <w:style w:type="character" w:customStyle="1" w:styleId="167">
    <w:name w:val="批注文字 Char1"/>
    <w:basedOn w:val="46"/>
    <w:semiHidden/>
    <w:qFormat/>
    <w:uiPriority w:val="99"/>
  </w:style>
  <w:style w:type="paragraph" w:customStyle="1" w:styleId="168">
    <w:name w:val="内文"/>
    <w:basedOn w:val="1"/>
    <w:qFormat/>
    <w:uiPriority w:val="0"/>
    <w:pPr>
      <w:spacing w:line="500" w:lineRule="exact"/>
      <w:ind w:firstLine="560" w:firstLineChars="200"/>
    </w:pPr>
    <w:rPr>
      <w:rFonts w:ascii="方正仿宋简体" w:hAnsi="宋体" w:eastAsia="方正仿宋简体" w:cs="Times New Roman"/>
      <w:sz w:val="28"/>
      <w:szCs w:val="28"/>
    </w:rPr>
  </w:style>
  <w:style w:type="character" w:customStyle="1" w:styleId="169">
    <w:name w:val="批注主题 Char1"/>
    <w:basedOn w:val="167"/>
    <w:semiHidden/>
    <w:qFormat/>
    <w:uiPriority w:val="99"/>
    <w:rPr>
      <w:b/>
      <w:bCs/>
    </w:rPr>
  </w:style>
  <w:style w:type="paragraph" w:customStyle="1" w:styleId="170">
    <w:name w:val="reader-word-layer reader-word-s1-17"/>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1">
    <w:name w:val="日期 Char1"/>
    <w:basedOn w:val="46"/>
    <w:semiHidden/>
    <w:qFormat/>
    <w:uiPriority w:val="99"/>
  </w:style>
  <w:style w:type="paragraph" w:customStyle="1" w:styleId="172">
    <w:name w:val="reader-word-layer reader-word-s1-14"/>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3">
    <w:name w:val="脚注文本 Char"/>
    <w:basedOn w:val="46"/>
    <w:link w:val="29"/>
    <w:semiHidden/>
    <w:qFormat/>
    <w:uiPriority w:val="0"/>
    <w:rPr>
      <w:rFonts w:ascii="Times New Roman" w:hAnsi="Times New Roman" w:eastAsia="宋体" w:cs="Times New Roman"/>
      <w:sz w:val="18"/>
      <w:szCs w:val="18"/>
    </w:rPr>
  </w:style>
  <w:style w:type="paragraph" w:customStyle="1" w:styleId="174">
    <w:name w:val="reader-word-layer reader-word-s1-1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5">
    <w:name w:val="reader-word-layer reader-word-s1-15"/>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6">
    <w:name w:val="标题 Char1"/>
    <w:basedOn w:val="46"/>
    <w:qFormat/>
    <w:uiPriority w:val="10"/>
    <w:rPr>
      <w:rFonts w:eastAsia="宋体" w:asciiTheme="majorHAnsi" w:hAnsiTheme="majorHAnsi" w:cstheme="majorBidi"/>
      <w:b/>
      <w:bCs/>
      <w:sz w:val="32"/>
      <w:szCs w:val="32"/>
    </w:rPr>
  </w:style>
  <w:style w:type="paragraph" w:customStyle="1" w:styleId="177">
    <w:name w:val="本文正文"/>
    <w:basedOn w:val="1"/>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78">
    <w:name w:val="reader-word-layer reader-word-s1-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9">
    <w:name w:val="Char Char Char1 Char Char Char Char"/>
    <w:basedOn w:val="1"/>
    <w:qFormat/>
    <w:uiPriority w:val="99"/>
    <w:pPr>
      <w:spacing w:line="300" w:lineRule="auto"/>
    </w:pPr>
    <w:rPr>
      <w:rFonts w:ascii="Tahoma" w:hAnsi="Tahoma" w:eastAsia="宋体" w:cs="Times New Roman"/>
      <w:sz w:val="24"/>
      <w:szCs w:val="24"/>
    </w:rPr>
  </w:style>
  <w:style w:type="paragraph" w:customStyle="1" w:styleId="180">
    <w:name w:val="Default"/>
    <w:basedOn w:val="40"/>
    <w:next w:val="3"/>
    <w:qFormat/>
    <w:uiPriority w:val="0"/>
    <w:pPr>
      <w:autoSpaceDE w:val="0"/>
      <w:autoSpaceDN w:val="0"/>
      <w:adjustRightInd w:val="0"/>
      <w:jc w:val="both"/>
    </w:pPr>
    <w:rPr>
      <w:rFonts w:ascii="黑体" w:hAnsi="黑体" w:eastAsia="宋体" w:cs="黑体"/>
      <w:color w:val="000000"/>
      <w:sz w:val="24"/>
      <w:szCs w:val="24"/>
    </w:rPr>
  </w:style>
  <w:style w:type="paragraph" w:customStyle="1" w:styleId="181">
    <w:name w:val="List Paragraph1"/>
    <w:basedOn w:val="1"/>
    <w:qFormat/>
    <w:uiPriority w:val="0"/>
    <w:pPr>
      <w:ind w:firstLine="420" w:firstLineChars="200"/>
    </w:pPr>
    <w:rPr>
      <w:rFonts w:ascii="Times New Roman" w:hAnsi="Times New Roman" w:eastAsia="宋体" w:cs="Times New Roman"/>
      <w:szCs w:val="24"/>
    </w:rPr>
  </w:style>
  <w:style w:type="paragraph" w:customStyle="1" w:styleId="182">
    <w:name w:val="reader-word-layer reader-word-s1-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3">
    <w:name w:val="reader-word-layer reader-word-s1-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4">
    <w:name w:val="reader-word-layer reader-word-s1-1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5">
    <w:name w:val="Char Char4"/>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6">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7">
    <w:name w:val="Char Char4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8">
    <w:name w:val="列出段落3"/>
    <w:basedOn w:val="1"/>
    <w:qFormat/>
    <w:uiPriority w:val="0"/>
    <w:pPr>
      <w:ind w:firstLine="420" w:firstLineChars="200"/>
    </w:pPr>
    <w:rPr>
      <w:rFonts w:ascii="Times New Roman" w:hAnsi="Times New Roman" w:eastAsia="宋体" w:cs="Times New Roman"/>
      <w:szCs w:val="24"/>
    </w:rPr>
  </w:style>
  <w:style w:type="character" w:customStyle="1" w:styleId="189">
    <w:name w:val="Char Char12"/>
    <w:qFormat/>
    <w:uiPriority w:val="0"/>
    <w:rPr>
      <w:rFonts w:eastAsia="宋体"/>
      <w:kern w:val="2"/>
      <w:sz w:val="18"/>
      <w:szCs w:val="18"/>
      <w:lang w:val="en-US" w:eastAsia="zh-CN" w:bidi="ar-SA"/>
    </w:rPr>
  </w:style>
  <w:style w:type="paragraph" w:customStyle="1" w:styleId="190">
    <w:name w:val="Char Char4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1">
    <w:name w:val="Char Char4 Char Char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2">
    <w:name w:val="列出段落4"/>
    <w:basedOn w:val="1"/>
    <w:qFormat/>
    <w:uiPriority w:val="0"/>
    <w:pPr>
      <w:ind w:firstLine="420" w:firstLineChars="200"/>
    </w:pPr>
    <w:rPr>
      <w:rFonts w:ascii="Times New Roman" w:hAnsi="Times New Roman" w:eastAsia="宋体" w:cs="Times New Roman"/>
      <w:szCs w:val="24"/>
    </w:rPr>
  </w:style>
  <w:style w:type="character" w:customStyle="1" w:styleId="193">
    <w:name w:val="Char Char11"/>
    <w:qFormat/>
    <w:uiPriority w:val="0"/>
    <w:rPr>
      <w:rFonts w:eastAsia="宋体"/>
      <w:kern w:val="2"/>
      <w:sz w:val="18"/>
      <w:szCs w:val="18"/>
      <w:lang w:val="en-US" w:eastAsia="zh-CN" w:bidi="ar-SA"/>
    </w:rPr>
  </w:style>
  <w:style w:type="paragraph" w:customStyle="1" w:styleId="194">
    <w:name w:val="Char Char4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5">
    <w:name w:val="Char Char4 Char 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6">
    <w:name w:val="列出段落5"/>
    <w:basedOn w:val="1"/>
    <w:qFormat/>
    <w:uiPriority w:val="0"/>
    <w:pPr>
      <w:ind w:firstLine="420" w:firstLineChars="200"/>
    </w:pPr>
    <w:rPr>
      <w:rFonts w:ascii="Times New Roman" w:hAnsi="Times New Roman" w:eastAsia="宋体" w:cs="Times New Roman"/>
      <w:szCs w:val="24"/>
    </w:rPr>
  </w:style>
  <w:style w:type="character" w:customStyle="1" w:styleId="197">
    <w:name w:val="bookmark-item"/>
    <w:basedOn w:val="46"/>
    <w:qFormat/>
    <w:uiPriority w:val="0"/>
  </w:style>
  <w:style w:type="paragraph" w:customStyle="1" w:styleId="198">
    <w:name w:val="列出段落6"/>
    <w:basedOn w:val="1"/>
    <w:qFormat/>
    <w:uiPriority w:val="34"/>
    <w:pPr>
      <w:ind w:firstLine="420" w:firstLineChars="200"/>
    </w:pPr>
    <w:rPr>
      <w:rFonts w:ascii="Calibri" w:hAnsi="Calibri" w:eastAsia="宋体" w:cs="Times New Roman"/>
    </w:rPr>
  </w:style>
  <w:style w:type="character" w:customStyle="1" w:styleId="199">
    <w:name w:val="纯文本 Char"/>
    <w:basedOn w:val="46"/>
    <w:link w:val="19"/>
    <w:qFormat/>
    <w:uiPriority w:val="0"/>
    <w:rPr>
      <w:rFonts w:ascii="宋体" w:hAnsi="Courier New" w:eastAsia="宋体" w:cs="宋体"/>
      <w:kern w:val="2"/>
      <w:sz w:val="21"/>
      <w:szCs w:val="21"/>
    </w:rPr>
  </w:style>
  <w:style w:type="paragraph" w:customStyle="1" w:styleId="200">
    <w:name w:val="0"/>
    <w:basedOn w:val="1"/>
    <w:qFormat/>
    <w:uiPriority w:val="0"/>
    <w:pPr>
      <w:widowControl/>
      <w:snapToGrid w:val="0"/>
      <w:jc w:val="left"/>
    </w:pPr>
    <w:rPr>
      <w:rFonts w:ascii="Times New Roman" w:hAnsi="Times New Roman" w:eastAsia="宋体" w:cs="Times New Roman"/>
      <w:kern w:val="0"/>
      <w:sz w:val="20"/>
      <w:szCs w:val="20"/>
    </w:rPr>
  </w:style>
  <w:style w:type="paragraph" w:customStyle="1" w:styleId="201">
    <w:name w:val="Table Paragraph"/>
    <w:basedOn w:val="1"/>
    <w:qFormat/>
    <w:uiPriority w:val="1"/>
    <w:pPr>
      <w:jc w:val="left"/>
    </w:pPr>
    <w:rPr>
      <w:rFonts w:ascii="Calibri" w:hAnsi="Calibri" w:eastAsia="Calibri" w:cs="Times New Roman"/>
      <w:kern w:val="0"/>
      <w:sz w:val="22"/>
      <w:lang w:eastAsia="en-US"/>
    </w:rPr>
  </w:style>
  <w:style w:type="paragraph" w:customStyle="1" w:styleId="202">
    <w:name w:val="_Style 3"/>
    <w:basedOn w:val="1"/>
    <w:qFormat/>
    <w:uiPriority w:val="34"/>
    <w:pPr>
      <w:ind w:firstLine="420" w:firstLineChars="200"/>
    </w:pPr>
    <w:rPr>
      <w:rFonts w:ascii="Times New Roman" w:hAnsi="Times New Roman" w:eastAsia="宋体" w:cs="黑体"/>
      <w:szCs w:val="24"/>
    </w:rPr>
  </w:style>
  <w:style w:type="character" w:customStyle="1" w:styleId="203">
    <w:name w:val="正文首行缩进 2 Char"/>
    <w:basedOn w:val="67"/>
    <w:link w:val="43"/>
    <w:semiHidden/>
    <w:qFormat/>
    <w:uiPriority w:val="99"/>
    <w:rPr>
      <w:rFonts w:ascii="??" w:hAnsi="??" w:eastAsia="宋体" w:cs="Arial"/>
      <w:kern w:val="2"/>
      <w:sz w:val="21"/>
      <w:szCs w:val="22"/>
    </w:rPr>
  </w:style>
  <w:style w:type="paragraph" w:customStyle="1" w:styleId="204">
    <w:name w:val="标书正文"/>
    <w:basedOn w:val="1"/>
    <w:qFormat/>
    <w:uiPriority w:val="0"/>
    <w:pPr>
      <w:spacing w:line="560" w:lineRule="exact"/>
      <w:ind w:firstLine="723" w:firstLineChars="200"/>
      <w:jc w:val="center"/>
    </w:pPr>
    <w:rPr>
      <w:rFonts w:ascii="仿宋_GB2312" w:hAnsi="Times New Roman" w:eastAsia="仿宋_GB2312" w:cs="Times New Roman"/>
      <w:b/>
      <w:sz w:val="36"/>
      <w:szCs w:val="20"/>
    </w:rPr>
  </w:style>
  <w:style w:type="paragraph" w:customStyle="1" w:styleId="205">
    <w:name w:val="表格"/>
    <w:qFormat/>
    <w:uiPriority w:val="0"/>
    <w:pPr>
      <w:adjustRightInd w:val="0"/>
      <w:snapToGrid w:val="0"/>
      <w:spacing w:before="20" w:after="20"/>
      <w:jc w:val="center"/>
      <w:textAlignment w:val="baseline"/>
    </w:pPr>
    <w:rPr>
      <w:rFonts w:ascii="Arial" w:hAnsi="Arial" w:eastAsia="宋体" w:cs="Times New Roman"/>
      <w:snapToGrid w:val="0"/>
      <w:sz w:val="21"/>
      <w:lang w:val="en-US" w:eastAsia="zh-CN" w:bidi="ar-SA"/>
    </w:rPr>
  </w:style>
  <w:style w:type="character" w:customStyle="1" w:styleId="206">
    <w:name w:val="正文文本 2 Char"/>
    <w:basedOn w:val="46"/>
    <w:link w:val="35"/>
    <w:semiHidden/>
    <w:qFormat/>
    <w:uiPriority w:val="99"/>
    <w:rPr>
      <w:rFonts w:asciiTheme="minorHAnsi" w:hAnsiTheme="minorHAnsi" w:eastAsiaTheme="minorEastAsia" w:cstheme="minorBidi"/>
      <w:kern w:val="2"/>
      <w:sz w:val="21"/>
      <w:szCs w:val="22"/>
    </w:rPr>
  </w:style>
  <w:style w:type="paragraph" w:customStyle="1" w:styleId="207">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208">
    <w:name w:val="列表段落1"/>
    <w:basedOn w:val="1"/>
    <w:qFormat/>
    <w:uiPriority w:val="0"/>
    <w:pPr>
      <w:ind w:firstLine="420" w:firstLineChars="200"/>
    </w:pPr>
    <w:rPr>
      <w:rFonts w:ascii="Times New Roman" w:hAnsi="Times New Roman" w:eastAsia="宋体" w:cs="Times New Roman"/>
    </w:rPr>
  </w:style>
  <w:style w:type="character" w:customStyle="1" w:styleId="209">
    <w:name w:val="列表段落 字符"/>
    <w:link w:val="68"/>
    <w:qFormat/>
    <w:uiPriority w:val="0"/>
    <w:rPr>
      <w:rFonts w:ascii="Calibri" w:hAnsi="Calibri"/>
      <w:kern w:val="2"/>
      <w:sz w:val="21"/>
      <w:szCs w:val="22"/>
    </w:rPr>
  </w:style>
  <w:style w:type="paragraph" w:customStyle="1" w:styleId="210">
    <w:name w:val="列出段落7"/>
    <w:basedOn w:val="1"/>
    <w:unhideWhenUsed/>
    <w:qFormat/>
    <w:uiPriority w:val="99"/>
    <w:pPr>
      <w:ind w:firstLine="420" w:firstLineChars="200"/>
    </w:pPr>
  </w:style>
  <w:style w:type="character" w:customStyle="1" w:styleId="211">
    <w:name w:val="HTML 预设格式 Char"/>
    <w:basedOn w:val="46"/>
    <w:link w:val="37"/>
    <w:qFormat/>
    <w:uiPriority w:val="0"/>
    <w:rPr>
      <w:rFonts w:ascii="Arial" w:hAnsi="Arial" w:cs="Arial" w:eastAsiaTheme="minorEastAsia"/>
      <w:sz w:val="28"/>
      <w:szCs w:val="28"/>
    </w:rPr>
  </w:style>
  <w:style w:type="paragraph" w:customStyle="1" w:styleId="212">
    <w:name w:val="BodyText"/>
    <w:basedOn w:val="1"/>
    <w:next w:val="213"/>
    <w:qFormat/>
    <w:uiPriority w:val="0"/>
    <w:pPr>
      <w:spacing w:line="300" w:lineRule="auto"/>
      <w:jc w:val="center"/>
      <w:textAlignment w:val="baseline"/>
    </w:pPr>
    <w:rPr>
      <w:rFonts w:ascii="宋体" w:hAnsi="宋体" w:eastAsia="宋体"/>
      <w:sz w:val="24"/>
      <w:szCs w:val="24"/>
    </w:rPr>
  </w:style>
  <w:style w:type="paragraph" w:customStyle="1" w:styleId="213">
    <w:name w:val="TOC2"/>
    <w:basedOn w:val="1"/>
    <w:next w:val="1"/>
    <w:qFormat/>
    <w:uiPriority w:val="0"/>
    <w:pPr>
      <w:spacing w:line="413" w:lineRule="auto"/>
      <w:ind w:left="240" w:leftChars="100"/>
      <w:textAlignment w:val="baseline"/>
    </w:pPr>
    <w:rPr>
      <w:rFonts w:ascii="Calibri" w:hAnsi="Calibri" w:eastAsia="仿宋"/>
      <w:sz w:val="24"/>
      <w:szCs w:val="24"/>
    </w:rPr>
  </w:style>
  <w:style w:type="character" w:customStyle="1" w:styleId="214">
    <w:name w:val="纯文本 Char1"/>
    <w:qFormat/>
    <w:uiPriority w:val="0"/>
    <w:rPr>
      <w:rFonts w:eastAsia="宋体"/>
      <w:kern w:val="2"/>
      <w:sz w:val="24"/>
      <w:lang w:val="en-US" w:eastAsia="zh-CN" w:bidi="ar-SA"/>
    </w:rPr>
  </w:style>
  <w:style w:type="character" w:customStyle="1" w:styleId="215">
    <w:name w:val="页脚 Char1"/>
    <w:qFormat/>
    <w:uiPriority w:val="0"/>
    <w:rPr>
      <w:rFonts w:eastAsia="宋体"/>
      <w:kern w:val="2"/>
      <w:sz w:val="18"/>
      <w:szCs w:val="18"/>
      <w:lang w:val="en-US" w:eastAsia="zh-CN" w:bidi="ar-SA"/>
    </w:rPr>
  </w:style>
  <w:style w:type="character" w:customStyle="1" w:styleId="216">
    <w:name w:val="页眉 Char1"/>
    <w:qFormat/>
    <w:uiPriority w:val="0"/>
    <w:rPr>
      <w:rFonts w:eastAsia="宋体"/>
      <w:kern w:val="2"/>
      <w:sz w:val="18"/>
      <w:szCs w:val="18"/>
      <w:lang w:val="en-US" w:eastAsia="zh-CN" w:bidi="ar-SA"/>
    </w:rPr>
  </w:style>
  <w:style w:type="character" w:customStyle="1" w:styleId="217">
    <w:name w:val="正文缩进 Char1"/>
    <w:link w:val="218"/>
    <w:qFormat/>
    <w:uiPriority w:val="0"/>
    <w:rPr>
      <w:rFonts w:ascii="宋体"/>
      <w:sz w:val="24"/>
    </w:rPr>
  </w:style>
  <w:style w:type="paragraph" w:customStyle="1" w:styleId="218">
    <w:name w:val="正文缩进1"/>
    <w:basedOn w:val="1"/>
    <w:link w:val="217"/>
    <w:qFormat/>
    <w:uiPriority w:val="0"/>
    <w:pPr>
      <w:autoSpaceDE w:val="0"/>
      <w:autoSpaceDN w:val="0"/>
      <w:adjustRightInd w:val="0"/>
      <w:ind w:firstLine="420"/>
      <w:jc w:val="left"/>
    </w:pPr>
    <w:rPr>
      <w:rFonts w:ascii="宋体" w:hAnsi="Times New Roman" w:eastAsia="宋体" w:cs="Times New Roman"/>
      <w:kern w:val="0"/>
      <w:sz w:val="24"/>
      <w:szCs w:val="20"/>
    </w:rPr>
  </w:style>
  <w:style w:type="paragraph" w:customStyle="1" w:styleId="219">
    <w:name w:val="索引 11"/>
    <w:basedOn w:val="1"/>
    <w:next w:val="1"/>
    <w:qFormat/>
    <w:uiPriority w:val="0"/>
    <w:pPr>
      <w:spacing w:line="360" w:lineRule="auto"/>
    </w:pPr>
    <w:rPr>
      <w:rFonts w:ascii="仿宋_GB2312" w:hAnsi="Times New Roman" w:eastAsia="仿宋_GB2312" w:cs="Times New Roman"/>
      <w:sz w:val="24"/>
      <w:szCs w:val="20"/>
    </w:rPr>
  </w:style>
  <w:style w:type="paragraph" w:customStyle="1" w:styleId="220">
    <w:name w:val="纯文本1"/>
    <w:basedOn w:val="1"/>
    <w:qFormat/>
    <w:uiPriority w:val="0"/>
    <w:rPr>
      <w:rFonts w:ascii="宋体" w:hAnsi="Courier New" w:eastAsia="宋体" w:cs="Times New Roman"/>
      <w:kern w:val="0"/>
      <w:sz w:val="20"/>
      <w:szCs w:val="20"/>
    </w:rPr>
  </w:style>
  <w:style w:type="character" w:customStyle="1" w:styleId="221">
    <w:name w:val="标题 5 Char"/>
    <w:basedOn w:val="46"/>
    <w:link w:val="6"/>
    <w:semiHidden/>
    <w:qFormat/>
    <w:uiPriority w:val="9"/>
    <w:rPr>
      <w:rFonts w:asciiTheme="minorHAnsi" w:hAnsiTheme="minorHAnsi" w:eastAsiaTheme="minorEastAsia" w:cstheme="minorBidi"/>
      <w:b/>
      <w:bCs/>
      <w:kern w:val="2"/>
      <w:sz w:val="28"/>
      <w:szCs w:val="28"/>
    </w:rPr>
  </w:style>
  <w:style w:type="character" w:customStyle="1" w:styleId="222">
    <w:name w:val="称呼 Char"/>
    <w:basedOn w:val="46"/>
    <w:link w:val="14"/>
    <w:qFormat/>
    <w:uiPriority w:val="0"/>
    <w:rPr>
      <w:rFonts w:ascii="宋体"/>
      <w:b/>
      <w:kern w:val="2"/>
      <w:sz w:val="28"/>
      <w:szCs w:val="24"/>
    </w:rPr>
  </w:style>
  <w:style w:type="character" w:customStyle="1" w:styleId="223">
    <w:name w:val="副标题 Char"/>
    <w:basedOn w:val="46"/>
    <w:link w:val="28"/>
    <w:qFormat/>
    <w:uiPriority w:val="11"/>
    <w:rPr>
      <w:rFonts w:ascii="Cambria" w:hAnsi="Cambria" w:eastAsia="仿宋"/>
      <w:b/>
      <w:bCs/>
      <w:kern w:val="28"/>
      <w:sz w:val="32"/>
      <w:szCs w:val="32"/>
    </w:rPr>
  </w:style>
  <w:style w:type="character" w:customStyle="1" w:styleId="224">
    <w:name w:val="正文首行缩进 Char"/>
    <w:basedOn w:val="136"/>
    <w:link w:val="42"/>
    <w:qFormat/>
    <w:uiPriority w:val="0"/>
    <w:rPr>
      <w:rFonts w:ascii="Arial" w:hAnsi="Arial" w:eastAsia="宋体" w:cs="Times New Roman"/>
      <w:kern w:val="0"/>
      <w:sz w:val="24"/>
      <w:szCs w:val="21"/>
    </w:rPr>
  </w:style>
  <w:style w:type="paragraph" w:customStyle="1" w:styleId="225">
    <w:name w:val="测评方案正文"/>
    <w:basedOn w:val="226"/>
    <w:qFormat/>
    <w:uiPriority w:val="0"/>
    <w:pPr>
      <w:ind w:firstLine="200" w:firstLineChars="200"/>
    </w:pPr>
    <w:rPr>
      <w:b w:val="0"/>
      <w:sz w:val="21"/>
    </w:rPr>
  </w:style>
  <w:style w:type="paragraph" w:customStyle="1" w:styleId="226">
    <w:name w:val="测评方案2级"/>
    <w:basedOn w:val="1"/>
    <w:qFormat/>
    <w:uiPriority w:val="0"/>
    <w:pPr>
      <w:spacing w:beforeLines="50" w:afterLines="50" w:line="300" w:lineRule="auto"/>
    </w:pPr>
    <w:rPr>
      <w:rFonts w:ascii="Times New Roman" w:hAnsi="Times New Roman" w:eastAsia="宋体" w:cs="Times New Roman"/>
      <w:b/>
      <w:sz w:val="28"/>
      <w:szCs w:val="32"/>
    </w:rPr>
  </w:style>
  <w:style w:type="paragraph" w:customStyle="1" w:styleId="227">
    <w:name w:val="正文首行缩进两字符"/>
    <w:qFormat/>
    <w:uiPriority w:val="0"/>
    <w:pPr>
      <w:widowControl w:val="0"/>
      <w:jc w:val="both"/>
    </w:pPr>
    <w:rPr>
      <w:rFonts w:ascii="Calibri" w:hAnsi="Calibri" w:eastAsia="宋体" w:cs="Times New Roman"/>
      <w:kern w:val="2"/>
      <w:sz w:val="21"/>
      <w:lang w:val="en-US" w:eastAsia="zh-CN" w:bidi="ar-SA"/>
    </w:rPr>
  </w:style>
  <w:style w:type="paragraph" w:customStyle="1" w:styleId="228">
    <w:name w:val="测评方案3级"/>
    <w:basedOn w:val="226"/>
    <w:qFormat/>
    <w:uiPriority w:val="0"/>
    <w:pPr>
      <w:spacing w:before="156" w:after="156"/>
    </w:pPr>
    <w:rPr>
      <w:rFonts w:ascii="黑体" w:eastAsia="黑体"/>
      <w:sz w:val="24"/>
    </w:rPr>
  </w:style>
  <w:style w:type="paragraph" w:customStyle="1" w:styleId="229">
    <w:name w:val="Body text|7"/>
    <w:basedOn w:val="1"/>
    <w:qFormat/>
    <w:uiPriority w:val="0"/>
    <w:rPr>
      <w:rFonts w:ascii="Times New Roman" w:hAnsi="Times New Roman" w:eastAsia="宋体" w:cs="Times New Roman"/>
      <w:sz w:val="32"/>
      <w:szCs w:val="32"/>
      <w:shd w:val="clear" w:color="auto" w:fill="FFFFFF"/>
    </w:rPr>
  </w:style>
  <w:style w:type="paragraph" w:customStyle="1" w:styleId="230">
    <w:name w:val="Body text|1"/>
    <w:basedOn w:val="1"/>
    <w:qFormat/>
    <w:uiPriority w:val="0"/>
    <w:pPr>
      <w:spacing w:after="40" w:line="353" w:lineRule="auto"/>
      <w:ind w:firstLine="40"/>
    </w:pPr>
    <w:rPr>
      <w:rFonts w:ascii="宋体" w:hAnsi="宋体" w:eastAsia="宋体" w:cs="宋体"/>
      <w:sz w:val="46"/>
      <w:szCs w:val="46"/>
      <w:lang w:val="zh-TW" w:eastAsia="zh-TW" w:bidi="zh-TW"/>
    </w:rPr>
  </w:style>
  <w:style w:type="paragraph" w:customStyle="1" w:styleId="231">
    <w:name w:val="Body text|2"/>
    <w:basedOn w:val="1"/>
    <w:qFormat/>
    <w:uiPriority w:val="0"/>
    <w:pPr>
      <w:spacing w:after="60"/>
    </w:pPr>
    <w:rPr>
      <w:rFonts w:ascii="宋体" w:hAnsi="宋体" w:eastAsia="宋体" w:cs="宋体"/>
      <w:sz w:val="54"/>
      <w:szCs w:val="54"/>
    </w:rPr>
  </w:style>
  <w:style w:type="paragraph" w:customStyle="1" w:styleId="232">
    <w:name w:val="Body text|6"/>
    <w:basedOn w:val="1"/>
    <w:qFormat/>
    <w:uiPriority w:val="0"/>
    <w:rPr>
      <w:rFonts w:ascii="Times New Roman" w:hAnsi="Times New Roman" w:eastAsia="宋体" w:cs="Times New Roman"/>
      <w:b/>
      <w:bCs/>
      <w:sz w:val="36"/>
      <w:szCs w:val="36"/>
      <w:shd w:val="clear" w:color="auto" w:fill="FFFFFF"/>
    </w:rPr>
  </w:style>
  <w:style w:type="paragraph" w:customStyle="1" w:styleId="233">
    <w:name w:val="正文首行缩进1"/>
    <w:basedOn w:val="15"/>
    <w:qFormat/>
    <w:uiPriority w:val="0"/>
    <w:pPr>
      <w:ind w:firstLine="420" w:firstLineChars="100"/>
    </w:pPr>
    <w:rPr>
      <w:rFonts w:ascii="宋体" w:hAnsi="宋体"/>
      <w:sz w:val="21"/>
      <w:szCs w:val="18"/>
    </w:rPr>
  </w:style>
  <w:style w:type="table" w:customStyle="1" w:styleId="234">
    <w:name w:val="样式9"/>
    <w:basedOn w:val="44"/>
    <w:qFormat/>
    <w:uiPriority w:val="99"/>
    <w:pPr>
      <w:spacing w:line="276" w:lineRule="auto"/>
      <w:jc w:val="center"/>
    </w:pPr>
    <w:rPr>
      <w:rFonts w:eastAsia="华文仿宋"/>
      <w:sz w:val="21"/>
    </w:rPr>
    <w:tblP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
    <w:tcPr>
      <w:vAlign w:val="center"/>
    </w:tcPr>
    <w:tblStylePr w:type="firstRow">
      <w:rPr>
        <w:rFonts w:eastAsia="Tms Rmn"/>
        <w:b/>
      </w:rPr>
    </w:tblStylePr>
  </w:style>
  <w:style w:type="paragraph" w:customStyle="1" w:styleId="235">
    <w:name w:val="表格中文"/>
    <w:qFormat/>
    <w:locked/>
    <w:uiPriority w:val="0"/>
    <w:pPr>
      <w:spacing w:line="240" w:lineRule="atLeast"/>
      <w:jc w:val="both"/>
    </w:pPr>
    <w:rPr>
      <w:rFonts w:ascii="Verdana" w:hAnsi="Verdana" w:eastAsia="宋体" w:cs="Times New Roman"/>
      <w:bCs/>
      <w:sz w:val="18"/>
      <w:szCs w:val="18"/>
      <w:lang w:val="en-US" w:eastAsia="zh-CN" w:bidi="ar-SA"/>
    </w:rPr>
  </w:style>
  <w:style w:type="paragraph" w:customStyle="1" w:styleId="236">
    <w:name w:val="null3"/>
    <w:qFormat/>
    <w:uiPriority w:val="0"/>
    <w:rPr>
      <w:rFonts w:hint="eastAsia" w:ascii="Calibri" w:hAnsi="Calibri" w:eastAsia="宋体" w:cs="Times New Roman"/>
      <w:lang w:val="en-US" w:eastAsia="zh-Hans" w:bidi="ar-SA"/>
    </w:rPr>
  </w:style>
  <w:style w:type="character" w:customStyle="1" w:styleId="237">
    <w:name w:val="15"/>
    <w:qFormat/>
    <w:uiPriority w:val="0"/>
    <w:rPr>
      <w:rFonts w:hint="eastAsia" w:ascii="宋体" w:hAnsi="宋体" w:eastAsia="宋体"/>
      <w:color w:val="000000"/>
      <w:sz w:val="22"/>
      <w:szCs w:val="22"/>
    </w:rPr>
  </w:style>
  <w:style w:type="paragraph" w:customStyle="1" w:styleId="238">
    <w:name w:val="答复表头"/>
    <w:basedOn w:val="239"/>
    <w:next w:val="1"/>
    <w:qFormat/>
    <w:uiPriority w:val="0"/>
    <w:pPr>
      <w:tabs>
        <w:tab w:val="left" w:pos="480"/>
      </w:tabs>
    </w:pPr>
    <w:rPr>
      <w:b/>
    </w:rPr>
  </w:style>
  <w:style w:type="paragraph" w:customStyle="1" w:styleId="239">
    <w:name w:val="正表头"/>
    <w:basedOn w:val="1"/>
    <w:qFormat/>
    <w:uiPriority w:val="0"/>
    <w:pPr>
      <w:tabs>
        <w:tab w:val="left" w:pos="480"/>
      </w:tabs>
      <w:autoSpaceDE w:val="0"/>
      <w:autoSpaceDN w:val="0"/>
      <w:adjustRightInd w:val="0"/>
      <w:jc w:val="center"/>
      <w:textAlignment w:val="baseline"/>
    </w:pPr>
    <w:rPr>
      <w:rFonts w:ascii="宋体" w:hAnsi="Tms Rmn" w:eastAsia="宋体" w:cs="Times New Roman"/>
      <w:color w:val="000000"/>
      <w:kern w:val="0"/>
      <w:szCs w:val="24"/>
    </w:rPr>
  </w:style>
  <w:style w:type="paragraph" w:customStyle="1" w:styleId="240">
    <w:name w:val="表格文字2"/>
    <w:basedOn w:val="241"/>
    <w:qFormat/>
    <w:uiPriority w:val="99"/>
    <w:pPr>
      <w:spacing w:before="25" w:after="25"/>
      <w:jc w:val="left"/>
    </w:pPr>
    <w:rPr>
      <w:bCs/>
      <w:spacing w:val="10"/>
      <w:kern w:val="0"/>
    </w:rPr>
  </w:style>
  <w:style w:type="paragraph" w:customStyle="1" w:styleId="241">
    <w:name w:val="正文1"/>
    <w:qFormat/>
    <w:uiPriority w:val="0"/>
    <w:pPr>
      <w:jc w:val="both"/>
    </w:pPr>
    <w:rPr>
      <w:rFonts w:ascii="Times New Roman" w:hAnsi="Times New Roman" w:eastAsia="宋体" w:cs="Times New Roman"/>
      <w:kern w:val="2"/>
      <w:sz w:val="21"/>
      <w:szCs w:val="21"/>
      <w:lang w:val="en-US" w:eastAsia="zh-CN" w:bidi="ar-SA"/>
    </w:rPr>
  </w:style>
  <w:style w:type="table" w:customStyle="1" w:styleId="242">
    <w:name w:val="Table Normal"/>
    <w:unhideWhenUsed/>
    <w:qFormat/>
    <w:uiPriority w:val="0"/>
    <w:tblPr>
      <w:tblCellMar>
        <w:top w:w="0" w:type="dxa"/>
        <w:left w:w="0" w:type="dxa"/>
        <w:bottom w:w="0" w:type="dxa"/>
        <w:right w:w="0" w:type="dxa"/>
      </w:tblCellMar>
    </w:tblPr>
  </w:style>
  <w:style w:type="paragraph" w:customStyle="1" w:styleId="243">
    <w:name w:val="Normal_6"/>
    <w:qFormat/>
    <w:uiPriority w:val="0"/>
    <w:rPr>
      <w:rFonts w:ascii="宋体" w:hAnsi="宋体" w:eastAsia="宋体" w:cs="Times New Roman"/>
      <w:sz w:val="24"/>
      <w:szCs w:val="24"/>
      <w:lang w:val="en-US" w:eastAsia="zh-CN" w:bidi="ar-SA"/>
    </w:rPr>
  </w:style>
  <w:style w:type="paragraph" w:customStyle="1" w:styleId="244">
    <w:name w:val="Normal Indent1"/>
    <w:next w:val="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styleId="245">
    <w:name w:val="No Spacing"/>
    <w:qFormat/>
    <w:uiPriority w:val="1"/>
    <w:pPr>
      <w:jc w:val="both"/>
    </w:pPr>
    <w:rPr>
      <w:rFonts w:ascii="Times New Roman" w:hAnsi="Times New Roman" w:eastAsia="宋体" w:cs="Times New Roman"/>
      <w:kern w:val="2"/>
      <w:sz w:val="21"/>
      <w:szCs w:val="21"/>
      <w:lang w:val="en-US" w:eastAsia="zh-CN" w:bidi="ar-SA"/>
    </w:rPr>
  </w:style>
  <w:style w:type="paragraph" w:customStyle="1" w:styleId="246">
    <w:name w:val="Table Text"/>
    <w:basedOn w:val="1"/>
    <w:semiHidden/>
    <w:qFormat/>
    <w:uiPriority w:val="0"/>
    <w:pPr>
      <w:widowControl w:val="0"/>
      <w:jc w:val="both"/>
    </w:pPr>
    <w:rPr>
      <w:rFonts w:ascii="仿宋" w:hAnsi="仿宋" w:eastAsia="仿宋" w:cs="仿宋"/>
      <w:kern w:val="2"/>
      <w:sz w:val="28"/>
      <w:szCs w:val="28"/>
      <w:lang w:eastAsia="en-US"/>
    </w:rPr>
  </w:style>
  <w:style w:type="paragraph" w:customStyle="1" w:styleId="247">
    <w:name w:val="目录 62"/>
    <w:next w:val="1"/>
    <w:qFormat/>
    <w:uiPriority w:val="0"/>
    <w:rPr>
      <w:rFonts w:ascii="Times New Roman" w:hAnsi="Times New Roman" w:eastAsia="宋体" w:cs="Times New Roman"/>
      <w:sz w:val="21"/>
      <w:lang w:val="en-US" w:eastAsia="zh-CN" w:bidi="ar-SA"/>
    </w:rPr>
  </w:style>
  <w:style w:type="character" w:customStyle="1" w:styleId="248">
    <w:name w:val="font212"/>
    <w:basedOn w:val="46"/>
    <w:qFormat/>
    <w:uiPriority w:val="0"/>
    <w:rPr>
      <w:rFonts w:hint="eastAsia" w:ascii="宋体" w:hAnsi="宋体" w:eastAsia="宋体" w:cs="宋体"/>
      <w:color w:val="000000"/>
      <w:sz w:val="22"/>
      <w:szCs w:val="22"/>
      <w:u w:val="none"/>
    </w:rPr>
  </w:style>
  <w:style w:type="character" w:customStyle="1" w:styleId="249">
    <w:name w:val="font241"/>
    <w:basedOn w:val="46"/>
    <w:qFormat/>
    <w:uiPriority w:val="0"/>
    <w:rPr>
      <w:rFonts w:hint="eastAsia" w:ascii="黑体" w:hAnsi="黑体" w:eastAsia="黑体" w:cs="黑体"/>
      <w:color w:val="000000"/>
      <w:sz w:val="40"/>
      <w:szCs w:val="40"/>
      <w:u w:val="single"/>
    </w:rPr>
  </w:style>
  <w:style w:type="character" w:customStyle="1" w:styleId="250">
    <w:name w:val="font51"/>
    <w:basedOn w:val="46"/>
    <w:qFormat/>
    <w:uiPriority w:val="0"/>
    <w:rPr>
      <w:rFonts w:hint="default" w:ascii="Times New Roman" w:hAnsi="Times New Roman" w:cs="Times New Roman"/>
      <w:color w:val="000000"/>
      <w:sz w:val="20"/>
      <w:szCs w:val="20"/>
      <w:u w:val="none"/>
    </w:rPr>
  </w:style>
  <w:style w:type="character" w:customStyle="1" w:styleId="251">
    <w:name w:val="font101"/>
    <w:basedOn w:val="46"/>
    <w:qFormat/>
    <w:uiPriority w:val="0"/>
    <w:rPr>
      <w:rFonts w:hint="eastAsia" w:ascii="宋体" w:hAnsi="宋体" w:eastAsia="宋体" w:cs="宋体"/>
      <w:color w:val="000000"/>
      <w:sz w:val="20"/>
      <w:szCs w:val="20"/>
      <w:u w:val="none"/>
    </w:rPr>
  </w:style>
  <w:style w:type="character" w:customStyle="1" w:styleId="252">
    <w:name w:val="font251"/>
    <w:basedOn w:val="46"/>
    <w:qFormat/>
    <w:uiPriority w:val="0"/>
    <w:rPr>
      <w:rFonts w:hint="eastAsia" w:ascii="宋体" w:hAnsi="宋体" w:eastAsia="宋体" w:cs="宋体"/>
      <w:color w:val="000000"/>
      <w:sz w:val="20"/>
      <w:szCs w:val="20"/>
      <w:u w:val="none"/>
      <w:vertAlign w:val="superscript"/>
    </w:rPr>
  </w:style>
  <w:style w:type="character" w:customStyle="1" w:styleId="253">
    <w:name w:val="font91"/>
    <w:basedOn w:val="46"/>
    <w:qFormat/>
    <w:uiPriority w:val="0"/>
    <w:rPr>
      <w:rFonts w:hint="eastAsia" w:ascii="宋体" w:hAnsi="宋体" w:eastAsia="宋体" w:cs="宋体"/>
      <w:color w:val="000000"/>
      <w:sz w:val="20"/>
      <w:szCs w:val="20"/>
      <w:u w:val="none"/>
    </w:rPr>
  </w:style>
  <w:style w:type="character" w:customStyle="1" w:styleId="254">
    <w:name w:val="font261"/>
    <w:basedOn w:val="46"/>
    <w:qFormat/>
    <w:uiPriority w:val="0"/>
    <w:rPr>
      <w:rFonts w:hint="eastAsia" w:ascii="宋体" w:hAnsi="宋体" w:eastAsia="宋体" w:cs="宋体"/>
      <w:color w:val="000000"/>
      <w:sz w:val="20"/>
      <w:szCs w:val="20"/>
      <w:u w:val="none"/>
      <w:vertAlign w:val="superscript"/>
    </w:rPr>
  </w:style>
  <w:style w:type="character" w:customStyle="1" w:styleId="255">
    <w:name w:val="font271"/>
    <w:basedOn w:val="46"/>
    <w:qFormat/>
    <w:uiPriority w:val="0"/>
    <w:rPr>
      <w:rFonts w:hint="eastAsia" w:ascii="宋体" w:hAnsi="宋体" w:eastAsia="宋体" w:cs="宋体"/>
      <w:color w:val="000000"/>
      <w:sz w:val="20"/>
      <w:szCs w:val="20"/>
      <w:u w:val="none"/>
      <w:vertAlign w:val="subscript"/>
    </w:rPr>
  </w:style>
  <w:style w:type="character" w:customStyle="1" w:styleId="256">
    <w:name w:val="font161"/>
    <w:basedOn w:val="46"/>
    <w:qFormat/>
    <w:uiPriority w:val="0"/>
    <w:rPr>
      <w:rFonts w:hint="eastAsia" w:ascii="仿宋" w:hAnsi="仿宋" w:eastAsia="仿宋" w:cs="仿宋"/>
      <w:color w:val="000000"/>
      <w:sz w:val="20"/>
      <w:szCs w:val="20"/>
      <w:u w:val="none"/>
    </w:rPr>
  </w:style>
  <w:style w:type="character" w:customStyle="1" w:styleId="257">
    <w:name w:val="font151"/>
    <w:basedOn w:val="46"/>
    <w:qFormat/>
    <w:uiPriority w:val="0"/>
    <w:rPr>
      <w:rFonts w:hint="eastAsia" w:ascii="仿宋" w:hAnsi="仿宋" w:eastAsia="仿宋" w:cs="仿宋"/>
      <w:color w:val="000000"/>
      <w:sz w:val="20"/>
      <w:szCs w:val="20"/>
      <w:u w:val="none"/>
    </w:rPr>
  </w:style>
  <w:style w:type="character" w:customStyle="1" w:styleId="258">
    <w:name w:val="font171"/>
    <w:basedOn w:val="46"/>
    <w:qFormat/>
    <w:uiPriority w:val="0"/>
    <w:rPr>
      <w:rFonts w:hint="default" w:ascii="Arial" w:hAnsi="Arial" w:cs="Arial"/>
      <w:color w:val="000000"/>
      <w:sz w:val="20"/>
      <w:szCs w:val="20"/>
      <w:u w:val="none"/>
    </w:rPr>
  </w:style>
  <w:style w:type="character" w:customStyle="1" w:styleId="259">
    <w:name w:val="font281"/>
    <w:basedOn w:val="46"/>
    <w:qFormat/>
    <w:uiPriority w:val="0"/>
    <w:rPr>
      <w:rFonts w:hint="eastAsia" w:ascii="仿宋" w:hAnsi="仿宋" w:eastAsia="仿宋" w:cs="仿宋"/>
      <w:color w:val="000000"/>
      <w:sz w:val="20"/>
      <w:szCs w:val="20"/>
      <w:u w:val="none"/>
      <w:vertAlign w:val="subscript"/>
    </w:rPr>
  </w:style>
  <w:style w:type="character" w:customStyle="1" w:styleId="260">
    <w:name w:val="font291"/>
    <w:basedOn w:val="46"/>
    <w:qFormat/>
    <w:uiPriority w:val="0"/>
    <w:rPr>
      <w:rFonts w:hint="default" w:ascii="Arial" w:hAnsi="Arial" w:cs="Arial"/>
      <w:color w:val="000000"/>
      <w:sz w:val="20"/>
      <w:szCs w:val="20"/>
      <w:u w:val="none"/>
    </w:rPr>
  </w:style>
  <w:style w:type="character" w:customStyle="1" w:styleId="261">
    <w:name w:val="font181"/>
    <w:basedOn w:val="46"/>
    <w:qFormat/>
    <w:uiPriority w:val="0"/>
    <w:rPr>
      <w:rFonts w:hint="eastAsia" w:ascii="仿宋" w:hAnsi="仿宋" w:eastAsia="仿宋" w:cs="仿宋"/>
      <w:color w:val="000000"/>
      <w:sz w:val="20"/>
      <w:szCs w:val="20"/>
      <w:u w:val="none"/>
    </w:rPr>
  </w:style>
  <w:style w:type="character" w:customStyle="1" w:styleId="262">
    <w:name w:val="font301"/>
    <w:basedOn w:val="46"/>
    <w:qFormat/>
    <w:uiPriority w:val="0"/>
    <w:rPr>
      <w:rFonts w:ascii="微软雅黑" w:hAnsi="微软雅黑" w:eastAsia="微软雅黑" w:cs="微软雅黑"/>
      <w:color w:val="000000"/>
      <w:sz w:val="22"/>
      <w:szCs w:val="22"/>
      <w:u w:val="none"/>
    </w:rPr>
  </w:style>
  <w:style w:type="character" w:customStyle="1" w:styleId="263">
    <w:name w:val="font312"/>
    <w:basedOn w:val="46"/>
    <w:qFormat/>
    <w:uiPriority w:val="0"/>
    <w:rPr>
      <w:rFonts w:hint="eastAsia" w:ascii="微软雅黑" w:hAnsi="微软雅黑" w:eastAsia="微软雅黑" w:cs="微软雅黑"/>
      <w:color w:val="000000"/>
      <w:sz w:val="20"/>
      <w:szCs w:val="20"/>
      <w:u w:val="none"/>
    </w:rPr>
  </w:style>
  <w:style w:type="character" w:customStyle="1" w:styleId="264">
    <w:name w:val="font221"/>
    <w:basedOn w:val="46"/>
    <w:qFormat/>
    <w:uiPriority w:val="0"/>
    <w:rPr>
      <w:rFonts w:hint="default" w:ascii="Times New Roman" w:hAnsi="Times New Roman" w:cs="Times New Roman"/>
      <w:color w:val="000000"/>
      <w:sz w:val="20"/>
      <w:szCs w:val="20"/>
      <w:u w:val="none"/>
    </w:rPr>
  </w:style>
  <w:style w:type="character" w:customStyle="1" w:styleId="265">
    <w:name w:val="font321"/>
    <w:basedOn w:val="46"/>
    <w:qFormat/>
    <w:uiPriority w:val="0"/>
    <w:rPr>
      <w:rFonts w:hint="eastAsia" w:ascii="仿宋" w:hAnsi="仿宋" w:eastAsia="仿宋" w:cs="仿宋"/>
      <w:color w:val="000000"/>
      <w:sz w:val="20"/>
      <w:szCs w:val="20"/>
      <w:u w:val="none"/>
    </w:rPr>
  </w:style>
  <w:style w:type="character" w:customStyle="1" w:styleId="266">
    <w:name w:val="font191"/>
    <w:basedOn w:val="46"/>
    <w:qFormat/>
    <w:uiPriority w:val="0"/>
    <w:rPr>
      <w:rFonts w:hint="eastAsia" w:ascii="仿宋" w:hAnsi="仿宋" w:eastAsia="仿宋" w:cs="仿宋"/>
      <w:color w:val="000000"/>
      <w:sz w:val="20"/>
      <w:szCs w:val="20"/>
      <w:u w:val="none"/>
    </w:rPr>
  </w:style>
  <w:style w:type="character" w:customStyle="1" w:styleId="267">
    <w:name w:val="font331"/>
    <w:basedOn w:val="46"/>
    <w:qFormat/>
    <w:uiPriority w:val="0"/>
    <w:rPr>
      <w:rFonts w:hint="eastAsia" w:ascii="仿宋" w:hAnsi="仿宋" w:eastAsia="仿宋" w:cs="仿宋"/>
      <w:color w:val="000000"/>
      <w:sz w:val="20"/>
      <w:szCs w:val="20"/>
      <w:u w:val="none"/>
      <w:vertAlign w:val="superscript"/>
    </w:rPr>
  </w:style>
  <w:style w:type="paragraph" w:styleId="268">
    <w:name w:val="List Paragraph"/>
    <w:basedOn w:val="1"/>
    <w:qFormat/>
    <w:uiPriority w:val="0"/>
    <w:pPr>
      <w:ind w:firstLine="420" w:firstLineChars="200"/>
    </w:pPr>
  </w:style>
  <w:style w:type="character" w:customStyle="1" w:styleId="269">
    <w:name w:val="font341"/>
    <w:basedOn w:val="46"/>
    <w:qFormat/>
    <w:uiPriority w:val="0"/>
    <w:rPr>
      <w:rFonts w:hint="eastAsia" w:ascii="仿宋" w:hAnsi="仿宋" w:eastAsia="仿宋" w:cs="仿宋"/>
      <w:color w:val="000000"/>
      <w:sz w:val="20"/>
      <w:szCs w:val="20"/>
      <w:u w:val="none"/>
    </w:rPr>
  </w:style>
  <w:style w:type="character" w:customStyle="1" w:styleId="270">
    <w:name w:val="font351"/>
    <w:basedOn w:val="46"/>
    <w:qFormat/>
    <w:uiPriority w:val="0"/>
    <w:rPr>
      <w:rFonts w:hint="eastAsia" w:ascii="仿宋" w:hAnsi="仿宋" w:eastAsia="仿宋" w:cs="仿宋"/>
      <w:color w:val="000000"/>
      <w:sz w:val="20"/>
      <w:szCs w:val="20"/>
      <w:u w:val="none"/>
      <w:vertAlign w:val="superscript"/>
    </w:rPr>
  </w:style>
  <w:style w:type="paragraph" w:customStyle="1" w:styleId="271">
    <w:name w:val="12、表格内左对齐正文"/>
    <w:basedOn w:val="1"/>
    <w:autoRedefine/>
    <w:qFormat/>
    <w:uiPriority w:val="0"/>
    <w:pPr>
      <w:tabs>
        <w:tab w:val="left" w:pos="0"/>
      </w:tabs>
      <w:wordWrap w:val="0"/>
      <w:topLinePunct/>
      <w:ind w:left="42" w:leftChars="20" w:firstLine="21" w:firstLineChars="10"/>
    </w:pPr>
    <w:rPr>
      <w:snapToGrid w:val="0"/>
    </w:rPr>
  </w:style>
  <w:style w:type="paragraph" w:customStyle="1" w:styleId="272">
    <w:name w:val="Body text|3"/>
    <w:basedOn w:val="1"/>
    <w:qFormat/>
    <w:uiPriority w:val="0"/>
    <w:pPr>
      <w:spacing w:after="40" w:line="278" w:lineRule="auto"/>
      <w:ind w:left="1520" w:firstLine="240"/>
    </w:pPr>
    <w:rPr>
      <w:rFonts w:ascii="宋体" w:hAnsi="宋体" w:eastAsia="宋体" w:cs="宋体"/>
      <w:sz w:val="26"/>
      <w:szCs w:val="26"/>
      <w:lang w:val="zh-TW" w:eastAsia="zh-TW" w:bidi="zh-TW"/>
    </w:rPr>
  </w:style>
  <w:style w:type="paragraph" w:customStyle="1" w:styleId="273">
    <w:name w:val="Header or footer|1"/>
    <w:basedOn w:val="1"/>
    <w:qFormat/>
    <w:uiPriority w:val="0"/>
    <w:rPr>
      <w:sz w:val="16"/>
      <w:szCs w:val="16"/>
      <w:lang w:val="zh-TW" w:eastAsia="zh-TW" w:bidi="zh-TW"/>
    </w:rPr>
  </w:style>
  <w:style w:type="paragraph" w:customStyle="1" w:styleId="274">
    <w:name w:val="tytytyty"/>
    <w:basedOn w:val="1"/>
    <w:qFormat/>
    <w:uiPriority w:val="0"/>
    <w:pPr>
      <w:spacing w:line="360" w:lineRule="auto"/>
      <w:ind w:left="359" w:leftChars="171" w:firstLine="480" w:firstLineChars="200"/>
    </w:pPr>
    <w:rPr>
      <w:rFonts w:ascii="Times New Roman" w:hAnsi="Times New Roman" w:eastAsia="宋体" w:cs="Times New Roman"/>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8872a9e3-b795-4281-8e30-7ed9306c819a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478C2500</paraID>
      <start xmlns="http://schemas.wps.cn/vas-ai-hub/contract-review">18</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14af8aec-b88b-4077-98af-7f178a6b0994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780EA582</paraID>
      <start xmlns="http://schemas.wps.cn/vas-ai-hub/contract-review">19</start>
      <end xmlns="http://schemas.wps.cn/vas-ai-hub/contract-review">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2391d0a0-452b-4e38-a049-6072fa93a3be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6DE3CC62</paraID>
      <start xmlns="http://schemas.wps.cn/vas-ai-hub/contract-review">65</start>
      <end xmlns="http://schemas.wps.cn/vas-ai-hub/contract-review">66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1761e66d-580c-4b7c-8efd-653c859defa0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6DE3CC62</paraID>
      <start xmlns="http://schemas.wps.cn/vas-ai-hub/contract-review">67</start>
      <end xmlns="http://schemas.wps.cn/vas-ai-hub/contract-review">68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0b16354e-73e8-4cfa-bf9c-105710a8d892</errorID>
      <errorWord xmlns="http://schemas.wps.cn/vas-ai-hub/contract-review">点赞</errorWord>
      <group xmlns="http://schemas.wps.cn/vas-ai-hub/contract-review">L1_Official</group>
      <groupName xmlns="http://schemas.wps.cn/vas-ai-hub/contract-review">公文问题</groupName>
      <ability xmlns="http://schemas.wps.cn/vas-ai-hub/contract-review">L2_Official</ability>
      <abilityName xmlns="http://schemas.wps.cn/vas-ai-hub/contract-review">公文问题</abilityName>
      <candidateList xmlns="http://schemas.wps.cn/vas-ai-hub/contract-review"/>
      <explain xmlns="http://schemas.wps.cn/vas-ai-hub/contract-review">公文中禁止出现该词语</explain>
      <paraID xmlns="http://schemas.wps.cn/vas-ai-hub/contract-review">59F46E92</paraID>
      <start xmlns="http://schemas.wps.cn/vas-ai-hub/contract-review">26</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e075e773-5b6f-46e7-ba19-fbdd72036dbf</errorID>
      <errorWord xmlns="http://schemas.wps.cn/vas-ai-hub/contract-review">中华人民共和国合同法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explain xmlns="http://schemas.wps.cn/vas-ai-hub/contract-review">该法律于1999年3月15日由全国人民代表大会制定，已于2021年1月1日废止，请注意检查引用是否正确。</explain>
      <paraID xmlns="http://schemas.wps.cn/vas-ai-hub/contract-review">130ED5D0</paraID>
      <start xmlns="http://schemas.wps.cn/vas-ai-hub/contract-review">3</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34673dd9-88d6-4b1b-91bc-a4c8556b147f</errorID>
      <errorWord xmlns="http://schemas.wps.cn/vas-ai-hub/contract-review">用户粘性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用户黏性</item>
      </candidateList>
      <explain xmlns="http://schemas.wps.cn/vas-ai-hub/contract-review"/>
      <paraID xmlns="http://schemas.wps.cn/vas-ai-hub/contract-review">74FAED79</paraID>
      <start xmlns="http://schemas.wps.cn/vas-ai-hub/contract-review">65</start>
      <end xmlns="http://schemas.wps.cn/vas-ai-hub/contract-review">69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810ef16c-d518-4a3e-b91e-047ec1b67e86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2F06A9A0</paraID>
      <start xmlns="http://schemas.wps.cn/vas-ai-hub/contract-review">65</start>
      <end xmlns="http://schemas.wps.cn/vas-ai-hub/contract-review">66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232c4479-76d7-459a-9698-db612dd61245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2F06A9A0</paraID>
      <start xmlns="http://schemas.wps.cn/vas-ai-hub/contract-review">67</start>
      <end xmlns="http://schemas.wps.cn/vas-ai-hub/contract-review">68</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89d659-8548-4a0c-8f19-c5528bf2588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68</Pages>
  <Words>614</Words>
  <Characters>685</Characters>
  <Lines>245</Lines>
  <Paragraphs>68</Paragraphs>
  <TotalTime>56</TotalTime>
  <ScaleCrop>false</ScaleCrop>
  <LinksUpToDate>false</LinksUpToDate>
  <CharactersWithSpaces>740</CharactersWithSpaces>
  <Application>WPS Office_12.1.0.28792_F1E327BC-269C-435d-A152-05C5408002CA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2022-09-14T03:32:00Z</dcterms:created>
  <dc:creator>Administrator</dc:creator>
  <cp:lastModifiedBy>.</cp:lastModifiedBy>
  <cp:lastPrinted>2026-06-05T18:43:00Z</cp:lastPrinted>
  <dcterms:modified xsi:type="dcterms:W3CDTF">2026-09-17T04:37:01Z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2052-12.1.0.28792</vt:lpwstr>
  </property>
  <property fmtid="{D5CDD505-2E9C-101B-9397-08002B2CF9AE}" pid="3" name="ICV">
    <vt:lpwstr>2B402941043844E59A50FFA42BE2DA21_13</vt:lpwstr>
  </property>
  <property fmtid="{D5CDD505-2E9C-101B-9397-08002B2CF9AE}" pid="4" name="KSOTemplateDocerSaveRecord">
    <vt:lpwstr>eyJoZGlkIjoiZTFjM2MwZjNjZmVkMDI0YzZjMDZiN2M3ZmRhYjMxOWEiLCJ1c2VySWQiOiIyMDc2NjcyMDcifQ==</vt:lpwstr>
  </property>
</Properties>
</file>