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2372F">
      <w:pPr>
        <w:adjustRightInd w:val="0"/>
        <w:snapToGrid w:val="0"/>
        <w:spacing w:line="276" w:lineRule="auto"/>
        <w:jc w:val="left"/>
        <w:rPr>
          <w:rFonts w:hint="eastAsia" w:ascii="仿宋" w:hAnsi="仿宋" w:eastAsia="仿宋" w:cs="仿宋"/>
          <w:b/>
          <w:bCs/>
          <w:color w:val="auto"/>
          <w:sz w:val="48"/>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drawing>
          <wp:inline distT="0" distB="0" distL="0" distR="0">
            <wp:extent cx="981075" cy="790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981075" cy="790575"/>
                    </a:xfrm>
                    <a:prstGeom prst="rect">
                      <a:avLst/>
                    </a:prstGeom>
                    <a:noFill/>
                    <a:ln>
                      <a:noFill/>
                    </a:ln>
                  </pic:spPr>
                </pic:pic>
              </a:graphicData>
            </a:graphic>
          </wp:inline>
        </w:drawing>
      </w:r>
      <w:r>
        <w:rPr>
          <w:rFonts w:hint="eastAsia" w:ascii="仿宋" w:hAnsi="仿宋" w:eastAsia="仿宋" w:cs="仿宋"/>
          <w:color w:val="auto"/>
          <w:sz w:val="24"/>
          <w:szCs w:val="24"/>
          <w:highlight w:val="none"/>
          <w:shd w:val="clear" w:color="auto" w:fill="FFFFFF" w:themeFill="background1"/>
        </w:rPr>
        <w:t xml:space="preserve"> </w:t>
      </w:r>
    </w:p>
    <w:p w14:paraId="439BE66F">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rPr>
      </w:pPr>
    </w:p>
    <w:p w14:paraId="4EE3FA6D">
      <w:pPr>
        <w:adjustRightInd w:val="0"/>
        <w:snapToGrid w:val="0"/>
        <w:spacing w:line="276" w:lineRule="auto"/>
        <w:jc w:val="center"/>
        <w:rPr>
          <w:rFonts w:hint="eastAsia" w:ascii="仿宋" w:hAnsi="仿宋" w:eastAsia="仿宋" w:cs="仿宋"/>
          <w:b/>
          <w:bCs/>
          <w:color w:val="auto"/>
          <w:sz w:val="48"/>
          <w:szCs w:val="24"/>
          <w:highlight w:val="none"/>
          <w:shd w:val="clear" w:color="auto" w:fill="FFFFFF" w:themeFill="background1"/>
        </w:rPr>
      </w:pPr>
      <w:r>
        <w:rPr>
          <w:rFonts w:hint="eastAsia" w:ascii="仿宋" w:hAnsi="仿宋" w:eastAsia="仿宋" w:cs="仿宋"/>
          <w:b/>
          <w:bCs/>
          <w:color w:val="auto"/>
          <w:sz w:val="52"/>
          <w:szCs w:val="28"/>
          <w:highlight w:val="none"/>
          <w:shd w:val="clear" w:color="auto" w:fill="FFFFFF" w:themeFill="background1"/>
        </w:rPr>
        <w:t>采 购 文 件</w:t>
      </w:r>
    </w:p>
    <w:p w14:paraId="1B0B1A17">
      <w:pPr>
        <w:pStyle w:val="28"/>
        <w:jc w:val="center"/>
        <w:rPr>
          <w:rFonts w:hint="eastAsia" w:ascii="仿宋" w:hAnsi="仿宋" w:eastAsia="仿宋" w:cs="仿宋"/>
          <w:color w:val="auto"/>
          <w:sz w:val="16"/>
          <w:szCs w:val="16"/>
          <w:highlight w:val="none"/>
        </w:rPr>
      </w:pPr>
      <w:r>
        <w:rPr>
          <w:rFonts w:hint="eastAsia" w:ascii="仿宋" w:hAnsi="仿宋" w:eastAsia="仿宋" w:cs="仿宋"/>
          <w:b/>
          <w:bCs/>
          <w:color w:val="auto"/>
          <w:sz w:val="28"/>
          <w:szCs w:val="16"/>
          <w:highlight w:val="none"/>
          <w:shd w:val="clear" w:color="auto" w:fill="FFFFFF" w:themeFill="background1"/>
        </w:rPr>
        <w:t>（竞争性磋商-服务）</w:t>
      </w:r>
    </w:p>
    <w:p w14:paraId="13F4ACD0">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2C9673D7">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22E6D580">
      <w:pPr>
        <w:spacing w:line="276" w:lineRule="auto"/>
        <w:ind w:left="1181" w:right="-191" w:rightChars="-91" w:hanging="1180" w:hangingChars="492"/>
        <w:rPr>
          <w:rFonts w:hint="eastAsia" w:ascii="仿宋" w:hAnsi="仿宋" w:eastAsia="仿宋" w:cs="仿宋"/>
          <w:bCs/>
          <w:color w:val="auto"/>
          <w:kern w:val="0"/>
          <w:sz w:val="24"/>
          <w:szCs w:val="24"/>
          <w:highlight w:val="none"/>
          <w:shd w:val="clear" w:color="auto" w:fill="FFFFFF" w:themeFill="background1"/>
        </w:rPr>
      </w:pPr>
    </w:p>
    <w:p w14:paraId="0C99538A">
      <w:pPr>
        <w:spacing w:line="276" w:lineRule="auto"/>
        <w:ind w:left="1574" w:right="-191" w:rightChars="-91" w:hanging="1574" w:hangingChars="492"/>
        <w:rPr>
          <w:rFonts w:hint="eastAsia" w:ascii="仿宋" w:hAnsi="仿宋" w:eastAsia="仿宋" w:cs="仿宋"/>
          <w:bCs/>
          <w:color w:val="auto"/>
          <w:sz w:val="32"/>
          <w:szCs w:val="24"/>
          <w:highlight w:val="none"/>
          <w:shd w:val="clear" w:color="auto" w:fill="FFFFFF" w:themeFill="background1"/>
        </w:rPr>
      </w:pPr>
      <w:r>
        <w:rPr>
          <w:rFonts w:hint="eastAsia" w:ascii="仿宋" w:hAnsi="仿宋" w:eastAsia="仿宋" w:cs="仿宋"/>
          <w:bCs/>
          <w:color w:val="auto"/>
          <w:kern w:val="0"/>
          <w:sz w:val="32"/>
          <w:szCs w:val="24"/>
          <w:highlight w:val="none"/>
          <w:shd w:val="clear" w:color="auto" w:fill="FFFFFF" w:themeFill="background1"/>
        </w:rPr>
        <w:t>项目名称：</w:t>
      </w:r>
      <w:r>
        <w:rPr>
          <w:rFonts w:hint="eastAsia" w:ascii="仿宋" w:hAnsi="仿宋" w:eastAsia="仿宋" w:cs="仿宋"/>
          <w:bCs/>
          <w:color w:val="auto"/>
          <w:kern w:val="0"/>
          <w:sz w:val="32"/>
          <w:szCs w:val="32"/>
          <w:highlight w:val="none"/>
        </w:rPr>
        <w:t>新疆农业大学勤学楼校园网建设项目</w:t>
      </w:r>
    </w:p>
    <w:p w14:paraId="712685E9">
      <w:pPr>
        <w:adjustRightInd w:val="0"/>
        <w:snapToGrid w:val="0"/>
        <w:spacing w:line="276" w:lineRule="auto"/>
        <w:jc w:val="center"/>
        <w:rPr>
          <w:rFonts w:hint="eastAsia" w:ascii="仿宋" w:hAnsi="仿宋" w:eastAsia="仿宋" w:cs="仿宋"/>
          <w:bCs/>
          <w:color w:val="auto"/>
          <w:sz w:val="32"/>
          <w:szCs w:val="24"/>
          <w:highlight w:val="none"/>
          <w:shd w:val="clear" w:color="auto" w:fill="FFFFFF" w:themeFill="background1"/>
        </w:rPr>
      </w:pPr>
    </w:p>
    <w:p w14:paraId="6DEC1EFF">
      <w:pPr>
        <w:adjustRightInd w:val="0"/>
        <w:snapToGrid w:val="0"/>
        <w:spacing w:line="480" w:lineRule="exact"/>
        <w:ind w:left="2240" w:hanging="2240" w:hangingChars="700"/>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采购人(盖章)：新疆农业大学</w:t>
      </w:r>
    </w:p>
    <w:p w14:paraId="166E1772">
      <w:pPr>
        <w:adjustRightInd w:val="0"/>
        <w:snapToGrid w:val="0"/>
        <w:spacing w:line="480" w:lineRule="exact"/>
        <w:rPr>
          <w:rFonts w:hint="eastAsia" w:ascii="仿宋" w:hAnsi="仿宋" w:eastAsia="仿宋" w:cs="仿宋"/>
          <w:bCs/>
          <w:color w:val="auto"/>
          <w:sz w:val="32"/>
          <w:szCs w:val="32"/>
          <w:highlight w:val="none"/>
        </w:rPr>
      </w:pPr>
    </w:p>
    <w:p w14:paraId="18863F2B">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联系人：王刚 </w:t>
      </w:r>
    </w:p>
    <w:p w14:paraId="7132046C">
      <w:pPr>
        <w:adjustRightInd w:val="0"/>
        <w:snapToGrid w:val="0"/>
        <w:spacing w:line="480" w:lineRule="exact"/>
        <w:rPr>
          <w:rFonts w:hint="eastAsia" w:ascii="仿宋" w:hAnsi="仿宋" w:eastAsia="仿宋" w:cs="仿宋"/>
          <w:bCs/>
          <w:color w:val="auto"/>
          <w:sz w:val="32"/>
          <w:szCs w:val="32"/>
          <w:highlight w:val="none"/>
        </w:rPr>
      </w:pPr>
    </w:p>
    <w:p w14:paraId="26E09F18">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电话：18099127123</w:t>
      </w:r>
    </w:p>
    <w:p w14:paraId="124418F0">
      <w:pPr>
        <w:pBdr>
          <w:bottom w:val="single" w:color="auto" w:sz="4" w:space="0"/>
        </w:pBdr>
        <w:adjustRightInd w:val="0"/>
        <w:snapToGrid w:val="0"/>
        <w:spacing w:line="480" w:lineRule="exact"/>
        <w:rPr>
          <w:rFonts w:hint="eastAsia" w:ascii="仿宋" w:hAnsi="仿宋" w:eastAsia="仿宋" w:cs="仿宋"/>
          <w:bCs/>
          <w:color w:val="auto"/>
          <w:sz w:val="32"/>
          <w:szCs w:val="32"/>
          <w:highlight w:val="none"/>
        </w:rPr>
      </w:pPr>
    </w:p>
    <w:p w14:paraId="597D7206">
      <w:pPr>
        <w:pBdr>
          <w:bottom w:val="single" w:color="auto" w:sz="4" w:space="0"/>
        </w:pBdr>
        <w:adjustRightInd w:val="0"/>
        <w:snapToGrid w:val="0"/>
        <w:spacing w:line="480" w:lineRule="exact"/>
        <w:rPr>
          <w:rFonts w:hint="eastAsia" w:ascii="仿宋" w:hAnsi="仿宋" w:eastAsia="仿宋" w:cs="仿宋"/>
          <w:bCs/>
          <w:color w:val="auto"/>
          <w:sz w:val="32"/>
          <w:szCs w:val="32"/>
          <w:highlight w:val="none"/>
        </w:rPr>
      </w:pPr>
    </w:p>
    <w:p w14:paraId="3C8C2AEB">
      <w:pPr>
        <w:adjustRightInd w:val="0"/>
        <w:snapToGrid w:val="0"/>
        <w:spacing w:line="480" w:lineRule="exact"/>
        <w:rPr>
          <w:rFonts w:hint="eastAsia" w:ascii="仿宋" w:hAnsi="仿宋" w:eastAsia="仿宋" w:cs="仿宋"/>
          <w:bCs/>
          <w:color w:val="auto"/>
          <w:kern w:val="0"/>
          <w:sz w:val="32"/>
          <w:szCs w:val="32"/>
          <w:highlight w:val="none"/>
        </w:rPr>
      </w:pPr>
    </w:p>
    <w:p w14:paraId="685751EF">
      <w:pPr>
        <w:adjustRightInd w:val="0"/>
        <w:snapToGrid w:val="0"/>
        <w:spacing w:line="480" w:lineRule="exact"/>
        <w:rPr>
          <w:rFonts w:hint="eastAsia" w:ascii="仿宋" w:hAnsi="仿宋" w:eastAsia="仿宋" w:cs="仿宋"/>
          <w:bCs/>
          <w:color w:val="auto"/>
          <w:kern w:val="0"/>
          <w:sz w:val="32"/>
          <w:szCs w:val="32"/>
          <w:highlight w:val="none"/>
        </w:rPr>
      </w:pPr>
    </w:p>
    <w:p w14:paraId="78EF327C">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bookmarkStart w:id="216" w:name="_GoBack"/>
      <w:bookmarkEnd w:id="216"/>
    </w:p>
    <w:p w14:paraId="0B70B822">
      <w:pPr>
        <w:adjustRightInd w:val="0"/>
        <w:snapToGrid w:val="0"/>
        <w:spacing w:line="480" w:lineRule="exact"/>
        <w:rPr>
          <w:rFonts w:hint="eastAsia" w:ascii="仿宋" w:hAnsi="仿宋" w:eastAsia="仿宋" w:cs="仿宋"/>
          <w:bCs/>
          <w:color w:val="auto"/>
          <w:sz w:val="32"/>
          <w:szCs w:val="32"/>
          <w:highlight w:val="none"/>
        </w:rPr>
      </w:pPr>
    </w:p>
    <w:p w14:paraId="7E54B834">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联系人：马丹阳 </w:t>
      </w:r>
    </w:p>
    <w:p w14:paraId="132BAA84">
      <w:pPr>
        <w:adjustRightInd w:val="0"/>
        <w:snapToGrid w:val="0"/>
        <w:spacing w:line="480" w:lineRule="exact"/>
        <w:jc w:val="center"/>
        <w:rPr>
          <w:rFonts w:hint="eastAsia" w:ascii="仿宋" w:hAnsi="仿宋" w:eastAsia="仿宋" w:cs="仿宋"/>
          <w:bCs/>
          <w:color w:val="auto"/>
          <w:sz w:val="32"/>
          <w:szCs w:val="32"/>
          <w:highlight w:val="none"/>
        </w:rPr>
      </w:pPr>
    </w:p>
    <w:p w14:paraId="0D3934BE">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66A905A2">
      <w:pPr>
        <w:adjustRightInd w:val="0"/>
        <w:snapToGrid w:val="0"/>
        <w:spacing w:line="480" w:lineRule="exact"/>
        <w:jc w:val="center"/>
        <w:rPr>
          <w:rFonts w:hint="eastAsia" w:ascii="仿宋" w:hAnsi="仿宋" w:eastAsia="仿宋" w:cs="仿宋"/>
          <w:bCs/>
          <w:color w:val="auto"/>
          <w:sz w:val="32"/>
          <w:szCs w:val="32"/>
          <w:highlight w:val="none"/>
        </w:rPr>
      </w:pPr>
    </w:p>
    <w:p w14:paraId="7D4A02EC">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地址：乌鲁木齐市新兴街20号凤凰科技大厦五楼</w:t>
      </w:r>
    </w:p>
    <w:p w14:paraId="1B5F073B">
      <w:pPr>
        <w:widowControl/>
        <w:jc w:val="lef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br w:type="page"/>
      </w:r>
    </w:p>
    <w:p w14:paraId="27A520B3">
      <w:pPr>
        <w:spacing w:line="288" w:lineRule="auto"/>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目 录</w:t>
      </w:r>
    </w:p>
    <w:p w14:paraId="04E44AB3">
      <w:pPr>
        <w:pStyle w:val="25"/>
        <w:tabs>
          <w:tab w:val="right" w:leader="dot" w:pos="9750"/>
        </w:tabs>
        <w:rPr>
          <w:rFonts w:hint="eastAsia" w:ascii="仿宋" w:hAnsi="仿宋" w:eastAsia="仿宋" w:cs="仿宋"/>
          <w:color w:val="auto"/>
          <w:highlight w:val="none"/>
        </w:rPr>
      </w:pPr>
      <w:r>
        <w:rPr>
          <w:rFonts w:hint="eastAsia" w:ascii="仿宋" w:hAnsi="仿宋" w:eastAsia="仿宋" w:cs="仿宋"/>
          <w:color w:val="auto"/>
          <w:sz w:val="24"/>
          <w:highlight w:val="none"/>
          <w:shd w:val="clear" w:color="auto" w:fill="FFFFFF" w:themeFill="background1"/>
        </w:rPr>
        <w:fldChar w:fldCharType="begin"/>
      </w:r>
      <w:r>
        <w:rPr>
          <w:rFonts w:hint="eastAsia" w:ascii="仿宋" w:hAnsi="仿宋" w:eastAsia="仿宋" w:cs="仿宋"/>
          <w:color w:val="auto"/>
          <w:sz w:val="24"/>
          <w:highlight w:val="none"/>
          <w:shd w:val="clear" w:color="auto" w:fill="FFFFFF" w:themeFill="background1"/>
        </w:rPr>
        <w:instrText xml:space="preserve">TOC \o "1-3" \h \u </w:instrText>
      </w:r>
      <w:r>
        <w:rPr>
          <w:rFonts w:hint="eastAsia" w:ascii="仿宋" w:hAnsi="仿宋" w:eastAsia="仿宋" w:cs="仿宋"/>
          <w:color w:val="auto"/>
          <w:sz w:val="24"/>
          <w:highlight w:val="none"/>
          <w:shd w:val="clear" w:color="auto" w:fill="FFFFFF" w:themeFill="background1"/>
        </w:rPr>
        <w:fldChar w:fldCharType="separate"/>
      </w:r>
      <w:r>
        <w:rPr>
          <w:color w:val="auto"/>
          <w:highlight w:val="none"/>
        </w:rPr>
        <w:fldChar w:fldCharType="begin"/>
      </w:r>
      <w:r>
        <w:rPr>
          <w:color w:val="auto"/>
          <w:highlight w:val="none"/>
        </w:rPr>
        <w:instrText xml:space="preserve"> HYPERLINK \l "_Toc32592" </w:instrText>
      </w:r>
      <w:r>
        <w:rPr>
          <w:color w:val="auto"/>
          <w:highlight w:val="none"/>
        </w:rPr>
        <w:fldChar w:fldCharType="separate"/>
      </w:r>
      <w:r>
        <w:rPr>
          <w:rFonts w:hint="eastAsia" w:ascii="仿宋" w:hAnsi="仿宋" w:eastAsia="仿宋" w:cs="仿宋"/>
          <w:bCs/>
          <w:color w:val="auto"/>
          <w:szCs w:val="32"/>
          <w:highlight w:val="none"/>
        </w:rPr>
        <w:t>竞争性磋商公告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_Toc32592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5125612">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"_Toc10649"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供应商须知前附表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_Toc10649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B7CCE59">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"_Toc32670"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第一章 供应商须知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_Toc32670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E05160F">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"_Toc6429"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一、总则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_Toc6429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42BFC51">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"_Toc27496"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二、采购文件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_Toc27496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67B721C">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"_Toc994"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三、响应文件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_Toc994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8D58F55">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"_Toc2388"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四、响应</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_Toc2388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3E8B720">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"_Toc16294"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_Toc16294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1C61B39">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"_Toc10172"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六、评审</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_Toc10172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80F0FF5">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"_Toc1096"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七、定标及合同授予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_Toc1096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4E3F0F6">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"_Toc22638"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八、纪律和监督</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_Toc22638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79FFEBD">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"_Toc26123"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第二章 评审办法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_Toc26123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6FFC4551">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"_Toc2233"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评审办法前附表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_Toc2233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BFC1828">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"_Toc16659"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一、评审方法</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_Toc16659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1378761">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"_Toc28167"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二、评审标准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_Toc28167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A516DB4">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"_Toc32655"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三、评审程序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_Toc32655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0EA6797">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"_Toc29306"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第三章 合同文本</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_Toc29306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B94AD20">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"_Toc4387"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第四章 服务标准和要求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_Toc4387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1C270FA">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"_Toc17696"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第五章 响应文件格式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_Toc17696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B750FA6">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"_Toc22190" </w:instrText>
      </w:r>
      <w:r>
        <w:rPr>
          <w:color w:val="auto"/>
          <w:highlight w:val="none"/>
        </w:rPr>
        <w:fldChar w:fldCharType="separate"/>
      </w:r>
      <w:r>
        <w:rPr>
          <w:rFonts w:hint="eastAsia" w:ascii="仿宋" w:hAnsi="仿宋" w:eastAsia="仿宋" w:cs="仿宋"/>
          <w:color w:val="auto"/>
          <w:highlight w:val="none"/>
        </w:rPr>
        <w:t>一、开启一览表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_Toc22190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4E60B34">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"_Toc16674"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二、响应函</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_Toc16674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84890B3">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"_Toc27997"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三、响应价格明细表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_Toc27997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2E3EF75">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"_Toc2836"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四、商务条款偏离表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_Toc2836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36</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D661979">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"_Toc23331"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五、技术条款偏离表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_Toc23331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37</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0EBF2BF">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"_Toc32267"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六、法定代表人身份证明书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_Toc32267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6CC87A5">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"_Toc28679"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七、法定代表人授权委托书</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_Toc28679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F7C7AF8">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"_Toc3624"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八、</w:t>
      </w:r>
      <w:r>
        <w:rPr>
          <w:rFonts w:hint="eastAsia" w:ascii="仿宋" w:hAnsi="仿宋" w:eastAsia="仿宋" w:cs="仿宋"/>
          <w:bCs/>
          <w:color w:val="auto"/>
          <w:highlight w:val="none"/>
          <w:shd w:val="clear" w:color="auto" w:fill="FFFFFF" w:themeFill="background1"/>
        </w:rPr>
        <w:t>供应商资格条件证明材料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_Toc3624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5862E26">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8.1、法人或者其他组织的营业执照等证明文件，自然人的身份证明</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_Toc2804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7A5282A">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"_Toc13496"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8.2、财务状况报告，依法缴纳税收和社会保障资金的相关材料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_Toc13496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1602D496">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"_Toc9702"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8.3、具备履行合同所必需的设备和专业技术能力的证明材料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_Toc9702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5A245C1">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"_Toc23067"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8.4、参加政府采购活动前3年内在经营活动中没有重大违法记录的书面声明</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_Toc23067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3D5AA6A0">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"_Toc27822"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8.5、具备法律、行政法规规定的其他条件的证明材料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_Toc27822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45</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9B713BA">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"_Toc5131"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九、</w:t>
      </w:r>
      <w:r>
        <w:rPr>
          <w:rFonts w:hint="eastAsia" w:ascii="仿宋" w:hAnsi="仿宋" w:eastAsia="仿宋" w:cs="仿宋"/>
          <w:bCs/>
          <w:color w:val="auto"/>
          <w:highlight w:val="none"/>
          <w:shd w:val="clear" w:color="auto" w:fill="FFFFFF" w:themeFill="background1"/>
        </w:rPr>
        <w:t>供应商近年类似项目业绩表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_Toc5131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F7CAAF9">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"_Toc31395"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w:t>
      </w:r>
      <w:r>
        <w:rPr>
          <w:rFonts w:hint="eastAsia" w:ascii="仿宋" w:hAnsi="仿宋" w:eastAsia="仿宋" w:cs="仿宋"/>
          <w:bCs/>
          <w:color w:val="auto"/>
          <w:highlight w:val="none"/>
          <w:shd w:val="clear" w:color="auto" w:fill="FFFFFF" w:themeFill="background1"/>
        </w:rPr>
        <w:t>项目负责人简历表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_Toc31395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49</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CB7FB95">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"_Toc767" </w:instrText>
      </w:r>
      <w:r>
        <w:rPr>
          <w:color w:val="auto"/>
          <w:highlight w:val="none"/>
        </w:rPr>
        <w:fldChar w:fldCharType="separate"/>
      </w:r>
      <w:r>
        <w:rPr>
          <w:rFonts w:hint="eastAsia" w:ascii="仿宋" w:hAnsi="仿宋" w:eastAsia="仿宋" w:cs="仿宋"/>
          <w:bCs/>
          <w:color w:val="auto"/>
          <w:highlight w:val="none"/>
          <w:shd w:val="clear" w:color="auto" w:fill="FFFFFF" w:themeFill="background1"/>
        </w:rPr>
        <w:t>十一、拟派主要服务人员</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_Toc767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493B56E6">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"_Toc32498"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十二、</w:t>
      </w:r>
      <w:r>
        <w:rPr>
          <w:rFonts w:hint="eastAsia" w:ascii="仿宋" w:hAnsi="仿宋" w:eastAsia="仿宋" w:cs="仿宋"/>
          <w:bCs/>
          <w:color w:val="auto"/>
          <w:highlight w:val="none"/>
          <w:shd w:val="clear" w:color="auto" w:fill="FFFFFF" w:themeFill="background1"/>
        </w:rPr>
        <w:t>服务方案</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_Toc32498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51</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481923F">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"_Toc12216" </w:instrText>
      </w:r>
      <w:r>
        <w:rPr>
          <w:color w:val="auto"/>
          <w:highlight w:val="none"/>
        </w:rPr>
        <w:fldChar w:fldCharType="separate"/>
      </w:r>
      <w:r>
        <w:rPr>
          <w:rFonts w:hint="eastAsia" w:ascii="仿宋" w:hAnsi="仿宋" w:eastAsia="仿宋" w:cs="仿宋"/>
          <w:color w:val="auto"/>
          <w:highlight w:val="none"/>
        </w:rPr>
        <w:t>十三、保证金缴纳证明材料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_Toc12216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52</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9D42272">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"_Toc17524" </w:instrText>
      </w:r>
      <w:r>
        <w:rPr>
          <w:color w:val="auto"/>
          <w:highlight w:val="none"/>
        </w:rPr>
        <w:fldChar w:fldCharType="separate"/>
      </w:r>
      <w:r>
        <w:rPr>
          <w:rFonts w:hint="eastAsia" w:ascii="仿宋" w:hAnsi="仿宋" w:eastAsia="仿宋" w:cs="仿宋"/>
          <w:color w:val="auto"/>
          <w:highlight w:val="none"/>
        </w:rPr>
        <w:t>十四、其它需要提交的资料</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_Toc17524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53</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5A3A6C05">
      <w:pPr>
        <w:pStyle w:val="25"/>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"_Toc4679"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第六章 补充条款</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_Toc4679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E4ED85B">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"_Toc16688" </w:instrText>
      </w:r>
      <w:r>
        <w:rPr>
          <w:color w:val="auto"/>
          <w:highlight w:val="none"/>
        </w:rPr>
        <w:fldChar w:fldCharType="separate"/>
      </w:r>
      <w:r>
        <w:rPr>
          <w:rFonts w:hint="eastAsia" w:ascii="仿宋" w:hAnsi="仿宋" w:eastAsia="仿宋" w:cs="仿宋"/>
          <w:color w:val="auto"/>
          <w:spacing w:val="6"/>
          <w:highlight w:val="none"/>
        </w:rPr>
        <w:t>附件1、中小企业扶持政策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_Toc16688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54</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01CEDB0D">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"_Toc30202" </w:instrText>
      </w:r>
      <w:r>
        <w:rPr>
          <w:color w:val="auto"/>
          <w:highlight w:val="none"/>
        </w:rPr>
        <w:fldChar w:fldCharType="separate"/>
      </w:r>
      <w:r>
        <w:rPr>
          <w:rFonts w:hint="eastAsia" w:ascii="仿宋" w:hAnsi="仿宋" w:eastAsia="仿宋" w:cs="仿宋"/>
          <w:color w:val="auto"/>
          <w:spacing w:val="6"/>
          <w:highlight w:val="none"/>
        </w:rPr>
        <w:t>附件2、残疾人企业扶持政策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_Toc30202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58</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77B639D7">
      <w:pPr>
        <w:pStyle w:val="32"/>
        <w:tabs>
          <w:tab w:val="right" w:leader="dot" w:pos="9750"/>
        </w:tabs>
        <w:rPr>
          <w:rFonts w:hint="eastAsia" w:ascii="仿宋" w:hAnsi="仿宋" w:eastAsia="仿宋" w:cs="仿宋"/>
          <w:color w:val="auto"/>
          <w:highlight w:val="none"/>
        </w:rPr>
      </w:pPr>
      <w:r>
        <w:rPr>
          <w:color w:val="auto"/>
          <w:highlight w:val="none"/>
        </w:rPr>
        <w:fldChar w:fldCharType="begin"/>
      </w:r>
      <w:r>
        <w:rPr>
          <w:color w:val="auto"/>
          <w:highlight w:val="none"/>
        </w:rPr>
        <w:instrText xml:space="preserve"> HYPERLINK \l "_Toc13048" </w:instrText>
      </w:r>
      <w:r>
        <w:rPr>
          <w:color w:val="auto"/>
          <w:highlight w:val="none"/>
        </w:rPr>
        <w:fldChar w:fldCharType="separate"/>
      </w:r>
      <w:r>
        <w:rPr>
          <w:rFonts w:hint="eastAsia" w:ascii="仿宋" w:hAnsi="仿宋" w:eastAsia="仿宋" w:cs="仿宋"/>
          <w:color w:val="auto"/>
          <w:spacing w:val="6"/>
          <w:highlight w:val="none"/>
        </w:rPr>
        <w:t>附件3、监狱扶持政策</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_Toc13048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60</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fldChar w:fldCharType="end"/>
      </w:r>
    </w:p>
    <w:p w14:paraId="24D5EF2F">
      <w:pPr>
        <w:spacing w:line="288"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fldChar w:fldCharType="end"/>
      </w:r>
    </w:p>
    <w:p w14:paraId="22E3096D">
      <w:pPr>
        <w:spacing w:line="360" w:lineRule="auto"/>
        <w:rPr>
          <w:rFonts w:hint="eastAsia" w:ascii="仿宋" w:hAnsi="仿宋" w:eastAsia="仿宋" w:cs="仿宋"/>
          <w:b/>
          <w:color w:val="auto"/>
          <w:sz w:val="24"/>
          <w:szCs w:val="24"/>
          <w:highlight w:val="none"/>
          <w:shd w:val="clear" w:color="auto" w:fill="FFFFFF" w:themeFill="background1"/>
        </w:rPr>
        <w:sectPr>
          <w:footerReference r:id="rId6" w:type="first"/>
          <w:headerReference r:id="rId3" w:type="default"/>
          <w:footerReference r:id="rId4" w:type="default"/>
          <w:footerReference r:id="rId5" w:type="even"/>
          <w:pgSz w:w="11910" w:h="16840"/>
          <w:pgMar w:top="1440" w:right="1080" w:bottom="1440" w:left="1080" w:header="0" w:footer="1178" w:gutter="0"/>
          <w:cols w:space="720" w:num="1"/>
        </w:sectPr>
      </w:pPr>
    </w:p>
    <w:p w14:paraId="1345E257">
      <w:pPr>
        <w:spacing w:line="360" w:lineRule="auto"/>
        <w:jc w:val="center"/>
        <w:outlineLvl w:val="0"/>
        <w:rPr>
          <w:rFonts w:hint="eastAsia" w:ascii="仿宋" w:hAnsi="仿宋" w:eastAsia="仿宋" w:cs="仿宋"/>
          <w:b/>
          <w:bCs/>
          <w:color w:val="auto"/>
          <w:sz w:val="28"/>
          <w:szCs w:val="32"/>
          <w:highlight w:val="none"/>
        </w:rPr>
      </w:pPr>
      <w:bookmarkStart w:id="0" w:name="_Toc32592"/>
      <w:bookmarkStart w:id="1" w:name="_Toc1597"/>
      <w:r>
        <w:rPr>
          <w:rFonts w:hint="eastAsia" w:ascii="仿宋" w:hAnsi="仿宋" w:eastAsia="仿宋" w:cs="仿宋"/>
          <w:b/>
          <w:bCs/>
          <w:color w:val="auto"/>
          <w:sz w:val="28"/>
          <w:szCs w:val="32"/>
          <w:highlight w:val="none"/>
        </w:rPr>
        <w:t>竞争性磋商公告</w:t>
      </w:r>
      <w:bookmarkEnd w:id="0"/>
      <w:bookmarkEnd w:id="1"/>
    </w:p>
    <w:p w14:paraId="7B08D189">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项目概况</w:t>
      </w:r>
    </w:p>
    <w:p w14:paraId="1C5B5BE0">
      <w:pPr>
        <w:spacing w:line="360" w:lineRule="auto"/>
        <w:ind w:firstLine="335"/>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新疆农业大学勤学楼校园网建设项目采购项目的潜在供应商应在政采云平台线上获取采购文件，并于2026年</w:t>
      </w:r>
      <w:r>
        <w:rPr>
          <w:rFonts w:hint="eastAsia" w:ascii="仿宋" w:hAnsi="仿宋" w:eastAsia="仿宋" w:cs="仿宋"/>
          <w:color w:val="auto"/>
          <w:sz w:val="24"/>
          <w:szCs w:val="32"/>
          <w:highlight w:val="none"/>
          <w:lang w:eastAsia="zh-CN"/>
        </w:rPr>
        <w:t>07月17日 16:00</w:t>
      </w:r>
      <w:r>
        <w:rPr>
          <w:rFonts w:hint="eastAsia" w:ascii="仿宋" w:hAnsi="仿宋" w:eastAsia="仿宋" w:cs="仿宋"/>
          <w:color w:val="auto"/>
          <w:sz w:val="24"/>
          <w:szCs w:val="32"/>
          <w:highlight w:val="none"/>
        </w:rPr>
        <w:t>（北京时间）前提交响应文件。</w:t>
      </w:r>
    </w:p>
    <w:p w14:paraId="77E05173">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一、项目基本情况</w:t>
      </w:r>
    </w:p>
    <w:p w14:paraId="73A1A801">
      <w:pPr>
        <w:spacing w:line="360" w:lineRule="auto"/>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32"/>
          <w:highlight w:val="none"/>
        </w:rPr>
        <w:t>项目编号：</w:t>
      </w:r>
      <w:r>
        <w:rPr>
          <w:rFonts w:hint="eastAsia" w:ascii="仿宋" w:hAnsi="仿宋" w:eastAsia="仿宋" w:cs="仿宋"/>
          <w:color w:val="auto"/>
          <w:sz w:val="24"/>
          <w:szCs w:val="24"/>
          <w:highlight w:val="none"/>
        </w:rPr>
        <w:t>XJXSJ-2026（ZC）-</w:t>
      </w:r>
      <w:r>
        <w:rPr>
          <w:rFonts w:hint="eastAsia" w:ascii="仿宋" w:hAnsi="仿宋" w:eastAsia="仿宋" w:cs="仿宋"/>
          <w:color w:val="auto"/>
          <w:sz w:val="24"/>
          <w:szCs w:val="24"/>
          <w:highlight w:val="none"/>
          <w:lang w:val="en-US" w:eastAsia="zh-CN"/>
        </w:rPr>
        <w:t>396</w:t>
      </w:r>
    </w:p>
    <w:p w14:paraId="1BB718B0">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项目名称：新疆农业大学勤学楼校园网建设项目 </w:t>
      </w:r>
    </w:p>
    <w:p w14:paraId="5A3AE82F">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采购方式：竞争性磋商 </w:t>
      </w:r>
    </w:p>
    <w:p w14:paraId="20EA4185">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预算金额（元）：750000.00 </w:t>
      </w:r>
    </w:p>
    <w:p w14:paraId="55E05B1D">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最高限价（元）：750000.00</w:t>
      </w:r>
    </w:p>
    <w:p w14:paraId="1B145289">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简要规格描述：勤学楼校园网建设</w:t>
      </w:r>
    </w:p>
    <w:p w14:paraId="75AF13EE">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合同履约期限：自合同签订之日起30日历日内完成建设，运维期3年。</w:t>
      </w:r>
    </w:p>
    <w:p w14:paraId="589C7A36">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本项目（否）接受联合体响应。</w:t>
      </w:r>
    </w:p>
    <w:p w14:paraId="06094110">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二、供应商的资格要求：</w:t>
      </w:r>
    </w:p>
    <w:p w14:paraId="2C11B5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3E65A83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如在“信用中国”网站（www.creditchina.gov.cn）、中国政府采购网（www.ccgp.gov.cn）等渠道被列入失信被执行人、重大税收违法失信主体、政府采购严重违法失信行为记录名单，尚在处罚期内的将被拒绝参加本次采购活动。</w:t>
      </w:r>
    </w:p>
    <w:p w14:paraId="5CF3EE6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三、获取采购文件</w:t>
      </w:r>
    </w:p>
    <w:p w14:paraId="150D88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日至2026年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日，每天上午00:00至14:00，下午14:00至23:59（北京时间，法定节假日除外）</w:t>
      </w:r>
    </w:p>
    <w:p w14:paraId="4336F751">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地点：政采云平台线上 </w:t>
      </w:r>
    </w:p>
    <w:p w14:paraId="2EBAA9BB">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 </w:t>
      </w:r>
    </w:p>
    <w:p w14:paraId="4A0E3377">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售价（元）： 0 </w:t>
      </w:r>
    </w:p>
    <w:p w14:paraId="1DD92F7A">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四、响应文件提交 </w:t>
      </w:r>
    </w:p>
    <w:p w14:paraId="2FFF2D98">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截止时间：2026年</w:t>
      </w:r>
      <w:r>
        <w:rPr>
          <w:rFonts w:hint="eastAsia" w:ascii="仿宋" w:hAnsi="仿宋" w:eastAsia="仿宋" w:cs="仿宋"/>
          <w:color w:val="auto"/>
          <w:sz w:val="24"/>
          <w:szCs w:val="32"/>
          <w:highlight w:val="none"/>
          <w:lang w:eastAsia="zh-CN"/>
        </w:rPr>
        <w:t>07月17日 16:00</w:t>
      </w:r>
      <w:r>
        <w:rPr>
          <w:rFonts w:hint="eastAsia" w:ascii="仿宋" w:hAnsi="仿宋" w:eastAsia="仿宋" w:cs="仿宋"/>
          <w:color w:val="auto"/>
          <w:sz w:val="24"/>
          <w:szCs w:val="32"/>
          <w:highlight w:val="none"/>
        </w:rPr>
        <w:t>（北京时间）</w:t>
      </w:r>
    </w:p>
    <w:p w14:paraId="6B84E4A0">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地点：请登录政采云投标客户端投标 </w:t>
      </w:r>
    </w:p>
    <w:p w14:paraId="6443C81B">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五、响应文件开启 </w:t>
      </w:r>
    </w:p>
    <w:p w14:paraId="1760A8ED">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开启时间：2026年</w:t>
      </w:r>
      <w:r>
        <w:rPr>
          <w:rFonts w:hint="eastAsia" w:ascii="仿宋" w:hAnsi="仿宋" w:eastAsia="仿宋" w:cs="仿宋"/>
          <w:color w:val="auto"/>
          <w:sz w:val="24"/>
          <w:szCs w:val="32"/>
          <w:highlight w:val="none"/>
          <w:lang w:eastAsia="zh-CN"/>
        </w:rPr>
        <w:t>07月17日 16:00</w:t>
      </w:r>
      <w:r>
        <w:rPr>
          <w:rFonts w:hint="eastAsia" w:ascii="仿宋" w:hAnsi="仿宋" w:eastAsia="仿宋" w:cs="仿宋"/>
          <w:color w:val="auto"/>
          <w:sz w:val="24"/>
          <w:szCs w:val="32"/>
          <w:highlight w:val="none"/>
        </w:rPr>
        <w:t> （北京时间）</w:t>
      </w:r>
    </w:p>
    <w:p w14:paraId="723D3BE6">
      <w:pPr>
        <w:spacing w:line="360" w:lineRule="auto"/>
        <w:ind w:firstLine="480" w:firstLineChars="200"/>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地点：供应商登录政采云平台https://www.zcygov.cn/，进入“项目采购-开标评标-右边选择对应项目点击“进入项目”进入开标大厅。 </w:t>
      </w:r>
    </w:p>
    <w:p w14:paraId="322FE26A">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六、公告期限</w:t>
      </w:r>
    </w:p>
    <w:p w14:paraId="720DB9B9">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自本公告发布之日起3个工作日。</w:t>
      </w:r>
    </w:p>
    <w:p w14:paraId="139AD769">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七、凡对本次采购提出询问，请按以下方式联系</w:t>
      </w:r>
    </w:p>
    <w:p w14:paraId="36468B8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4B6345E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3A7CBD6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址：乌鲁木齐市农大东路311号</w:t>
      </w:r>
    </w:p>
    <w:p w14:paraId="5E7AEB2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联系方式：18099127123</w:t>
      </w:r>
    </w:p>
    <w:p w14:paraId="2C9B8BF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6654311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46EBC3A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bookmarkStart w:id="2" w:name="OLE_LINK8"/>
      <w:bookmarkStart w:id="3" w:name="OLE_LINK7"/>
      <w:r>
        <w:rPr>
          <w:rFonts w:hint="eastAsia" w:ascii="仿宋" w:hAnsi="仿宋" w:eastAsia="仿宋" w:cs="仿宋"/>
          <w:color w:val="auto"/>
          <w:sz w:val="24"/>
          <w:szCs w:val="24"/>
          <w:highlight w:val="none"/>
        </w:rPr>
        <w:t>乌鲁木齐市新兴街20号</w:t>
      </w:r>
      <w:bookmarkEnd w:id="2"/>
      <w:bookmarkEnd w:id="3"/>
    </w:p>
    <w:p w14:paraId="5DBCB88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2BFFDF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1241020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6D5CFBB6">
      <w:pPr>
        <w:spacing w:line="360" w:lineRule="auto"/>
        <w:ind w:firstLine="480" w:firstLineChars="200"/>
        <w:rPr>
          <w:rFonts w:hint="eastAsia" w:ascii="仿宋" w:hAnsi="仿宋" w:eastAsia="仿宋" w:cs="仿宋"/>
          <w:color w:val="auto"/>
          <w:highlight w:val="none"/>
        </w:rPr>
        <w:sectPr>
          <w:footerReference r:id="rId7" w:type="default"/>
          <w:pgSz w:w="11910" w:h="16840"/>
          <w:pgMar w:top="1440" w:right="1080" w:bottom="1440" w:left="1080" w:header="850" w:footer="850" w:gutter="0"/>
          <w:pgNumType w:start="1"/>
          <w:cols w:space="720" w:num="1"/>
        </w:sectPr>
      </w:pPr>
      <w:r>
        <w:rPr>
          <w:rFonts w:hint="eastAsia" w:ascii="仿宋" w:hAnsi="仿宋" w:eastAsia="仿宋" w:cs="仿宋"/>
          <w:color w:val="auto"/>
          <w:sz w:val="24"/>
          <w:szCs w:val="24"/>
          <w:highlight w:val="none"/>
        </w:rPr>
        <w:t>电 话：0991-4661782</w:t>
      </w:r>
    </w:p>
    <w:p w14:paraId="423D8923">
      <w:pPr>
        <w:spacing w:line="360" w:lineRule="auto"/>
        <w:jc w:val="center"/>
        <w:outlineLvl w:val="0"/>
        <w:rPr>
          <w:rFonts w:hint="eastAsia" w:ascii="仿宋" w:hAnsi="仿宋" w:eastAsia="仿宋" w:cs="仿宋"/>
          <w:b/>
          <w:bCs/>
          <w:color w:val="auto"/>
          <w:sz w:val="24"/>
          <w:szCs w:val="24"/>
          <w:highlight w:val="none"/>
          <w:shd w:val="clear" w:color="auto" w:fill="FFFFFF" w:themeFill="background1"/>
        </w:rPr>
      </w:pPr>
      <w:bookmarkStart w:id="4" w:name="_Toc10649"/>
      <w:r>
        <w:rPr>
          <w:rFonts w:hint="eastAsia" w:ascii="仿宋" w:hAnsi="仿宋" w:eastAsia="仿宋" w:cs="仿宋"/>
          <w:b/>
          <w:color w:val="auto"/>
          <w:sz w:val="24"/>
          <w:szCs w:val="24"/>
          <w:highlight w:val="none"/>
          <w:shd w:val="clear" w:color="auto" w:fill="FFFFFF" w:themeFill="background1"/>
        </w:rPr>
        <w:t>供应商须知前附表</w:t>
      </w:r>
      <w:bookmarkEnd w:id="4"/>
    </w:p>
    <w:tbl>
      <w:tblPr>
        <w:tblStyle w:val="44"/>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795"/>
        <w:gridCol w:w="6688"/>
      </w:tblGrid>
      <w:tr w14:paraId="5FC1A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4DC2EDBD">
            <w:pPr>
              <w:spacing w:line="288"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项号</w:t>
            </w:r>
          </w:p>
        </w:tc>
        <w:tc>
          <w:tcPr>
            <w:tcW w:w="8483" w:type="dxa"/>
            <w:gridSpan w:val="2"/>
            <w:vAlign w:val="center"/>
          </w:tcPr>
          <w:p w14:paraId="4A274653">
            <w:pPr>
              <w:spacing w:line="288"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编列内容</w:t>
            </w:r>
          </w:p>
        </w:tc>
      </w:tr>
      <w:tr w14:paraId="34262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24802B2C">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w:t>
            </w:r>
          </w:p>
        </w:tc>
        <w:tc>
          <w:tcPr>
            <w:tcW w:w="1795" w:type="dxa"/>
            <w:vAlign w:val="center"/>
          </w:tcPr>
          <w:p w14:paraId="64050954">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6688" w:type="dxa"/>
            <w:vAlign w:val="center"/>
          </w:tcPr>
          <w:p w14:paraId="3043CD42">
            <w:pPr>
              <w:spacing w:line="288" w:lineRule="auto"/>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rPr>
              <w:t>新疆农业大学勤学楼校园网建设项目</w:t>
            </w:r>
          </w:p>
        </w:tc>
      </w:tr>
      <w:tr w14:paraId="5B81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7851372">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0747CF10">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6688" w:type="dxa"/>
            <w:vAlign w:val="center"/>
          </w:tcPr>
          <w:p w14:paraId="68DF59B3">
            <w:pPr>
              <w:spacing w:line="288" w:lineRule="auto"/>
              <w:jc w:val="left"/>
              <w:rPr>
                <w:rFonts w:hint="default"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rPr>
              <w:t>XJXSJ-2026（ZC）-</w:t>
            </w:r>
            <w:r>
              <w:rPr>
                <w:rFonts w:hint="eastAsia" w:ascii="仿宋" w:hAnsi="仿宋" w:eastAsia="仿宋" w:cs="仿宋"/>
                <w:color w:val="auto"/>
                <w:kern w:val="0"/>
                <w:szCs w:val="21"/>
                <w:highlight w:val="none"/>
                <w:shd w:val="clear" w:color="auto" w:fill="FFFFFF" w:themeFill="background1"/>
                <w:lang w:val="en-US" w:eastAsia="zh-CN"/>
              </w:rPr>
              <w:t>396</w:t>
            </w:r>
          </w:p>
        </w:tc>
      </w:tr>
      <w:tr w14:paraId="33E8C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0EC1F69">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7D7D9D56">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6688" w:type="dxa"/>
            <w:vAlign w:val="center"/>
          </w:tcPr>
          <w:p w14:paraId="5709F42A">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新疆农业大学</w:t>
            </w:r>
          </w:p>
        </w:tc>
      </w:tr>
      <w:tr w14:paraId="00922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34CA335">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2E1DE1E0">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6688" w:type="dxa"/>
            <w:vAlign w:val="center"/>
          </w:tcPr>
          <w:p w14:paraId="4B6F1C01">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新疆新世纪招标有限公司</w:t>
            </w:r>
          </w:p>
        </w:tc>
      </w:tr>
      <w:tr w14:paraId="7CAD6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171C72E">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04F2E810">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6688" w:type="dxa"/>
            <w:vAlign w:val="center"/>
          </w:tcPr>
          <w:p w14:paraId="75BD5D33">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乌鲁木齐市</w:t>
            </w:r>
          </w:p>
        </w:tc>
      </w:tr>
      <w:tr w14:paraId="040F7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31FEAC4">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1A7E13A2">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6688" w:type="dxa"/>
            <w:vAlign w:val="center"/>
          </w:tcPr>
          <w:p w14:paraId="71C3EAB1">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校级专项经费</w:t>
            </w:r>
          </w:p>
        </w:tc>
      </w:tr>
      <w:tr w14:paraId="61803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009303C">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5B8C4B75">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6688" w:type="dxa"/>
            <w:vAlign w:val="center"/>
          </w:tcPr>
          <w:p w14:paraId="3037A34B">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750000.00元</w:t>
            </w:r>
          </w:p>
        </w:tc>
      </w:tr>
      <w:tr w14:paraId="378B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F6EF421">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2E984798">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6688" w:type="dxa"/>
            <w:vAlign w:val="center"/>
          </w:tcPr>
          <w:p w14:paraId="22FF4F23">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750000.00元</w:t>
            </w:r>
          </w:p>
        </w:tc>
      </w:tr>
      <w:tr w14:paraId="6E2F2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72CCDDC">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5CE221A0">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合同履约期限</w:t>
            </w:r>
          </w:p>
        </w:tc>
        <w:tc>
          <w:tcPr>
            <w:tcW w:w="6688" w:type="dxa"/>
            <w:vAlign w:val="center"/>
          </w:tcPr>
          <w:p w14:paraId="6A30D382">
            <w:pPr>
              <w:spacing w:line="288" w:lineRule="auto"/>
              <w:jc w:val="left"/>
              <w:rPr>
                <w:rFonts w:hint="eastAsia" w:ascii="仿宋" w:hAnsi="仿宋" w:eastAsia="仿宋" w:cs="仿宋"/>
                <w:color w:val="auto"/>
                <w:kern w:val="0"/>
                <w:szCs w:val="21"/>
                <w:highlight w:val="none"/>
                <w:shd w:val="clear" w:color="auto" w:fill="FFFFFF" w:themeFill="background1"/>
                <w:lang w:eastAsia="zh-CN"/>
              </w:rPr>
            </w:pPr>
            <w:r>
              <w:rPr>
                <w:rFonts w:hint="eastAsia" w:ascii="仿宋" w:hAnsi="仿宋" w:eastAsia="仿宋" w:cs="仿宋"/>
                <w:color w:val="auto"/>
                <w:kern w:val="0"/>
                <w:szCs w:val="21"/>
                <w:highlight w:val="none"/>
                <w:shd w:val="clear" w:color="auto" w:fill="FFFFFF" w:themeFill="background1"/>
              </w:rPr>
              <w:t>自合同签订之日起30日历日内完成建设，运维期3年</w:t>
            </w:r>
            <w:r>
              <w:rPr>
                <w:rFonts w:hint="eastAsia" w:ascii="仿宋" w:hAnsi="仿宋" w:eastAsia="仿宋" w:cs="仿宋"/>
                <w:color w:val="auto"/>
                <w:kern w:val="0"/>
                <w:szCs w:val="21"/>
                <w:highlight w:val="none"/>
                <w:shd w:val="clear" w:color="auto" w:fill="FFFFFF" w:themeFill="background1"/>
                <w:lang w:eastAsia="zh-CN"/>
              </w:rPr>
              <w:t>。</w:t>
            </w:r>
          </w:p>
        </w:tc>
      </w:tr>
      <w:tr w14:paraId="50C01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21120A18">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4C19EF65">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服务地点</w:t>
            </w:r>
          </w:p>
        </w:tc>
        <w:tc>
          <w:tcPr>
            <w:tcW w:w="6688" w:type="dxa"/>
            <w:vAlign w:val="center"/>
          </w:tcPr>
          <w:p w14:paraId="1A01C3C5">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采购人指定地点</w:t>
            </w:r>
          </w:p>
        </w:tc>
      </w:tr>
      <w:tr w14:paraId="752CC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0" w:hRule="atLeast"/>
          <w:jc w:val="center"/>
        </w:trPr>
        <w:tc>
          <w:tcPr>
            <w:tcW w:w="597" w:type="dxa"/>
            <w:vAlign w:val="center"/>
          </w:tcPr>
          <w:p w14:paraId="74C0F5D1">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w:t>
            </w:r>
          </w:p>
        </w:tc>
        <w:tc>
          <w:tcPr>
            <w:tcW w:w="1795" w:type="dxa"/>
            <w:vAlign w:val="center"/>
          </w:tcPr>
          <w:p w14:paraId="29A3596C">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6688" w:type="dxa"/>
            <w:vAlign w:val="center"/>
          </w:tcPr>
          <w:p w14:paraId="7AAA5FDE">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新疆农业大学勤学楼校园网建设项目</w:t>
            </w:r>
            <w:r>
              <w:rPr>
                <w:rFonts w:hint="eastAsia" w:ascii="仿宋" w:hAnsi="仿宋" w:eastAsia="仿宋" w:cs="仿宋"/>
                <w:color w:val="auto"/>
                <w:kern w:val="0"/>
                <w:szCs w:val="21"/>
                <w:highlight w:val="none"/>
              </w:rPr>
              <w:t>范围内的所有工作内容，关于采购范围的详细说明见采购文件第四章“服务标准和要求”。</w:t>
            </w:r>
          </w:p>
        </w:tc>
      </w:tr>
      <w:tr w14:paraId="0C8A5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52D35E51">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w:t>
            </w:r>
          </w:p>
        </w:tc>
        <w:tc>
          <w:tcPr>
            <w:tcW w:w="1795" w:type="dxa"/>
            <w:vAlign w:val="center"/>
          </w:tcPr>
          <w:p w14:paraId="11D62EA8">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6688" w:type="dxa"/>
            <w:vAlign w:val="center"/>
          </w:tcPr>
          <w:p w14:paraId="60C8A5B7">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竞争性磋商</w:t>
            </w:r>
          </w:p>
        </w:tc>
      </w:tr>
      <w:tr w14:paraId="7D09D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144AAC0">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3257554D">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6688" w:type="dxa"/>
            <w:vAlign w:val="center"/>
          </w:tcPr>
          <w:p w14:paraId="5B7044BC">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资格后审</w:t>
            </w:r>
          </w:p>
        </w:tc>
      </w:tr>
      <w:tr w14:paraId="43D10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7CB1BA4B">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w:t>
            </w:r>
          </w:p>
        </w:tc>
        <w:tc>
          <w:tcPr>
            <w:tcW w:w="1795" w:type="dxa"/>
            <w:vAlign w:val="center"/>
          </w:tcPr>
          <w:p w14:paraId="4944C376">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6688" w:type="dxa"/>
            <w:vAlign w:val="center"/>
          </w:tcPr>
          <w:p w14:paraId="6E0B5537">
            <w:pPr>
              <w:keepNext/>
              <w:widowControl/>
              <w:spacing w:line="288" w:lineRule="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综合评分法</w:t>
            </w:r>
          </w:p>
        </w:tc>
      </w:tr>
      <w:tr w14:paraId="08DE8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4F46A72">
            <w:pPr>
              <w:spacing w:line="288" w:lineRule="auto"/>
              <w:jc w:val="center"/>
              <w:rPr>
                <w:rFonts w:hint="eastAsia" w:ascii="仿宋" w:hAnsi="仿宋" w:eastAsia="仿宋" w:cs="仿宋"/>
                <w:color w:val="auto"/>
                <w:kern w:val="0"/>
                <w:szCs w:val="21"/>
                <w:highlight w:val="none"/>
                <w:shd w:val="clear" w:color="auto" w:fill="FFFFFF" w:themeFill="background1"/>
              </w:rPr>
            </w:pPr>
          </w:p>
        </w:tc>
        <w:tc>
          <w:tcPr>
            <w:tcW w:w="1795" w:type="dxa"/>
            <w:vAlign w:val="center"/>
          </w:tcPr>
          <w:p w14:paraId="6FA4657D">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6688" w:type="dxa"/>
            <w:vAlign w:val="center"/>
          </w:tcPr>
          <w:p w14:paraId="10D65098">
            <w:pPr>
              <w:keepNext/>
              <w:widowControl/>
              <w:spacing w:line="288" w:lineRule="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磋商小组推荐三名成交候选人</w:t>
            </w:r>
          </w:p>
        </w:tc>
      </w:tr>
      <w:tr w14:paraId="0AA9B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5BA6E9E8">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w:t>
            </w:r>
          </w:p>
        </w:tc>
        <w:tc>
          <w:tcPr>
            <w:tcW w:w="1795" w:type="dxa"/>
            <w:vAlign w:val="center"/>
          </w:tcPr>
          <w:p w14:paraId="2D6840B9">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供应商的资格要求</w:t>
            </w:r>
          </w:p>
        </w:tc>
        <w:tc>
          <w:tcPr>
            <w:tcW w:w="6688" w:type="dxa"/>
            <w:vAlign w:val="center"/>
          </w:tcPr>
          <w:p w14:paraId="1387D213">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1、满足《中华人民共和国政府采购法》第二十二条规定。</w:t>
            </w:r>
          </w:p>
          <w:p w14:paraId="5C92E6B6">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供应商如在“信用中国”网站（www.creditchina.gov.cn）、中国政府采购网（www.ccgp.gov.cn）等渠道被列入失信被执行人、重大税收违法失信主体、政府采购严重违法失信行为记录名单，尚在处罚期内的将被拒绝参加本次采购活动。</w:t>
            </w:r>
          </w:p>
        </w:tc>
      </w:tr>
      <w:tr w14:paraId="70A2C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2CB9A833">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6</w:t>
            </w:r>
          </w:p>
        </w:tc>
        <w:tc>
          <w:tcPr>
            <w:tcW w:w="1795" w:type="dxa"/>
            <w:vAlign w:val="center"/>
          </w:tcPr>
          <w:p w14:paraId="69767FB2">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供应商不得存在的情形</w:t>
            </w:r>
          </w:p>
        </w:tc>
        <w:tc>
          <w:tcPr>
            <w:tcW w:w="6688" w:type="dxa"/>
            <w:vAlign w:val="center"/>
          </w:tcPr>
          <w:p w14:paraId="020DC156">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64BEA268">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2、为采购项目提供整体设计、规范编制或者项目管理、监理、检测等服务的供应商，不得再参加该采购项目的其他采购活动。</w:t>
            </w:r>
          </w:p>
          <w:p w14:paraId="00696965">
            <w:pPr>
              <w:spacing w:line="288"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rPr>
              <w:t>3、单位负责人为同一人或者存在直接控股、管理关系的不同供应商不得参加本项目同一包的采购活动。</w:t>
            </w:r>
          </w:p>
          <w:p w14:paraId="66FD0A9A">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4、供应商处于被责令停业、财产被接管、冻结和破产状态，以及响应资格被取消或者被暂停且在暂停期内。</w:t>
            </w:r>
          </w:p>
          <w:p w14:paraId="148C97A8">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5、法律法规及采购文件规定的其他情形。</w:t>
            </w:r>
          </w:p>
        </w:tc>
      </w:tr>
      <w:tr w14:paraId="67D27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358" w:hRule="atLeast"/>
          <w:jc w:val="center"/>
        </w:trPr>
        <w:tc>
          <w:tcPr>
            <w:tcW w:w="597" w:type="dxa"/>
            <w:vAlign w:val="center"/>
          </w:tcPr>
          <w:p w14:paraId="2F592C61">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7</w:t>
            </w:r>
          </w:p>
        </w:tc>
        <w:tc>
          <w:tcPr>
            <w:tcW w:w="1795" w:type="dxa"/>
            <w:vAlign w:val="center"/>
          </w:tcPr>
          <w:p w14:paraId="0B0862FA">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采购文件费</w:t>
            </w:r>
          </w:p>
        </w:tc>
        <w:tc>
          <w:tcPr>
            <w:tcW w:w="6688" w:type="dxa"/>
            <w:vAlign w:val="center"/>
          </w:tcPr>
          <w:p w14:paraId="5BC9CD36">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0元</w:t>
            </w:r>
          </w:p>
        </w:tc>
      </w:tr>
      <w:tr w14:paraId="08948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09B018A">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8</w:t>
            </w:r>
          </w:p>
        </w:tc>
        <w:tc>
          <w:tcPr>
            <w:tcW w:w="1795" w:type="dxa"/>
            <w:vAlign w:val="center"/>
          </w:tcPr>
          <w:p w14:paraId="2596B937">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响应保证金</w:t>
            </w:r>
          </w:p>
        </w:tc>
        <w:tc>
          <w:tcPr>
            <w:tcW w:w="6688" w:type="dxa"/>
            <w:vAlign w:val="center"/>
          </w:tcPr>
          <w:p w14:paraId="224C41A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1、响应保证金金额：15000.00元</w:t>
            </w:r>
          </w:p>
          <w:p w14:paraId="627F993B">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2、提交截止时间：同响应文件递交截止时间</w:t>
            </w:r>
          </w:p>
          <w:p w14:paraId="5426460C">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3、提交形式：响应保证金以支票、汇票、本票或者金融机构、担保机构出具的保函等非现金形式提交至采购代理机构。</w:t>
            </w:r>
          </w:p>
          <w:p w14:paraId="5B5A1D7D">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2B2A2A2A">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0BA05A5D">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21B751BE">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10C7A31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55C8849E">
            <w:pPr>
              <w:keepNext/>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5、供应商在提交响应保证金时需备注项目名称简称。</w:t>
            </w:r>
          </w:p>
        </w:tc>
      </w:tr>
      <w:tr w14:paraId="45E91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4A7550E">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9</w:t>
            </w:r>
          </w:p>
        </w:tc>
        <w:tc>
          <w:tcPr>
            <w:tcW w:w="1795" w:type="dxa"/>
            <w:vAlign w:val="center"/>
          </w:tcPr>
          <w:p w14:paraId="6276CF6D">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6688" w:type="dxa"/>
            <w:vAlign w:val="center"/>
          </w:tcPr>
          <w:p w14:paraId="03008488">
            <w:pPr>
              <w:keepNext/>
              <w:widowControl/>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不组织</w:t>
            </w:r>
          </w:p>
        </w:tc>
      </w:tr>
      <w:tr w14:paraId="10522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A84BB11">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10</w:t>
            </w:r>
          </w:p>
        </w:tc>
        <w:tc>
          <w:tcPr>
            <w:tcW w:w="1795" w:type="dxa"/>
            <w:vAlign w:val="center"/>
          </w:tcPr>
          <w:p w14:paraId="71094B0C">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采购答疑</w:t>
            </w:r>
          </w:p>
        </w:tc>
        <w:tc>
          <w:tcPr>
            <w:tcW w:w="6688" w:type="dxa"/>
            <w:vAlign w:val="center"/>
          </w:tcPr>
          <w:p w14:paraId="0C90FD54">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1、提出询问的，应当在响应文件递交截止时间6日前以书面形式（加盖公章）递交至新疆新世纪招标有限公司，否则采购人不作任何解释。</w:t>
            </w:r>
          </w:p>
          <w:p w14:paraId="31533DA2">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2、对采购文件提出质疑的，应当在获取采购文件或者采购文件公告期限届满之日起7个工作日内一次性以书面形式（按照财政部制定的质疑函范本编写）提出并递交至采购代理机构。</w:t>
            </w:r>
          </w:p>
          <w:p w14:paraId="61703994">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质疑接收人：马丹阳；联系方式：0991-4661782。</w:t>
            </w:r>
          </w:p>
          <w:p w14:paraId="295DD8C8">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注：①、供应商必须在法定质疑期内一次性提出针对同一采购程序环节的质疑；供应商投诉的事项不得超出已质疑事项的范围。②、供应商在国家法律规定的时间内未提出书面疑问，视为对采购文件的服务要求、资格条件、评审方法、合同文本等所有内容无异议。</w:t>
            </w:r>
          </w:p>
        </w:tc>
      </w:tr>
      <w:tr w14:paraId="2BC1F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ABC9877">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11</w:t>
            </w:r>
          </w:p>
        </w:tc>
        <w:tc>
          <w:tcPr>
            <w:tcW w:w="1795" w:type="dxa"/>
            <w:vAlign w:val="center"/>
          </w:tcPr>
          <w:p w14:paraId="7031CEDD">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响应文件份数</w:t>
            </w:r>
          </w:p>
        </w:tc>
        <w:tc>
          <w:tcPr>
            <w:tcW w:w="6688" w:type="dxa"/>
            <w:vAlign w:val="center"/>
          </w:tcPr>
          <w:p w14:paraId="41D9F8FC">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 xml:space="preserve">1、本次采购采用电子交易方式，电子交易平台为“政采云平台（https://www.zcygov.cn/）”。供应商参与本项目电子交易活动前，应注册成为政府采购云平台正式供应商。编制电子响应文件前还需申领CA证书并绑定帐号。供应商应充分考虑完成平台注册、申领CA证书等所需的时间。因未注册入库、未办理CA数字证书等原因造成无法响应或响应失败等后果由供应商自行承担。 </w:t>
            </w:r>
          </w:p>
          <w:p w14:paraId="6231A965">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2、加密的电子响应文件须在响应文件递交截止时间前通过政采云平台上传完成。逾期上传或者未上传至指定地点的响应文件，不予受理。</w:t>
            </w:r>
          </w:p>
          <w:p w14:paraId="263C7D55">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3、供应商在开启前须提前配置好电脑浏览器，开启时请使用制作加密电子响应文件的CA锁进行解密及报价确认。本项目响应文件解密时间定为30分钟，如因自身原因导致无法正常解密，后果由供应商自行承担。</w:t>
            </w:r>
          </w:p>
          <w:p w14:paraId="79A0E018">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4、如遇电子交易平台的交易规则调整，以最新要求为准。</w:t>
            </w:r>
          </w:p>
        </w:tc>
      </w:tr>
      <w:tr w14:paraId="72B79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C3D9E7B">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12</w:t>
            </w:r>
          </w:p>
        </w:tc>
        <w:tc>
          <w:tcPr>
            <w:tcW w:w="1795" w:type="dxa"/>
            <w:vAlign w:val="center"/>
          </w:tcPr>
          <w:p w14:paraId="72F5C4A0">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响应文件递交</w:t>
            </w:r>
          </w:p>
        </w:tc>
        <w:tc>
          <w:tcPr>
            <w:tcW w:w="6688" w:type="dxa"/>
            <w:vAlign w:val="center"/>
          </w:tcPr>
          <w:p w14:paraId="59851633">
            <w:pPr>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截止时间：</w:t>
            </w:r>
            <w:r>
              <w:rPr>
                <w:rFonts w:hint="eastAsia" w:ascii="仿宋" w:hAnsi="仿宋" w:eastAsia="仿宋" w:cs="仿宋"/>
                <w:color w:val="auto"/>
                <w:kern w:val="0"/>
                <w:szCs w:val="21"/>
                <w:highlight w:val="none"/>
                <w:u w:val="single"/>
                <w:shd w:val="clear" w:color="auto" w:fill="FFFFFF" w:themeFill="background1"/>
              </w:rPr>
              <w:t>2026年</w:t>
            </w:r>
            <w:r>
              <w:rPr>
                <w:rFonts w:hint="eastAsia" w:ascii="仿宋" w:hAnsi="仿宋" w:eastAsia="仿宋" w:cs="仿宋"/>
                <w:color w:val="auto"/>
                <w:kern w:val="0"/>
                <w:szCs w:val="21"/>
                <w:highlight w:val="none"/>
                <w:u w:val="single"/>
                <w:shd w:val="clear" w:color="auto" w:fill="FFFFFF" w:themeFill="background1"/>
                <w:lang w:eastAsia="zh-CN"/>
              </w:rPr>
              <w:t>07月17日 16:00</w:t>
            </w:r>
            <w:r>
              <w:rPr>
                <w:rFonts w:hint="eastAsia" w:ascii="仿宋" w:hAnsi="仿宋" w:eastAsia="仿宋" w:cs="仿宋"/>
                <w:color w:val="auto"/>
                <w:kern w:val="0"/>
                <w:szCs w:val="21"/>
                <w:highlight w:val="none"/>
                <w:shd w:val="clear" w:color="auto" w:fill="FFFFFF" w:themeFill="background1"/>
              </w:rPr>
              <w:t>（北京时间）</w:t>
            </w:r>
          </w:p>
          <w:p w14:paraId="61B187E7">
            <w:pPr>
              <w:keepNext/>
              <w:widowControl/>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递交地点：政采云平台（https://www.zcygov.cn/）</w:t>
            </w:r>
          </w:p>
        </w:tc>
      </w:tr>
      <w:tr w14:paraId="7DD27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97E4BD8">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13</w:t>
            </w:r>
          </w:p>
        </w:tc>
        <w:tc>
          <w:tcPr>
            <w:tcW w:w="1795" w:type="dxa"/>
            <w:vAlign w:val="center"/>
          </w:tcPr>
          <w:p w14:paraId="4D3058BD">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开启</w:t>
            </w:r>
          </w:p>
        </w:tc>
        <w:tc>
          <w:tcPr>
            <w:tcW w:w="6688" w:type="dxa"/>
            <w:vAlign w:val="center"/>
          </w:tcPr>
          <w:p w14:paraId="52C91823">
            <w:pPr>
              <w:spacing w:line="288" w:lineRule="auto"/>
              <w:jc w:val="left"/>
              <w:rPr>
                <w:rFonts w:hint="eastAsia" w:ascii="仿宋" w:hAnsi="仿宋" w:eastAsia="仿宋" w:cs="仿宋"/>
                <w:color w:val="auto"/>
                <w:kern w:val="0"/>
                <w:szCs w:val="21"/>
                <w:highlight w:val="none"/>
                <w:u w:val="singl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时间：</w:t>
            </w:r>
            <w:r>
              <w:rPr>
                <w:rFonts w:hint="eastAsia" w:ascii="仿宋" w:hAnsi="仿宋" w:eastAsia="仿宋" w:cs="仿宋"/>
                <w:color w:val="auto"/>
                <w:kern w:val="0"/>
                <w:szCs w:val="21"/>
                <w:highlight w:val="none"/>
                <w:u w:val="single"/>
                <w:shd w:val="clear" w:color="auto" w:fill="FFFFFF" w:themeFill="background1"/>
              </w:rPr>
              <w:t>2026年</w:t>
            </w:r>
            <w:r>
              <w:rPr>
                <w:rFonts w:hint="eastAsia" w:ascii="仿宋" w:hAnsi="仿宋" w:eastAsia="仿宋" w:cs="仿宋"/>
                <w:color w:val="auto"/>
                <w:kern w:val="0"/>
                <w:szCs w:val="21"/>
                <w:highlight w:val="none"/>
                <w:u w:val="single"/>
                <w:shd w:val="clear" w:color="auto" w:fill="FFFFFF" w:themeFill="background1"/>
                <w:lang w:eastAsia="zh-CN"/>
              </w:rPr>
              <w:t>07月17日 16:00</w:t>
            </w:r>
            <w:r>
              <w:rPr>
                <w:rFonts w:hint="eastAsia" w:ascii="仿宋" w:hAnsi="仿宋" w:eastAsia="仿宋" w:cs="仿宋"/>
                <w:color w:val="auto"/>
                <w:kern w:val="0"/>
                <w:szCs w:val="21"/>
                <w:highlight w:val="none"/>
                <w:shd w:val="clear" w:color="auto" w:fill="FFFFFF" w:themeFill="background1"/>
              </w:rPr>
              <w:t>（北京时间）</w:t>
            </w:r>
          </w:p>
          <w:p w14:paraId="07AFC984">
            <w:pPr>
              <w:keepNext/>
              <w:widowControl/>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地点：政采云平台（https://www.zcygov.cn/）</w:t>
            </w:r>
          </w:p>
        </w:tc>
      </w:tr>
      <w:tr w14:paraId="3F862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25" w:hRule="atLeast"/>
          <w:jc w:val="center"/>
        </w:trPr>
        <w:tc>
          <w:tcPr>
            <w:tcW w:w="597" w:type="dxa"/>
            <w:vAlign w:val="center"/>
          </w:tcPr>
          <w:p w14:paraId="0DEF40A6">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14</w:t>
            </w:r>
          </w:p>
        </w:tc>
        <w:tc>
          <w:tcPr>
            <w:tcW w:w="1795" w:type="dxa"/>
            <w:vAlign w:val="center"/>
          </w:tcPr>
          <w:p w14:paraId="2E8FCB64">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响应有效期</w:t>
            </w:r>
          </w:p>
        </w:tc>
        <w:tc>
          <w:tcPr>
            <w:tcW w:w="6688" w:type="dxa"/>
            <w:vAlign w:val="center"/>
          </w:tcPr>
          <w:p w14:paraId="5D7A7FD0">
            <w:pPr>
              <w:keepNext/>
              <w:widowControl/>
              <w:spacing w:line="288"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自响应截止之日90日历日</w:t>
            </w:r>
          </w:p>
        </w:tc>
      </w:tr>
      <w:tr w14:paraId="21C52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8E587CD">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15</w:t>
            </w:r>
          </w:p>
        </w:tc>
        <w:tc>
          <w:tcPr>
            <w:tcW w:w="1795" w:type="dxa"/>
            <w:vAlign w:val="center"/>
          </w:tcPr>
          <w:p w14:paraId="389773A7">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6688" w:type="dxa"/>
            <w:vAlign w:val="center"/>
          </w:tcPr>
          <w:p w14:paraId="253C9FA4">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新疆政府采购网（http://www.ccgp-xinjiang.gov.cn/home.html）</w:t>
            </w:r>
          </w:p>
        </w:tc>
      </w:tr>
      <w:tr w14:paraId="39E03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33B9D6D">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16</w:t>
            </w:r>
          </w:p>
        </w:tc>
        <w:tc>
          <w:tcPr>
            <w:tcW w:w="1795" w:type="dxa"/>
            <w:vAlign w:val="center"/>
          </w:tcPr>
          <w:p w14:paraId="41132BD9">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6688" w:type="dxa"/>
            <w:vAlign w:val="center"/>
          </w:tcPr>
          <w:p w14:paraId="17860817">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1、履约保证金金额：合同额的10%。</w:t>
            </w:r>
          </w:p>
          <w:p w14:paraId="0BF10F2F">
            <w:pPr>
              <w:spacing w:line="288"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rPr>
              <w:t>2、供应商应当以支票、汇票、本票或者金融机构、担保机构出具的保函等非现金形式提交履约保证金。</w:t>
            </w:r>
          </w:p>
        </w:tc>
      </w:tr>
      <w:tr w14:paraId="0A0A8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92D1C24">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17</w:t>
            </w:r>
          </w:p>
        </w:tc>
        <w:tc>
          <w:tcPr>
            <w:tcW w:w="1795" w:type="dxa"/>
            <w:vAlign w:val="center"/>
          </w:tcPr>
          <w:p w14:paraId="029D8C6A">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6688" w:type="dxa"/>
            <w:vAlign w:val="center"/>
          </w:tcPr>
          <w:p w14:paraId="7120713B">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1、中小企业，是指在中华人民共和国境内依法设立，依据国务院批准的中小企业划分标准确定的中型企业、小型企业和微型企业。</w:t>
            </w:r>
          </w:p>
          <w:p w14:paraId="04A4E385">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2、符合中小企业划分标准的个体工商户，在政府采购活动中视同中小企业；残疾人福利性单位和监狱企业视同小型、微型企业。</w:t>
            </w:r>
          </w:p>
          <w:p w14:paraId="44B90BE8">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3、根据“关于印发中小企业划型标准规定的通知(工信部联企业〔2011〕300号)”等有关规定，本项目标的所属行业为软件和信息技术服务业。</w:t>
            </w:r>
          </w:p>
        </w:tc>
      </w:tr>
      <w:tr w14:paraId="39914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19CBE11">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18</w:t>
            </w:r>
          </w:p>
        </w:tc>
        <w:tc>
          <w:tcPr>
            <w:tcW w:w="1795" w:type="dxa"/>
            <w:vAlign w:val="center"/>
          </w:tcPr>
          <w:p w14:paraId="05346CB1">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是否允许分包</w:t>
            </w:r>
          </w:p>
        </w:tc>
        <w:tc>
          <w:tcPr>
            <w:tcW w:w="6688" w:type="dxa"/>
            <w:vAlign w:val="center"/>
          </w:tcPr>
          <w:p w14:paraId="473A85F6">
            <w:pPr>
              <w:keepNext/>
              <w:widowControl/>
              <w:spacing w:line="288"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2B320908">
            <w:pPr>
              <w:keepNext/>
              <w:widowControl/>
              <w:spacing w:line="288" w:lineRule="auto"/>
              <w:ind w:firstLine="420" w:firstLineChars="200"/>
              <w:jc w:val="left"/>
              <w:rPr>
                <w:rFonts w:hint="eastAsia" w:ascii="仿宋" w:hAnsi="仿宋" w:eastAsia="仿宋" w:cs="仿宋"/>
                <w:color w:val="auto"/>
                <w:kern w:val="0"/>
                <w:szCs w:val="21"/>
                <w:highlight w:val="none"/>
                <w:u w:val="single"/>
                <w:shd w:val="clear" w:color="auto" w:fill="FFFFFF" w:themeFill="background1"/>
              </w:rPr>
            </w:pPr>
            <w:r>
              <w:rPr>
                <w:rFonts w:hint="eastAsia" w:ascii="仿宋" w:hAnsi="仿宋" w:eastAsia="仿宋" w:cs="仿宋"/>
                <w:color w:val="auto"/>
                <w:kern w:val="0"/>
                <w:szCs w:val="21"/>
                <w:highlight w:val="none"/>
              </w:rPr>
              <w:t>□允许分包,要求：</w:t>
            </w:r>
            <w:r>
              <w:rPr>
                <w:rFonts w:hint="eastAsia" w:ascii="仿宋" w:hAnsi="仿宋" w:eastAsia="仿宋" w:cs="仿宋"/>
                <w:color w:val="auto"/>
                <w:kern w:val="0"/>
                <w:szCs w:val="21"/>
                <w:highlight w:val="none"/>
                <w:u w:val="single"/>
              </w:rPr>
              <w:t xml:space="preserve"> / </w:t>
            </w:r>
          </w:p>
        </w:tc>
      </w:tr>
      <w:tr w14:paraId="20D98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5BDAC4A">
            <w:pPr>
              <w:spacing w:line="288"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19</w:t>
            </w:r>
          </w:p>
        </w:tc>
        <w:tc>
          <w:tcPr>
            <w:tcW w:w="1795" w:type="dxa"/>
            <w:vAlign w:val="center"/>
          </w:tcPr>
          <w:p w14:paraId="28873EDE">
            <w:pPr>
              <w:keepNext/>
              <w:widowControl/>
              <w:spacing w:line="288" w:lineRule="auto"/>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6688" w:type="dxa"/>
            <w:vAlign w:val="center"/>
          </w:tcPr>
          <w:p w14:paraId="6783960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1、采购文件中所述政策法规、标准规范等文件，如有新文件则按新文件执行，如已废止则仅为参考。</w:t>
            </w:r>
          </w:p>
          <w:p w14:paraId="3E1F5A0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2、供应商须根据采购文件要求在响应文件中提供评审所需的相应证明材料扫描件。</w:t>
            </w:r>
          </w:p>
          <w:p w14:paraId="53CE271F">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w:t>
            </w:r>
            <w:r>
              <w:rPr>
                <w:rFonts w:hint="eastAsia" w:ascii="仿宋" w:hAnsi="仿宋" w:eastAsia="仿宋" w:cs="仿宋"/>
                <w:color w:val="auto"/>
                <w:kern w:val="0"/>
                <w:szCs w:val="21"/>
                <w:highlight w:val="none"/>
              </w:rPr>
              <w:t>最低报价不能作为中标的保证。</w:t>
            </w:r>
          </w:p>
          <w:p w14:paraId="26BFA2E9">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shd w:val="clear" w:color="auto" w:fill="FFFFFF" w:themeFill="background1"/>
              </w:rPr>
              <w:t>4、</w:t>
            </w:r>
            <w:r>
              <w:rPr>
                <w:rFonts w:hint="eastAsia" w:ascii="仿宋" w:hAnsi="仿宋" w:eastAsia="仿宋" w:cs="仿宋"/>
                <w:color w:val="auto"/>
                <w:kern w:val="0"/>
                <w:szCs w:val="21"/>
                <w:highlight w:val="none"/>
              </w:rPr>
              <w:t>本表内容如与后文内容不一致处，以本表为准。</w:t>
            </w:r>
          </w:p>
        </w:tc>
      </w:tr>
    </w:tbl>
    <w:p w14:paraId="53E497C9">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5" w:name="_BookMark_3"/>
      <w:bookmarkEnd w:id="5"/>
      <w:r>
        <w:rPr>
          <w:rFonts w:hint="eastAsia" w:ascii="仿宋" w:hAnsi="仿宋" w:eastAsia="仿宋" w:cs="仿宋"/>
          <w:color w:val="auto"/>
          <w:kern w:val="0"/>
          <w:sz w:val="24"/>
          <w:szCs w:val="24"/>
          <w:highlight w:val="none"/>
          <w:shd w:val="clear" w:color="auto" w:fill="FFFFFF" w:themeFill="background1"/>
        </w:rPr>
        <w:br w:type="page"/>
      </w:r>
      <w:bookmarkStart w:id="6" w:name="_Toc32670"/>
      <w:r>
        <w:rPr>
          <w:rFonts w:hint="eastAsia" w:ascii="仿宋" w:hAnsi="仿宋" w:eastAsia="仿宋" w:cs="仿宋"/>
          <w:b/>
          <w:color w:val="auto"/>
          <w:sz w:val="24"/>
          <w:szCs w:val="24"/>
          <w:highlight w:val="none"/>
          <w:shd w:val="clear" w:color="auto" w:fill="FFFFFF" w:themeFill="background1"/>
        </w:rPr>
        <w:t>第一章 供应商须知</w:t>
      </w:r>
      <w:bookmarkEnd w:id="6"/>
      <w:bookmarkStart w:id="7" w:name="_BookMark_2"/>
      <w:bookmarkEnd w:id="7"/>
    </w:p>
    <w:p w14:paraId="039FCAA5">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8" w:name="_Toc6429"/>
      <w:r>
        <w:rPr>
          <w:rFonts w:hint="eastAsia" w:ascii="仿宋" w:hAnsi="仿宋" w:eastAsia="仿宋" w:cs="仿宋"/>
          <w:b/>
          <w:color w:val="auto"/>
          <w:sz w:val="24"/>
          <w:szCs w:val="24"/>
          <w:highlight w:val="none"/>
          <w:shd w:val="clear" w:color="auto" w:fill="FFFFFF" w:themeFill="background1"/>
        </w:rPr>
        <w:t>一、总则</w:t>
      </w:r>
      <w:bookmarkEnd w:id="8"/>
    </w:p>
    <w:p w14:paraId="242DE0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 采购项目概况</w:t>
      </w:r>
    </w:p>
    <w:p w14:paraId="0F0A70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1.1.1项目名称：见供应商须知前附表。</w:t>
      </w:r>
    </w:p>
    <w:p w14:paraId="1E79B5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1.1.2项目编号：见供应商须知前附表。</w:t>
      </w:r>
    </w:p>
    <w:p w14:paraId="3E464E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1.1.3采购人：见供应商须知前附表。</w:t>
      </w:r>
    </w:p>
    <w:p w14:paraId="2A4E823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1.1.4采购代理机构：见供应商须知前附表。</w:t>
      </w:r>
    </w:p>
    <w:p w14:paraId="20E525B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1.1.5项目地点：见供应商须知前附表。</w:t>
      </w:r>
    </w:p>
    <w:p w14:paraId="11E55C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1.1.6资金来源：见供应商须知前附表。</w:t>
      </w:r>
    </w:p>
    <w:p w14:paraId="272A38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1.1.7采购预算金额：见供应商须知前附表。</w:t>
      </w:r>
    </w:p>
    <w:p w14:paraId="19CC28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1.1.8最高限价：见供应商须知前附表。</w:t>
      </w:r>
    </w:p>
    <w:p w14:paraId="483F40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1.1.6合同履约期限：见供应商须知前附表。</w:t>
      </w:r>
    </w:p>
    <w:p w14:paraId="3D93342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1.1.10服务地点：见供应商须知前附表。</w:t>
      </w:r>
    </w:p>
    <w:p w14:paraId="53437B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1.2采购范围：见供应商须知前附表。</w:t>
      </w:r>
    </w:p>
    <w:p w14:paraId="5ED864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1.3 采购方式和资格审查方式</w:t>
      </w:r>
    </w:p>
    <w:p w14:paraId="2E9855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1.3.1 采购方式：见供应商须知前附表。</w:t>
      </w:r>
    </w:p>
    <w:p w14:paraId="25090C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1.3.2 资格审查方式：见供应商须知前附表。</w:t>
      </w:r>
    </w:p>
    <w:p w14:paraId="6725BA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1.4 评审办法及定标方法</w:t>
      </w:r>
    </w:p>
    <w:p w14:paraId="2D6BB10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1.4.1 评审办法：见供应商须知前附表。</w:t>
      </w:r>
    </w:p>
    <w:p w14:paraId="1773C7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1.4.2 定标方法：见供应商须知前附表。</w:t>
      </w:r>
    </w:p>
    <w:p w14:paraId="4FB428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1.5 供应商的资格要求：见供应商须知前附表。</w:t>
      </w:r>
    </w:p>
    <w:p w14:paraId="4D902CE1">
      <w:pPr>
        <w:widowControl/>
        <w:shd w:val="clear" w:color="auto" w:fill="FFFFFF"/>
        <w:snapToGrid w:val="0"/>
        <w:spacing w:line="360" w:lineRule="auto"/>
        <w:ind w:firstLine="480" w:firstLineChars="200"/>
        <w:rPr>
          <w:rFonts w:hint="eastAsia" w:ascii="仿宋" w:hAnsi="仿宋" w:eastAsia="仿宋" w:cs="仿宋"/>
          <w:b/>
          <w:bCs/>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1.6 供应商不得存在的情形：见供应商须知前附表。</w:t>
      </w:r>
    </w:p>
    <w:p w14:paraId="2F168CF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1.7费用承担</w:t>
      </w:r>
    </w:p>
    <w:p w14:paraId="0F2B397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1.7.1采购文件费：见供应商须知前附表。</w:t>
      </w:r>
    </w:p>
    <w:p w14:paraId="0848AA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1.7.2供应商应承担其编制响应文件与递交响应文件所涉及的一切费用，无论响应结果如何，采购人及采购代理机构对上述费用不作任何补偿。代理服务费由成交供应商支付。</w:t>
      </w:r>
    </w:p>
    <w:p w14:paraId="66D31DD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1.8响应保证金：见供应商须知前附表。</w:t>
      </w:r>
    </w:p>
    <w:p w14:paraId="4C2DB5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1.9现场踏勘</w:t>
      </w:r>
    </w:p>
    <w:p w14:paraId="109B9F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1.9.1 供应商须知前附表规定组织踏勘现场的，采购人或采购代理机构按供应商须知前附表规定的时间、地点组织供应商踏勘项目现场。 </w:t>
      </w:r>
    </w:p>
    <w:p w14:paraId="3D4D1A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1.9.2 供应商踏勘现场发生的费用自理。</w:t>
      </w:r>
    </w:p>
    <w:p w14:paraId="51FD0F2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1.9.3 除采购人或采购代理机构的原因外，供应商自行负责在踏勘现场中所发生的人员伤亡和财产损失。</w:t>
      </w:r>
    </w:p>
    <w:p w14:paraId="743B801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1.9.4 采购人或采购代理机构在踏勘现场中介绍的项目有关情况，供应商在编制响应文件时参考，采购人或采购代理机构不对供应商据此作出的判断和决策负责。</w:t>
      </w:r>
    </w:p>
    <w:p w14:paraId="29AEF2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1.10 采购答疑</w:t>
      </w:r>
    </w:p>
    <w:p w14:paraId="378C10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1.10.1 供应商若有疑问，应按规定的时间、方式向采购人或采购代理机构提出，要求采购人对采购文件予以澄清。</w:t>
      </w:r>
    </w:p>
    <w:p w14:paraId="13673AF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1.10.2 采购人或采购代理机构将按规定的时间方式对供应商的疑问作出统一的解答。</w:t>
      </w:r>
    </w:p>
    <w:p w14:paraId="7A4D27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1.11响应文件份数：见供应商须知前附表。</w:t>
      </w:r>
    </w:p>
    <w:p w14:paraId="7CFD1E7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1.12响应文件递交：见供应商须知前附表。</w:t>
      </w:r>
    </w:p>
    <w:p w14:paraId="1587B00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1.13开启：见供应商须知前附表。</w:t>
      </w:r>
    </w:p>
    <w:p w14:paraId="1177BCF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1.14响应有效期：见供应商须知前附表。</w:t>
      </w:r>
    </w:p>
    <w:p w14:paraId="3998A50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1.15公告发布媒体：见供应商须知前附表。</w:t>
      </w:r>
    </w:p>
    <w:p w14:paraId="2FFF9C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1.16履约保证金：见供应商须知前附表。</w:t>
      </w:r>
    </w:p>
    <w:p w14:paraId="7C2341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1.17中小企业政策说明：见供应商须知前附表。</w:t>
      </w:r>
    </w:p>
    <w:p w14:paraId="6FA4E4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1.18是否允许分包：见供应商须知前附表。</w:t>
      </w:r>
    </w:p>
    <w:p w14:paraId="23E8C1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1.19保密</w:t>
      </w:r>
    </w:p>
    <w:p w14:paraId="3349339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参与采购活动的各方应当对采购文件和响应文件中的商业和技术等秘密保密，否则应当承担相应的法律责任。</w:t>
      </w:r>
    </w:p>
    <w:p w14:paraId="1A4E300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1.20语言文字</w:t>
      </w:r>
    </w:p>
    <w:p w14:paraId="449571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除专用术语外，与采购有关的语言均应当使用中文。必要时专用术语应附有中文注释。</w:t>
      </w:r>
    </w:p>
    <w:p w14:paraId="343050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1.21 计量单位</w:t>
      </w:r>
    </w:p>
    <w:p w14:paraId="3C8B763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所有计量均采用中华人民共和国法定计量单位。</w:t>
      </w:r>
    </w:p>
    <w:p w14:paraId="4D43E4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1.22 偏离</w:t>
      </w:r>
    </w:p>
    <w:p w14:paraId="40B1CE4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响应文件与采购文件某些要求产生偏离的，偏离应当符合采购文件规定的偏离范围和幅度。</w:t>
      </w:r>
    </w:p>
    <w:p w14:paraId="004381D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9" w:name="_Toc27496"/>
      <w:r>
        <w:rPr>
          <w:rFonts w:hint="eastAsia" w:ascii="仿宋" w:hAnsi="仿宋" w:eastAsia="仿宋" w:cs="仿宋"/>
          <w:b/>
          <w:color w:val="auto"/>
          <w:sz w:val="24"/>
          <w:szCs w:val="24"/>
          <w:highlight w:val="none"/>
          <w:shd w:val="clear" w:color="auto" w:fill="FFFFFF" w:themeFill="background1"/>
        </w:rPr>
        <w:t>二、采购文件</w:t>
      </w:r>
      <w:bookmarkEnd w:id="9"/>
    </w:p>
    <w:p w14:paraId="38D9CF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 采购文件的组成</w:t>
      </w:r>
    </w:p>
    <w:p w14:paraId="1703079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（1）磋商公告</w:t>
      </w:r>
    </w:p>
    <w:p w14:paraId="6A47C9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（2）供应商须知前附表</w:t>
      </w:r>
    </w:p>
    <w:p w14:paraId="5F00BD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（3）供应商须知</w:t>
      </w:r>
    </w:p>
    <w:p w14:paraId="3A7E064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（4）评审办法</w:t>
      </w:r>
    </w:p>
    <w:p w14:paraId="0FC319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4AAE541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（6）服务标准和要求；</w:t>
      </w:r>
    </w:p>
    <w:p w14:paraId="1CDD14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（7）响应文件格式；</w:t>
      </w:r>
    </w:p>
    <w:p w14:paraId="686C49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1D5694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根据本章第2.3款和第2.4款对采购文件所作的澄清、修改，构成采购文件的组成部分。</w:t>
      </w:r>
    </w:p>
    <w:p w14:paraId="1D8465B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 采购文件的获取</w:t>
      </w:r>
    </w:p>
    <w:p w14:paraId="7B3E7D6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凡有意参加并符合供应商须知前附表“供应商的资格要求”的供应商，均可获取采购文件。</w:t>
      </w:r>
    </w:p>
    <w:p w14:paraId="275E08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 采购文件的澄清</w:t>
      </w:r>
    </w:p>
    <w:p w14:paraId="5D874A3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2.3.1 供应商应当仔细阅读和检查采购文件的全部内容。如发现缺页或附件不全，应当及时向采购人提出，以便补齐。如有疑问，应当在供应商须知前附表规定的时间、方式向采购人提出，要求采购人对采购文件予以澄清。</w:t>
      </w:r>
    </w:p>
    <w:p w14:paraId="2A37462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2.3.2 采购文件的澄清将按照供应商须知前附表规定的时间、方式发布，但不指明澄清问题的来源。</w:t>
      </w:r>
    </w:p>
    <w:p w14:paraId="258BDB2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2.4采购文件的修改</w:t>
      </w:r>
    </w:p>
    <w:p w14:paraId="01643B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2.4.1 采购文件的修改将按照供应商须知前附表规定的时间、方式发布，但不指明澄清问题的来源。</w:t>
      </w:r>
    </w:p>
    <w:p w14:paraId="7D456B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2.4.2 在供应商须知前附表规定的截止时间前，无论出于何种原因，采购代理机构和采购人可主动地或在解答潜在供应商提出的澄清问题时对采购文件进行修改。</w:t>
      </w:r>
    </w:p>
    <w:p w14:paraId="6B3306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2.4.3 采购文件的修改部分是采购文件的组成部分对供应商具有约束力。</w:t>
      </w:r>
    </w:p>
    <w:p w14:paraId="1F7FD1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2.4.4 为使供应商准备响应文件时有充分时间对采购文件的修改部分进行研究，采购人可适当推迟响应截止期。</w:t>
      </w:r>
    </w:p>
    <w:p w14:paraId="059997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2.4.5 当采购人发放的采购文件及采购文件的答疑文件、修改文件、补充文件前后不一致，发生矛盾情况时，以最后发出的为准。</w:t>
      </w:r>
    </w:p>
    <w:p w14:paraId="704E5D4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2.4.6 如果采购文件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响应过程中未能发现并对有关歧义、矛盾或错误提出澄清请求，而在成交后发现并提出，成交供应商将必须接受由采购人依据合同有关条款而做出的书面澄清。</w:t>
      </w:r>
    </w:p>
    <w:p w14:paraId="095E6E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2.5由于本项目采用电子招标方式，潜在供应商的名单将在提交响应文件截止时间后才会解密。因此，采购人或采购代理机构无法通过传统的传真或邮件方式，将招标文件的澄清或修改内容逐一通知到每位已获取招标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06C5C7C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0" w:name="_BookMark_6"/>
      <w:bookmarkEnd w:id="10"/>
      <w:bookmarkStart w:id="11" w:name="_Toc994"/>
      <w:r>
        <w:rPr>
          <w:rFonts w:hint="eastAsia" w:ascii="仿宋" w:hAnsi="仿宋" w:eastAsia="仿宋" w:cs="仿宋"/>
          <w:b/>
          <w:color w:val="auto"/>
          <w:sz w:val="24"/>
          <w:szCs w:val="24"/>
          <w:highlight w:val="none"/>
          <w:shd w:val="clear" w:color="auto" w:fill="FFFFFF" w:themeFill="background1"/>
        </w:rPr>
        <w:t>三、响应文件</w:t>
      </w:r>
      <w:bookmarkEnd w:id="11"/>
    </w:p>
    <w:p w14:paraId="6C8D58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 响应文件的组成</w:t>
      </w:r>
    </w:p>
    <w:p w14:paraId="057817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3.1.1响应文件应包括下列内容：</w:t>
      </w:r>
    </w:p>
    <w:p w14:paraId="6B2D8AC4">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、开启一览表</w:t>
      </w:r>
    </w:p>
    <w:p w14:paraId="4D3160A9">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、响应函</w:t>
      </w:r>
    </w:p>
    <w:p w14:paraId="7A561D1D">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、响应价格明细表</w:t>
      </w:r>
    </w:p>
    <w:p w14:paraId="54A7ED0D">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、商务条款偏离表</w:t>
      </w:r>
    </w:p>
    <w:p w14:paraId="493DEDF4">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、技术条款偏离表</w:t>
      </w:r>
    </w:p>
    <w:p w14:paraId="67DE887F">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、法定代表人身份证明书</w:t>
      </w:r>
    </w:p>
    <w:p w14:paraId="5F276EB0">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、法定代表人授权委托书</w:t>
      </w:r>
    </w:p>
    <w:p w14:paraId="06CE4E20">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、供应商资格条件证明材料</w:t>
      </w:r>
    </w:p>
    <w:p w14:paraId="3397E297">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、供应商近年类似项目情况表</w:t>
      </w:r>
    </w:p>
    <w:p w14:paraId="64DC80D6">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、项目负责人简历表</w:t>
      </w:r>
    </w:p>
    <w:p w14:paraId="7A47849B">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、拟派主要服务人员情况表</w:t>
      </w:r>
    </w:p>
    <w:p w14:paraId="24B7199C">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、服务方案</w:t>
      </w:r>
    </w:p>
    <w:p w14:paraId="1F5E2D59">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、保证金缴纳证明材料</w:t>
      </w:r>
    </w:p>
    <w:p w14:paraId="7AFE613B">
      <w:pPr>
        <w:widowControl/>
        <w:numPr>
          <w:ilvl w:val="0"/>
          <w:numId w:val="1"/>
        </w:numPr>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、其它需要提交的资料</w:t>
      </w:r>
    </w:p>
    <w:p w14:paraId="0BE513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 响应价格</w:t>
      </w:r>
    </w:p>
    <w:p w14:paraId="6E2D44C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 供应商应当按第四章“服务标准和要求”的规定进行报价，并填写第五章“响应文件格式”中的响应价格明细表。</w:t>
      </w:r>
    </w:p>
    <w:p w14:paraId="59B42D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3.2.2本次磋商采用二轮报价法，第二轮报价时长由磋商小组成员根据现场情况设定，供应商必须在规定时间内报价，超时无效；若供应商未进行第二轮报价，视为放弃响应资格；其响应无效；不在参与后续评审。</w:t>
      </w:r>
    </w:p>
    <w:p w14:paraId="703901D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3.2.3供应商递交的响应文件中的报价为第一轮报价，第一轮报价与第二轮报价超出本项目最高限价的视为无效磋商。</w:t>
      </w:r>
    </w:p>
    <w:p w14:paraId="560845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3.2.4供应商提供的服务一律用人民币报价。</w:t>
      </w:r>
    </w:p>
    <w:p w14:paraId="166AF2B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3.2.5供应商的服务只允许有一个报价，采购人不接受有任何选择的报价。响应价格应包括供应商履行本项目合同（如果成交）所必须的所有成本费用和成交供应商应承担的一切费用，包括但不仅限于必要资料、交通、保险、人工费、税费等一切费用。未列和没有填写的项目费用，采购人将视为已包括在响应价格中。</w:t>
      </w:r>
    </w:p>
    <w:p w14:paraId="1FEEFC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 响应有效期</w:t>
      </w:r>
    </w:p>
    <w:p w14:paraId="2E5F4A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3.3.1 在供应商须知前附表规定的响应有效期内，供应商不得要求撤销或修改其响应文件。</w:t>
      </w:r>
    </w:p>
    <w:p w14:paraId="18C5031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3.3.2 出现特殊情况需要延长响应有效期的，采购人将通知所有供应商延长响应有效期。供应商同意延长的，应当相应延长其响应保证金的有效期，但不得要求或被允许修改或撤销其响应文件；供应商拒绝延长的，其响应失效，但供应商有权收回其响应保证金。 </w:t>
      </w:r>
    </w:p>
    <w:p w14:paraId="591496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 响应保证金</w:t>
      </w:r>
    </w:p>
    <w:p w14:paraId="05D0EEE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 供应商应于响应文件递交截止时间前按供应商须知前附表规定数额提交响应保证金。未提交响应保证金的，将被视为非响应性响应而予以拒绝。联合体磋商响应的，其响应保证金由牵头人递交，并应符合供应商须知前附表的规定。</w:t>
      </w:r>
    </w:p>
    <w:p w14:paraId="3B699EC8">
      <w:pPr>
        <w:widowControl/>
        <w:shd w:val="clear" w:color="auto" w:fill="FFFFFF"/>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w:t>
      </w:r>
      <w:r>
        <w:rPr>
          <w:rFonts w:hint="eastAsia" w:ascii="仿宋" w:hAnsi="仿宋" w:eastAsia="仿宋" w:cs="仿宋"/>
          <w:color w:val="auto"/>
          <w:sz w:val="24"/>
          <w:szCs w:val="24"/>
          <w:highlight w:val="none"/>
          <w:shd w:val="clear" w:color="auto" w:fill="FFFFFF" w:themeFill="background1"/>
        </w:rPr>
        <w:t>响应保证金以支票、汇票、本票或者金融机构、担保机构出具的保函等非现金形式提交至采购代理机构。</w:t>
      </w:r>
    </w:p>
    <w:p w14:paraId="5DFD45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 响应保证金是为了保护采购人免遭因供应商的行为而蒙受损失。采购人在因供应商的行为受到损害时可根据相关法律规定没收供应商的响应保证金。</w:t>
      </w:r>
    </w:p>
    <w:p w14:paraId="585E7B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3.4.4 采购人或者采购代理机构应当自成交通知书发出之日起5个工作日内退还未成交供应商的响应保证金，自采购合同签订之日起5个工作日内退还成交供应商的响应保证金。</w:t>
      </w:r>
    </w:p>
    <w:p w14:paraId="3BB23A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3.4.5响应保证金有效期与响应有效期一致。</w:t>
      </w:r>
    </w:p>
    <w:p w14:paraId="3F81C12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3.4.6有下列情形之一的，响应保证金不予退还：</w:t>
      </w:r>
    </w:p>
    <w:p w14:paraId="6FDC12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（1）供应商在规定的响应有效期内撤销或修改其响应文件的；</w:t>
      </w:r>
    </w:p>
    <w:p w14:paraId="68B3BD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（2）成交供应商在收到成交通知书后，无正当理由拒签合同协议书或在签订合同时提出附加条件或者更改合同实质性内容的；</w:t>
      </w:r>
    </w:p>
    <w:p w14:paraId="527597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（3）未按采购文件规定提交履约保证金的。</w:t>
      </w:r>
    </w:p>
    <w:p w14:paraId="043FBC6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2" w:name="_BookMark_7"/>
      <w:bookmarkEnd w:id="12"/>
      <w:bookmarkStart w:id="13" w:name="_Toc139809021"/>
      <w:bookmarkStart w:id="14" w:name="_Toc10597"/>
      <w:r>
        <w:rPr>
          <w:rFonts w:hint="eastAsia" w:ascii="仿宋" w:hAnsi="仿宋" w:eastAsia="仿宋" w:cs="仿宋"/>
          <w:color w:val="auto"/>
          <w:kern w:val="0"/>
          <w:sz w:val="24"/>
          <w:szCs w:val="24"/>
          <w:highlight w:val="none"/>
          <w:shd w:val="clear" w:color="auto" w:fill="FFFFFF" w:themeFill="background1"/>
        </w:rPr>
        <w:t>3.5 响应文件的编制</w:t>
      </w:r>
    </w:p>
    <w:p w14:paraId="1C2B29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3.5.1响应文件应按第五章“响应文件格式”进行编写，如有必要，可以增加附页，作为响应文件的组成部分。</w:t>
      </w:r>
    </w:p>
    <w:p w14:paraId="3ED8D1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3.5.2响应文件应当对采购文件有关采购范围、技术与服务要求等实质性内容做出响应。</w:t>
      </w:r>
    </w:p>
    <w:p w14:paraId="1EDC01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3.5.3电子响应文件使用政采云平台响应文件制作工具以及采购文件要求进行制作编制。响应文件制作时，按照采购文件中明确的响应文件目录和格式进行编制，保证目录清晰、内容完整。</w:t>
      </w:r>
    </w:p>
    <w:p w14:paraId="792CF17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招响应文件具有法律效力，与其他形式的招响应文件在内容和格式上等同，若响应文件与招标文件要求不一致，其内容影响成交结果时，责任由供应商自行承担。供应商递交的电子响应文件因供应商自身原因而导致无法导入电子辅助评标系统，该响应文件视为无效响应文件，将导致其投标被拒绝</w:t>
      </w:r>
      <w:r>
        <w:rPr>
          <w:rFonts w:hint="eastAsia" w:ascii="仿宋" w:hAnsi="仿宋" w:eastAsia="仿宋" w:cs="仿宋"/>
          <w:color w:val="auto"/>
          <w:sz w:val="24"/>
          <w:highlight w:val="none"/>
          <w:shd w:val="clear" w:color="auto" w:fill="FFFFFF" w:themeFill="background1"/>
        </w:rPr>
        <w:t>。</w:t>
      </w:r>
    </w:p>
    <w:p w14:paraId="4C39957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5" w:name="_Toc2388"/>
      <w:r>
        <w:rPr>
          <w:rFonts w:hint="eastAsia" w:ascii="仿宋" w:hAnsi="仿宋" w:eastAsia="仿宋" w:cs="仿宋"/>
          <w:b/>
          <w:color w:val="auto"/>
          <w:sz w:val="24"/>
          <w:szCs w:val="24"/>
          <w:highlight w:val="none"/>
          <w:shd w:val="clear" w:color="auto" w:fill="FFFFFF" w:themeFill="background1"/>
        </w:rPr>
        <w:t>四、</w:t>
      </w:r>
      <w:bookmarkEnd w:id="13"/>
      <w:r>
        <w:rPr>
          <w:rFonts w:hint="eastAsia" w:ascii="仿宋" w:hAnsi="仿宋" w:eastAsia="仿宋" w:cs="仿宋"/>
          <w:b/>
          <w:color w:val="auto"/>
          <w:sz w:val="24"/>
          <w:szCs w:val="24"/>
          <w:highlight w:val="none"/>
          <w:shd w:val="clear" w:color="auto" w:fill="FFFFFF" w:themeFill="background1"/>
        </w:rPr>
        <w:t>响应</w:t>
      </w:r>
      <w:bookmarkEnd w:id="15"/>
    </w:p>
    <w:p w14:paraId="5828BC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4.1本次采购采用电子交易方式，电子交易平台为“政采云平台（https://www.zcygov.cn/）”。供应商参与本项目电子交易活动前，应注册成为政府采购云平台供应商。编制电子响应文件前还需申领CA证书并绑定帐号。供应商应充分考虑完成平台注册、申领CA证书等所需的时间。因未注册入库、未办理CA数字证书等原因造成无法响应或响应失败等后果由供应商自行承担。 </w:t>
      </w:r>
    </w:p>
    <w:p w14:paraId="2DC4BCD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6F8D289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4.3响应文件的递交</w:t>
      </w:r>
    </w:p>
    <w:p w14:paraId="155B3A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4.3.1加密的电子响应文件应在响应文件递交截止时间前通过政采云平台上传完成。逾期上传或者未上传指定地点的响应文件，采购人不予受理。</w:t>
      </w:r>
    </w:p>
    <w:p w14:paraId="67E677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4.3.2采购人事先约定延长响应文件递交截止时间的，采购人与供应商以前的响应截止期方面的全部权利、责任和义务，将适用延长至新的响应截止期。</w:t>
      </w:r>
    </w:p>
    <w:p w14:paraId="0F91D0B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4.3.3供应商或其响应文件存在下列情形之一的，采购人对其响应文件不予受理：</w:t>
      </w:r>
    </w:p>
    <w:p w14:paraId="680034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（1）逾期上传的响应文件；</w:t>
      </w:r>
    </w:p>
    <w:p w14:paraId="6AE431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（2）未按本章第4.3.1款要求加密的响应文件。</w:t>
      </w:r>
    </w:p>
    <w:p w14:paraId="4F3B15A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6" w:name="_BookMark_8"/>
      <w:bookmarkEnd w:id="16"/>
      <w:r>
        <w:rPr>
          <w:rFonts w:hint="eastAsia" w:ascii="仿宋" w:hAnsi="仿宋" w:eastAsia="仿宋" w:cs="仿宋"/>
          <w:color w:val="auto"/>
          <w:kern w:val="0"/>
          <w:sz w:val="24"/>
          <w:szCs w:val="24"/>
          <w:highlight w:val="none"/>
          <w:shd w:val="clear" w:color="auto" w:fill="FFFFFF" w:themeFill="background1"/>
        </w:rPr>
        <w:t>4.4响应文件的修改与撤回</w:t>
      </w:r>
    </w:p>
    <w:p w14:paraId="28BA24E6">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4.4.1</w:t>
      </w:r>
      <w:r>
        <w:rPr>
          <w:rFonts w:hint="eastAsia" w:ascii="仿宋" w:hAnsi="仿宋" w:eastAsia="仿宋" w:cs="仿宋"/>
          <w:color w:val="auto"/>
          <w:sz w:val="24"/>
          <w:highlight w:val="none"/>
          <w:shd w:val="clear" w:color="auto" w:fill="FFFFFF" w:themeFill="background1"/>
        </w:rPr>
        <w:t>供应商应在供应商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082649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4.5响应文件格式</w:t>
      </w:r>
    </w:p>
    <w:p w14:paraId="3FE7F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4.5.1响应文件格式见第五章。</w:t>
      </w:r>
    </w:p>
    <w:p w14:paraId="40B2188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4.5.2供应商应使用本采购文件后面提供的响应文件格式填写，如不够用时，供应商可按同样格式自行编制和填补，如果本采购文件未提供格式的，供应商可自行编制。</w:t>
      </w:r>
    </w:p>
    <w:bookmarkEnd w:id="14"/>
    <w:p w14:paraId="0B6383C1">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7" w:name="_Toc16294"/>
      <w:r>
        <w:rPr>
          <w:rFonts w:hint="eastAsia" w:ascii="仿宋" w:hAnsi="仿宋" w:eastAsia="仿宋" w:cs="仿宋"/>
          <w:b/>
          <w:color w:val="auto"/>
          <w:sz w:val="24"/>
          <w:szCs w:val="24"/>
          <w:highlight w:val="none"/>
          <w:shd w:val="clear" w:color="auto" w:fill="FFFFFF" w:themeFill="background1"/>
        </w:rPr>
        <w:t>五、开启</w:t>
      </w:r>
      <w:bookmarkEnd w:id="17"/>
    </w:p>
    <w:p w14:paraId="03C24A00">
      <w:pPr>
        <w:spacing w:line="360" w:lineRule="auto"/>
        <w:ind w:firstLine="480" w:firstLineChars="200"/>
        <w:rPr>
          <w:rFonts w:hint="eastAsia" w:ascii="仿宋" w:hAnsi="仿宋" w:eastAsia="仿宋" w:cs="仿宋"/>
          <w:color w:val="auto"/>
          <w:sz w:val="24"/>
          <w:szCs w:val="28"/>
          <w:highlight w:val="none"/>
        </w:rPr>
      </w:pPr>
      <w:bookmarkStart w:id="18" w:name="_BookMark_9"/>
      <w:bookmarkEnd w:id="18"/>
      <w:r>
        <w:rPr>
          <w:rFonts w:hint="eastAsia" w:ascii="仿宋" w:hAnsi="仿宋" w:eastAsia="仿宋" w:cs="仿宋"/>
          <w:color w:val="auto"/>
          <w:sz w:val="24"/>
          <w:szCs w:val="28"/>
          <w:highlight w:val="none"/>
        </w:rPr>
        <w:t>5.1开启时间和地点</w:t>
      </w:r>
    </w:p>
    <w:p w14:paraId="4F9D8F08">
      <w:pPr>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采购人在供应商须知前附表规定的时间、地点开启，并邀请所有供应商的法定代表人或其授权委托人参加。</w:t>
      </w:r>
    </w:p>
    <w:p w14:paraId="6A85061D">
      <w:pPr>
        <w:widowControl/>
        <w:shd w:val="clear" w:color="auto" w:fill="FFFFFF"/>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sz w:val="24"/>
          <w:highlight w:val="none"/>
        </w:rPr>
        <w:t>各供应商应对本单位的加密的电子响应文件网上解密，采购代理机构工作人员在监督人员监督下开启所有响应文件。</w:t>
      </w:r>
    </w:p>
    <w:p w14:paraId="0C48691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注：根据政府采购法及有关政策规定，竞争性磋商采购方式不能公开供应商的技术资料、价格和其他信息，因此对于上述内容不予唱标。</w:t>
      </w:r>
    </w:p>
    <w:p w14:paraId="50F3858B">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9" w:name="_Toc10172"/>
      <w:r>
        <w:rPr>
          <w:rFonts w:hint="eastAsia" w:ascii="仿宋" w:hAnsi="仿宋" w:eastAsia="仿宋" w:cs="仿宋"/>
          <w:b/>
          <w:color w:val="auto"/>
          <w:sz w:val="24"/>
          <w:szCs w:val="24"/>
          <w:highlight w:val="none"/>
          <w:shd w:val="clear" w:color="auto" w:fill="FFFFFF" w:themeFill="background1"/>
        </w:rPr>
        <w:t>六、评审</w:t>
      </w:r>
      <w:bookmarkEnd w:id="19"/>
    </w:p>
    <w:p w14:paraId="295713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 磋商小组</w:t>
      </w:r>
    </w:p>
    <w:p w14:paraId="0C96750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6.1.1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031333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6.2 评审原则 </w:t>
      </w:r>
    </w:p>
    <w:p w14:paraId="12B9FF0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评审活动遵循公平、公正、科学和择优的原则。</w:t>
      </w:r>
    </w:p>
    <w:p w14:paraId="047983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6.3 评审</w:t>
      </w:r>
    </w:p>
    <w:p w14:paraId="44B827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磋商小组按照采购文件中规定的方法、评审因素、标准和程序对响应文件进行评审。</w:t>
      </w:r>
    </w:p>
    <w:p w14:paraId="67CAF9A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0" w:name="_BookMark_10"/>
      <w:bookmarkEnd w:id="20"/>
      <w:bookmarkStart w:id="21" w:name="_Toc113902767"/>
      <w:bookmarkStart w:id="22" w:name="_Toc1096"/>
      <w:r>
        <w:rPr>
          <w:rFonts w:hint="eastAsia" w:ascii="仿宋" w:hAnsi="仿宋" w:eastAsia="仿宋" w:cs="仿宋"/>
          <w:b/>
          <w:color w:val="auto"/>
          <w:sz w:val="24"/>
          <w:szCs w:val="24"/>
          <w:highlight w:val="none"/>
          <w:shd w:val="clear" w:color="auto" w:fill="FFFFFF" w:themeFill="background1"/>
        </w:rPr>
        <w:t>七、定标及合同授予</w:t>
      </w:r>
      <w:bookmarkEnd w:id="21"/>
      <w:bookmarkEnd w:id="22"/>
    </w:p>
    <w:p w14:paraId="70D8072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 定标方法</w:t>
      </w:r>
    </w:p>
    <w:p w14:paraId="2A96752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691A00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磋商小组按照招标文件中规定的方法、评标因素、标准和程序对响应文件进行评标，并按供应商须知前附表的规定向采购人推荐成交候选人。采购人依据磋商小组推荐的成交候选人确定成交供应商。</w:t>
      </w:r>
    </w:p>
    <w:p w14:paraId="258AC3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7.1.2采购人从成交候选人中确定出成交供应商的原则：采购人应当确定排名第一的成交候选人为成交供应商。排名第一的成交候选人放弃成交、因不可抗力不能履行合同、拒绝与采购人签订合同，不按照招标文件要求提交履约保证金、或者被查实存在影响成交结果的违法行为等情形，不符合成交条件的，采购人可以按照磋商小组推荐的成交候选人名单排名依次确定其他成交候选人为成交供应商。</w:t>
      </w:r>
    </w:p>
    <w:p w14:paraId="57696F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7.2成交结果公告</w:t>
      </w:r>
    </w:p>
    <w:p w14:paraId="02F5363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在公告成交结果的同时，采购人或者采购代理机构向成交供应商发出成交通知书；对未通过资格审查的供应商，应当告知其未通过的原因。</w:t>
      </w:r>
    </w:p>
    <w:p w14:paraId="142DE0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F05C1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在签订合同前，成交供应商应按供应商须知前附表规定的金额、形式向采购人提交履约保证金。联合体成交的，其履约保证金由牵头人提交，并应符合供应商须知前附表的规定。</w:t>
      </w:r>
    </w:p>
    <w:p w14:paraId="5ADD61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成交供应商未按要求提交履约保证金的，视为放弃成交，其响应保证金不予退还；给采购人造成的损失超过响应保证金数额的，成交供应商还应当对超过部分予以赔偿。</w:t>
      </w:r>
    </w:p>
    <w:p w14:paraId="79F844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445C13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7.4.1采购人应当自成交通知书发出之日起30日内，按照招标文件和成交供应商响应文件的规定，与成交供应商签订书面合同。</w:t>
      </w:r>
    </w:p>
    <w:p w14:paraId="1B5821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7.4.2发出成交通知书后，采购人无正当理由拒签合同的，给成交供应商造成损失的，还应当赔偿成交供应商损失。</w:t>
      </w:r>
    </w:p>
    <w:p w14:paraId="1F10C78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7.4.3发出成交通知书后，成交供应商无正当理由拒签合同的，采购人将取消其成交资格，其响应保证金不予退还；给采购人造成的损失超过响应保证金数额的，成交供应商还应当对超过部分予以赔偿。</w:t>
      </w:r>
    </w:p>
    <w:p w14:paraId="61C2A2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7.4.4 成交供应商拒绝与采购人签订合同的，采购人可以按照评标报告推荐的成交候选人名单排序，确定下一候选人为成交供应商，也可以重新开展政府采购活动。</w:t>
      </w:r>
    </w:p>
    <w:p w14:paraId="02CE3A7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3" w:name="_BookMark_11"/>
      <w:bookmarkEnd w:id="23"/>
      <w:bookmarkStart w:id="24" w:name="_Toc22638"/>
      <w:r>
        <w:rPr>
          <w:rFonts w:hint="eastAsia" w:ascii="仿宋" w:hAnsi="仿宋" w:eastAsia="仿宋" w:cs="仿宋"/>
          <w:b/>
          <w:color w:val="auto"/>
          <w:sz w:val="24"/>
          <w:szCs w:val="24"/>
          <w:highlight w:val="none"/>
          <w:shd w:val="clear" w:color="auto" w:fill="FFFFFF" w:themeFill="background1"/>
        </w:rPr>
        <w:t>八、纪律和监督</w:t>
      </w:r>
      <w:bookmarkEnd w:id="24"/>
    </w:p>
    <w:p w14:paraId="3CA688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 对采购人的纪律要求</w:t>
      </w:r>
    </w:p>
    <w:p w14:paraId="5BCAC9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采购人不得泄漏采购活动中应当保密的情况和资料，不得与供应商串通损害国家利益、社会公共利益或者他人合法权益。</w:t>
      </w:r>
    </w:p>
    <w:p w14:paraId="0D95CA2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 对供应商的纪律要求</w:t>
      </w:r>
    </w:p>
    <w:p w14:paraId="4679E4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响应或者与采购人串通响应，不得向采购人或者磋商小组成员行贿谋取中标（成交），不得以他人名义响应或者以其他方式弄虚作假骗取中标（成交）；供应商不得以任何方式干扰、影响评审工作。</w:t>
      </w:r>
    </w:p>
    <w:p w14:paraId="4D43FA5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 对磋商小组成员的纪律要求</w:t>
      </w:r>
    </w:p>
    <w:p w14:paraId="43E84C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41BA64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 对与评审活动有关的工作人员的纪律要求</w:t>
      </w:r>
    </w:p>
    <w:p w14:paraId="26A0959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79988E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 监督</w:t>
      </w:r>
    </w:p>
    <w:p w14:paraId="6C9B4A72">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本项目的采购活动及其相关当事人应当接受有管辖权的监督部门依法实施的监督。</w:t>
      </w:r>
      <w:bookmarkStart w:id="25" w:name="_BookMark_12"/>
      <w:bookmarkEnd w:id="25"/>
    </w:p>
    <w:p w14:paraId="1C83F991">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0E09F6C9">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26" w:name="_Toc26123"/>
      <w:r>
        <w:rPr>
          <w:rFonts w:hint="eastAsia" w:ascii="仿宋" w:hAnsi="仿宋" w:eastAsia="仿宋" w:cs="仿宋"/>
          <w:b/>
          <w:color w:val="auto"/>
          <w:sz w:val="24"/>
          <w:szCs w:val="24"/>
          <w:highlight w:val="none"/>
          <w:shd w:val="clear" w:color="auto" w:fill="FFFFFF" w:themeFill="background1"/>
        </w:rPr>
        <w:t>第二章 评审办法</w:t>
      </w:r>
      <w:bookmarkEnd w:id="26"/>
    </w:p>
    <w:p w14:paraId="2F4D3EF5">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27" w:name="_BookMark_1"/>
      <w:bookmarkEnd w:id="27"/>
      <w:bookmarkStart w:id="28" w:name="_Toc2233"/>
      <w:bookmarkStart w:id="29" w:name="_Toc501719166"/>
      <w:r>
        <w:rPr>
          <w:rFonts w:hint="eastAsia" w:ascii="仿宋" w:hAnsi="仿宋" w:eastAsia="仿宋" w:cs="仿宋"/>
          <w:b/>
          <w:color w:val="auto"/>
          <w:sz w:val="24"/>
          <w:szCs w:val="24"/>
          <w:highlight w:val="none"/>
          <w:shd w:val="clear" w:color="auto" w:fill="FFFFFF" w:themeFill="background1"/>
        </w:rPr>
        <w:t>评审办法前附表</w:t>
      </w:r>
      <w:bookmarkEnd w:id="28"/>
    </w:p>
    <w:tbl>
      <w:tblPr>
        <w:tblStyle w:val="43"/>
        <w:tblpPr w:leftFromText="180" w:rightFromText="180" w:vertAnchor="text" w:horzAnchor="page" w:tblpX="1359" w:tblpY="455"/>
        <w:tblOverlap w:val="never"/>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0"/>
        <w:gridCol w:w="2770"/>
        <w:gridCol w:w="5832"/>
      </w:tblGrid>
      <w:tr w14:paraId="037E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trPr>
        <w:tc>
          <w:tcPr>
            <w:tcW w:w="610" w:type="dxa"/>
            <w:tcMar>
              <w:top w:w="0" w:type="dxa"/>
              <w:left w:w="28" w:type="dxa"/>
              <w:bottom w:w="0" w:type="dxa"/>
              <w:right w:w="28" w:type="dxa"/>
            </w:tcMar>
            <w:vAlign w:val="center"/>
          </w:tcPr>
          <w:p w14:paraId="417510D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2770" w:type="dxa"/>
            <w:tcMar>
              <w:top w:w="0" w:type="dxa"/>
              <w:left w:w="28" w:type="dxa"/>
              <w:bottom w:w="0" w:type="dxa"/>
              <w:right w:w="28" w:type="dxa"/>
            </w:tcMar>
            <w:vAlign w:val="center"/>
          </w:tcPr>
          <w:p w14:paraId="4314387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条款内容</w:t>
            </w:r>
          </w:p>
        </w:tc>
        <w:tc>
          <w:tcPr>
            <w:tcW w:w="5832" w:type="dxa"/>
            <w:tcMar>
              <w:top w:w="0" w:type="dxa"/>
              <w:left w:w="28" w:type="dxa"/>
              <w:bottom w:w="0" w:type="dxa"/>
              <w:right w:w="28" w:type="dxa"/>
            </w:tcMar>
            <w:vAlign w:val="center"/>
          </w:tcPr>
          <w:p w14:paraId="79C7DD3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编列内容</w:t>
            </w:r>
          </w:p>
        </w:tc>
      </w:tr>
      <w:tr w14:paraId="2A72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trPr>
        <w:tc>
          <w:tcPr>
            <w:tcW w:w="610" w:type="dxa"/>
            <w:tcMar>
              <w:top w:w="0" w:type="dxa"/>
              <w:left w:w="28" w:type="dxa"/>
              <w:bottom w:w="0" w:type="dxa"/>
              <w:right w:w="28" w:type="dxa"/>
            </w:tcMar>
            <w:vAlign w:val="center"/>
          </w:tcPr>
          <w:p w14:paraId="21D98F8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2770" w:type="dxa"/>
            <w:tcMar>
              <w:top w:w="0" w:type="dxa"/>
              <w:left w:w="28" w:type="dxa"/>
              <w:bottom w:w="0" w:type="dxa"/>
              <w:right w:w="28" w:type="dxa"/>
            </w:tcMar>
            <w:vAlign w:val="center"/>
          </w:tcPr>
          <w:p w14:paraId="3263D27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分值构成及权重</w:t>
            </w:r>
          </w:p>
          <w:p w14:paraId="3A8DB6FC">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(总分100分)</w:t>
            </w:r>
          </w:p>
        </w:tc>
        <w:tc>
          <w:tcPr>
            <w:tcW w:w="5832" w:type="dxa"/>
            <w:tcMar>
              <w:top w:w="0" w:type="dxa"/>
              <w:left w:w="28" w:type="dxa"/>
              <w:bottom w:w="0" w:type="dxa"/>
              <w:right w:w="28" w:type="dxa"/>
            </w:tcMar>
            <w:vAlign w:val="center"/>
          </w:tcPr>
          <w:p w14:paraId="69B1AB46">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1.详细评审部分70分</w:t>
            </w:r>
          </w:p>
          <w:p w14:paraId="60049271">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2.响应报价部分30分</w:t>
            </w:r>
          </w:p>
        </w:tc>
      </w:tr>
      <w:tr w14:paraId="4670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trPr>
        <w:tc>
          <w:tcPr>
            <w:tcW w:w="610" w:type="dxa"/>
            <w:tcMar>
              <w:top w:w="0" w:type="dxa"/>
              <w:left w:w="28" w:type="dxa"/>
              <w:bottom w:w="0" w:type="dxa"/>
              <w:right w:w="28" w:type="dxa"/>
            </w:tcMar>
            <w:vAlign w:val="center"/>
          </w:tcPr>
          <w:p w14:paraId="128CE0F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2770" w:type="dxa"/>
            <w:tcMar>
              <w:top w:w="0" w:type="dxa"/>
              <w:left w:w="28" w:type="dxa"/>
              <w:bottom w:w="0" w:type="dxa"/>
              <w:right w:w="28" w:type="dxa"/>
            </w:tcMar>
            <w:vAlign w:val="center"/>
          </w:tcPr>
          <w:p w14:paraId="419E3F3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资格审查</w:t>
            </w:r>
          </w:p>
        </w:tc>
        <w:tc>
          <w:tcPr>
            <w:tcW w:w="5832" w:type="dxa"/>
            <w:tcMar>
              <w:top w:w="0" w:type="dxa"/>
              <w:left w:w="28" w:type="dxa"/>
              <w:bottom w:w="0" w:type="dxa"/>
              <w:right w:w="28" w:type="dxa"/>
            </w:tcMar>
            <w:vAlign w:val="center"/>
          </w:tcPr>
          <w:p w14:paraId="6EEAF2C5">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详见《资格审查标准》</w:t>
            </w:r>
          </w:p>
        </w:tc>
      </w:tr>
      <w:tr w14:paraId="0DA8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1" w:hRule="atLeast"/>
        </w:trPr>
        <w:tc>
          <w:tcPr>
            <w:tcW w:w="610" w:type="dxa"/>
            <w:tcMar>
              <w:top w:w="0" w:type="dxa"/>
              <w:left w:w="28" w:type="dxa"/>
              <w:bottom w:w="0" w:type="dxa"/>
              <w:right w:w="28" w:type="dxa"/>
            </w:tcMar>
            <w:vAlign w:val="center"/>
          </w:tcPr>
          <w:p w14:paraId="60ADDF3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2770" w:type="dxa"/>
            <w:tcMar>
              <w:top w:w="0" w:type="dxa"/>
              <w:left w:w="28" w:type="dxa"/>
              <w:bottom w:w="0" w:type="dxa"/>
              <w:right w:w="28" w:type="dxa"/>
            </w:tcMar>
            <w:vAlign w:val="center"/>
          </w:tcPr>
          <w:p w14:paraId="0958E6E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完备性及符合性审查</w:t>
            </w:r>
          </w:p>
        </w:tc>
        <w:tc>
          <w:tcPr>
            <w:tcW w:w="5832" w:type="dxa"/>
            <w:tcMar>
              <w:top w:w="0" w:type="dxa"/>
              <w:left w:w="28" w:type="dxa"/>
              <w:bottom w:w="0" w:type="dxa"/>
              <w:right w:w="28" w:type="dxa"/>
            </w:tcMar>
            <w:vAlign w:val="center"/>
          </w:tcPr>
          <w:p w14:paraId="329EB596">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详见《完备性及符合性审查标准》</w:t>
            </w:r>
          </w:p>
        </w:tc>
      </w:tr>
      <w:tr w14:paraId="133F1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1" w:hRule="atLeast"/>
        </w:trPr>
        <w:tc>
          <w:tcPr>
            <w:tcW w:w="610" w:type="dxa"/>
            <w:tcMar>
              <w:top w:w="0" w:type="dxa"/>
              <w:left w:w="28" w:type="dxa"/>
              <w:bottom w:w="0" w:type="dxa"/>
              <w:right w:w="28" w:type="dxa"/>
            </w:tcMar>
            <w:vAlign w:val="center"/>
          </w:tcPr>
          <w:p w14:paraId="275FB53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2770" w:type="dxa"/>
            <w:tcMar>
              <w:top w:w="0" w:type="dxa"/>
              <w:left w:w="28" w:type="dxa"/>
              <w:bottom w:w="0" w:type="dxa"/>
              <w:right w:w="28" w:type="dxa"/>
            </w:tcMar>
            <w:vAlign w:val="center"/>
          </w:tcPr>
          <w:p w14:paraId="1DB6AF6E">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详细评审</w:t>
            </w:r>
          </w:p>
        </w:tc>
        <w:tc>
          <w:tcPr>
            <w:tcW w:w="5832" w:type="dxa"/>
            <w:tcMar>
              <w:top w:w="0" w:type="dxa"/>
              <w:left w:w="28" w:type="dxa"/>
              <w:bottom w:w="0" w:type="dxa"/>
              <w:right w:w="28" w:type="dxa"/>
            </w:tcMar>
            <w:vAlign w:val="center"/>
          </w:tcPr>
          <w:p w14:paraId="0474E34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详见《详细评审标准》及本节第3.6款</w:t>
            </w:r>
          </w:p>
        </w:tc>
      </w:tr>
    </w:tbl>
    <w:p w14:paraId="771712EB">
      <w:pPr>
        <w:widowControl/>
        <w:shd w:val="clear" w:color="auto" w:fill="FFFFFF"/>
        <w:snapToGrid w:val="0"/>
        <w:spacing w:line="360" w:lineRule="auto"/>
        <w:rPr>
          <w:rFonts w:hint="eastAsia" w:ascii="仿宋" w:hAnsi="仿宋" w:eastAsia="仿宋" w:cs="仿宋"/>
          <w:b/>
          <w:color w:val="auto"/>
          <w:kern w:val="0"/>
          <w:szCs w:val="21"/>
          <w:highlight w:val="none"/>
          <w:shd w:val="clear" w:color="auto" w:fill="FFFFFF" w:themeFill="background1"/>
        </w:rPr>
      </w:pPr>
    </w:p>
    <w:p w14:paraId="4B3DC099">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p>
    <w:p w14:paraId="1B1297E8">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《资格审查标准》</w:t>
      </w:r>
      <w:bookmarkEnd w:id="29"/>
    </w:p>
    <w:tbl>
      <w:tblPr>
        <w:tblStyle w:val="43"/>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3659"/>
        <w:gridCol w:w="4935"/>
      </w:tblGrid>
      <w:tr w14:paraId="24AA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335A6F7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3659" w:type="dxa"/>
            <w:vAlign w:val="center"/>
          </w:tcPr>
          <w:p w14:paraId="2F729C9E">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4935" w:type="dxa"/>
            <w:vAlign w:val="center"/>
          </w:tcPr>
          <w:p w14:paraId="5AEF2D5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0E17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3840236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3659" w:type="dxa"/>
            <w:vAlign w:val="center"/>
          </w:tcPr>
          <w:p w14:paraId="0F9B23C7">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4935" w:type="dxa"/>
            <w:vAlign w:val="center"/>
          </w:tcPr>
          <w:p w14:paraId="4DB83859">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1、如供应商是企业（包括合伙企业)，应提供在工商部门注册的有效“企业法人营业执照”或“营业执照”;</w:t>
            </w:r>
          </w:p>
          <w:p w14:paraId="2F568ADF">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2、如供应商是事业单位，应提供有效的“事业单位法人证书”;</w:t>
            </w:r>
          </w:p>
          <w:p w14:paraId="261A4D01">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3、供应商是非企业专业服务机构的，应提供执业许可证等证明文件;</w:t>
            </w:r>
          </w:p>
          <w:p w14:paraId="5A08D77C">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4、如供应商是个体工商户，应提供有效的“个体工商户营业执照”;</w:t>
            </w:r>
          </w:p>
          <w:p w14:paraId="203F8BC3">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5、如供应商是自然人，应提供有效的自然人身份证明。</w:t>
            </w:r>
          </w:p>
        </w:tc>
      </w:tr>
      <w:tr w14:paraId="3BBB6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24C1BE5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3659" w:type="dxa"/>
            <w:vAlign w:val="center"/>
          </w:tcPr>
          <w:p w14:paraId="37B11A1B">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4935" w:type="dxa"/>
            <w:vAlign w:val="center"/>
          </w:tcPr>
          <w:p w14:paraId="20433E40">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满足下述一条要求即可：</w:t>
            </w:r>
          </w:p>
          <w:p w14:paraId="4EB7D8D1">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要求1、经审计的财务报告（2024年度或2025年度，包括“四表-注”，即资产负债表、利润表、现金流量表、所有者权益变动表及其附注）或银行出具的资信证明（响应文件递交截止之日前六个月内任意一个月</w:t>
            </w:r>
            <w:r>
              <w:rPr>
                <w:rFonts w:hint="eastAsia" w:ascii="仿宋" w:hAnsi="仿宋" w:eastAsia="仿宋" w:cs="仿宋"/>
                <w:color w:val="auto"/>
                <w:kern w:val="0"/>
                <w:szCs w:val="24"/>
                <w:highlight w:val="none"/>
              </w:rPr>
              <w:t>，不限制采购人主体</w:t>
            </w:r>
            <w:r>
              <w:rPr>
                <w:rFonts w:hint="eastAsia" w:ascii="仿宋" w:hAnsi="仿宋" w:eastAsia="仿宋" w:cs="仿宋"/>
                <w:color w:val="auto"/>
                <w:kern w:val="0"/>
                <w:szCs w:val="21"/>
                <w:highlight w:val="none"/>
              </w:rPr>
              <w:t>）。</w:t>
            </w:r>
          </w:p>
          <w:p w14:paraId="7E05B346">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rPr>
              <w:t>要求2、成立不足六个月（以响应文件递交截止之日为期限）的供应商无需提供。</w:t>
            </w:r>
          </w:p>
        </w:tc>
      </w:tr>
      <w:tr w14:paraId="4E0C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2055753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3659" w:type="dxa"/>
            <w:vAlign w:val="center"/>
          </w:tcPr>
          <w:p w14:paraId="097E4846">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4935" w:type="dxa"/>
            <w:vAlign w:val="center"/>
          </w:tcPr>
          <w:p w14:paraId="4CA76CFC">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rPr>
              <w:t>提供《具有履行合同所必需的设备和专业技术能力的承诺函》，加盖供应商章。</w:t>
            </w:r>
          </w:p>
        </w:tc>
      </w:tr>
      <w:tr w14:paraId="2AB08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60AB7DB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3659" w:type="dxa"/>
            <w:vAlign w:val="center"/>
          </w:tcPr>
          <w:p w14:paraId="2E032E79">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4935" w:type="dxa"/>
            <w:vAlign w:val="center"/>
          </w:tcPr>
          <w:p w14:paraId="4B1AB2FF">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5A51AEB6">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供应商参加政府采购活动前一段时间（响应文件递交截止之日前六个月内任一个月）内缴纳税收的完税凭证（指各种完税证、缴款书、印花税票、扣（收）税凭证以及其他完税证明，提供上述任意一种即可）。</w:t>
            </w:r>
          </w:p>
          <w:p w14:paraId="0AA8604D">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788317D3">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58360026">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3、依法免税或不需要缴纳社会保障资金的供应商，应提供相应文件证明其依法免税或不需要缴纳社会保障资金。</w:t>
            </w:r>
          </w:p>
        </w:tc>
      </w:tr>
      <w:tr w14:paraId="60D9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522F0782">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5</w:t>
            </w:r>
          </w:p>
        </w:tc>
        <w:tc>
          <w:tcPr>
            <w:tcW w:w="3659" w:type="dxa"/>
            <w:vAlign w:val="center"/>
          </w:tcPr>
          <w:p w14:paraId="713FEFCC">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4935" w:type="dxa"/>
            <w:vAlign w:val="center"/>
          </w:tcPr>
          <w:p w14:paraId="3CDF62B1">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rPr>
              <w:t>提供《参加政府采购活动前3年内在经营活动中没有重大违法记录的书面声明》，加盖供应商章。</w:t>
            </w:r>
          </w:p>
        </w:tc>
      </w:tr>
      <w:tr w14:paraId="0CF8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609" w:type="dxa"/>
            <w:vAlign w:val="center"/>
          </w:tcPr>
          <w:p w14:paraId="2216AE8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6</w:t>
            </w:r>
          </w:p>
        </w:tc>
        <w:tc>
          <w:tcPr>
            <w:tcW w:w="3659" w:type="dxa"/>
            <w:vAlign w:val="center"/>
          </w:tcPr>
          <w:p w14:paraId="5B31BF11">
            <w:pPr>
              <w:spacing w:line="360" w:lineRule="auto"/>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4935" w:type="dxa"/>
            <w:vAlign w:val="center"/>
          </w:tcPr>
          <w:p w14:paraId="1E7BC319">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以采购人或者采购代理机构查询记录为准。</w:t>
            </w:r>
          </w:p>
        </w:tc>
      </w:tr>
      <w:tr w14:paraId="7D62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9203" w:type="dxa"/>
            <w:gridSpan w:val="3"/>
            <w:vAlign w:val="center"/>
          </w:tcPr>
          <w:p w14:paraId="2EAEA7A7">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 如果资格评审中有一项不满足审查标准的，采购人将认定该供应商不通过资格审查，响应文件将被拒绝评审。并且不允许供应商通过修改或撤销其不符合要求的差异或保留，使之成为具有响应性的响应文件。</w:t>
            </w:r>
          </w:p>
        </w:tc>
      </w:tr>
    </w:tbl>
    <w:p w14:paraId="482190D0">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bookmarkStart w:id="30" w:name="_Toc501719167"/>
    </w:p>
    <w:p w14:paraId="4ABD5819">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《完备性及符合性审查标准》</w:t>
      </w:r>
      <w:bookmarkEnd w:id="30"/>
    </w:p>
    <w:tbl>
      <w:tblPr>
        <w:tblStyle w:val="43"/>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6"/>
        <w:gridCol w:w="4922"/>
        <w:gridCol w:w="3457"/>
      </w:tblGrid>
      <w:tr w14:paraId="4941C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5CE99D6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4922" w:type="dxa"/>
            <w:vAlign w:val="center"/>
          </w:tcPr>
          <w:p w14:paraId="094989D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审查要求</w:t>
            </w:r>
          </w:p>
        </w:tc>
        <w:tc>
          <w:tcPr>
            <w:tcW w:w="3457" w:type="dxa"/>
            <w:vAlign w:val="center"/>
          </w:tcPr>
          <w:p w14:paraId="6538A5E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要求说明</w:t>
            </w:r>
          </w:p>
        </w:tc>
      </w:tr>
      <w:tr w14:paraId="460E9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3" w:hRule="atLeast"/>
          <w:jc w:val="center"/>
        </w:trPr>
        <w:tc>
          <w:tcPr>
            <w:tcW w:w="676" w:type="dxa"/>
            <w:vAlign w:val="center"/>
          </w:tcPr>
          <w:p w14:paraId="7ABF11F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4922" w:type="dxa"/>
            <w:vAlign w:val="center"/>
          </w:tcPr>
          <w:p w14:paraId="0F2214DE">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响应文件必须按采购文件要求加盖供应商章、法定代表人章（或签字）。</w:t>
            </w:r>
          </w:p>
        </w:tc>
        <w:tc>
          <w:tcPr>
            <w:tcW w:w="3457" w:type="dxa"/>
            <w:vAlign w:val="center"/>
          </w:tcPr>
          <w:p w14:paraId="2987492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52F79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76" w:type="dxa"/>
            <w:vAlign w:val="center"/>
          </w:tcPr>
          <w:p w14:paraId="38225AF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4922" w:type="dxa"/>
            <w:vAlign w:val="center"/>
          </w:tcPr>
          <w:p w14:paraId="1908EB8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项目负责人简历表必须提供。</w:t>
            </w:r>
          </w:p>
        </w:tc>
        <w:tc>
          <w:tcPr>
            <w:tcW w:w="3457" w:type="dxa"/>
            <w:vAlign w:val="center"/>
          </w:tcPr>
          <w:p w14:paraId="063FA70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6DA4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7F9C823E">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4922" w:type="dxa"/>
            <w:vAlign w:val="center"/>
          </w:tcPr>
          <w:p w14:paraId="323D84A7">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合同履约期限必须满足采购文件要求。</w:t>
            </w:r>
          </w:p>
        </w:tc>
        <w:tc>
          <w:tcPr>
            <w:tcW w:w="3457" w:type="dxa"/>
            <w:vAlign w:val="center"/>
          </w:tcPr>
          <w:p w14:paraId="7D16C58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46E4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57A0A6F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4922" w:type="dxa"/>
            <w:vAlign w:val="center"/>
          </w:tcPr>
          <w:p w14:paraId="49320967">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响应价格不得超过供应商须知前附表中的最高限价。</w:t>
            </w:r>
          </w:p>
        </w:tc>
        <w:tc>
          <w:tcPr>
            <w:tcW w:w="3457" w:type="dxa"/>
            <w:vAlign w:val="center"/>
          </w:tcPr>
          <w:p w14:paraId="1F9F8CB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4D93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579948F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5</w:t>
            </w:r>
          </w:p>
        </w:tc>
        <w:tc>
          <w:tcPr>
            <w:tcW w:w="4922" w:type="dxa"/>
            <w:vAlign w:val="center"/>
          </w:tcPr>
          <w:p w14:paraId="2E91FEA2">
            <w:pPr>
              <w:spacing w:line="360" w:lineRule="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响应保证金必须按照采购文件要求缴纳。</w:t>
            </w:r>
          </w:p>
        </w:tc>
        <w:tc>
          <w:tcPr>
            <w:tcW w:w="3457" w:type="dxa"/>
            <w:vAlign w:val="center"/>
          </w:tcPr>
          <w:p w14:paraId="31E255D5">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保证金缴纳证明材料：汇款凭证或支票或汇票或保函或保证金收据等的扫描件。</w:t>
            </w:r>
          </w:p>
          <w:p w14:paraId="5303A312">
            <w:pPr>
              <w:spacing w:line="360" w:lineRule="auto"/>
              <w:jc w:val="left"/>
              <w:rPr>
                <w:rFonts w:hint="eastAsia" w:ascii="仿宋" w:hAnsi="仿宋" w:eastAsia="仿宋" w:cs="仿宋"/>
                <w:color w:val="auto"/>
                <w:highlight w:val="none"/>
              </w:rPr>
            </w:pPr>
            <w:r>
              <w:rPr>
                <w:rFonts w:hint="eastAsia" w:ascii="仿宋" w:hAnsi="仿宋" w:eastAsia="仿宋" w:cs="仿宋"/>
                <w:color w:val="auto"/>
                <w:szCs w:val="21"/>
                <w:highlight w:val="none"/>
                <w:shd w:val="clear" w:color="auto" w:fill="FFFFFF" w:themeFill="background1"/>
              </w:rPr>
              <w:t>注：采用电汇方式缴纳响应保证金的，以采购代理机构查询结果为准。</w:t>
            </w:r>
          </w:p>
        </w:tc>
      </w:tr>
      <w:tr w14:paraId="3716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39A4076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6</w:t>
            </w:r>
          </w:p>
        </w:tc>
        <w:tc>
          <w:tcPr>
            <w:tcW w:w="4922" w:type="dxa"/>
            <w:vAlign w:val="center"/>
          </w:tcPr>
          <w:p w14:paraId="64BE122D">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响应文件符合采购文件全部实质性要求。</w:t>
            </w:r>
          </w:p>
        </w:tc>
        <w:tc>
          <w:tcPr>
            <w:tcW w:w="3457" w:type="dxa"/>
            <w:vAlign w:val="center"/>
          </w:tcPr>
          <w:p w14:paraId="6ACC34E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w:t>
            </w:r>
          </w:p>
        </w:tc>
      </w:tr>
      <w:tr w14:paraId="0CF5B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55" w:type="dxa"/>
            <w:gridSpan w:val="3"/>
            <w:vAlign w:val="center"/>
          </w:tcPr>
          <w:p w14:paraId="07EC3D3B">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备注：完备性及符合性审查中有一项不满足评审标准的，磋商小组将认定该供应商不通过完备性及符合性审查，不得进入下一阶段评审。并且不允许供应商通过修改或撤销其不符合要求的差异或保留，使之成为具有响应性的响应文件。</w:t>
            </w:r>
          </w:p>
        </w:tc>
      </w:tr>
    </w:tbl>
    <w:p w14:paraId="49CFDA22">
      <w:pPr>
        <w:rPr>
          <w:rFonts w:hint="eastAsia" w:ascii="仿宋" w:hAnsi="仿宋" w:eastAsia="仿宋" w:cs="仿宋"/>
          <w:b/>
          <w:color w:val="auto"/>
          <w:kern w:val="0"/>
          <w:szCs w:val="21"/>
          <w:highlight w:val="none"/>
          <w:shd w:val="clear" w:color="auto" w:fill="FFFFFF" w:themeFill="background1"/>
        </w:rPr>
      </w:pPr>
    </w:p>
    <w:p w14:paraId="45F0320D">
      <w:pPr>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《详细评审标准》</w:t>
      </w:r>
    </w:p>
    <w:tbl>
      <w:tblPr>
        <w:tblStyle w:val="43"/>
        <w:tblW w:w="8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6"/>
        <w:gridCol w:w="1207"/>
        <w:gridCol w:w="762"/>
        <w:gridCol w:w="6045"/>
      </w:tblGrid>
      <w:tr w14:paraId="5375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2ABD058D">
            <w:pPr>
              <w:widowControl/>
              <w:shd w:val="clear" w:color="auto" w:fill="FFFFFF"/>
              <w:snapToGrid w:val="0"/>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bCs/>
                <w:color w:val="auto"/>
                <w:kern w:val="0"/>
                <w:szCs w:val="21"/>
                <w:highlight w:val="none"/>
                <w:shd w:val="clear" w:color="auto" w:fill="FFFFFF" w:themeFill="background1"/>
              </w:rPr>
              <w:t>序号</w:t>
            </w:r>
          </w:p>
        </w:tc>
        <w:tc>
          <w:tcPr>
            <w:tcW w:w="1207" w:type="dxa"/>
            <w:vAlign w:val="center"/>
          </w:tcPr>
          <w:p w14:paraId="308AAA1F">
            <w:pPr>
              <w:widowControl/>
              <w:shd w:val="clear" w:color="auto" w:fill="FFFFFF"/>
              <w:snapToGrid w:val="0"/>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bCs/>
                <w:color w:val="auto"/>
                <w:kern w:val="0"/>
                <w:szCs w:val="21"/>
                <w:highlight w:val="none"/>
                <w:shd w:val="clear" w:color="auto" w:fill="FFFFFF" w:themeFill="background1"/>
              </w:rPr>
              <w:t>评审项目</w:t>
            </w:r>
          </w:p>
        </w:tc>
        <w:tc>
          <w:tcPr>
            <w:tcW w:w="762" w:type="dxa"/>
            <w:vAlign w:val="center"/>
          </w:tcPr>
          <w:p w14:paraId="52AD2E11">
            <w:pPr>
              <w:widowControl/>
              <w:shd w:val="clear" w:color="auto" w:fill="FFFFFF"/>
              <w:snapToGrid w:val="0"/>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bCs/>
                <w:color w:val="auto"/>
                <w:kern w:val="0"/>
                <w:szCs w:val="21"/>
                <w:highlight w:val="none"/>
                <w:shd w:val="clear" w:color="auto" w:fill="FFFFFF" w:themeFill="background1"/>
              </w:rPr>
              <w:t>标准分</w:t>
            </w:r>
          </w:p>
        </w:tc>
        <w:tc>
          <w:tcPr>
            <w:tcW w:w="6045" w:type="dxa"/>
            <w:vAlign w:val="center"/>
          </w:tcPr>
          <w:p w14:paraId="58CD34F7">
            <w:pPr>
              <w:widowControl/>
              <w:shd w:val="clear" w:color="auto" w:fill="FFFFFF"/>
              <w:snapToGrid w:val="0"/>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bCs/>
                <w:color w:val="auto"/>
                <w:kern w:val="0"/>
                <w:szCs w:val="21"/>
                <w:highlight w:val="none"/>
                <w:shd w:val="clear" w:color="auto" w:fill="FFFFFF" w:themeFill="background1"/>
              </w:rPr>
              <w:t>评审标准</w:t>
            </w:r>
          </w:p>
        </w:tc>
      </w:tr>
      <w:tr w14:paraId="5BBEC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3" w:hRule="atLeast"/>
          <w:jc w:val="center"/>
        </w:trPr>
        <w:tc>
          <w:tcPr>
            <w:tcW w:w="676" w:type="dxa"/>
            <w:vAlign w:val="center"/>
          </w:tcPr>
          <w:p w14:paraId="69223D9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highlight w:val="none"/>
              </w:rPr>
              <w:t>1</w:t>
            </w:r>
          </w:p>
        </w:tc>
        <w:tc>
          <w:tcPr>
            <w:tcW w:w="1207" w:type="dxa"/>
            <w:vAlign w:val="center"/>
          </w:tcPr>
          <w:p w14:paraId="61A23B33">
            <w:pPr>
              <w:spacing w:line="360" w:lineRule="auto"/>
              <w:jc w:val="center"/>
              <w:rPr>
                <w:rFonts w:hint="eastAsia" w:ascii="仿宋" w:hAnsi="仿宋" w:eastAsia="仿宋" w:cs="仿宋"/>
                <w:bCs/>
                <w:color w:val="auto"/>
                <w:kern w:val="0"/>
                <w:szCs w:val="21"/>
                <w:highlight w:val="none"/>
                <w:shd w:val="clear" w:color="auto" w:fill="FFFFFF" w:themeFill="background1"/>
              </w:rPr>
            </w:pPr>
            <w:r>
              <w:rPr>
                <w:rFonts w:hint="eastAsia" w:ascii="仿宋" w:hAnsi="仿宋" w:eastAsia="仿宋" w:cs="仿宋"/>
                <w:color w:val="auto"/>
                <w:highlight w:val="none"/>
              </w:rPr>
              <w:t>响应报价</w:t>
            </w:r>
          </w:p>
        </w:tc>
        <w:tc>
          <w:tcPr>
            <w:tcW w:w="762" w:type="dxa"/>
            <w:vAlign w:val="center"/>
          </w:tcPr>
          <w:p w14:paraId="27C5EFD7">
            <w:pPr>
              <w:spacing w:line="360" w:lineRule="auto"/>
              <w:jc w:val="center"/>
              <w:rPr>
                <w:rFonts w:hint="eastAsia" w:ascii="仿宋" w:hAnsi="仿宋" w:eastAsia="仿宋" w:cs="仿宋"/>
                <w:bCs/>
                <w:color w:val="auto"/>
                <w:kern w:val="0"/>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30</w:t>
            </w:r>
          </w:p>
        </w:tc>
        <w:tc>
          <w:tcPr>
            <w:tcW w:w="6045" w:type="dxa"/>
            <w:vAlign w:val="center"/>
          </w:tcPr>
          <w:p w14:paraId="6F8EDC8D">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响应报价得分计算方法：</w:t>
            </w:r>
          </w:p>
          <w:p w14:paraId="56AFF812">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1.响应报价的确定</w:t>
            </w:r>
          </w:p>
          <w:p w14:paraId="37CCA547">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响应报价是指经评审的且不超过最高限价的响应价格</w:t>
            </w:r>
          </w:p>
          <w:p w14:paraId="40ED6D5C">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2.基准价的确定</w:t>
            </w:r>
          </w:p>
          <w:p w14:paraId="6F8930B8">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满足采购文件要求且最后响应报价最低的供应商的价格为基准价</w:t>
            </w:r>
          </w:p>
          <w:p w14:paraId="7D1EFBED">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3.响应报价得分=(基准价／响应报价)×30</w:t>
            </w:r>
          </w:p>
          <w:p w14:paraId="28B3A152">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4.分值计算保留小数点后两位，小数点后三位“四舍五入”。</w:t>
            </w:r>
          </w:p>
          <w:p w14:paraId="0E4081C3">
            <w:pPr>
              <w:spacing w:line="360" w:lineRule="auto"/>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5.因落实政府采购政策对小微企业、残疾人福利性单位、监狱企业的价格给予10%价格扣除；以扣除后的价格参与评审，不重复享受价格扣除政策。</w:t>
            </w:r>
          </w:p>
        </w:tc>
      </w:tr>
      <w:tr w14:paraId="3CE5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2" w:hRule="atLeast"/>
          <w:jc w:val="center"/>
        </w:trPr>
        <w:tc>
          <w:tcPr>
            <w:tcW w:w="676" w:type="dxa"/>
            <w:vAlign w:val="center"/>
          </w:tcPr>
          <w:p w14:paraId="40F61D5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1207" w:type="dxa"/>
            <w:vAlign w:val="center"/>
          </w:tcPr>
          <w:p w14:paraId="3CD01335">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shd w:val="clear" w:color="auto" w:fill="FFFFFF" w:themeFill="background1"/>
              </w:rPr>
              <w:t>类似业绩</w:t>
            </w:r>
          </w:p>
        </w:tc>
        <w:tc>
          <w:tcPr>
            <w:tcW w:w="762" w:type="dxa"/>
            <w:vAlign w:val="center"/>
          </w:tcPr>
          <w:p w14:paraId="157D9D1E">
            <w:pPr>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shd w:val="clear" w:color="auto" w:fill="FFFFFF" w:themeFill="background1"/>
              </w:rPr>
              <w:t>8</w:t>
            </w:r>
          </w:p>
        </w:tc>
        <w:tc>
          <w:tcPr>
            <w:tcW w:w="6045" w:type="dxa"/>
            <w:vAlign w:val="center"/>
          </w:tcPr>
          <w:p w14:paraId="0F01389B">
            <w:pPr>
              <w:spacing w:line="360" w:lineRule="auto"/>
              <w:ind w:firstLine="210" w:firstLineChars="100"/>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shd w:val="clear" w:color="auto" w:fill="FFFFFF" w:themeFill="background1"/>
              </w:rPr>
              <w:t>供应商近三年（2023年1月1日-至今，以合同签订时间为准）承接的类似业绩，每提供一项得2分，最多计4项（须提供合同首页、签字盖章页及主要服务内容页等）。</w:t>
            </w:r>
          </w:p>
        </w:tc>
      </w:tr>
      <w:tr w14:paraId="2D18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4314BD4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1207" w:type="dxa"/>
            <w:vAlign w:val="center"/>
          </w:tcPr>
          <w:p w14:paraId="0DAECCFA">
            <w:pPr>
              <w:spacing w:line="360" w:lineRule="auto"/>
              <w:ind w:left="-105" w:leftChars="-50" w:right="-105" w:rightChars="-50"/>
              <w:jc w:val="center"/>
              <w:rPr>
                <w:rFonts w:hint="eastAsia" w:ascii="仿宋" w:hAnsi="仿宋" w:eastAsia="仿宋" w:cs="仿宋"/>
                <w:bCs/>
                <w:color w:val="auto"/>
                <w:kern w:val="0"/>
                <w:szCs w:val="21"/>
                <w:highlight w:val="none"/>
                <w:shd w:val="clear" w:color="auto" w:fill="FFFFFF" w:themeFill="background1"/>
              </w:rPr>
            </w:pPr>
            <w:r>
              <w:rPr>
                <w:rFonts w:hint="eastAsia" w:ascii="仿宋" w:hAnsi="仿宋" w:eastAsia="仿宋" w:cs="仿宋"/>
                <w:color w:val="auto"/>
                <w:kern w:val="0"/>
                <w:szCs w:val="21"/>
                <w:highlight w:val="none"/>
              </w:rPr>
              <w:t>技术指标</w:t>
            </w:r>
          </w:p>
        </w:tc>
        <w:tc>
          <w:tcPr>
            <w:tcW w:w="762" w:type="dxa"/>
            <w:vAlign w:val="center"/>
          </w:tcPr>
          <w:p w14:paraId="05FA476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30</w:t>
            </w:r>
          </w:p>
        </w:tc>
        <w:tc>
          <w:tcPr>
            <w:tcW w:w="6045" w:type="dxa"/>
            <w:vAlign w:val="center"/>
          </w:tcPr>
          <w:p w14:paraId="6D92C157">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技术指标全部满足采购文件要求，无偏离得30分，标“▲”参数缺一项或不满足的项扣</w:t>
            </w:r>
            <w:r>
              <w:rPr>
                <w:rFonts w:hint="eastAsia" w:ascii="仿宋" w:hAnsi="仿宋" w:eastAsia="仿宋" w:cs="仿宋"/>
                <w:color w:val="auto"/>
                <w:szCs w:val="21"/>
                <w:highlight w:val="none"/>
                <w:shd w:val="clear" w:color="auto" w:fill="FFFFFF" w:themeFill="background1"/>
                <w:lang w:val="en-US" w:eastAsia="zh-CN"/>
              </w:rPr>
              <w:t>3</w:t>
            </w:r>
            <w:r>
              <w:rPr>
                <w:rFonts w:hint="eastAsia" w:ascii="仿宋" w:hAnsi="仿宋" w:eastAsia="仿宋" w:cs="仿宋"/>
                <w:color w:val="auto"/>
                <w:szCs w:val="21"/>
                <w:highlight w:val="none"/>
                <w:shd w:val="clear" w:color="auto" w:fill="FFFFFF" w:themeFill="background1"/>
              </w:rPr>
              <w:t>分；非标“▲”参数缺一项或不满足的项扣</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分；扣完为止。</w:t>
            </w:r>
          </w:p>
          <w:p w14:paraId="32100EE8">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注：标“▲”参数需提供相应证明材料，如未要求可提供产品说明书或技术规格书或检测报告或偏离表等证明材料。</w:t>
            </w:r>
          </w:p>
        </w:tc>
      </w:tr>
      <w:tr w14:paraId="7AA7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676" w:type="dxa"/>
            <w:vAlign w:val="center"/>
          </w:tcPr>
          <w:p w14:paraId="26DCE54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1207" w:type="dxa"/>
            <w:vAlign w:val="center"/>
          </w:tcPr>
          <w:p w14:paraId="0354C4F7">
            <w:pPr>
              <w:spacing w:line="360" w:lineRule="auto"/>
              <w:ind w:left="-105" w:leftChars="-50" w:right="-105" w:rightChars="-5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技术</w:t>
            </w:r>
            <w:r>
              <w:rPr>
                <w:rFonts w:hint="eastAsia" w:ascii="仿宋" w:hAnsi="仿宋" w:eastAsia="仿宋" w:cs="仿宋"/>
                <w:color w:val="auto"/>
                <w:kern w:val="0"/>
                <w:szCs w:val="21"/>
                <w:highlight w:val="none"/>
              </w:rPr>
              <w:t>方案</w:t>
            </w:r>
          </w:p>
        </w:tc>
        <w:tc>
          <w:tcPr>
            <w:tcW w:w="762" w:type="dxa"/>
            <w:vAlign w:val="center"/>
          </w:tcPr>
          <w:p w14:paraId="6614E7F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10</w:t>
            </w:r>
          </w:p>
        </w:tc>
        <w:tc>
          <w:tcPr>
            <w:tcW w:w="6045" w:type="dxa"/>
          </w:tcPr>
          <w:p w14:paraId="4B14877D">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lang w:val="en-US" w:eastAsia="zh-CN"/>
              </w:rPr>
              <w:t>技术</w:t>
            </w:r>
            <w:r>
              <w:rPr>
                <w:rFonts w:hint="eastAsia" w:ascii="仿宋" w:hAnsi="仿宋" w:eastAsia="仿宋" w:cs="仿宋"/>
                <w:color w:val="auto"/>
                <w:kern w:val="0"/>
                <w:szCs w:val="21"/>
                <w:highlight w:val="none"/>
              </w:rPr>
              <w:t>方案</w:t>
            </w:r>
            <w:r>
              <w:rPr>
                <w:rFonts w:hint="eastAsia" w:ascii="仿宋" w:hAnsi="仿宋" w:eastAsia="仿宋" w:cs="仿宋"/>
                <w:color w:val="auto"/>
                <w:szCs w:val="21"/>
                <w:highlight w:val="none"/>
                <w:shd w:val="clear" w:color="auto" w:fill="FFFFFF" w:themeFill="background1"/>
              </w:rPr>
              <w:t>包含：①项目背景综述，项目理解及需求分析，②总体设计方案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③功能设计方案，④项目管理方案，⑤测试及验收方案；5部分要素。</w:t>
            </w:r>
          </w:p>
          <w:p w14:paraId="6D9EA830">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所有要素齐全且完全满足项目要求得10分，每缺一个要素扣2分，每个要素里每有一处内容缺陷扣1分（扣完为止）。</w:t>
            </w:r>
          </w:p>
        </w:tc>
      </w:tr>
      <w:tr w14:paraId="49D1D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7C97778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5</w:t>
            </w:r>
          </w:p>
        </w:tc>
        <w:tc>
          <w:tcPr>
            <w:tcW w:w="1207" w:type="dxa"/>
            <w:vAlign w:val="center"/>
          </w:tcPr>
          <w:p w14:paraId="59D1926B">
            <w:pPr>
              <w:spacing w:line="360" w:lineRule="auto"/>
              <w:ind w:left="-105" w:leftChars="-50" w:right="-105" w:rightChars="-50"/>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实施方案</w:t>
            </w:r>
          </w:p>
        </w:tc>
        <w:tc>
          <w:tcPr>
            <w:tcW w:w="762" w:type="dxa"/>
            <w:vAlign w:val="center"/>
          </w:tcPr>
          <w:p w14:paraId="57EAF00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8</w:t>
            </w:r>
          </w:p>
        </w:tc>
        <w:tc>
          <w:tcPr>
            <w:tcW w:w="6045" w:type="dxa"/>
            <w:vAlign w:val="center"/>
          </w:tcPr>
          <w:p w14:paraId="6B064E19">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实施方案内容包含：①</w:t>
            </w:r>
            <w:r>
              <w:rPr>
                <w:rFonts w:hint="eastAsia" w:ascii="仿宋" w:hAnsi="仿宋" w:eastAsia="仿宋" w:cs="仿宋"/>
                <w:color w:val="auto"/>
                <w:szCs w:val="21"/>
                <w:highlight w:val="none"/>
                <w:shd w:val="clear" w:color="auto" w:fill="FFFFFF" w:themeFill="background1"/>
                <w:lang w:val="en-US" w:eastAsia="zh-CN"/>
              </w:rPr>
              <w:t>服务、进度</w:t>
            </w:r>
            <w:r>
              <w:rPr>
                <w:rFonts w:hint="eastAsia" w:ascii="仿宋" w:hAnsi="仿宋" w:eastAsia="仿宋" w:cs="仿宋"/>
                <w:color w:val="auto"/>
                <w:szCs w:val="21"/>
                <w:highlight w:val="none"/>
                <w:shd w:val="clear" w:color="auto" w:fill="FFFFFF" w:themeFill="background1"/>
              </w:rPr>
              <w:t>计划及硬件平面布置、线路布置</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②安装调试计划及实施各阶段的人员配备情况</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w:t>
            </w:r>
            <w:r>
              <w:rPr>
                <w:rFonts w:hint="eastAsia" w:ascii="仿宋" w:hAnsi="仿宋" w:eastAsia="仿宋" w:cs="仿宋"/>
                <w:color w:val="auto"/>
                <w:szCs w:val="21"/>
                <w:highlight w:val="none"/>
                <w:shd w:val="clear" w:color="auto" w:fill="FFFFFF" w:themeFill="background1"/>
                <w:lang w:val="en-US" w:eastAsia="zh-CN"/>
              </w:rPr>
              <w:t>实施</w:t>
            </w:r>
            <w:r>
              <w:rPr>
                <w:rFonts w:hint="eastAsia" w:ascii="仿宋" w:hAnsi="仿宋" w:eastAsia="仿宋" w:cs="仿宋"/>
                <w:color w:val="auto"/>
                <w:szCs w:val="21"/>
                <w:highlight w:val="none"/>
                <w:shd w:val="clear" w:color="auto" w:fill="FFFFFF" w:themeFill="background1"/>
              </w:rPr>
              <w:t>系统规划图、2.4G&amp;5G仿真图，④故障维修处理方案；4部分要素。</w:t>
            </w:r>
          </w:p>
          <w:p w14:paraId="6BEEF8F6">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所有要素齐全且完全满足项目要求得8分，每缺一个要素扣2分，每个要素里每有一处内容缺陷扣1分（扣完为止）。</w:t>
            </w:r>
          </w:p>
        </w:tc>
      </w:tr>
      <w:tr w14:paraId="3FF4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90" w:hRule="atLeast"/>
          <w:jc w:val="center"/>
        </w:trPr>
        <w:tc>
          <w:tcPr>
            <w:tcW w:w="676" w:type="dxa"/>
            <w:vAlign w:val="center"/>
          </w:tcPr>
          <w:p w14:paraId="11C4AD78">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6</w:t>
            </w:r>
          </w:p>
        </w:tc>
        <w:tc>
          <w:tcPr>
            <w:tcW w:w="1207" w:type="dxa"/>
            <w:vAlign w:val="center"/>
          </w:tcPr>
          <w:p w14:paraId="413F8B24">
            <w:pPr>
              <w:spacing w:line="360" w:lineRule="auto"/>
              <w:ind w:left="-105" w:leftChars="-50" w:right="-105" w:rightChars="-50"/>
              <w:jc w:val="center"/>
              <w:rPr>
                <w:rFonts w:hint="eastAsia" w:ascii="仿宋" w:hAnsi="仿宋" w:eastAsia="仿宋" w:cs="仿宋"/>
                <w:color w:val="auto"/>
                <w:highlight w:val="none"/>
              </w:rPr>
            </w:pPr>
            <w:r>
              <w:rPr>
                <w:rFonts w:hint="eastAsia" w:ascii="仿宋" w:hAnsi="仿宋" w:eastAsia="仿宋" w:cs="仿宋"/>
                <w:color w:val="auto"/>
                <w:kern w:val="0"/>
                <w:szCs w:val="21"/>
                <w:highlight w:val="none"/>
              </w:rPr>
              <w:t>培训方案</w:t>
            </w:r>
          </w:p>
        </w:tc>
        <w:tc>
          <w:tcPr>
            <w:tcW w:w="762" w:type="dxa"/>
            <w:vAlign w:val="center"/>
          </w:tcPr>
          <w:p w14:paraId="3DC9C6E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6045" w:type="dxa"/>
            <w:vAlign w:val="center"/>
          </w:tcPr>
          <w:p w14:paraId="00E0A287">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培训方案内容包含：①培训计划、②培训内容；2部分要素。</w:t>
            </w:r>
          </w:p>
          <w:p w14:paraId="44C7CC44">
            <w:pPr>
              <w:spacing w:line="360" w:lineRule="auto"/>
              <w:ind w:firstLine="210" w:firstLineChars="100"/>
              <w:jc w:val="left"/>
              <w:rPr>
                <w:rFonts w:hint="eastAsia" w:ascii="仿宋" w:hAnsi="仿宋" w:eastAsia="仿宋" w:cs="仿宋"/>
                <w:color w:val="auto"/>
                <w:highlight w:val="none"/>
              </w:rPr>
            </w:pPr>
            <w:r>
              <w:rPr>
                <w:rFonts w:hint="eastAsia" w:ascii="仿宋" w:hAnsi="仿宋" w:eastAsia="仿宋" w:cs="仿宋"/>
                <w:color w:val="auto"/>
                <w:szCs w:val="21"/>
                <w:highlight w:val="none"/>
                <w:shd w:val="clear" w:color="auto" w:fill="FFFFFF" w:themeFill="background1"/>
              </w:rPr>
              <w:t>所有要素齐全且完全满足项目要求得4分，每缺一个要素扣2分，每个要素里每有一处内容缺陷扣1分（扣完为止）。</w:t>
            </w:r>
          </w:p>
        </w:tc>
      </w:tr>
      <w:tr w14:paraId="7F6F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676" w:type="dxa"/>
            <w:vAlign w:val="center"/>
          </w:tcPr>
          <w:p w14:paraId="13B6E84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7</w:t>
            </w:r>
          </w:p>
        </w:tc>
        <w:tc>
          <w:tcPr>
            <w:tcW w:w="1207" w:type="dxa"/>
            <w:vAlign w:val="center"/>
          </w:tcPr>
          <w:p w14:paraId="6AFA848C">
            <w:pPr>
              <w:spacing w:line="360" w:lineRule="auto"/>
              <w:ind w:left="-105" w:leftChars="-50" w:right="-105" w:rightChars="-50"/>
              <w:jc w:val="center"/>
              <w:rPr>
                <w:rFonts w:hint="eastAsia" w:ascii="仿宋" w:hAnsi="仿宋" w:eastAsia="仿宋" w:cs="仿宋"/>
                <w:color w:val="auto"/>
                <w:highlight w:val="none"/>
              </w:rPr>
            </w:pPr>
            <w:r>
              <w:rPr>
                <w:rFonts w:hint="eastAsia" w:ascii="仿宋" w:hAnsi="仿宋" w:eastAsia="仿宋" w:cs="仿宋"/>
                <w:color w:val="auto"/>
                <w:highlight w:val="none"/>
              </w:rPr>
              <w:t>后续服务方案</w:t>
            </w:r>
          </w:p>
        </w:tc>
        <w:tc>
          <w:tcPr>
            <w:tcW w:w="762" w:type="dxa"/>
            <w:vAlign w:val="center"/>
          </w:tcPr>
          <w:p w14:paraId="27BBE001">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10</w:t>
            </w:r>
          </w:p>
        </w:tc>
        <w:tc>
          <w:tcPr>
            <w:tcW w:w="6045" w:type="dxa"/>
            <w:vAlign w:val="center"/>
          </w:tcPr>
          <w:p w14:paraId="6D8D44A0">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highlight w:val="none"/>
              </w:rPr>
              <w:t>后续服务方案</w:t>
            </w:r>
            <w:r>
              <w:rPr>
                <w:rFonts w:hint="eastAsia" w:ascii="仿宋" w:hAnsi="仿宋" w:eastAsia="仿宋" w:cs="仿宋"/>
                <w:color w:val="auto"/>
                <w:szCs w:val="21"/>
                <w:highlight w:val="none"/>
              </w:rPr>
              <w:t>包括但不限于：</w:t>
            </w:r>
            <w:r>
              <w:rPr>
                <w:rFonts w:hint="eastAsia" w:ascii="仿宋" w:hAnsi="仿宋" w:eastAsia="仿宋" w:cs="仿宋"/>
                <w:color w:val="auto"/>
                <w:highlight w:val="none"/>
              </w:rPr>
              <w:t>①后续服务方式、内容和流程；②后续服务人员配置及职责分工；③后续服务服务网点和联系方式；④应急预案及其他资源保障；</w:t>
            </w:r>
            <w:r>
              <w:rPr>
                <w:rFonts w:hint="eastAsia" w:ascii="仿宋" w:hAnsi="仿宋" w:eastAsia="仿宋" w:cs="仿宋"/>
                <w:color w:val="auto"/>
                <w:szCs w:val="21"/>
                <w:highlight w:val="none"/>
                <w:shd w:val="clear" w:color="auto" w:fill="FFFFFF" w:themeFill="background1"/>
              </w:rPr>
              <w:t>⑤售后服务保障措施</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5部分要素。</w:t>
            </w:r>
          </w:p>
          <w:p w14:paraId="5F8EAC27">
            <w:pPr>
              <w:spacing w:line="360" w:lineRule="auto"/>
              <w:ind w:firstLine="210" w:firstLineChars="100"/>
              <w:jc w:val="left"/>
              <w:rPr>
                <w:rFonts w:hint="eastAsia" w:ascii="仿宋" w:hAnsi="仿宋" w:eastAsia="仿宋" w:cs="仿宋"/>
                <w:color w:val="auto"/>
                <w:highlight w:val="none"/>
              </w:rPr>
            </w:pPr>
            <w:r>
              <w:rPr>
                <w:rFonts w:hint="eastAsia" w:ascii="仿宋" w:hAnsi="仿宋" w:eastAsia="仿宋" w:cs="仿宋"/>
                <w:color w:val="auto"/>
                <w:szCs w:val="21"/>
                <w:highlight w:val="none"/>
                <w:shd w:val="clear" w:color="auto" w:fill="FFFFFF" w:themeFill="background1"/>
              </w:rPr>
              <w:t>所有要素齐全且完全满足项目要求得10分，每缺一个要素扣2分，每个要素里每有一处内容缺陷扣1分（扣完为止）。</w:t>
            </w:r>
          </w:p>
        </w:tc>
      </w:tr>
      <w:tr w14:paraId="2FD8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8" w:hRule="atLeast"/>
          <w:jc w:val="center"/>
        </w:trPr>
        <w:tc>
          <w:tcPr>
            <w:tcW w:w="1883" w:type="dxa"/>
            <w:gridSpan w:val="2"/>
            <w:vAlign w:val="center"/>
          </w:tcPr>
          <w:p w14:paraId="1FACF0EA">
            <w:pPr>
              <w:spacing w:line="360" w:lineRule="auto"/>
              <w:ind w:left="-105" w:leftChars="-50" w:right="-105" w:rightChars="-5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合计</w:t>
            </w:r>
          </w:p>
        </w:tc>
        <w:tc>
          <w:tcPr>
            <w:tcW w:w="762" w:type="dxa"/>
            <w:vAlign w:val="center"/>
          </w:tcPr>
          <w:p w14:paraId="11D1BA80">
            <w:pPr>
              <w:spacing w:line="360" w:lineRule="auto"/>
              <w:jc w:val="center"/>
              <w:rPr>
                <w:rFonts w:hint="default"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lang w:val="en-US" w:eastAsia="zh-CN"/>
              </w:rPr>
              <w:t>100</w:t>
            </w:r>
          </w:p>
        </w:tc>
        <w:tc>
          <w:tcPr>
            <w:tcW w:w="6045" w:type="dxa"/>
            <w:vAlign w:val="center"/>
          </w:tcPr>
          <w:p w14:paraId="31E08E8D">
            <w:pPr>
              <w:spacing w:line="360" w:lineRule="auto"/>
              <w:ind w:firstLine="210" w:firstLineChars="100"/>
              <w:jc w:val="left"/>
              <w:rPr>
                <w:rFonts w:hint="eastAsia" w:ascii="仿宋" w:hAnsi="仿宋" w:eastAsia="仿宋" w:cs="仿宋"/>
                <w:color w:val="auto"/>
                <w:szCs w:val="21"/>
                <w:highlight w:val="none"/>
                <w:shd w:val="clear" w:color="auto" w:fill="FFFFFF" w:themeFill="background1"/>
              </w:rPr>
            </w:pPr>
          </w:p>
        </w:tc>
      </w:tr>
      <w:tr w14:paraId="484C0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8690" w:type="dxa"/>
            <w:gridSpan w:val="4"/>
            <w:vAlign w:val="center"/>
          </w:tcPr>
          <w:p w14:paraId="6A4731BD">
            <w:pPr>
              <w:spacing w:line="288" w:lineRule="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26DA67B9">
      <w:pPr>
        <w:rPr>
          <w:rFonts w:hint="eastAsia" w:ascii="仿宋" w:hAnsi="仿宋" w:eastAsia="仿宋" w:cs="仿宋"/>
          <w:color w:val="auto"/>
          <w:highlight w:val="none"/>
        </w:rPr>
      </w:pPr>
    </w:p>
    <w:p w14:paraId="23C9F701">
      <w:pPr>
        <w:tabs>
          <w:tab w:val="center" w:pos="4832"/>
          <w:tab w:val="left" w:pos="7140"/>
        </w:tabs>
        <w:spacing w:line="360" w:lineRule="auto"/>
        <w:ind w:firstLine="472" w:firstLineChars="196"/>
        <w:jc w:val="left"/>
        <w:outlineLvl w:val="1"/>
        <w:rPr>
          <w:rFonts w:hint="eastAsia" w:ascii="仿宋" w:hAnsi="仿宋" w:eastAsia="仿宋" w:cs="仿宋"/>
          <w:color w:val="auto"/>
          <w:highlight w:val="none"/>
        </w:rPr>
      </w:pPr>
      <w:bookmarkStart w:id="31" w:name="_Toc16659"/>
      <w:r>
        <w:rPr>
          <w:rFonts w:hint="eastAsia" w:ascii="仿宋" w:hAnsi="仿宋" w:eastAsia="仿宋" w:cs="仿宋"/>
          <w:b/>
          <w:color w:val="auto"/>
          <w:sz w:val="24"/>
          <w:szCs w:val="24"/>
          <w:highlight w:val="none"/>
          <w:shd w:val="clear" w:color="auto" w:fill="FFFFFF" w:themeFill="background1"/>
        </w:rPr>
        <w:t>一、评审方法</w:t>
      </w:r>
      <w:bookmarkEnd w:id="31"/>
    </w:p>
    <w:p w14:paraId="1615B0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本次评审采用综合评分法。磋商小组对满足采购文件实质性要求的响应文件，按照本节规定的评审标准进行评审。评审中各评审专家若发生意见分歧，以少数服从多数原则确定。</w:t>
      </w:r>
    </w:p>
    <w:p w14:paraId="5914FE92">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2" w:name="_Toc28167"/>
      <w:r>
        <w:rPr>
          <w:rFonts w:hint="eastAsia" w:ascii="仿宋" w:hAnsi="仿宋" w:eastAsia="仿宋" w:cs="仿宋"/>
          <w:b/>
          <w:color w:val="auto"/>
          <w:sz w:val="24"/>
          <w:szCs w:val="24"/>
          <w:highlight w:val="none"/>
          <w:shd w:val="clear" w:color="auto" w:fill="FFFFFF" w:themeFill="background1"/>
        </w:rPr>
        <w:t>二、评审标准</w:t>
      </w:r>
      <w:bookmarkEnd w:id="32"/>
    </w:p>
    <w:p w14:paraId="15771E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 资格审查：评审因素和评审标准见《资格审查标准》。</w:t>
      </w:r>
    </w:p>
    <w:p w14:paraId="15E475D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 完备性及符合性审查：评审因素和评审标准见《完备性及符合性审查标准》。</w:t>
      </w:r>
    </w:p>
    <w:p w14:paraId="788864E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2.3详细评审：</w:t>
      </w:r>
    </w:p>
    <w:p w14:paraId="239408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2.3.1详细评审：评审因素和评审标准见《详细评审标准》及本节第3.6款。</w:t>
      </w:r>
    </w:p>
    <w:p w14:paraId="012639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2.3.2 响应报价评分标准：</w:t>
      </w:r>
    </w:p>
    <w:p w14:paraId="328028D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（1）分值构成及权重：见评审办法前附表。</w:t>
      </w:r>
    </w:p>
    <w:p w14:paraId="79ABD5B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（2）基准价计算：见评审办法前附表。</w:t>
      </w:r>
    </w:p>
    <w:p w14:paraId="50338EE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（3）响应报价得分的计算：见评审办法前附表。</w:t>
      </w:r>
    </w:p>
    <w:p w14:paraId="64FD66D1">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3" w:name="_Toc32655"/>
      <w:r>
        <w:rPr>
          <w:rFonts w:hint="eastAsia" w:ascii="仿宋" w:hAnsi="仿宋" w:eastAsia="仿宋" w:cs="仿宋"/>
          <w:b/>
          <w:color w:val="auto"/>
          <w:sz w:val="24"/>
          <w:szCs w:val="24"/>
          <w:highlight w:val="none"/>
          <w:shd w:val="clear" w:color="auto" w:fill="FFFFFF" w:themeFill="background1"/>
        </w:rPr>
        <w:t>三、评审程序</w:t>
      </w:r>
      <w:bookmarkEnd w:id="33"/>
    </w:p>
    <w:p w14:paraId="685E3D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 基本程序</w:t>
      </w:r>
    </w:p>
    <w:p w14:paraId="0261FFC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评审活动将按以下步骤进行：</w:t>
      </w:r>
    </w:p>
    <w:p w14:paraId="049F0CA1">
      <w:pPr>
        <w:pStyle w:val="68"/>
        <w:widowControl/>
        <w:numPr>
          <w:ilvl w:val="0"/>
          <w:numId w:val="2"/>
        </w:numPr>
        <w:shd w:val="clear" w:color="auto" w:fill="FFFFFF"/>
        <w:snapToGrid w:val="0"/>
        <w:spacing w:line="360" w:lineRule="auto"/>
        <w:ind w:firstLineChars="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评审准备</w:t>
      </w:r>
    </w:p>
    <w:p w14:paraId="64B435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 资格审查</w:t>
      </w:r>
    </w:p>
    <w:p w14:paraId="7086F5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 完备性及符合性审查</w:t>
      </w:r>
    </w:p>
    <w:p w14:paraId="0473C4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 第二轮报价</w:t>
      </w:r>
    </w:p>
    <w:p w14:paraId="68404EE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 详细评审</w:t>
      </w:r>
    </w:p>
    <w:p w14:paraId="061F626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 澄清、说明或补正</w:t>
      </w:r>
    </w:p>
    <w:p w14:paraId="7D0E36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 推荐成交候选人及提交评审报告</w:t>
      </w:r>
    </w:p>
    <w:p w14:paraId="254C96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 评审准备</w:t>
      </w:r>
    </w:p>
    <w:p w14:paraId="0644DDD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3.2.1磋商小组成员签到</w:t>
      </w:r>
    </w:p>
    <w:p w14:paraId="1AFEC8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磋商小组成员到达评审现场时应当在签到表上签到以证明其出席。</w:t>
      </w:r>
    </w:p>
    <w:p w14:paraId="3B5764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 磋商小组的分工</w:t>
      </w:r>
    </w:p>
    <w:p w14:paraId="22BE22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3.2.2.1磋商小组首先推选一名磋商小组组长。磋商小组组长负责评审活动的组织领导工作。磋商小组组长与磋商小组其他成员具有同等的评审权力。</w:t>
      </w:r>
    </w:p>
    <w:p w14:paraId="734BF58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 磋商小组组长除履行自己作为磋商小组成员独立评审的职责外，主要负责以下工作： </w:t>
      </w:r>
    </w:p>
    <w:p w14:paraId="441687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（1）组织磋商小组成员学习采购文件；</w:t>
      </w:r>
    </w:p>
    <w:p w14:paraId="2F4B67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（2）汇总各磋商小组成员认为需要供应商澄清、说明或者补正的问题；</w:t>
      </w:r>
    </w:p>
    <w:p w14:paraId="7AC65B5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（3）组织磋商小组对供应商质询并对供应商的答复进行评审；</w:t>
      </w:r>
    </w:p>
    <w:p w14:paraId="26AB3A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11F114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68B5DD1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23EED4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1C65BC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 熟悉文件资料</w:t>
      </w:r>
    </w:p>
    <w:p w14:paraId="060E63E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 磋商小组组长应当组织磋商小组成员认真研究采购文件，了解和熟悉采购目的、采购范围、主要合同条件、技术标准、质量标准和要求，掌握评审标准和方法，熟悉本章及附件中包括的评审表格的使用，如果本章及附件所附的表格不能满足评审所需时，磋商小组应当补充编制评审所需的表格。</w:t>
      </w:r>
    </w:p>
    <w:p w14:paraId="711BAC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 采购人或采购代理机构应当向磋商小组提供评审所需的信息和数据，包括：</w:t>
      </w:r>
    </w:p>
    <w:p w14:paraId="4DC3CE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（1）采购文件及其澄清修改等采购文件补充；</w:t>
      </w:r>
    </w:p>
    <w:p w14:paraId="6BE6A4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（2）未在开启会上当场拒绝的各响应文件；</w:t>
      </w:r>
    </w:p>
    <w:p w14:paraId="0A468D5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（3）开启会记录；</w:t>
      </w:r>
    </w:p>
    <w:p w14:paraId="4FA9A0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396CAF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19A864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6C1FFDE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采购文件而否决其响应，并且不允许供应商通过修改或撤销其不符合要求的差异或保留，使之成为具有响应性的响应文件。</w:t>
      </w:r>
    </w:p>
    <w:p w14:paraId="225BB1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3.4完备性及符合性审查</w:t>
      </w:r>
    </w:p>
    <w:p w14:paraId="32BDF2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 磋商小组依据本章规定的评审因素和评审标准，对供应商的响应文件进行完备性及符合性审查。完备性及符合性审查有一项未通过评审标准，磋商小组将认定整个响应文件不响应采购文件而否决其响应，并且不允许供应商通过修改或撤销其不符合要求的差异或保留，使之成为具有响应性的响应文件。</w:t>
      </w:r>
    </w:p>
    <w:p w14:paraId="3C065E7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 完备性及符合性审查条款是指对本采购项目产生了重大影响的重大偏差，而且纠正此类偏差将会对响应本次采购的其他供应商的竞争地位产生不公正的影响。</w:t>
      </w:r>
    </w:p>
    <w:p w14:paraId="5B633F9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细微偏差是指响应文件在实质上响应采购文件要求，但在个别地方存在疏漏或者提供了不完整的技术信息和数据等情况，并且补正这些遗漏和不完整不会对其他供应商造成不公平的结果。细微偏差不影响响应文件的有效性，磋商小组可要求存在细微偏差的供应商予以补正。</w:t>
      </w:r>
    </w:p>
    <w:p w14:paraId="098C6D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3.5第二轮报价</w:t>
      </w:r>
    </w:p>
    <w:p w14:paraId="6B4A52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3.5.1、按照供应商递交响应文件的逆顺序，由磋商小组与各供应商进行磋商，对响应文件中的漏项、错误等问题进行统一补充和修正并告知供应商，在此基础上进行第二轮响应报价。</w:t>
      </w:r>
    </w:p>
    <w:p w14:paraId="1D4CF5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3.5.2、供应商分别进行各自第二轮响应报价，作为最终响应报价的依据。若供应商未进行第二轮报价，视为放弃响应资格；其响应无效；不在参与后续评审。</w:t>
      </w:r>
    </w:p>
    <w:p w14:paraId="2C6ACF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3.6、详细评审</w:t>
      </w:r>
    </w:p>
    <w:p w14:paraId="189DD3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 只有通过了第二轮报价方可进入详细评审。</w:t>
      </w:r>
    </w:p>
    <w:p w14:paraId="79C2A66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 澄清、说明和补正</w:t>
      </w:r>
    </w:p>
    <w:p w14:paraId="3B775E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3.6.2.1在不改变供应商响应文件实质性内容的前提下，磋商小组应当对响应文件进行基础性数据分析和整理，从而发现并提取其中可能存在的对采购范围理解的偏差、技术响应偏离、响应价格的算术性错误、错漏项、响应价格构成不合理、不平衡报价等存在明显异常的问题。</w:t>
      </w:r>
    </w:p>
    <w:p w14:paraId="6D8217F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3.6.2.2澄清、说明和补正内容不得改变响应文件的实质性内容（算术性错误修正的除外）。供应商的书面澄清、说明和补正属于响应文件的组成部分。</w:t>
      </w:r>
    </w:p>
    <w:p w14:paraId="32DF605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3.6.2.3磋商小组针对需要供应商对所提交响应文件中不明确的内容进行书面澄清、说明或补正。澄清通知不得向供应商提出带有暗示性或诱导性问题，或向其明确响应文件中的遗漏和错误。供应商接到磋商小组发出的书面澄清通知后，应按磋商小组的要求提供书面澄清资料，并在规定的时间递交到指定地点。磋商小组不接受供应商主动提出的澄清、说明或补正。</w:t>
      </w:r>
    </w:p>
    <w:p w14:paraId="3E7EAC6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3.6.2.4磋商小组对供应商提交的澄清、说明或补正有疑问的，可以要求供应商进一步澄清、说明或补正，直至满足磋商小组的要求。</w:t>
      </w:r>
    </w:p>
    <w:p w14:paraId="1CA91F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3.6.3评审专家评分：评审专家按照《详细评审标准》评分，供应商详细评审得分等于全部评审专家评分的算术平均值。</w:t>
      </w:r>
    </w:p>
    <w:p w14:paraId="1F31CA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3.6.4 算术错误修正：</w:t>
      </w:r>
      <w:r>
        <w:rPr>
          <w:rFonts w:hint="eastAsia" w:ascii="仿宋" w:hAnsi="仿宋" w:eastAsia="仿宋" w:cs="仿宋"/>
          <w:color w:val="auto"/>
          <w:kern w:val="0"/>
          <w:sz w:val="24"/>
          <w:szCs w:val="24"/>
          <w:highlight w:val="none"/>
          <w:shd w:val="clear" w:color="auto" w:fill="FFFFFF" w:themeFill="background1"/>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磋商小组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rPr>
        <w:t>响应价格</w:t>
      </w:r>
      <w:r>
        <w:rPr>
          <w:rFonts w:hint="eastAsia" w:ascii="仿宋" w:hAnsi="仿宋" w:eastAsia="仿宋" w:cs="仿宋"/>
          <w:color w:val="auto"/>
          <w:kern w:val="0"/>
          <w:sz w:val="24"/>
          <w:szCs w:val="24"/>
          <w:highlight w:val="none"/>
        </w:rPr>
        <w:t>进行修正：</w:t>
      </w:r>
    </w:p>
    <w:p w14:paraId="543469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（1）电子交易平台中报价与响应文件相应内容不一致的，以响应文件为准；</w:t>
      </w:r>
    </w:p>
    <w:p w14:paraId="79C8CA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（2）开启一览表与响应文件中相应内容不一致的，以开启一览表为准；</w:t>
      </w:r>
    </w:p>
    <w:p w14:paraId="271255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05787F5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（4）单价金额小数点或者百分比有明显错位的，以开启一览表的总价为准，并修改单价；</w:t>
      </w:r>
    </w:p>
    <w:p w14:paraId="7AB9A5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3F1CDB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修正后的报价经供应商确认后产生约束力，供应商不确认或不接受的，其</w:t>
      </w:r>
      <w:r>
        <w:rPr>
          <w:rFonts w:hint="eastAsia" w:ascii="仿宋" w:hAnsi="仿宋" w:eastAsia="仿宋" w:cs="仿宋"/>
          <w:color w:val="auto"/>
          <w:kern w:val="0"/>
          <w:sz w:val="24"/>
          <w:szCs w:val="24"/>
          <w:highlight w:val="none"/>
          <w:shd w:val="clear" w:color="auto" w:fill="FFFFFF" w:themeFill="background1"/>
        </w:rPr>
        <w:t>响应</w:t>
      </w:r>
      <w:r>
        <w:rPr>
          <w:rFonts w:hint="eastAsia" w:ascii="仿宋" w:hAnsi="仿宋" w:eastAsia="仿宋" w:cs="仿宋"/>
          <w:color w:val="auto"/>
          <w:kern w:val="0"/>
          <w:sz w:val="24"/>
          <w:szCs w:val="24"/>
          <w:highlight w:val="none"/>
        </w:rPr>
        <w:t>无效。</w:t>
      </w:r>
    </w:p>
    <w:p w14:paraId="512899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3.6.5政府采购评审中出现下列情形之一的，磋商小组应当启动异常低价投标（响应）审查程序：</w:t>
      </w:r>
    </w:p>
    <w:p w14:paraId="1D91765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（1）.响应报价低于全部通过符合性审查供应商响应报价平均值50%的，即响应报价&lt;全部通过符合性审查供应商响应报价平均值×50%；</w:t>
      </w:r>
    </w:p>
    <w:p w14:paraId="70756F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（2）.响应报价低于通过符合性审查的次低报价供应商响应报价50%的，即响应报价&lt;通过符合性审查的次低报价供应商响应报价×50%；</w:t>
      </w:r>
    </w:p>
    <w:p w14:paraId="6431125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（3）.响应报价低于采购项目最高限价45%的，即响应报价&lt;采购项目最高限价×45%；</w:t>
      </w:r>
    </w:p>
    <w:p w14:paraId="499999C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（4）.磋商小组基于专业判断，认为供应商报价过低，有可能影响产品质量或者不能诚信履约的其他情形。</w:t>
      </w:r>
    </w:p>
    <w:p w14:paraId="24AE33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3.6.6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9FB84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3.6.7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11CE6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3.6.8 响应报价评分：对响应报价进行响应报价得分计算，计算方法详见评审办法前附表。</w:t>
      </w:r>
    </w:p>
    <w:p w14:paraId="5CD1913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3.6.9 汇总评分结果，评分分值计算保留小数点后两位，小数点后第三位“四舍五入”。</w:t>
      </w:r>
    </w:p>
    <w:p w14:paraId="6EBCB8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3.6.10 详细评审工作全部结束后，供应商总得分排序按照以下原则进行。</w:t>
      </w:r>
    </w:p>
    <w:p w14:paraId="58F1B3D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3.6.10.1按照总得分由高到低顺序对供应商进行排序；</w:t>
      </w:r>
    </w:p>
    <w:p w14:paraId="4B8C38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3.6.10.2总得分相同时报价低的供应商排序靠前；</w:t>
      </w:r>
    </w:p>
    <w:p w14:paraId="5D59114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3.6.10.3总得分相同</w:t>
      </w:r>
      <w:r>
        <w:rPr>
          <w:rFonts w:hint="eastAsia" w:ascii="仿宋" w:hAnsi="仿宋" w:eastAsia="仿宋" w:cs="仿宋"/>
          <w:color w:val="auto"/>
          <w:kern w:val="0"/>
          <w:sz w:val="24"/>
          <w:szCs w:val="24"/>
          <w:highlight w:val="none"/>
        </w:rPr>
        <w:t>且报价相同</w:t>
      </w:r>
      <w:r>
        <w:rPr>
          <w:rFonts w:hint="eastAsia" w:ascii="仿宋" w:hAnsi="仿宋" w:eastAsia="仿宋" w:cs="仿宋"/>
          <w:color w:val="auto"/>
          <w:kern w:val="0"/>
          <w:sz w:val="24"/>
          <w:szCs w:val="24"/>
          <w:highlight w:val="none"/>
          <w:shd w:val="clear" w:color="auto" w:fill="FFFFFF" w:themeFill="background1"/>
        </w:rPr>
        <w:t>的供应商，</w:t>
      </w:r>
      <w:r>
        <w:rPr>
          <w:rFonts w:hint="eastAsia" w:ascii="仿宋" w:hAnsi="仿宋" w:eastAsia="仿宋" w:cs="仿宋"/>
          <w:color w:val="auto"/>
          <w:kern w:val="0"/>
          <w:sz w:val="24"/>
          <w:szCs w:val="24"/>
          <w:highlight w:val="none"/>
        </w:rPr>
        <w:t>采取随机抽取方式确定排序顺序。</w:t>
      </w:r>
    </w:p>
    <w:p w14:paraId="3CF9B8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 推荐成交候选人及提交评审报告</w:t>
      </w:r>
    </w:p>
    <w:p w14:paraId="532E88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3.7.1磋商小组推荐成交候选人，总得分排序第一的供应商将被确定为第一成交候选人，以此类推确定出规定数量的的成交候选人。</w:t>
      </w:r>
    </w:p>
    <w:p w14:paraId="3B34DE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3.7.2当通过了资格审查、完备性及符合性审查后，供应商少于3个时，采购人应当依法重新采购。</w:t>
      </w:r>
    </w:p>
    <w:p w14:paraId="76363B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3.7.3 磋商小组完成评审后，应当向采购人提交书面评审报告。</w:t>
      </w:r>
    </w:p>
    <w:p w14:paraId="1996C8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 特殊情况的处置程序</w:t>
      </w:r>
    </w:p>
    <w:p w14:paraId="48A2CFD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3.8.1 关于评审活动暂停</w:t>
      </w:r>
    </w:p>
    <w:p w14:paraId="290D5E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磋商小组继续评审。</w:t>
      </w:r>
    </w:p>
    <w:p w14:paraId="00F3037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3.8.2关于评审中途更换评审专家</w:t>
      </w:r>
    </w:p>
    <w:p w14:paraId="05D833E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3.8.2.1 除非发生下列情况之一，磋商小组成员不得在评审中途更换：</w:t>
      </w:r>
    </w:p>
    <w:p w14:paraId="524B4E8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2E1065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（2）根据法律法规规定，某个或某几个磋商小组成员需要回避。</w:t>
      </w:r>
    </w:p>
    <w:p w14:paraId="461EFC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3.8.2.2 退出评审的磋商小组成员，其已完成的评审行为无效，由更换的评审专家进行评审。</w:t>
      </w:r>
    </w:p>
    <w:p w14:paraId="2DCAE60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3.8.3 在评审环节中，需磋商小组就某项定性的评审结论做出表决的，由磋商小组全体成员按照少数服从多数的原则确定。</w:t>
      </w:r>
    </w:p>
    <w:p w14:paraId="5BE7F867">
      <w:pPr>
        <w:widowControl/>
        <w:spacing w:line="360" w:lineRule="auto"/>
        <w:jc w:val="left"/>
        <w:rPr>
          <w:rFonts w:hint="eastAsia" w:ascii="仿宋" w:hAnsi="仿宋" w:eastAsia="仿宋" w:cs="仿宋"/>
          <w:b/>
          <w:color w:val="auto"/>
          <w:sz w:val="24"/>
          <w:szCs w:val="24"/>
          <w:highlight w:val="none"/>
          <w:shd w:val="clear" w:color="auto" w:fill="FFFFFF" w:themeFill="background1"/>
        </w:rPr>
      </w:pPr>
      <w:bookmarkStart w:id="34" w:name="_Toc485312286"/>
      <w:r>
        <w:rPr>
          <w:rFonts w:hint="eastAsia" w:ascii="仿宋" w:hAnsi="仿宋" w:eastAsia="仿宋" w:cs="仿宋"/>
          <w:b/>
          <w:color w:val="auto"/>
          <w:sz w:val="24"/>
          <w:szCs w:val="24"/>
          <w:highlight w:val="none"/>
          <w:shd w:val="clear" w:color="auto" w:fill="FFFFFF" w:themeFill="background1"/>
        </w:rPr>
        <w:br w:type="page"/>
      </w:r>
    </w:p>
    <w:p w14:paraId="6D318166">
      <w:pPr>
        <w:widowControl/>
        <w:shd w:val="clear" w:color="auto" w:fill="FFFFFF"/>
        <w:snapToGrid w:val="0"/>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问题澄清通知</w:t>
      </w:r>
    </w:p>
    <w:p w14:paraId="1F3E1B2C">
      <w:pPr>
        <w:spacing w:line="360" w:lineRule="auto"/>
        <w:rPr>
          <w:rFonts w:hint="eastAsia" w:ascii="仿宋" w:hAnsi="仿宋" w:eastAsia="仿宋" w:cs="仿宋"/>
          <w:color w:val="auto"/>
          <w:sz w:val="24"/>
          <w:szCs w:val="24"/>
          <w:highlight w:val="none"/>
          <w:shd w:val="clear" w:color="auto" w:fill="FFFFFF" w:themeFill="background1"/>
        </w:rPr>
      </w:pPr>
    </w:p>
    <w:p w14:paraId="2CA516DD">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w:t>
      </w:r>
    </w:p>
    <w:p w14:paraId="546AF8BF">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（采购项目名称）采购的磋商小组，对你方的响应文件进行了仔细的审查，现需你方对本通知所附质疑问卷中的问题以书面形式予以澄清、说明或者补正。</w:t>
      </w:r>
    </w:p>
    <w:p w14:paraId="26D596C6">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质疑问题：</w:t>
      </w:r>
    </w:p>
    <w:p w14:paraId="6B05E62B">
      <w:pPr>
        <w:spacing w:line="360" w:lineRule="auto"/>
        <w:rPr>
          <w:rFonts w:hint="eastAsia" w:ascii="仿宋" w:hAnsi="仿宋" w:eastAsia="仿宋" w:cs="仿宋"/>
          <w:color w:val="auto"/>
          <w:kern w:val="0"/>
          <w:sz w:val="24"/>
          <w:szCs w:val="24"/>
          <w:highlight w:val="none"/>
          <w:shd w:val="clear" w:color="auto" w:fill="FFFFFF" w:themeFill="background1"/>
        </w:rPr>
      </w:pPr>
    </w:p>
    <w:p w14:paraId="5C5C0152">
      <w:pPr>
        <w:spacing w:line="360" w:lineRule="auto"/>
        <w:rPr>
          <w:rFonts w:hint="eastAsia" w:ascii="仿宋" w:hAnsi="仿宋" w:eastAsia="仿宋" w:cs="仿宋"/>
          <w:color w:val="auto"/>
          <w:kern w:val="0"/>
          <w:sz w:val="24"/>
          <w:szCs w:val="24"/>
          <w:highlight w:val="none"/>
          <w:shd w:val="clear" w:color="auto" w:fill="FFFFFF" w:themeFill="background1"/>
        </w:rPr>
      </w:pPr>
    </w:p>
    <w:p w14:paraId="50AB90D0">
      <w:pPr>
        <w:spacing w:line="360" w:lineRule="auto"/>
        <w:rPr>
          <w:rFonts w:hint="eastAsia" w:ascii="仿宋" w:hAnsi="仿宋" w:eastAsia="仿宋" w:cs="仿宋"/>
          <w:color w:val="auto"/>
          <w:kern w:val="0"/>
          <w:sz w:val="24"/>
          <w:szCs w:val="24"/>
          <w:highlight w:val="none"/>
          <w:shd w:val="clear" w:color="auto" w:fill="FFFFFF" w:themeFill="background1"/>
        </w:rPr>
      </w:pPr>
    </w:p>
    <w:p w14:paraId="60DF5639">
      <w:pPr>
        <w:spacing w:line="360" w:lineRule="auto"/>
        <w:rPr>
          <w:rFonts w:hint="eastAsia" w:ascii="仿宋" w:hAnsi="仿宋" w:eastAsia="仿宋" w:cs="仿宋"/>
          <w:color w:val="auto"/>
          <w:kern w:val="0"/>
          <w:sz w:val="24"/>
          <w:szCs w:val="24"/>
          <w:highlight w:val="none"/>
          <w:shd w:val="clear" w:color="auto" w:fill="FFFFFF" w:themeFill="background1"/>
        </w:rPr>
      </w:pPr>
    </w:p>
    <w:p w14:paraId="72FBC0AA">
      <w:pPr>
        <w:spacing w:line="360" w:lineRule="auto"/>
        <w:rPr>
          <w:rFonts w:hint="eastAsia" w:ascii="仿宋" w:hAnsi="仿宋" w:eastAsia="仿宋" w:cs="仿宋"/>
          <w:color w:val="auto"/>
          <w:kern w:val="0"/>
          <w:sz w:val="24"/>
          <w:szCs w:val="24"/>
          <w:highlight w:val="none"/>
          <w:shd w:val="clear" w:color="auto" w:fill="FFFFFF" w:themeFill="background1"/>
        </w:rPr>
      </w:pPr>
    </w:p>
    <w:p w14:paraId="3F1B328B">
      <w:pPr>
        <w:spacing w:line="360" w:lineRule="auto"/>
        <w:rPr>
          <w:rFonts w:hint="eastAsia" w:ascii="仿宋" w:hAnsi="仿宋" w:eastAsia="仿宋" w:cs="仿宋"/>
          <w:color w:val="auto"/>
          <w:kern w:val="0"/>
          <w:sz w:val="24"/>
          <w:szCs w:val="24"/>
          <w:highlight w:val="none"/>
          <w:shd w:val="clear" w:color="auto" w:fill="FFFFFF" w:themeFill="background1"/>
        </w:rPr>
      </w:pPr>
    </w:p>
    <w:p w14:paraId="116ED0D8">
      <w:pPr>
        <w:spacing w:line="360" w:lineRule="auto"/>
        <w:rPr>
          <w:rFonts w:hint="eastAsia" w:ascii="仿宋" w:hAnsi="仿宋" w:eastAsia="仿宋" w:cs="仿宋"/>
          <w:color w:val="auto"/>
          <w:kern w:val="0"/>
          <w:sz w:val="24"/>
          <w:szCs w:val="24"/>
          <w:highlight w:val="none"/>
          <w:shd w:val="clear" w:color="auto" w:fill="FFFFFF" w:themeFill="background1"/>
        </w:rPr>
      </w:pPr>
    </w:p>
    <w:p w14:paraId="634EB9D8">
      <w:pPr>
        <w:spacing w:line="360" w:lineRule="auto"/>
        <w:rPr>
          <w:rFonts w:hint="eastAsia" w:ascii="仿宋" w:hAnsi="仿宋" w:eastAsia="仿宋" w:cs="仿宋"/>
          <w:color w:val="auto"/>
          <w:kern w:val="0"/>
          <w:sz w:val="24"/>
          <w:szCs w:val="24"/>
          <w:highlight w:val="none"/>
          <w:shd w:val="clear" w:color="auto" w:fill="FFFFFF" w:themeFill="background1"/>
        </w:rPr>
      </w:pPr>
    </w:p>
    <w:p w14:paraId="5E3C8954">
      <w:pPr>
        <w:spacing w:line="360" w:lineRule="auto"/>
        <w:rPr>
          <w:rFonts w:hint="eastAsia" w:ascii="仿宋" w:hAnsi="仿宋" w:eastAsia="仿宋" w:cs="仿宋"/>
          <w:color w:val="auto"/>
          <w:kern w:val="0"/>
          <w:sz w:val="24"/>
          <w:szCs w:val="24"/>
          <w:highlight w:val="none"/>
          <w:shd w:val="clear" w:color="auto" w:fill="FFFFFF" w:themeFill="background1"/>
        </w:rPr>
      </w:pPr>
    </w:p>
    <w:p w14:paraId="536D5101">
      <w:pPr>
        <w:spacing w:line="360" w:lineRule="auto"/>
        <w:rPr>
          <w:rFonts w:hint="eastAsia" w:ascii="仿宋" w:hAnsi="仿宋" w:eastAsia="仿宋" w:cs="仿宋"/>
          <w:color w:val="auto"/>
          <w:kern w:val="0"/>
          <w:sz w:val="24"/>
          <w:szCs w:val="24"/>
          <w:highlight w:val="none"/>
          <w:shd w:val="clear" w:color="auto" w:fill="FFFFFF" w:themeFill="background1"/>
        </w:rPr>
      </w:pPr>
    </w:p>
    <w:p w14:paraId="23C96603">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磋商小组成员（签字）：</w:t>
      </w:r>
    </w:p>
    <w:p w14:paraId="005B41FB">
      <w:pPr>
        <w:spacing w:line="360" w:lineRule="auto"/>
        <w:rPr>
          <w:rFonts w:hint="eastAsia" w:ascii="仿宋" w:hAnsi="仿宋" w:eastAsia="仿宋" w:cs="仿宋"/>
          <w:color w:val="auto"/>
          <w:kern w:val="0"/>
          <w:sz w:val="24"/>
          <w:szCs w:val="24"/>
          <w:highlight w:val="none"/>
          <w:shd w:val="clear" w:color="auto" w:fill="FFFFFF" w:themeFill="background1"/>
        </w:rPr>
      </w:pPr>
    </w:p>
    <w:p w14:paraId="47FEF933">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1BAAEA27">
      <w:pPr>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r>
        <w:rPr>
          <w:rFonts w:hint="eastAsia" w:ascii="仿宋" w:hAnsi="仿宋" w:eastAsia="仿宋" w:cs="仿宋"/>
          <w:b/>
          <w:color w:val="auto"/>
          <w:sz w:val="24"/>
          <w:szCs w:val="24"/>
          <w:highlight w:val="none"/>
          <w:shd w:val="clear" w:color="auto" w:fill="FFFFFF" w:themeFill="background1"/>
        </w:rPr>
        <w:t>问题的澄清、说明或补正</w:t>
      </w:r>
    </w:p>
    <w:p w14:paraId="06E5AD1E">
      <w:pPr>
        <w:spacing w:line="360" w:lineRule="auto"/>
        <w:rPr>
          <w:rFonts w:hint="eastAsia" w:ascii="仿宋" w:hAnsi="仿宋" w:eastAsia="仿宋" w:cs="仿宋"/>
          <w:color w:val="auto"/>
          <w:kern w:val="0"/>
          <w:sz w:val="24"/>
          <w:szCs w:val="24"/>
          <w:highlight w:val="none"/>
          <w:shd w:val="clear" w:color="auto" w:fill="FFFFFF" w:themeFill="background1"/>
        </w:rPr>
      </w:pPr>
    </w:p>
    <w:p w14:paraId="342F0E4C">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磋商小组：</w:t>
      </w:r>
    </w:p>
    <w:p w14:paraId="0C444E82">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（采购项目名称）的问题澄清通知已收悉，现澄清、说明或者补正如下：</w:t>
      </w:r>
    </w:p>
    <w:p w14:paraId="33847CFC">
      <w:pPr>
        <w:spacing w:line="360" w:lineRule="auto"/>
        <w:rPr>
          <w:rFonts w:hint="eastAsia" w:ascii="仿宋" w:hAnsi="仿宋" w:eastAsia="仿宋" w:cs="仿宋"/>
          <w:color w:val="auto"/>
          <w:kern w:val="0"/>
          <w:sz w:val="24"/>
          <w:szCs w:val="24"/>
          <w:highlight w:val="none"/>
          <w:shd w:val="clear" w:color="auto" w:fill="FFFFFF" w:themeFill="background1"/>
        </w:rPr>
      </w:pPr>
    </w:p>
    <w:p w14:paraId="7CBBAC61">
      <w:pPr>
        <w:spacing w:line="360" w:lineRule="auto"/>
        <w:rPr>
          <w:rFonts w:hint="eastAsia" w:ascii="仿宋" w:hAnsi="仿宋" w:eastAsia="仿宋" w:cs="仿宋"/>
          <w:color w:val="auto"/>
          <w:kern w:val="0"/>
          <w:sz w:val="24"/>
          <w:szCs w:val="24"/>
          <w:highlight w:val="none"/>
          <w:shd w:val="clear" w:color="auto" w:fill="FFFFFF" w:themeFill="background1"/>
        </w:rPr>
      </w:pPr>
    </w:p>
    <w:p w14:paraId="46D10777">
      <w:pPr>
        <w:spacing w:line="360" w:lineRule="auto"/>
        <w:rPr>
          <w:rFonts w:hint="eastAsia" w:ascii="仿宋" w:hAnsi="仿宋" w:eastAsia="仿宋" w:cs="仿宋"/>
          <w:color w:val="auto"/>
          <w:kern w:val="0"/>
          <w:sz w:val="24"/>
          <w:szCs w:val="24"/>
          <w:highlight w:val="none"/>
          <w:shd w:val="clear" w:color="auto" w:fill="FFFFFF" w:themeFill="background1"/>
        </w:rPr>
      </w:pPr>
    </w:p>
    <w:p w14:paraId="5C182E61">
      <w:pPr>
        <w:spacing w:line="360" w:lineRule="auto"/>
        <w:rPr>
          <w:rFonts w:hint="eastAsia" w:ascii="仿宋" w:hAnsi="仿宋" w:eastAsia="仿宋" w:cs="仿宋"/>
          <w:color w:val="auto"/>
          <w:kern w:val="0"/>
          <w:sz w:val="24"/>
          <w:szCs w:val="24"/>
          <w:highlight w:val="none"/>
          <w:shd w:val="clear" w:color="auto" w:fill="FFFFFF" w:themeFill="background1"/>
        </w:rPr>
      </w:pPr>
    </w:p>
    <w:p w14:paraId="26B82A63">
      <w:pPr>
        <w:spacing w:line="360" w:lineRule="auto"/>
        <w:rPr>
          <w:rFonts w:hint="eastAsia" w:ascii="仿宋" w:hAnsi="仿宋" w:eastAsia="仿宋" w:cs="仿宋"/>
          <w:color w:val="auto"/>
          <w:kern w:val="0"/>
          <w:sz w:val="24"/>
          <w:szCs w:val="24"/>
          <w:highlight w:val="none"/>
          <w:shd w:val="clear" w:color="auto" w:fill="FFFFFF" w:themeFill="background1"/>
        </w:rPr>
      </w:pPr>
    </w:p>
    <w:p w14:paraId="023EE811">
      <w:pPr>
        <w:spacing w:line="360" w:lineRule="auto"/>
        <w:rPr>
          <w:rFonts w:hint="eastAsia" w:ascii="仿宋" w:hAnsi="仿宋" w:eastAsia="仿宋" w:cs="仿宋"/>
          <w:color w:val="auto"/>
          <w:kern w:val="0"/>
          <w:sz w:val="24"/>
          <w:szCs w:val="24"/>
          <w:highlight w:val="none"/>
          <w:shd w:val="clear" w:color="auto" w:fill="FFFFFF" w:themeFill="background1"/>
        </w:rPr>
      </w:pPr>
    </w:p>
    <w:p w14:paraId="42598E52">
      <w:pPr>
        <w:spacing w:line="360" w:lineRule="auto"/>
        <w:rPr>
          <w:rFonts w:hint="eastAsia" w:ascii="仿宋" w:hAnsi="仿宋" w:eastAsia="仿宋" w:cs="仿宋"/>
          <w:color w:val="auto"/>
          <w:kern w:val="0"/>
          <w:sz w:val="24"/>
          <w:szCs w:val="24"/>
          <w:highlight w:val="none"/>
          <w:shd w:val="clear" w:color="auto" w:fill="FFFFFF" w:themeFill="background1"/>
        </w:rPr>
      </w:pPr>
    </w:p>
    <w:p w14:paraId="00B5B7D6">
      <w:pPr>
        <w:spacing w:line="360" w:lineRule="auto"/>
        <w:rPr>
          <w:rFonts w:hint="eastAsia" w:ascii="仿宋" w:hAnsi="仿宋" w:eastAsia="仿宋" w:cs="仿宋"/>
          <w:color w:val="auto"/>
          <w:kern w:val="0"/>
          <w:sz w:val="24"/>
          <w:szCs w:val="24"/>
          <w:highlight w:val="none"/>
          <w:shd w:val="clear" w:color="auto" w:fill="FFFFFF" w:themeFill="background1"/>
        </w:rPr>
      </w:pPr>
    </w:p>
    <w:p w14:paraId="565A4144">
      <w:pPr>
        <w:spacing w:line="360" w:lineRule="auto"/>
        <w:rPr>
          <w:rFonts w:hint="eastAsia" w:ascii="仿宋" w:hAnsi="仿宋" w:eastAsia="仿宋" w:cs="仿宋"/>
          <w:color w:val="auto"/>
          <w:kern w:val="0"/>
          <w:sz w:val="24"/>
          <w:szCs w:val="24"/>
          <w:highlight w:val="none"/>
          <w:shd w:val="clear" w:color="auto" w:fill="FFFFFF" w:themeFill="background1"/>
        </w:rPr>
      </w:pPr>
    </w:p>
    <w:p w14:paraId="5F86B434">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法定代表人或其授权委托人（签字）：</w:t>
      </w:r>
    </w:p>
    <w:p w14:paraId="4DBC26C6">
      <w:pPr>
        <w:spacing w:line="360" w:lineRule="auto"/>
        <w:rPr>
          <w:rFonts w:hint="eastAsia" w:ascii="仿宋" w:hAnsi="仿宋" w:eastAsia="仿宋" w:cs="仿宋"/>
          <w:color w:val="auto"/>
          <w:kern w:val="0"/>
          <w:sz w:val="24"/>
          <w:szCs w:val="24"/>
          <w:highlight w:val="none"/>
          <w:shd w:val="clear" w:color="auto" w:fill="FFFFFF" w:themeFill="background1"/>
        </w:rPr>
      </w:pPr>
    </w:p>
    <w:p w14:paraId="46286BBF">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17BA54DB">
      <w:pPr>
        <w:widowControl/>
        <w:spacing w:line="360" w:lineRule="auto"/>
        <w:jc w:val="center"/>
        <w:outlineLvl w:val="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shd w:val="clear" w:color="auto" w:fill="FFFFFF" w:themeFill="background1"/>
        </w:rPr>
        <w:br w:type="page"/>
      </w:r>
      <w:bookmarkEnd w:id="34"/>
      <w:bookmarkStart w:id="35" w:name="_Toc38446459"/>
      <w:bookmarkStart w:id="36" w:name="_Toc507586162"/>
      <w:bookmarkStart w:id="37" w:name="_Toc29306"/>
      <w:r>
        <w:rPr>
          <w:rFonts w:hint="eastAsia" w:ascii="仿宋" w:hAnsi="仿宋" w:eastAsia="仿宋" w:cs="仿宋"/>
          <w:b/>
          <w:color w:val="auto"/>
          <w:sz w:val="24"/>
          <w:szCs w:val="24"/>
          <w:highlight w:val="none"/>
          <w:shd w:val="clear" w:color="auto" w:fill="FFFFFF" w:themeFill="background1"/>
        </w:rPr>
        <w:t xml:space="preserve">第三章 </w:t>
      </w:r>
      <w:bookmarkEnd w:id="35"/>
      <w:bookmarkEnd w:id="36"/>
      <w:r>
        <w:rPr>
          <w:rFonts w:hint="eastAsia" w:ascii="仿宋" w:hAnsi="仿宋" w:eastAsia="仿宋" w:cs="仿宋"/>
          <w:b/>
          <w:color w:val="auto"/>
          <w:sz w:val="24"/>
          <w:szCs w:val="24"/>
          <w:highlight w:val="none"/>
          <w:shd w:val="clear" w:color="auto" w:fill="FFFFFF" w:themeFill="background1"/>
        </w:rPr>
        <w:t>合同文本</w:t>
      </w:r>
      <w:bookmarkEnd w:id="37"/>
    </w:p>
    <w:p w14:paraId="6256208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注：本合同文本供参考，具体内容以双方签订的为准。</w:t>
      </w:r>
    </w:p>
    <w:p w14:paraId="1D2C0756">
      <w:pPr>
        <w:spacing w:line="360" w:lineRule="auto"/>
        <w:rPr>
          <w:rFonts w:hint="eastAsia" w:ascii="仿宋" w:hAnsi="仿宋" w:eastAsia="仿宋" w:cs="仿宋"/>
          <w:color w:val="auto"/>
          <w:sz w:val="24"/>
          <w:szCs w:val="24"/>
          <w:highlight w:val="none"/>
        </w:rPr>
      </w:pPr>
    </w:p>
    <w:p w14:paraId="3D222B9C">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p>
    <w:p w14:paraId="62EFD071">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251C77E9">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p w14:paraId="5030FEF5">
      <w:pPr>
        <w:spacing w:line="360" w:lineRule="auto"/>
        <w:ind w:firstLine="640"/>
        <w:rPr>
          <w:rFonts w:hint="eastAsia" w:ascii="仿宋" w:hAnsi="仿宋" w:eastAsia="仿宋" w:cs="仿宋"/>
          <w:color w:val="auto"/>
          <w:sz w:val="24"/>
          <w:szCs w:val="24"/>
          <w:highlight w:val="none"/>
        </w:rPr>
      </w:pPr>
    </w:p>
    <w:p w14:paraId="02B1EAA1">
      <w:pPr>
        <w:spacing w:line="360" w:lineRule="auto"/>
        <w:ind w:firstLine="640"/>
        <w:rPr>
          <w:rFonts w:hint="eastAsia" w:ascii="仿宋" w:hAnsi="仿宋" w:eastAsia="仿宋" w:cs="仿宋"/>
          <w:color w:val="auto"/>
          <w:sz w:val="24"/>
          <w:szCs w:val="24"/>
          <w:highlight w:val="none"/>
        </w:rPr>
      </w:pPr>
    </w:p>
    <w:p w14:paraId="7E82CBFF">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w:t>
      </w:r>
    </w:p>
    <w:p w14:paraId="7AD8E79A">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w:t>
      </w:r>
    </w:p>
    <w:p w14:paraId="6E39FA5A">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p w14:paraId="41462ED4">
      <w:pPr>
        <w:spacing w:line="360" w:lineRule="auto"/>
        <w:ind w:firstLine="640"/>
        <w:rPr>
          <w:rFonts w:hint="eastAsia" w:ascii="仿宋" w:hAnsi="仿宋" w:eastAsia="仿宋" w:cs="仿宋"/>
          <w:color w:val="auto"/>
          <w:sz w:val="24"/>
          <w:szCs w:val="24"/>
          <w:highlight w:val="none"/>
        </w:rPr>
      </w:pPr>
    </w:p>
    <w:p w14:paraId="3C7F56A7">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甲、乙双方经友好协商，现就活动服务并支付相应报酬事宜，经协商达成一致，签订本合同并共同遵守。</w:t>
      </w:r>
    </w:p>
    <w:p w14:paraId="7C2C2420">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产品要求及费用。</w:t>
      </w:r>
    </w:p>
    <w:p w14:paraId="4472C93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乙方于年月日至年月日按甲方要求完成本合同指定的服务，甲方向乙方支付费用总计人民币元（人民币整）</w:t>
      </w:r>
    </w:p>
    <w:p w14:paraId="029D80D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支付方式与验收</w:t>
      </w:r>
    </w:p>
    <w:p w14:paraId="6F63C337">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1、中标通知书发放后，中标方（乙方）以保函形式向甲方提供10%的履约保证金，甲方以银行转账、银行票据支付或现金的方式向乙方一次性支付验收费用；在验收工作完成后退还履约保证金。</w:t>
      </w:r>
    </w:p>
    <w:p w14:paraId="61450766">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2、乙方服务完成后向甲方提供活动开展情况汇报材料。</w:t>
      </w:r>
    </w:p>
    <w:p w14:paraId="3039AC8C">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3、甲方按照以上时间将货款支付给乙方以下开户银行及账号：</w:t>
      </w:r>
    </w:p>
    <w:p w14:paraId="2F9D3E31">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14:paraId="3E67B4A5">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p w14:paraId="2B89E56D">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保密条款</w:t>
      </w:r>
    </w:p>
    <w:p w14:paraId="6433450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应对其在本合同签订/履行期间所获知的对方各项商业秘密及由此产生的客户资料信息等负有保密义务，任何一方不得将已获知的另一方的商业秘密泄露给任何第三方（保密信息被要求提供给政府或法庭作辩解或申请保护的情况除外）。</w:t>
      </w:r>
    </w:p>
    <w:p w14:paraId="1DEB69B2">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违约条款</w:t>
      </w:r>
    </w:p>
    <w:p w14:paraId="6B4290D4">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甲乙双方中的任何一方违反在和合同中所做的保证、承诺或其他条款，均构成违约。因违约而给另一方造成损失，违约方除应赔偿守约方的直接经济损失外，守约方还可以保留进一步追究的权利。</w:t>
      </w:r>
    </w:p>
    <w:p w14:paraId="73BAF39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免责条款</w:t>
      </w:r>
    </w:p>
    <w:p w14:paraId="661F313B">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1、因不可抗力时间产生的责任按照相关法律办理。</w:t>
      </w:r>
    </w:p>
    <w:p w14:paraId="55B094C0">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2、一方因发生第三方破坏、盗窃、征收、罚没等意外事件不能履行本合同的，在该方采取了必要、合理、谨慎的防范措施并严格履行了必要、合理、谨慎的验核程序的前提下，可相应免除其违约责任。</w:t>
      </w:r>
    </w:p>
    <w:p w14:paraId="72476E4D">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3、确因发生意外事件无法继续履行本合同的，受影响的一方应采取一切合理措施消除影响及防止损失的进一步扩大。意外事件结束后，履行本合同受阻方应继续履行其在本合同项下的义务。</w:t>
      </w:r>
    </w:p>
    <w:p w14:paraId="395F7709">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六、合同的变更、解除</w:t>
      </w:r>
    </w:p>
    <w:p w14:paraId="1E665FE0">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1、除法律另有规定或本合同另有约定外，甲乙任何一方不得擅自变更或提前解除本合同，一方确需变更或解除的，须提前一个月书面通知对方，以便双方共同做好善后事宜。</w:t>
      </w:r>
    </w:p>
    <w:p w14:paraId="5878D26A">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2、本合同在履行过程中如有未尽事宜或因业务发展需要对本合同内容进行补充、变更、修改时，经双方协商一致后可达成书面补充合同。补充合同与本合同具有同等法律效力。</w:t>
      </w:r>
    </w:p>
    <w:p w14:paraId="2E2D15A2">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七、争议的解决</w:t>
      </w:r>
    </w:p>
    <w:p w14:paraId="12A3BBA0">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1、本合同履行过程中如发生争议，应通过友好协商的方式予以解决；如经友好协商仍不能解决的，任何一方可向甲方所在地法院提起诉讼。</w:t>
      </w:r>
    </w:p>
    <w:p w14:paraId="2E619F7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2、本合同适用中华人民共和国法律。</w:t>
      </w:r>
    </w:p>
    <w:p w14:paraId="722ECCB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八、合同期限</w:t>
      </w:r>
    </w:p>
    <w:p w14:paraId="086FEBA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本合同自甲乙双方授权代表签字并加盖公章（或合同章）之日起生效，于甲方履行完毕支付义务且乙方履行完毕服务交接义务后终止。</w:t>
      </w:r>
    </w:p>
    <w:p w14:paraId="48AF8263">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九、其他</w:t>
      </w:r>
    </w:p>
    <w:p w14:paraId="1029F652">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本合同一式八份，甲方执五份，乙方执三份，具有同等法律效力，自双方签字并加盖公章（或合同章）之日起生效。</w:t>
      </w:r>
    </w:p>
    <w:p w14:paraId="34DB5FE9">
      <w:pPr>
        <w:spacing w:line="360" w:lineRule="auto"/>
        <w:ind w:firstLine="640"/>
        <w:rPr>
          <w:rFonts w:hint="eastAsia" w:ascii="仿宋" w:hAnsi="仿宋" w:eastAsia="仿宋" w:cs="仿宋"/>
          <w:color w:val="auto"/>
          <w:sz w:val="24"/>
          <w:szCs w:val="24"/>
          <w:highlight w:val="none"/>
        </w:rPr>
      </w:pPr>
    </w:p>
    <w:p w14:paraId="5EFB495B">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甲方（公章）：                     乙方（公章）：</w:t>
      </w:r>
    </w:p>
    <w:p w14:paraId="693A0E7C">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授权代表（签字）：                授权代表（签字）：</w:t>
      </w:r>
    </w:p>
    <w:p w14:paraId="734A907F">
      <w:pPr>
        <w:spacing w:line="360" w:lineRule="auto"/>
        <w:ind w:firstLine="64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地址：____________________ 地址：___________________</w:t>
      </w:r>
    </w:p>
    <w:p w14:paraId="0E965618">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                         电话：</w:t>
      </w:r>
    </w:p>
    <w:p w14:paraId="3871973C">
      <w:pPr>
        <w:spacing w:line="360" w:lineRule="auto"/>
        <w:ind w:firstLine="6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________年____月____日       _________年____月____日</w:t>
      </w:r>
    </w:p>
    <w:p w14:paraId="5E4E8B4D">
      <w:pPr>
        <w:pStyle w:val="17"/>
        <w:numPr>
          <w:ilvl w:val="0"/>
          <w:numId w:val="3"/>
        </w:numPr>
        <w:spacing w:line="360" w:lineRule="auto"/>
        <w:rPr>
          <w:rFonts w:hint="eastAsia" w:ascii="仿宋" w:hAnsi="仿宋" w:eastAsia="仿宋" w:cs="仿宋"/>
          <w:color w:val="auto"/>
          <w:sz w:val="24"/>
          <w:highlight w:val="none"/>
        </w:rPr>
        <w:sectPr>
          <w:headerReference r:id="rId8" w:type="default"/>
          <w:footerReference r:id="rId9" w:type="default"/>
          <w:pgSz w:w="11910" w:h="16840"/>
          <w:pgMar w:top="1134" w:right="1134" w:bottom="1134" w:left="1134" w:header="878" w:footer="1052" w:gutter="0"/>
          <w:cols w:equalWidth="0" w:num="1">
            <w:col w:w="10590"/>
          </w:cols>
        </w:sectPr>
      </w:pPr>
      <w:r>
        <w:rPr>
          <w:rFonts w:hint="eastAsia" w:ascii="仿宋" w:hAnsi="仿宋" w:eastAsia="仿宋" w:cs="仿宋"/>
          <w:b/>
          <w:color w:val="auto"/>
          <w:sz w:val="24"/>
          <w:highlight w:val="none"/>
        </w:rPr>
        <w:br w:type="page"/>
      </w:r>
    </w:p>
    <w:p w14:paraId="032AF11C">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38" w:name="_Toc4387"/>
      <w:r>
        <w:rPr>
          <w:rFonts w:hint="eastAsia" w:ascii="仿宋" w:hAnsi="仿宋" w:eastAsia="仿宋" w:cs="仿宋"/>
          <w:b/>
          <w:color w:val="auto"/>
          <w:sz w:val="24"/>
          <w:szCs w:val="24"/>
          <w:highlight w:val="none"/>
          <w:shd w:val="clear" w:color="auto" w:fill="FFFFFF" w:themeFill="background1"/>
        </w:rPr>
        <w:t>第四章 服务标准和要求</w:t>
      </w:r>
      <w:bookmarkEnd w:id="38"/>
    </w:p>
    <w:p w14:paraId="217081E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 </w:t>
      </w:r>
      <w:r>
        <w:rPr>
          <w:rFonts w:hint="eastAsia" w:ascii="仿宋" w:hAnsi="仿宋" w:eastAsia="仿宋" w:cs="仿宋"/>
          <w:color w:val="auto"/>
          <w:sz w:val="24"/>
          <w:szCs w:val="24"/>
          <w:highlight w:val="none"/>
        </w:rPr>
        <w:t>采购需求</w:t>
      </w:r>
    </w:p>
    <w:p w14:paraId="74358198">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一、技术需求</w:t>
      </w:r>
    </w:p>
    <w:p w14:paraId="43B997E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1、符合国家及地方相关法律、法规及标准。</w:t>
      </w:r>
    </w:p>
    <w:p w14:paraId="42058A8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2、布线工程遵循《综合布线系统工程设计规范》GB/50311-2016、《综合布线系统工程验收规范》GB/T50312-2016。</w:t>
      </w:r>
    </w:p>
    <w:p w14:paraId="699F4D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3、遵循《新疆农业大学信息化项目建设管理办法（试行）》和《新疆农业大学信息（软件）系统验收规范（试行）》。</w:t>
      </w:r>
    </w:p>
    <w:p w14:paraId="1F7D7FD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服务中</w:t>
      </w:r>
      <w:r>
        <w:rPr>
          <w:rFonts w:hint="eastAsia" w:ascii="仿宋" w:hAnsi="仿宋" w:eastAsia="仿宋" w:cs="仿宋"/>
          <w:color w:val="auto"/>
          <w:sz w:val="24"/>
          <w:szCs w:val="24"/>
          <w:highlight w:val="none"/>
        </w:rPr>
        <w:t>所有产品均</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rPr>
        <w:t>国产产品，提供的</w:t>
      </w:r>
      <w:r>
        <w:rPr>
          <w:rFonts w:hint="eastAsia" w:ascii="仿宋" w:hAnsi="仿宋" w:eastAsia="仿宋" w:cs="仿宋"/>
          <w:color w:val="auto"/>
          <w:sz w:val="24"/>
          <w:szCs w:val="24"/>
          <w:highlight w:val="none"/>
          <w:lang w:val="en-US" w:eastAsia="zh-CN"/>
        </w:rPr>
        <w:t>网络服务</w:t>
      </w:r>
      <w:r>
        <w:rPr>
          <w:rFonts w:hint="eastAsia" w:ascii="仿宋" w:hAnsi="仿宋" w:eastAsia="仿宋" w:cs="仿宋"/>
          <w:color w:val="auto"/>
          <w:sz w:val="24"/>
          <w:szCs w:val="24"/>
          <w:highlight w:val="none"/>
        </w:rPr>
        <w:t>必须能够满足采购人的使用需求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并完美兼容学校现有的网络系统</w:t>
      </w:r>
      <w:r>
        <w:rPr>
          <w:rFonts w:hint="eastAsia" w:ascii="仿宋" w:hAnsi="仿宋" w:eastAsia="仿宋" w:cs="仿宋"/>
          <w:color w:val="auto"/>
          <w:sz w:val="24"/>
          <w:szCs w:val="24"/>
          <w:highlight w:val="none"/>
        </w:rPr>
        <w:t>。</w:t>
      </w:r>
    </w:p>
    <w:p w14:paraId="2C9E804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5、服务商须依据相关规范完成系统安装、调试、管线布设全流程服务工作</w:t>
      </w:r>
      <w:r>
        <w:rPr>
          <w:rFonts w:hint="eastAsia" w:ascii="仿宋" w:hAnsi="仿宋" w:eastAsia="仿宋" w:cs="仿宋"/>
          <w:color w:val="auto"/>
          <w:sz w:val="24"/>
          <w:szCs w:val="24"/>
          <w:highlight w:val="none"/>
          <w:lang w:eastAsia="zh-CN"/>
        </w:rPr>
        <w:t>。</w:t>
      </w:r>
    </w:p>
    <w:p w14:paraId="57AAD79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6、采购方将对中标方提供的</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产品进行相应的测试和验证，如发现虚假应标的将上报有关部门处理，并保留对投标方追究相关责任的权利。</w:t>
      </w:r>
    </w:p>
    <w:p w14:paraId="501E7C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7、本项目为全包项目。稳定运行≥1个月后正式交付。</w:t>
      </w:r>
    </w:p>
    <w:p w14:paraId="3CAE301C">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二、项目概述</w:t>
      </w:r>
    </w:p>
    <w:p w14:paraId="0178641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次勤学楼提供校园无线网络服务，要求根据房间需求提供相应类型的AP设备。项目主要服务内容由多思楼核心机房OLT设备光纤链路到勤学楼各个楼层弱电井分光器，各楼层分光器光纤连接到各个房间8口ONU设备，每个房间安装AP设备及网络点位施工。</w:t>
      </w:r>
    </w:p>
    <w:p w14:paraId="02A55A05">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三、服务内容及周期</w:t>
      </w:r>
    </w:p>
    <w:p w14:paraId="1C7B2F1D">
      <w:pPr>
        <w:pStyle w:val="267"/>
        <w:numPr>
          <w:ilvl w:val="0"/>
          <w:numId w:val="4"/>
        </w:numPr>
        <w:spacing w:line="360" w:lineRule="auto"/>
        <w:ind w:left="0"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服务内容</w:t>
      </w:r>
    </w:p>
    <w:p w14:paraId="3CCB1A7A">
      <w:pPr>
        <w:pStyle w:val="267"/>
        <w:numPr>
          <w:ilvl w:val="255"/>
          <w:numId w:val="0"/>
        </w:numPr>
        <w:spacing w:line="360" w:lineRule="auto"/>
        <w:ind w:left="420" w:leftChars="200"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主要服务内容是勤学楼提供校园无线网络服务。</w:t>
      </w:r>
    </w:p>
    <w:p w14:paraId="56C38895">
      <w:pPr>
        <w:pStyle w:val="267"/>
        <w:numPr>
          <w:ilvl w:val="255"/>
          <w:numId w:val="0"/>
        </w:numPr>
        <w:spacing w:line="360" w:lineRule="auto"/>
        <w:ind w:left="420" w:leftChars="200"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（1）全楼提供校园无线网络服务，要求根据不同场景提供相应类型的AP设备，数量不低于67台。</w:t>
      </w:r>
    </w:p>
    <w:p w14:paraId="265B9E96">
      <w:pPr>
        <w:pStyle w:val="267"/>
        <w:numPr>
          <w:ilvl w:val="255"/>
          <w:numId w:val="0"/>
        </w:numPr>
        <w:spacing w:line="360" w:lineRule="auto"/>
        <w:ind w:left="420" w:leftChars="200"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部分房间或地点提供有线信息点服务，要求采用FTTR方式进行布线，根据具体需求提供相应数量的有线信息点，有线信息点不低于162个，所有信息点均采用六类非屏蔽双绞线布线，辅材包含弱电信息箱、排插、水晶头、六类非屏蔽模块、86型明装底盒、双口面板、单口面板、3cmpvcPVC线槽、ODF架、熔纤等内容。</w:t>
      </w:r>
    </w:p>
    <w:p w14:paraId="23DFADE5">
      <w:pPr>
        <w:pStyle w:val="267"/>
        <w:numPr>
          <w:ilvl w:val="255"/>
          <w:numId w:val="0"/>
        </w:numPr>
        <w:spacing w:line="360" w:lineRule="auto"/>
        <w:ind w:left="420" w:leftChars="200"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（3）部分地点提供互连光缆。提供一条2芯皮线光纤，由勤学楼延长校园网主干光缆至设备间。</w:t>
      </w:r>
    </w:p>
    <w:p w14:paraId="571EF605">
      <w:pPr>
        <w:pStyle w:val="267"/>
        <w:numPr>
          <w:ilvl w:val="255"/>
          <w:numId w:val="0"/>
        </w:numPr>
        <w:spacing w:line="360" w:lineRule="auto"/>
        <w:ind w:left="420" w:leftChars="200" w:firstLine="4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本项目为交钥匙项目，包含但不限于所有服务、授权、设备、配件、线缆、施工、辅材等，具体内容根据实际现场情况施工，各投标单位了解需项目实施内容，后期不做追加。要本项目服务内容所需要提供的设备数量及技术要求如下：</w:t>
      </w:r>
    </w:p>
    <w:p w14:paraId="59D0F0C3">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8口高性能POE ONU</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63台：</w:t>
      </w:r>
      <w:r>
        <w:rPr>
          <w:rFonts w:hint="eastAsia" w:ascii="仿宋" w:hAnsi="仿宋" w:eastAsia="仿宋" w:cs="仿宋"/>
          <w:color w:val="auto"/>
          <w:kern w:val="0"/>
          <w:sz w:val="24"/>
          <w:szCs w:val="24"/>
          <w:highlight w:val="none"/>
          <w:lang w:bidi="ar"/>
        </w:rPr>
        <w:t>1、网络侧接口：不少于1个XGS-PON接口，用户侧接口：不少于8个GE接口，GE口支持PoE/PoE+；▲2、盒式ONU设备, 金属外壳，PoE输出总功率不少于120W，每个 PoE 接口输出不少于30W；3、支持基于以太端口的 VLAN 透传等二层特性；4、支持以太端口限速、支持802.1p 优先级、支持SP/WRR/SP+WRR等QoS特性;5、支持MAC认证、802.1x认证、MAB认证安全接入特性6、基于端口级 MAC 地址和 IP 地址绑定；▲7、支持ONU不同端口可通过硬隔离技术安全接入多张网络；8、支持可变长OMCI；9、PON线路支持国密SM4加密；▲10、为了网络安全、自主、高效、节能，ONU PON MAC和转发SOC芯片为国产自研芯片，</w:t>
      </w:r>
      <w:r>
        <w:rPr>
          <w:rFonts w:hint="eastAsia" w:ascii="仿宋" w:hAnsi="仿宋" w:eastAsia="仿宋" w:cs="仿宋"/>
          <w:color w:val="auto"/>
          <w:kern w:val="0"/>
          <w:sz w:val="24"/>
          <w:szCs w:val="24"/>
          <w:highlight w:val="none"/>
          <w:lang w:eastAsia="zh-CN" w:bidi="ar"/>
        </w:rPr>
        <w:t>提供带有CMA标志的权威第三方</w:t>
      </w:r>
      <w:r>
        <w:rPr>
          <w:rFonts w:hint="eastAsia" w:ascii="仿宋" w:hAnsi="仿宋" w:eastAsia="仿宋" w:cs="仿宋"/>
          <w:color w:val="auto"/>
          <w:kern w:val="0"/>
          <w:sz w:val="24"/>
          <w:szCs w:val="24"/>
          <w:highlight w:val="none"/>
          <w:lang w:val="en-US" w:eastAsia="zh-CN" w:bidi="ar"/>
        </w:rPr>
        <w:t>机构检测报告</w:t>
      </w:r>
      <w:r>
        <w:rPr>
          <w:rFonts w:hint="eastAsia" w:ascii="仿宋" w:hAnsi="仿宋" w:eastAsia="仿宋" w:cs="仿宋"/>
          <w:color w:val="auto"/>
          <w:kern w:val="0"/>
          <w:sz w:val="24"/>
          <w:szCs w:val="24"/>
          <w:highlight w:val="none"/>
          <w:lang w:bidi="ar"/>
        </w:rPr>
        <w:t>；▲1</w:t>
      </w: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szCs w:val="24"/>
          <w:highlight w:val="none"/>
          <w:lang w:bidi="ar"/>
        </w:rPr>
        <w:t>、为保证系统整体兼容性，ONU 设备须与采购人现有核心机房 OLT 设备完全兼容，可直接接入现有网管系统统一管理，供应商须在响应文件中提供兼容性承诺函</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12、原厂运</w:t>
      </w:r>
      <w:r>
        <w:rPr>
          <w:rFonts w:hint="eastAsia" w:ascii="仿宋" w:hAnsi="仿宋" w:eastAsia="仿宋" w:cs="仿宋"/>
          <w:color w:val="auto"/>
          <w:kern w:val="0"/>
          <w:sz w:val="24"/>
          <w:szCs w:val="24"/>
          <w:highlight w:val="none"/>
          <w:lang w:bidi="ar"/>
        </w:rPr>
        <w:t>维质保服务周期不低于 5 年</w:t>
      </w:r>
      <w:r>
        <w:rPr>
          <w:rFonts w:hint="eastAsia" w:ascii="仿宋" w:hAnsi="仿宋" w:eastAsia="仿宋" w:cs="仿宋"/>
          <w:color w:val="auto"/>
          <w:kern w:val="0"/>
          <w:sz w:val="24"/>
          <w:szCs w:val="24"/>
          <w:highlight w:val="none"/>
          <w:lang w:eastAsia="zh-CN" w:bidi="ar"/>
        </w:rPr>
        <w:t>。</w:t>
      </w:r>
    </w:p>
    <w:p w14:paraId="3FB1459A">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bidi="ar"/>
        </w:rPr>
      </w:pPr>
      <w:r>
        <w:rPr>
          <w:rFonts w:hint="eastAsia" w:ascii="仿宋" w:hAnsi="仿宋" w:eastAsia="仿宋" w:cs="仿宋"/>
          <w:b/>
          <w:bCs/>
          <w:color w:val="auto"/>
          <w:kern w:val="0"/>
          <w:sz w:val="24"/>
          <w:szCs w:val="24"/>
          <w:highlight w:val="none"/>
          <w:lang w:bidi="ar"/>
        </w:rPr>
        <w:t>分光器</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11个</w:t>
      </w:r>
      <w:r>
        <w:rPr>
          <w:rFonts w:hint="eastAsia" w:ascii="仿宋" w:hAnsi="仿宋" w:eastAsia="仿宋" w:cs="仿宋"/>
          <w:color w:val="auto"/>
          <w:kern w:val="0"/>
          <w:sz w:val="24"/>
          <w:szCs w:val="24"/>
          <w:highlight w:val="none"/>
          <w:lang w:bidi="ar"/>
        </w:rPr>
        <w:t>：盒式分光器，支持2:16分光。</w:t>
      </w:r>
    </w:p>
    <w:p w14:paraId="0EC7F9D8">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bidi="ar"/>
        </w:rPr>
      </w:pPr>
      <w:r>
        <w:rPr>
          <w:rFonts w:hint="eastAsia" w:ascii="仿宋" w:hAnsi="仿宋" w:eastAsia="仿宋" w:cs="仿宋"/>
          <w:b/>
          <w:bCs/>
          <w:color w:val="auto"/>
          <w:kern w:val="0"/>
          <w:sz w:val="24"/>
          <w:szCs w:val="24"/>
          <w:highlight w:val="none"/>
          <w:lang w:bidi="ar"/>
        </w:rPr>
        <w:t>放装AP</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67台</w:t>
      </w:r>
      <w:r>
        <w:rPr>
          <w:rFonts w:hint="eastAsia" w:ascii="仿宋" w:hAnsi="仿宋" w:eastAsia="仿宋" w:cs="仿宋"/>
          <w:color w:val="auto"/>
          <w:kern w:val="0"/>
          <w:sz w:val="24"/>
          <w:szCs w:val="24"/>
          <w:highlight w:val="none"/>
          <w:lang w:bidi="ar"/>
        </w:rPr>
        <w:t>：1、2.4G频段和5G频段，全频段支持802.11be；2、总空间流数≥4；整机速率≥3.5Gbps，整机最大用户接入数≥256；3、2.5G电口≥1，USB接口≥1，支持蓝牙；▲4、设备关键部件采用国产化Wi-Fi芯片，</w:t>
      </w:r>
      <w:r>
        <w:rPr>
          <w:rFonts w:hint="eastAsia" w:ascii="仿宋" w:hAnsi="仿宋" w:eastAsia="仿宋" w:cs="仿宋"/>
          <w:color w:val="auto"/>
          <w:kern w:val="0"/>
          <w:sz w:val="24"/>
          <w:szCs w:val="24"/>
          <w:highlight w:val="none"/>
          <w:lang w:eastAsia="zh-CN" w:bidi="ar"/>
        </w:rPr>
        <w:t>提供带有CMA标志的权威第三方</w:t>
      </w:r>
      <w:r>
        <w:rPr>
          <w:rFonts w:hint="eastAsia" w:ascii="仿宋" w:hAnsi="仿宋" w:eastAsia="仿宋" w:cs="仿宋"/>
          <w:color w:val="auto"/>
          <w:kern w:val="0"/>
          <w:sz w:val="24"/>
          <w:szCs w:val="24"/>
          <w:highlight w:val="none"/>
          <w:lang w:val="en-US" w:eastAsia="zh-CN" w:bidi="ar"/>
        </w:rPr>
        <w:t>机构检测报告，</w:t>
      </w:r>
      <w:r>
        <w:rPr>
          <w:rFonts w:hint="eastAsia" w:ascii="仿宋" w:hAnsi="仿宋" w:eastAsia="仿宋" w:cs="仿宋"/>
          <w:color w:val="auto"/>
          <w:kern w:val="0"/>
          <w:sz w:val="24"/>
          <w:szCs w:val="24"/>
          <w:highlight w:val="none"/>
          <w:lang w:bidi="ar"/>
        </w:rPr>
        <w:t>；5、支持单用户测速≥2.2Gbps，</w:t>
      </w:r>
      <w:r>
        <w:rPr>
          <w:rFonts w:hint="eastAsia" w:ascii="仿宋" w:hAnsi="仿宋" w:eastAsia="仿宋" w:cs="仿宋"/>
          <w:color w:val="auto"/>
          <w:kern w:val="0"/>
          <w:sz w:val="24"/>
          <w:szCs w:val="24"/>
          <w:highlight w:val="none"/>
          <w:lang w:eastAsia="zh-CN" w:bidi="ar"/>
        </w:rPr>
        <w:t>提供带有CMA标志的权威第三方</w:t>
      </w:r>
      <w:r>
        <w:rPr>
          <w:rFonts w:hint="eastAsia" w:ascii="仿宋" w:hAnsi="仿宋" w:eastAsia="仿宋" w:cs="仿宋"/>
          <w:color w:val="auto"/>
          <w:kern w:val="0"/>
          <w:sz w:val="24"/>
          <w:szCs w:val="24"/>
          <w:highlight w:val="none"/>
          <w:lang w:val="en-US" w:eastAsia="zh-CN" w:bidi="ar"/>
        </w:rPr>
        <w:t>机构检测报告</w:t>
      </w:r>
      <w:r>
        <w:rPr>
          <w:rFonts w:hint="eastAsia" w:ascii="仿宋" w:hAnsi="仿宋" w:eastAsia="仿宋" w:cs="仿宋"/>
          <w:color w:val="auto"/>
          <w:kern w:val="0"/>
          <w:sz w:val="24"/>
          <w:szCs w:val="24"/>
          <w:highlight w:val="none"/>
          <w:lang w:bidi="ar"/>
        </w:rPr>
        <w:t>；6、支持硬件加密，DTLS及Ipsec加密；7、支持应用识别。8、实</w:t>
      </w:r>
      <w:r>
        <w:rPr>
          <w:rFonts w:hint="eastAsia" w:ascii="仿宋" w:hAnsi="仿宋" w:eastAsia="仿宋" w:cs="仿宋"/>
          <w:color w:val="auto"/>
          <w:kern w:val="0"/>
          <w:sz w:val="24"/>
          <w:szCs w:val="24"/>
          <w:highlight w:val="none"/>
          <w:lang w:val="en-US" w:eastAsia="zh-CN" w:bidi="ar"/>
        </w:rPr>
        <w:t>际</w:t>
      </w:r>
      <w:r>
        <w:rPr>
          <w:rFonts w:hint="eastAsia" w:ascii="仿宋" w:hAnsi="仿宋" w:eastAsia="仿宋" w:cs="仿宋"/>
          <w:color w:val="auto"/>
          <w:kern w:val="0"/>
          <w:sz w:val="24"/>
          <w:szCs w:val="24"/>
          <w:highlight w:val="none"/>
          <w:lang w:bidi="ar"/>
        </w:rPr>
        <w:t>配</w:t>
      </w:r>
      <w:r>
        <w:rPr>
          <w:rFonts w:hint="eastAsia" w:ascii="仿宋" w:hAnsi="仿宋" w:eastAsia="仿宋" w:cs="仿宋"/>
          <w:color w:val="auto"/>
          <w:kern w:val="0"/>
          <w:sz w:val="24"/>
          <w:szCs w:val="24"/>
          <w:highlight w:val="none"/>
          <w:lang w:val="en-US" w:eastAsia="zh-CN" w:bidi="ar"/>
        </w:rPr>
        <w:t>备</w:t>
      </w:r>
      <w:r>
        <w:rPr>
          <w:rFonts w:hint="eastAsia" w:ascii="仿宋" w:hAnsi="仿宋" w:eastAsia="仿宋" w:cs="仿宋"/>
          <w:color w:val="auto"/>
          <w:kern w:val="0"/>
          <w:sz w:val="24"/>
          <w:szCs w:val="24"/>
          <w:highlight w:val="none"/>
          <w:lang w:bidi="ar"/>
        </w:rPr>
        <w:t>：无线管理授权≥1</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bidi="ar"/>
        </w:rPr>
        <w:t>▲</w:t>
      </w:r>
      <w:r>
        <w:rPr>
          <w:rFonts w:hint="eastAsia" w:ascii="仿宋" w:hAnsi="仿宋" w:eastAsia="仿宋" w:cs="仿宋"/>
          <w:color w:val="auto"/>
          <w:kern w:val="0"/>
          <w:sz w:val="24"/>
          <w:szCs w:val="24"/>
          <w:highlight w:val="none"/>
          <w:lang w:val="en-US" w:eastAsia="zh-CN" w:bidi="ar"/>
        </w:rPr>
        <w:t>9、原厂运</w:t>
      </w:r>
      <w:r>
        <w:rPr>
          <w:rFonts w:hint="eastAsia" w:ascii="仿宋" w:hAnsi="仿宋" w:eastAsia="仿宋" w:cs="仿宋"/>
          <w:color w:val="auto"/>
          <w:kern w:val="0"/>
          <w:sz w:val="24"/>
          <w:szCs w:val="24"/>
          <w:highlight w:val="none"/>
          <w:lang w:bidi="ar"/>
        </w:rPr>
        <w:t>维质保服务周期不低于 5 年。</w:t>
      </w:r>
    </w:p>
    <w:p w14:paraId="28C87F3B">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bidi="ar"/>
        </w:rPr>
      </w:pPr>
      <w:r>
        <w:rPr>
          <w:rFonts w:hint="eastAsia" w:ascii="仿宋" w:hAnsi="仿宋" w:eastAsia="仿宋" w:cs="仿宋"/>
          <w:b/>
          <w:bCs/>
          <w:color w:val="auto"/>
          <w:kern w:val="0"/>
          <w:sz w:val="24"/>
          <w:szCs w:val="24"/>
          <w:highlight w:val="none"/>
          <w:lang w:bidi="ar"/>
        </w:rPr>
        <w:t>皮线光纤</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5000米：</w:t>
      </w:r>
      <w:r>
        <w:rPr>
          <w:rFonts w:hint="eastAsia" w:ascii="仿宋" w:hAnsi="仿宋" w:eastAsia="仿宋" w:cs="仿宋"/>
          <w:color w:val="auto"/>
          <w:kern w:val="0"/>
          <w:sz w:val="24"/>
          <w:szCs w:val="24"/>
          <w:highlight w:val="none"/>
          <w:lang w:bidi="ar"/>
        </w:rPr>
        <w:t>1.单模，G.657A2（抗弯曲）；2、2× 钢丝（φ0.4～0.5mm）或 FRP 非金属；3、护套：室内LSZH 低烟无卤</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szCs w:val="21"/>
          <w:highlight w:val="none"/>
          <w:shd w:val="clear" w:color="auto" w:fill="FFFFFF" w:themeFill="background1"/>
          <w:lang w:val="en-US" w:eastAsia="zh-CN"/>
        </w:rPr>
        <w:t>4</w:t>
      </w:r>
      <w:r>
        <w:rPr>
          <w:rFonts w:hint="eastAsia" w:ascii="仿宋" w:hAnsi="仿宋" w:eastAsia="仿宋" w:cs="仿宋"/>
          <w:color w:val="auto"/>
          <w:kern w:val="0"/>
          <w:sz w:val="24"/>
          <w:szCs w:val="24"/>
          <w:highlight w:val="none"/>
          <w:lang w:val="en-US" w:eastAsia="zh-CN" w:bidi="ar"/>
        </w:rPr>
        <w:t>、原厂运</w:t>
      </w:r>
      <w:r>
        <w:rPr>
          <w:rFonts w:hint="eastAsia" w:ascii="仿宋" w:hAnsi="仿宋" w:eastAsia="仿宋" w:cs="仿宋"/>
          <w:color w:val="auto"/>
          <w:kern w:val="0"/>
          <w:sz w:val="24"/>
          <w:szCs w:val="24"/>
          <w:highlight w:val="none"/>
          <w:lang w:bidi="ar"/>
        </w:rPr>
        <w:t xml:space="preserve">维质保服务周期不低于 </w:t>
      </w:r>
      <w:r>
        <w:rPr>
          <w:rFonts w:hint="eastAsia" w:ascii="仿宋" w:hAnsi="仿宋" w:eastAsia="仿宋" w:cs="仿宋"/>
          <w:color w:val="auto"/>
          <w:kern w:val="0"/>
          <w:sz w:val="24"/>
          <w:szCs w:val="24"/>
          <w:highlight w:val="none"/>
          <w:lang w:val="en-US" w:eastAsia="zh-CN" w:bidi="ar"/>
        </w:rPr>
        <w:t>8</w:t>
      </w:r>
      <w:r>
        <w:rPr>
          <w:rFonts w:hint="eastAsia" w:ascii="仿宋" w:hAnsi="仿宋" w:eastAsia="仿宋" w:cs="仿宋"/>
          <w:color w:val="auto"/>
          <w:kern w:val="0"/>
          <w:sz w:val="24"/>
          <w:szCs w:val="24"/>
          <w:highlight w:val="none"/>
          <w:lang w:bidi="ar"/>
        </w:rPr>
        <w:t xml:space="preserve"> 年</w:t>
      </w:r>
      <w:r>
        <w:rPr>
          <w:rFonts w:hint="eastAsia" w:ascii="仿宋" w:hAnsi="仿宋" w:eastAsia="仿宋" w:cs="仿宋"/>
          <w:color w:val="auto"/>
          <w:kern w:val="0"/>
          <w:sz w:val="24"/>
          <w:szCs w:val="24"/>
          <w:highlight w:val="none"/>
          <w:lang w:eastAsia="zh-CN" w:bidi="ar"/>
        </w:rPr>
        <w:t>。</w:t>
      </w:r>
    </w:p>
    <w:p w14:paraId="7CC8672B">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bidi="ar"/>
        </w:rPr>
      </w:pPr>
      <w:r>
        <w:rPr>
          <w:rFonts w:hint="eastAsia" w:ascii="仿宋" w:hAnsi="仿宋" w:eastAsia="仿宋" w:cs="仿宋"/>
          <w:b/>
          <w:bCs/>
          <w:color w:val="auto"/>
          <w:kern w:val="0"/>
          <w:sz w:val="24"/>
          <w:szCs w:val="24"/>
          <w:highlight w:val="none"/>
          <w:lang w:bidi="ar"/>
        </w:rPr>
        <w:t>六类非屏蔽网线</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10箱：</w:t>
      </w:r>
      <w:r>
        <w:rPr>
          <w:rFonts w:hint="eastAsia" w:ascii="仿宋" w:hAnsi="仿宋" w:eastAsia="仿宋" w:cs="仿宋"/>
          <w:color w:val="auto"/>
          <w:kern w:val="0"/>
          <w:sz w:val="24"/>
          <w:szCs w:val="24"/>
          <w:highlight w:val="none"/>
          <w:lang w:bidi="ar"/>
        </w:rPr>
        <w:t>1、护套材料： PVC（聚氯乙烯）；2、▲导体线规≥0.56mm，23AWG。；3、导体材质：99.95%无氧铜；4、特性阻抗:100 ±15 Ohm；5、传播延迟值：&lt;536 ns/100m；6、延迟偏差：≤45 ns；7、绝缘阻抗≥5000MΩ*km；8、最小弯曲半径：32mm（操作），64mm（安装）；9、最大拉力：100N；10、包装方式：305m/箱；11、工作温度：-20-60℃；1</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、防火等级为IEC60332-1（GB/T18380）单根阻燃标准；</w:t>
      </w:r>
      <w:r>
        <w:rPr>
          <w:rFonts w:hint="eastAsia" w:ascii="仿宋" w:hAnsi="仿宋" w:eastAsia="仿宋" w:cs="仿宋"/>
          <w:color w:val="auto"/>
          <w:kern w:val="0"/>
          <w:sz w:val="24"/>
          <w:szCs w:val="24"/>
          <w:highlight w:val="none"/>
          <w:lang w:val="en-US" w:eastAsia="zh-CN" w:bidi="ar"/>
        </w:rPr>
        <w:t>13、原厂运</w:t>
      </w:r>
      <w:r>
        <w:rPr>
          <w:rFonts w:hint="eastAsia" w:ascii="仿宋" w:hAnsi="仿宋" w:eastAsia="仿宋" w:cs="仿宋"/>
          <w:color w:val="auto"/>
          <w:kern w:val="0"/>
          <w:sz w:val="24"/>
          <w:szCs w:val="24"/>
          <w:highlight w:val="none"/>
          <w:lang w:bidi="ar"/>
        </w:rPr>
        <w:t>维质保服务周期不低于 5 年</w:t>
      </w:r>
      <w:r>
        <w:rPr>
          <w:rFonts w:hint="eastAsia" w:ascii="仿宋" w:hAnsi="仿宋" w:eastAsia="仿宋" w:cs="仿宋"/>
          <w:color w:val="auto"/>
          <w:kern w:val="0"/>
          <w:sz w:val="24"/>
          <w:szCs w:val="24"/>
          <w:highlight w:val="none"/>
          <w:lang w:val="en-US" w:eastAsia="zh-CN" w:bidi="ar"/>
        </w:rPr>
        <w:t>。</w:t>
      </w:r>
    </w:p>
    <w:p w14:paraId="71209024">
      <w:pPr>
        <w:pStyle w:val="267"/>
        <w:numPr>
          <w:ilvl w:val="255"/>
          <w:numId w:val="0"/>
        </w:numPr>
        <w:spacing w:line="360" w:lineRule="auto"/>
        <w:ind w:left="420" w:leftChars="200" w:firstLine="420"/>
        <w:rPr>
          <w:rFonts w:hint="eastAsia" w:ascii="仿宋" w:hAnsi="仿宋" w:eastAsia="仿宋" w:cs="仿宋"/>
          <w:color w:val="auto"/>
          <w:kern w:val="0"/>
          <w:sz w:val="24"/>
          <w:szCs w:val="24"/>
          <w:highlight w:val="none"/>
          <w:lang w:bidi="ar"/>
        </w:rPr>
      </w:pPr>
      <w:r>
        <w:rPr>
          <w:rFonts w:hint="eastAsia" w:ascii="仿宋" w:hAnsi="仿宋" w:eastAsia="仿宋" w:cs="仿宋"/>
          <w:b/>
          <w:bCs/>
          <w:color w:val="auto"/>
          <w:kern w:val="0"/>
          <w:sz w:val="24"/>
          <w:szCs w:val="24"/>
          <w:highlight w:val="none"/>
          <w:lang w:bidi="ar"/>
        </w:rPr>
        <w:t>弱电信息箱</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不低于</w:t>
      </w:r>
      <w:r>
        <w:rPr>
          <w:rFonts w:hint="eastAsia" w:ascii="仿宋" w:hAnsi="仿宋" w:eastAsia="仿宋" w:cs="仿宋"/>
          <w:b/>
          <w:bCs/>
          <w:color w:val="auto"/>
          <w:kern w:val="0"/>
          <w:sz w:val="24"/>
          <w:szCs w:val="24"/>
          <w:highlight w:val="none"/>
          <w:lang w:bidi="ar"/>
        </w:rPr>
        <w:t>63个：</w:t>
      </w:r>
      <w:r>
        <w:rPr>
          <w:rFonts w:hint="eastAsia" w:ascii="仿宋" w:hAnsi="仿宋" w:eastAsia="仿宋" w:cs="仿宋"/>
          <w:b/>
          <w:bCs/>
          <w:color w:val="auto"/>
          <w:kern w:val="0"/>
          <w:sz w:val="24"/>
          <w:szCs w:val="24"/>
          <w:highlight w:val="none"/>
          <w:lang w:val="en-US" w:eastAsia="zh-CN" w:bidi="ar"/>
        </w:rPr>
        <w:t>不小于3</w:t>
      </w:r>
      <w:r>
        <w:rPr>
          <w:rFonts w:hint="eastAsia" w:ascii="仿宋" w:hAnsi="仿宋" w:eastAsia="仿宋" w:cs="仿宋"/>
          <w:b/>
          <w:bCs/>
          <w:color w:val="auto"/>
          <w:kern w:val="0"/>
          <w:sz w:val="24"/>
          <w:szCs w:val="24"/>
          <w:highlight w:val="none"/>
          <w:lang w:bidi="ar"/>
        </w:rPr>
        <w:t>00*</w:t>
      </w:r>
      <w:r>
        <w:rPr>
          <w:rFonts w:hint="eastAsia" w:ascii="仿宋" w:hAnsi="仿宋" w:eastAsia="仿宋" w:cs="仿宋"/>
          <w:b/>
          <w:bCs/>
          <w:color w:val="auto"/>
          <w:kern w:val="0"/>
          <w:sz w:val="24"/>
          <w:szCs w:val="24"/>
          <w:highlight w:val="none"/>
          <w:lang w:val="en-US" w:eastAsia="zh-CN" w:bidi="ar"/>
        </w:rPr>
        <w:t>4</w:t>
      </w:r>
      <w:r>
        <w:rPr>
          <w:rFonts w:hint="eastAsia" w:ascii="仿宋" w:hAnsi="仿宋" w:eastAsia="仿宋" w:cs="仿宋"/>
          <w:b/>
          <w:bCs/>
          <w:color w:val="auto"/>
          <w:kern w:val="0"/>
          <w:sz w:val="24"/>
          <w:szCs w:val="24"/>
          <w:highlight w:val="none"/>
          <w:lang w:bidi="ar"/>
        </w:rPr>
        <w:t>00*</w:t>
      </w:r>
      <w:r>
        <w:rPr>
          <w:rFonts w:hint="eastAsia" w:ascii="仿宋" w:hAnsi="仿宋" w:eastAsia="仿宋" w:cs="仿宋"/>
          <w:b/>
          <w:bCs/>
          <w:color w:val="auto"/>
          <w:kern w:val="0"/>
          <w:sz w:val="24"/>
          <w:szCs w:val="24"/>
          <w:highlight w:val="none"/>
          <w:lang w:val="en-US" w:eastAsia="zh-CN" w:bidi="ar"/>
        </w:rPr>
        <w:t>1</w:t>
      </w:r>
      <w:r>
        <w:rPr>
          <w:rFonts w:hint="eastAsia" w:ascii="仿宋" w:hAnsi="仿宋" w:eastAsia="仿宋" w:cs="仿宋"/>
          <w:b/>
          <w:bCs/>
          <w:color w:val="auto"/>
          <w:kern w:val="0"/>
          <w:sz w:val="24"/>
          <w:szCs w:val="24"/>
          <w:highlight w:val="none"/>
          <w:lang w:bidi="ar"/>
        </w:rPr>
        <w:t>00mm，含</w:t>
      </w:r>
      <w:r>
        <w:rPr>
          <w:rFonts w:hint="eastAsia" w:ascii="仿宋" w:hAnsi="仿宋" w:eastAsia="仿宋" w:cs="仿宋"/>
          <w:b/>
          <w:bCs/>
          <w:color w:val="auto"/>
          <w:kern w:val="0"/>
          <w:sz w:val="24"/>
          <w:szCs w:val="24"/>
          <w:highlight w:val="none"/>
          <w:lang w:val="en-US" w:eastAsia="zh-CN" w:bidi="ar"/>
        </w:rPr>
        <w:t>国标</w:t>
      </w:r>
      <w:r>
        <w:rPr>
          <w:rFonts w:hint="eastAsia" w:ascii="仿宋" w:hAnsi="仿宋" w:eastAsia="仿宋" w:cs="仿宋"/>
          <w:b/>
          <w:bCs/>
          <w:color w:val="auto"/>
          <w:kern w:val="0"/>
          <w:sz w:val="24"/>
          <w:szCs w:val="24"/>
          <w:highlight w:val="none"/>
          <w:lang w:bidi="ar"/>
        </w:rPr>
        <w:t>10A\220V插</w:t>
      </w:r>
      <w:r>
        <w:rPr>
          <w:rFonts w:hint="eastAsia" w:ascii="仿宋" w:hAnsi="仿宋" w:eastAsia="仿宋" w:cs="仿宋"/>
          <w:b/>
          <w:bCs/>
          <w:color w:val="auto"/>
          <w:kern w:val="0"/>
          <w:sz w:val="24"/>
          <w:szCs w:val="24"/>
          <w:highlight w:val="none"/>
          <w:lang w:val="en-US" w:eastAsia="zh-CN" w:bidi="ar"/>
        </w:rPr>
        <w:t>板</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两位国标插口</w: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具体根据实际情况</w:t>
      </w:r>
      <w:r>
        <w:rPr>
          <w:rFonts w:hint="eastAsia" w:ascii="仿宋" w:hAnsi="仿宋" w:eastAsia="仿宋" w:cs="仿宋"/>
          <w:color w:val="auto"/>
          <w:kern w:val="0"/>
          <w:sz w:val="24"/>
          <w:szCs w:val="24"/>
          <w:highlight w:val="none"/>
          <w:lang w:bidi="ar"/>
        </w:rPr>
        <w:t>按需定制。</w:t>
      </w:r>
    </w:p>
    <w:p w14:paraId="0946A972">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2、服务主要工作内容</w:t>
      </w:r>
    </w:p>
    <w:p w14:paraId="76DF315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每月至少两次由设备负责人对ONU、AP、线路进行检查、判断设备是否正常运行，是否安装牢固，并由建设单位相关负责人确认符合安全使用要求。</w:t>
      </w:r>
    </w:p>
    <w:p w14:paraId="6B748F8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对ONU、AP、线路进行维护时，必须用专业网络测试工具检查网络数据传输是否正常，是否存在接触不良、数据传输不稳定等情况。出现问题必须查出原因。</w:t>
      </w:r>
    </w:p>
    <w:p w14:paraId="71B3EFD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每月由设备负责人检查网络线路，如有松动、连接不稳定，必须查出原因，并检查线路是否正常，检查水晶头与交换机接口是否松动，以保证连接牢固，并做好检查记录。</w:t>
      </w:r>
    </w:p>
    <w:p w14:paraId="1F05AA7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定期由设备负责人对ONU、AP进行外部除尘，除尘时必须使用干燥、清洁的软布和中性清洁剂。检查ONU各个端口是否正常，指示灯是否正常。</w:t>
      </w:r>
    </w:p>
    <w:p w14:paraId="376914C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AP的永久授权服务；有关费用已包含在采购预算中。</w:t>
      </w:r>
    </w:p>
    <w:p w14:paraId="554E308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对ONU、AP进行维护时，对设备厂商公布的安装漏洞及时修复。</w:t>
      </w:r>
    </w:p>
    <w:p w14:paraId="33A904B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布线弱电系统运维：包含六类非屏蔽网线、六类非屏蔽信息模块、信息面板、水晶头、明装86型底盒、PVC线槽、信息箱、插板、2芯皮线光缆、光纤熔接、光纤点位施工、网络点位施工、墙面及顶面修补，本项目所服务的设备安装及调试等，所有勤学楼综合布线线路正常巡检，排除、定位通讯故障、保证物理线路连接稳定、畅通。</w:t>
      </w:r>
    </w:p>
    <w:p w14:paraId="7626872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包括且不限于链接面板、模块、水晶头的物理连接件的更换、维护。</w:t>
      </w:r>
    </w:p>
    <w:p w14:paraId="3F1B65C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包括且不限于线缆整理、标签等标识物、保证物理硬件环境整洁有序、消除安全隐患。</w:t>
      </w:r>
    </w:p>
    <w:p w14:paraId="191CDE03">
      <w:pPr>
        <w:spacing w:line="360" w:lineRule="auto"/>
        <w:rPr>
          <w:rFonts w:hint="eastAsia" w:ascii="仿宋" w:hAnsi="仿宋" w:eastAsia="仿宋" w:cs="仿宋"/>
          <w:color w:val="auto"/>
          <w:sz w:val="24"/>
          <w:szCs w:val="24"/>
          <w:highlight w:val="none"/>
        </w:rPr>
      </w:pPr>
    </w:p>
    <w:p w14:paraId="037DD496">
      <w:pPr>
        <w:spacing w:line="360" w:lineRule="auto"/>
        <w:rPr>
          <w:rFonts w:hint="eastAsia" w:ascii="仿宋" w:hAnsi="仿宋" w:eastAsia="仿宋" w:cs="仿宋"/>
          <w:color w:val="auto"/>
          <w:sz w:val="24"/>
          <w:szCs w:val="24"/>
          <w:highlight w:val="none"/>
        </w:rPr>
      </w:pPr>
    </w:p>
    <w:p w14:paraId="0D513A83">
      <w:pPr>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03E7A07">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39" w:name="_Toc17696"/>
      <w:r>
        <w:rPr>
          <w:rFonts w:hint="eastAsia" w:ascii="仿宋" w:hAnsi="仿宋" w:eastAsia="仿宋" w:cs="仿宋"/>
          <w:b/>
          <w:color w:val="auto"/>
          <w:sz w:val="24"/>
          <w:szCs w:val="24"/>
          <w:highlight w:val="none"/>
          <w:shd w:val="clear" w:color="auto" w:fill="FFFFFF" w:themeFill="background1"/>
        </w:rPr>
        <w:t>第五章 响应文件格式</w:t>
      </w:r>
      <w:bookmarkEnd w:id="39"/>
    </w:p>
    <w:p w14:paraId="77DC0820">
      <w:pPr>
        <w:spacing w:line="360" w:lineRule="auto"/>
        <w:rPr>
          <w:rFonts w:hint="eastAsia" w:ascii="仿宋" w:hAnsi="仿宋" w:eastAsia="仿宋" w:cs="仿宋"/>
          <w:b/>
          <w:color w:val="auto"/>
          <w:sz w:val="24"/>
          <w:szCs w:val="24"/>
          <w:highlight w:val="none"/>
          <w:shd w:val="clear" w:color="auto" w:fill="FFFFFF" w:themeFill="background1"/>
        </w:rPr>
      </w:pPr>
    </w:p>
    <w:p w14:paraId="4F30AC8F">
      <w:pPr>
        <w:spacing w:line="360" w:lineRule="auto"/>
        <w:rPr>
          <w:rFonts w:hint="eastAsia" w:ascii="仿宋" w:hAnsi="仿宋" w:eastAsia="仿宋" w:cs="仿宋"/>
          <w:b/>
          <w:color w:val="auto"/>
          <w:sz w:val="24"/>
          <w:szCs w:val="24"/>
          <w:highlight w:val="none"/>
          <w:shd w:val="clear" w:color="auto" w:fill="FFFFFF" w:themeFill="background1"/>
        </w:rPr>
      </w:pPr>
    </w:p>
    <w:p w14:paraId="1958D89F">
      <w:pPr>
        <w:spacing w:line="360" w:lineRule="auto"/>
        <w:rPr>
          <w:rFonts w:hint="eastAsia"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007B0A1B">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0B3F6615">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1A3BF6EB">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097C58B3">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02637328">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3C457021">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4EEB72BA">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399D1C5E">
      <w:pPr>
        <w:spacing w:line="360" w:lineRule="auto"/>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5B5610F9">
      <w:pPr>
        <w:spacing w:line="360" w:lineRule="auto"/>
        <w:rPr>
          <w:rFonts w:hint="eastAsia" w:ascii="仿宋" w:hAnsi="仿宋" w:eastAsia="仿宋" w:cs="仿宋"/>
          <w:color w:val="auto"/>
          <w:sz w:val="24"/>
          <w:szCs w:val="24"/>
          <w:highlight w:val="none"/>
          <w:shd w:val="clear" w:color="auto" w:fill="FFFFFF" w:themeFill="background1"/>
        </w:rPr>
      </w:pPr>
    </w:p>
    <w:p w14:paraId="0FD5FD99">
      <w:pPr>
        <w:spacing w:line="360" w:lineRule="auto"/>
        <w:rPr>
          <w:rFonts w:hint="eastAsia" w:ascii="仿宋" w:hAnsi="仿宋" w:eastAsia="仿宋" w:cs="仿宋"/>
          <w:color w:val="auto"/>
          <w:sz w:val="24"/>
          <w:szCs w:val="24"/>
          <w:highlight w:val="none"/>
          <w:shd w:val="clear" w:color="auto" w:fill="FFFFFF" w:themeFill="background1"/>
        </w:rPr>
      </w:pPr>
    </w:p>
    <w:p w14:paraId="1F6E8198">
      <w:pPr>
        <w:spacing w:line="360" w:lineRule="auto"/>
        <w:rPr>
          <w:rFonts w:hint="eastAsia" w:ascii="仿宋" w:hAnsi="仿宋" w:eastAsia="仿宋" w:cs="仿宋"/>
          <w:color w:val="auto"/>
          <w:sz w:val="24"/>
          <w:szCs w:val="24"/>
          <w:highlight w:val="none"/>
          <w:shd w:val="clear" w:color="auto" w:fill="FFFFFF" w:themeFill="background1"/>
        </w:rPr>
      </w:pPr>
    </w:p>
    <w:p w14:paraId="6D6E61BC">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3EA84802">
      <w:pPr>
        <w:spacing w:line="360" w:lineRule="auto"/>
        <w:rPr>
          <w:rFonts w:hint="eastAsia" w:ascii="仿宋" w:hAnsi="仿宋" w:eastAsia="仿宋" w:cs="仿宋"/>
          <w:color w:val="auto"/>
          <w:sz w:val="24"/>
          <w:szCs w:val="24"/>
          <w:highlight w:val="none"/>
          <w:shd w:val="clear" w:color="auto" w:fill="FFFFFF" w:themeFill="background1"/>
        </w:rPr>
      </w:pPr>
    </w:p>
    <w:p w14:paraId="58DF3EFB">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（盖章或签字）</w:t>
      </w:r>
    </w:p>
    <w:p w14:paraId="077FFD40">
      <w:pPr>
        <w:spacing w:line="360" w:lineRule="auto"/>
        <w:rPr>
          <w:rFonts w:hint="eastAsia" w:ascii="仿宋" w:hAnsi="仿宋" w:eastAsia="仿宋" w:cs="仿宋"/>
          <w:color w:val="auto"/>
          <w:sz w:val="24"/>
          <w:szCs w:val="24"/>
          <w:highlight w:val="none"/>
          <w:shd w:val="clear" w:color="auto" w:fill="FFFFFF" w:themeFill="background1"/>
        </w:rPr>
      </w:pPr>
    </w:p>
    <w:p w14:paraId="54234076">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676CE241">
      <w:pPr>
        <w:spacing w:line="360" w:lineRule="auto"/>
        <w:rPr>
          <w:rFonts w:hint="eastAsia" w:ascii="仿宋" w:hAnsi="仿宋" w:eastAsia="仿宋" w:cs="仿宋"/>
          <w:color w:val="auto"/>
          <w:sz w:val="24"/>
          <w:szCs w:val="24"/>
          <w:highlight w:val="none"/>
          <w:shd w:val="clear" w:color="auto" w:fill="FFFFFF" w:themeFill="background1"/>
        </w:rPr>
      </w:pPr>
    </w:p>
    <w:p w14:paraId="5730CD53">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0641D0B5">
      <w:pPr>
        <w:spacing w:line="360" w:lineRule="auto"/>
        <w:rPr>
          <w:rFonts w:hint="eastAsia" w:ascii="仿宋" w:hAnsi="仿宋" w:eastAsia="仿宋" w:cs="仿宋"/>
          <w:color w:val="auto"/>
          <w:sz w:val="24"/>
          <w:szCs w:val="24"/>
          <w:highlight w:val="none"/>
          <w:shd w:val="clear" w:color="auto" w:fill="FFFFFF" w:themeFill="background1"/>
        </w:rPr>
      </w:pPr>
    </w:p>
    <w:p w14:paraId="25F06448">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1243DE4C">
      <w:pPr>
        <w:spacing w:line="360" w:lineRule="auto"/>
        <w:rPr>
          <w:rFonts w:hint="eastAsia" w:ascii="仿宋" w:hAnsi="仿宋" w:eastAsia="仿宋" w:cs="仿宋"/>
          <w:color w:val="auto"/>
          <w:sz w:val="24"/>
          <w:szCs w:val="24"/>
          <w:highlight w:val="none"/>
          <w:shd w:val="clear" w:color="auto" w:fill="FFFFFF" w:themeFill="background1"/>
        </w:rPr>
      </w:pPr>
    </w:p>
    <w:p w14:paraId="50B3CFAB">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1D32A698">
      <w:pPr>
        <w:spacing w:line="360" w:lineRule="auto"/>
        <w:rPr>
          <w:rFonts w:hint="eastAsia" w:ascii="仿宋" w:hAnsi="仿宋" w:eastAsia="仿宋" w:cs="仿宋"/>
          <w:color w:val="auto"/>
          <w:sz w:val="24"/>
          <w:szCs w:val="24"/>
          <w:highlight w:val="none"/>
          <w:shd w:val="clear" w:color="auto" w:fill="FFFFFF" w:themeFill="background1"/>
        </w:rPr>
      </w:pPr>
    </w:p>
    <w:p w14:paraId="3B2DD608">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6878CF50">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p>
    <w:p w14:paraId="7DB62B2B">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40" w:name="_Toc38910521"/>
      <w:bookmarkStart w:id="41" w:name="_Toc38446469"/>
      <w:r>
        <w:rPr>
          <w:rFonts w:hint="eastAsia" w:ascii="仿宋" w:hAnsi="仿宋" w:eastAsia="仿宋" w:cs="仿宋"/>
          <w:color w:val="auto"/>
          <w:sz w:val="24"/>
          <w:szCs w:val="24"/>
          <w:highlight w:val="none"/>
          <w:shd w:val="clear" w:color="auto" w:fill="FFFFFF" w:themeFill="background1"/>
        </w:rPr>
        <w:t>目录</w:t>
      </w:r>
      <w:bookmarkEnd w:id="40"/>
      <w:bookmarkEnd w:id="41"/>
    </w:p>
    <w:p w14:paraId="50A2FB2B">
      <w:pPr>
        <w:spacing w:line="360" w:lineRule="auto"/>
        <w:rPr>
          <w:rFonts w:hint="eastAsia" w:ascii="仿宋" w:hAnsi="仿宋" w:eastAsia="仿宋" w:cs="仿宋"/>
          <w:bCs/>
          <w:color w:val="auto"/>
          <w:sz w:val="24"/>
          <w:szCs w:val="24"/>
          <w:highlight w:val="none"/>
          <w:shd w:val="clear" w:color="auto" w:fill="FFFFFF" w:themeFill="background1"/>
        </w:rPr>
      </w:pPr>
    </w:p>
    <w:p w14:paraId="178A85D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一、开启一览表</w:t>
      </w:r>
    </w:p>
    <w:p w14:paraId="383DBEE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w:t>
      </w:r>
      <w:r>
        <w:rPr>
          <w:rFonts w:hint="eastAsia" w:ascii="仿宋" w:hAnsi="仿宋" w:eastAsia="仿宋" w:cs="仿宋"/>
          <w:bCs/>
          <w:color w:val="auto"/>
          <w:sz w:val="24"/>
          <w:szCs w:val="24"/>
          <w:highlight w:val="none"/>
          <w:shd w:val="clear" w:color="auto" w:fill="FFFFFF" w:themeFill="background1"/>
        </w:rPr>
        <w:t>响应函</w:t>
      </w:r>
    </w:p>
    <w:p w14:paraId="33D0B0E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w:t>
      </w:r>
      <w:r>
        <w:rPr>
          <w:rFonts w:hint="eastAsia" w:ascii="仿宋" w:hAnsi="仿宋" w:eastAsia="仿宋" w:cs="仿宋"/>
          <w:bCs/>
          <w:color w:val="auto"/>
          <w:sz w:val="24"/>
          <w:szCs w:val="24"/>
          <w:highlight w:val="none"/>
          <w:shd w:val="clear" w:color="auto" w:fill="FFFFFF" w:themeFill="background1"/>
        </w:rPr>
        <w:t>响应</w:t>
      </w:r>
      <w:r>
        <w:rPr>
          <w:rFonts w:hint="eastAsia" w:ascii="仿宋" w:hAnsi="仿宋" w:eastAsia="仿宋" w:cs="仿宋"/>
          <w:color w:val="auto"/>
          <w:kern w:val="0"/>
          <w:sz w:val="24"/>
          <w:szCs w:val="24"/>
          <w:highlight w:val="none"/>
        </w:rPr>
        <w:t>价格明细表</w:t>
      </w:r>
    </w:p>
    <w:p w14:paraId="681F6EB9">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18E7A320">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0969B608">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3778F53F">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36654F6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八、供应商资格条件证明材料</w:t>
      </w:r>
    </w:p>
    <w:p w14:paraId="67A3C9E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九、供应商近年类似项目情况表</w:t>
      </w:r>
    </w:p>
    <w:p w14:paraId="1185988F">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十、项目负责人简历表</w:t>
      </w:r>
    </w:p>
    <w:p w14:paraId="4D3A602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十一、拟派主要服务人员情况表</w:t>
      </w:r>
    </w:p>
    <w:p w14:paraId="538830A1">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十二、服务方案</w:t>
      </w:r>
    </w:p>
    <w:p w14:paraId="2ABE769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十三、保证金缴纳证明材料</w:t>
      </w:r>
    </w:p>
    <w:p w14:paraId="67D954F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十四、其它需要提交的资料</w:t>
      </w:r>
    </w:p>
    <w:p w14:paraId="179DE2E6">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ab/>
      </w:r>
    </w:p>
    <w:p w14:paraId="1F16507F">
      <w:pPr>
        <w:spacing w:line="360" w:lineRule="auto"/>
        <w:rPr>
          <w:rFonts w:hint="eastAsia" w:ascii="仿宋" w:hAnsi="仿宋" w:eastAsia="仿宋" w:cs="仿宋"/>
          <w:bCs/>
          <w:color w:val="auto"/>
          <w:sz w:val="24"/>
          <w:szCs w:val="24"/>
          <w:highlight w:val="none"/>
          <w:shd w:val="clear" w:color="auto" w:fill="FFFFFF" w:themeFill="background1"/>
        </w:rPr>
      </w:pPr>
    </w:p>
    <w:p w14:paraId="361AE1CB">
      <w:pPr>
        <w:spacing w:line="360" w:lineRule="auto"/>
        <w:ind w:firstLine="480" w:firstLineChars="200"/>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注：为了便于查找，请按上述顺序编制</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bCs/>
          <w:color w:val="auto"/>
          <w:sz w:val="24"/>
          <w:szCs w:val="24"/>
          <w:highlight w:val="none"/>
          <w:shd w:val="clear" w:color="auto" w:fill="FFFFFF" w:themeFill="background1"/>
        </w:rPr>
        <w:t>内容，并在目录中标明每项内容的起始页码。</w:t>
      </w:r>
    </w:p>
    <w:p w14:paraId="4054F16D">
      <w:pPr>
        <w:rPr>
          <w:rFonts w:hint="eastAsia" w:ascii="仿宋" w:hAnsi="仿宋" w:eastAsia="仿宋" w:cs="仿宋"/>
          <w:bCs/>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br w:type="page"/>
      </w:r>
    </w:p>
    <w:p w14:paraId="15BEC3C8">
      <w:pPr>
        <w:tabs>
          <w:tab w:val="center" w:pos="4832"/>
          <w:tab w:val="left" w:pos="7140"/>
        </w:tabs>
        <w:jc w:val="center"/>
        <w:outlineLvl w:val="1"/>
        <w:rPr>
          <w:rFonts w:hint="eastAsia" w:ascii="仿宋" w:hAnsi="仿宋" w:eastAsia="仿宋" w:cs="仿宋"/>
          <w:b/>
          <w:color w:val="auto"/>
          <w:sz w:val="24"/>
          <w:szCs w:val="24"/>
          <w:highlight w:val="none"/>
        </w:rPr>
      </w:pPr>
      <w:bookmarkStart w:id="42" w:name="_Toc22190"/>
      <w:bookmarkStart w:id="43" w:name="_Toc6644"/>
      <w:bookmarkStart w:id="44" w:name="_Toc1962"/>
      <w:r>
        <w:rPr>
          <w:rFonts w:hint="eastAsia" w:ascii="仿宋" w:hAnsi="仿宋" w:eastAsia="仿宋" w:cs="仿宋"/>
          <w:b/>
          <w:color w:val="auto"/>
          <w:sz w:val="24"/>
          <w:szCs w:val="24"/>
          <w:highlight w:val="none"/>
        </w:rPr>
        <w:t>一、开启一览表</w:t>
      </w:r>
      <w:bookmarkEnd w:id="42"/>
      <w:bookmarkEnd w:id="43"/>
      <w:bookmarkEnd w:id="44"/>
    </w:p>
    <w:p w14:paraId="526999AF">
      <w:pPr>
        <w:rPr>
          <w:rFonts w:hint="eastAsia" w:ascii="仿宋" w:hAnsi="仿宋" w:eastAsia="仿宋" w:cs="仿宋"/>
          <w:color w:val="auto"/>
          <w:highlight w:val="none"/>
        </w:rPr>
      </w:pPr>
    </w:p>
    <w:p w14:paraId="3839BA19">
      <w:pPr>
        <w:rPr>
          <w:rFonts w:hint="eastAsia" w:ascii="仿宋" w:hAnsi="仿宋" w:eastAsia="仿宋" w:cs="仿宋"/>
          <w:color w:val="auto"/>
          <w:highlight w:val="none"/>
        </w:rPr>
      </w:pPr>
    </w:p>
    <w:tbl>
      <w:tblPr>
        <w:tblStyle w:val="43"/>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75"/>
        <w:gridCol w:w="6706"/>
      </w:tblGrid>
      <w:tr w14:paraId="4C98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19A51DA9">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vAlign w:val="center"/>
          </w:tcPr>
          <w:p w14:paraId="6E6FA84B">
            <w:pPr>
              <w:spacing w:line="360" w:lineRule="auto"/>
              <w:ind w:right="-670"/>
              <w:rPr>
                <w:rFonts w:hint="eastAsia" w:ascii="仿宋" w:hAnsi="仿宋" w:eastAsia="仿宋" w:cs="仿宋"/>
                <w:bCs/>
                <w:color w:val="auto"/>
                <w:sz w:val="24"/>
                <w:szCs w:val="24"/>
                <w:highlight w:val="none"/>
              </w:rPr>
            </w:pPr>
          </w:p>
        </w:tc>
      </w:tr>
      <w:tr w14:paraId="707DB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8AFFE53">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vAlign w:val="center"/>
          </w:tcPr>
          <w:p w14:paraId="62BC650E">
            <w:pPr>
              <w:spacing w:line="360" w:lineRule="auto"/>
              <w:ind w:right="-670"/>
              <w:rPr>
                <w:rFonts w:hint="eastAsia" w:ascii="仿宋" w:hAnsi="仿宋" w:eastAsia="仿宋" w:cs="仿宋"/>
                <w:bCs/>
                <w:color w:val="auto"/>
                <w:sz w:val="24"/>
                <w:szCs w:val="24"/>
                <w:highlight w:val="none"/>
              </w:rPr>
            </w:pPr>
          </w:p>
        </w:tc>
      </w:tr>
      <w:tr w14:paraId="0F6C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exact"/>
        </w:trPr>
        <w:tc>
          <w:tcPr>
            <w:tcW w:w="1500" w:type="pct"/>
            <w:tcBorders>
              <w:top w:val="single" w:color="auto" w:sz="4" w:space="0"/>
              <w:left w:val="single" w:color="auto" w:sz="4" w:space="0"/>
              <w:bottom w:val="single" w:color="auto" w:sz="4" w:space="0"/>
              <w:right w:val="single" w:color="auto" w:sz="4" w:space="0"/>
            </w:tcBorders>
            <w:vAlign w:val="center"/>
          </w:tcPr>
          <w:p w14:paraId="23171DF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响应价格</w:t>
            </w:r>
          </w:p>
        </w:tc>
        <w:tc>
          <w:tcPr>
            <w:tcW w:w="3499" w:type="pct"/>
            <w:tcBorders>
              <w:left w:val="single" w:color="auto" w:sz="4" w:space="0"/>
            </w:tcBorders>
            <w:vAlign w:val="center"/>
          </w:tcPr>
          <w:p w14:paraId="48E4F760">
            <w:pPr>
              <w:pStyle w:val="42"/>
              <w:ind w:left="0" w:leftChars="0" w:firstLine="0" w:firstLineChars="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元</w:t>
            </w:r>
          </w:p>
          <w:p w14:paraId="12F300A2">
            <w:pPr>
              <w:rPr>
                <w:rFonts w:hint="eastAsia"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元</w:t>
            </w:r>
          </w:p>
        </w:tc>
      </w:tr>
      <w:tr w14:paraId="5320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exact"/>
        </w:trPr>
        <w:tc>
          <w:tcPr>
            <w:tcW w:w="1500" w:type="pct"/>
            <w:tcBorders>
              <w:top w:val="single" w:color="auto" w:sz="4" w:space="0"/>
              <w:left w:val="single" w:color="auto" w:sz="4" w:space="0"/>
              <w:bottom w:val="single" w:color="auto" w:sz="4" w:space="0"/>
              <w:right w:val="single" w:color="auto" w:sz="4" w:space="0"/>
            </w:tcBorders>
            <w:vAlign w:val="center"/>
          </w:tcPr>
          <w:p w14:paraId="3EBF5F8C">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vAlign w:val="center"/>
          </w:tcPr>
          <w:p w14:paraId="697F4902">
            <w:pPr>
              <w:spacing w:line="360" w:lineRule="auto"/>
              <w:rPr>
                <w:rFonts w:hint="eastAsia" w:ascii="仿宋" w:hAnsi="仿宋" w:eastAsia="仿宋" w:cs="仿宋"/>
                <w:bCs/>
                <w:color w:val="auto"/>
                <w:sz w:val="24"/>
                <w:szCs w:val="24"/>
                <w:highlight w:val="none"/>
              </w:rPr>
            </w:pPr>
          </w:p>
        </w:tc>
      </w:tr>
      <w:tr w14:paraId="74A8C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2B8A3B80">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响应有效期</w:t>
            </w:r>
          </w:p>
        </w:tc>
        <w:tc>
          <w:tcPr>
            <w:tcW w:w="3499" w:type="pct"/>
            <w:tcBorders>
              <w:left w:val="single" w:color="auto" w:sz="4" w:space="0"/>
            </w:tcBorders>
            <w:vAlign w:val="center"/>
          </w:tcPr>
          <w:p w14:paraId="71195A44">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自响应截止之日</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日历日</w:t>
            </w:r>
          </w:p>
        </w:tc>
      </w:tr>
      <w:tr w14:paraId="444C0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A1EFDC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vAlign w:val="center"/>
          </w:tcPr>
          <w:p w14:paraId="61F9B971">
            <w:pPr>
              <w:rPr>
                <w:rFonts w:hint="eastAsia" w:ascii="仿宋" w:hAnsi="仿宋" w:eastAsia="仿宋" w:cs="仿宋"/>
                <w:bCs/>
                <w:color w:val="auto"/>
                <w:sz w:val="24"/>
                <w:szCs w:val="24"/>
                <w:highlight w:val="none"/>
              </w:rPr>
            </w:pPr>
          </w:p>
        </w:tc>
      </w:tr>
    </w:tbl>
    <w:p w14:paraId="3396F72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19422C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B06178F">
      <w:pPr>
        <w:pStyle w:val="42"/>
        <w:ind w:left="420"/>
        <w:rPr>
          <w:rFonts w:hint="eastAsia" w:ascii="仿宋" w:hAnsi="仿宋" w:eastAsia="仿宋" w:cs="仿宋"/>
          <w:color w:val="auto"/>
          <w:highlight w:val="none"/>
        </w:rPr>
      </w:pPr>
    </w:p>
    <w:p w14:paraId="63C2B3C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F7873D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B01246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45DE2B5B">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73214C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7540483">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45" w:name="_Toc507586166"/>
      <w:bookmarkStart w:id="46" w:name="_Toc533503181"/>
      <w:bookmarkStart w:id="47" w:name="_Toc38446470"/>
      <w:bookmarkStart w:id="48" w:name="_Toc16674"/>
      <w:r>
        <w:rPr>
          <w:rFonts w:hint="eastAsia" w:ascii="仿宋" w:hAnsi="仿宋" w:eastAsia="仿宋" w:cs="仿宋"/>
          <w:b/>
          <w:color w:val="auto"/>
          <w:sz w:val="24"/>
          <w:szCs w:val="24"/>
          <w:highlight w:val="none"/>
          <w:shd w:val="clear" w:color="auto" w:fill="FFFFFF" w:themeFill="background1"/>
        </w:rPr>
        <w:t>二、</w:t>
      </w:r>
      <w:bookmarkEnd w:id="45"/>
      <w:bookmarkEnd w:id="46"/>
      <w:bookmarkEnd w:id="47"/>
      <w:r>
        <w:rPr>
          <w:rFonts w:hint="eastAsia" w:ascii="仿宋" w:hAnsi="仿宋" w:eastAsia="仿宋" w:cs="仿宋"/>
          <w:b/>
          <w:color w:val="auto"/>
          <w:sz w:val="24"/>
          <w:szCs w:val="24"/>
          <w:highlight w:val="none"/>
          <w:shd w:val="clear" w:color="auto" w:fill="FFFFFF" w:themeFill="background1"/>
        </w:rPr>
        <w:t>响应函</w:t>
      </w:r>
      <w:bookmarkEnd w:id="48"/>
    </w:p>
    <w:p w14:paraId="4D3DF6E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D3693B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11CD1D4F">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（项目名称）的采购文件，遵照《中华人民共和国政府采购法》等有关法律法规的规定，经考察现场和充分研究贵方的采购文件的全部内容后，我方郑重承诺如下：</w:t>
      </w:r>
    </w:p>
    <w:p w14:paraId="04EA2D07">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26CE2A67">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4E3D887C">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29A9D96F">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4、我方所递交的响应文件及有关资料内容完整、真实和准确，且不存在供应商须知前附表规定的供应商不得存在的任何一种情形。</w:t>
      </w:r>
    </w:p>
    <w:p w14:paraId="74074FBD">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采购文件</w:t>
      </w:r>
      <w:r>
        <w:rPr>
          <w:rFonts w:hint="eastAsia" w:ascii="仿宋" w:hAnsi="仿宋" w:eastAsia="仿宋" w:cs="仿宋"/>
          <w:color w:val="auto"/>
          <w:kern w:val="0"/>
          <w:sz w:val="24"/>
          <w:szCs w:val="24"/>
          <w:highlight w:val="none"/>
          <w:shd w:val="clear" w:color="auto" w:fill="FFFFFF" w:themeFill="background1"/>
        </w:rPr>
        <w:t>规定的响应有效期内对我方具有约束力，如果我方在响应有效期内撤销响应，其响应保证金将被贵方没收。</w:t>
      </w:r>
    </w:p>
    <w:p w14:paraId="578AEC63">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我方已完全理解采购文件的全部内容，并无异议。</w:t>
      </w:r>
    </w:p>
    <w:p w14:paraId="079B6D02">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70B18D7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8、我方愿意提供贵方可能要求的与采购有关的一切数据或资料，完全理解贵方不一定接受最低报价的响应或收到的任何响应。</w:t>
      </w:r>
    </w:p>
    <w:p w14:paraId="668BE5D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FFE49F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96789A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418A31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kern w:val="0"/>
          <w:sz w:val="24"/>
          <w:szCs w:val="24"/>
          <w:highlight w:val="none"/>
          <w:shd w:val="clear" w:color="auto" w:fill="FFFFFF" w:themeFill="background1"/>
        </w:rPr>
        <w:t xml:space="preserve">）                       </w:t>
      </w:r>
    </w:p>
    <w:p w14:paraId="1036421D">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日期：年 月 日</w:t>
      </w:r>
    </w:p>
    <w:p w14:paraId="0C931D51">
      <w:pP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9" w:name="_Toc533503184"/>
      <w:bookmarkStart w:id="50" w:name="_Toc507586169"/>
      <w:bookmarkStart w:id="51" w:name="_Toc38446474"/>
    </w:p>
    <w:p w14:paraId="02D86A8C">
      <w:pPr>
        <w:tabs>
          <w:tab w:val="center" w:pos="4832"/>
          <w:tab w:val="left" w:pos="7140"/>
        </w:tabs>
        <w:spacing w:line="360" w:lineRule="auto"/>
        <w:jc w:val="center"/>
        <w:outlineLvl w:val="1"/>
        <w:rPr>
          <w:rFonts w:hint="eastAsia" w:ascii="仿宋" w:hAnsi="仿宋" w:eastAsia="仿宋" w:cs="仿宋"/>
          <w:color w:val="auto"/>
          <w:kern w:val="0"/>
          <w:sz w:val="24"/>
          <w:szCs w:val="24"/>
          <w:highlight w:val="none"/>
          <w:shd w:val="clear" w:color="auto" w:fill="FFFFFF" w:themeFill="background1"/>
        </w:rPr>
      </w:pPr>
      <w:bookmarkStart w:id="52" w:name="_Toc27997"/>
      <w:r>
        <w:rPr>
          <w:rFonts w:hint="eastAsia" w:ascii="仿宋" w:hAnsi="仿宋" w:eastAsia="仿宋" w:cs="仿宋"/>
          <w:b/>
          <w:color w:val="auto"/>
          <w:sz w:val="24"/>
          <w:szCs w:val="24"/>
          <w:highlight w:val="none"/>
          <w:shd w:val="clear" w:color="auto" w:fill="FFFFFF" w:themeFill="background1"/>
        </w:rPr>
        <w:t>三、响应价格明细表</w:t>
      </w:r>
      <w:bookmarkEnd w:id="52"/>
    </w:p>
    <w:tbl>
      <w:tblPr>
        <w:tblStyle w:val="43"/>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3"/>
        <w:gridCol w:w="3282"/>
        <w:gridCol w:w="2194"/>
        <w:gridCol w:w="1560"/>
      </w:tblGrid>
      <w:tr w14:paraId="23467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437C203A">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3282" w:type="dxa"/>
            <w:vAlign w:val="center"/>
          </w:tcPr>
          <w:p w14:paraId="0BED20BA">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名称</w:t>
            </w:r>
          </w:p>
        </w:tc>
        <w:tc>
          <w:tcPr>
            <w:tcW w:w="2194" w:type="dxa"/>
            <w:vAlign w:val="center"/>
          </w:tcPr>
          <w:p w14:paraId="230D26E9">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小计（元）</w:t>
            </w:r>
          </w:p>
        </w:tc>
        <w:tc>
          <w:tcPr>
            <w:tcW w:w="1560" w:type="dxa"/>
            <w:vAlign w:val="center"/>
          </w:tcPr>
          <w:p w14:paraId="4A9A79FB">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备注</w:t>
            </w:r>
          </w:p>
        </w:tc>
      </w:tr>
      <w:tr w14:paraId="3EDAA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61E9D9FC">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1</w:t>
            </w:r>
          </w:p>
        </w:tc>
        <w:tc>
          <w:tcPr>
            <w:tcW w:w="3282" w:type="dxa"/>
            <w:vAlign w:val="center"/>
          </w:tcPr>
          <w:p w14:paraId="635C85B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94" w:type="dxa"/>
            <w:vAlign w:val="center"/>
          </w:tcPr>
          <w:p w14:paraId="6F82B04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03B12B66">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03231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64CF7397">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2</w:t>
            </w:r>
          </w:p>
        </w:tc>
        <w:tc>
          <w:tcPr>
            <w:tcW w:w="3282" w:type="dxa"/>
            <w:vAlign w:val="center"/>
          </w:tcPr>
          <w:p w14:paraId="0592666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94" w:type="dxa"/>
            <w:vAlign w:val="center"/>
          </w:tcPr>
          <w:p w14:paraId="5C6F9BF7">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40BF3A0F">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09DD8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7446C9D3">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3</w:t>
            </w:r>
          </w:p>
        </w:tc>
        <w:tc>
          <w:tcPr>
            <w:tcW w:w="3282" w:type="dxa"/>
            <w:vAlign w:val="center"/>
          </w:tcPr>
          <w:p w14:paraId="5AB98EF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94" w:type="dxa"/>
            <w:vAlign w:val="center"/>
          </w:tcPr>
          <w:p w14:paraId="1BADF56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7BABD37E">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636D0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1235F812">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4</w:t>
            </w:r>
          </w:p>
        </w:tc>
        <w:tc>
          <w:tcPr>
            <w:tcW w:w="3282" w:type="dxa"/>
            <w:vAlign w:val="center"/>
          </w:tcPr>
          <w:p w14:paraId="3B7A8D6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94" w:type="dxa"/>
            <w:vAlign w:val="center"/>
          </w:tcPr>
          <w:p w14:paraId="678E769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5F693D99">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7E2F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63" w:type="dxa"/>
            <w:vAlign w:val="center"/>
          </w:tcPr>
          <w:p w14:paraId="6955429B">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w:t>
            </w:r>
          </w:p>
        </w:tc>
        <w:tc>
          <w:tcPr>
            <w:tcW w:w="3282" w:type="dxa"/>
            <w:vAlign w:val="center"/>
          </w:tcPr>
          <w:p w14:paraId="06E9228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94" w:type="dxa"/>
            <w:vAlign w:val="center"/>
          </w:tcPr>
          <w:p w14:paraId="38DE764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496D38F8">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2E5D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545" w:type="dxa"/>
            <w:gridSpan w:val="2"/>
            <w:vAlign w:val="center"/>
          </w:tcPr>
          <w:p w14:paraId="7BEEFA16">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合计</w:t>
            </w:r>
          </w:p>
        </w:tc>
        <w:tc>
          <w:tcPr>
            <w:tcW w:w="2194" w:type="dxa"/>
            <w:vAlign w:val="center"/>
          </w:tcPr>
          <w:p w14:paraId="19FD0CD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560" w:type="dxa"/>
            <w:vAlign w:val="center"/>
          </w:tcPr>
          <w:p w14:paraId="1BE153EB">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44099D6D">
      <w:pPr>
        <w:spacing w:line="360" w:lineRule="auto"/>
        <w:rPr>
          <w:rFonts w:hint="eastAsia" w:ascii="仿宋" w:hAnsi="仿宋" w:eastAsia="仿宋" w:cs="仿宋"/>
          <w:color w:val="auto"/>
          <w:highlight w:val="none"/>
          <w:shd w:val="clear" w:color="auto" w:fill="FFFFFF" w:themeFill="background1"/>
        </w:rPr>
      </w:pPr>
    </w:p>
    <w:p w14:paraId="3FE9361D">
      <w:pPr>
        <w:spacing w:line="360" w:lineRule="auto"/>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注：</w:t>
      </w:r>
    </w:p>
    <w:p w14:paraId="70CDD65E">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1、供应商填报响应价格合计应与响应函载明价格一致，若不一致，应按照第二章评审办法修正原则进行修正。</w:t>
      </w:r>
    </w:p>
    <w:p w14:paraId="23A5BA34">
      <w:pPr>
        <w:spacing w:line="360" w:lineRule="auto"/>
        <w:ind w:firstLine="420" w:firstLineChars="200"/>
        <w:jc w:val="left"/>
        <w:rPr>
          <w:rFonts w:hint="eastAsia" w:ascii="仿宋" w:hAnsi="仿宋" w:eastAsia="仿宋" w:cs="仿宋"/>
          <w:color w:val="auto"/>
          <w:highlight w:val="none"/>
          <w:shd w:val="clear" w:color="auto" w:fill="FFFFFF" w:themeFill="background1"/>
        </w:rPr>
      </w:pPr>
      <w:r>
        <w:rPr>
          <w:rFonts w:hint="eastAsia" w:ascii="仿宋" w:hAnsi="仿宋" w:eastAsia="仿宋" w:cs="仿宋"/>
          <w:color w:val="auto"/>
          <w:highlight w:val="none"/>
          <w:shd w:val="clear" w:color="auto" w:fill="FFFFFF" w:themeFill="background1"/>
        </w:rPr>
        <w:t>2、供应商的服务只允许有一个报价，采购人不接受有任何选择的报价。响应价格应包括供应商履行本项目合同（如果成交）所必须的所有成本费用和成交供应商应承担的一切费用，包括但不仅限于必要资料、交通、保险、人工费、税费等一切费用。未列和没有填写的项目费用，采购人将视为已包括在响应价格中。</w:t>
      </w:r>
    </w:p>
    <w:p w14:paraId="27E51FA7">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BFC1D71">
      <w:pPr>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32022E60">
      <w:pPr>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18B9E6C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ED81CB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kern w:val="0"/>
          <w:sz w:val="24"/>
          <w:szCs w:val="24"/>
          <w:highlight w:val="none"/>
          <w:shd w:val="clear" w:color="auto" w:fill="FFFFFF" w:themeFill="background1"/>
        </w:rPr>
        <w:t>）</w:t>
      </w:r>
    </w:p>
    <w:p w14:paraId="33D274F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2BDD20F0">
      <w:pP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6DD4AA3E">
      <w:pPr>
        <w:rPr>
          <w:rFonts w:hint="eastAsia" w:ascii="仿宋" w:hAnsi="仿宋" w:eastAsia="仿宋" w:cs="仿宋"/>
          <w:color w:val="auto"/>
          <w:highlight w:val="none"/>
        </w:rPr>
        <w:sectPr>
          <w:footerReference r:id="rId10" w:type="default"/>
          <w:pgSz w:w="11910" w:h="16840"/>
          <w:pgMar w:top="1440" w:right="1080" w:bottom="1440" w:left="1080" w:header="0" w:footer="1036" w:gutter="0"/>
          <w:cols w:space="720" w:num="1"/>
        </w:sectPr>
      </w:pPr>
    </w:p>
    <w:p w14:paraId="479E7E4C">
      <w:pPr>
        <w:tabs>
          <w:tab w:val="center" w:pos="4832"/>
          <w:tab w:val="left" w:pos="7140"/>
        </w:tabs>
        <w:spacing w:line="360" w:lineRule="auto"/>
        <w:jc w:val="center"/>
        <w:outlineLvl w:val="1"/>
        <w:rPr>
          <w:rFonts w:hint="eastAsia" w:ascii="仿宋" w:hAnsi="仿宋" w:eastAsia="仿宋" w:cs="仿宋"/>
          <w:color w:val="auto"/>
          <w:kern w:val="0"/>
          <w:sz w:val="24"/>
          <w:szCs w:val="24"/>
          <w:highlight w:val="none"/>
          <w:shd w:val="clear" w:color="auto" w:fill="FFFFFF" w:themeFill="background1"/>
        </w:rPr>
      </w:pPr>
      <w:bookmarkStart w:id="53" w:name="_Toc2836"/>
      <w:r>
        <w:rPr>
          <w:rFonts w:hint="eastAsia" w:ascii="仿宋" w:hAnsi="仿宋" w:eastAsia="仿宋" w:cs="仿宋"/>
          <w:b/>
          <w:color w:val="auto"/>
          <w:sz w:val="24"/>
          <w:szCs w:val="24"/>
          <w:highlight w:val="none"/>
          <w:shd w:val="clear" w:color="auto" w:fill="FFFFFF" w:themeFill="background1"/>
        </w:rPr>
        <w:t>四、商务条款偏离表</w:t>
      </w:r>
      <w:bookmarkEnd w:id="49"/>
      <w:bookmarkEnd w:id="50"/>
      <w:bookmarkEnd w:id="51"/>
      <w:bookmarkEnd w:id="53"/>
    </w:p>
    <w:tbl>
      <w:tblPr>
        <w:tblStyle w:val="4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3B2D2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660138F">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4EDB28A5">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采购文件条目号</w:t>
            </w:r>
          </w:p>
        </w:tc>
        <w:tc>
          <w:tcPr>
            <w:tcW w:w="2083" w:type="dxa"/>
            <w:vAlign w:val="center"/>
          </w:tcPr>
          <w:p w14:paraId="48B317A9">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采购文件的商务条款</w:t>
            </w:r>
          </w:p>
        </w:tc>
        <w:tc>
          <w:tcPr>
            <w:tcW w:w="2182" w:type="dxa"/>
            <w:vAlign w:val="center"/>
          </w:tcPr>
          <w:p w14:paraId="199F8072">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响应文件的商务条款</w:t>
            </w:r>
          </w:p>
        </w:tc>
        <w:tc>
          <w:tcPr>
            <w:tcW w:w="1155" w:type="dxa"/>
            <w:vAlign w:val="center"/>
          </w:tcPr>
          <w:p w14:paraId="170F44EC">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3FD3CB5B">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2826F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4F8B2D4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2955F64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61D6060A">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6AB29E5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170B72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3C306888">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401A9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79D72F0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4F33F27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16EA824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3D9386C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5FA541C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61D83FF6">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0C016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5761378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479B7BAC">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32E4629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7EA6B39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5C4469F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47A1247B">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2C46F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D9A579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151EBF7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57A39430">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3978E77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E551EB1">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5287514E">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67093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38AAD4D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0CB4688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001A681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1017456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7CDF8C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63CDBE44">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66897F97">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注：供应商对采购文件商务条款有偏离的，应在此表中列明实际响应的内容并加以说明，以便查对。请在此偏离表“偏离”中填写无偏离或正偏离或负偏离。</w:t>
      </w:r>
    </w:p>
    <w:p w14:paraId="43F0B6DF">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04A45BE3">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3065C2E5">
      <w:pPr>
        <w:spacing w:line="360" w:lineRule="auto"/>
        <w:jc w:val="left"/>
        <w:rPr>
          <w:rFonts w:hint="eastAsia" w:ascii="仿宋" w:hAnsi="仿宋" w:eastAsia="仿宋" w:cs="仿宋"/>
          <w:color w:val="auto"/>
          <w:sz w:val="24"/>
          <w:szCs w:val="24"/>
          <w:highlight w:val="none"/>
          <w:shd w:val="clear" w:color="auto" w:fill="FFFFFF" w:themeFill="background1"/>
        </w:rPr>
      </w:pPr>
    </w:p>
    <w:p w14:paraId="4AF2A435">
      <w:pPr>
        <w:spacing w:line="360" w:lineRule="auto"/>
        <w:jc w:val="left"/>
        <w:rPr>
          <w:rFonts w:hint="eastAsia" w:ascii="仿宋" w:hAnsi="仿宋" w:eastAsia="仿宋" w:cs="仿宋"/>
          <w:color w:val="auto"/>
          <w:sz w:val="24"/>
          <w:szCs w:val="24"/>
          <w:highlight w:val="none"/>
          <w:shd w:val="clear" w:color="auto" w:fill="FFFFFF" w:themeFill="background1"/>
        </w:rPr>
      </w:pPr>
    </w:p>
    <w:p w14:paraId="59925700">
      <w:pPr>
        <w:spacing w:line="360" w:lineRule="auto"/>
        <w:jc w:val="left"/>
        <w:rPr>
          <w:rFonts w:hint="eastAsia" w:ascii="仿宋" w:hAnsi="仿宋" w:eastAsia="仿宋" w:cs="仿宋"/>
          <w:color w:val="auto"/>
          <w:sz w:val="24"/>
          <w:szCs w:val="24"/>
          <w:highlight w:val="none"/>
          <w:shd w:val="clear" w:color="auto" w:fill="FFFFFF" w:themeFill="background1"/>
        </w:rPr>
      </w:pPr>
    </w:p>
    <w:p w14:paraId="5E207B5B">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1F29428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0CEA012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kern w:val="0"/>
          <w:sz w:val="24"/>
          <w:szCs w:val="24"/>
          <w:highlight w:val="none"/>
          <w:shd w:val="clear" w:color="auto" w:fill="FFFFFF" w:themeFill="background1"/>
        </w:rPr>
        <w:t>）</w:t>
      </w:r>
    </w:p>
    <w:p w14:paraId="083BBD72">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76DF6453">
      <w:pPr>
        <w:widowControl/>
        <w:spacing w:line="360" w:lineRule="auto"/>
        <w:jc w:val="left"/>
        <w:rPr>
          <w:rFonts w:hint="eastAsia" w:ascii="仿宋" w:hAnsi="仿宋" w:eastAsia="仿宋" w:cs="仿宋"/>
          <w:b/>
          <w:bCs/>
          <w:color w:val="auto"/>
          <w:kern w:val="36"/>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p>
    <w:p w14:paraId="7318C0E8">
      <w:pPr>
        <w:tabs>
          <w:tab w:val="center" w:pos="4832"/>
          <w:tab w:val="left" w:pos="7140"/>
        </w:tabs>
        <w:spacing w:line="360" w:lineRule="auto"/>
        <w:jc w:val="center"/>
        <w:outlineLvl w:val="1"/>
        <w:rPr>
          <w:rFonts w:hint="eastAsia" w:ascii="仿宋" w:hAnsi="仿宋" w:eastAsia="仿宋" w:cs="仿宋"/>
          <w:color w:val="auto"/>
          <w:kern w:val="0"/>
          <w:sz w:val="24"/>
          <w:szCs w:val="24"/>
          <w:highlight w:val="none"/>
          <w:shd w:val="clear" w:color="auto" w:fill="FFFFFF" w:themeFill="background1"/>
        </w:rPr>
      </w:pPr>
      <w:bookmarkStart w:id="54" w:name="_Toc23331"/>
      <w:r>
        <w:rPr>
          <w:rFonts w:hint="eastAsia" w:ascii="仿宋" w:hAnsi="仿宋" w:eastAsia="仿宋" w:cs="仿宋"/>
          <w:b/>
          <w:color w:val="auto"/>
          <w:sz w:val="24"/>
          <w:szCs w:val="24"/>
          <w:highlight w:val="none"/>
          <w:shd w:val="clear" w:color="auto" w:fill="FFFFFF" w:themeFill="background1"/>
        </w:rPr>
        <w:t>五、技术条款偏离表</w:t>
      </w:r>
      <w:bookmarkEnd w:id="54"/>
    </w:p>
    <w:tbl>
      <w:tblPr>
        <w:tblStyle w:val="4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3"/>
        <w:gridCol w:w="1814"/>
        <w:gridCol w:w="2083"/>
        <w:gridCol w:w="2182"/>
        <w:gridCol w:w="1155"/>
        <w:gridCol w:w="1219"/>
      </w:tblGrid>
      <w:tr w14:paraId="76BA4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17AD6EC2">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序号</w:t>
            </w:r>
          </w:p>
        </w:tc>
        <w:tc>
          <w:tcPr>
            <w:tcW w:w="1814" w:type="dxa"/>
            <w:vAlign w:val="center"/>
          </w:tcPr>
          <w:p w14:paraId="737EC04C">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采购文件条目号</w:t>
            </w:r>
          </w:p>
        </w:tc>
        <w:tc>
          <w:tcPr>
            <w:tcW w:w="2083" w:type="dxa"/>
            <w:vAlign w:val="center"/>
          </w:tcPr>
          <w:p w14:paraId="60A409CF">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采购文件的技术条款</w:t>
            </w:r>
          </w:p>
        </w:tc>
        <w:tc>
          <w:tcPr>
            <w:tcW w:w="2182" w:type="dxa"/>
            <w:vAlign w:val="center"/>
          </w:tcPr>
          <w:p w14:paraId="1019411D">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响应文件的技术条款</w:t>
            </w:r>
          </w:p>
        </w:tc>
        <w:tc>
          <w:tcPr>
            <w:tcW w:w="1155" w:type="dxa"/>
            <w:vAlign w:val="center"/>
          </w:tcPr>
          <w:p w14:paraId="33E3B321">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偏离</w:t>
            </w:r>
          </w:p>
        </w:tc>
        <w:tc>
          <w:tcPr>
            <w:tcW w:w="1219" w:type="dxa"/>
            <w:vAlign w:val="center"/>
          </w:tcPr>
          <w:p w14:paraId="415BB84E">
            <w:pPr>
              <w:spacing w:line="360" w:lineRule="auto"/>
              <w:jc w:val="center"/>
              <w:rPr>
                <w:rFonts w:hint="eastAsia" w:ascii="仿宋" w:hAnsi="仿宋" w:eastAsia="仿宋" w:cs="仿宋"/>
                <w:bCs/>
                <w:color w:val="auto"/>
                <w:szCs w:val="21"/>
                <w:highlight w:val="none"/>
                <w:shd w:val="clear" w:color="auto" w:fill="FFFFFF" w:themeFill="background1"/>
              </w:rPr>
            </w:pPr>
            <w:r>
              <w:rPr>
                <w:rFonts w:hint="eastAsia" w:ascii="仿宋" w:hAnsi="仿宋" w:eastAsia="仿宋" w:cs="仿宋"/>
                <w:bCs/>
                <w:color w:val="auto"/>
                <w:szCs w:val="21"/>
                <w:highlight w:val="none"/>
                <w:shd w:val="clear" w:color="auto" w:fill="FFFFFF" w:themeFill="background1"/>
              </w:rPr>
              <w:t>说明</w:t>
            </w:r>
          </w:p>
        </w:tc>
      </w:tr>
      <w:tr w14:paraId="18EA5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4612C0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7EE3120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6837C90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3F27B86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71DB383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0208712C">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03300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71A6B4A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236D9F3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3F83046F">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204DFA4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A875B7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65CCF717">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557BC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64A7D9C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165B6C4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4C55083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75287FC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2DBA69FB">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63808BB0">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3E8C4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07834F6D">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538AAB8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09E2B329">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58FFD4F4">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6999832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414992A9">
            <w:pPr>
              <w:spacing w:line="360" w:lineRule="auto"/>
              <w:jc w:val="center"/>
              <w:rPr>
                <w:rFonts w:hint="eastAsia" w:ascii="仿宋" w:hAnsi="仿宋" w:eastAsia="仿宋" w:cs="仿宋"/>
                <w:b/>
                <w:bCs/>
                <w:color w:val="auto"/>
                <w:szCs w:val="21"/>
                <w:highlight w:val="none"/>
                <w:shd w:val="clear" w:color="auto" w:fill="FFFFFF" w:themeFill="background1"/>
              </w:rPr>
            </w:pPr>
          </w:p>
        </w:tc>
      </w:tr>
      <w:tr w14:paraId="7F23C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33" w:type="dxa"/>
            <w:vAlign w:val="center"/>
          </w:tcPr>
          <w:p w14:paraId="2623F3F8">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814" w:type="dxa"/>
            <w:vAlign w:val="center"/>
          </w:tcPr>
          <w:p w14:paraId="4C532FF5">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083" w:type="dxa"/>
            <w:vAlign w:val="center"/>
          </w:tcPr>
          <w:p w14:paraId="2E63B30E">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2182" w:type="dxa"/>
            <w:vAlign w:val="center"/>
          </w:tcPr>
          <w:p w14:paraId="41D8ECE3">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155" w:type="dxa"/>
            <w:vAlign w:val="center"/>
          </w:tcPr>
          <w:p w14:paraId="3A04A146">
            <w:pPr>
              <w:spacing w:line="360" w:lineRule="auto"/>
              <w:jc w:val="center"/>
              <w:rPr>
                <w:rFonts w:hint="eastAsia" w:ascii="仿宋" w:hAnsi="仿宋" w:eastAsia="仿宋" w:cs="仿宋"/>
                <w:b/>
                <w:bCs/>
                <w:color w:val="auto"/>
                <w:szCs w:val="21"/>
                <w:highlight w:val="none"/>
                <w:shd w:val="clear" w:color="auto" w:fill="FFFFFF" w:themeFill="background1"/>
              </w:rPr>
            </w:pPr>
          </w:p>
        </w:tc>
        <w:tc>
          <w:tcPr>
            <w:tcW w:w="1219" w:type="dxa"/>
            <w:vAlign w:val="center"/>
          </w:tcPr>
          <w:p w14:paraId="5EABC7FB">
            <w:pPr>
              <w:spacing w:line="360" w:lineRule="auto"/>
              <w:jc w:val="center"/>
              <w:rPr>
                <w:rFonts w:hint="eastAsia" w:ascii="仿宋" w:hAnsi="仿宋" w:eastAsia="仿宋" w:cs="仿宋"/>
                <w:b/>
                <w:bCs/>
                <w:color w:val="auto"/>
                <w:szCs w:val="21"/>
                <w:highlight w:val="none"/>
                <w:shd w:val="clear" w:color="auto" w:fill="FFFFFF" w:themeFill="background1"/>
              </w:rPr>
            </w:pPr>
          </w:p>
        </w:tc>
      </w:tr>
    </w:tbl>
    <w:p w14:paraId="19D451FC">
      <w:pPr>
        <w:spacing w:line="360" w:lineRule="auto"/>
        <w:ind w:firstLine="420" w:firstLineChars="200"/>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注：供应商对采购文件</w:t>
      </w:r>
      <w:r>
        <w:rPr>
          <w:rFonts w:hint="eastAsia" w:ascii="仿宋" w:hAnsi="仿宋" w:eastAsia="仿宋" w:cs="仿宋"/>
          <w:bCs/>
          <w:color w:val="auto"/>
          <w:szCs w:val="21"/>
          <w:highlight w:val="none"/>
          <w:shd w:val="clear" w:color="auto" w:fill="FFFFFF" w:themeFill="background1"/>
        </w:rPr>
        <w:t>技术</w:t>
      </w:r>
      <w:r>
        <w:rPr>
          <w:rFonts w:hint="eastAsia" w:ascii="仿宋" w:hAnsi="仿宋" w:eastAsia="仿宋" w:cs="仿宋"/>
          <w:color w:val="auto"/>
          <w:szCs w:val="24"/>
          <w:highlight w:val="none"/>
          <w:shd w:val="clear" w:color="auto" w:fill="FFFFFF" w:themeFill="background1"/>
        </w:rPr>
        <w:t>条款有偏离的，应在此表中列明实际响应的内容并加以说明，以便查对。请在此偏离表“偏离”中填写无偏离或正偏离或负偏离。</w:t>
      </w:r>
    </w:p>
    <w:p w14:paraId="0159E7C6">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711D4562">
      <w:pPr>
        <w:spacing w:line="360" w:lineRule="auto"/>
        <w:ind w:firstLine="480" w:firstLineChars="200"/>
        <w:jc w:val="left"/>
        <w:rPr>
          <w:rFonts w:hint="eastAsia" w:ascii="仿宋" w:hAnsi="仿宋" w:eastAsia="仿宋" w:cs="仿宋"/>
          <w:color w:val="auto"/>
          <w:sz w:val="24"/>
          <w:szCs w:val="24"/>
          <w:highlight w:val="none"/>
          <w:shd w:val="clear" w:color="auto" w:fill="FFFFFF" w:themeFill="background1"/>
        </w:rPr>
      </w:pPr>
    </w:p>
    <w:p w14:paraId="0AFBB21F">
      <w:pPr>
        <w:spacing w:line="360" w:lineRule="auto"/>
        <w:jc w:val="left"/>
        <w:rPr>
          <w:rFonts w:hint="eastAsia" w:ascii="仿宋" w:hAnsi="仿宋" w:eastAsia="仿宋" w:cs="仿宋"/>
          <w:color w:val="auto"/>
          <w:sz w:val="24"/>
          <w:szCs w:val="24"/>
          <w:highlight w:val="none"/>
          <w:shd w:val="clear" w:color="auto" w:fill="FFFFFF" w:themeFill="background1"/>
        </w:rPr>
      </w:pPr>
    </w:p>
    <w:p w14:paraId="74ED1577">
      <w:pPr>
        <w:spacing w:line="360" w:lineRule="auto"/>
        <w:jc w:val="left"/>
        <w:rPr>
          <w:rFonts w:hint="eastAsia" w:ascii="仿宋" w:hAnsi="仿宋" w:eastAsia="仿宋" w:cs="仿宋"/>
          <w:color w:val="auto"/>
          <w:sz w:val="24"/>
          <w:szCs w:val="24"/>
          <w:highlight w:val="none"/>
          <w:shd w:val="clear" w:color="auto" w:fill="FFFFFF" w:themeFill="background1"/>
        </w:rPr>
      </w:pPr>
    </w:p>
    <w:p w14:paraId="465D7E00">
      <w:pPr>
        <w:spacing w:line="360" w:lineRule="auto"/>
        <w:jc w:val="left"/>
        <w:rPr>
          <w:rFonts w:hint="eastAsia" w:ascii="仿宋" w:hAnsi="仿宋" w:eastAsia="仿宋" w:cs="仿宋"/>
          <w:color w:val="auto"/>
          <w:sz w:val="24"/>
          <w:szCs w:val="24"/>
          <w:highlight w:val="none"/>
          <w:shd w:val="clear" w:color="auto" w:fill="FFFFFF" w:themeFill="background1"/>
        </w:rPr>
      </w:pPr>
    </w:p>
    <w:p w14:paraId="0BB7A4F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1F3F43F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91FE83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kern w:val="0"/>
          <w:sz w:val="24"/>
          <w:szCs w:val="24"/>
          <w:highlight w:val="none"/>
          <w:shd w:val="clear" w:color="auto" w:fill="FFFFFF" w:themeFill="background1"/>
        </w:rPr>
        <w:t>）</w:t>
      </w:r>
    </w:p>
    <w:p w14:paraId="381DA097">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63A68351">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36"/>
          <w:sz w:val="24"/>
          <w:szCs w:val="24"/>
          <w:highlight w:val="none"/>
          <w:shd w:val="clear" w:color="auto" w:fill="FFFFFF" w:themeFill="background1"/>
        </w:rPr>
        <w:br w:type="page"/>
      </w:r>
      <w:bookmarkStart w:id="55" w:name="_Toc533503185"/>
      <w:bookmarkStart w:id="56" w:name="_Toc507586170"/>
      <w:bookmarkStart w:id="57" w:name="_Toc38446475"/>
      <w:bookmarkStart w:id="58" w:name="_Toc32267"/>
      <w:r>
        <w:rPr>
          <w:rFonts w:hint="eastAsia" w:ascii="仿宋" w:hAnsi="仿宋" w:eastAsia="仿宋" w:cs="仿宋"/>
          <w:b/>
          <w:color w:val="auto"/>
          <w:sz w:val="24"/>
          <w:szCs w:val="24"/>
          <w:highlight w:val="none"/>
          <w:shd w:val="clear" w:color="auto" w:fill="FFFFFF" w:themeFill="background1"/>
        </w:rPr>
        <w:t>六、法定代表人身份证明书</w:t>
      </w:r>
      <w:bookmarkEnd w:id="55"/>
      <w:bookmarkEnd w:id="56"/>
      <w:bookmarkEnd w:id="57"/>
      <w:bookmarkEnd w:id="58"/>
    </w:p>
    <w:p w14:paraId="060898B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2D65EB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投 标 人：</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44FD91D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单位性质：</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4ECFBCE4">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地    址：</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28E58FD">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成立时间：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日</w:t>
      </w:r>
    </w:p>
    <w:p w14:paraId="79F8936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经营期限：</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503D0C0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1022D72">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姓名：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年龄：</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职务：</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（供应商名称）的法定代表人。</w:t>
      </w:r>
    </w:p>
    <w:p w14:paraId="5B965943">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特此证明。</w:t>
      </w:r>
    </w:p>
    <w:p w14:paraId="31EB39E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81A2A17">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附：法定代表人身份证明</w:t>
      </w:r>
    </w:p>
    <w:p w14:paraId="0ECD8AE7">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tbl>
      <w:tblPr>
        <w:tblStyle w:val="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467E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E566B86">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法定代表人身份证扫描件（正面）</w:t>
            </w:r>
          </w:p>
        </w:tc>
      </w:tr>
    </w:tbl>
    <w:p w14:paraId="316049BB">
      <w:pPr>
        <w:spacing w:line="360" w:lineRule="auto"/>
        <w:rPr>
          <w:rFonts w:hint="eastAsia" w:ascii="仿宋" w:hAnsi="仿宋" w:eastAsia="仿宋" w:cs="仿宋"/>
          <w:vanish/>
          <w:color w:val="auto"/>
          <w:sz w:val="24"/>
          <w:szCs w:val="24"/>
          <w:highlight w:val="none"/>
          <w:shd w:val="clear" w:color="auto" w:fill="FFFFFF" w:themeFill="background1"/>
        </w:rPr>
      </w:pPr>
    </w:p>
    <w:tbl>
      <w:tblPr>
        <w:tblStyle w:val="43"/>
        <w:tblpPr w:leftFromText="180" w:rightFromText="180" w:vertAnchor="text" w:horzAnchor="page" w:tblpX="597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AC43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55F95F27">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法定代表人身份证扫描件（反面）</w:t>
            </w:r>
          </w:p>
        </w:tc>
      </w:tr>
    </w:tbl>
    <w:p w14:paraId="3523D489">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w:t>
      </w:r>
    </w:p>
    <w:p w14:paraId="3A9D6443">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31C25AC">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29DE0E54">
      <w:pPr>
        <w:widowControl/>
        <w:shd w:val="clear" w:color="auto" w:fill="FFFFFF"/>
        <w:wordWrap w:val="0"/>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月</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日 </w:t>
      </w:r>
    </w:p>
    <w:p w14:paraId="46D873FF">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78E6E26A">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4C88E21C">
      <w:pPr>
        <w:widowControl/>
        <w:shd w:val="clear" w:color="auto" w:fill="FFFFFF"/>
        <w:snapToGrid w:val="0"/>
        <w:spacing w:line="360" w:lineRule="auto"/>
        <w:jc w:val="right"/>
        <w:rPr>
          <w:rFonts w:hint="eastAsia" w:ascii="仿宋" w:hAnsi="仿宋" w:eastAsia="仿宋" w:cs="仿宋"/>
          <w:color w:val="auto"/>
          <w:kern w:val="0"/>
          <w:sz w:val="24"/>
          <w:szCs w:val="24"/>
          <w:highlight w:val="none"/>
          <w:shd w:val="clear" w:color="auto" w:fill="FFFFFF" w:themeFill="background1"/>
        </w:rPr>
      </w:pPr>
    </w:p>
    <w:p w14:paraId="3A5731B3">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bCs/>
          <w:color w:val="auto"/>
          <w:kern w:val="0"/>
          <w:sz w:val="24"/>
          <w:szCs w:val="24"/>
          <w:highlight w:val="none"/>
          <w:shd w:val="clear" w:color="auto" w:fill="FFFFFF" w:themeFill="background1"/>
        </w:rPr>
        <w:br w:type="page"/>
      </w:r>
      <w:bookmarkStart w:id="59" w:name="_Toc507586171"/>
      <w:bookmarkStart w:id="60" w:name="_Toc28679"/>
      <w:bookmarkStart w:id="61" w:name="_Toc533503186"/>
      <w:bookmarkStart w:id="62" w:name="_Toc38446476"/>
      <w:r>
        <w:rPr>
          <w:rFonts w:hint="eastAsia" w:ascii="仿宋" w:hAnsi="仿宋" w:eastAsia="仿宋" w:cs="仿宋"/>
          <w:b/>
          <w:color w:val="auto"/>
          <w:sz w:val="24"/>
          <w:szCs w:val="24"/>
          <w:highlight w:val="none"/>
          <w:shd w:val="clear" w:color="auto" w:fill="FFFFFF" w:themeFill="background1"/>
        </w:rPr>
        <w:t>七、法定代表人授权委托书</w:t>
      </w:r>
      <w:bookmarkEnd w:id="59"/>
      <w:bookmarkEnd w:id="60"/>
      <w:bookmarkEnd w:id="61"/>
      <w:bookmarkEnd w:id="62"/>
    </w:p>
    <w:p w14:paraId="3E1A7E9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977232D">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（姓名）系</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（供应商名称）的法定代表人，现拟派我单位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（姓名）为我方委托代理人。委托代理人根据授权，就</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（采购项目名称）的响应，以本公司名义处理一切与之有关的事务，其法律后果由我方承担。</w:t>
      </w:r>
    </w:p>
    <w:p w14:paraId="0A8D314B">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u w:val="singl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w:t>
      </w:r>
      <w:r>
        <w:rPr>
          <w:rFonts w:hint="eastAsia" w:ascii="仿宋" w:hAnsi="仿宋" w:eastAsia="仿宋" w:cs="仿宋"/>
          <w:i/>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性别：</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年龄：</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65A8C9B5">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单  位：</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部门：</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 xml:space="preserve"> 职务：</w:t>
      </w:r>
      <w:r>
        <w:rPr>
          <w:rFonts w:hint="eastAsia" w:ascii="仿宋" w:hAnsi="仿宋" w:eastAsia="仿宋" w:cs="仿宋"/>
          <w:color w:val="auto"/>
          <w:kern w:val="0"/>
          <w:sz w:val="24"/>
          <w:szCs w:val="24"/>
          <w:highlight w:val="none"/>
          <w:u w:val="single"/>
          <w:shd w:val="clear" w:color="auto" w:fill="FFFFFF" w:themeFill="background1"/>
        </w:rPr>
        <w:t xml:space="preserve">                    </w:t>
      </w:r>
    </w:p>
    <w:p w14:paraId="174F1F31">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代理人无转委权，特此申明。</w:t>
      </w:r>
    </w:p>
    <w:p w14:paraId="516C46A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1DE98A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附：委托代理人身份证明。</w:t>
      </w:r>
    </w:p>
    <w:tbl>
      <w:tblPr>
        <w:tblStyle w:val="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128F4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13933CC6">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委托代理人身份证扫描件（正面）</w:t>
            </w:r>
          </w:p>
        </w:tc>
      </w:tr>
    </w:tbl>
    <w:tbl>
      <w:tblPr>
        <w:tblStyle w:val="43"/>
        <w:tblpPr w:leftFromText="180" w:rightFromText="180" w:vertAnchor="text" w:horzAnchor="margin" w:tblpXSpec="right" w:tblpY="-24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2A9FE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1D88F807">
            <w:pPr>
              <w:spacing w:line="360" w:lineRule="auto"/>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委托代理人身份证扫描件（反面）</w:t>
            </w:r>
          </w:p>
        </w:tc>
      </w:tr>
    </w:tbl>
    <w:p w14:paraId="539ECD6C">
      <w:pPr>
        <w:spacing w:line="360" w:lineRule="auto"/>
        <w:rPr>
          <w:rFonts w:hint="eastAsia" w:ascii="仿宋" w:hAnsi="仿宋" w:eastAsia="仿宋" w:cs="仿宋"/>
          <w:vanish/>
          <w:color w:val="auto"/>
          <w:sz w:val="24"/>
          <w:szCs w:val="24"/>
          <w:highlight w:val="none"/>
          <w:shd w:val="clear" w:color="auto" w:fill="FFFFFF" w:themeFill="background1"/>
        </w:rPr>
      </w:pPr>
    </w:p>
    <w:p w14:paraId="0E3B9C14">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FDF57B3">
      <w:pPr>
        <w:widowControl/>
        <w:shd w:val="clear" w:color="auto" w:fill="FFFFFF"/>
        <w:snapToGrid w:val="0"/>
        <w:spacing w:line="360" w:lineRule="auto"/>
        <w:jc w:val="left"/>
        <w:rPr>
          <w:rFonts w:hint="eastAsia" w:ascii="仿宋" w:hAnsi="仿宋" w:eastAsia="仿宋" w:cs="仿宋"/>
          <w:b/>
          <w:bCs/>
          <w:color w:val="auto"/>
          <w:kern w:val="0"/>
          <w:sz w:val="24"/>
          <w:szCs w:val="24"/>
          <w:highlight w:val="none"/>
          <w:shd w:val="clear" w:color="auto" w:fill="FFFFFF" w:themeFill="background1"/>
        </w:rPr>
      </w:pPr>
    </w:p>
    <w:p w14:paraId="56343CDA">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D0F5455">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40231240">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1C800522">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r>
        <w:rPr>
          <w:rFonts w:hint="eastAsia" w:ascii="仿宋" w:hAnsi="仿宋" w:eastAsia="仿宋" w:cs="仿宋"/>
          <w:color w:val="auto"/>
          <w:kern w:val="0"/>
          <w:sz w:val="24"/>
          <w:szCs w:val="24"/>
          <w:highlight w:val="none"/>
        </w:rPr>
        <w:t>或签字</w:t>
      </w:r>
      <w:r>
        <w:rPr>
          <w:rFonts w:hint="eastAsia" w:ascii="仿宋" w:hAnsi="仿宋" w:eastAsia="仿宋" w:cs="仿宋"/>
          <w:color w:val="auto"/>
          <w:kern w:val="0"/>
          <w:sz w:val="24"/>
          <w:szCs w:val="24"/>
          <w:highlight w:val="none"/>
          <w:shd w:val="clear" w:color="auto" w:fill="FFFFFF" w:themeFill="background1"/>
        </w:rPr>
        <w:t>）</w:t>
      </w:r>
    </w:p>
    <w:p w14:paraId="7651A1B2">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34B51A48">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2BE164C">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 xml:space="preserve"> </w:t>
      </w:r>
    </w:p>
    <w:p w14:paraId="716A28CA">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63" w:name="_Toc507586173"/>
      <w:r>
        <w:rPr>
          <w:rFonts w:hint="eastAsia" w:ascii="仿宋" w:hAnsi="仿宋" w:eastAsia="仿宋" w:cs="仿宋"/>
          <w:b/>
          <w:color w:val="auto"/>
          <w:sz w:val="24"/>
          <w:szCs w:val="24"/>
          <w:highlight w:val="none"/>
          <w:shd w:val="clear" w:color="auto" w:fill="FFFFFF" w:themeFill="background1"/>
        </w:rPr>
        <w:br w:type="page"/>
      </w:r>
      <w:bookmarkStart w:id="64" w:name="_Toc3624"/>
      <w:bookmarkStart w:id="65" w:name="_Toc533503189"/>
      <w:bookmarkStart w:id="66" w:name="_Toc38446478"/>
      <w:r>
        <w:rPr>
          <w:rFonts w:hint="eastAsia" w:ascii="仿宋" w:hAnsi="仿宋" w:eastAsia="仿宋" w:cs="仿宋"/>
          <w:b/>
          <w:color w:val="auto"/>
          <w:sz w:val="24"/>
          <w:szCs w:val="24"/>
          <w:highlight w:val="none"/>
          <w:shd w:val="clear" w:color="auto" w:fill="FFFFFF" w:themeFill="background1"/>
        </w:rPr>
        <w:t>八、</w:t>
      </w:r>
      <w:r>
        <w:rPr>
          <w:rFonts w:hint="eastAsia" w:ascii="仿宋" w:hAnsi="仿宋" w:eastAsia="仿宋" w:cs="仿宋"/>
          <w:b/>
          <w:bCs/>
          <w:color w:val="auto"/>
          <w:sz w:val="24"/>
          <w:szCs w:val="24"/>
          <w:highlight w:val="none"/>
          <w:shd w:val="clear" w:color="auto" w:fill="FFFFFF" w:themeFill="background1"/>
        </w:rPr>
        <w:t>供应商资格条件证明材料</w:t>
      </w:r>
      <w:bookmarkEnd w:id="63"/>
      <w:bookmarkEnd w:id="64"/>
      <w:bookmarkEnd w:id="65"/>
      <w:bookmarkEnd w:id="66"/>
    </w:p>
    <w:p w14:paraId="10ABBCA8">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3"/>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61AF0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2771227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3A441A3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4BC06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35CAEF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65B1376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AA69BE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44B76C3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422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057294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1AD7387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D9D5B5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28C5B7A1">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D03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4615E3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566818A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286B32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3494D6DC">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DA3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B3F0E1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5D0B71F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B20487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408872AA">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BAAD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FE96E8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5941AF3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7ECCFF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2F21209">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C867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47B3AE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66905DA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B65BB6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18D3B2F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F38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DFBFB9A">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66F01105">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22C9D0F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33639ADB">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55C4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0AEC98D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31B12EC7">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90D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716783F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2B3E88A7">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D9C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2A959814">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47F7F2AF">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0E25FEFD">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62B3FA76">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668692ED">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53BF82FC">
      <w:pPr>
        <w:widowControl/>
        <w:jc w:val="left"/>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br w:type="page"/>
      </w:r>
    </w:p>
    <w:p w14:paraId="7510E52B">
      <w:pPr>
        <w:rPr>
          <w:rFonts w:hint="eastAsia" w:ascii="仿宋" w:hAnsi="仿宋" w:eastAsia="仿宋" w:cs="仿宋"/>
          <w:color w:val="auto"/>
          <w:highlight w:val="none"/>
          <w:shd w:val="clear" w:color="auto" w:fill="FFFFFF" w:themeFill="background1"/>
        </w:rPr>
      </w:pPr>
      <w:bookmarkStart w:id="67" w:name="_Toc107422184"/>
      <w:bookmarkStart w:id="68" w:name="_Toc11207"/>
      <w:bookmarkStart w:id="69" w:name="_Toc32366"/>
      <w:bookmarkStart w:id="70" w:name="_Toc109143671"/>
      <w:bookmarkStart w:id="71" w:name="_Toc111556487"/>
    </w:p>
    <w:p w14:paraId="2434AAD8">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72" w:name="_Toc156750399"/>
      <w:bookmarkStart w:id="73" w:name="_Toc18683"/>
      <w:bookmarkStart w:id="74" w:name="_Toc128476878"/>
      <w:bookmarkStart w:id="75" w:name="_Toc2804"/>
      <w:bookmarkStart w:id="76" w:name="_Toc20057"/>
      <w:bookmarkStart w:id="77" w:name="_Toc113901849"/>
      <w:bookmarkStart w:id="78" w:name="_Toc24572"/>
      <w:bookmarkStart w:id="79" w:name="_Toc30680"/>
      <w:bookmarkStart w:id="80" w:name="_Toc11608"/>
      <w:bookmarkStart w:id="81" w:name="_Toc29377"/>
      <w:bookmarkStart w:id="82" w:name="_Toc19929"/>
      <w:bookmarkStart w:id="83" w:name="_Toc18532"/>
      <w:bookmarkStart w:id="84" w:name="_Toc9314"/>
      <w:bookmarkStart w:id="85" w:name="_Toc1895"/>
      <w:bookmarkStart w:id="86" w:name="_Toc8342"/>
      <w:bookmarkStart w:id="87" w:name="_Toc15861"/>
      <w:bookmarkStart w:id="88" w:name="_Toc17516"/>
      <w:bookmarkStart w:id="89" w:name="_Toc22428"/>
      <w:bookmarkStart w:id="90" w:name="_Toc20683"/>
      <w:bookmarkStart w:id="91" w:name="_Toc6417"/>
      <w:r>
        <w:rPr>
          <w:rFonts w:hint="eastAsia" w:ascii="仿宋" w:hAnsi="仿宋" w:eastAsia="仿宋" w:cs="仿宋"/>
          <w:b/>
          <w:color w:val="auto"/>
          <w:sz w:val="24"/>
          <w:szCs w:val="24"/>
          <w:highlight w:val="none"/>
          <w:shd w:val="clear" w:color="auto" w:fill="FFFFFF" w:themeFill="background1"/>
        </w:rPr>
        <w:t>8.1、</w:t>
      </w:r>
      <w:bookmarkEnd w:id="67"/>
      <w:bookmarkEnd w:id="68"/>
      <w:bookmarkEnd w:id="69"/>
      <w:bookmarkEnd w:id="70"/>
      <w:r>
        <w:rPr>
          <w:rFonts w:hint="eastAsia" w:ascii="仿宋" w:hAnsi="仿宋" w:eastAsia="仿宋" w:cs="仿宋"/>
          <w:b/>
          <w:color w:val="auto"/>
          <w:sz w:val="24"/>
          <w:szCs w:val="24"/>
          <w:highlight w:val="none"/>
          <w:shd w:val="clear" w:color="auto" w:fill="FFFFFF" w:themeFill="background1"/>
        </w:rPr>
        <w:t>法人或者其他组织的营业执照等证明文件，自然人的身份证明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38ADCA4">
      <w:pPr>
        <w:spacing w:line="360" w:lineRule="auto"/>
        <w:rPr>
          <w:rFonts w:hint="eastAsia" w:ascii="仿宋" w:hAnsi="仿宋" w:eastAsia="仿宋" w:cs="仿宋"/>
          <w:color w:val="auto"/>
          <w:sz w:val="24"/>
          <w:szCs w:val="24"/>
          <w:highlight w:val="none"/>
          <w:shd w:val="clear" w:color="auto" w:fill="FFFFFF" w:themeFill="background1"/>
        </w:rPr>
      </w:pPr>
    </w:p>
    <w:p w14:paraId="513F2D95">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一、如供应商是企业（包括合伙企业)，应提供在工商部门注册的有效“企业法人营业执照”或“营业执照”;</w:t>
      </w:r>
    </w:p>
    <w:p w14:paraId="7FC49B32">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p>
    <w:p w14:paraId="3482C6D9">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三、供应商是非企业专业服务机构的，应提供执业许可证等证明文件;</w:t>
      </w:r>
    </w:p>
    <w:p w14:paraId="18134C1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p>
    <w:p w14:paraId="375A3531">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1AB76CCC">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09D59957">
      <w:pPr>
        <w:spacing w:line="360" w:lineRule="auto"/>
        <w:rPr>
          <w:rFonts w:hint="eastAsia" w:ascii="仿宋" w:hAnsi="仿宋" w:eastAsia="仿宋" w:cs="仿宋"/>
          <w:color w:val="auto"/>
          <w:sz w:val="24"/>
          <w:szCs w:val="24"/>
          <w:highlight w:val="none"/>
          <w:shd w:val="clear" w:color="auto" w:fill="FFFFFF" w:themeFill="background1"/>
        </w:rPr>
      </w:pPr>
    </w:p>
    <w:p w14:paraId="6268602A">
      <w:pPr>
        <w:spacing w:line="360" w:lineRule="auto"/>
        <w:rPr>
          <w:rFonts w:hint="eastAsia" w:ascii="仿宋" w:hAnsi="仿宋" w:eastAsia="仿宋" w:cs="仿宋"/>
          <w:color w:val="auto"/>
          <w:sz w:val="24"/>
          <w:szCs w:val="24"/>
          <w:highlight w:val="none"/>
          <w:shd w:val="clear" w:color="auto" w:fill="FFFFFF" w:themeFill="background1"/>
        </w:rPr>
      </w:pPr>
    </w:p>
    <w:p w14:paraId="593E28FC">
      <w:pPr>
        <w:widowControl/>
        <w:spacing w:line="360" w:lineRule="auto"/>
        <w:jc w:val="left"/>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40B743CF">
      <w:pPr>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92" w:name="_Toc22474"/>
      <w:bookmarkStart w:id="93" w:name="_Toc13496"/>
      <w:bookmarkStart w:id="94" w:name="_Toc2389"/>
      <w:bookmarkStart w:id="95" w:name="_Toc18595"/>
      <w:bookmarkStart w:id="96" w:name="_Toc20271"/>
      <w:bookmarkStart w:id="97" w:name="_Toc11592"/>
      <w:bookmarkStart w:id="98" w:name="_Toc21646"/>
      <w:bookmarkStart w:id="99" w:name="_Toc31191"/>
      <w:bookmarkStart w:id="100" w:name="_Toc10010"/>
      <w:bookmarkStart w:id="101" w:name="_Toc9294"/>
      <w:bookmarkStart w:id="102" w:name="_Toc4484"/>
      <w:bookmarkStart w:id="103" w:name="_Toc15683"/>
      <w:bookmarkStart w:id="104" w:name="_Toc113901850"/>
      <w:bookmarkStart w:id="105" w:name="_Toc25980"/>
      <w:bookmarkStart w:id="106" w:name="_Toc32279"/>
      <w:bookmarkStart w:id="107" w:name="_Toc156750400"/>
      <w:bookmarkStart w:id="108" w:name="_Toc128476879"/>
      <w:bookmarkStart w:id="109" w:name="_Toc10441"/>
      <w:bookmarkStart w:id="110" w:name="_Toc24966"/>
      <w:bookmarkStart w:id="111" w:name="_Toc18504"/>
      <w:r>
        <w:rPr>
          <w:rFonts w:hint="eastAsia" w:ascii="仿宋" w:hAnsi="仿宋" w:eastAsia="仿宋" w:cs="仿宋"/>
          <w:b/>
          <w:color w:val="auto"/>
          <w:sz w:val="24"/>
          <w:szCs w:val="24"/>
          <w:highlight w:val="none"/>
          <w:shd w:val="clear" w:color="auto" w:fill="FFFFFF" w:themeFill="background1"/>
        </w:rPr>
        <w:t>8.2、</w:t>
      </w:r>
      <w:bookmarkEnd w:id="71"/>
      <w:r>
        <w:rPr>
          <w:rFonts w:hint="eastAsia" w:ascii="仿宋" w:hAnsi="仿宋" w:eastAsia="仿宋" w:cs="仿宋"/>
          <w:b/>
          <w:color w:val="auto"/>
          <w:sz w:val="24"/>
          <w:szCs w:val="24"/>
          <w:highlight w:val="none"/>
          <w:shd w:val="clear" w:color="auto" w:fill="FFFFFF" w:themeFill="background1"/>
        </w:rPr>
        <w:t>财务状况报告，依法缴纳税收和社会保障资金的相关材料</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51B12421">
      <w:pPr>
        <w:pStyle w:val="14"/>
        <w:spacing w:after="0" w:line="360" w:lineRule="auto"/>
        <w:rPr>
          <w:rFonts w:hint="eastAsia" w:ascii="仿宋" w:hAnsi="仿宋" w:eastAsia="仿宋" w:cs="仿宋"/>
          <w:color w:val="auto"/>
          <w:spacing w:val="10"/>
          <w:szCs w:val="24"/>
          <w:highlight w:val="none"/>
          <w:shd w:val="clear" w:color="auto" w:fill="FFFFFF" w:themeFill="background1"/>
        </w:rPr>
      </w:pPr>
    </w:p>
    <w:p w14:paraId="13C3EE37">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5E9680DB">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响应文件递交截止之日前六个月内任意一个月，不限制采购人主体）。</w:t>
      </w:r>
    </w:p>
    <w:p w14:paraId="4EDA3955">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w:t>
      </w:r>
      <w:r>
        <w:rPr>
          <w:rFonts w:hint="eastAsia" w:ascii="仿宋" w:hAnsi="仿宋" w:eastAsia="仿宋" w:cs="仿宋"/>
          <w:color w:val="auto"/>
          <w:szCs w:val="21"/>
          <w:highlight w:val="none"/>
        </w:rPr>
        <w:t>六</w:t>
      </w:r>
      <w:r>
        <w:rPr>
          <w:rFonts w:hint="eastAsia" w:ascii="仿宋" w:hAnsi="仿宋" w:eastAsia="仿宋" w:cs="仿宋"/>
          <w:color w:val="auto"/>
          <w:spacing w:val="10"/>
          <w:szCs w:val="24"/>
          <w:highlight w:val="none"/>
          <w:shd w:val="clear" w:color="auto" w:fill="FFFFFF" w:themeFill="background1"/>
        </w:rPr>
        <w:t>个月（以响应文件递交截止之日为期限）的供应商无需提供。</w:t>
      </w:r>
    </w:p>
    <w:p w14:paraId="24D661AD">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4F6DDD9F">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44DC0A4F">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4884419B">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14D5A709">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6375C1EF">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供应商参加政府采购活动前一段时间（响应文件递交截止之日前六个月内任一个月）内缴纳社会保险的凭据，其他组织和自然人也需要提供缴纳税收的凭据和缴纳社会保险的凭据。</w:t>
      </w:r>
    </w:p>
    <w:p w14:paraId="379DDA79">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2.3、依法免税或不需要缴纳社会保障资金的供应商，应提供相应文件证明其依法免税或不需要缴纳社会保障资金。</w:t>
      </w:r>
    </w:p>
    <w:p w14:paraId="3DD315F8">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p>
    <w:p w14:paraId="65FEA5E8">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752F94D0">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3D6CE01B">
      <w:pPr>
        <w:pStyle w:val="14"/>
        <w:spacing w:after="0" w:line="360" w:lineRule="auto"/>
        <w:ind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3.2、如供应商所在地有关主管部门反馈的证明材料与本文中要求不一致时，以当地要求为准，但须供应商提供文字说明。</w:t>
      </w:r>
    </w:p>
    <w:p w14:paraId="14DE3F0F">
      <w:pPr>
        <w:widowControl/>
        <w:jc w:val="left"/>
        <w:rPr>
          <w:rFonts w:hint="eastAsia" w:ascii="仿宋" w:hAnsi="仿宋" w:eastAsia="仿宋" w:cs="仿宋"/>
          <w:b/>
          <w:color w:val="auto"/>
          <w:sz w:val="24"/>
          <w:szCs w:val="24"/>
          <w:highlight w:val="none"/>
          <w:shd w:val="clear" w:color="auto" w:fill="FFFFFF" w:themeFill="background1"/>
        </w:rPr>
      </w:pPr>
      <w:bookmarkStart w:id="112" w:name="_Toc128476880"/>
      <w:bookmarkStart w:id="113" w:name="_Toc30348"/>
      <w:bookmarkStart w:id="114" w:name="_Toc113901851"/>
      <w:bookmarkStart w:id="115" w:name="_Toc111556488"/>
      <w:r>
        <w:rPr>
          <w:rFonts w:hint="eastAsia" w:ascii="仿宋" w:hAnsi="仿宋" w:eastAsia="仿宋" w:cs="仿宋"/>
          <w:b/>
          <w:color w:val="auto"/>
          <w:sz w:val="24"/>
          <w:szCs w:val="24"/>
          <w:highlight w:val="none"/>
          <w:shd w:val="clear" w:color="auto" w:fill="FFFFFF" w:themeFill="background1"/>
        </w:rPr>
        <w:br w:type="page"/>
      </w:r>
    </w:p>
    <w:p w14:paraId="2D25CE5C">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116" w:name="_Toc6914"/>
      <w:bookmarkStart w:id="117" w:name="_Toc12437"/>
      <w:bookmarkStart w:id="118" w:name="_Toc31257"/>
      <w:bookmarkStart w:id="119" w:name="_Toc26412"/>
      <w:bookmarkStart w:id="120" w:name="_Toc19026"/>
      <w:bookmarkStart w:id="121" w:name="_Toc15227"/>
      <w:bookmarkStart w:id="122" w:name="_Toc25022"/>
      <w:bookmarkStart w:id="123" w:name="_Toc26275"/>
      <w:bookmarkStart w:id="124" w:name="_Toc19442"/>
      <w:bookmarkStart w:id="125" w:name="_Toc11771"/>
      <w:bookmarkStart w:id="126" w:name="_Toc10694"/>
      <w:bookmarkStart w:id="127" w:name="_Toc25066"/>
      <w:bookmarkStart w:id="128" w:name="_Toc14318"/>
      <w:bookmarkStart w:id="129" w:name="_Toc156750401"/>
      <w:bookmarkStart w:id="130" w:name="_Toc10802"/>
      <w:bookmarkStart w:id="131" w:name="_Toc9702"/>
      <w:bookmarkStart w:id="132" w:name="_Toc30026"/>
      <w:r>
        <w:rPr>
          <w:rFonts w:hint="eastAsia" w:ascii="仿宋" w:hAnsi="仿宋" w:eastAsia="仿宋" w:cs="仿宋"/>
          <w:b/>
          <w:color w:val="auto"/>
          <w:sz w:val="24"/>
          <w:szCs w:val="24"/>
          <w:highlight w:val="none"/>
          <w:shd w:val="clear" w:color="auto" w:fill="FFFFFF" w:themeFill="background1"/>
        </w:rPr>
        <w:t>8.3、具备履行合同所必需的设备和专业技术能力的证明材料</w:t>
      </w:r>
      <w:bookmarkEnd w:id="112"/>
      <w:bookmarkEnd w:id="113"/>
      <w:bookmarkEnd w:id="114"/>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1E6A63D5">
      <w:pPr>
        <w:spacing w:line="360" w:lineRule="auto"/>
        <w:rPr>
          <w:rFonts w:hint="eastAsia" w:ascii="仿宋" w:hAnsi="仿宋" w:eastAsia="仿宋" w:cs="仿宋"/>
          <w:color w:val="auto"/>
          <w:sz w:val="24"/>
          <w:szCs w:val="24"/>
          <w:highlight w:val="none"/>
          <w:shd w:val="clear" w:color="auto" w:fill="FFFFFF" w:themeFill="background1"/>
        </w:rPr>
      </w:pPr>
    </w:p>
    <w:p w14:paraId="7284B5FF">
      <w:pPr>
        <w:spacing w:line="360" w:lineRule="auto"/>
        <w:rPr>
          <w:rFonts w:hint="eastAsia" w:ascii="仿宋" w:hAnsi="仿宋" w:eastAsia="仿宋" w:cs="仿宋"/>
          <w:color w:val="auto"/>
          <w:sz w:val="24"/>
          <w:szCs w:val="24"/>
          <w:highlight w:val="none"/>
          <w:shd w:val="clear" w:color="auto" w:fill="FFFFFF" w:themeFill="background1"/>
        </w:rPr>
      </w:pPr>
    </w:p>
    <w:p w14:paraId="6846ECBF">
      <w:pPr>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具有履行合同所必需的设备和专业技术能力的承诺</w:t>
      </w:r>
      <w:bookmarkEnd w:id="115"/>
      <w:r>
        <w:rPr>
          <w:rFonts w:hint="eastAsia" w:ascii="仿宋" w:hAnsi="仿宋" w:eastAsia="仿宋" w:cs="仿宋"/>
          <w:b/>
          <w:color w:val="auto"/>
          <w:sz w:val="24"/>
          <w:szCs w:val="24"/>
          <w:highlight w:val="none"/>
          <w:shd w:val="clear" w:color="auto" w:fill="FFFFFF" w:themeFill="background1"/>
        </w:rPr>
        <w:t>函</w:t>
      </w:r>
    </w:p>
    <w:p w14:paraId="03F557FF">
      <w:pPr>
        <w:adjustRightInd w:val="0"/>
        <w:snapToGrid w:val="0"/>
        <w:spacing w:line="360" w:lineRule="auto"/>
        <w:ind w:firstLine="480" w:firstLineChars="200"/>
        <w:jc w:val="center"/>
        <w:rPr>
          <w:rFonts w:hint="eastAsia" w:ascii="仿宋" w:hAnsi="仿宋" w:eastAsia="仿宋" w:cs="仿宋"/>
          <w:color w:val="auto"/>
          <w:sz w:val="24"/>
          <w:szCs w:val="24"/>
          <w:highlight w:val="none"/>
          <w:shd w:val="clear" w:color="auto" w:fill="FFFFFF" w:themeFill="background1"/>
        </w:rPr>
      </w:pPr>
    </w:p>
    <w:p w14:paraId="763D87BB">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318D16A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p>
    <w:p w14:paraId="0CABF3E5">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我单位郑重承诺： </w:t>
      </w:r>
    </w:p>
    <w:p w14:paraId="3BB85422">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我单位具备履行</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（项目名称）合同所必需的设备和专业技术能力；</w:t>
      </w:r>
    </w:p>
    <w:p w14:paraId="2980822E">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特此承诺。 </w:t>
      </w:r>
    </w:p>
    <w:p w14:paraId="420EF2C8">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5284B4DA">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81AF300">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CE91EBE">
      <w:pPr>
        <w:autoSpaceDE w:val="0"/>
        <w:autoSpaceDN w:val="0"/>
        <w:adjustRightIn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64D2D66">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79D37BBE">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413F121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p>
    <w:p w14:paraId="2BA710E5">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433FEEAB">
      <w:pPr>
        <w:adjustRightInd w:val="0"/>
        <w:snapToGrid w:val="0"/>
        <w:spacing w:line="360" w:lineRule="auto"/>
        <w:rPr>
          <w:rFonts w:hint="eastAsia" w:ascii="仿宋" w:hAnsi="仿宋" w:eastAsia="仿宋" w:cs="仿宋"/>
          <w:bCs/>
          <w:color w:val="auto"/>
          <w:sz w:val="24"/>
          <w:szCs w:val="24"/>
          <w:highlight w:val="none"/>
          <w:shd w:val="clear" w:color="auto" w:fill="FFFFFF" w:themeFill="background1"/>
        </w:rPr>
      </w:pPr>
    </w:p>
    <w:p w14:paraId="06B3E8EC">
      <w:pPr>
        <w:spacing w:line="360" w:lineRule="auto"/>
        <w:rPr>
          <w:rFonts w:hint="eastAsia" w:ascii="仿宋" w:hAnsi="仿宋" w:eastAsia="仿宋" w:cs="仿宋"/>
          <w:color w:val="auto"/>
          <w:sz w:val="24"/>
          <w:szCs w:val="24"/>
          <w:highlight w:val="none"/>
          <w:shd w:val="clear" w:color="auto" w:fill="FFFFFF" w:themeFill="background1"/>
        </w:rPr>
      </w:pPr>
    </w:p>
    <w:p w14:paraId="3EFB4E32">
      <w:pPr>
        <w:spacing w:line="360" w:lineRule="auto"/>
        <w:rPr>
          <w:rFonts w:hint="eastAsia" w:ascii="仿宋" w:hAnsi="仿宋" w:eastAsia="仿宋" w:cs="仿宋"/>
          <w:color w:val="auto"/>
          <w:sz w:val="24"/>
          <w:szCs w:val="24"/>
          <w:highlight w:val="none"/>
          <w:shd w:val="clear" w:color="auto" w:fill="FFFFFF" w:themeFill="background1"/>
        </w:rPr>
      </w:pPr>
    </w:p>
    <w:p w14:paraId="49F3B14D">
      <w:pPr>
        <w:spacing w:line="360" w:lineRule="auto"/>
        <w:rPr>
          <w:rFonts w:hint="eastAsia" w:ascii="仿宋" w:hAnsi="仿宋" w:eastAsia="仿宋" w:cs="仿宋"/>
          <w:color w:val="auto"/>
          <w:sz w:val="24"/>
          <w:szCs w:val="24"/>
          <w:highlight w:val="none"/>
          <w:shd w:val="clear" w:color="auto" w:fill="FFFFFF" w:themeFill="background1"/>
        </w:rPr>
      </w:pPr>
    </w:p>
    <w:p w14:paraId="24E5A859">
      <w:pPr>
        <w:spacing w:line="360" w:lineRule="auto"/>
        <w:rPr>
          <w:rFonts w:hint="eastAsia" w:ascii="仿宋" w:hAnsi="仿宋" w:eastAsia="仿宋" w:cs="仿宋"/>
          <w:color w:val="auto"/>
          <w:sz w:val="24"/>
          <w:szCs w:val="24"/>
          <w:highlight w:val="none"/>
          <w:shd w:val="clear" w:color="auto" w:fill="FFFFFF" w:themeFill="background1"/>
        </w:rPr>
      </w:pPr>
    </w:p>
    <w:p w14:paraId="19781BDA">
      <w:pPr>
        <w:spacing w:line="360" w:lineRule="auto"/>
        <w:rPr>
          <w:rFonts w:hint="eastAsia" w:ascii="仿宋" w:hAnsi="仿宋" w:eastAsia="仿宋" w:cs="仿宋"/>
          <w:color w:val="auto"/>
          <w:sz w:val="24"/>
          <w:szCs w:val="24"/>
          <w:highlight w:val="none"/>
          <w:shd w:val="clear" w:color="auto" w:fill="FFFFFF" w:themeFill="background1"/>
        </w:rPr>
      </w:pPr>
    </w:p>
    <w:p w14:paraId="2FD1328B">
      <w:pPr>
        <w:spacing w:line="360" w:lineRule="auto"/>
        <w:rPr>
          <w:rFonts w:hint="eastAsia" w:ascii="仿宋" w:hAnsi="仿宋" w:eastAsia="仿宋" w:cs="仿宋"/>
          <w:color w:val="auto"/>
          <w:sz w:val="24"/>
          <w:szCs w:val="24"/>
          <w:highlight w:val="none"/>
          <w:shd w:val="clear" w:color="auto" w:fill="FFFFFF" w:themeFill="background1"/>
        </w:rPr>
      </w:pPr>
    </w:p>
    <w:p w14:paraId="078CC8C1">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3EFE47D0">
      <w:pPr>
        <w:adjustRightInd w:val="0"/>
        <w:snapToGrid w:val="0"/>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133" w:name="_Toc5703"/>
      <w:bookmarkStart w:id="134" w:name="_Toc2931"/>
      <w:bookmarkStart w:id="135" w:name="_Toc24173"/>
      <w:bookmarkStart w:id="136" w:name="_Toc23067"/>
      <w:bookmarkStart w:id="137" w:name="_Toc29214"/>
      <w:bookmarkStart w:id="138" w:name="_Toc2437"/>
      <w:bookmarkStart w:id="139" w:name="_Toc9191"/>
      <w:bookmarkStart w:id="140" w:name="_Toc25190"/>
      <w:bookmarkStart w:id="141" w:name="_Toc128476881"/>
      <w:bookmarkStart w:id="142" w:name="_Toc16084"/>
      <w:bookmarkStart w:id="143" w:name="_Toc30447"/>
      <w:bookmarkStart w:id="144" w:name="_Toc18306"/>
      <w:bookmarkStart w:id="145" w:name="_Toc16519"/>
      <w:bookmarkStart w:id="146" w:name="_Toc24077"/>
      <w:bookmarkStart w:id="147" w:name="_Toc113901852"/>
      <w:bookmarkStart w:id="148" w:name="_Toc16168"/>
      <w:bookmarkStart w:id="149" w:name="_Toc8030"/>
      <w:bookmarkStart w:id="150" w:name="_Toc27352"/>
      <w:bookmarkStart w:id="151" w:name="_Toc18842"/>
      <w:bookmarkStart w:id="152" w:name="_Toc156750402"/>
      <w:bookmarkStart w:id="153" w:name="_Toc111556490"/>
      <w:r>
        <w:rPr>
          <w:rFonts w:hint="eastAsia" w:ascii="仿宋" w:hAnsi="仿宋" w:eastAsia="仿宋" w:cs="仿宋"/>
          <w:b/>
          <w:color w:val="auto"/>
          <w:sz w:val="24"/>
          <w:szCs w:val="24"/>
          <w:highlight w:val="none"/>
          <w:shd w:val="clear" w:color="auto" w:fill="FFFFFF" w:themeFill="background1"/>
        </w:rPr>
        <w:t>8.4、参加政府采购活动前3年内在经营活动中没有重大违法记录的书面声明</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bookmarkEnd w:id="153"/>
    <w:p w14:paraId="3C15DD24">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2DD17B1B">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致：</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（采购人名称）</w:t>
      </w:r>
    </w:p>
    <w:p w14:paraId="586C8A28">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56FD0815">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我单位在参与</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sz w:val="24"/>
          <w:szCs w:val="24"/>
          <w:highlight w:val="non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前三年内（以</w:t>
      </w:r>
      <w:r>
        <w:rPr>
          <w:rFonts w:hint="eastAsia" w:ascii="仿宋" w:hAnsi="仿宋" w:eastAsia="仿宋" w:cs="仿宋"/>
          <w:color w:val="auto"/>
          <w:sz w:val="24"/>
          <w:szCs w:val="24"/>
          <w:highlight w:val="none"/>
          <w:shd w:val="clear" w:color="auto" w:fill="FFFFFF" w:themeFill="background1"/>
        </w:rPr>
        <w:t>响应文件递交截止之日为期限</w:t>
      </w:r>
      <w:r>
        <w:rPr>
          <w:rFonts w:hint="eastAsia" w:ascii="仿宋" w:hAnsi="仿宋" w:eastAsia="仿宋" w:cs="仿宋"/>
          <w:color w:val="auto"/>
          <w:kern w:val="0"/>
          <w:sz w:val="24"/>
          <w:szCs w:val="24"/>
          <w:highlight w:val="none"/>
          <w:shd w:val="clear" w:color="auto" w:fill="FFFFFF" w:themeFill="background1"/>
        </w:rPr>
        <w:t>）在经营活动中没有重大违法记录。</w:t>
      </w:r>
    </w:p>
    <w:p w14:paraId="442BE884">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若贵方在本项目采购过程中发现我方参加政府采购活动前三年内有重大违法记录；</w:t>
      </w:r>
      <w:r>
        <w:rPr>
          <w:rFonts w:hint="eastAsia" w:ascii="仿宋" w:hAnsi="仿宋" w:eastAsia="仿宋" w:cs="仿宋"/>
          <w:color w:val="auto"/>
          <w:kern w:val="0"/>
          <w:sz w:val="24"/>
          <w:szCs w:val="24"/>
          <w:highlight w:val="none"/>
          <w:shd w:val="clear" w:color="auto" w:fill="FFFFFF" w:themeFill="background1"/>
        </w:rPr>
        <w:t>我单位</w:t>
      </w:r>
      <w:r>
        <w:rPr>
          <w:rFonts w:hint="eastAsia" w:ascii="仿宋" w:hAnsi="仿宋" w:eastAsia="仿宋" w:cs="仿宋"/>
          <w:color w:val="auto"/>
          <w:sz w:val="24"/>
          <w:szCs w:val="24"/>
          <w:highlight w:val="none"/>
          <w:shd w:val="clear" w:color="auto" w:fill="FFFFFF" w:themeFill="background1"/>
        </w:rPr>
        <w:t>将无条件退出本项目的</w:t>
      </w:r>
      <w:r>
        <w:rPr>
          <w:rFonts w:hint="eastAsia" w:ascii="仿宋" w:hAnsi="仿宋" w:eastAsia="仿宋" w:cs="仿宋"/>
          <w:color w:val="auto"/>
          <w:kern w:val="0"/>
          <w:sz w:val="24"/>
          <w:szCs w:val="24"/>
          <w:highlight w:val="none"/>
          <w:shd w:val="clear" w:color="auto" w:fill="FFFFFF" w:themeFill="background1"/>
        </w:rPr>
        <w:t>响应</w:t>
      </w:r>
      <w:r>
        <w:rPr>
          <w:rFonts w:hint="eastAsia" w:ascii="仿宋" w:hAnsi="仿宋" w:eastAsia="仿宋" w:cs="仿宋"/>
          <w:color w:val="auto"/>
          <w:sz w:val="24"/>
          <w:szCs w:val="24"/>
          <w:highlight w:val="none"/>
          <w:shd w:val="clear" w:color="auto" w:fill="FFFFFF" w:themeFill="background1"/>
        </w:rPr>
        <w:t>，并承担因此引起的一切后果。我方对此声明负全部法律责任。</w:t>
      </w:r>
    </w:p>
    <w:p w14:paraId="6383F674">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特此声明！</w:t>
      </w:r>
    </w:p>
    <w:p w14:paraId="5892AC90">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0DF2E3C9">
      <w:pPr>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3A1956D5">
      <w:pPr>
        <w:adjustRightInd w:val="0"/>
        <w:snapToGrid w:val="0"/>
        <w:spacing w:line="360" w:lineRule="auto"/>
        <w:ind w:firstLine="420" w:firstLineChars="200"/>
        <w:rPr>
          <w:rFonts w:hint="eastAsia" w:ascii="仿宋" w:hAnsi="仿宋" w:eastAsia="仿宋" w:cs="仿宋"/>
          <w:color w:val="auto"/>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注：</w:t>
      </w:r>
    </w:p>
    <w:p w14:paraId="792507C9">
      <w:pPr>
        <w:adjustRightInd w:val="0"/>
        <w:snapToGrid w:val="0"/>
        <w:spacing w:line="360" w:lineRule="auto"/>
        <w:ind w:firstLine="42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t>若供应商在响应文件递交截止之日成立时间不足三年，以自成立以来的时间计取。</w:t>
      </w:r>
    </w:p>
    <w:p w14:paraId="1CA8A521">
      <w:pPr>
        <w:adjustRightInd w:val="0"/>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p>
    <w:p w14:paraId="0CD3A740">
      <w:pPr>
        <w:adjustRightInd w:val="0"/>
        <w:snapToGrid w:val="0"/>
        <w:spacing w:line="360" w:lineRule="auto"/>
        <w:ind w:firstLine="3112" w:firstLineChars="1297"/>
        <w:rPr>
          <w:rFonts w:hint="eastAsia" w:ascii="仿宋" w:hAnsi="仿宋" w:eastAsia="仿宋" w:cs="仿宋"/>
          <w:color w:val="auto"/>
          <w:sz w:val="24"/>
          <w:szCs w:val="24"/>
          <w:highlight w:val="none"/>
          <w:shd w:val="clear" w:color="auto" w:fill="FFFFFF" w:themeFill="background1"/>
        </w:rPr>
      </w:pPr>
    </w:p>
    <w:p w14:paraId="2EC407EF">
      <w:pPr>
        <w:widowControl/>
        <w:shd w:val="clear" w:color="auto" w:fill="FFFFFF"/>
        <w:snapToGrid w:val="0"/>
        <w:spacing w:line="360" w:lineRule="auto"/>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（盖章）</w:t>
      </w:r>
    </w:p>
    <w:p w14:paraId="317132D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5EB75158">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p>
    <w:p w14:paraId="39B87982">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 年  月  日</w:t>
      </w:r>
    </w:p>
    <w:p w14:paraId="751A3036">
      <w:pPr>
        <w:widowControl/>
        <w:shd w:val="clear" w:color="auto" w:fill="FFFFFF"/>
        <w:snapToGrid w:val="0"/>
        <w:spacing w:line="360" w:lineRule="auto"/>
        <w:ind w:firstLine="420"/>
        <w:rPr>
          <w:rFonts w:hint="eastAsia" w:ascii="仿宋" w:hAnsi="仿宋" w:eastAsia="仿宋" w:cs="仿宋"/>
          <w:color w:val="auto"/>
          <w:kern w:val="0"/>
          <w:sz w:val="24"/>
          <w:szCs w:val="24"/>
          <w:highlight w:val="none"/>
          <w:shd w:val="clear" w:color="auto" w:fill="FFFFFF" w:themeFill="background1"/>
        </w:rPr>
      </w:pPr>
    </w:p>
    <w:p w14:paraId="08B88C78">
      <w:pPr>
        <w:widowControl/>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p>
    <w:p w14:paraId="2AF18D05">
      <w:pPr>
        <w:adjustRightInd w:val="0"/>
        <w:snapToGrid w:val="0"/>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154" w:name="_Toc156750403"/>
      <w:bookmarkStart w:id="155" w:name="_Toc6166"/>
      <w:bookmarkStart w:id="156" w:name="_Toc31476"/>
      <w:bookmarkStart w:id="157" w:name="_Toc21901"/>
      <w:bookmarkStart w:id="158" w:name="_Toc15699"/>
      <w:bookmarkStart w:id="159" w:name="_Toc8918"/>
      <w:bookmarkStart w:id="160" w:name="_Toc25682"/>
      <w:bookmarkStart w:id="161" w:name="_Toc16785"/>
      <w:bookmarkStart w:id="162" w:name="_Toc16470"/>
      <w:bookmarkStart w:id="163" w:name="_Toc3248"/>
      <w:bookmarkStart w:id="164" w:name="_Toc27822"/>
      <w:bookmarkStart w:id="165" w:name="_Toc22511"/>
      <w:bookmarkStart w:id="166" w:name="_Toc1758"/>
      <w:bookmarkStart w:id="167" w:name="_Toc128476882"/>
      <w:bookmarkStart w:id="168" w:name="_Toc23458"/>
      <w:bookmarkStart w:id="169" w:name="_Toc5886"/>
      <w:bookmarkStart w:id="170" w:name="_Toc113901853"/>
      <w:bookmarkStart w:id="171" w:name="_Toc22191"/>
      <w:bookmarkStart w:id="172" w:name="_Toc10130"/>
      <w:bookmarkStart w:id="173" w:name="_Toc4228"/>
      <w:r>
        <w:rPr>
          <w:rFonts w:hint="eastAsia" w:ascii="仿宋" w:hAnsi="仿宋" w:eastAsia="仿宋" w:cs="仿宋"/>
          <w:b/>
          <w:color w:val="auto"/>
          <w:sz w:val="24"/>
          <w:szCs w:val="24"/>
          <w:highlight w:val="none"/>
          <w:shd w:val="clear" w:color="auto" w:fill="FFFFFF" w:themeFill="background1"/>
        </w:rPr>
        <w:t>8.5、具备法律、行政法规规定的其他条件的证明材料</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0FBBBFDA">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30BBC92A">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1、国家有关主管部门的行政许可（如有时）。</w:t>
      </w:r>
    </w:p>
    <w:p w14:paraId="2F21283A">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rPr>
        <w:t>2、中小企业声明函/残疾人福利性单位声明函/监狱企业证明文件（如有时）。</w:t>
      </w:r>
      <w:r>
        <w:rPr>
          <w:rFonts w:hint="eastAsia" w:ascii="仿宋" w:hAnsi="仿宋" w:eastAsia="仿宋" w:cs="仿宋"/>
          <w:color w:val="auto"/>
          <w:sz w:val="24"/>
          <w:szCs w:val="24"/>
          <w:highlight w:val="none"/>
        </w:rPr>
        <w:br w:type="page"/>
      </w:r>
    </w:p>
    <w:p w14:paraId="2610F5FD">
      <w:pPr>
        <w:pStyle w:val="37"/>
        <w:spacing w:before="0" w:beforeAutospacing="0" w:after="0" w:afterAutospacing="0" w:line="360" w:lineRule="auto"/>
        <w:rPr>
          <w:rStyle w:val="46"/>
          <w:rFonts w:hint="eastAsia" w:ascii="仿宋" w:hAnsi="仿宋" w:eastAsia="仿宋" w:cs="仿宋"/>
          <w:color w:val="auto"/>
          <w:highlight w:val="none"/>
          <w:shd w:val="clear" w:color="auto" w:fill="FFFFFF" w:themeFill="background1"/>
        </w:rPr>
      </w:pPr>
      <w:r>
        <w:rPr>
          <w:rStyle w:val="46"/>
          <w:rFonts w:hint="eastAsia" w:ascii="仿宋" w:hAnsi="仿宋" w:eastAsia="仿宋" w:cs="仿宋"/>
          <w:color w:val="auto"/>
          <w:highlight w:val="none"/>
          <w:shd w:val="clear" w:color="auto" w:fill="FFFFFF" w:themeFill="background1"/>
        </w:rPr>
        <w:t xml:space="preserve">附表一、                  </w:t>
      </w:r>
    </w:p>
    <w:p w14:paraId="73B9B83C">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p>
    <w:p w14:paraId="36DDC105">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7442B3F5">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p>
    <w:p w14:paraId="3DFEA15C">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rPr>
        <w:t xml:space="preserve">  （联合体）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rPr>
        <w:t xml:space="preserve">   （单位名称）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rPr>
        <w:t xml:space="preserve">   （项目名称）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6C811ADD">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rPr>
        <w:t xml:space="preserve">    （标的名称）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2FF08553">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rPr>
        <w:t xml:space="preserve">   （标的名称）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rPr>
        <w:t xml:space="preserve">   （采购文件中明确的所属行业）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rPr>
        <w:t xml:space="preserve">   （企业名称）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rPr>
        <w:t xml:space="preserve">   （中型企业、小型企业、微型企业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39379081">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23AF660E">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1AEADB9D">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EF7D62D">
      <w:pPr>
        <w:spacing w:line="360" w:lineRule="auto"/>
        <w:ind w:firstLine="480" w:firstLineChars="200"/>
        <w:jc w:val="right"/>
        <w:rPr>
          <w:rFonts w:hint="eastAsia" w:ascii="仿宋" w:hAnsi="仿宋" w:eastAsia="仿宋" w:cs="仿宋"/>
          <w:color w:val="auto"/>
          <w:kern w:val="0"/>
          <w:sz w:val="24"/>
          <w:szCs w:val="24"/>
          <w:highlight w:val="none"/>
          <w:shd w:val="clear" w:color="auto" w:fill="FFFFFF" w:themeFill="background1"/>
        </w:rPr>
      </w:pPr>
    </w:p>
    <w:p w14:paraId="44E04268">
      <w:pPr>
        <w:spacing w:line="360" w:lineRule="auto"/>
        <w:ind w:firstLine="480" w:firstLineChars="200"/>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企业名称（盖章）：</w:t>
      </w:r>
    </w:p>
    <w:p w14:paraId="6A606340">
      <w:pPr>
        <w:spacing w:line="360" w:lineRule="auto"/>
        <w:ind w:right="480" w:firstLine="480" w:firstLineChars="200"/>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             日期：</w:t>
      </w:r>
    </w:p>
    <w:p w14:paraId="0ECC756E">
      <w:pPr>
        <w:spacing w:line="360" w:lineRule="auto"/>
        <w:rPr>
          <w:rFonts w:hint="eastAsia" w:ascii="仿宋" w:hAnsi="仿宋" w:eastAsia="仿宋" w:cs="仿宋"/>
          <w:color w:val="auto"/>
          <w:kern w:val="0"/>
          <w:sz w:val="24"/>
          <w:szCs w:val="24"/>
          <w:highlight w:val="none"/>
          <w:shd w:val="clear" w:color="auto" w:fill="FFFFFF" w:themeFill="background1"/>
        </w:rPr>
      </w:pPr>
    </w:p>
    <w:p w14:paraId="54C1B502">
      <w:pPr>
        <w:spacing w:line="360" w:lineRule="auto"/>
        <w:rPr>
          <w:rStyle w:val="46"/>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p>
    <w:p w14:paraId="2649E279">
      <w:pPr>
        <w:pStyle w:val="14"/>
        <w:spacing w:after="0"/>
        <w:ind w:firstLine="480" w:firstLineChars="200"/>
        <w:rPr>
          <w:rFonts w:hint="eastAsia" w:ascii="仿宋" w:hAnsi="仿宋" w:eastAsia="仿宋" w:cs="仿宋"/>
          <w:color w:val="auto"/>
          <w:sz w:val="21"/>
          <w:szCs w:val="21"/>
          <w:highlight w:val="none"/>
        </w:rPr>
      </w:pPr>
      <w:r>
        <w:rPr>
          <w:rFonts w:hint="eastAsia" w:ascii="仿宋" w:hAnsi="仿宋" w:eastAsia="仿宋" w:cs="仿宋"/>
          <w:color w:val="auto"/>
          <w:highlight w:val="none"/>
        </w:rPr>
        <w:br w:type="page"/>
      </w:r>
    </w:p>
    <w:p w14:paraId="7B820023">
      <w:pPr>
        <w:widowControl/>
        <w:spacing w:line="360" w:lineRule="auto"/>
        <w:jc w:val="left"/>
        <w:rPr>
          <w:rFonts w:hint="eastAsia" w:ascii="仿宋" w:hAnsi="仿宋" w:eastAsia="仿宋" w:cs="仿宋"/>
          <w:color w:val="auto"/>
          <w:spacing w:val="6"/>
          <w:sz w:val="24"/>
          <w:szCs w:val="24"/>
          <w:highlight w:val="none"/>
          <w:shd w:val="clear" w:color="auto" w:fill="FFFFFF" w:themeFill="background1"/>
        </w:rPr>
      </w:pPr>
      <w:r>
        <w:rPr>
          <w:rStyle w:val="46"/>
          <w:rFonts w:hint="eastAsia" w:ascii="仿宋" w:hAnsi="仿宋" w:eastAsia="仿宋" w:cs="仿宋"/>
          <w:color w:val="auto"/>
          <w:kern w:val="0"/>
          <w:sz w:val="24"/>
          <w:szCs w:val="24"/>
          <w:highlight w:val="none"/>
          <w:shd w:val="clear" w:color="auto" w:fill="FFFFFF" w:themeFill="background1"/>
        </w:rPr>
        <w:t>附表二、</w:t>
      </w:r>
    </w:p>
    <w:p w14:paraId="454C4A28">
      <w:pPr>
        <w:spacing w:line="360" w:lineRule="auto"/>
        <w:jc w:val="center"/>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残疾人福利性单位声明函</w:t>
      </w:r>
    </w:p>
    <w:p w14:paraId="1AC5BBB9">
      <w:pPr>
        <w:spacing w:line="360" w:lineRule="auto"/>
        <w:rPr>
          <w:rFonts w:hint="eastAsia" w:ascii="仿宋" w:hAnsi="仿宋" w:eastAsia="仿宋" w:cs="仿宋"/>
          <w:b/>
          <w:color w:val="auto"/>
          <w:spacing w:val="6"/>
          <w:sz w:val="24"/>
          <w:szCs w:val="24"/>
          <w:highlight w:val="none"/>
          <w:shd w:val="clear" w:color="auto" w:fill="FFFFFF" w:themeFill="background1"/>
        </w:rPr>
      </w:pPr>
    </w:p>
    <w:p w14:paraId="2EBF5DDB">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shd w:val="clear" w:color="auto" w:fill="FFFFFF" w:themeFill="background1"/>
        </w:rPr>
        <w:t>〔2017〕 141</w:t>
      </w:r>
      <w:r>
        <w:rPr>
          <w:rFonts w:hint="eastAsia" w:ascii="仿宋" w:hAnsi="仿宋" w:eastAsia="仿宋" w:cs="仿宋"/>
          <w:color w:val="auto"/>
          <w:spacing w:val="6"/>
          <w:sz w:val="24"/>
          <w:szCs w:val="24"/>
          <w:highlight w:val="none"/>
          <w:shd w:val="clear" w:color="auto" w:fill="FFFFFF" w:themeFill="background1"/>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shd w:val="clear" w:color="auto" w:fill="FFFFFF" w:themeFill="background1"/>
        </w:rPr>
        <w:t>项目采购活动提供本单位制造的货物（由本单位承担工程/提供服务），或者提供其他残疾人福利性单位制造的货物（不包括使用非残疾人福利性单位注册商标的货物）。</w:t>
      </w:r>
    </w:p>
    <w:p w14:paraId="7E80767E">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本单位对上述声明的真实性负责。如有虚假，将依法承担相应责任。</w:t>
      </w:r>
    </w:p>
    <w:p w14:paraId="214EBB1C">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646CD40C">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p>
    <w:p w14:paraId="3E0FB703">
      <w:pPr>
        <w:tabs>
          <w:tab w:val="left" w:pos="4860"/>
        </w:tabs>
        <w:spacing w:line="360" w:lineRule="auto"/>
        <w:ind w:right="1560"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单位名称（盖章）：</w:t>
      </w:r>
    </w:p>
    <w:p w14:paraId="7BECC215">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 xml:space="preserve">                                           日  期：</w:t>
      </w:r>
    </w:p>
    <w:p w14:paraId="44DE9138">
      <w:pPr>
        <w:spacing w:line="360" w:lineRule="auto"/>
        <w:rPr>
          <w:rFonts w:hint="eastAsia" w:ascii="仿宋" w:hAnsi="仿宋" w:eastAsia="仿宋" w:cs="仿宋"/>
          <w:color w:val="auto"/>
          <w:sz w:val="24"/>
          <w:szCs w:val="24"/>
          <w:highlight w:val="none"/>
          <w:shd w:val="clear" w:color="auto" w:fill="FFFFFF" w:themeFill="background1"/>
        </w:rPr>
      </w:pPr>
    </w:p>
    <w:p w14:paraId="2975F945">
      <w:pPr>
        <w:spacing w:line="360" w:lineRule="auto"/>
        <w:rPr>
          <w:rFonts w:hint="eastAsia" w:ascii="仿宋" w:hAnsi="仿宋" w:eastAsia="仿宋" w:cs="仿宋"/>
          <w:color w:val="auto"/>
          <w:sz w:val="24"/>
          <w:szCs w:val="24"/>
          <w:highlight w:val="none"/>
          <w:shd w:val="clear" w:color="auto" w:fill="FFFFFF" w:themeFill="background1"/>
        </w:rPr>
      </w:pPr>
    </w:p>
    <w:p w14:paraId="2DE8A36F">
      <w:pPr>
        <w:spacing w:line="360" w:lineRule="auto"/>
        <w:rPr>
          <w:rFonts w:hint="eastAsia" w:ascii="仿宋" w:hAnsi="仿宋" w:eastAsia="仿宋" w:cs="仿宋"/>
          <w:color w:val="auto"/>
          <w:sz w:val="24"/>
          <w:szCs w:val="24"/>
          <w:highlight w:val="none"/>
          <w:shd w:val="clear" w:color="auto" w:fill="FFFFFF" w:themeFill="background1"/>
        </w:rPr>
      </w:pPr>
    </w:p>
    <w:p w14:paraId="50D2AB38">
      <w:pPr>
        <w:widowControl/>
        <w:spacing w:line="360" w:lineRule="auto"/>
        <w:jc w:val="left"/>
        <w:rPr>
          <w:rStyle w:val="46"/>
          <w:rFonts w:hint="eastAsia" w:ascii="仿宋" w:hAnsi="仿宋" w:eastAsia="仿宋" w:cs="仿宋"/>
          <w:b w:val="0"/>
          <w:color w:val="auto"/>
          <w:sz w:val="24"/>
          <w:szCs w:val="24"/>
          <w:highlight w:val="none"/>
          <w:shd w:val="clear" w:color="auto" w:fill="FFFFFF" w:themeFill="background1"/>
        </w:rPr>
      </w:pPr>
      <w:r>
        <w:rPr>
          <w:rStyle w:val="46"/>
          <w:rFonts w:hint="eastAsia" w:ascii="仿宋" w:hAnsi="仿宋" w:eastAsia="仿宋" w:cs="仿宋"/>
          <w:color w:val="auto"/>
          <w:kern w:val="0"/>
          <w:sz w:val="24"/>
          <w:szCs w:val="24"/>
          <w:highlight w:val="none"/>
          <w:shd w:val="clear" w:color="auto" w:fill="FFFFFF" w:themeFill="background1"/>
        </w:rPr>
        <w:t>附表三、</w:t>
      </w:r>
    </w:p>
    <w:p w14:paraId="3CFF71A4">
      <w:pPr>
        <w:spacing w:line="360" w:lineRule="auto"/>
        <w:jc w:val="center"/>
        <w:rPr>
          <w:rStyle w:val="46"/>
          <w:rFonts w:hint="eastAsia" w:ascii="仿宋" w:hAnsi="仿宋" w:eastAsia="仿宋" w:cs="仿宋"/>
          <w:b w:val="0"/>
          <w:color w:val="auto"/>
          <w:kern w:val="0"/>
          <w:sz w:val="24"/>
          <w:szCs w:val="24"/>
          <w:highlight w:val="none"/>
          <w:shd w:val="clear" w:color="auto" w:fill="FFFFFF" w:themeFill="background1"/>
        </w:rPr>
      </w:pPr>
      <w:r>
        <w:rPr>
          <w:rStyle w:val="46"/>
          <w:rFonts w:hint="eastAsia" w:ascii="仿宋" w:hAnsi="仿宋" w:eastAsia="仿宋" w:cs="仿宋"/>
          <w:color w:val="auto"/>
          <w:kern w:val="0"/>
          <w:sz w:val="24"/>
          <w:szCs w:val="24"/>
          <w:highlight w:val="none"/>
          <w:shd w:val="clear" w:color="auto" w:fill="FFFFFF" w:themeFill="background1"/>
        </w:rPr>
        <w:t>监狱企业证明文件</w:t>
      </w:r>
    </w:p>
    <w:p w14:paraId="2EB76271">
      <w:pPr>
        <w:spacing w:line="360" w:lineRule="auto"/>
        <w:ind w:firstLine="504" w:firstLineChars="200"/>
        <w:rPr>
          <w:rFonts w:hint="eastAsia" w:ascii="仿宋" w:hAnsi="仿宋" w:eastAsia="仿宋" w:cs="仿宋"/>
          <w:color w:val="auto"/>
          <w:spacing w:val="6"/>
          <w:sz w:val="24"/>
          <w:szCs w:val="24"/>
          <w:highlight w:val="none"/>
          <w:shd w:val="clear" w:color="auto" w:fill="FFFFFF" w:themeFill="background1"/>
        </w:rPr>
      </w:pPr>
      <w:r>
        <w:rPr>
          <w:rFonts w:hint="eastAsia" w:ascii="仿宋" w:hAnsi="仿宋" w:eastAsia="仿宋" w:cs="仿宋"/>
          <w:color w:val="auto"/>
          <w:spacing w:val="6"/>
          <w:sz w:val="24"/>
          <w:szCs w:val="24"/>
          <w:highlight w:val="none"/>
          <w:shd w:val="clear" w:color="auto" w:fill="FFFFFF" w:themeFill="background1"/>
        </w:rPr>
        <w:t>监狱企业参加政府采购活动时，应当提供由省级以上监狱管理局、戒毒管理局（含新疆生产建设兵团）出具的属于监狱企业的证明文件。</w:t>
      </w:r>
    </w:p>
    <w:p w14:paraId="4C4855ED">
      <w:pPr>
        <w:widowControl/>
        <w:adjustRightInd w:val="0"/>
        <w:snapToGrid w:val="0"/>
        <w:spacing w:line="360" w:lineRule="auto"/>
        <w:rPr>
          <w:rFonts w:hint="eastAsia" w:ascii="仿宋" w:hAnsi="仿宋" w:eastAsia="仿宋" w:cs="仿宋"/>
          <w:color w:val="auto"/>
          <w:sz w:val="24"/>
          <w:szCs w:val="24"/>
          <w:highlight w:val="none"/>
          <w:shd w:val="clear" w:color="auto" w:fill="FFFFFF" w:themeFill="background1"/>
        </w:rPr>
      </w:pPr>
    </w:p>
    <w:p w14:paraId="0E154CE0">
      <w:pPr>
        <w:rPr>
          <w:rFonts w:hint="eastAsia" w:ascii="仿宋" w:hAnsi="仿宋" w:eastAsia="仿宋" w:cs="仿宋"/>
          <w:b/>
          <w:color w:val="auto"/>
          <w:sz w:val="24"/>
          <w:szCs w:val="24"/>
          <w:highlight w:val="none"/>
          <w:shd w:val="clear" w:color="auto" w:fill="FFFFFF" w:themeFill="background1"/>
        </w:rPr>
      </w:pPr>
    </w:p>
    <w:p w14:paraId="6232F6CE">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583316F9">
      <w:pPr>
        <w:widowControl/>
        <w:spacing w:line="360" w:lineRule="auto"/>
        <w:jc w:val="left"/>
        <w:rPr>
          <w:rFonts w:hint="eastAsia" w:ascii="仿宋" w:hAnsi="仿宋" w:eastAsia="仿宋" w:cs="仿宋"/>
          <w:b/>
          <w:color w:val="auto"/>
          <w:sz w:val="24"/>
          <w:szCs w:val="24"/>
          <w:highlight w:val="none"/>
          <w:shd w:val="clear" w:color="auto" w:fill="FFFFFF" w:themeFill="background1"/>
        </w:rPr>
      </w:pPr>
    </w:p>
    <w:p w14:paraId="3B053C01">
      <w:pPr>
        <w:rPr>
          <w:rFonts w:hint="eastAsia" w:ascii="仿宋" w:hAnsi="仿宋" w:eastAsia="仿宋" w:cs="仿宋"/>
          <w:b/>
          <w:color w:val="auto"/>
          <w:sz w:val="24"/>
          <w:szCs w:val="24"/>
          <w:highlight w:val="none"/>
          <w:shd w:val="clear" w:color="auto" w:fill="FFFFFF" w:themeFill="background1"/>
        </w:rPr>
      </w:pPr>
      <w:bookmarkStart w:id="174" w:name="_Toc507586174"/>
      <w:bookmarkStart w:id="175" w:name="_Toc38446479"/>
      <w:bookmarkStart w:id="176" w:name="_Toc533503190"/>
      <w:r>
        <w:rPr>
          <w:rFonts w:hint="eastAsia" w:ascii="仿宋" w:hAnsi="仿宋" w:eastAsia="仿宋" w:cs="仿宋"/>
          <w:b/>
          <w:color w:val="auto"/>
          <w:sz w:val="24"/>
          <w:szCs w:val="24"/>
          <w:highlight w:val="none"/>
          <w:shd w:val="clear" w:color="auto" w:fill="FFFFFF" w:themeFill="background1"/>
        </w:rPr>
        <w:br w:type="page"/>
      </w:r>
    </w:p>
    <w:p w14:paraId="52DBBB45">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177" w:name="_Toc5131"/>
      <w:r>
        <w:rPr>
          <w:rFonts w:hint="eastAsia" w:ascii="仿宋" w:hAnsi="仿宋" w:eastAsia="仿宋" w:cs="仿宋"/>
          <w:b/>
          <w:color w:val="auto"/>
          <w:sz w:val="24"/>
          <w:szCs w:val="24"/>
          <w:highlight w:val="none"/>
          <w:shd w:val="clear" w:color="auto" w:fill="FFFFFF" w:themeFill="background1"/>
        </w:rPr>
        <w:t>九、</w:t>
      </w:r>
      <w:r>
        <w:rPr>
          <w:rFonts w:hint="eastAsia" w:ascii="仿宋" w:hAnsi="仿宋" w:eastAsia="仿宋" w:cs="仿宋"/>
          <w:b/>
          <w:bCs/>
          <w:color w:val="auto"/>
          <w:sz w:val="24"/>
          <w:szCs w:val="24"/>
          <w:highlight w:val="none"/>
          <w:shd w:val="clear" w:color="auto" w:fill="FFFFFF" w:themeFill="background1"/>
        </w:rPr>
        <w:t>供应商近年类似项目业绩表</w:t>
      </w:r>
      <w:bookmarkEnd w:id="174"/>
      <w:bookmarkEnd w:id="175"/>
      <w:bookmarkEnd w:id="176"/>
      <w:bookmarkEnd w:id="177"/>
    </w:p>
    <w:p w14:paraId="52AC15CA">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4"/>
        <w:tblW w:w="932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1549"/>
        <w:gridCol w:w="1134"/>
        <w:gridCol w:w="1369"/>
        <w:gridCol w:w="1194"/>
        <w:gridCol w:w="1213"/>
        <w:gridCol w:w="1213"/>
        <w:gridCol w:w="787"/>
      </w:tblGrid>
      <w:tr w14:paraId="0A4FA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ECCCA6A">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序号</w:t>
            </w:r>
          </w:p>
        </w:tc>
        <w:tc>
          <w:tcPr>
            <w:tcW w:w="1549" w:type="dxa"/>
            <w:tcBorders>
              <w:top w:val="single" w:color="000000" w:sz="4" w:space="0"/>
              <w:left w:val="single" w:color="000000" w:sz="4" w:space="0"/>
              <w:bottom w:val="single" w:color="000000" w:sz="4" w:space="0"/>
              <w:right w:val="single" w:color="000000" w:sz="4" w:space="0"/>
            </w:tcBorders>
            <w:vAlign w:val="center"/>
          </w:tcPr>
          <w:p w14:paraId="017E0ACB">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项目名称</w:t>
            </w:r>
          </w:p>
        </w:tc>
        <w:tc>
          <w:tcPr>
            <w:tcW w:w="1134" w:type="dxa"/>
            <w:tcBorders>
              <w:top w:val="single" w:color="000000" w:sz="4" w:space="0"/>
              <w:left w:val="single" w:color="000000" w:sz="4" w:space="0"/>
              <w:bottom w:val="single" w:color="000000" w:sz="4" w:space="0"/>
              <w:right w:val="single" w:color="000000" w:sz="4" w:space="0"/>
            </w:tcBorders>
            <w:vAlign w:val="center"/>
          </w:tcPr>
          <w:p w14:paraId="5B70CFC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tc>
        <w:tc>
          <w:tcPr>
            <w:tcW w:w="1369" w:type="dxa"/>
            <w:tcBorders>
              <w:top w:val="single" w:color="000000" w:sz="4" w:space="0"/>
              <w:left w:val="single" w:color="000000" w:sz="4" w:space="0"/>
              <w:bottom w:val="single" w:color="000000" w:sz="4" w:space="0"/>
              <w:right w:val="single" w:color="000000" w:sz="4" w:space="0"/>
            </w:tcBorders>
            <w:vAlign w:val="center"/>
          </w:tcPr>
          <w:p w14:paraId="11DF204B">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w:t>
            </w:r>
          </w:p>
          <w:p w14:paraId="37E6A1E2">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联系方式</w:t>
            </w:r>
          </w:p>
        </w:tc>
        <w:tc>
          <w:tcPr>
            <w:tcW w:w="1194" w:type="dxa"/>
            <w:tcBorders>
              <w:top w:val="single" w:color="000000" w:sz="4" w:space="0"/>
              <w:left w:val="single" w:color="000000" w:sz="4" w:space="0"/>
              <w:bottom w:val="single" w:color="000000" w:sz="4" w:space="0"/>
              <w:right w:val="single" w:color="000000" w:sz="4" w:space="0"/>
            </w:tcBorders>
            <w:vAlign w:val="center"/>
          </w:tcPr>
          <w:p w14:paraId="25DD1D44">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项目规模</w:t>
            </w:r>
          </w:p>
        </w:tc>
        <w:tc>
          <w:tcPr>
            <w:tcW w:w="1213" w:type="dxa"/>
            <w:tcBorders>
              <w:top w:val="single" w:color="000000" w:sz="4" w:space="0"/>
              <w:left w:val="single" w:color="000000" w:sz="4" w:space="0"/>
              <w:bottom w:val="single" w:color="000000" w:sz="4" w:space="0"/>
              <w:right w:val="single" w:color="000000" w:sz="4" w:space="0"/>
            </w:tcBorders>
            <w:vAlign w:val="center"/>
          </w:tcPr>
          <w:p w14:paraId="2EB87C17">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合同金额</w:t>
            </w:r>
          </w:p>
        </w:tc>
        <w:tc>
          <w:tcPr>
            <w:tcW w:w="1213" w:type="dxa"/>
            <w:tcBorders>
              <w:top w:val="single" w:color="000000" w:sz="4" w:space="0"/>
              <w:left w:val="single" w:color="000000" w:sz="4" w:space="0"/>
              <w:bottom w:val="single" w:color="000000" w:sz="4" w:space="0"/>
              <w:right w:val="single" w:color="000000" w:sz="4" w:space="0"/>
            </w:tcBorders>
            <w:vAlign w:val="center"/>
          </w:tcPr>
          <w:p w14:paraId="767D55A5">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合同日期</w:t>
            </w:r>
          </w:p>
        </w:tc>
        <w:tc>
          <w:tcPr>
            <w:tcW w:w="787" w:type="dxa"/>
            <w:tcBorders>
              <w:top w:val="single" w:color="000000" w:sz="4" w:space="0"/>
              <w:left w:val="single" w:color="000000" w:sz="4" w:space="0"/>
              <w:bottom w:val="single" w:color="000000" w:sz="4" w:space="0"/>
              <w:right w:val="single" w:color="000000" w:sz="4" w:space="0"/>
            </w:tcBorders>
            <w:vAlign w:val="center"/>
          </w:tcPr>
          <w:p w14:paraId="414B8C3C">
            <w:pPr>
              <w:jc w:val="center"/>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备注</w:t>
            </w:r>
          </w:p>
        </w:tc>
      </w:tr>
      <w:tr w14:paraId="00F7D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2C9A5DAF">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3908D2F9">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292707A">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66F1BFE0">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635AE01F">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3054E6BF">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424ECED">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7A21B22">
            <w:pPr>
              <w:jc w:val="center"/>
              <w:rPr>
                <w:rFonts w:hint="eastAsia" w:ascii="仿宋" w:hAnsi="仿宋" w:eastAsia="仿宋" w:cs="仿宋"/>
                <w:color w:val="auto"/>
                <w:kern w:val="0"/>
                <w:sz w:val="24"/>
                <w:szCs w:val="24"/>
                <w:highlight w:val="none"/>
                <w:shd w:val="clear" w:color="auto" w:fill="FFFFFF" w:themeFill="background1"/>
              </w:rPr>
            </w:pPr>
          </w:p>
        </w:tc>
      </w:tr>
      <w:tr w14:paraId="25DB2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3FB7B890">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06304089">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4288D02">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22B632E9">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42CBDC6D">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21D41BE3">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613EA895">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3BD64328">
            <w:pPr>
              <w:jc w:val="center"/>
              <w:rPr>
                <w:rFonts w:hint="eastAsia" w:ascii="仿宋" w:hAnsi="仿宋" w:eastAsia="仿宋" w:cs="仿宋"/>
                <w:color w:val="auto"/>
                <w:kern w:val="0"/>
                <w:sz w:val="24"/>
                <w:szCs w:val="24"/>
                <w:highlight w:val="none"/>
                <w:shd w:val="clear" w:color="auto" w:fill="FFFFFF" w:themeFill="background1"/>
              </w:rPr>
            </w:pPr>
          </w:p>
        </w:tc>
      </w:tr>
      <w:tr w14:paraId="06935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634DD159">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3B652D22">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381371C">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7F2C0B21">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57B3E8A6">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2BF1054B">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5864D1AE">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ECCEC55">
            <w:pPr>
              <w:jc w:val="center"/>
              <w:rPr>
                <w:rFonts w:hint="eastAsia" w:ascii="仿宋" w:hAnsi="仿宋" w:eastAsia="仿宋" w:cs="仿宋"/>
                <w:color w:val="auto"/>
                <w:kern w:val="0"/>
                <w:sz w:val="24"/>
                <w:szCs w:val="24"/>
                <w:highlight w:val="none"/>
                <w:shd w:val="clear" w:color="auto" w:fill="FFFFFF" w:themeFill="background1"/>
              </w:rPr>
            </w:pPr>
          </w:p>
        </w:tc>
      </w:tr>
      <w:tr w14:paraId="214BE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5D774767">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43FB1754">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2BAD459">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24712437">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23870934">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0E78E4B6">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EEAE545">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46A6907">
            <w:pPr>
              <w:jc w:val="center"/>
              <w:rPr>
                <w:rFonts w:hint="eastAsia" w:ascii="仿宋" w:hAnsi="仿宋" w:eastAsia="仿宋" w:cs="仿宋"/>
                <w:color w:val="auto"/>
                <w:kern w:val="0"/>
                <w:sz w:val="24"/>
                <w:szCs w:val="24"/>
                <w:highlight w:val="none"/>
                <w:shd w:val="clear" w:color="auto" w:fill="FFFFFF" w:themeFill="background1"/>
              </w:rPr>
            </w:pPr>
          </w:p>
        </w:tc>
      </w:tr>
      <w:tr w14:paraId="13F02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trPr>
        <w:tc>
          <w:tcPr>
            <w:tcW w:w="861" w:type="dxa"/>
            <w:tcBorders>
              <w:top w:val="single" w:color="000000" w:sz="4" w:space="0"/>
              <w:left w:val="single" w:color="000000" w:sz="4" w:space="0"/>
              <w:bottom w:val="single" w:color="000000" w:sz="4" w:space="0"/>
              <w:right w:val="single" w:color="000000" w:sz="4" w:space="0"/>
            </w:tcBorders>
            <w:vAlign w:val="center"/>
          </w:tcPr>
          <w:p w14:paraId="77DCFFA4">
            <w:pPr>
              <w:jc w:val="center"/>
              <w:rPr>
                <w:rFonts w:hint="eastAsia" w:ascii="仿宋" w:hAnsi="仿宋" w:eastAsia="仿宋" w:cs="仿宋"/>
                <w:color w:val="auto"/>
                <w:kern w:val="0"/>
                <w:sz w:val="24"/>
                <w:szCs w:val="24"/>
                <w:highlight w:val="none"/>
                <w:shd w:val="clear" w:color="auto" w:fill="FFFFFF" w:themeFill="background1"/>
              </w:rPr>
            </w:pPr>
          </w:p>
        </w:tc>
        <w:tc>
          <w:tcPr>
            <w:tcW w:w="1549" w:type="dxa"/>
            <w:tcBorders>
              <w:top w:val="single" w:color="000000" w:sz="4" w:space="0"/>
              <w:left w:val="single" w:color="000000" w:sz="4" w:space="0"/>
              <w:bottom w:val="single" w:color="000000" w:sz="4" w:space="0"/>
              <w:right w:val="single" w:color="000000" w:sz="4" w:space="0"/>
            </w:tcBorders>
            <w:vAlign w:val="center"/>
          </w:tcPr>
          <w:p w14:paraId="74482864">
            <w:pPr>
              <w:jc w:val="center"/>
              <w:rPr>
                <w:rFonts w:hint="eastAsia" w:ascii="仿宋" w:hAnsi="仿宋" w:eastAsia="仿宋" w:cs="仿宋"/>
                <w:color w:val="auto"/>
                <w:kern w:val="0"/>
                <w:sz w:val="24"/>
                <w:szCs w:val="24"/>
                <w:highlight w:val="none"/>
                <w:shd w:val="clear" w:color="auto" w:fill="FFFFFF" w:themeFill="background1"/>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F42813D">
            <w:pPr>
              <w:jc w:val="center"/>
              <w:rPr>
                <w:rFonts w:hint="eastAsia" w:ascii="仿宋" w:hAnsi="仿宋" w:eastAsia="仿宋" w:cs="仿宋"/>
                <w:color w:val="auto"/>
                <w:kern w:val="0"/>
                <w:sz w:val="24"/>
                <w:szCs w:val="24"/>
                <w:highlight w:val="none"/>
                <w:shd w:val="clear" w:color="auto" w:fill="FFFFFF" w:themeFill="background1"/>
              </w:rPr>
            </w:pPr>
          </w:p>
        </w:tc>
        <w:tc>
          <w:tcPr>
            <w:tcW w:w="1369" w:type="dxa"/>
            <w:tcBorders>
              <w:top w:val="single" w:color="000000" w:sz="4" w:space="0"/>
              <w:left w:val="single" w:color="000000" w:sz="4" w:space="0"/>
              <w:bottom w:val="single" w:color="000000" w:sz="4" w:space="0"/>
              <w:right w:val="single" w:color="000000" w:sz="4" w:space="0"/>
            </w:tcBorders>
            <w:vAlign w:val="center"/>
          </w:tcPr>
          <w:p w14:paraId="0564ACD9">
            <w:pPr>
              <w:jc w:val="center"/>
              <w:rPr>
                <w:rFonts w:hint="eastAsia" w:ascii="仿宋" w:hAnsi="仿宋" w:eastAsia="仿宋" w:cs="仿宋"/>
                <w:color w:val="auto"/>
                <w:kern w:val="0"/>
                <w:sz w:val="24"/>
                <w:szCs w:val="24"/>
                <w:highlight w:val="none"/>
                <w:shd w:val="clear" w:color="auto" w:fill="FFFFFF" w:themeFill="background1"/>
              </w:rPr>
            </w:pPr>
          </w:p>
        </w:tc>
        <w:tc>
          <w:tcPr>
            <w:tcW w:w="1194" w:type="dxa"/>
            <w:tcBorders>
              <w:top w:val="single" w:color="000000" w:sz="4" w:space="0"/>
              <w:left w:val="single" w:color="000000" w:sz="4" w:space="0"/>
              <w:bottom w:val="single" w:color="000000" w:sz="4" w:space="0"/>
              <w:right w:val="single" w:color="000000" w:sz="4" w:space="0"/>
            </w:tcBorders>
            <w:vAlign w:val="center"/>
          </w:tcPr>
          <w:p w14:paraId="0247B057">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1344B33A">
            <w:pPr>
              <w:jc w:val="center"/>
              <w:rPr>
                <w:rFonts w:hint="eastAsia" w:ascii="仿宋" w:hAnsi="仿宋" w:eastAsia="仿宋" w:cs="仿宋"/>
                <w:color w:val="auto"/>
                <w:kern w:val="0"/>
                <w:sz w:val="24"/>
                <w:szCs w:val="24"/>
                <w:highlight w:val="none"/>
                <w:shd w:val="clear" w:color="auto" w:fill="FFFFFF" w:themeFill="background1"/>
              </w:rPr>
            </w:pPr>
          </w:p>
        </w:tc>
        <w:tc>
          <w:tcPr>
            <w:tcW w:w="1213" w:type="dxa"/>
            <w:tcBorders>
              <w:top w:val="single" w:color="000000" w:sz="4" w:space="0"/>
              <w:left w:val="single" w:color="000000" w:sz="4" w:space="0"/>
              <w:bottom w:val="single" w:color="000000" w:sz="4" w:space="0"/>
              <w:right w:val="single" w:color="000000" w:sz="4" w:space="0"/>
            </w:tcBorders>
            <w:vAlign w:val="center"/>
          </w:tcPr>
          <w:p w14:paraId="4D9C85B3">
            <w:pPr>
              <w:jc w:val="center"/>
              <w:rPr>
                <w:rFonts w:hint="eastAsia" w:ascii="仿宋" w:hAnsi="仿宋" w:eastAsia="仿宋" w:cs="仿宋"/>
                <w:color w:val="auto"/>
                <w:kern w:val="0"/>
                <w:sz w:val="24"/>
                <w:szCs w:val="24"/>
                <w:highlight w:val="none"/>
                <w:shd w:val="clear" w:color="auto" w:fill="FFFFFF" w:themeFill="background1"/>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8C1F567">
            <w:pPr>
              <w:jc w:val="center"/>
              <w:rPr>
                <w:rFonts w:hint="eastAsia" w:ascii="仿宋" w:hAnsi="仿宋" w:eastAsia="仿宋" w:cs="仿宋"/>
                <w:color w:val="auto"/>
                <w:kern w:val="0"/>
                <w:sz w:val="24"/>
                <w:szCs w:val="24"/>
                <w:highlight w:val="none"/>
                <w:shd w:val="clear" w:color="auto" w:fill="FFFFFF" w:themeFill="background1"/>
              </w:rPr>
            </w:pPr>
          </w:p>
        </w:tc>
      </w:tr>
    </w:tbl>
    <w:p w14:paraId="001F088A">
      <w:pPr>
        <w:spacing w:line="360" w:lineRule="auto"/>
        <w:ind w:firstLine="420" w:firstLineChars="200"/>
        <w:rPr>
          <w:rFonts w:hint="eastAsia" w:ascii="仿宋" w:hAnsi="仿宋" w:eastAsia="仿宋" w:cs="仿宋"/>
          <w:color w:val="auto"/>
          <w:szCs w:val="24"/>
          <w:highlight w:val="none"/>
          <w:u w:val="single"/>
          <w:shd w:val="clear" w:color="auto" w:fill="FFFFFF" w:themeFill="background1"/>
        </w:rPr>
      </w:pPr>
    </w:p>
    <w:p w14:paraId="41973A06">
      <w:pPr>
        <w:spacing w:line="360" w:lineRule="auto"/>
        <w:ind w:firstLine="480" w:firstLineChars="200"/>
        <w:rPr>
          <w:rFonts w:hint="eastAsia" w:ascii="仿宋" w:hAnsi="仿宋" w:eastAsia="仿宋" w:cs="仿宋"/>
          <w:color w:val="auto"/>
          <w:sz w:val="24"/>
          <w:szCs w:val="24"/>
          <w:highlight w:val="none"/>
          <w:u w:val="single"/>
          <w:shd w:val="clear" w:color="auto" w:fill="FFFFFF" w:themeFill="background1"/>
        </w:rPr>
      </w:pPr>
    </w:p>
    <w:p w14:paraId="6199D23E">
      <w:pPr>
        <w:widowControl/>
        <w:spacing w:line="360" w:lineRule="auto"/>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6523897C">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178" w:name="_Toc38446480"/>
      <w:bookmarkStart w:id="179" w:name="_Toc533503191"/>
      <w:bookmarkStart w:id="180" w:name="_Toc31395"/>
      <w:bookmarkStart w:id="181" w:name="_Toc507586175"/>
      <w:r>
        <w:rPr>
          <w:rFonts w:hint="eastAsia" w:ascii="仿宋" w:hAnsi="仿宋" w:eastAsia="仿宋" w:cs="仿宋"/>
          <w:b/>
          <w:color w:val="auto"/>
          <w:sz w:val="24"/>
          <w:szCs w:val="24"/>
          <w:highlight w:val="none"/>
          <w:shd w:val="clear" w:color="auto" w:fill="FFFFFF" w:themeFill="background1"/>
        </w:rPr>
        <w:t>十、</w:t>
      </w:r>
      <w:r>
        <w:rPr>
          <w:rFonts w:hint="eastAsia" w:ascii="仿宋" w:hAnsi="仿宋" w:eastAsia="仿宋" w:cs="仿宋"/>
          <w:b/>
          <w:bCs/>
          <w:color w:val="auto"/>
          <w:sz w:val="24"/>
          <w:szCs w:val="24"/>
          <w:highlight w:val="none"/>
          <w:shd w:val="clear" w:color="auto" w:fill="FFFFFF" w:themeFill="background1"/>
        </w:rPr>
        <w:t>项目负责人简历表</w:t>
      </w:r>
      <w:bookmarkEnd w:id="178"/>
      <w:bookmarkEnd w:id="179"/>
      <w:bookmarkEnd w:id="180"/>
      <w:bookmarkEnd w:id="181"/>
    </w:p>
    <w:p w14:paraId="1F5E48A5">
      <w:pPr>
        <w:spacing w:line="360" w:lineRule="auto"/>
        <w:jc w:val="left"/>
        <w:rPr>
          <w:rFonts w:hint="eastAsia" w:ascii="仿宋" w:hAnsi="仿宋" w:eastAsia="仿宋" w:cs="仿宋"/>
          <w:color w:val="auto"/>
          <w:sz w:val="24"/>
          <w:szCs w:val="24"/>
          <w:highlight w:val="none"/>
          <w:shd w:val="clear" w:color="auto" w:fill="FFFFFF" w:themeFill="background1"/>
        </w:rPr>
      </w:pPr>
    </w:p>
    <w:tbl>
      <w:tblPr>
        <w:tblStyle w:val="43"/>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302CC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F15994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7AA774D1">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05395F5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050BC90E">
            <w:pPr>
              <w:spacing w:line="360" w:lineRule="auto"/>
              <w:jc w:val="center"/>
              <w:rPr>
                <w:rFonts w:hint="eastAsia" w:ascii="仿宋" w:hAnsi="仿宋" w:eastAsia="仿宋" w:cs="仿宋"/>
                <w:color w:val="auto"/>
                <w:szCs w:val="21"/>
                <w:highlight w:val="none"/>
                <w:shd w:val="clear" w:color="auto" w:fill="FFFFFF" w:themeFill="background1"/>
              </w:rPr>
            </w:pPr>
          </w:p>
        </w:tc>
      </w:tr>
      <w:tr w14:paraId="3512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1707E7F">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13B196AC">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EEDF15E">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2951756C">
            <w:pPr>
              <w:spacing w:line="360" w:lineRule="auto"/>
              <w:jc w:val="center"/>
              <w:rPr>
                <w:rFonts w:hint="eastAsia" w:ascii="仿宋" w:hAnsi="仿宋" w:eastAsia="仿宋" w:cs="仿宋"/>
                <w:color w:val="auto"/>
                <w:szCs w:val="21"/>
                <w:highlight w:val="none"/>
                <w:shd w:val="clear" w:color="auto" w:fill="FFFFFF" w:themeFill="background1"/>
              </w:rPr>
            </w:pPr>
          </w:p>
        </w:tc>
      </w:tr>
      <w:tr w14:paraId="6696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2011B190">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61D5B00F">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5DD02BF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163411AE">
            <w:pPr>
              <w:spacing w:line="360" w:lineRule="auto"/>
              <w:jc w:val="center"/>
              <w:rPr>
                <w:rFonts w:hint="eastAsia" w:ascii="仿宋" w:hAnsi="仿宋" w:eastAsia="仿宋" w:cs="仿宋"/>
                <w:color w:val="auto"/>
                <w:szCs w:val="21"/>
                <w:highlight w:val="none"/>
                <w:shd w:val="clear" w:color="auto" w:fill="FFFFFF" w:themeFill="background1"/>
              </w:rPr>
            </w:pPr>
          </w:p>
        </w:tc>
      </w:tr>
      <w:tr w14:paraId="7F388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498247ED">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260E2DF5">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0905E83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从事相关工作年限</w:t>
            </w:r>
          </w:p>
        </w:tc>
        <w:tc>
          <w:tcPr>
            <w:tcW w:w="2639" w:type="dxa"/>
            <w:gridSpan w:val="2"/>
            <w:vAlign w:val="center"/>
          </w:tcPr>
          <w:p w14:paraId="42A997FC">
            <w:pPr>
              <w:spacing w:line="360" w:lineRule="auto"/>
              <w:jc w:val="center"/>
              <w:rPr>
                <w:rFonts w:hint="eastAsia" w:ascii="仿宋" w:hAnsi="仿宋" w:eastAsia="仿宋" w:cs="仿宋"/>
                <w:color w:val="auto"/>
                <w:szCs w:val="21"/>
                <w:highlight w:val="none"/>
                <w:shd w:val="clear" w:color="auto" w:fill="FFFFFF" w:themeFill="background1"/>
              </w:rPr>
            </w:pPr>
          </w:p>
        </w:tc>
      </w:tr>
      <w:tr w14:paraId="01D5C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3674A85C">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346B9E13">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F9C11C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4162AEB9">
            <w:pPr>
              <w:spacing w:line="360" w:lineRule="auto"/>
              <w:jc w:val="center"/>
              <w:rPr>
                <w:rFonts w:hint="eastAsia" w:ascii="仿宋" w:hAnsi="仿宋" w:eastAsia="仿宋" w:cs="仿宋"/>
                <w:color w:val="auto"/>
                <w:szCs w:val="21"/>
                <w:highlight w:val="none"/>
                <w:shd w:val="clear" w:color="auto" w:fill="FFFFFF" w:themeFill="background1"/>
              </w:rPr>
            </w:pPr>
          </w:p>
        </w:tc>
      </w:tr>
      <w:tr w14:paraId="5B81D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016F047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证书名称</w:t>
            </w:r>
          </w:p>
        </w:tc>
        <w:tc>
          <w:tcPr>
            <w:tcW w:w="2602" w:type="dxa"/>
            <w:gridSpan w:val="2"/>
            <w:vAlign w:val="center"/>
          </w:tcPr>
          <w:p w14:paraId="1B0AB681">
            <w:pPr>
              <w:spacing w:line="360" w:lineRule="auto"/>
              <w:jc w:val="center"/>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05082D9B">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证书编号</w:t>
            </w:r>
          </w:p>
        </w:tc>
        <w:tc>
          <w:tcPr>
            <w:tcW w:w="2639" w:type="dxa"/>
            <w:gridSpan w:val="2"/>
            <w:vAlign w:val="center"/>
          </w:tcPr>
          <w:p w14:paraId="25CA433A">
            <w:pPr>
              <w:spacing w:line="360" w:lineRule="auto"/>
              <w:jc w:val="center"/>
              <w:rPr>
                <w:rFonts w:hint="eastAsia" w:ascii="仿宋" w:hAnsi="仿宋" w:eastAsia="仿宋" w:cs="仿宋"/>
                <w:color w:val="auto"/>
                <w:szCs w:val="21"/>
                <w:highlight w:val="none"/>
                <w:shd w:val="clear" w:color="auto" w:fill="FFFFFF" w:themeFill="background1"/>
              </w:rPr>
            </w:pPr>
          </w:p>
        </w:tc>
      </w:tr>
      <w:tr w14:paraId="0F81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1ECEDFE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16FC3DC">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37B991D5">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651C7A16">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10847DE7">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45DECD93">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3166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2165B2F">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5EB4FB7B">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60207C9E">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5959988E">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D3E73A6">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3FE78F01">
            <w:pPr>
              <w:spacing w:line="360" w:lineRule="auto"/>
              <w:jc w:val="center"/>
              <w:rPr>
                <w:rFonts w:hint="eastAsia" w:ascii="仿宋" w:hAnsi="仿宋" w:eastAsia="仿宋" w:cs="仿宋"/>
                <w:color w:val="auto"/>
                <w:szCs w:val="21"/>
                <w:highlight w:val="none"/>
                <w:shd w:val="clear" w:color="auto" w:fill="FFFFFF" w:themeFill="background1"/>
              </w:rPr>
            </w:pPr>
          </w:p>
        </w:tc>
      </w:tr>
      <w:tr w14:paraId="2E0A4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316EC9B3">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023C9ED7">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6AA6442B">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079209F5">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0894A871">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4A0E9F83">
            <w:pPr>
              <w:spacing w:line="360" w:lineRule="auto"/>
              <w:jc w:val="center"/>
              <w:rPr>
                <w:rFonts w:hint="eastAsia" w:ascii="仿宋" w:hAnsi="仿宋" w:eastAsia="仿宋" w:cs="仿宋"/>
                <w:color w:val="auto"/>
                <w:szCs w:val="21"/>
                <w:highlight w:val="none"/>
                <w:shd w:val="clear" w:color="auto" w:fill="FFFFFF" w:themeFill="background1"/>
              </w:rPr>
            </w:pPr>
          </w:p>
        </w:tc>
      </w:tr>
      <w:tr w14:paraId="74036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5A884DF1">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3A22FA6E">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6AEE2CAB">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4E348CBD">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510808CC">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3C4667A8">
            <w:pPr>
              <w:spacing w:line="360" w:lineRule="auto"/>
              <w:jc w:val="center"/>
              <w:rPr>
                <w:rFonts w:hint="eastAsia" w:ascii="仿宋" w:hAnsi="仿宋" w:eastAsia="仿宋" w:cs="仿宋"/>
                <w:color w:val="auto"/>
                <w:szCs w:val="21"/>
                <w:highlight w:val="none"/>
                <w:shd w:val="clear" w:color="auto" w:fill="FFFFFF" w:themeFill="background1"/>
              </w:rPr>
            </w:pPr>
          </w:p>
        </w:tc>
      </w:tr>
      <w:tr w14:paraId="57A4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40AAA6E9">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6DD21CAC">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30A2DF22">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7356DD83">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667CD356">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5DC4880C">
            <w:pPr>
              <w:spacing w:line="360" w:lineRule="auto"/>
              <w:jc w:val="center"/>
              <w:rPr>
                <w:rFonts w:hint="eastAsia" w:ascii="仿宋" w:hAnsi="仿宋" w:eastAsia="仿宋" w:cs="仿宋"/>
                <w:color w:val="auto"/>
                <w:szCs w:val="21"/>
                <w:highlight w:val="none"/>
                <w:shd w:val="clear" w:color="auto" w:fill="FFFFFF" w:themeFill="background1"/>
              </w:rPr>
            </w:pPr>
          </w:p>
        </w:tc>
      </w:tr>
      <w:tr w14:paraId="1F7B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4B9C2DE1">
            <w:pPr>
              <w:spacing w:line="360" w:lineRule="auto"/>
              <w:jc w:val="center"/>
              <w:rPr>
                <w:rFonts w:hint="eastAsia" w:ascii="仿宋" w:hAnsi="仿宋" w:eastAsia="仿宋" w:cs="仿宋"/>
                <w:color w:val="auto"/>
                <w:szCs w:val="21"/>
                <w:highlight w:val="none"/>
                <w:shd w:val="clear" w:color="auto" w:fill="FFFFFF" w:themeFill="background1"/>
              </w:rPr>
            </w:pPr>
          </w:p>
        </w:tc>
        <w:tc>
          <w:tcPr>
            <w:tcW w:w="1372" w:type="dxa"/>
            <w:vAlign w:val="center"/>
          </w:tcPr>
          <w:p w14:paraId="4198F957">
            <w:pPr>
              <w:spacing w:line="360" w:lineRule="auto"/>
              <w:jc w:val="center"/>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24A247F6">
            <w:pPr>
              <w:spacing w:line="360" w:lineRule="auto"/>
              <w:jc w:val="center"/>
              <w:rPr>
                <w:rFonts w:hint="eastAsia" w:ascii="仿宋" w:hAnsi="仿宋" w:eastAsia="仿宋" w:cs="仿宋"/>
                <w:color w:val="auto"/>
                <w:szCs w:val="21"/>
                <w:highlight w:val="none"/>
                <w:shd w:val="clear" w:color="auto" w:fill="FFFFFF" w:themeFill="background1"/>
              </w:rPr>
            </w:pPr>
          </w:p>
        </w:tc>
        <w:tc>
          <w:tcPr>
            <w:tcW w:w="1702" w:type="dxa"/>
            <w:vAlign w:val="center"/>
          </w:tcPr>
          <w:p w14:paraId="00AF7B8B">
            <w:pPr>
              <w:spacing w:line="360" w:lineRule="auto"/>
              <w:jc w:val="center"/>
              <w:rPr>
                <w:rFonts w:hint="eastAsia" w:ascii="仿宋" w:hAnsi="仿宋" w:eastAsia="仿宋" w:cs="仿宋"/>
                <w:color w:val="auto"/>
                <w:szCs w:val="21"/>
                <w:highlight w:val="none"/>
                <w:shd w:val="clear" w:color="auto" w:fill="FFFFFF" w:themeFill="background1"/>
              </w:rPr>
            </w:pPr>
          </w:p>
        </w:tc>
        <w:tc>
          <w:tcPr>
            <w:tcW w:w="1275" w:type="dxa"/>
            <w:vAlign w:val="center"/>
          </w:tcPr>
          <w:p w14:paraId="6723286F">
            <w:pPr>
              <w:spacing w:line="360" w:lineRule="auto"/>
              <w:jc w:val="center"/>
              <w:rPr>
                <w:rFonts w:hint="eastAsia" w:ascii="仿宋" w:hAnsi="仿宋" w:eastAsia="仿宋" w:cs="仿宋"/>
                <w:color w:val="auto"/>
                <w:szCs w:val="21"/>
                <w:highlight w:val="none"/>
                <w:shd w:val="clear" w:color="auto" w:fill="FFFFFF" w:themeFill="background1"/>
              </w:rPr>
            </w:pPr>
          </w:p>
        </w:tc>
        <w:tc>
          <w:tcPr>
            <w:tcW w:w="1364" w:type="dxa"/>
            <w:vAlign w:val="center"/>
          </w:tcPr>
          <w:p w14:paraId="4AD31938">
            <w:pPr>
              <w:spacing w:line="360" w:lineRule="auto"/>
              <w:jc w:val="center"/>
              <w:rPr>
                <w:rFonts w:hint="eastAsia" w:ascii="仿宋" w:hAnsi="仿宋" w:eastAsia="仿宋" w:cs="仿宋"/>
                <w:color w:val="auto"/>
                <w:szCs w:val="21"/>
                <w:highlight w:val="none"/>
                <w:shd w:val="clear" w:color="auto" w:fill="FFFFFF" w:themeFill="background1"/>
              </w:rPr>
            </w:pPr>
          </w:p>
        </w:tc>
      </w:tr>
    </w:tbl>
    <w:p w14:paraId="59EDDB57">
      <w:pPr>
        <w:spacing w:line="360" w:lineRule="auto"/>
        <w:ind w:firstLine="420" w:firstLineChars="200"/>
        <w:rPr>
          <w:rFonts w:hint="eastAsia" w:ascii="仿宋" w:hAnsi="仿宋" w:eastAsia="仿宋" w:cs="仿宋"/>
          <w:color w:val="auto"/>
          <w:sz w:val="22"/>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注：附身份证等其它相关材料扫描件</w:t>
      </w:r>
      <w:r>
        <w:rPr>
          <w:rFonts w:hint="eastAsia" w:ascii="仿宋" w:hAnsi="仿宋" w:eastAsia="仿宋" w:cs="仿宋"/>
          <w:color w:val="auto"/>
          <w:sz w:val="22"/>
          <w:highlight w:val="none"/>
          <w:shd w:val="clear" w:color="auto" w:fill="FFFFFF" w:themeFill="background1"/>
        </w:rPr>
        <w:t>。</w:t>
      </w:r>
    </w:p>
    <w:p w14:paraId="150472AC">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182" w:name="_Toc507586176"/>
      <w:r>
        <w:rPr>
          <w:rFonts w:hint="eastAsia" w:ascii="仿宋" w:hAnsi="仿宋" w:eastAsia="仿宋" w:cs="仿宋"/>
          <w:b/>
          <w:bCs/>
          <w:color w:val="auto"/>
          <w:sz w:val="24"/>
          <w:szCs w:val="24"/>
          <w:highlight w:val="none"/>
          <w:shd w:val="clear" w:color="auto" w:fill="FFFFFF" w:themeFill="background1"/>
        </w:rPr>
        <w:br w:type="page"/>
      </w:r>
      <w:bookmarkStart w:id="183" w:name="_Toc144993319"/>
      <w:bookmarkStart w:id="184" w:name="_Toc767"/>
      <w:bookmarkStart w:id="185" w:name="_Toc38446481"/>
      <w:bookmarkStart w:id="186" w:name="_Toc533503192"/>
      <w:r>
        <w:rPr>
          <w:rFonts w:hint="eastAsia" w:ascii="仿宋" w:hAnsi="仿宋" w:eastAsia="仿宋" w:cs="仿宋"/>
          <w:b/>
          <w:bCs/>
          <w:color w:val="auto"/>
          <w:sz w:val="24"/>
          <w:szCs w:val="24"/>
          <w:highlight w:val="none"/>
          <w:shd w:val="clear" w:color="auto" w:fill="FFFFFF" w:themeFill="background1"/>
        </w:rPr>
        <w:t>十一、</w:t>
      </w:r>
      <w:bookmarkEnd w:id="183"/>
      <w:r>
        <w:rPr>
          <w:rFonts w:hint="eastAsia" w:ascii="仿宋" w:hAnsi="仿宋" w:eastAsia="仿宋" w:cs="仿宋"/>
          <w:b/>
          <w:bCs/>
          <w:color w:val="auto"/>
          <w:sz w:val="24"/>
          <w:szCs w:val="24"/>
          <w:highlight w:val="none"/>
          <w:shd w:val="clear" w:color="auto" w:fill="FFFFFF" w:themeFill="background1"/>
        </w:rPr>
        <w:t>拟派主要服务人员</w:t>
      </w:r>
      <w:bookmarkEnd w:id="184"/>
    </w:p>
    <w:p w14:paraId="66AFF0B2">
      <w:pPr>
        <w:rPr>
          <w:rFonts w:hint="eastAsia" w:ascii="仿宋" w:hAnsi="仿宋" w:eastAsia="仿宋" w:cs="仿宋"/>
          <w:color w:val="auto"/>
          <w:sz w:val="24"/>
          <w:szCs w:val="24"/>
          <w:highlight w:val="none"/>
        </w:rPr>
      </w:pPr>
    </w:p>
    <w:tbl>
      <w:tblPr>
        <w:tblStyle w:val="43"/>
        <w:tblW w:w="10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170"/>
        <w:gridCol w:w="1172"/>
        <w:gridCol w:w="1144"/>
        <w:gridCol w:w="1172"/>
        <w:gridCol w:w="1172"/>
        <w:gridCol w:w="1146"/>
        <w:gridCol w:w="1172"/>
        <w:gridCol w:w="1138"/>
      </w:tblGrid>
      <w:tr w14:paraId="227C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170" w:type="dxa"/>
            <w:vAlign w:val="center"/>
          </w:tcPr>
          <w:p w14:paraId="06B1D00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170" w:type="dxa"/>
            <w:vAlign w:val="center"/>
          </w:tcPr>
          <w:p w14:paraId="6E87786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1172" w:type="dxa"/>
            <w:vAlign w:val="center"/>
          </w:tcPr>
          <w:p w14:paraId="5E2421E0">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w:t>
            </w:r>
          </w:p>
        </w:tc>
        <w:tc>
          <w:tcPr>
            <w:tcW w:w="1144" w:type="dxa"/>
            <w:vAlign w:val="center"/>
          </w:tcPr>
          <w:p w14:paraId="2B34696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172" w:type="dxa"/>
            <w:vAlign w:val="center"/>
          </w:tcPr>
          <w:p w14:paraId="14BCD596">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1172" w:type="dxa"/>
            <w:vAlign w:val="center"/>
          </w:tcPr>
          <w:p w14:paraId="2B5A994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146" w:type="dxa"/>
            <w:vAlign w:val="center"/>
          </w:tcPr>
          <w:p w14:paraId="4DB83FE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1172" w:type="dxa"/>
            <w:vAlign w:val="center"/>
          </w:tcPr>
          <w:p w14:paraId="3078FA8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从事相关工作年限</w:t>
            </w:r>
          </w:p>
        </w:tc>
        <w:tc>
          <w:tcPr>
            <w:tcW w:w="1138" w:type="dxa"/>
            <w:vAlign w:val="center"/>
          </w:tcPr>
          <w:p w14:paraId="2C2F026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7C58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2CE081B0">
            <w:pPr>
              <w:jc w:val="center"/>
              <w:rPr>
                <w:rFonts w:hint="eastAsia" w:ascii="仿宋" w:hAnsi="仿宋" w:eastAsia="仿宋" w:cs="仿宋"/>
                <w:color w:val="auto"/>
                <w:sz w:val="24"/>
                <w:szCs w:val="24"/>
                <w:highlight w:val="none"/>
              </w:rPr>
            </w:pPr>
          </w:p>
        </w:tc>
        <w:tc>
          <w:tcPr>
            <w:tcW w:w="1170" w:type="dxa"/>
            <w:vAlign w:val="center"/>
          </w:tcPr>
          <w:p w14:paraId="3BDC13C8">
            <w:pPr>
              <w:jc w:val="center"/>
              <w:rPr>
                <w:rFonts w:hint="eastAsia" w:ascii="仿宋" w:hAnsi="仿宋" w:eastAsia="仿宋" w:cs="仿宋"/>
                <w:color w:val="auto"/>
                <w:sz w:val="24"/>
                <w:szCs w:val="24"/>
                <w:highlight w:val="none"/>
              </w:rPr>
            </w:pPr>
          </w:p>
        </w:tc>
        <w:tc>
          <w:tcPr>
            <w:tcW w:w="1172" w:type="dxa"/>
            <w:vAlign w:val="center"/>
          </w:tcPr>
          <w:p w14:paraId="04EFA724">
            <w:pPr>
              <w:jc w:val="center"/>
              <w:rPr>
                <w:rFonts w:hint="eastAsia" w:ascii="仿宋" w:hAnsi="仿宋" w:eastAsia="仿宋" w:cs="仿宋"/>
                <w:color w:val="auto"/>
                <w:sz w:val="24"/>
                <w:szCs w:val="24"/>
                <w:highlight w:val="none"/>
              </w:rPr>
            </w:pPr>
          </w:p>
        </w:tc>
        <w:tc>
          <w:tcPr>
            <w:tcW w:w="1144" w:type="dxa"/>
            <w:vAlign w:val="center"/>
          </w:tcPr>
          <w:p w14:paraId="78EBCE7E">
            <w:pPr>
              <w:jc w:val="center"/>
              <w:rPr>
                <w:rFonts w:hint="eastAsia" w:ascii="仿宋" w:hAnsi="仿宋" w:eastAsia="仿宋" w:cs="仿宋"/>
                <w:color w:val="auto"/>
                <w:sz w:val="24"/>
                <w:szCs w:val="24"/>
                <w:highlight w:val="none"/>
              </w:rPr>
            </w:pPr>
          </w:p>
        </w:tc>
        <w:tc>
          <w:tcPr>
            <w:tcW w:w="1172" w:type="dxa"/>
            <w:vAlign w:val="center"/>
          </w:tcPr>
          <w:p w14:paraId="095D9D61">
            <w:pPr>
              <w:jc w:val="center"/>
              <w:rPr>
                <w:rFonts w:hint="eastAsia" w:ascii="仿宋" w:hAnsi="仿宋" w:eastAsia="仿宋" w:cs="仿宋"/>
                <w:color w:val="auto"/>
                <w:sz w:val="24"/>
                <w:szCs w:val="24"/>
                <w:highlight w:val="none"/>
              </w:rPr>
            </w:pPr>
          </w:p>
        </w:tc>
        <w:tc>
          <w:tcPr>
            <w:tcW w:w="1172" w:type="dxa"/>
            <w:vAlign w:val="center"/>
          </w:tcPr>
          <w:p w14:paraId="676B5167">
            <w:pPr>
              <w:jc w:val="center"/>
              <w:rPr>
                <w:rFonts w:hint="eastAsia" w:ascii="仿宋" w:hAnsi="仿宋" w:eastAsia="仿宋" w:cs="仿宋"/>
                <w:color w:val="auto"/>
                <w:sz w:val="24"/>
                <w:szCs w:val="24"/>
                <w:highlight w:val="none"/>
              </w:rPr>
            </w:pPr>
          </w:p>
        </w:tc>
        <w:tc>
          <w:tcPr>
            <w:tcW w:w="1146" w:type="dxa"/>
            <w:vAlign w:val="center"/>
          </w:tcPr>
          <w:p w14:paraId="1B1EBAFB">
            <w:pPr>
              <w:jc w:val="center"/>
              <w:rPr>
                <w:rFonts w:hint="eastAsia" w:ascii="仿宋" w:hAnsi="仿宋" w:eastAsia="仿宋" w:cs="仿宋"/>
                <w:color w:val="auto"/>
                <w:sz w:val="24"/>
                <w:szCs w:val="24"/>
                <w:highlight w:val="none"/>
              </w:rPr>
            </w:pPr>
          </w:p>
        </w:tc>
        <w:tc>
          <w:tcPr>
            <w:tcW w:w="1172" w:type="dxa"/>
            <w:vAlign w:val="center"/>
          </w:tcPr>
          <w:p w14:paraId="04F7EB81">
            <w:pPr>
              <w:jc w:val="center"/>
              <w:rPr>
                <w:rFonts w:hint="eastAsia" w:ascii="仿宋" w:hAnsi="仿宋" w:eastAsia="仿宋" w:cs="仿宋"/>
                <w:color w:val="auto"/>
                <w:sz w:val="24"/>
                <w:szCs w:val="24"/>
                <w:highlight w:val="none"/>
              </w:rPr>
            </w:pPr>
          </w:p>
        </w:tc>
        <w:tc>
          <w:tcPr>
            <w:tcW w:w="1138" w:type="dxa"/>
            <w:vAlign w:val="center"/>
          </w:tcPr>
          <w:p w14:paraId="36126FCF">
            <w:pPr>
              <w:jc w:val="center"/>
              <w:rPr>
                <w:rFonts w:hint="eastAsia" w:ascii="仿宋" w:hAnsi="仿宋" w:eastAsia="仿宋" w:cs="仿宋"/>
                <w:color w:val="auto"/>
                <w:sz w:val="24"/>
                <w:szCs w:val="24"/>
                <w:highlight w:val="none"/>
              </w:rPr>
            </w:pPr>
          </w:p>
        </w:tc>
      </w:tr>
      <w:tr w14:paraId="30883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5A90A8D3">
            <w:pPr>
              <w:jc w:val="center"/>
              <w:rPr>
                <w:rFonts w:hint="eastAsia" w:ascii="仿宋" w:hAnsi="仿宋" w:eastAsia="仿宋" w:cs="仿宋"/>
                <w:color w:val="auto"/>
                <w:sz w:val="24"/>
                <w:szCs w:val="24"/>
                <w:highlight w:val="none"/>
              </w:rPr>
            </w:pPr>
          </w:p>
        </w:tc>
        <w:tc>
          <w:tcPr>
            <w:tcW w:w="1170" w:type="dxa"/>
            <w:vAlign w:val="center"/>
          </w:tcPr>
          <w:p w14:paraId="7AA99F5C">
            <w:pPr>
              <w:jc w:val="center"/>
              <w:rPr>
                <w:rFonts w:hint="eastAsia" w:ascii="仿宋" w:hAnsi="仿宋" w:eastAsia="仿宋" w:cs="仿宋"/>
                <w:color w:val="auto"/>
                <w:sz w:val="24"/>
                <w:szCs w:val="24"/>
                <w:highlight w:val="none"/>
              </w:rPr>
            </w:pPr>
          </w:p>
        </w:tc>
        <w:tc>
          <w:tcPr>
            <w:tcW w:w="1172" w:type="dxa"/>
            <w:vAlign w:val="center"/>
          </w:tcPr>
          <w:p w14:paraId="58537E29">
            <w:pPr>
              <w:jc w:val="center"/>
              <w:rPr>
                <w:rFonts w:hint="eastAsia" w:ascii="仿宋" w:hAnsi="仿宋" w:eastAsia="仿宋" w:cs="仿宋"/>
                <w:color w:val="auto"/>
                <w:sz w:val="24"/>
                <w:szCs w:val="24"/>
                <w:highlight w:val="none"/>
              </w:rPr>
            </w:pPr>
          </w:p>
        </w:tc>
        <w:tc>
          <w:tcPr>
            <w:tcW w:w="1144" w:type="dxa"/>
            <w:vAlign w:val="center"/>
          </w:tcPr>
          <w:p w14:paraId="161BE0E9">
            <w:pPr>
              <w:jc w:val="center"/>
              <w:rPr>
                <w:rFonts w:hint="eastAsia" w:ascii="仿宋" w:hAnsi="仿宋" w:eastAsia="仿宋" w:cs="仿宋"/>
                <w:color w:val="auto"/>
                <w:sz w:val="24"/>
                <w:szCs w:val="24"/>
                <w:highlight w:val="none"/>
              </w:rPr>
            </w:pPr>
          </w:p>
        </w:tc>
        <w:tc>
          <w:tcPr>
            <w:tcW w:w="1172" w:type="dxa"/>
            <w:vAlign w:val="center"/>
          </w:tcPr>
          <w:p w14:paraId="46900158">
            <w:pPr>
              <w:jc w:val="center"/>
              <w:rPr>
                <w:rFonts w:hint="eastAsia" w:ascii="仿宋" w:hAnsi="仿宋" w:eastAsia="仿宋" w:cs="仿宋"/>
                <w:color w:val="auto"/>
                <w:sz w:val="24"/>
                <w:szCs w:val="24"/>
                <w:highlight w:val="none"/>
              </w:rPr>
            </w:pPr>
          </w:p>
        </w:tc>
        <w:tc>
          <w:tcPr>
            <w:tcW w:w="1172" w:type="dxa"/>
            <w:vAlign w:val="center"/>
          </w:tcPr>
          <w:p w14:paraId="1D905760">
            <w:pPr>
              <w:jc w:val="center"/>
              <w:rPr>
                <w:rFonts w:hint="eastAsia" w:ascii="仿宋" w:hAnsi="仿宋" w:eastAsia="仿宋" w:cs="仿宋"/>
                <w:color w:val="auto"/>
                <w:sz w:val="24"/>
                <w:szCs w:val="24"/>
                <w:highlight w:val="none"/>
              </w:rPr>
            </w:pPr>
          </w:p>
        </w:tc>
        <w:tc>
          <w:tcPr>
            <w:tcW w:w="1146" w:type="dxa"/>
            <w:vAlign w:val="center"/>
          </w:tcPr>
          <w:p w14:paraId="4574BF83">
            <w:pPr>
              <w:jc w:val="center"/>
              <w:rPr>
                <w:rFonts w:hint="eastAsia" w:ascii="仿宋" w:hAnsi="仿宋" w:eastAsia="仿宋" w:cs="仿宋"/>
                <w:color w:val="auto"/>
                <w:sz w:val="24"/>
                <w:szCs w:val="24"/>
                <w:highlight w:val="none"/>
              </w:rPr>
            </w:pPr>
          </w:p>
        </w:tc>
        <w:tc>
          <w:tcPr>
            <w:tcW w:w="1172" w:type="dxa"/>
            <w:vAlign w:val="center"/>
          </w:tcPr>
          <w:p w14:paraId="2AE3E2ED">
            <w:pPr>
              <w:jc w:val="center"/>
              <w:rPr>
                <w:rFonts w:hint="eastAsia" w:ascii="仿宋" w:hAnsi="仿宋" w:eastAsia="仿宋" w:cs="仿宋"/>
                <w:color w:val="auto"/>
                <w:sz w:val="24"/>
                <w:szCs w:val="24"/>
                <w:highlight w:val="none"/>
              </w:rPr>
            </w:pPr>
          </w:p>
        </w:tc>
        <w:tc>
          <w:tcPr>
            <w:tcW w:w="1138" w:type="dxa"/>
            <w:vAlign w:val="center"/>
          </w:tcPr>
          <w:p w14:paraId="03856BE1">
            <w:pPr>
              <w:jc w:val="center"/>
              <w:rPr>
                <w:rFonts w:hint="eastAsia" w:ascii="仿宋" w:hAnsi="仿宋" w:eastAsia="仿宋" w:cs="仿宋"/>
                <w:color w:val="auto"/>
                <w:sz w:val="24"/>
                <w:szCs w:val="24"/>
                <w:highlight w:val="none"/>
              </w:rPr>
            </w:pPr>
          </w:p>
        </w:tc>
      </w:tr>
      <w:tr w14:paraId="0B90C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74F34FE9">
            <w:pPr>
              <w:jc w:val="center"/>
              <w:rPr>
                <w:rFonts w:hint="eastAsia" w:ascii="仿宋" w:hAnsi="仿宋" w:eastAsia="仿宋" w:cs="仿宋"/>
                <w:color w:val="auto"/>
                <w:sz w:val="24"/>
                <w:szCs w:val="24"/>
                <w:highlight w:val="none"/>
              </w:rPr>
            </w:pPr>
          </w:p>
        </w:tc>
        <w:tc>
          <w:tcPr>
            <w:tcW w:w="1170" w:type="dxa"/>
            <w:vAlign w:val="center"/>
          </w:tcPr>
          <w:p w14:paraId="354DA2A5">
            <w:pPr>
              <w:jc w:val="center"/>
              <w:rPr>
                <w:rFonts w:hint="eastAsia" w:ascii="仿宋" w:hAnsi="仿宋" w:eastAsia="仿宋" w:cs="仿宋"/>
                <w:color w:val="auto"/>
                <w:sz w:val="24"/>
                <w:szCs w:val="24"/>
                <w:highlight w:val="none"/>
              </w:rPr>
            </w:pPr>
          </w:p>
        </w:tc>
        <w:tc>
          <w:tcPr>
            <w:tcW w:w="1172" w:type="dxa"/>
            <w:vAlign w:val="center"/>
          </w:tcPr>
          <w:p w14:paraId="7E65574C">
            <w:pPr>
              <w:jc w:val="center"/>
              <w:rPr>
                <w:rFonts w:hint="eastAsia" w:ascii="仿宋" w:hAnsi="仿宋" w:eastAsia="仿宋" w:cs="仿宋"/>
                <w:color w:val="auto"/>
                <w:sz w:val="24"/>
                <w:szCs w:val="24"/>
                <w:highlight w:val="none"/>
              </w:rPr>
            </w:pPr>
          </w:p>
        </w:tc>
        <w:tc>
          <w:tcPr>
            <w:tcW w:w="1144" w:type="dxa"/>
            <w:vAlign w:val="center"/>
          </w:tcPr>
          <w:p w14:paraId="10D30A21">
            <w:pPr>
              <w:jc w:val="center"/>
              <w:rPr>
                <w:rFonts w:hint="eastAsia" w:ascii="仿宋" w:hAnsi="仿宋" w:eastAsia="仿宋" w:cs="仿宋"/>
                <w:color w:val="auto"/>
                <w:sz w:val="24"/>
                <w:szCs w:val="24"/>
                <w:highlight w:val="none"/>
              </w:rPr>
            </w:pPr>
          </w:p>
        </w:tc>
        <w:tc>
          <w:tcPr>
            <w:tcW w:w="1172" w:type="dxa"/>
            <w:vAlign w:val="center"/>
          </w:tcPr>
          <w:p w14:paraId="0B384FDC">
            <w:pPr>
              <w:jc w:val="center"/>
              <w:rPr>
                <w:rFonts w:hint="eastAsia" w:ascii="仿宋" w:hAnsi="仿宋" w:eastAsia="仿宋" w:cs="仿宋"/>
                <w:color w:val="auto"/>
                <w:sz w:val="24"/>
                <w:szCs w:val="24"/>
                <w:highlight w:val="none"/>
              </w:rPr>
            </w:pPr>
          </w:p>
        </w:tc>
        <w:tc>
          <w:tcPr>
            <w:tcW w:w="1172" w:type="dxa"/>
            <w:vAlign w:val="center"/>
          </w:tcPr>
          <w:p w14:paraId="0A5C636C">
            <w:pPr>
              <w:jc w:val="center"/>
              <w:rPr>
                <w:rFonts w:hint="eastAsia" w:ascii="仿宋" w:hAnsi="仿宋" w:eastAsia="仿宋" w:cs="仿宋"/>
                <w:color w:val="auto"/>
                <w:sz w:val="24"/>
                <w:szCs w:val="24"/>
                <w:highlight w:val="none"/>
              </w:rPr>
            </w:pPr>
          </w:p>
        </w:tc>
        <w:tc>
          <w:tcPr>
            <w:tcW w:w="1146" w:type="dxa"/>
            <w:vAlign w:val="center"/>
          </w:tcPr>
          <w:p w14:paraId="155ED811">
            <w:pPr>
              <w:jc w:val="center"/>
              <w:rPr>
                <w:rFonts w:hint="eastAsia" w:ascii="仿宋" w:hAnsi="仿宋" w:eastAsia="仿宋" w:cs="仿宋"/>
                <w:color w:val="auto"/>
                <w:sz w:val="24"/>
                <w:szCs w:val="24"/>
                <w:highlight w:val="none"/>
              </w:rPr>
            </w:pPr>
          </w:p>
        </w:tc>
        <w:tc>
          <w:tcPr>
            <w:tcW w:w="1172" w:type="dxa"/>
            <w:vAlign w:val="center"/>
          </w:tcPr>
          <w:p w14:paraId="7293AFA2">
            <w:pPr>
              <w:jc w:val="center"/>
              <w:rPr>
                <w:rFonts w:hint="eastAsia" w:ascii="仿宋" w:hAnsi="仿宋" w:eastAsia="仿宋" w:cs="仿宋"/>
                <w:color w:val="auto"/>
                <w:sz w:val="24"/>
                <w:szCs w:val="24"/>
                <w:highlight w:val="none"/>
              </w:rPr>
            </w:pPr>
          </w:p>
        </w:tc>
        <w:tc>
          <w:tcPr>
            <w:tcW w:w="1138" w:type="dxa"/>
            <w:vAlign w:val="center"/>
          </w:tcPr>
          <w:p w14:paraId="26C5C12E">
            <w:pPr>
              <w:jc w:val="center"/>
              <w:rPr>
                <w:rFonts w:hint="eastAsia" w:ascii="仿宋" w:hAnsi="仿宋" w:eastAsia="仿宋" w:cs="仿宋"/>
                <w:color w:val="auto"/>
                <w:sz w:val="24"/>
                <w:szCs w:val="24"/>
                <w:highlight w:val="none"/>
              </w:rPr>
            </w:pPr>
          </w:p>
        </w:tc>
      </w:tr>
      <w:tr w14:paraId="3F09C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4C4CA409">
            <w:pPr>
              <w:jc w:val="center"/>
              <w:rPr>
                <w:rFonts w:hint="eastAsia" w:ascii="仿宋" w:hAnsi="仿宋" w:eastAsia="仿宋" w:cs="仿宋"/>
                <w:color w:val="auto"/>
                <w:sz w:val="24"/>
                <w:szCs w:val="24"/>
                <w:highlight w:val="none"/>
              </w:rPr>
            </w:pPr>
          </w:p>
        </w:tc>
        <w:tc>
          <w:tcPr>
            <w:tcW w:w="1170" w:type="dxa"/>
            <w:vAlign w:val="center"/>
          </w:tcPr>
          <w:p w14:paraId="333DD472">
            <w:pPr>
              <w:jc w:val="center"/>
              <w:rPr>
                <w:rFonts w:hint="eastAsia" w:ascii="仿宋" w:hAnsi="仿宋" w:eastAsia="仿宋" w:cs="仿宋"/>
                <w:color w:val="auto"/>
                <w:sz w:val="24"/>
                <w:szCs w:val="24"/>
                <w:highlight w:val="none"/>
              </w:rPr>
            </w:pPr>
          </w:p>
        </w:tc>
        <w:tc>
          <w:tcPr>
            <w:tcW w:w="1172" w:type="dxa"/>
            <w:vAlign w:val="center"/>
          </w:tcPr>
          <w:p w14:paraId="660BF7D2">
            <w:pPr>
              <w:jc w:val="center"/>
              <w:rPr>
                <w:rFonts w:hint="eastAsia" w:ascii="仿宋" w:hAnsi="仿宋" w:eastAsia="仿宋" w:cs="仿宋"/>
                <w:color w:val="auto"/>
                <w:sz w:val="24"/>
                <w:szCs w:val="24"/>
                <w:highlight w:val="none"/>
              </w:rPr>
            </w:pPr>
          </w:p>
        </w:tc>
        <w:tc>
          <w:tcPr>
            <w:tcW w:w="1144" w:type="dxa"/>
            <w:vAlign w:val="center"/>
          </w:tcPr>
          <w:p w14:paraId="742F2E65">
            <w:pPr>
              <w:jc w:val="center"/>
              <w:rPr>
                <w:rFonts w:hint="eastAsia" w:ascii="仿宋" w:hAnsi="仿宋" w:eastAsia="仿宋" w:cs="仿宋"/>
                <w:color w:val="auto"/>
                <w:sz w:val="24"/>
                <w:szCs w:val="24"/>
                <w:highlight w:val="none"/>
              </w:rPr>
            </w:pPr>
          </w:p>
        </w:tc>
        <w:tc>
          <w:tcPr>
            <w:tcW w:w="1172" w:type="dxa"/>
            <w:vAlign w:val="center"/>
          </w:tcPr>
          <w:p w14:paraId="5113C33D">
            <w:pPr>
              <w:jc w:val="center"/>
              <w:rPr>
                <w:rFonts w:hint="eastAsia" w:ascii="仿宋" w:hAnsi="仿宋" w:eastAsia="仿宋" w:cs="仿宋"/>
                <w:color w:val="auto"/>
                <w:sz w:val="24"/>
                <w:szCs w:val="24"/>
                <w:highlight w:val="none"/>
              </w:rPr>
            </w:pPr>
          </w:p>
        </w:tc>
        <w:tc>
          <w:tcPr>
            <w:tcW w:w="1172" w:type="dxa"/>
            <w:vAlign w:val="center"/>
          </w:tcPr>
          <w:p w14:paraId="7E35E063">
            <w:pPr>
              <w:jc w:val="center"/>
              <w:rPr>
                <w:rFonts w:hint="eastAsia" w:ascii="仿宋" w:hAnsi="仿宋" w:eastAsia="仿宋" w:cs="仿宋"/>
                <w:color w:val="auto"/>
                <w:sz w:val="24"/>
                <w:szCs w:val="24"/>
                <w:highlight w:val="none"/>
              </w:rPr>
            </w:pPr>
          </w:p>
        </w:tc>
        <w:tc>
          <w:tcPr>
            <w:tcW w:w="1146" w:type="dxa"/>
            <w:vAlign w:val="center"/>
          </w:tcPr>
          <w:p w14:paraId="73EE1F03">
            <w:pPr>
              <w:jc w:val="center"/>
              <w:rPr>
                <w:rFonts w:hint="eastAsia" w:ascii="仿宋" w:hAnsi="仿宋" w:eastAsia="仿宋" w:cs="仿宋"/>
                <w:color w:val="auto"/>
                <w:sz w:val="24"/>
                <w:szCs w:val="24"/>
                <w:highlight w:val="none"/>
              </w:rPr>
            </w:pPr>
          </w:p>
        </w:tc>
        <w:tc>
          <w:tcPr>
            <w:tcW w:w="1172" w:type="dxa"/>
            <w:vAlign w:val="center"/>
          </w:tcPr>
          <w:p w14:paraId="1128A968">
            <w:pPr>
              <w:jc w:val="center"/>
              <w:rPr>
                <w:rFonts w:hint="eastAsia" w:ascii="仿宋" w:hAnsi="仿宋" w:eastAsia="仿宋" w:cs="仿宋"/>
                <w:color w:val="auto"/>
                <w:sz w:val="24"/>
                <w:szCs w:val="24"/>
                <w:highlight w:val="none"/>
              </w:rPr>
            </w:pPr>
          </w:p>
        </w:tc>
        <w:tc>
          <w:tcPr>
            <w:tcW w:w="1138" w:type="dxa"/>
            <w:vAlign w:val="center"/>
          </w:tcPr>
          <w:p w14:paraId="5FF7C33C">
            <w:pPr>
              <w:jc w:val="center"/>
              <w:rPr>
                <w:rFonts w:hint="eastAsia" w:ascii="仿宋" w:hAnsi="仿宋" w:eastAsia="仿宋" w:cs="仿宋"/>
                <w:color w:val="auto"/>
                <w:sz w:val="24"/>
                <w:szCs w:val="24"/>
                <w:highlight w:val="none"/>
              </w:rPr>
            </w:pPr>
          </w:p>
        </w:tc>
      </w:tr>
      <w:tr w14:paraId="4186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7534EA14">
            <w:pPr>
              <w:jc w:val="center"/>
              <w:rPr>
                <w:rFonts w:hint="eastAsia" w:ascii="仿宋" w:hAnsi="仿宋" w:eastAsia="仿宋" w:cs="仿宋"/>
                <w:color w:val="auto"/>
                <w:sz w:val="24"/>
                <w:szCs w:val="24"/>
                <w:highlight w:val="none"/>
              </w:rPr>
            </w:pPr>
          </w:p>
        </w:tc>
        <w:tc>
          <w:tcPr>
            <w:tcW w:w="1170" w:type="dxa"/>
            <w:vAlign w:val="center"/>
          </w:tcPr>
          <w:p w14:paraId="0A04EBAB">
            <w:pPr>
              <w:jc w:val="center"/>
              <w:rPr>
                <w:rFonts w:hint="eastAsia" w:ascii="仿宋" w:hAnsi="仿宋" w:eastAsia="仿宋" w:cs="仿宋"/>
                <w:color w:val="auto"/>
                <w:sz w:val="24"/>
                <w:szCs w:val="24"/>
                <w:highlight w:val="none"/>
              </w:rPr>
            </w:pPr>
          </w:p>
        </w:tc>
        <w:tc>
          <w:tcPr>
            <w:tcW w:w="1172" w:type="dxa"/>
            <w:vAlign w:val="center"/>
          </w:tcPr>
          <w:p w14:paraId="79D1AFE5">
            <w:pPr>
              <w:jc w:val="center"/>
              <w:rPr>
                <w:rFonts w:hint="eastAsia" w:ascii="仿宋" w:hAnsi="仿宋" w:eastAsia="仿宋" w:cs="仿宋"/>
                <w:color w:val="auto"/>
                <w:sz w:val="24"/>
                <w:szCs w:val="24"/>
                <w:highlight w:val="none"/>
              </w:rPr>
            </w:pPr>
          </w:p>
        </w:tc>
        <w:tc>
          <w:tcPr>
            <w:tcW w:w="1144" w:type="dxa"/>
            <w:vAlign w:val="center"/>
          </w:tcPr>
          <w:p w14:paraId="7C55EDE8">
            <w:pPr>
              <w:jc w:val="center"/>
              <w:rPr>
                <w:rFonts w:hint="eastAsia" w:ascii="仿宋" w:hAnsi="仿宋" w:eastAsia="仿宋" w:cs="仿宋"/>
                <w:color w:val="auto"/>
                <w:sz w:val="24"/>
                <w:szCs w:val="24"/>
                <w:highlight w:val="none"/>
              </w:rPr>
            </w:pPr>
          </w:p>
        </w:tc>
        <w:tc>
          <w:tcPr>
            <w:tcW w:w="1172" w:type="dxa"/>
            <w:vAlign w:val="center"/>
          </w:tcPr>
          <w:p w14:paraId="0794D818">
            <w:pPr>
              <w:jc w:val="center"/>
              <w:rPr>
                <w:rFonts w:hint="eastAsia" w:ascii="仿宋" w:hAnsi="仿宋" w:eastAsia="仿宋" w:cs="仿宋"/>
                <w:color w:val="auto"/>
                <w:sz w:val="24"/>
                <w:szCs w:val="24"/>
                <w:highlight w:val="none"/>
              </w:rPr>
            </w:pPr>
          </w:p>
        </w:tc>
        <w:tc>
          <w:tcPr>
            <w:tcW w:w="1172" w:type="dxa"/>
            <w:vAlign w:val="center"/>
          </w:tcPr>
          <w:p w14:paraId="7432B91A">
            <w:pPr>
              <w:jc w:val="center"/>
              <w:rPr>
                <w:rFonts w:hint="eastAsia" w:ascii="仿宋" w:hAnsi="仿宋" w:eastAsia="仿宋" w:cs="仿宋"/>
                <w:color w:val="auto"/>
                <w:sz w:val="24"/>
                <w:szCs w:val="24"/>
                <w:highlight w:val="none"/>
              </w:rPr>
            </w:pPr>
          </w:p>
        </w:tc>
        <w:tc>
          <w:tcPr>
            <w:tcW w:w="1146" w:type="dxa"/>
            <w:vAlign w:val="center"/>
          </w:tcPr>
          <w:p w14:paraId="58F416FA">
            <w:pPr>
              <w:jc w:val="center"/>
              <w:rPr>
                <w:rFonts w:hint="eastAsia" w:ascii="仿宋" w:hAnsi="仿宋" w:eastAsia="仿宋" w:cs="仿宋"/>
                <w:color w:val="auto"/>
                <w:sz w:val="24"/>
                <w:szCs w:val="24"/>
                <w:highlight w:val="none"/>
              </w:rPr>
            </w:pPr>
          </w:p>
        </w:tc>
        <w:tc>
          <w:tcPr>
            <w:tcW w:w="1172" w:type="dxa"/>
            <w:vAlign w:val="center"/>
          </w:tcPr>
          <w:p w14:paraId="27224A77">
            <w:pPr>
              <w:jc w:val="center"/>
              <w:rPr>
                <w:rFonts w:hint="eastAsia" w:ascii="仿宋" w:hAnsi="仿宋" w:eastAsia="仿宋" w:cs="仿宋"/>
                <w:color w:val="auto"/>
                <w:sz w:val="24"/>
                <w:szCs w:val="24"/>
                <w:highlight w:val="none"/>
              </w:rPr>
            </w:pPr>
          </w:p>
        </w:tc>
        <w:tc>
          <w:tcPr>
            <w:tcW w:w="1138" w:type="dxa"/>
            <w:vAlign w:val="center"/>
          </w:tcPr>
          <w:p w14:paraId="698F824E">
            <w:pPr>
              <w:jc w:val="center"/>
              <w:rPr>
                <w:rFonts w:hint="eastAsia" w:ascii="仿宋" w:hAnsi="仿宋" w:eastAsia="仿宋" w:cs="仿宋"/>
                <w:color w:val="auto"/>
                <w:sz w:val="24"/>
                <w:szCs w:val="24"/>
                <w:highlight w:val="none"/>
              </w:rPr>
            </w:pPr>
          </w:p>
        </w:tc>
      </w:tr>
      <w:tr w14:paraId="5757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1170" w:type="dxa"/>
            <w:vAlign w:val="center"/>
          </w:tcPr>
          <w:p w14:paraId="6FE6418B">
            <w:pPr>
              <w:jc w:val="center"/>
              <w:rPr>
                <w:rFonts w:hint="eastAsia" w:ascii="仿宋" w:hAnsi="仿宋" w:eastAsia="仿宋" w:cs="仿宋"/>
                <w:color w:val="auto"/>
                <w:sz w:val="24"/>
                <w:szCs w:val="24"/>
                <w:highlight w:val="none"/>
              </w:rPr>
            </w:pPr>
          </w:p>
        </w:tc>
        <w:tc>
          <w:tcPr>
            <w:tcW w:w="1170" w:type="dxa"/>
            <w:vAlign w:val="center"/>
          </w:tcPr>
          <w:p w14:paraId="6F6D6901">
            <w:pPr>
              <w:jc w:val="center"/>
              <w:rPr>
                <w:rFonts w:hint="eastAsia" w:ascii="仿宋" w:hAnsi="仿宋" w:eastAsia="仿宋" w:cs="仿宋"/>
                <w:color w:val="auto"/>
                <w:sz w:val="24"/>
                <w:szCs w:val="24"/>
                <w:highlight w:val="none"/>
              </w:rPr>
            </w:pPr>
          </w:p>
        </w:tc>
        <w:tc>
          <w:tcPr>
            <w:tcW w:w="1172" w:type="dxa"/>
            <w:vAlign w:val="center"/>
          </w:tcPr>
          <w:p w14:paraId="536240C6">
            <w:pPr>
              <w:jc w:val="center"/>
              <w:rPr>
                <w:rFonts w:hint="eastAsia" w:ascii="仿宋" w:hAnsi="仿宋" w:eastAsia="仿宋" w:cs="仿宋"/>
                <w:color w:val="auto"/>
                <w:sz w:val="24"/>
                <w:szCs w:val="24"/>
                <w:highlight w:val="none"/>
              </w:rPr>
            </w:pPr>
          </w:p>
        </w:tc>
        <w:tc>
          <w:tcPr>
            <w:tcW w:w="1144" w:type="dxa"/>
            <w:vAlign w:val="center"/>
          </w:tcPr>
          <w:p w14:paraId="7B5BDE0B">
            <w:pPr>
              <w:jc w:val="center"/>
              <w:rPr>
                <w:rFonts w:hint="eastAsia" w:ascii="仿宋" w:hAnsi="仿宋" w:eastAsia="仿宋" w:cs="仿宋"/>
                <w:color w:val="auto"/>
                <w:sz w:val="24"/>
                <w:szCs w:val="24"/>
                <w:highlight w:val="none"/>
              </w:rPr>
            </w:pPr>
          </w:p>
        </w:tc>
        <w:tc>
          <w:tcPr>
            <w:tcW w:w="1172" w:type="dxa"/>
            <w:vAlign w:val="center"/>
          </w:tcPr>
          <w:p w14:paraId="0E623E57">
            <w:pPr>
              <w:jc w:val="center"/>
              <w:rPr>
                <w:rFonts w:hint="eastAsia" w:ascii="仿宋" w:hAnsi="仿宋" w:eastAsia="仿宋" w:cs="仿宋"/>
                <w:color w:val="auto"/>
                <w:sz w:val="24"/>
                <w:szCs w:val="24"/>
                <w:highlight w:val="none"/>
              </w:rPr>
            </w:pPr>
          </w:p>
        </w:tc>
        <w:tc>
          <w:tcPr>
            <w:tcW w:w="1172" w:type="dxa"/>
            <w:vAlign w:val="center"/>
          </w:tcPr>
          <w:p w14:paraId="69FE4A46">
            <w:pPr>
              <w:jc w:val="center"/>
              <w:rPr>
                <w:rFonts w:hint="eastAsia" w:ascii="仿宋" w:hAnsi="仿宋" w:eastAsia="仿宋" w:cs="仿宋"/>
                <w:color w:val="auto"/>
                <w:sz w:val="24"/>
                <w:szCs w:val="24"/>
                <w:highlight w:val="none"/>
              </w:rPr>
            </w:pPr>
          </w:p>
        </w:tc>
        <w:tc>
          <w:tcPr>
            <w:tcW w:w="1146" w:type="dxa"/>
            <w:vAlign w:val="center"/>
          </w:tcPr>
          <w:p w14:paraId="5B7441E2">
            <w:pPr>
              <w:jc w:val="center"/>
              <w:rPr>
                <w:rFonts w:hint="eastAsia" w:ascii="仿宋" w:hAnsi="仿宋" w:eastAsia="仿宋" w:cs="仿宋"/>
                <w:color w:val="auto"/>
                <w:sz w:val="24"/>
                <w:szCs w:val="24"/>
                <w:highlight w:val="none"/>
              </w:rPr>
            </w:pPr>
          </w:p>
        </w:tc>
        <w:tc>
          <w:tcPr>
            <w:tcW w:w="1172" w:type="dxa"/>
            <w:vAlign w:val="center"/>
          </w:tcPr>
          <w:p w14:paraId="16106EDE">
            <w:pPr>
              <w:jc w:val="center"/>
              <w:rPr>
                <w:rFonts w:hint="eastAsia" w:ascii="仿宋" w:hAnsi="仿宋" w:eastAsia="仿宋" w:cs="仿宋"/>
                <w:color w:val="auto"/>
                <w:sz w:val="24"/>
                <w:szCs w:val="24"/>
                <w:highlight w:val="none"/>
              </w:rPr>
            </w:pPr>
          </w:p>
        </w:tc>
        <w:tc>
          <w:tcPr>
            <w:tcW w:w="1138" w:type="dxa"/>
            <w:vAlign w:val="center"/>
          </w:tcPr>
          <w:p w14:paraId="0F7A067B">
            <w:pPr>
              <w:jc w:val="center"/>
              <w:rPr>
                <w:rFonts w:hint="eastAsia" w:ascii="仿宋" w:hAnsi="仿宋" w:eastAsia="仿宋" w:cs="仿宋"/>
                <w:color w:val="auto"/>
                <w:sz w:val="24"/>
                <w:szCs w:val="24"/>
                <w:highlight w:val="none"/>
              </w:rPr>
            </w:pPr>
          </w:p>
        </w:tc>
      </w:tr>
      <w:tr w14:paraId="616E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170" w:type="dxa"/>
            <w:vAlign w:val="center"/>
          </w:tcPr>
          <w:p w14:paraId="4AA29277">
            <w:pPr>
              <w:jc w:val="center"/>
              <w:rPr>
                <w:rFonts w:hint="eastAsia" w:ascii="仿宋" w:hAnsi="仿宋" w:eastAsia="仿宋" w:cs="仿宋"/>
                <w:color w:val="auto"/>
                <w:sz w:val="24"/>
                <w:szCs w:val="24"/>
                <w:highlight w:val="none"/>
              </w:rPr>
            </w:pPr>
          </w:p>
        </w:tc>
        <w:tc>
          <w:tcPr>
            <w:tcW w:w="1170" w:type="dxa"/>
            <w:vAlign w:val="center"/>
          </w:tcPr>
          <w:p w14:paraId="59D9B41F">
            <w:pPr>
              <w:jc w:val="center"/>
              <w:rPr>
                <w:rFonts w:hint="eastAsia" w:ascii="仿宋" w:hAnsi="仿宋" w:eastAsia="仿宋" w:cs="仿宋"/>
                <w:color w:val="auto"/>
                <w:sz w:val="24"/>
                <w:szCs w:val="24"/>
                <w:highlight w:val="none"/>
              </w:rPr>
            </w:pPr>
          </w:p>
        </w:tc>
        <w:tc>
          <w:tcPr>
            <w:tcW w:w="1172" w:type="dxa"/>
            <w:vAlign w:val="center"/>
          </w:tcPr>
          <w:p w14:paraId="0FE001C0">
            <w:pPr>
              <w:jc w:val="center"/>
              <w:rPr>
                <w:rFonts w:hint="eastAsia" w:ascii="仿宋" w:hAnsi="仿宋" w:eastAsia="仿宋" w:cs="仿宋"/>
                <w:color w:val="auto"/>
                <w:sz w:val="24"/>
                <w:szCs w:val="24"/>
                <w:highlight w:val="none"/>
              </w:rPr>
            </w:pPr>
          </w:p>
        </w:tc>
        <w:tc>
          <w:tcPr>
            <w:tcW w:w="1144" w:type="dxa"/>
            <w:vAlign w:val="center"/>
          </w:tcPr>
          <w:p w14:paraId="1FAFD93A">
            <w:pPr>
              <w:jc w:val="center"/>
              <w:rPr>
                <w:rFonts w:hint="eastAsia" w:ascii="仿宋" w:hAnsi="仿宋" w:eastAsia="仿宋" w:cs="仿宋"/>
                <w:color w:val="auto"/>
                <w:sz w:val="24"/>
                <w:szCs w:val="24"/>
                <w:highlight w:val="none"/>
              </w:rPr>
            </w:pPr>
          </w:p>
        </w:tc>
        <w:tc>
          <w:tcPr>
            <w:tcW w:w="1172" w:type="dxa"/>
            <w:vAlign w:val="center"/>
          </w:tcPr>
          <w:p w14:paraId="382D3B92">
            <w:pPr>
              <w:jc w:val="center"/>
              <w:rPr>
                <w:rFonts w:hint="eastAsia" w:ascii="仿宋" w:hAnsi="仿宋" w:eastAsia="仿宋" w:cs="仿宋"/>
                <w:color w:val="auto"/>
                <w:sz w:val="24"/>
                <w:szCs w:val="24"/>
                <w:highlight w:val="none"/>
              </w:rPr>
            </w:pPr>
          </w:p>
        </w:tc>
        <w:tc>
          <w:tcPr>
            <w:tcW w:w="1172" w:type="dxa"/>
            <w:vAlign w:val="center"/>
          </w:tcPr>
          <w:p w14:paraId="3A531E0A">
            <w:pPr>
              <w:jc w:val="center"/>
              <w:rPr>
                <w:rFonts w:hint="eastAsia" w:ascii="仿宋" w:hAnsi="仿宋" w:eastAsia="仿宋" w:cs="仿宋"/>
                <w:color w:val="auto"/>
                <w:sz w:val="24"/>
                <w:szCs w:val="24"/>
                <w:highlight w:val="none"/>
              </w:rPr>
            </w:pPr>
          </w:p>
        </w:tc>
        <w:tc>
          <w:tcPr>
            <w:tcW w:w="1146" w:type="dxa"/>
            <w:vAlign w:val="center"/>
          </w:tcPr>
          <w:p w14:paraId="21B442D9">
            <w:pPr>
              <w:jc w:val="center"/>
              <w:rPr>
                <w:rFonts w:hint="eastAsia" w:ascii="仿宋" w:hAnsi="仿宋" w:eastAsia="仿宋" w:cs="仿宋"/>
                <w:color w:val="auto"/>
                <w:sz w:val="24"/>
                <w:szCs w:val="24"/>
                <w:highlight w:val="none"/>
              </w:rPr>
            </w:pPr>
          </w:p>
        </w:tc>
        <w:tc>
          <w:tcPr>
            <w:tcW w:w="1172" w:type="dxa"/>
            <w:vAlign w:val="center"/>
          </w:tcPr>
          <w:p w14:paraId="1B7530D0">
            <w:pPr>
              <w:jc w:val="center"/>
              <w:rPr>
                <w:rFonts w:hint="eastAsia" w:ascii="仿宋" w:hAnsi="仿宋" w:eastAsia="仿宋" w:cs="仿宋"/>
                <w:color w:val="auto"/>
                <w:sz w:val="24"/>
                <w:szCs w:val="24"/>
                <w:highlight w:val="none"/>
              </w:rPr>
            </w:pPr>
          </w:p>
        </w:tc>
        <w:tc>
          <w:tcPr>
            <w:tcW w:w="1138" w:type="dxa"/>
            <w:vAlign w:val="center"/>
          </w:tcPr>
          <w:p w14:paraId="79DE54F4">
            <w:pPr>
              <w:jc w:val="center"/>
              <w:rPr>
                <w:rFonts w:hint="eastAsia" w:ascii="仿宋" w:hAnsi="仿宋" w:eastAsia="仿宋" w:cs="仿宋"/>
                <w:color w:val="auto"/>
                <w:sz w:val="24"/>
                <w:szCs w:val="24"/>
                <w:highlight w:val="none"/>
              </w:rPr>
            </w:pPr>
          </w:p>
        </w:tc>
      </w:tr>
    </w:tbl>
    <w:p w14:paraId="57EBAB29">
      <w:pPr>
        <w:widowControl/>
        <w:jc w:val="left"/>
        <w:rPr>
          <w:rFonts w:hint="eastAsia" w:ascii="仿宋" w:hAnsi="仿宋" w:eastAsia="仿宋" w:cs="仿宋"/>
          <w:color w:val="auto"/>
          <w:highlight w:val="none"/>
        </w:rPr>
      </w:pPr>
    </w:p>
    <w:p w14:paraId="071236B0">
      <w:pPr>
        <w:spacing w:line="360" w:lineRule="auto"/>
        <w:ind w:firstLine="420" w:firstLineChars="200"/>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注：拟派主要服务人员由供应商自行确定，但应能够满足本项目的基本需求；后附身份证等其他相关材料。</w:t>
      </w:r>
    </w:p>
    <w:p w14:paraId="60C8BBE7">
      <w:pPr>
        <w:spacing w:line="360" w:lineRule="auto"/>
        <w:ind w:firstLine="482" w:firstLineChars="200"/>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br w:type="page"/>
      </w:r>
    </w:p>
    <w:bookmarkEnd w:id="182"/>
    <w:bookmarkEnd w:id="185"/>
    <w:bookmarkEnd w:id="186"/>
    <w:p w14:paraId="0FDD6F14">
      <w:pPr>
        <w:tabs>
          <w:tab w:val="center" w:pos="4832"/>
          <w:tab w:val="left" w:pos="7140"/>
        </w:tabs>
        <w:spacing w:line="360" w:lineRule="auto"/>
        <w:ind w:firstLine="482" w:firstLineChars="200"/>
        <w:jc w:val="center"/>
        <w:outlineLvl w:val="1"/>
        <w:rPr>
          <w:rFonts w:hint="eastAsia" w:ascii="仿宋" w:hAnsi="仿宋" w:eastAsia="仿宋" w:cs="仿宋"/>
          <w:b/>
          <w:color w:val="auto"/>
          <w:sz w:val="24"/>
          <w:szCs w:val="24"/>
          <w:highlight w:val="none"/>
          <w:shd w:val="clear" w:color="auto" w:fill="FFFFFF" w:themeFill="background1"/>
        </w:rPr>
      </w:pPr>
      <w:bookmarkStart w:id="187" w:name="_Toc32498"/>
      <w:bookmarkStart w:id="188" w:name="_Toc38446482"/>
      <w:bookmarkStart w:id="189" w:name="_Toc533503193"/>
      <w:bookmarkStart w:id="190" w:name="_Toc507586177"/>
      <w:r>
        <w:rPr>
          <w:rFonts w:hint="eastAsia" w:ascii="仿宋" w:hAnsi="仿宋" w:eastAsia="仿宋" w:cs="仿宋"/>
          <w:b/>
          <w:color w:val="auto"/>
          <w:sz w:val="24"/>
          <w:szCs w:val="24"/>
          <w:highlight w:val="none"/>
          <w:shd w:val="clear" w:color="auto" w:fill="FFFFFF" w:themeFill="background1"/>
        </w:rPr>
        <w:t>十二、</w:t>
      </w:r>
      <w:r>
        <w:rPr>
          <w:rFonts w:hint="eastAsia" w:ascii="仿宋" w:hAnsi="仿宋" w:eastAsia="仿宋" w:cs="仿宋"/>
          <w:b/>
          <w:bCs/>
          <w:color w:val="auto"/>
          <w:sz w:val="24"/>
          <w:szCs w:val="24"/>
          <w:highlight w:val="none"/>
          <w:shd w:val="clear" w:color="auto" w:fill="FFFFFF" w:themeFill="background1"/>
        </w:rPr>
        <w:t>服务方案</w:t>
      </w:r>
      <w:bookmarkEnd w:id="187"/>
      <w:bookmarkEnd w:id="188"/>
      <w:bookmarkEnd w:id="189"/>
      <w:bookmarkEnd w:id="190"/>
    </w:p>
    <w:p w14:paraId="3CFB03CB">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p>
    <w:p w14:paraId="04CD5F10">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bCs/>
          <w:color w:val="auto"/>
          <w:sz w:val="24"/>
          <w:szCs w:val="24"/>
          <w:highlight w:val="none"/>
          <w:shd w:val="clear" w:color="auto" w:fill="FFFFFF" w:themeFill="background1"/>
        </w:rPr>
        <w:t>供应商须提交拟完成本项目的服务方案，服务方案的格式和内容由供应商根据本项目的具体情况自行拟定。</w:t>
      </w:r>
    </w:p>
    <w:p w14:paraId="55C493E5">
      <w:pPr>
        <w:rPr>
          <w:rFonts w:hint="eastAsia" w:ascii="仿宋" w:hAnsi="仿宋" w:eastAsia="仿宋" w:cs="仿宋"/>
          <w:b/>
          <w:color w:val="auto"/>
          <w:sz w:val="24"/>
          <w:szCs w:val="24"/>
          <w:highlight w:val="none"/>
          <w:shd w:val="clear" w:color="auto" w:fill="FFFFFF" w:themeFill="background1"/>
        </w:rPr>
      </w:pPr>
      <w:bookmarkStart w:id="191" w:name="_Toc38446484"/>
      <w:bookmarkStart w:id="192" w:name="_Toc507586178"/>
      <w:bookmarkStart w:id="193" w:name="_Toc533503194"/>
    </w:p>
    <w:p w14:paraId="716AA309">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bookmarkEnd w:id="191"/>
    <w:bookmarkEnd w:id="192"/>
    <w:bookmarkEnd w:id="193"/>
    <w:p w14:paraId="22FD9139">
      <w:pPr>
        <w:tabs>
          <w:tab w:val="center" w:pos="4832"/>
          <w:tab w:val="left" w:pos="7140"/>
        </w:tabs>
        <w:jc w:val="center"/>
        <w:outlineLvl w:val="1"/>
        <w:rPr>
          <w:rFonts w:hint="eastAsia" w:ascii="仿宋" w:hAnsi="仿宋" w:eastAsia="仿宋" w:cs="仿宋"/>
          <w:b/>
          <w:color w:val="auto"/>
          <w:sz w:val="24"/>
          <w:szCs w:val="24"/>
          <w:highlight w:val="none"/>
        </w:rPr>
      </w:pPr>
      <w:bookmarkStart w:id="194" w:name="_Toc12216"/>
      <w:bookmarkStart w:id="195" w:name="_Toc12468"/>
      <w:bookmarkStart w:id="196" w:name="_Toc60925660"/>
      <w:bookmarkStart w:id="197" w:name="_Toc77455658"/>
      <w:r>
        <w:rPr>
          <w:rFonts w:hint="eastAsia" w:ascii="仿宋" w:hAnsi="仿宋" w:eastAsia="仿宋" w:cs="仿宋"/>
          <w:b/>
          <w:color w:val="auto"/>
          <w:sz w:val="24"/>
          <w:szCs w:val="24"/>
          <w:highlight w:val="none"/>
        </w:rPr>
        <w:t>十三、保证金缴纳证明材料</w:t>
      </w:r>
      <w:bookmarkEnd w:id="194"/>
      <w:bookmarkEnd w:id="195"/>
    </w:p>
    <w:p w14:paraId="74B90268">
      <w:pPr>
        <w:spacing w:line="360" w:lineRule="auto"/>
        <w:ind w:firstLine="480" w:firstLineChars="200"/>
        <w:rPr>
          <w:rFonts w:hint="eastAsia" w:ascii="仿宋" w:hAnsi="仿宋" w:eastAsia="仿宋" w:cs="仿宋"/>
          <w:color w:val="auto"/>
          <w:sz w:val="24"/>
          <w:szCs w:val="24"/>
          <w:highlight w:val="none"/>
        </w:rPr>
      </w:pPr>
    </w:p>
    <w:p w14:paraId="789E53A7">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6CFC21E1">
      <w:pPr>
        <w:spacing w:line="360" w:lineRule="auto"/>
        <w:ind w:firstLine="480" w:firstLineChars="200"/>
        <w:rPr>
          <w:rFonts w:hint="eastAsia" w:ascii="仿宋" w:hAnsi="仿宋" w:eastAsia="仿宋" w:cs="仿宋"/>
          <w:color w:val="auto"/>
          <w:sz w:val="24"/>
          <w:szCs w:val="24"/>
          <w:highlight w:val="none"/>
        </w:rPr>
      </w:pPr>
    </w:p>
    <w:p w14:paraId="1FACAA74">
      <w:pPr>
        <w:spacing w:line="360" w:lineRule="auto"/>
        <w:ind w:firstLine="480" w:firstLineChars="200"/>
        <w:rPr>
          <w:rFonts w:hint="eastAsia" w:ascii="仿宋" w:hAnsi="仿宋" w:eastAsia="仿宋" w:cs="仿宋"/>
          <w:color w:val="auto"/>
          <w:sz w:val="24"/>
          <w:szCs w:val="24"/>
          <w:highlight w:val="none"/>
        </w:rPr>
      </w:pPr>
    </w:p>
    <w:p w14:paraId="3E13E567">
      <w:pPr>
        <w:spacing w:line="360" w:lineRule="auto"/>
        <w:ind w:firstLine="480" w:firstLineChars="200"/>
        <w:rPr>
          <w:rFonts w:hint="eastAsia" w:ascii="仿宋" w:hAnsi="仿宋" w:eastAsia="仿宋" w:cs="仿宋"/>
          <w:color w:val="auto"/>
          <w:sz w:val="24"/>
          <w:szCs w:val="24"/>
          <w:highlight w:val="none"/>
        </w:rPr>
      </w:pPr>
    </w:p>
    <w:p w14:paraId="1C548247">
      <w:pPr>
        <w:spacing w:line="360" w:lineRule="auto"/>
        <w:ind w:firstLine="480" w:firstLineChars="200"/>
        <w:rPr>
          <w:rFonts w:hint="eastAsia" w:ascii="仿宋" w:hAnsi="仿宋" w:eastAsia="仿宋" w:cs="仿宋"/>
          <w:color w:val="auto"/>
          <w:sz w:val="24"/>
          <w:szCs w:val="24"/>
          <w:highlight w:val="none"/>
        </w:rPr>
      </w:pPr>
    </w:p>
    <w:p w14:paraId="711699CF">
      <w:pPr>
        <w:rPr>
          <w:rFonts w:hint="eastAsia" w:ascii="仿宋" w:hAnsi="仿宋" w:eastAsia="仿宋" w:cs="仿宋"/>
          <w:b/>
          <w:color w:val="auto"/>
          <w:sz w:val="24"/>
          <w:szCs w:val="24"/>
          <w:highlight w:val="none"/>
        </w:rPr>
      </w:pPr>
      <w:bookmarkStart w:id="198" w:name="_Toc109921168"/>
      <w:bookmarkStart w:id="199" w:name="_Toc24108"/>
      <w:bookmarkStart w:id="200" w:name="_Toc109941775"/>
      <w:bookmarkStart w:id="201" w:name="_Toc110707975"/>
      <w:bookmarkStart w:id="202" w:name="_Toc14156"/>
      <w:bookmarkStart w:id="203" w:name="_Toc130252630"/>
      <w:r>
        <w:rPr>
          <w:rFonts w:hint="eastAsia" w:ascii="仿宋" w:hAnsi="仿宋" w:eastAsia="仿宋" w:cs="仿宋"/>
          <w:b/>
          <w:color w:val="auto"/>
          <w:sz w:val="24"/>
          <w:szCs w:val="24"/>
          <w:highlight w:val="none"/>
        </w:rPr>
        <w:br w:type="page"/>
      </w:r>
    </w:p>
    <w:p w14:paraId="0B178700">
      <w:pPr>
        <w:tabs>
          <w:tab w:val="center" w:pos="4832"/>
          <w:tab w:val="left" w:pos="7140"/>
        </w:tabs>
        <w:jc w:val="center"/>
        <w:outlineLvl w:val="1"/>
        <w:rPr>
          <w:rFonts w:hint="eastAsia" w:ascii="仿宋" w:hAnsi="仿宋" w:eastAsia="仿宋" w:cs="仿宋"/>
          <w:b/>
          <w:color w:val="auto"/>
          <w:sz w:val="24"/>
          <w:szCs w:val="24"/>
          <w:highlight w:val="none"/>
        </w:rPr>
      </w:pPr>
      <w:bookmarkStart w:id="204" w:name="_Toc29087"/>
      <w:bookmarkStart w:id="205" w:name="_Toc17524"/>
      <w:r>
        <w:rPr>
          <w:rFonts w:hint="eastAsia" w:ascii="仿宋" w:hAnsi="仿宋" w:eastAsia="仿宋" w:cs="仿宋"/>
          <w:b/>
          <w:color w:val="auto"/>
          <w:sz w:val="24"/>
          <w:szCs w:val="24"/>
          <w:highlight w:val="none"/>
        </w:rPr>
        <w:t>十四、其它需要提交的资料</w:t>
      </w:r>
      <w:bookmarkEnd w:id="198"/>
      <w:bookmarkEnd w:id="199"/>
      <w:bookmarkEnd w:id="200"/>
      <w:bookmarkEnd w:id="201"/>
      <w:bookmarkEnd w:id="202"/>
      <w:bookmarkEnd w:id="203"/>
      <w:bookmarkEnd w:id="204"/>
      <w:bookmarkEnd w:id="205"/>
    </w:p>
    <w:p w14:paraId="20A2B496">
      <w:pPr>
        <w:spacing w:line="360" w:lineRule="auto"/>
        <w:ind w:firstLine="480" w:firstLineChars="200"/>
        <w:rPr>
          <w:rFonts w:hint="eastAsia" w:ascii="仿宋" w:hAnsi="仿宋" w:eastAsia="仿宋" w:cs="仿宋"/>
          <w:color w:val="auto"/>
          <w:sz w:val="24"/>
          <w:szCs w:val="24"/>
          <w:highlight w:val="none"/>
        </w:rPr>
      </w:pPr>
    </w:p>
    <w:p w14:paraId="1CF6B111">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根据采购文件的要求和供应商认为需要提供的资料。</w:t>
      </w:r>
    </w:p>
    <w:p w14:paraId="3EF39319">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215EE938">
      <w:pPr>
        <w:numPr>
          <w:ilvl w:val="0"/>
          <w:numId w:val="5"/>
        </w:num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206" w:name="_Toc4679"/>
      <w:r>
        <w:rPr>
          <w:rFonts w:hint="eastAsia" w:ascii="仿宋" w:hAnsi="仿宋" w:eastAsia="仿宋" w:cs="仿宋"/>
          <w:b/>
          <w:color w:val="auto"/>
          <w:sz w:val="24"/>
          <w:szCs w:val="24"/>
          <w:highlight w:val="none"/>
          <w:shd w:val="clear" w:color="auto" w:fill="FFFFFF" w:themeFill="background1"/>
        </w:rPr>
        <w:t>补充条款</w:t>
      </w:r>
      <w:bookmarkEnd w:id="196"/>
      <w:bookmarkEnd w:id="197"/>
      <w:bookmarkEnd w:id="206"/>
    </w:p>
    <w:p w14:paraId="5125D997">
      <w:pPr>
        <w:spacing w:line="360" w:lineRule="auto"/>
        <w:outlineLvl w:val="1"/>
        <w:rPr>
          <w:rFonts w:hint="eastAsia" w:ascii="仿宋" w:hAnsi="仿宋" w:eastAsia="仿宋" w:cs="仿宋"/>
          <w:color w:val="auto"/>
          <w:spacing w:val="6"/>
          <w:sz w:val="24"/>
          <w:szCs w:val="24"/>
          <w:highlight w:val="none"/>
        </w:rPr>
      </w:pPr>
      <w:bookmarkStart w:id="207" w:name="_Toc15921"/>
      <w:bookmarkStart w:id="208" w:name="_Toc16688"/>
      <w:bookmarkStart w:id="209" w:name="_Toc5592"/>
      <w:r>
        <w:rPr>
          <w:rFonts w:hint="eastAsia" w:ascii="仿宋" w:hAnsi="仿宋" w:eastAsia="仿宋" w:cs="仿宋"/>
          <w:color w:val="auto"/>
          <w:spacing w:val="6"/>
          <w:sz w:val="24"/>
          <w:szCs w:val="24"/>
          <w:highlight w:val="none"/>
        </w:rPr>
        <w:t>附件1、中小企业扶持政策</w:t>
      </w:r>
      <w:bookmarkEnd w:id="207"/>
      <w:bookmarkEnd w:id="208"/>
      <w:bookmarkEnd w:id="209"/>
    </w:p>
    <w:p w14:paraId="3419644D">
      <w:pPr>
        <w:spacing w:line="360" w:lineRule="auto"/>
        <w:jc w:val="center"/>
        <w:rPr>
          <w:rFonts w:hint="eastAsia" w:ascii="仿宋" w:hAnsi="仿宋" w:eastAsia="仿宋" w:cs="仿宋"/>
          <w:color w:val="auto"/>
          <w:spacing w:val="6"/>
          <w:sz w:val="24"/>
          <w:szCs w:val="24"/>
          <w:highlight w:val="none"/>
        </w:rPr>
      </w:pPr>
    </w:p>
    <w:p w14:paraId="4D29ADC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52FC4990">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339F01D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7616577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2275410">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49D0DB2E">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6C7546BB">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6A2757A9">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025AE59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742744C5">
      <w:pPr>
        <w:spacing w:line="360" w:lineRule="auto"/>
        <w:ind w:firstLine="504" w:firstLineChars="200"/>
        <w:rPr>
          <w:rFonts w:hint="eastAsia" w:ascii="仿宋" w:hAnsi="仿宋" w:eastAsia="仿宋" w:cs="仿宋"/>
          <w:color w:val="auto"/>
          <w:spacing w:val="6"/>
          <w:sz w:val="24"/>
          <w:szCs w:val="24"/>
          <w:highlight w:val="none"/>
        </w:rPr>
      </w:pPr>
    </w:p>
    <w:p w14:paraId="21863521">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34B0EB4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023E2CA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2642D45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CD7C0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2C10457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745E7A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D3FFE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0E0B4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CD3770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7898E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321FC5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9DA9B6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2898E2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20053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745FD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8DFE5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A6443C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88E4C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BDD56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EB096D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3797F92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5C3DD30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4AD4FA5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6795F80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7F585B5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7BB4E0A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651C8FE2">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13C8CA1D">
      <w:pPr>
        <w:spacing w:line="360" w:lineRule="auto"/>
        <w:outlineLvl w:val="1"/>
        <w:rPr>
          <w:rFonts w:hint="eastAsia" w:ascii="仿宋" w:hAnsi="仿宋" w:eastAsia="仿宋" w:cs="仿宋"/>
          <w:color w:val="auto"/>
          <w:spacing w:val="6"/>
          <w:sz w:val="24"/>
          <w:szCs w:val="24"/>
          <w:highlight w:val="none"/>
        </w:rPr>
      </w:pPr>
      <w:bookmarkStart w:id="210" w:name="_Toc30202"/>
      <w:bookmarkStart w:id="211" w:name="_Toc372"/>
      <w:bookmarkStart w:id="212" w:name="_Toc20667"/>
      <w:r>
        <w:rPr>
          <w:rFonts w:hint="eastAsia" w:ascii="仿宋" w:hAnsi="仿宋" w:eastAsia="仿宋" w:cs="仿宋"/>
          <w:color w:val="auto"/>
          <w:spacing w:val="6"/>
          <w:sz w:val="24"/>
          <w:szCs w:val="24"/>
          <w:highlight w:val="none"/>
        </w:rPr>
        <w:t>附件2、残疾人企业扶持政策</w:t>
      </w:r>
      <w:bookmarkEnd w:id="210"/>
      <w:bookmarkEnd w:id="211"/>
      <w:bookmarkEnd w:id="212"/>
    </w:p>
    <w:p w14:paraId="18FE7B6D">
      <w:pPr>
        <w:spacing w:line="360" w:lineRule="auto"/>
        <w:jc w:val="center"/>
        <w:rPr>
          <w:rFonts w:hint="eastAsia" w:ascii="仿宋" w:hAnsi="仿宋" w:eastAsia="仿宋" w:cs="仿宋"/>
          <w:color w:val="auto"/>
          <w:spacing w:val="6"/>
          <w:sz w:val="24"/>
          <w:szCs w:val="24"/>
          <w:highlight w:val="none"/>
        </w:rPr>
      </w:pPr>
    </w:p>
    <w:p w14:paraId="75D1C39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0B4A2E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37ECCDF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12A5EB3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023CCA0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711F922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633809E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77E0411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712F458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3D8B7B9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B118C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5B57381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3C105AD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5A7AE88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3837D39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50BC4EE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632C872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E48DD3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0C5AA9B3">
      <w:pPr>
        <w:pStyle w:val="9"/>
        <w:ind w:firstLine="480"/>
        <w:rPr>
          <w:rFonts w:hint="eastAsia" w:ascii="仿宋" w:hAnsi="仿宋" w:eastAsia="仿宋" w:cs="仿宋"/>
          <w:color w:val="auto"/>
          <w:highlight w:val="none"/>
        </w:rPr>
      </w:pPr>
    </w:p>
    <w:p w14:paraId="0D2CE609">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0E81AEFB">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20228025">
      <w:pPr>
        <w:spacing w:line="360" w:lineRule="auto"/>
        <w:outlineLvl w:val="1"/>
        <w:rPr>
          <w:rFonts w:hint="eastAsia" w:ascii="仿宋" w:hAnsi="仿宋" w:eastAsia="仿宋" w:cs="仿宋"/>
          <w:color w:val="auto"/>
          <w:spacing w:val="6"/>
          <w:sz w:val="24"/>
          <w:szCs w:val="24"/>
          <w:highlight w:val="none"/>
        </w:rPr>
      </w:pPr>
      <w:bookmarkStart w:id="213" w:name="_Toc244"/>
      <w:bookmarkStart w:id="214" w:name="_Toc11453"/>
      <w:bookmarkStart w:id="215" w:name="_Toc13048"/>
      <w:r>
        <w:rPr>
          <w:rFonts w:hint="eastAsia" w:ascii="仿宋" w:hAnsi="仿宋" w:eastAsia="仿宋" w:cs="仿宋"/>
          <w:color w:val="auto"/>
          <w:spacing w:val="6"/>
          <w:sz w:val="24"/>
          <w:szCs w:val="24"/>
          <w:highlight w:val="none"/>
        </w:rPr>
        <w:t>附件3、监狱扶持政策</w:t>
      </w:r>
      <w:bookmarkEnd w:id="213"/>
      <w:bookmarkEnd w:id="214"/>
      <w:bookmarkEnd w:id="215"/>
    </w:p>
    <w:p w14:paraId="669ABE51">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59841014">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3A69A343">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01A90C9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4D53FE9A">
      <w:pPr>
        <w:pStyle w:val="9"/>
        <w:ind w:firstLine="480"/>
        <w:rPr>
          <w:rFonts w:hint="eastAsia" w:ascii="仿宋" w:hAnsi="仿宋" w:eastAsia="仿宋" w:cs="仿宋"/>
          <w:color w:val="auto"/>
          <w:highlight w:val="none"/>
        </w:rPr>
      </w:pPr>
    </w:p>
    <w:p w14:paraId="2A5B3151">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077FA76D">
      <w:pPr>
        <w:spacing w:line="360" w:lineRule="auto"/>
        <w:rPr>
          <w:rFonts w:hint="eastAsia" w:ascii="仿宋" w:hAnsi="仿宋" w:eastAsia="仿宋" w:cs="仿宋"/>
          <w:color w:val="auto"/>
          <w:sz w:val="24"/>
          <w:szCs w:val="24"/>
          <w:highlight w:val="none"/>
          <w:shd w:val="clear" w:color="auto" w:fill="FFFFFF" w:themeFill="background1"/>
        </w:rPr>
      </w:pPr>
    </w:p>
    <w:p w14:paraId="4746C083">
      <w:pPr>
        <w:rPr>
          <w:rFonts w:hint="eastAsia" w:ascii="仿宋" w:hAnsi="仿宋" w:eastAsia="仿宋" w:cs="仿宋"/>
          <w:color w:val="auto"/>
          <w:highlight w:val="none"/>
        </w:rPr>
      </w:pPr>
    </w:p>
    <w:sectPr>
      <w:headerReference r:id="rId11" w:type="default"/>
      <w:footerReference r:id="rId12" w:type="default"/>
      <w:pgSz w:w="11906" w:h="16838"/>
      <w:pgMar w:top="1440" w:right="1080" w:bottom="1440" w:left="108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
    <w:altName w:val="Segoe Print"/>
    <w:panose1 w:val="00000000000000000000"/>
    <w:charset w:val="00"/>
    <w:family w:val="auto"/>
    <w:pitch w:val="default"/>
    <w:sig w:usb0="00000000" w:usb1="00000000" w:usb2="00000000" w:usb3="00000000" w:csb0="00000001" w:csb1="0000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287" w:usb1="00000000" w:usb2="00000000" w:usb3="00000000" w:csb0="2000009F" w:csb1="00000000"/>
  </w:font>
  <w:font w:name="方正仿宋简体">
    <w:panose1 w:val="02000000000000000000"/>
    <w:charset w:val="86"/>
    <w:family w:val="auto"/>
    <w:pitch w:val="default"/>
    <w:sig w:usb0="A00002BF" w:usb1="184F6CFA" w:usb2="00000012"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80F3C52" w:usb2="00000016" w:usb3="00000000" w:csb0="0004001F" w:csb1="0000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4C3FF">
    <w:pPr>
      <w:pStyle w:val="23"/>
      <w:jc w:val="center"/>
      <w:rPr>
        <w:rFonts w:hint="eastAsia" w:asciiTheme="minorEastAsia" w:hAnsiTheme="minorEastAsia" w:eastAsiaTheme="minorEastAsia"/>
        <w:sz w:val="21"/>
        <w:szCs w:val="21"/>
        <w:lang w:val="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5AD43">
    <w:pPr>
      <w:pStyle w:val="23"/>
      <w:framePr w:wrap="around" w:vAnchor="text" w:hAnchor="margin" w:xAlign="center" w:y="1"/>
      <w:rPr>
        <w:rStyle w:val="47"/>
      </w:rPr>
    </w:pPr>
    <w:r>
      <w:rPr>
        <w:rStyle w:val="47"/>
      </w:rPr>
      <w:fldChar w:fldCharType="begin"/>
    </w:r>
    <w:r>
      <w:rPr>
        <w:rStyle w:val="47"/>
      </w:rPr>
      <w:instrText xml:space="preserve">PAGE  </w:instrText>
    </w:r>
    <w:r>
      <w:rPr>
        <w:rStyle w:val="47"/>
      </w:rPr>
      <w:fldChar w:fldCharType="separate"/>
    </w:r>
    <w:r>
      <w:rPr>
        <w:rStyle w:val="47"/>
      </w:rPr>
      <w:t>68</w:t>
    </w:r>
    <w:r>
      <w:rPr>
        <w:rStyle w:val="47"/>
      </w:rPr>
      <w:fldChar w:fldCharType="end"/>
    </w:r>
  </w:p>
  <w:p w14:paraId="31848E93">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4FBBC">
    <w:pPr>
      <w:pStyle w:val="23"/>
      <w:jc w:val="center"/>
      <w:rPr>
        <w:rFonts w:hint="eastAsia"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lang w:val="zh-CN"/>
      </w:rPr>
      <w:t>3</w:t>
    </w:r>
    <w:r>
      <w:rPr>
        <w:rFonts w:asciiTheme="minorEastAsia" w:hAnsiTheme="minorEastAsia" w:eastAsiaTheme="minorEastAsia"/>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A01AA">
    <w:pPr>
      <w:pStyle w:val="23"/>
      <w:rPr>
        <w:rFonts w:hint="eastAsia" w:ascii="宋体" w:hAnsi="宋体"/>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0A7E4">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C80A7E4">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82AC2">
    <w:pPr>
      <w:pStyle w:val="14"/>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F08DF">
                          <w:pPr>
                            <w:pStyle w:val="23"/>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7FF08DF">
                    <w:pPr>
                      <w:pStyle w:val="23"/>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0E71B">
    <w:pPr>
      <w:spacing w:line="14" w:lineRule="auto"/>
      <w:rPr>
        <w:sz w:val="20"/>
        <w:szCs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BCD984">
                          <w:pPr>
                            <w:pStyle w:val="2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6BCD984">
                    <w:pPr>
                      <w:pStyle w:val="2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80D7C">
    <w:pPr>
      <w:pStyle w:val="23"/>
      <w:ind w:right="360"/>
      <w:rPr>
        <w:rFonts w:hint="eastAsia" w:ascii="仿宋" w:hAnsi="仿宋" w:eastAsia="仿宋" w:cs="仿宋"/>
        <w:sz w:val="24"/>
        <w:szCs w:val="24"/>
        <w:lang w:val="zh-CN"/>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51333">
                          <w:pPr>
                            <w:pStyle w:val="2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EE51333">
                    <w:pPr>
                      <w:pStyle w:val="2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6841A">
    <w:pPr>
      <w:pStyle w:val="2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C381B">
    <w:pPr>
      <w:pStyle w:val="24"/>
      <w:pBdr>
        <w:bottom w:val="none" w:color="auto" w:sz="0" w:space="0"/>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00D18">
    <w:pPr>
      <w:pStyle w:val="24"/>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995FB1"/>
    <w:multiLevelType w:val="singleLevel"/>
    <w:tmpl w:val="E7995FB1"/>
    <w:lvl w:ilvl="0" w:tentative="0">
      <w:start w:val="6"/>
      <w:numFmt w:val="chineseCounting"/>
      <w:suff w:val="space"/>
      <w:lvlText w:val="第%1章"/>
      <w:lvlJc w:val="left"/>
      <w:rPr>
        <w:rFonts w:hint="eastAsia"/>
      </w:rPr>
    </w:lvl>
  </w:abstractNum>
  <w:abstractNum w:abstractNumId="1">
    <w:nsid w:val="34A453A2"/>
    <w:multiLevelType w:val="singleLevel"/>
    <w:tmpl w:val="34A453A2"/>
    <w:lvl w:ilvl="0" w:tentative="0">
      <w:start w:val="5"/>
      <w:numFmt w:val="chineseCounting"/>
      <w:suff w:val="space"/>
      <w:lvlText w:val="第%1章"/>
      <w:lvlJc w:val="left"/>
      <w:rPr>
        <w:rFonts w:hint="eastAsia"/>
      </w:rPr>
    </w:lvl>
  </w:abstractNum>
  <w:abstractNum w:abstractNumId="2">
    <w:nsid w:val="51D3F462"/>
    <w:multiLevelType w:val="singleLevel"/>
    <w:tmpl w:val="51D3F462"/>
    <w:lvl w:ilvl="0" w:tentative="0">
      <w:start w:val="1"/>
      <w:numFmt w:val="decimal"/>
      <w:suff w:val="nothing"/>
      <w:lvlText w:val="（%1）"/>
      <w:lvlJc w:val="left"/>
    </w:lvl>
  </w:abstractNum>
  <w:abstractNum w:abstractNumId="3">
    <w:nsid w:val="5AD15948"/>
    <w:multiLevelType w:val="multilevel"/>
    <w:tmpl w:val="5AD15948"/>
    <w:lvl w:ilvl="0" w:tentative="0">
      <w:start w:val="1"/>
      <w:numFmt w:val="decimal"/>
      <w:suff w:val="nothing"/>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4">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formatting="1"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8964930e-b812-44f6-ad31-5e90c699a630"/>
  </w:docVars>
  <w:rsids>
    <w:rsidRoot w:val="00172A27"/>
    <w:rsid w:val="00001340"/>
    <w:rsid w:val="00003F6D"/>
    <w:rsid w:val="00004DAA"/>
    <w:rsid w:val="0000568A"/>
    <w:rsid w:val="00006BD9"/>
    <w:rsid w:val="00007487"/>
    <w:rsid w:val="00007BA8"/>
    <w:rsid w:val="00013484"/>
    <w:rsid w:val="000149FB"/>
    <w:rsid w:val="00014F7D"/>
    <w:rsid w:val="000159AC"/>
    <w:rsid w:val="000162FE"/>
    <w:rsid w:val="00016F23"/>
    <w:rsid w:val="00020B17"/>
    <w:rsid w:val="000212A6"/>
    <w:rsid w:val="00022B09"/>
    <w:rsid w:val="00022B6E"/>
    <w:rsid w:val="00022B77"/>
    <w:rsid w:val="000244CA"/>
    <w:rsid w:val="00025CCF"/>
    <w:rsid w:val="00026F71"/>
    <w:rsid w:val="00030171"/>
    <w:rsid w:val="000304C4"/>
    <w:rsid w:val="00033566"/>
    <w:rsid w:val="000335F4"/>
    <w:rsid w:val="00036B12"/>
    <w:rsid w:val="000400E8"/>
    <w:rsid w:val="00046152"/>
    <w:rsid w:val="0005003E"/>
    <w:rsid w:val="00050467"/>
    <w:rsid w:val="000536BB"/>
    <w:rsid w:val="0005677C"/>
    <w:rsid w:val="000604DE"/>
    <w:rsid w:val="000616A1"/>
    <w:rsid w:val="00062A04"/>
    <w:rsid w:val="00063C04"/>
    <w:rsid w:val="000641A9"/>
    <w:rsid w:val="00065D98"/>
    <w:rsid w:val="00070AF5"/>
    <w:rsid w:val="00071140"/>
    <w:rsid w:val="00071492"/>
    <w:rsid w:val="00071EBA"/>
    <w:rsid w:val="000726EA"/>
    <w:rsid w:val="00072968"/>
    <w:rsid w:val="00073D96"/>
    <w:rsid w:val="0007571C"/>
    <w:rsid w:val="000762D4"/>
    <w:rsid w:val="0007797D"/>
    <w:rsid w:val="0008025F"/>
    <w:rsid w:val="0008034C"/>
    <w:rsid w:val="00080E16"/>
    <w:rsid w:val="0008176E"/>
    <w:rsid w:val="00081BD3"/>
    <w:rsid w:val="0008215D"/>
    <w:rsid w:val="00082FC4"/>
    <w:rsid w:val="00083B64"/>
    <w:rsid w:val="00085BB6"/>
    <w:rsid w:val="000904A3"/>
    <w:rsid w:val="000916AB"/>
    <w:rsid w:val="000923E8"/>
    <w:rsid w:val="000941A8"/>
    <w:rsid w:val="00094989"/>
    <w:rsid w:val="000A02F9"/>
    <w:rsid w:val="000A1822"/>
    <w:rsid w:val="000A32B9"/>
    <w:rsid w:val="000A3552"/>
    <w:rsid w:val="000A3C63"/>
    <w:rsid w:val="000A68F0"/>
    <w:rsid w:val="000B0F6F"/>
    <w:rsid w:val="000B210F"/>
    <w:rsid w:val="000B331B"/>
    <w:rsid w:val="000B581D"/>
    <w:rsid w:val="000B6244"/>
    <w:rsid w:val="000B74E1"/>
    <w:rsid w:val="000B797D"/>
    <w:rsid w:val="000C3368"/>
    <w:rsid w:val="000C388B"/>
    <w:rsid w:val="000C3905"/>
    <w:rsid w:val="000C62C3"/>
    <w:rsid w:val="000D171A"/>
    <w:rsid w:val="000D37C8"/>
    <w:rsid w:val="000D3B49"/>
    <w:rsid w:val="000D7CE7"/>
    <w:rsid w:val="000E20F2"/>
    <w:rsid w:val="000E5B9C"/>
    <w:rsid w:val="000E6FF4"/>
    <w:rsid w:val="000E7461"/>
    <w:rsid w:val="000E7AF9"/>
    <w:rsid w:val="000E7B9A"/>
    <w:rsid w:val="000F1BFD"/>
    <w:rsid w:val="000F2511"/>
    <w:rsid w:val="000F74B7"/>
    <w:rsid w:val="00101A72"/>
    <w:rsid w:val="00101AA4"/>
    <w:rsid w:val="001060B3"/>
    <w:rsid w:val="001063D0"/>
    <w:rsid w:val="0010650C"/>
    <w:rsid w:val="001079FC"/>
    <w:rsid w:val="00107FE2"/>
    <w:rsid w:val="001100D5"/>
    <w:rsid w:val="00112251"/>
    <w:rsid w:val="00114633"/>
    <w:rsid w:val="00115D31"/>
    <w:rsid w:val="00117093"/>
    <w:rsid w:val="00117660"/>
    <w:rsid w:val="0012205E"/>
    <w:rsid w:val="001227D5"/>
    <w:rsid w:val="00123259"/>
    <w:rsid w:val="0012668B"/>
    <w:rsid w:val="001279E1"/>
    <w:rsid w:val="00127B38"/>
    <w:rsid w:val="0013312B"/>
    <w:rsid w:val="00133C36"/>
    <w:rsid w:val="001346CB"/>
    <w:rsid w:val="00134F82"/>
    <w:rsid w:val="00135714"/>
    <w:rsid w:val="001378D2"/>
    <w:rsid w:val="00140D70"/>
    <w:rsid w:val="001411D9"/>
    <w:rsid w:val="00141AF5"/>
    <w:rsid w:val="001431D9"/>
    <w:rsid w:val="00143612"/>
    <w:rsid w:val="00144E0F"/>
    <w:rsid w:val="001450A1"/>
    <w:rsid w:val="00145F16"/>
    <w:rsid w:val="00146B4C"/>
    <w:rsid w:val="00146E26"/>
    <w:rsid w:val="001511BA"/>
    <w:rsid w:val="00151679"/>
    <w:rsid w:val="00151E56"/>
    <w:rsid w:val="0015454B"/>
    <w:rsid w:val="0015454E"/>
    <w:rsid w:val="0015472C"/>
    <w:rsid w:val="00154A10"/>
    <w:rsid w:val="00156E77"/>
    <w:rsid w:val="0015794E"/>
    <w:rsid w:val="00160C84"/>
    <w:rsid w:val="00162304"/>
    <w:rsid w:val="00162D5F"/>
    <w:rsid w:val="001635B4"/>
    <w:rsid w:val="001663BF"/>
    <w:rsid w:val="001676DD"/>
    <w:rsid w:val="00171B8B"/>
    <w:rsid w:val="00172A27"/>
    <w:rsid w:val="001733AF"/>
    <w:rsid w:val="00173CD5"/>
    <w:rsid w:val="00176984"/>
    <w:rsid w:val="00176FAD"/>
    <w:rsid w:val="0018101E"/>
    <w:rsid w:val="001825D7"/>
    <w:rsid w:val="0018398B"/>
    <w:rsid w:val="0018468F"/>
    <w:rsid w:val="00186618"/>
    <w:rsid w:val="00190CFC"/>
    <w:rsid w:val="00192309"/>
    <w:rsid w:val="00192531"/>
    <w:rsid w:val="00193A7C"/>
    <w:rsid w:val="001940A4"/>
    <w:rsid w:val="001970FB"/>
    <w:rsid w:val="0019744D"/>
    <w:rsid w:val="001A148C"/>
    <w:rsid w:val="001A1642"/>
    <w:rsid w:val="001A2117"/>
    <w:rsid w:val="001A27D4"/>
    <w:rsid w:val="001A2D5E"/>
    <w:rsid w:val="001A3274"/>
    <w:rsid w:val="001A33AD"/>
    <w:rsid w:val="001A377B"/>
    <w:rsid w:val="001A45DD"/>
    <w:rsid w:val="001A4A04"/>
    <w:rsid w:val="001A4E5A"/>
    <w:rsid w:val="001A5AD8"/>
    <w:rsid w:val="001B1748"/>
    <w:rsid w:val="001B36D6"/>
    <w:rsid w:val="001B7A07"/>
    <w:rsid w:val="001C09A4"/>
    <w:rsid w:val="001C0C4F"/>
    <w:rsid w:val="001C3DA2"/>
    <w:rsid w:val="001C5D03"/>
    <w:rsid w:val="001C7321"/>
    <w:rsid w:val="001D024E"/>
    <w:rsid w:val="001D50A5"/>
    <w:rsid w:val="001D53FB"/>
    <w:rsid w:val="001D79E8"/>
    <w:rsid w:val="001E1D3C"/>
    <w:rsid w:val="001E33A7"/>
    <w:rsid w:val="001E3D69"/>
    <w:rsid w:val="001E4755"/>
    <w:rsid w:val="001E5AAE"/>
    <w:rsid w:val="001E6E8F"/>
    <w:rsid w:val="001E700D"/>
    <w:rsid w:val="001E7813"/>
    <w:rsid w:val="001F22E9"/>
    <w:rsid w:val="001F3A08"/>
    <w:rsid w:val="001F610A"/>
    <w:rsid w:val="001F7725"/>
    <w:rsid w:val="0020058C"/>
    <w:rsid w:val="00200BA8"/>
    <w:rsid w:val="002011FB"/>
    <w:rsid w:val="002016BA"/>
    <w:rsid w:val="0020210D"/>
    <w:rsid w:val="002055DD"/>
    <w:rsid w:val="00205DF6"/>
    <w:rsid w:val="002071B0"/>
    <w:rsid w:val="00207852"/>
    <w:rsid w:val="002115F3"/>
    <w:rsid w:val="00213B45"/>
    <w:rsid w:val="00213C80"/>
    <w:rsid w:val="00215811"/>
    <w:rsid w:val="0022177D"/>
    <w:rsid w:val="0022315A"/>
    <w:rsid w:val="002233BB"/>
    <w:rsid w:val="00225083"/>
    <w:rsid w:val="002250F4"/>
    <w:rsid w:val="00226DEC"/>
    <w:rsid w:val="002271B7"/>
    <w:rsid w:val="0022755E"/>
    <w:rsid w:val="0022787A"/>
    <w:rsid w:val="00231BFB"/>
    <w:rsid w:val="002327C7"/>
    <w:rsid w:val="0023316F"/>
    <w:rsid w:val="00234F95"/>
    <w:rsid w:val="0023520B"/>
    <w:rsid w:val="002362FF"/>
    <w:rsid w:val="00236964"/>
    <w:rsid w:val="00236D43"/>
    <w:rsid w:val="00237C99"/>
    <w:rsid w:val="00237D81"/>
    <w:rsid w:val="0024079C"/>
    <w:rsid w:val="00241719"/>
    <w:rsid w:val="00241F93"/>
    <w:rsid w:val="002443C9"/>
    <w:rsid w:val="00245F22"/>
    <w:rsid w:val="002472C0"/>
    <w:rsid w:val="00247F47"/>
    <w:rsid w:val="002508FA"/>
    <w:rsid w:val="00253DC3"/>
    <w:rsid w:val="00254157"/>
    <w:rsid w:val="002541CE"/>
    <w:rsid w:val="002545CB"/>
    <w:rsid w:val="00257F22"/>
    <w:rsid w:val="002604A7"/>
    <w:rsid w:val="00260910"/>
    <w:rsid w:val="00262839"/>
    <w:rsid w:val="00263CA6"/>
    <w:rsid w:val="00264ECA"/>
    <w:rsid w:val="00266F04"/>
    <w:rsid w:val="002677CF"/>
    <w:rsid w:val="00272DDC"/>
    <w:rsid w:val="0028204B"/>
    <w:rsid w:val="00283F2B"/>
    <w:rsid w:val="00292040"/>
    <w:rsid w:val="0029280E"/>
    <w:rsid w:val="00294684"/>
    <w:rsid w:val="00294BD6"/>
    <w:rsid w:val="00294D99"/>
    <w:rsid w:val="002967DA"/>
    <w:rsid w:val="00297672"/>
    <w:rsid w:val="002A6A08"/>
    <w:rsid w:val="002A76F7"/>
    <w:rsid w:val="002B0041"/>
    <w:rsid w:val="002B0624"/>
    <w:rsid w:val="002B0980"/>
    <w:rsid w:val="002B0C40"/>
    <w:rsid w:val="002C0E26"/>
    <w:rsid w:val="002C1AFD"/>
    <w:rsid w:val="002C2DD2"/>
    <w:rsid w:val="002C33A1"/>
    <w:rsid w:val="002C3AB5"/>
    <w:rsid w:val="002D10A3"/>
    <w:rsid w:val="002D1BE8"/>
    <w:rsid w:val="002D25D3"/>
    <w:rsid w:val="002D27BF"/>
    <w:rsid w:val="002D2A64"/>
    <w:rsid w:val="002D3439"/>
    <w:rsid w:val="002D6CF2"/>
    <w:rsid w:val="002E0067"/>
    <w:rsid w:val="002E0574"/>
    <w:rsid w:val="002E15A3"/>
    <w:rsid w:val="002E1D0A"/>
    <w:rsid w:val="002E4293"/>
    <w:rsid w:val="002E5AAD"/>
    <w:rsid w:val="002E6176"/>
    <w:rsid w:val="002E6670"/>
    <w:rsid w:val="002E7D55"/>
    <w:rsid w:val="002F10F5"/>
    <w:rsid w:val="002F2283"/>
    <w:rsid w:val="002F54A1"/>
    <w:rsid w:val="002F66E8"/>
    <w:rsid w:val="00300AC7"/>
    <w:rsid w:val="00300C92"/>
    <w:rsid w:val="00301B47"/>
    <w:rsid w:val="00301F82"/>
    <w:rsid w:val="003024B8"/>
    <w:rsid w:val="00303002"/>
    <w:rsid w:val="00304D2D"/>
    <w:rsid w:val="00312306"/>
    <w:rsid w:val="0031257E"/>
    <w:rsid w:val="003131AE"/>
    <w:rsid w:val="00313F13"/>
    <w:rsid w:val="00314210"/>
    <w:rsid w:val="00315623"/>
    <w:rsid w:val="00315D4B"/>
    <w:rsid w:val="00315D59"/>
    <w:rsid w:val="00316DBA"/>
    <w:rsid w:val="00316E96"/>
    <w:rsid w:val="0032116D"/>
    <w:rsid w:val="00321D81"/>
    <w:rsid w:val="003233E1"/>
    <w:rsid w:val="00324A7B"/>
    <w:rsid w:val="003264F1"/>
    <w:rsid w:val="0032668D"/>
    <w:rsid w:val="00326D40"/>
    <w:rsid w:val="00327B52"/>
    <w:rsid w:val="0033094D"/>
    <w:rsid w:val="00330F50"/>
    <w:rsid w:val="00331C14"/>
    <w:rsid w:val="0033356A"/>
    <w:rsid w:val="003344D9"/>
    <w:rsid w:val="00336C8C"/>
    <w:rsid w:val="00336E0F"/>
    <w:rsid w:val="00336F54"/>
    <w:rsid w:val="00336F6F"/>
    <w:rsid w:val="003426B2"/>
    <w:rsid w:val="00343622"/>
    <w:rsid w:val="003458F7"/>
    <w:rsid w:val="00345FE0"/>
    <w:rsid w:val="00350D9E"/>
    <w:rsid w:val="0035279D"/>
    <w:rsid w:val="00353142"/>
    <w:rsid w:val="00357570"/>
    <w:rsid w:val="00360323"/>
    <w:rsid w:val="00360D30"/>
    <w:rsid w:val="00361C9D"/>
    <w:rsid w:val="00361CD5"/>
    <w:rsid w:val="00362CA2"/>
    <w:rsid w:val="00363991"/>
    <w:rsid w:val="00364473"/>
    <w:rsid w:val="003659B8"/>
    <w:rsid w:val="00365DA6"/>
    <w:rsid w:val="00367609"/>
    <w:rsid w:val="00367A6E"/>
    <w:rsid w:val="003706ED"/>
    <w:rsid w:val="00370F25"/>
    <w:rsid w:val="00372DE6"/>
    <w:rsid w:val="003738A8"/>
    <w:rsid w:val="00373CAA"/>
    <w:rsid w:val="003766F5"/>
    <w:rsid w:val="00376E83"/>
    <w:rsid w:val="00381492"/>
    <w:rsid w:val="00382C56"/>
    <w:rsid w:val="00387372"/>
    <w:rsid w:val="00387B8B"/>
    <w:rsid w:val="0039170F"/>
    <w:rsid w:val="003923EF"/>
    <w:rsid w:val="0039269B"/>
    <w:rsid w:val="00395423"/>
    <w:rsid w:val="00396138"/>
    <w:rsid w:val="00396B25"/>
    <w:rsid w:val="003972C3"/>
    <w:rsid w:val="003A2B5A"/>
    <w:rsid w:val="003A5B50"/>
    <w:rsid w:val="003A6FF0"/>
    <w:rsid w:val="003B375E"/>
    <w:rsid w:val="003B3EF1"/>
    <w:rsid w:val="003B508E"/>
    <w:rsid w:val="003B6120"/>
    <w:rsid w:val="003B70AD"/>
    <w:rsid w:val="003B72EC"/>
    <w:rsid w:val="003B75FA"/>
    <w:rsid w:val="003C0B9E"/>
    <w:rsid w:val="003C2CBB"/>
    <w:rsid w:val="003C452F"/>
    <w:rsid w:val="003C6C59"/>
    <w:rsid w:val="003C7619"/>
    <w:rsid w:val="003D01BB"/>
    <w:rsid w:val="003D05EA"/>
    <w:rsid w:val="003D4211"/>
    <w:rsid w:val="003D5B21"/>
    <w:rsid w:val="003D5CDD"/>
    <w:rsid w:val="003D6081"/>
    <w:rsid w:val="003D678F"/>
    <w:rsid w:val="003E1C9B"/>
    <w:rsid w:val="003E27FC"/>
    <w:rsid w:val="003E476A"/>
    <w:rsid w:val="003E4A7A"/>
    <w:rsid w:val="003E612D"/>
    <w:rsid w:val="003F2B4D"/>
    <w:rsid w:val="003F443A"/>
    <w:rsid w:val="003F5C6B"/>
    <w:rsid w:val="00400C51"/>
    <w:rsid w:val="00401A88"/>
    <w:rsid w:val="0040310D"/>
    <w:rsid w:val="00403C31"/>
    <w:rsid w:val="004214CD"/>
    <w:rsid w:val="004220B6"/>
    <w:rsid w:val="00423D2D"/>
    <w:rsid w:val="004269F5"/>
    <w:rsid w:val="00426E22"/>
    <w:rsid w:val="00427988"/>
    <w:rsid w:val="0043107A"/>
    <w:rsid w:val="0043182A"/>
    <w:rsid w:val="00432C0C"/>
    <w:rsid w:val="004334BF"/>
    <w:rsid w:val="00433AA5"/>
    <w:rsid w:val="00433EED"/>
    <w:rsid w:val="00434DA2"/>
    <w:rsid w:val="004373BC"/>
    <w:rsid w:val="00437914"/>
    <w:rsid w:val="00444EE1"/>
    <w:rsid w:val="004453B8"/>
    <w:rsid w:val="0044799D"/>
    <w:rsid w:val="0045091A"/>
    <w:rsid w:val="00450A93"/>
    <w:rsid w:val="00450B61"/>
    <w:rsid w:val="0045260B"/>
    <w:rsid w:val="00452BB8"/>
    <w:rsid w:val="004534FA"/>
    <w:rsid w:val="00454A56"/>
    <w:rsid w:val="00455C21"/>
    <w:rsid w:val="00460531"/>
    <w:rsid w:val="0046196D"/>
    <w:rsid w:val="00462B25"/>
    <w:rsid w:val="004640C1"/>
    <w:rsid w:val="00464441"/>
    <w:rsid w:val="00464E09"/>
    <w:rsid w:val="00471946"/>
    <w:rsid w:val="004814EE"/>
    <w:rsid w:val="00483315"/>
    <w:rsid w:val="004948A3"/>
    <w:rsid w:val="00496454"/>
    <w:rsid w:val="004972B4"/>
    <w:rsid w:val="0049776B"/>
    <w:rsid w:val="004A010F"/>
    <w:rsid w:val="004A1E94"/>
    <w:rsid w:val="004A36AE"/>
    <w:rsid w:val="004A383A"/>
    <w:rsid w:val="004A4981"/>
    <w:rsid w:val="004A5376"/>
    <w:rsid w:val="004A57DB"/>
    <w:rsid w:val="004A6517"/>
    <w:rsid w:val="004A68AF"/>
    <w:rsid w:val="004A7D7E"/>
    <w:rsid w:val="004B0537"/>
    <w:rsid w:val="004B1332"/>
    <w:rsid w:val="004B1F18"/>
    <w:rsid w:val="004B4371"/>
    <w:rsid w:val="004B441A"/>
    <w:rsid w:val="004B49BA"/>
    <w:rsid w:val="004B7605"/>
    <w:rsid w:val="004C28AA"/>
    <w:rsid w:val="004C380F"/>
    <w:rsid w:val="004C4D2E"/>
    <w:rsid w:val="004C55B6"/>
    <w:rsid w:val="004D11B3"/>
    <w:rsid w:val="004D65F4"/>
    <w:rsid w:val="004D75D5"/>
    <w:rsid w:val="004D780A"/>
    <w:rsid w:val="004E1539"/>
    <w:rsid w:val="004E170F"/>
    <w:rsid w:val="004E1E11"/>
    <w:rsid w:val="004E2088"/>
    <w:rsid w:val="004E419C"/>
    <w:rsid w:val="004E42A0"/>
    <w:rsid w:val="004E4876"/>
    <w:rsid w:val="004E6506"/>
    <w:rsid w:val="004E76D1"/>
    <w:rsid w:val="004E7786"/>
    <w:rsid w:val="004F0D23"/>
    <w:rsid w:val="004F1B97"/>
    <w:rsid w:val="004F3534"/>
    <w:rsid w:val="004F4E62"/>
    <w:rsid w:val="00501303"/>
    <w:rsid w:val="00501762"/>
    <w:rsid w:val="00504761"/>
    <w:rsid w:val="0050500E"/>
    <w:rsid w:val="00505D61"/>
    <w:rsid w:val="00507DCF"/>
    <w:rsid w:val="00510D95"/>
    <w:rsid w:val="00510FAA"/>
    <w:rsid w:val="00511747"/>
    <w:rsid w:val="00512B3E"/>
    <w:rsid w:val="00520FE8"/>
    <w:rsid w:val="00521371"/>
    <w:rsid w:val="00521B49"/>
    <w:rsid w:val="005230D2"/>
    <w:rsid w:val="00523E02"/>
    <w:rsid w:val="00526A5F"/>
    <w:rsid w:val="00526F0E"/>
    <w:rsid w:val="005307A5"/>
    <w:rsid w:val="00531310"/>
    <w:rsid w:val="0053132A"/>
    <w:rsid w:val="005315B6"/>
    <w:rsid w:val="00534A62"/>
    <w:rsid w:val="00535AFD"/>
    <w:rsid w:val="0053703C"/>
    <w:rsid w:val="00540929"/>
    <w:rsid w:val="0054181E"/>
    <w:rsid w:val="005431E4"/>
    <w:rsid w:val="00543EF0"/>
    <w:rsid w:val="005442B5"/>
    <w:rsid w:val="00544DAB"/>
    <w:rsid w:val="00545C11"/>
    <w:rsid w:val="00546AF9"/>
    <w:rsid w:val="00547C3A"/>
    <w:rsid w:val="0055435D"/>
    <w:rsid w:val="0055693E"/>
    <w:rsid w:val="00556DE1"/>
    <w:rsid w:val="00560B54"/>
    <w:rsid w:val="0056149F"/>
    <w:rsid w:val="00561C6E"/>
    <w:rsid w:val="00561E3A"/>
    <w:rsid w:val="00563383"/>
    <w:rsid w:val="0056642B"/>
    <w:rsid w:val="005664C2"/>
    <w:rsid w:val="00566F28"/>
    <w:rsid w:val="0057237E"/>
    <w:rsid w:val="0057327B"/>
    <w:rsid w:val="00573463"/>
    <w:rsid w:val="00573E10"/>
    <w:rsid w:val="0057576E"/>
    <w:rsid w:val="00575869"/>
    <w:rsid w:val="00577ECB"/>
    <w:rsid w:val="00577FFA"/>
    <w:rsid w:val="0058149C"/>
    <w:rsid w:val="00582395"/>
    <w:rsid w:val="00582453"/>
    <w:rsid w:val="00582F95"/>
    <w:rsid w:val="0058332C"/>
    <w:rsid w:val="00584B8C"/>
    <w:rsid w:val="0058687A"/>
    <w:rsid w:val="005879D1"/>
    <w:rsid w:val="00587F35"/>
    <w:rsid w:val="00587F68"/>
    <w:rsid w:val="0059433E"/>
    <w:rsid w:val="00595E23"/>
    <w:rsid w:val="00596F2C"/>
    <w:rsid w:val="0059795A"/>
    <w:rsid w:val="005A0D00"/>
    <w:rsid w:val="005A215C"/>
    <w:rsid w:val="005A2D64"/>
    <w:rsid w:val="005A31BE"/>
    <w:rsid w:val="005A4B20"/>
    <w:rsid w:val="005A69CA"/>
    <w:rsid w:val="005A6E28"/>
    <w:rsid w:val="005A7D87"/>
    <w:rsid w:val="005B0282"/>
    <w:rsid w:val="005B0D2C"/>
    <w:rsid w:val="005B2051"/>
    <w:rsid w:val="005B2CB8"/>
    <w:rsid w:val="005B319E"/>
    <w:rsid w:val="005B4857"/>
    <w:rsid w:val="005C19F6"/>
    <w:rsid w:val="005C4260"/>
    <w:rsid w:val="005C53A8"/>
    <w:rsid w:val="005C7EA7"/>
    <w:rsid w:val="005D13CC"/>
    <w:rsid w:val="005D1FF8"/>
    <w:rsid w:val="005D3BA9"/>
    <w:rsid w:val="005D5A13"/>
    <w:rsid w:val="005D651D"/>
    <w:rsid w:val="005E3AF0"/>
    <w:rsid w:val="005E3C18"/>
    <w:rsid w:val="005E5AF5"/>
    <w:rsid w:val="005E617A"/>
    <w:rsid w:val="005E69C2"/>
    <w:rsid w:val="005F0454"/>
    <w:rsid w:val="005F4907"/>
    <w:rsid w:val="005F496A"/>
    <w:rsid w:val="005F7132"/>
    <w:rsid w:val="0060072E"/>
    <w:rsid w:val="006007B3"/>
    <w:rsid w:val="00600C9C"/>
    <w:rsid w:val="0060581D"/>
    <w:rsid w:val="006069F3"/>
    <w:rsid w:val="00612345"/>
    <w:rsid w:val="00614572"/>
    <w:rsid w:val="00615EA1"/>
    <w:rsid w:val="00617B6A"/>
    <w:rsid w:val="00622533"/>
    <w:rsid w:val="00622699"/>
    <w:rsid w:val="0062361A"/>
    <w:rsid w:val="00627128"/>
    <w:rsid w:val="00630529"/>
    <w:rsid w:val="00630AAC"/>
    <w:rsid w:val="006314C2"/>
    <w:rsid w:val="00631C5A"/>
    <w:rsid w:val="00635290"/>
    <w:rsid w:val="006360FE"/>
    <w:rsid w:val="0063610A"/>
    <w:rsid w:val="006367D4"/>
    <w:rsid w:val="006372C6"/>
    <w:rsid w:val="006409A7"/>
    <w:rsid w:val="00641966"/>
    <w:rsid w:val="00642A9D"/>
    <w:rsid w:val="00643880"/>
    <w:rsid w:val="00644CAA"/>
    <w:rsid w:val="0064722F"/>
    <w:rsid w:val="00647296"/>
    <w:rsid w:val="00647D58"/>
    <w:rsid w:val="00650391"/>
    <w:rsid w:val="00651875"/>
    <w:rsid w:val="00652149"/>
    <w:rsid w:val="00652A1B"/>
    <w:rsid w:val="00652A7E"/>
    <w:rsid w:val="00657AD0"/>
    <w:rsid w:val="00661E10"/>
    <w:rsid w:val="0066511C"/>
    <w:rsid w:val="00665BBC"/>
    <w:rsid w:val="0066681E"/>
    <w:rsid w:val="00671508"/>
    <w:rsid w:val="006728AB"/>
    <w:rsid w:val="00674656"/>
    <w:rsid w:val="00674A1B"/>
    <w:rsid w:val="00675171"/>
    <w:rsid w:val="00677777"/>
    <w:rsid w:val="006804BB"/>
    <w:rsid w:val="00682D47"/>
    <w:rsid w:val="0068600F"/>
    <w:rsid w:val="00690B8C"/>
    <w:rsid w:val="0069349B"/>
    <w:rsid w:val="00694313"/>
    <w:rsid w:val="00697DA0"/>
    <w:rsid w:val="006A4875"/>
    <w:rsid w:val="006A4AC4"/>
    <w:rsid w:val="006B014A"/>
    <w:rsid w:val="006B1566"/>
    <w:rsid w:val="006B2DDD"/>
    <w:rsid w:val="006B36B5"/>
    <w:rsid w:val="006B36FC"/>
    <w:rsid w:val="006B5580"/>
    <w:rsid w:val="006B6739"/>
    <w:rsid w:val="006B68DE"/>
    <w:rsid w:val="006B7027"/>
    <w:rsid w:val="006B76F1"/>
    <w:rsid w:val="006C059C"/>
    <w:rsid w:val="006C067A"/>
    <w:rsid w:val="006C06C9"/>
    <w:rsid w:val="006C08F0"/>
    <w:rsid w:val="006C1460"/>
    <w:rsid w:val="006C214D"/>
    <w:rsid w:val="006C29C7"/>
    <w:rsid w:val="006C38F9"/>
    <w:rsid w:val="006C4A2A"/>
    <w:rsid w:val="006C4E5B"/>
    <w:rsid w:val="006C551A"/>
    <w:rsid w:val="006C70F0"/>
    <w:rsid w:val="006C7CC8"/>
    <w:rsid w:val="006D3668"/>
    <w:rsid w:val="006D5AF8"/>
    <w:rsid w:val="006E249F"/>
    <w:rsid w:val="006E344D"/>
    <w:rsid w:val="006E51CF"/>
    <w:rsid w:val="006E5FE5"/>
    <w:rsid w:val="006E65C8"/>
    <w:rsid w:val="006F1C1C"/>
    <w:rsid w:val="006F2A4E"/>
    <w:rsid w:val="006F43E1"/>
    <w:rsid w:val="006F6DB0"/>
    <w:rsid w:val="006F7BBE"/>
    <w:rsid w:val="007007DA"/>
    <w:rsid w:val="0070157E"/>
    <w:rsid w:val="00703805"/>
    <w:rsid w:val="00704AEC"/>
    <w:rsid w:val="007059ED"/>
    <w:rsid w:val="00706514"/>
    <w:rsid w:val="00706A17"/>
    <w:rsid w:val="007076D2"/>
    <w:rsid w:val="00707E51"/>
    <w:rsid w:val="00711806"/>
    <w:rsid w:val="00711C48"/>
    <w:rsid w:val="00711DFE"/>
    <w:rsid w:val="00712744"/>
    <w:rsid w:val="007137F1"/>
    <w:rsid w:val="007138FC"/>
    <w:rsid w:val="007156D2"/>
    <w:rsid w:val="00717CDB"/>
    <w:rsid w:val="0072037A"/>
    <w:rsid w:val="00721DA0"/>
    <w:rsid w:val="00722364"/>
    <w:rsid w:val="00725381"/>
    <w:rsid w:val="0072662D"/>
    <w:rsid w:val="007277B0"/>
    <w:rsid w:val="00727EAB"/>
    <w:rsid w:val="007306DD"/>
    <w:rsid w:val="00731897"/>
    <w:rsid w:val="0073306F"/>
    <w:rsid w:val="00734DE1"/>
    <w:rsid w:val="00736681"/>
    <w:rsid w:val="0074166A"/>
    <w:rsid w:val="00741C4B"/>
    <w:rsid w:val="0074370A"/>
    <w:rsid w:val="0074426E"/>
    <w:rsid w:val="0074546D"/>
    <w:rsid w:val="00746398"/>
    <w:rsid w:val="0075151D"/>
    <w:rsid w:val="00754316"/>
    <w:rsid w:val="00754C0A"/>
    <w:rsid w:val="0075583A"/>
    <w:rsid w:val="00757B07"/>
    <w:rsid w:val="00757C4E"/>
    <w:rsid w:val="00760768"/>
    <w:rsid w:val="0076202B"/>
    <w:rsid w:val="00762219"/>
    <w:rsid w:val="00763863"/>
    <w:rsid w:val="00763FE6"/>
    <w:rsid w:val="007643EE"/>
    <w:rsid w:val="007658ED"/>
    <w:rsid w:val="00767044"/>
    <w:rsid w:val="0076772C"/>
    <w:rsid w:val="007729C6"/>
    <w:rsid w:val="00772B13"/>
    <w:rsid w:val="00773822"/>
    <w:rsid w:val="00775D8E"/>
    <w:rsid w:val="00784173"/>
    <w:rsid w:val="00784793"/>
    <w:rsid w:val="007856A2"/>
    <w:rsid w:val="00787D19"/>
    <w:rsid w:val="00787F29"/>
    <w:rsid w:val="007911C0"/>
    <w:rsid w:val="00793FDF"/>
    <w:rsid w:val="00794B68"/>
    <w:rsid w:val="007954DC"/>
    <w:rsid w:val="00796034"/>
    <w:rsid w:val="00796F49"/>
    <w:rsid w:val="007A0E43"/>
    <w:rsid w:val="007A1915"/>
    <w:rsid w:val="007A2281"/>
    <w:rsid w:val="007A2460"/>
    <w:rsid w:val="007A5319"/>
    <w:rsid w:val="007A5EAB"/>
    <w:rsid w:val="007A6417"/>
    <w:rsid w:val="007A7EF1"/>
    <w:rsid w:val="007B2335"/>
    <w:rsid w:val="007B23B1"/>
    <w:rsid w:val="007B2A84"/>
    <w:rsid w:val="007B2F31"/>
    <w:rsid w:val="007B60D5"/>
    <w:rsid w:val="007C389A"/>
    <w:rsid w:val="007C5747"/>
    <w:rsid w:val="007C5ABC"/>
    <w:rsid w:val="007C66D2"/>
    <w:rsid w:val="007D68A5"/>
    <w:rsid w:val="007D78E8"/>
    <w:rsid w:val="007D7C72"/>
    <w:rsid w:val="007E170C"/>
    <w:rsid w:val="007E2464"/>
    <w:rsid w:val="007E2857"/>
    <w:rsid w:val="007E5766"/>
    <w:rsid w:val="007E66CA"/>
    <w:rsid w:val="007F0D8B"/>
    <w:rsid w:val="007F3BED"/>
    <w:rsid w:val="007F4A6C"/>
    <w:rsid w:val="007F5620"/>
    <w:rsid w:val="007F659E"/>
    <w:rsid w:val="007F6C55"/>
    <w:rsid w:val="007F741A"/>
    <w:rsid w:val="00800372"/>
    <w:rsid w:val="008029D1"/>
    <w:rsid w:val="00803C6A"/>
    <w:rsid w:val="00804E94"/>
    <w:rsid w:val="008060F8"/>
    <w:rsid w:val="0080672E"/>
    <w:rsid w:val="008068DA"/>
    <w:rsid w:val="008068EC"/>
    <w:rsid w:val="00806F37"/>
    <w:rsid w:val="008104C1"/>
    <w:rsid w:val="008108D3"/>
    <w:rsid w:val="00813D04"/>
    <w:rsid w:val="008140A8"/>
    <w:rsid w:val="0081414C"/>
    <w:rsid w:val="00820914"/>
    <w:rsid w:val="008247D9"/>
    <w:rsid w:val="00826C3A"/>
    <w:rsid w:val="00834286"/>
    <w:rsid w:val="00837F36"/>
    <w:rsid w:val="00837F86"/>
    <w:rsid w:val="00840834"/>
    <w:rsid w:val="00843C8F"/>
    <w:rsid w:val="00846F1B"/>
    <w:rsid w:val="00850C31"/>
    <w:rsid w:val="00851279"/>
    <w:rsid w:val="008517A8"/>
    <w:rsid w:val="00851933"/>
    <w:rsid w:val="00852C4C"/>
    <w:rsid w:val="0085318D"/>
    <w:rsid w:val="00854756"/>
    <w:rsid w:val="00854939"/>
    <w:rsid w:val="0085611C"/>
    <w:rsid w:val="00857654"/>
    <w:rsid w:val="00857B62"/>
    <w:rsid w:val="00857DAE"/>
    <w:rsid w:val="008606B9"/>
    <w:rsid w:val="00860FFC"/>
    <w:rsid w:val="00861A5D"/>
    <w:rsid w:val="00861D9E"/>
    <w:rsid w:val="00862930"/>
    <w:rsid w:val="00862EBB"/>
    <w:rsid w:val="008631DD"/>
    <w:rsid w:val="00865ABB"/>
    <w:rsid w:val="00865FCD"/>
    <w:rsid w:val="008675CD"/>
    <w:rsid w:val="008703DB"/>
    <w:rsid w:val="00870A04"/>
    <w:rsid w:val="00870D07"/>
    <w:rsid w:val="00871A8D"/>
    <w:rsid w:val="008729A4"/>
    <w:rsid w:val="00872CE4"/>
    <w:rsid w:val="00874C29"/>
    <w:rsid w:val="00875212"/>
    <w:rsid w:val="00875534"/>
    <w:rsid w:val="00876CB5"/>
    <w:rsid w:val="00877E4D"/>
    <w:rsid w:val="0088119D"/>
    <w:rsid w:val="00881663"/>
    <w:rsid w:val="00882E04"/>
    <w:rsid w:val="00882EB5"/>
    <w:rsid w:val="008836C9"/>
    <w:rsid w:val="00884BA6"/>
    <w:rsid w:val="008858F6"/>
    <w:rsid w:val="00886A11"/>
    <w:rsid w:val="00890A9E"/>
    <w:rsid w:val="00890CF1"/>
    <w:rsid w:val="00891481"/>
    <w:rsid w:val="00891C8E"/>
    <w:rsid w:val="00892CDB"/>
    <w:rsid w:val="00892D76"/>
    <w:rsid w:val="00892DE8"/>
    <w:rsid w:val="008931EB"/>
    <w:rsid w:val="008946FE"/>
    <w:rsid w:val="00894F41"/>
    <w:rsid w:val="008953BF"/>
    <w:rsid w:val="008959F0"/>
    <w:rsid w:val="00895C8B"/>
    <w:rsid w:val="00896271"/>
    <w:rsid w:val="00896F7A"/>
    <w:rsid w:val="008A046E"/>
    <w:rsid w:val="008A6628"/>
    <w:rsid w:val="008B1C0E"/>
    <w:rsid w:val="008B1D39"/>
    <w:rsid w:val="008B2BE1"/>
    <w:rsid w:val="008B39D9"/>
    <w:rsid w:val="008B3F0E"/>
    <w:rsid w:val="008B4BF9"/>
    <w:rsid w:val="008B5573"/>
    <w:rsid w:val="008C32AB"/>
    <w:rsid w:val="008C35FD"/>
    <w:rsid w:val="008C3A97"/>
    <w:rsid w:val="008C6135"/>
    <w:rsid w:val="008C7706"/>
    <w:rsid w:val="008C7741"/>
    <w:rsid w:val="008C7BEB"/>
    <w:rsid w:val="008D39FF"/>
    <w:rsid w:val="008D5387"/>
    <w:rsid w:val="008D6647"/>
    <w:rsid w:val="008D7578"/>
    <w:rsid w:val="008E200B"/>
    <w:rsid w:val="008E2341"/>
    <w:rsid w:val="008E6991"/>
    <w:rsid w:val="008E7014"/>
    <w:rsid w:val="008F0B40"/>
    <w:rsid w:val="008F0CF1"/>
    <w:rsid w:val="008F1D6D"/>
    <w:rsid w:val="008F45EF"/>
    <w:rsid w:val="008F6AA2"/>
    <w:rsid w:val="008F71D3"/>
    <w:rsid w:val="00900116"/>
    <w:rsid w:val="009015ED"/>
    <w:rsid w:val="00901EC4"/>
    <w:rsid w:val="00901FC1"/>
    <w:rsid w:val="00904E9A"/>
    <w:rsid w:val="00906288"/>
    <w:rsid w:val="00907356"/>
    <w:rsid w:val="00907869"/>
    <w:rsid w:val="0090793B"/>
    <w:rsid w:val="00910795"/>
    <w:rsid w:val="0091080B"/>
    <w:rsid w:val="00910B36"/>
    <w:rsid w:val="0091635D"/>
    <w:rsid w:val="00916987"/>
    <w:rsid w:val="0091776B"/>
    <w:rsid w:val="00922592"/>
    <w:rsid w:val="00922911"/>
    <w:rsid w:val="0092308E"/>
    <w:rsid w:val="00923995"/>
    <w:rsid w:val="00926EE7"/>
    <w:rsid w:val="009306C6"/>
    <w:rsid w:val="00930E5F"/>
    <w:rsid w:val="00931F9B"/>
    <w:rsid w:val="009324A1"/>
    <w:rsid w:val="009324FE"/>
    <w:rsid w:val="009342AD"/>
    <w:rsid w:val="009354D8"/>
    <w:rsid w:val="009366A1"/>
    <w:rsid w:val="009401BF"/>
    <w:rsid w:val="0094041C"/>
    <w:rsid w:val="0094055B"/>
    <w:rsid w:val="00941545"/>
    <w:rsid w:val="00941F19"/>
    <w:rsid w:val="00942729"/>
    <w:rsid w:val="009437A7"/>
    <w:rsid w:val="00945DCD"/>
    <w:rsid w:val="00945FE5"/>
    <w:rsid w:val="00946789"/>
    <w:rsid w:val="00946F1D"/>
    <w:rsid w:val="0094755C"/>
    <w:rsid w:val="0095114F"/>
    <w:rsid w:val="00954FDC"/>
    <w:rsid w:val="00955047"/>
    <w:rsid w:val="00957E0C"/>
    <w:rsid w:val="009613A3"/>
    <w:rsid w:val="0096147D"/>
    <w:rsid w:val="00964D3A"/>
    <w:rsid w:val="00965552"/>
    <w:rsid w:val="0096574A"/>
    <w:rsid w:val="0096617A"/>
    <w:rsid w:val="00966734"/>
    <w:rsid w:val="00966D0A"/>
    <w:rsid w:val="00966E63"/>
    <w:rsid w:val="00966EE6"/>
    <w:rsid w:val="0097008C"/>
    <w:rsid w:val="009700E7"/>
    <w:rsid w:val="00973457"/>
    <w:rsid w:val="00975577"/>
    <w:rsid w:val="00975775"/>
    <w:rsid w:val="0097689B"/>
    <w:rsid w:val="0097728B"/>
    <w:rsid w:val="00980CE0"/>
    <w:rsid w:val="009810CE"/>
    <w:rsid w:val="0098149F"/>
    <w:rsid w:val="00981669"/>
    <w:rsid w:val="00981749"/>
    <w:rsid w:val="00982B86"/>
    <w:rsid w:val="009840B0"/>
    <w:rsid w:val="009869E5"/>
    <w:rsid w:val="0098708B"/>
    <w:rsid w:val="009875C2"/>
    <w:rsid w:val="00990636"/>
    <w:rsid w:val="009930AE"/>
    <w:rsid w:val="009937B6"/>
    <w:rsid w:val="0099499D"/>
    <w:rsid w:val="009953B0"/>
    <w:rsid w:val="00995F93"/>
    <w:rsid w:val="00996993"/>
    <w:rsid w:val="00996DE1"/>
    <w:rsid w:val="009A0191"/>
    <w:rsid w:val="009A0B72"/>
    <w:rsid w:val="009A10FB"/>
    <w:rsid w:val="009A19B4"/>
    <w:rsid w:val="009A1D1F"/>
    <w:rsid w:val="009A26FE"/>
    <w:rsid w:val="009A32F3"/>
    <w:rsid w:val="009A3390"/>
    <w:rsid w:val="009A3A2D"/>
    <w:rsid w:val="009A3F97"/>
    <w:rsid w:val="009A456E"/>
    <w:rsid w:val="009A6799"/>
    <w:rsid w:val="009A693B"/>
    <w:rsid w:val="009A71B6"/>
    <w:rsid w:val="009A7284"/>
    <w:rsid w:val="009A749E"/>
    <w:rsid w:val="009B018E"/>
    <w:rsid w:val="009B074B"/>
    <w:rsid w:val="009B090B"/>
    <w:rsid w:val="009B0A3E"/>
    <w:rsid w:val="009B460E"/>
    <w:rsid w:val="009B4DB7"/>
    <w:rsid w:val="009B5730"/>
    <w:rsid w:val="009B6DB8"/>
    <w:rsid w:val="009B7DCA"/>
    <w:rsid w:val="009C0761"/>
    <w:rsid w:val="009C110A"/>
    <w:rsid w:val="009C4888"/>
    <w:rsid w:val="009C5FF2"/>
    <w:rsid w:val="009C747C"/>
    <w:rsid w:val="009C7FD8"/>
    <w:rsid w:val="009D03AC"/>
    <w:rsid w:val="009D05BF"/>
    <w:rsid w:val="009D0798"/>
    <w:rsid w:val="009D19E0"/>
    <w:rsid w:val="009D2432"/>
    <w:rsid w:val="009D33DB"/>
    <w:rsid w:val="009D5AE6"/>
    <w:rsid w:val="009E0142"/>
    <w:rsid w:val="009E0C46"/>
    <w:rsid w:val="009E6131"/>
    <w:rsid w:val="009E75F9"/>
    <w:rsid w:val="009E77FC"/>
    <w:rsid w:val="009F064F"/>
    <w:rsid w:val="009F12E3"/>
    <w:rsid w:val="009F15EF"/>
    <w:rsid w:val="009F24D1"/>
    <w:rsid w:val="009F266C"/>
    <w:rsid w:val="009F31AC"/>
    <w:rsid w:val="009F4C1B"/>
    <w:rsid w:val="009F5465"/>
    <w:rsid w:val="009F5DA5"/>
    <w:rsid w:val="009F69E1"/>
    <w:rsid w:val="009F7205"/>
    <w:rsid w:val="00A00684"/>
    <w:rsid w:val="00A01EFD"/>
    <w:rsid w:val="00A02E4D"/>
    <w:rsid w:val="00A03AC7"/>
    <w:rsid w:val="00A04B51"/>
    <w:rsid w:val="00A0509D"/>
    <w:rsid w:val="00A068B7"/>
    <w:rsid w:val="00A106FA"/>
    <w:rsid w:val="00A112E7"/>
    <w:rsid w:val="00A1183F"/>
    <w:rsid w:val="00A15101"/>
    <w:rsid w:val="00A15172"/>
    <w:rsid w:val="00A15738"/>
    <w:rsid w:val="00A17158"/>
    <w:rsid w:val="00A20856"/>
    <w:rsid w:val="00A2630C"/>
    <w:rsid w:val="00A27445"/>
    <w:rsid w:val="00A320D2"/>
    <w:rsid w:val="00A33300"/>
    <w:rsid w:val="00A35333"/>
    <w:rsid w:val="00A36250"/>
    <w:rsid w:val="00A36BD6"/>
    <w:rsid w:val="00A377F1"/>
    <w:rsid w:val="00A41CA5"/>
    <w:rsid w:val="00A42164"/>
    <w:rsid w:val="00A45D00"/>
    <w:rsid w:val="00A46BC3"/>
    <w:rsid w:val="00A50020"/>
    <w:rsid w:val="00A503F2"/>
    <w:rsid w:val="00A5088A"/>
    <w:rsid w:val="00A5113A"/>
    <w:rsid w:val="00A53297"/>
    <w:rsid w:val="00A5392E"/>
    <w:rsid w:val="00A5556E"/>
    <w:rsid w:val="00A56F7A"/>
    <w:rsid w:val="00A57C84"/>
    <w:rsid w:val="00A61FBA"/>
    <w:rsid w:val="00A63E68"/>
    <w:rsid w:val="00A648D2"/>
    <w:rsid w:val="00A648FB"/>
    <w:rsid w:val="00A665B8"/>
    <w:rsid w:val="00A6778D"/>
    <w:rsid w:val="00A677BE"/>
    <w:rsid w:val="00A72586"/>
    <w:rsid w:val="00A72A06"/>
    <w:rsid w:val="00A7351F"/>
    <w:rsid w:val="00A73D9B"/>
    <w:rsid w:val="00A7407E"/>
    <w:rsid w:val="00A74E2E"/>
    <w:rsid w:val="00A766B8"/>
    <w:rsid w:val="00A77E23"/>
    <w:rsid w:val="00A836DB"/>
    <w:rsid w:val="00A83CBD"/>
    <w:rsid w:val="00A83FE0"/>
    <w:rsid w:val="00A841E3"/>
    <w:rsid w:val="00A84A76"/>
    <w:rsid w:val="00A8579A"/>
    <w:rsid w:val="00A8620D"/>
    <w:rsid w:val="00A867EA"/>
    <w:rsid w:val="00A920ED"/>
    <w:rsid w:val="00A92AA7"/>
    <w:rsid w:val="00A92ACF"/>
    <w:rsid w:val="00A9412E"/>
    <w:rsid w:val="00A96C5C"/>
    <w:rsid w:val="00A96EED"/>
    <w:rsid w:val="00A971EB"/>
    <w:rsid w:val="00A97447"/>
    <w:rsid w:val="00AA0C7F"/>
    <w:rsid w:val="00AA0E37"/>
    <w:rsid w:val="00AA1E25"/>
    <w:rsid w:val="00AA2184"/>
    <w:rsid w:val="00AA2BDB"/>
    <w:rsid w:val="00AA65EF"/>
    <w:rsid w:val="00AB07FC"/>
    <w:rsid w:val="00AB0BCB"/>
    <w:rsid w:val="00AB3FD0"/>
    <w:rsid w:val="00AB4874"/>
    <w:rsid w:val="00AB6D21"/>
    <w:rsid w:val="00AB706C"/>
    <w:rsid w:val="00AB7635"/>
    <w:rsid w:val="00AB7D40"/>
    <w:rsid w:val="00AC0B44"/>
    <w:rsid w:val="00AC169A"/>
    <w:rsid w:val="00AC17BD"/>
    <w:rsid w:val="00AC2B08"/>
    <w:rsid w:val="00AC2D29"/>
    <w:rsid w:val="00AC3DDA"/>
    <w:rsid w:val="00AD0858"/>
    <w:rsid w:val="00AD159E"/>
    <w:rsid w:val="00AD3423"/>
    <w:rsid w:val="00AD3FA3"/>
    <w:rsid w:val="00AD5B07"/>
    <w:rsid w:val="00AE1905"/>
    <w:rsid w:val="00AE2804"/>
    <w:rsid w:val="00AE2F7F"/>
    <w:rsid w:val="00AE4760"/>
    <w:rsid w:val="00AE5366"/>
    <w:rsid w:val="00AE5935"/>
    <w:rsid w:val="00AE6558"/>
    <w:rsid w:val="00AE677E"/>
    <w:rsid w:val="00AF0B18"/>
    <w:rsid w:val="00AF1261"/>
    <w:rsid w:val="00AF27EF"/>
    <w:rsid w:val="00AF35AE"/>
    <w:rsid w:val="00AF4288"/>
    <w:rsid w:val="00AF4321"/>
    <w:rsid w:val="00AF727F"/>
    <w:rsid w:val="00AF7858"/>
    <w:rsid w:val="00B00632"/>
    <w:rsid w:val="00B02D93"/>
    <w:rsid w:val="00B03C70"/>
    <w:rsid w:val="00B0493F"/>
    <w:rsid w:val="00B05F78"/>
    <w:rsid w:val="00B11638"/>
    <w:rsid w:val="00B14B7E"/>
    <w:rsid w:val="00B15EDE"/>
    <w:rsid w:val="00B165AD"/>
    <w:rsid w:val="00B17992"/>
    <w:rsid w:val="00B20979"/>
    <w:rsid w:val="00B250E9"/>
    <w:rsid w:val="00B253DA"/>
    <w:rsid w:val="00B25BF9"/>
    <w:rsid w:val="00B26486"/>
    <w:rsid w:val="00B3066F"/>
    <w:rsid w:val="00B31413"/>
    <w:rsid w:val="00B318DD"/>
    <w:rsid w:val="00B31F28"/>
    <w:rsid w:val="00B32FDE"/>
    <w:rsid w:val="00B3485C"/>
    <w:rsid w:val="00B3551C"/>
    <w:rsid w:val="00B36091"/>
    <w:rsid w:val="00B3642B"/>
    <w:rsid w:val="00B4100F"/>
    <w:rsid w:val="00B4145E"/>
    <w:rsid w:val="00B41BA7"/>
    <w:rsid w:val="00B42098"/>
    <w:rsid w:val="00B44ADD"/>
    <w:rsid w:val="00B44C76"/>
    <w:rsid w:val="00B455A2"/>
    <w:rsid w:val="00B52440"/>
    <w:rsid w:val="00B530FB"/>
    <w:rsid w:val="00B55DD4"/>
    <w:rsid w:val="00B6041A"/>
    <w:rsid w:val="00B61231"/>
    <w:rsid w:val="00B62621"/>
    <w:rsid w:val="00B628A3"/>
    <w:rsid w:val="00B650BB"/>
    <w:rsid w:val="00B65DD7"/>
    <w:rsid w:val="00B66D36"/>
    <w:rsid w:val="00B70BA9"/>
    <w:rsid w:val="00B71045"/>
    <w:rsid w:val="00B716F5"/>
    <w:rsid w:val="00B73B6C"/>
    <w:rsid w:val="00B76B5B"/>
    <w:rsid w:val="00B77E95"/>
    <w:rsid w:val="00B81EE5"/>
    <w:rsid w:val="00B836E8"/>
    <w:rsid w:val="00B837F7"/>
    <w:rsid w:val="00B840BB"/>
    <w:rsid w:val="00B841A4"/>
    <w:rsid w:val="00B871DD"/>
    <w:rsid w:val="00B87871"/>
    <w:rsid w:val="00B904BC"/>
    <w:rsid w:val="00B904BD"/>
    <w:rsid w:val="00B904C6"/>
    <w:rsid w:val="00B94F46"/>
    <w:rsid w:val="00B95D06"/>
    <w:rsid w:val="00B97024"/>
    <w:rsid w:val="00BA13CF"/>
    <w:rsid w:val="00BA1954"/>
    <w:rsid w:val="00BA3109"/>
    <w:rsid w:val="00BA3821"/>
    <w:rsid w:val="00BA4ED7"/>
    <w:rsid w:val="00BA5D51"/>
    <w:rsid w:val="00BA6DE7"/>
    <w:rsid w:val="00BA7063"/>
    <w:rsid w:val="00BB33FE"/>
    <w:rsid w:val="00BB399B"/>
    <w:rsid w:val="00BB546D"/>
    <w:rsid w:val="00BB57F2"/>
    <w:rsid w:val="00BB5C5F"/>
    <w:rsid w:val="00BB612A"/>
    <w:rsid w:val="00BB7BE1"/>
    <w:rsid w:val="00BC31ED"/>
    <w:rsid w:val="00BC378F"/>
    <w:rsid w:val="00BC679D"/>
    <w:rsid w:val="00BC6F1B"/>
    <w:rsid w:val="00BC7668"/>
    <w:rsid w:val="00BC7FCC"/>
    <w:rsid w:val="00BD1FA5"/>
    <w:rsid w:val="00BD2812"/>
    <w:rsid w:val="00BD2AA1"/>
    <w:rsid w:val="00BD4F83"/>
    <w:rsid w:val="00BD6825"/>
    <w:rsid w:val="00BD68F5"/>
    <w:rsid w:val="00BD6949"/>
    <w:rsid w:val="00BE1B0A"/>
    <w:rsid w:val="00BE2053"/>
    <w:rsid w:val="00BE4B8D"/>
    <w:rsid w:val="00BE5BB0"/>
    <w:rsid w:val="00BE5EB9"/>
    <w:rsid w:val="00BE6BAD"/>
    <w:rsid w:val="00BE7350"/>
    <w:rsid w:val="00BF07AF"/>
    <w:rsid w:val="00BF28EC"/>
    <w:rsid w:val="00BF3023"/>
    <w:rsid w:val="00BF30DF"/>
    <w:rsid w:val="00BF3C75"/>
    <w:rsid w:val="00BF4D37"/>
    <w:rsid w:val="00BF4FA6"/>
    <w:rsid w:val="00BF51F6"/>
    <w:rsid w:val="00BF67A4"/>
    <w:rsid w:val="00BF736A"/>
    <w:rsid w:val="00BF7C79"/>
    <w:rsid w:val="00BF7E00"/>
    <w:rsid w:val="00C021C5"/>
    <w:rsid w:val="00C024DE"/>
    <w:rsid w:val="00C02D9A"/>
    <w:rsid w:val="00C0323D"/>
    <w:rsid w:val="00C0414C"/>
    <w:rsid w:val="00C05A34"/>
    <w:rsid w:val="00C062CE"/>
    <w:rsid w:val="00C12240"/>
    <w:rsid w:val="00C12A4C"/>
    <w:rsid w:val="00C13F57"/>
    <w:rsid w:val="00C21672"/>
    <w:rsid w:val="00C228C9"/>
    <w:rsid w:val="00C23951"/>
    <w:rsid w:val="00C2434C"/>
    <w:rsid w:val="00C24A6F"/>
    <w:rsid w:val="00C24B25"/>
    <w:rsid w:val="00C24B71"/>
    <w:rsid w:val="00C25400"/>
    <w:rsid w:val="00C32B90"/>
    <w:rsid w:val="00C34FE2"/>
    <w:rsid w:val="00C355E3"/>
    <w:rsid w:val="00C35B06"/>
    <w:rsid w:val="00C36578"/>
    <w:rsid w:val="00C421E7"/>
    <w:rsid w:val="00C45175"/>
    <w:rsid w:val="00C45C27"/>
    <w:rsid w:val="00C466A2"/>
    <w:rsid w:val="00C479FE"/>
    <w:rsid w:val="00C47EB3"/>
    <w:rsid w:val="00C50B7E"/>
    <w:rsid w:val="00C51716"/>
    <w:rsid w:val="00C53ADD"/>
    <w:rsid w:val="00C56FCE"/>
    <w:rsid w:val="00C57F31"/>
    <w:rsid w:val="00C60BE2"/>
    <w:rsid w:val="00C62E07"/>
    <w:rsid w:val="00C630C0"/>
    <w:rsid w:val="00C6630D"/>
    <w:rsid w:val="00C70585"/>
    <w:rsid w:val="00C70E6B"/>
    <w:rsid w:val="00C70F4F"/>
    <w:rsid w:val="00C735C8"/>
    <w:rsid w:val="00C81A50"/>
    <w:rsid w:val="00C8225B"/>
    <w:rsid w:val="00C8247E"/>
    <w:rsid w:val="00C824BC"/>
    <w:rsid w:val="00C82F49"/>
    <w:rsid w:val="00C840F2"/>
    <w:rsid w:val="00C90624"/>
    <w:rsid w:val="00C9122B"/>
    <w:rsid w:val="00C91710"/>
    <w:rsid w:val="00C91CF5"/>
    <w:rsid w:val="00C92046"/>
    <w:rsid w:val="00C9347A"/>
    <w:rsid w:val="00C93969"/>
    <w:rsid w:val="00C954F2"/>
    <w:rsid w:val="00C9683B"/>
    <w:rsid w:val="00C97CBA"/>
    <w:rsid w:val="00CA012F"/>
    <w:rsid w:val="00CA03A3"/>
    <w:rsid w:val="00CA03E4"/>
    <w:rsid w:val="00CA0EF6"/>
    <w:rsid w:val="00CA2C2E"/>
    <w:rsid w:val="00CA31DB"/>
    <w:rsid w:val="00CA368F"/>
    <w:rsid w:val="00CA5325"/>
    <w:rsid w:val="00CA54C7"/>
    <w:rsid w:val="00CA7EEA"/>
    <w:rsid w:val="00CB0DB8"/>
    <w:rsid w:val="00CB3D54"/>
    <w:rsid w:val="00CB5E73"/>
    <w:rsid w:val="00CB6363"/>
    <w:rsid w:val="00CB6B10"/>
    <w:rsid w:val="00CB71A5"/>
    <w:rsid w:val="00CB78B8"/>
    <w:rsid w:val="00CC09E1"/>
    <w:rsid w:val="00CC22E5"/>
    <w:rsid w:val="00CC2BDA"/>
    <w:rsid w:val="00CC41C9"/>
    <w:rsid w:val="00CC7637"/>
    <w:rsid w:val="00CD1F7C"/>
    <w:rsid w:val="00CD22B4"/>
    <w:rsid w:val="00CD22FD"/>
    <w:rsid w:val="00CD33AB"/>
    <w:rsid w:val="00CD4714"/>
    <w:rsid w:val="00CD5DA8"/>
    <w:rsid w:val="00CD5E71"/>
    <w:rsid w:val="00CD7088"/>
    <w:rsid w:val="00CD73CF"/>
    <w:rsid w:val="00CD7AEF"/>
    <w:rsid w:val="00CE0520"/>
    <w:rsid w:val="00CE263C"/>
    <w:rsid w:val="00CE3DCA"/>
    <w:rsid w:val="00CE4795"/>
    <w:rsid w:val="00CE63BA"/>
    <w:rsid w:val="00CE7441"/>
    <w:rsid w:val="00CE7ECF"/>
    <w:rsid w:val="00CF172B"/>
    <w:rsid w:val="00CF1C70"/>
    <w:rsid w:val="00CF291C"/>
    <w:rsid w:val="00CF4B54"/>
    <w:rsid w:val="00CF579A"/>
    <w:rsid w:val="00D011AF"/>
    <w:rsid w:val="00D02A38"/>
    <w:rsid w:val="00D02CDB"/>
    <w:rsid w:val="00D060F5"/>
    <w:rsid w:val="00D061F7"/>
    <w:rsid w:val="00D06613"/>
    <w:rsid w:val="00D07C47"/>
    <w:rsid w:val="00D119E0"/>
    <w:rsid w:val="00D1264E"/>
    <w:rsid w:val="00D12679"/>
    <w:rsid w:val="00D13FCC"/>
    <w:rsid w:val="00D15B9A"/>
    <w:rsid w:val="00D15C72"/>
    <w:rsid w:val="00D15D80"/>
    <w:rsid w:val="00D163C4"/>
    <w:rsid w:val="00D17D8C"/>
    <w:rsid w:val="00D22932"/>
    <w:rsid w:val="00D2307C"/>
    <w:rsid w:val="00D23BE8"/>
    <w:rsid w:val="00D24DED"/>
    <w:rsid w:val="00D251B5"/>
    <w:rsid w:val="00D26793"/>
    <w:rsid w:val="00D273F1"/>
    <w:rsid w:val="00D27953"/>
    <w:rsid w:val="00D307AC"/>
    <w:rsid w:val="00D30FCC"/>
    <w:rsid w:val="00D32D6D"/>
    <w:rsid w:val="00D330EC"/>
    <w:rsid w:val="00D334C0"/>
    <w:rsid w:val="00D34610"/>
    <w:rsid w:val="00D35E77"/>
    <w:rsid w:val="00D35F50"/>
    <w:rsid w:val="00D36619"/>
    <w:rsid w:val="00D366DC"/>
    <w:rsid w:val="00D440EA"/>
    <w:rsid w:val="00D4473F"/>
    <w:rsid w:val="00D450F4"/>
    <w:rsid w:val="00D45431"/>
    <w:rsid w:val="00D50E97"/>
    <w:rsid w:val="00D61D2D"/>
    <w:rsid w:val="00D62FEB"/>
    <w:rsid w:val="00D631D5"/>
    <w:rsid w:val="00D70370"/>
    <w:rsid w:val="00D7086E"/>
    <w:rsid w:val="00D71DCC"/>
    <w:rsid w:val="00D736C1"/>
    <w:rsid w:val="00D744E3"/>
    <w:rsid w:val="00D774D6"/>
    <w:rsid w:val="00D8223C"/>
    <w:rsid w:val="00D829FE"/>
    <w:rsid w:val="00D84C15"/>
    <w:rsid w:val="00D84E89"/>
    <w:rsid w:val="00D85475"/>
    <w:rsid w:val="00D85D15"/>
    <w:rsid w:val="00D87DC8"/>
    <w:rsid w:val="00D9044D"/>
    <w:rsid w:val="00D92085"/>
    <w:rsid w:val="00D92A15"/>
    <w:rsid w:val="00D9567D"/>
    <w:rsid w:val="00D97792"/>
    <w:rsid w:val="00DA2563"/>
    <w:rsid w:val="00DA3144"/>
    <w:rsid w:val="00DA380B"/>
    <w:rsid w:val="00DA46BF"/>
    <w:rsid w:val="00DA5D2B"/>
    <w:rsid w:val="00DA6E85"/>
    <w:rsid w:val="00DB026D"/>
    <w:rsid w:val="00DB55BF"/>
    <w:rsid w:val="00DB6DE4"/>
    <w:rsid w:val="00DB7459"/>
    <w:rsid w:val="00DC0AE8"/>
    <w:rsid w:val="00DC1E56"/>
    <w:rsid w:val="00DC22A3"/>
    <w:rsid w:val="00DC2870"/>
    <w:rsid w:val="00DC357F"/>
    <w:rsid w:val="00DC499D"/>
    <w:rsid w:val="00DC530E"/>
    <w:rsid w:val="00DC6F4D"/>
    <w:rsid w:val="00DC7034"/>
    <w:rsid w:val="00DC7123"/>
    <w:rsid w:val="00DD0935"/>
    <w:rsid w:val="00DD1B6B"/>
    <w:rsid w:val="00DD413C"/>
    <w:rsid w:val="00DD5620"/>
    <w:rsid w:val="00DD5A57"/>
    <w:rsid w:val="00DD69FD"/>
    <w:rsid w:val="00DE3995"/>
    <w:rsid w:val="00DE3D4E"/>
    <w:rsid w:val="00DE499C"/>
    <w:rsid w:val="00DE51E6"/>
    <w:rsid w:val="00DE7383"/>
    <w:rsid w:val="00DF29E0"/>
    <w:rsid w:val="00E006C0"/>
    <w:rsid w:val="00E010C0"/>
    <w:rsid w:val="00E02410"/>
    <w:rsid w:val="00E0297A"/>
    <w:rsid w:val="00E056E2"/>
    <w:rsid w:val="00E05CD7"/>
    <w:rsid w:val="00E1005E"/>
    <w:rsid w:val="00E121FC"/>
    <w:rsid w:val="00E12587"/>
    <w:rsid w:val="00E12AF3"/>
    <w:rsid w:val="00E1692B"/>
    <w:rsid w:val="00E16DE5"/>
    <w:rsid w:val="00E17C56"/>
    <w:rsid w:val="00E2069A"/>
    <w:rsid w:val="00E20CEB"/>
    <w:rsid w:val="00E2623C"/>
    <w:rsid w:val="00E311A1"/>
    <w:rsid w:val="00E335B6"/>
    <w:rsid w:val="00E34833"/>
    <w:rsid w:val="00E34AA5"/>
    <w:rsid w:val="00E34FF9"/>
    <w:rsid w:val="00E35CFB"/>
    <w:rsid w:val="00E40272"/>
    <w:rsid w:val="00E41690"/>
    <w:rsid w:val="00E4229F"/>
    <w:rsid w:val="00E422C7"/>
    <w:rsid w:val="00E45AB6"/>
    <w:rsid w:val="00E47291"/>
    <w:rsid w:val="00E50150"/>
    <w:rsid w:val="00E53529"/>
    <w:rsid w:val="00E53FDA"/>
    <w:rsid w:val="00E54D24"/>
    <w:rsid w:val="00E54DB3"/>
    <w:rsid w:val="00E56210"/>
    <w:rsid w:val="00E56EAE"/>
    <w:rsid w:val="00E5757F"/>
    <w:rsid w:val="00E603D7"/>
    <w:rsid w:val="00E638EA"/>
    <w:rsid w:val="00E656AA"/>
    <w:rsid w:val="00E66181"/>
    <w:rsid w:val="00E66C53"/>
    <w:rsid w:val="00E6736C"/>
    <w:rsid w:val="00E6785B"/>
    <w:rsid w:val="00E67BB4"/>
    <w:rsid w:val="00E705A5"/>
    <w:rsid w:val="00E715AA"/>
    <w:rsid w:val="00E72A65"/>
    <w:rsid w:val="00E7531B"/>
    <w:rsid w:val="00E761CC"/>
    <w:rsid w:val="00E76696"/>
    <w:rsid w:val="00E76A25"/>
    <w:rsid w:val="00E77A12"/>
    <w:rsid w:val="00E82AD8"/>
    <w:rsid w:val="00E8351B"/>
    <w:rsid w:val="00E847F7"/>
    <w:rsid w:val="00E8563B"/>
    <w:rsid w:val="00E86281"/>
    <w:rsid w:val="00E87230"/>
    <w:rsid w:val="00E872AD"/>
    <w:rsid w:val="00E87666"/>
    <w:rsid w:val="00E90187"/>
    <w:rsid w:val="00E9078D"/>
    <w:rsid w:val="00E912E2"/>
    <w:rsid w:val="00E91776"/>
    <w:rsid w:val="00E91F35"/>
    <w:rsid w:val="00E92B97"/>
    <w:rsid w:val="00E9657A"/>
    <w:rsid w:val="00E96D5C"/>
    <w:rsid w:val="00EA1BD1"/>
    <w:rsid w:val="00EB1A1D"/>
    <w:rsid w:val="00EC22AB"/>
    <w:rsid w:val="00EC3FE2"/>
    <w:rsid w:val="00EC4B99"/>
    <w:rsid w:val="00EC7068"/>
    <w:rsid w:val="00EC7DD2"/>
    <w:rsid w:val="00ED2BB4"/>
    <w:rsid w:val="00ED3584"/>
    <w:rsid w:val="00ED4027"/>
    <w:rsid w:val="00ED60D0"/>
    <w:rsid w:val="00ED6C3C"/>
    <w:rsid w:val="00ED76F3"/>
    <w:rsid w:val="00ED7DB6"/>
    <w:rsid w:val="00EE1040"/>
    <w:rsid w:val="00EE21F8"/>
    <w:rsid w:val="00EE2E7A"/>
    <w:rsid w:val="00EE2F7B"/>
    <w:rsid w:val="00EE3B90"/>
    <w:rsid w:val="00EE53E1"/>
    <w:rsid w:val="00EE65FD"/>
    <w:rsid w:val="00EE66C4"/>
    <w:rsid w:val="00EE687C"/>
    <w:rsid w:val="00EE76F2"/>
    <w:rsid w:val="00EE7F58"/>
    <w:rsid w:val="00EF0CEA"/>
    <w:rsid w:val="00EF18C4"/>
    <w:rsid w:val="00EF35ED"/>
    <w:rsid w:val="00EF3B3E"/>
    <w:rsid w:val="00EF41E5"/>
    <w:rsid w:val="00EF4B01"/>
    <w:rsid w:val="00EF51F5"/>
    <w:rsid w:val="00F00A1D"/>
    <w:rsid w:val="00F01518"/>
    <w:rsid w:val="00F06D4E"/>
    <w:rsid w:val="00F06EE8"/>
    <w:rsid w:val="00F10359"/>
    <w:rsid w:val="00F1099B"/>
    <w:rsid w:val="00F112FD"/>
    <w:rsid w:val="00F11777"/>
    <w:rsid w:val="00F1211D"/>
    <w:rsid w:val="00F13338"/>
    <w:rsid w:val="00F141A0"/>
    <w:rsid w:val="00F1438C"/>
    <w:rsid w:val="00F15103"/>
    <w:rsid w:val="00F15461"/>
    <w:rsid w:val="00F16187"/>
    <w:rsid w:val="00F224E3"/>
    <w:rsid w:val="00F233B5"/>
    <w:rsid w:val="00F2452B"/>
    <w:rsid w:val="00F24FE1"/>
    <w:rsid w:val="00F2619A"/>
    <w:rsid w:val="00F2710C"/>
    <w:rsid w:val="00F2729C"/>
    <w:rsid w:val="00F31B29"/>
    <w:rsid w:val="00F31FED"/>
    <w:rsid w:val="00F321DC"/>
    <w:rsid w:val="00F3403B"/>
    <w:rsid w:val="00F37934"/>
    <w:rsid w:val="00F37DC2"/>
    <w:rsid w:val="00F41097"/>
    <w:rsid w:val="00F41962"/>
    <w:rsid w:val="00F42632"/>
    <w:rsid w:val="00F42B8A"/>
    <w:rsid w:val="00F437B8"/>
    <w:rsid w:val="00F4666F"/>
    <w:rsid w:val="00F51285"/>
    <w:rsid w:val="00F5283D"/>
    <w:rsid w:val="00F52CD7"/>
    <w:rsid w:val="00F543FA"/>
    <w:rsid w:val="00F6004B"/>
    <w:rsid w:val="00F60674"/>
    <w:rsid w:val="00F61041"/>
    <w:rsid w:val="00F61283"/>
    <w:rsid w:val="00F63CE8"/>
    <w:rsid w:val="00F654E8"/>
    <w:rsid w:val="00F65CFD"/>
    <w:rsid w:val="00F66864"/>
    <w:rsid w:val="00F72FCF"/>
    <w:rsid w:val="00F756C3"/>
    <w:rsid w:val="00F767C2"/>
    <w:rsid w:val="00F806F1"/>
    <w:rsid w:val="00F817AD"/>
    <w:rsid w:val="00F8450E"/>
    <w:rsid w:val="00F84C5B"/>
    <w:rsid w:val="00F90B1B"/>
    <w:rsid w:val="00F933D8"/>
    <w:rsid w:val="00F94DA0"/>
    <w:rsid w:val="00F97519"/>
    <w:rsid w:val="00FA2416"/>
    <w:rsid w:val="00FA386D"/>
    <w:rsid w:val="00FA6AA1"/>
    <w:rsid w:val="00FA6BE0"/>
    <w:rsid w:val="00FA72A6"/>
    <w:rsid w:val="00FA754C"/>
    <w:rsid w:val="00FB0525"/>
    <w:rsid w:val="00FB21A6"/>
    <w:rsid w:val="00FB2314"/>
    <w:rsid w:val="00FB2B29"/>
    <w:rsid w:val="00FB558D"/>
    <w:rsid w:val="00FB5939"/>
    <w:rsid w:val="00FB6276"/>
    <w:rsid w:val="00FB637F"/>
    <w:rsid w:val="00FB7217"/>
    <w:rsid w:val="00FC02BF"/>
    <w:rsid w:val="00FC08E6"/>
    <w:rsid w:val="00FC1561"/>
    <w:rsid w:val="00FC212C"/>
    <w:rsid w:val="00FC2AF7"/>
    <w:rsid w:val="00FD03E2"/>
    <w:rsid w:val="00FD06BC"/>
    <w:rsid w:val="00FD2465"/>
    <w:rsid w:val="00FD6B4B"/>
    <w:rsid w:val="00FD7E63"/>
    <w:rsid w:val="00FE1245"/>
    <w:rsid w:val="00FE19AC"/>
    <w:rsid w:val="00FE2336"/>
    <w:rsid w:val="00FE4098"/>
    <w:rsid w:val="00FE5627"/>
    <w:rsid w:val="00FF0BA2"/>
    <w:rsid w:val="00FF2520"/>
    <w:rsid w:val="00FF3930"/>
    <w:rsid w:val="00FF4215"/>
    <w:rsid w:val="00FF48D6"/>
    <w:rsid w:val="00FF4C4F"/>
    <w:rsid w:val="00FF4C85"/>
    <w:rsid w:val="00FF4D7D"/>
    <w:rsid w:val="00FF566C"/>
    <w:rsid w:val="00FF7770"/>
    <w:rsid w:val="00FF7BA0"/>
    <w:rsid w:val="01073EEA"/>
    <w:rsid w:val="012E2284"/>
    <w:rsid w:val="014A102B"/>
    <w:rsid w:val="01541EA9"/>
    <w:rsid w:val="018362EB"/>
    <w:rsid w:val="018F2EE2"/>
    <w:rsid w:val="019422A6"/>
    <w:rsid w:val="01AC5842"/>
    <w:rsid w:val="02377801"/>
    <w:rsid w:val="02741E8A"/>
    <w:rsid w:val="029307AF"/>
    <w:rsid w:val="02AB78A7"/>
    <w:rsid w:val="02B32C00"/>
    <w:rsid w:val="02C44E0D"/>
    <w:rsid w:val="030376E3"/>
    <w:rsid w:val="03415CF6"/>
    <w:rsid w:val="03465822"/>
    <w:rsid w:val="034877EC"/>
    <w:rsid w:val="03791753"/>
    <w:rsid w:val="03F23E6F"/>
    <w:rsid w:val="04702B56"/>
    <w:rsid w:val="048815E2"/>
    <w:rsid w:val="04B862AB"/>
    <w:rsid w:val="04BC368C"/>
    <w:rsid w:val="04C3537C"/>
    <w:rsid w:val="04FD5688"/>
    <w:rsid w:val="051A5D86"/>
    <w:rsid w:val="054B35C3"/>
    <w:rsid w:val="0580326D"/>
    <w:rsid w:val="05816FE5"/>
    <w:rsid w:val="05C64F69"/>
    <w:rsid w:val="05D62C76"/>
    <w:rsid w:val="06B50CF4"/>
    <w:rsid w:val="06CA0F4B"/>
    <w:rsid w:val="06CB684B"/>
    <w:rsid w:val="0701218C"/>
    <w:rsid w:val="07397B77"/>
    <w:rsid w:val="07403B48"/>
    <w:rsid w:val="0750590D"/>
    <w:rsid w:val="078B42EC"/>
    <w:rsid w:val="07E01DA1"/>
    <w:rsid w:val="07FC5C4D"/>
    <w:rsid w:val="0884412C"/>
    <w:rsid w:val="08AE46B4"/>
    <w:rsid w:val="08B5190C"/>
    <w:rsid w:val="08DD4532"/>
    <w:rsid w:val="090546AC"/>
    <w:rsid w:val="091B505B"/>
    <w:rsid w:val="096802A0"/>
    <w:rsid w:val="096909F8"/>
    <w:rsid w:val="099F5881"/>
    <w:rsid w:val="09CD0A4B"/>
    <w:rsid w:val="09EB7C1C"/>
    <w:rsid w:val="0A4A3E4A"/>
    <w:rsid w:val="0A5D7472"/>
    <w:rsid w:val="0A6B478F"/>
    <w:rsid w:val="0A7C0731"/>
    <w:rsid w:val="0AAA48E8"/>
    <w:rsid w:val="0AD11E75"/>
    <w:rsid w:val="0B5A00BC"/>
    <w:rsid w:val="0B8A6024"/>
    <w:rsid w:val="0BAB231A"/>
    <w:rsid w:val="0BC67500"/>
    <w:rsid w:val="0BE12CEF"/>
    <w:rsid w:val="0BF73B5D"/>
    <w:rsid w:val="0C0F70F9"/>
    <w:rsid w:val="0C1069CD"/>
    <w:rsid w:val="0C442D39"/>
    <w:rsid w:val="0C774C9E"/>
    <w:rsid w:val="0CF137AD"/>
    <w:rsid w:val="0D38442D"/>
    <w:rsid w:val="0D6916C7"/>
    <w:rsid w:val="0DF20A80"/>
    <w:rsid w:val="0E4868F2"/>
    <w:rsid w:val="0E5E1C72"/>
    <w:rsid w:val="0E7E40C2"/>
    <w:rsid w:val="0E8B5099"/>
    <w:rsid w:val="0EF84D38"/>
    <w:rsid w:val="0F5D017B"/>
    <w:rsid w:val="0F83329A"/>
    <w:rsid w:val="0FB71F81"/>
    <w:rsid w:val="0FC3503C"/>
    <w:rsid w:val="0FCE32B0"/>
    <w:rsid w:val="103203DE"/>
    <w:rsid w:val="10710382"/>
    <w:rsid w:val="10A62E44"/>
    <w:rsid w:val="10B62239"/>
    <w:rsid w:val="1125116C"/>
    <w:rsid w:val="114C494B"/>
    <w:rsid w:val="11553800"/>
    <w:rsid w:val="11934328"/>
    <w:rsid w:val="11943BFC"/>
    <w:rsid w:val="11A80796"/>
    <w:rsid w:val="11BC011F"/>
    <w:rsid w:val="11CE710E"/>
    <w:rsid w:val="11E62C1D"/>
    <w:rsid w:val="11E903EC"/>
    <w:rsid w:val="11FF4FB0"/>
    <w:rsid w:val="120065AB"/>
    <w:rsid w:val="120945EA"/>
    <w:rsid w:val="120E39AF"/>
    <w:rsid w:val="12255CB7"/>
    <w:rsid w:val="12371157"/>
    <w:rsid w:val="123F24AA"/>
    <w:rsid w:val="125A2040"/>
    <w:rsid w:val="12785A55"/>
    <w:rsid w:val="1283439D"/>
    <w:rsid w:val="12902616"/>
    <w:rsid w:val="12D86756"/>
    <w:rsid w:val="135C4810"/>
    <w:rsid w:val="137B1518"/>
    <w:rsid w:val="139B5716"/>
    <w:rsid w:val="13A20852"/>
    <w:rsid w:val="13AC4323"/>
    <w:rsid w:val="14551D69"/>
    <w:rsid w:val="14643D5A"/>
    <w:rsid w:val="146855F8"/>
    <w:rsid w:val="14702016"/>
    <w:rsid w:val="147216BC"/>
    <w:rsid w:val="148E7DB7"/>
    <w:rsid w:val="14AD5701"/>
    <w:rsid w:val="14C64A14"/>
    <w:rsid w:val="14CE6711"/>
    <w:rsid w:val="15175213"/>
    <w:rsid w:val="15545B7C"/>
    <w:rsid w:val="15D90A9B"/>
    <w:rsid w:val="160E6673"/>
    <w:rsid w:val="16526560"/>
    <w:rsid w:val="16EF0253"/>
    <w:rsid w:val="16FE2244"/>
    <w:rsid w:val="17101F77"/>
    <w:rsid w:val="172D2B29"/>
    <w:rsid w:val="17544559"/>
    <w:rsid w:val="17793FC0"/>
    <w:rsid w:val="17996410"/>
    <w:rsid w:val="17A45E25"/>
    <w:rsid w:val="17B44FF8"/>
    <w:rsid w:val="17EE6794"/>
    <w:rsid w:val="1816180F"/>
    <w:rsid w:val="18421C82"/>
    <w:rsid w:val="1853036D"/>
    <w:rsid w:val="18932E60"/>
    <w:rsid w:val="18F71640"/>
    <w:rsid w:val="19742C91"/>
    <w:rsid w:val="199B021E"/>
    <w:rsid w:val="19AD646C"/>
    <w:rsid w:val="19B90EF2"/>
    <w:rsid w:val="19E219A9"/>
    <w:rsid w:val="1A02029D"/>
    <w:rsid w:val="1A2E40E5"/>
    <w:rsid w:val="1A6352C4"/>
    <w:rsid w:val="1A89451A"/>
    <w:rsid w:val="1A961EAB"/>
    <w:rsid w:val="1AAB623F"/>
    <w:rsid w:val="1AB62CA6"/>
    <w:rsid w:val="1B040045"/>
    <w:rsid w:val="1B301B05"/>
    <w:rsid w:val="1B661967"/>
    <w:rsid w:val="1BA550D1"/>
    <w:rsid w:val="1BA96177"/>
    <w:rsid w:val="1C00080C"/>
    <w:rsid w:val="1C016E0E"/>
    <w:rsid w:val="1C44694B"/>
    <w:rsid w:val="1C5D5C5E"/>
    <w:rsid w:val="1C6A7A58"/>
    <w:rsid w:val="1C76287C"/>
    <w:rsid w:val="1CAB5593"/>
    <w:rsid w:val="1CC21F65"/>
    <w:rsid w:val="1CDB1137"/>
    <w:rsid w:val="1CDC489E"/>
    <w:rsid w:val="1CF739BD"/>
    <w:rsid w:val="1CFA525B"/>
    <w:rsid w:val="1CFE623E"/>
    <w:rsid w:val="1D1B1F25"/>
    <w:rsid w:val="1D1C78C7"/>
    <w:rsid w:val="1D2207B9"/>
    <w:rsid w:val="1D4026A8"/>
    <w:rsid w:val="1D436C02"/>
    <w:rsid w:val="1D4448D9"/>
    <w:rsid w:val="1D6A0633"/>
    <w:rsid w:val="1D6B3F53"/>
    <w:rsid w:val="1D8B2357"/>
    <w:rsid w:val="1DCD7D85"/>
    <w:rsid w:val="1DD12460"/>
    <w:rsid w:val="1E0C53A1"/>
    <w:rsid w:val="1E1665EA"/>
    <w:rsid w:val="1E19760E"/>
    <w:rsid w:val="1E2277E6"/>
    <w:rsid w:val="1E2A35D7"/>
    <w:rsid w:val="1E37603B"/>
    <w:rsid w:val="1E522E75"/>
    <w:rsid w:val="1EC15C9C"/>
    <w:rsid w:val="1F106FB8"/>
    <w:rsid w:val="1F2111C5"/>
    <w:rsid w:val="1F861028"/>
    <w:rsid w:val="1FBA5176"/>
    <w:rsid w:val="1FBF278C"/>
    <w:rsid w:val="200331E0"/>
    <w:rsid w:val="20071E19"/>
    <w:rsid w:val="200F101E"/>
    <w:rsid w:val="20286583"/>
    <w:rsid w:val="203543E6"/>
    <w:rsid w:val="2040730C"/>
    <w:rsid w:val="208F03B0"/>
    <w:rsid w:val="20994D8B"/>
    <w:rsid w:val="209B4FA7"/>
    <w:rsid w:val="20A918DB"/>
    <w:rsid w:val="20C938C2"/>
    <w:rsid w:val="20DA787E"/>
    <w:rsid w:val="20EA3839"/>
    <w:rsid w:val="213F3B84"/>
    <w:rsid w:val="21457AA6"/>
    <w:rsid w:val="215F5FD5"/>
    <w:rsid w:val="2160757F"/>
    <w:rsid w:val="21617F9F"/>
    <w:rsid w:val="2169425B"/>
    <w:rsid w:val="21701F90"/>
    <w:rsid w:val="21817CF9"/>
    <w:rsid w:val="21DC13D3"/>
    <w:rsid w:val="220821C8"/>
    <w:rsid w:val="224F6049"/>
    <w:rsid w:val="22633F3F"/>
    <w:rsid w:val="22661210"/>
    <w:rsid w:val="229C1B6E"/>
    <w:rsid w:val="22A719E1"/>
    <w:rsid w:val="22B44975"/>
    <w:rsid w:val="22C27D0B"/>
    <w:rsid w:val="22EB2BDA"/>
    <w:rsid w:val="230B2DFF"/>
    <w:rsid w:val="233C481F"/>
    <w:rsid w:val="23566F63"/>
    <w:rsid w:val="236E69A3"/>
    <w:rsid w:val="23827D58"/>
    <w:rsid w:val="23D828F1"/>
    <w:rsid w:val="23DF164F"/>
    <w:rsid w:val="23EF5529"/>
    <w:rsid w:val="23FA0237"/>
    <w:rsid w:val="244871F4"/>
    <w:rsid w:val="24586AC6"/>
    <w:rsid w:val="24732C75"/>
    <w:rsid w:val="24816262"/>
    <w:rsid w:val="24A00DDE"/>
    <w:rsid w:val="24A51F50"/>
    <w:rsid w:val="24B0423F"/>
    <w:rsid w:val="24CF417D"/>
    <w:rsid w:val="24DD17C0"/>
    <w:rsid w:val="24E65B35"/>
    <w:rsid w:val="24E707BB"/>
    <w:rsid w:val="25085E72"/>
    <w:rsid w:val="25237319"/>
    <w:rsid w:val="252A5107"/>
    <w:rsid w:val="255676EF"/>
    <w:rsid w:val="2566249D"/>
    <w:rsid w:val="25696723"/>
    <w:rsid w:val="25EF714A"/>
    <w:rsid w:val="25FA2770"/>
    <w:rsid w:val="261F3F85"/>
    <w:rsid w:val="2629095F"/>
    <w:rsid w:val="26345C82"/>
    <w:rsid w:val="26393298"/>
    <w:rsid w:val="269D1521"/>
    <w:rsid w:val="26A12BEB"/>
    <w:rsid w:val="26C03072"/>
    <w:rsid w:val="26F25034"/>
    <w:rsid w:val="26F2791B"/>
    <w:rsid w:val="278F0C96"/>
    <w:rsid w:val="27B9274C"/>
    <w:rsid w:val="27E9484A"/>
    <w:rsid w:val="27FF5E1C"/>
    <w:rsid w:val="282B6C11"/>
    <w:rsid w:val="284B5B2B"/>
    <w:rsid w:val="2852419D"/>
    <w:rsid w:val="28AA222B"/>
    <w:rsid w:val="28C21D69"/>
    <w:rsid w:val="290D4D9A"/>
    <w:rsid w:val="2946482C"/>
    <w:rsid w:val="2963618A"/>
    <w:rsid w:val="29870F46"/>
    <w:rsid w:val="2989303D"/>
    <w:rsid w:val="29E51041"/>
    <w:rsid w:val="2A1E44A1"/>
    <w:rsid w:val="2A24600D"/>
    <w:rsid w:val="2A28418D"/>
    <w:rsid w:val="2A4E308A"/>
    <w:rsid w:val="2A9A62D0"/>
    <w:rsid w:val="2AF52EA6"/>
    <w:rsid w:val="2B2F07C6"/>
    <w:rsid w:val="2B7345A8"/>
    <w:rsid w:val="2B8A00F2"/>
    <w:rsid w:val="2BB94533"/>
    <w:rsid w:val="2BDB094E"/>
    <w:rsid w:val="2C1520B2"/>
    <w:rsid w:val="2C167BD8"/>
    <w:rsid w:val="2C73041D"/>
    <w:rsid w:val="2C792640"/>
    <w:rsid w:val="2CA174A1"/>
    <w:rsid w:val="2CAD22EA"/>
    <w:rsid w:val="2CD258AD"/>
    <w:rsid w:val="2CD87B57"/>
    <w:rsid w:val="2D1759B5"/>
    <w:rsid w:val="2D1B68AA"/>
    <w:rsid w:val="2D537B81"/>
    <w:rsid w:val="2D662499"/>
    <w:rsid w:val="2D8172D3"/>
    <w:rsid w:val="2D856CCB"/>
    <w:rsid w:val="2D9E1C33"/>
    <w:rsid w:val="2DBD030B"/>
    <w:rsid w:val="2DC93154"/>
    <w:rsid w:val="2E0028ED"/>
    <w:rsid w:val="2E031E2E"/>
    <w:rsid w:val="2E04418C"/>
    <w:rsid w:val="2E130F54"/>
    <w:rsid w:val="2E4B1DBB"/>
    <w:rsid w:val="2E5A0250"/>
    <w:rsid w:val="2E5E1B7B"/>
    <w:rsid w:val="2E8048AF"/>
    <w:rsid w:val="2EA4771D"/>
    <w:rsid w:val="2EA65A14"/>
    <w:rsid w:val="2EB96AE5"/>
    <w:rsid w:val="2EF97A69"/>
    <w:rsid w:val="2F083808"/>
    <w:rsid w:val="2F1C4306"/>
    <w:rsid w:val="2F266384"/>
    <w:rsid w:val="2F3E7229"/>
    <w:rsid w:val="2FE37DD1"/>
    <w:rsid w:val="30140C31"/>
    <w:rsid w:val="306B04F2"/>
    <w:rsid w:val="3078676B"/>
    <w:rsid w:val="30977539"/>
    <w:rsid w:val="309D2676"/>
    <w:rsid w:val="30A41222"/>
    <w:rsid w:val="30EC21E0"/>
    <w:rsid w:val="31085D41"/>
    <w:rsid w:val="31321010"/>
    <w:rsid w:val="313F54DB"/>
    <w:rsid w:val="31556AAC"/>
    <w:rsid w:val="3175714F"/>
    <w:rsid w:val="31B41A25"/>
    <w:rsid w:val="31B62D44"/>
    <w:rsid w:val="322E7A29"/>
    <w:rsid w:val="322F708C"/>
    <w:rsid w:val="324816C4"/>
    <w:rsid w:val="3262491A"/>
    <w:rsid w:val="326F3B9E"/>
    <w:rsid w:val="327318E0"/>
    <w:rsid w:val="32B53CA7"/>
    <w:rsid w:val="32C53F54"/>
    <w:rsid w:val="32C959A4"/>
    <w:rsid w:val="33024A12"/>
    <w:rsid w:val="331035D3"/>
    <w:rsid w:val="33174961"/>
    <w:rsid w:val="331E1B39"/>
    <w:rsid w:val="33324FAE"/>
    <w:rsid w:val="3337078A"/>
    <w:rsid w:val="33A501AB"/>
    <w:rsid w:val="33ED7470"/>
    <w:rsid w:val="33F16F60"/>
    <w:rsid w:val="34104626"/>
    <w:rsid w:val="34125129"/>
    <w:rsid w:val="34465710"/>
    <w:rsid w:val="3450057F"/>
    <w:rsid w:val="345D45F6"/>
    <w:rsid w:val="34A57D4B"/>
    <w:rsid w:val="34B03AD6"/>
    <w:rsid w:val="34E24AFB"/>
    <w:rsid w:val="35150A2C"/>
    <w:rsid w:val="35337105"/>
    <w:rsid w:val="353D61D5"/>
    <w:rsid w:val="35571045"/>
    <w:rsid w:val="35777939"/>
    <w:rsid w:val="35846E2F"/>
    <w:rsid w:val="35935DF5"/>
    <w:rsid w:val="3598300D"/>
    <w:rsid w:val="359E6B64"/>
    <w:rsid w:val="35A95619"/>
    <w:rsid w:val="35ED7BFB"/>
    <w:rsid w:val="35FB40C6"/>
    <w:rsid w:val="3656754F"/>
    <w:rsid w:val="36716136"/>
    <w:rsid w:val="36820344"/>
    <w:rsid w:val="36A91953"/>
    <w:rsid w:val="36B14785"/>
    <w:rsid w:val="36B64491"/>
    <w:rsid w:val="36E27034"/>
    <w:rsid w:val="36E96615"/>
    <w:rsid w:val="37103BA1"/>
    <w:rsid w:val="371442C0"/>
    <w:rsid w:val="37585548"/>
    <w:rsid w:val="37672E6A"/>
    <w:rsid w:val="37B95FE7"/>
    <w:rsid w:val="37BB6822"/>
    <w:rsid w:val="37CD77F5"/>
    <w:rsid w:val="37D72911"/>
    <w:rsid w:val="380D6333"/>
    <w:rsid w:val="3824626D"/>
    <w:rsid w:val="383438BF"/>
    <w:rsid w:val="38431D54"/>
    <w:rsid w:val="38445935"/>
    <w:rsid w:val="387704DC"/>
    <w:rsid w:val="387719FE"/>
    <w:rsid w:val="3894435E"/>
    <w:rsid w:val="38ED3A6E"/>
    <w:rsid w:val="3909523B"/>
    <w:rsid w:val="395A736B"/>
    <w:rsid w:val="39A05EB2"/>
    <w:rsid w:val="39A405D1"/>
    <w:rsid w:val="39A64349"/>
    <w:rsid w:val="39A84849"/>
    <w:rsid w:val="39AE1450"/>
    <w:rsid w:val="39B50A30"/>
    <w:rsid w:val="3A0948D8"/>
    <w:rsid w:val="3A63223A"/>
    <w:rsid w:val="3A6D30B9"/>
    <w:rsid w:val="3A7A7584"/>
    <w:rsid w:val="3AA13B87"/>
    <w:rsid w:val="3AFE262F"/>
    <w:rsid w:val="3B3E6803"/>
    <w:rsid w:val="3BA23236"/>
    <w:rsid w:val="3BB05953"/>
    <w:rsid w:val="3BC62A80"/>
    <w:rsid w:val="3BD66A3C"/>
    <w:rsid w:val="3BF45E43"/>
    <w:rsid w:val="3C0435A9"/>
    <w:rsid w:val="3C1D52AD"/>
    <w:rsid w:val="3C1F6635"/>
    <w:rsid w:val="3C3F2403"/>
    <w:rsid w:val="3C3F4AE6"/>
    <w:rsid w:val="3C5A58BF"/>
    <w:rsid w:val="3CC6146E"/>
    <w:rsid w:val="3CFC24D2"/>
    <w:rsid w:val="3D2F28A7"/>
    <w:rsid w:val="3D6844FA"/>
    <w:rsid w:val="3D6D7F4C"/>
    <w:rsid w:val="3D7F382F"/>
    <w:rsid w:val="3DF00289"/>
    <w:rsid w:val="3E5D4C7A"/>
    <w:rsid w:val="3E9458E4"/>
    <w:rsid w:val="3E990920"/>
    <w:rsid w:val="3E99447C"/>
    <w:rsid w:val="3E9A0E65"/>
    <w:rsid w:val="3EDB51F8"/>
    <w:rsid w:val="3F0062A9"/>
    <w:rsid w:val="3F0A0758"/>
    <w:rsid w:val="3F0C172B"/>
    <w:rsid w:val="3F2C0AE5"/>
    <w:rsid w:val="3F516B05"/>
    <w:rsid w:val="3F7D5B4C"/>
    <w:rsid w:val="3FAC00F9"/>
    <w:rsid w:val="3FCF3A3E"/>
    <w:rsid w:val="3FCF3ECE"/>
    <w:rsid w:val="4024421A"/>
    <w:rsid w:val="40503261"/>
    <w:rsid w:val="40525E10"/>
    <w:rsid w:val="4070547F"/>
    <w:rsid w:val="408D0011"/>
    <w:rsid w:val="408D6263"/>
    <w:rsid w:val="408E5B37"/>
    <w:rsid w:val="409A0980"/>
    <w:rsid w:val="409C46F8"/>
    <w:rsid w:val="40A73392"/>
    <w:rsid w:val="40A80AB7"/>
    <w:rsid w:val="40B530C4"/>
    <w:rsid w:val="40F33877"/>
    <w:rsid w:val="40F956A6"/>
    <w:rsid w:val="41043009"/>
    <w:rsid w:val="41320BB8"/>
    <w:rsid w:val="41E437A0"/>
    <w:rsid w:val="41E9571B"/>
    <w:rsid w:val="421D53C4"/>
    <w:rsid w:val="4258464E"/>
    <w:rsid w:val="425863FC"/>
    <w:rsid w:val="42B75819"/>
    <w:rsid w:val="42BA70B7"/>
    <w:rsid w:val="42F00D2B"/>
    <w:rsid w:val="430D368B"/>
    <w:rsid w:val="43662FA4"/>
    <w:rsid w:val="43860D47"/>
    <w:rsid w:val="43882D11"/>
    <w:rsid w:val="43B9111D"/>
    <w:rsid w:val="43D1290A"/>
    <w:rsid w:val="43F03E56"/>
    <w:rsid w:val="43F6411F"/>
    <w:rsid w:val="440D2025"/>
    <w:rsid w:val="44207E0E"/>
    <w:rsid w:val="44316C9F"/>
    <w:rsid w:val="44701859"/>
    <w:rsid w:val="44BC4DD3"/>
    <w:rsid w:val="44C50125"/>
    <w:rsid w:val="44D41900"/>
    <w:rsid w:val="44DF6E38"/>
    <w:rsid w:val="44DF74EB"/>
    <w:rsid w:val="44E64193"/>
    <w:rsid w:val="44F51BD1"/>
    <w:rsid w:val="450B59A8"/>
    <w:rsid w:val="454A52AA"/>
    <w:rsid w:val="455455A1"/>
    <w:rsid w:val="45561319"/>
    <w:rsid w:val="456826CA"/>
    <w:rsid w:val="45BB5620"/>
    <w:rsid w:val="45C51FFB"/>
    <w:rsid w:val="45C83899"/>
    <w:rsid w:val="45CD0EAF"/>
    <w:rsid w:val="4650424D"/>
    <w:rsid w:val="46C04255"/>
    <w:rsid w:val="471C7AE0"/>
    <w:rsid w:val="47451645"/>
    <w:rsid w:val="47685334"/>
    <w:rsid w:val="476A10AC"/>
    <w:rsid w:val="47B642F1"/>
    <w:rsid w:val="481D7ECC"/>
    <w:rsid w:val="482A4397"/>
    <w:rsid w:val="482C6361"/>
    <w:rsid w:val="482D19C9"/>
    <w:rsid w:val="482E032B"/>
    <w:rsid w:val="48345216"/>
    <w:rsid w:val="48355EC6"/>
    <w:rsid w:val="483D056E"/>
    <w:rsid w:val="48541414"/>
    <w:rsid w:val="485E04E5"/>
    <w:rsid w:val="486378A9"/>
    <w:rsid w:val="486908F2"/>
    <w:rsid w:val="492359B6"/>
    <w:rsid w:val="492434DC"/>
    <w:rsid w:val="49325BF9"/>
    <w:rsid w:val="4989333F"/>
    <w:rsid w:val="49E63B8C"/>
    <w:rsid w:val="4A3A6AD6"/>
    <w:rsid w:val="4A3E412A"/>
    <w:rsid w:val="4A4C4A99"/>
    <w:rsid w:val="4A5D6CA6"/>
    <w:rsid w:val="4A7B537E"/>
    <w:rsid w:val="4AC5484B"/>
    <w:rsid w:val="4AD131F0"/>
    <w:rsid w:val="4AD77FB1"/>
    <w:rsid w:val="4AF64A04"/>
    <w:rsid w:val="4B0709C0"/>
    <w:rsid w:val="4B1706C2"/>
    <w:rsid w:val="4B374E90"/>
    <w:rsid w:val="4B5005B9"/>
    <w:rsid w:val="4B5700E4"/>
    <w:rsid w:val="4B5F25AA"/>
    <w:rsid w:val="4B991F60"/>
    <w:rsid w:val="4BBF1EF3"/>
    <w:rsid w:val="4BD93CC9"/>
    <w:rsid w:val="4C12215E"/>
    <w:rsid w:val="4C1B2975"/>
    <w:rsid w:val="4C3457E4"/>
    <w:rsid w:val="4C762224"/>
    <w:rsid w:val="4CE03BBE"/>
    <w:rsid w:val="4D0E072B"/>
    <w:rsid w:val="4D1B1945"/>
    <w:rsid w:val="4D2373BA"/>
    <w:rsid w:val="4D673998"/>
    <w:rsid w:val="4D73233C"/>
    <w:rsid w:val="4D7E765F"/>
    <w:rsid w:val="4D827EB9"/>
    <w:rsid w:val="4D9662FF"/>
    <w:rsid w:val="4DB12E65"/>
    <w:rsid w:val="4E045E55"/>
    <w:rsid w:val="4ECC61A8"/>
    <w:rsid w:val="4EE86E84"/>
    <w:rsid w:val="4EF61477"/>
    <w:rsid w:val="4F1E0688"/>
    <w:rsid w:val="4F4B3D3E"/>
    <w:rsid w:val="4F7A5C04"/>
    <w:rsid w:val="4F9D18F3"/>
    <w:rsid w:val="4FB235F0"/>
    <w:rsid w:val="4FB56C3C"/>
    <w:rsid w:val="4FC2067F"/>
    <w:rsid w:val="4FDA48F5"/>
    <w:rsid w:val="4FE31FFC"/>
    <w:rsid w:val="4FEB6B02"/>
    <w:rsid w:val="50175B49"/>
    <w:rsid w:val="50412BC6"/>
    <w:rsid w:val="50B41558"/>
    <w:rsid w:val="51581F75"/>
    <w:rsid w:val="516A7EFA"/>
    <w:rsid w:val="51750D79"/>
    <w:rsid w:val="517D3175"/>
    <w:rsid w:val="519A07DF"/>
    <w:rsid w:val="51C846F3"/>
    <w:rsid w:val="51D174B1"/>
    <w:rsid w:val="51DC2BA6"/>
    <w:rsid w:val="522B58DB"/>
    <w:rsid w:val="524B3888"/>
    <w:rsid w:val="52742DDF"/>
    <w:rsid w:val="527F631B"/>
    <w:rsid w:val="5283316D"/>
    <w:rsid w:val="528943B0"/>
    <w:rsid w:val="52AA6A41"/>
    <w:rsid w:val="52D910E5"/>
    <w:rsid w:val="52DB0D18"/>
    <w:rsid w:val="52F65BC8"/>
    <w:rsid w:val="53193986"/>
    <w:rsid w:val="534A1D91"/>
    <w:rsid w:val="538C4158"/>
    <w:rsid w:val="53EC4BF7"/>
    <w:rsid w:val="53F35F85"/>
    <w:rsid w:val="54065CB8"/>
    <w:rsid w:val="541D7610"/>
    <w:rsid w:val="542425E2"/>
    <w:rsid w:val="543547EF"/>
    <w:rsid w:val="549459BA"/>
    <w:rsid w:val="549B3399"/>
    <w:rsid w:val="54B61B71"/>
    <w:rsid w:val="54DB0444"/>
    <w:rsid w:val="550348EE"/>
    <w:rsid w:val="5503669C"/>
    <w:rsid w:val="55197C6D"/>
    <w:rsid w:val="552B25EE"/>
    <w:rsid w:val="55525C11"/>
    <w:rsid w:val="556C4241"/>
    <w:rsid w:val="55986DE4"/>
    <w:rsid w:val="55B81234"/>
    <w:rsid w:val="55CF47D0"/>
    <w:rsid w:val="55CF5EF1"/>
    <w:rsid w:val="5622559B"/>
    <w:rsid w:val="562875A6"/>
    <w:rsid w:val="563C00B7"/>
    <w:rsid w:val="56462CE4"/>
    <w:rsid w:val="56CD6F61"/>
    <w:rsid w:val="56FE35BF"/>
    <w:rsid w:val="57081D47"/>
    <w:rsid w:val="57193F55"/>
    <w:rsid w:val="571C57F3"/>
    <w:rsid w:val="57200B83"/>
    <w:rsid w:val="57555DE6"/>
    <w:rsid w:val="57711FE2"/>
    <w:rsid w:val="57B123DF"/>
    <w:rsid w:val="57B74395"/>
    <w:rsid w:val="57B95737"/>
    <w:rsid w:val="57C87729"/>
    <w:rsid w:val="57E427B4"/>
    <w:rsid w:val="57F535F0"/>
    <w:rsid w:val="58101160"/>
    <w:rsid w:val="58663728"/>
    <w:rsid w:val="58B27195"/>
    <w:rsid w:val="58E40592"/>
    <w:rsid w:val="58FC1D80"/>
    <w:rsid w:val="595219A0"/>
    <w:rsid w:val="596811C3"/>
    <w:rsid w:val="598A113A"/>
    <w:rsid w:val="59C300CB"/>
    <w:rsid w:val="59D6437F"/>
    <w:rsid w:val="59E06FAB"/>
    <w:rsid w:val="59E36A9C"/>
    <w:rsid w:val="59FD5DAF"/>
    <w:rsid w:val="5A4C6CD8"/>
    <w:rsid w:val="5A4E03B9"/>
    <w:rsid w:val="5A58296B"/>
    <w:rsid w:val="5A5D23AA"/>
    <w:rsid w:val="5A7823A2"/>
    <w:rsid w:val="5AD56B5A"/>
    <w:rsid w:val="5B2F1F99"/>
    <w:rsid w:val="5B555777"/>
    <w:rsid w:val="5B597015"/>
    <w:rsid w:val="5BA364E3"/>
    <w:rsid w:val="5BBB1A7E"/>
    <w:rsid w:val="5BC22E0D"/>
    <w:rsid w:val="5BD20B76"/>
    <w:rsid w:val="5BE977B3"/>
    <w:rsid w:val="5BF15A06"/>
    <w:rsid w:val="5BF25068"/>
    <w:rsid w:val="5C030AA8"/>
    <w:rsid w:val="5C084598"/>
    <w:rsid w:val="5C090F2F"/>
    <w:rsid w:val="5C693288"/>
    <w:rsid w:val="5C6E4DC9"/>
    <w:rsid w:val="5CA50038"/>
    <w:rsid w:val="5CB94A17"/>
    <w:rsid w:val="5CFF3BED"/>
    <w:rsid w:val="5D221689"/>
    <w:rsid w:val="5D414205"/>
    <w:rsid w:val="5D50269A"/>
    <w:rsid w:val="5D7E1EC0"/>
    <w:rsid w:val="5DA87DE0"/>
    <w:rsid w:val="5DFE5C52"/>
    <w:rsid w:val="5E4919D3"/>
    <w:rsid w:val="5EB32EE1"/>
    <w:rsid w:val="5EE96902"/>
    <w:rsid w:val="5EFF6126"/>
    <w:rsid w:val="5F08322C"/>
    <w:rsid w:val="5F092B01"/>
    <w:rsid w:val="5F095315"/>
    <w:rsid w:val="5F1A4D0E"/>
    <w:rsid w:val="5F323AA6"/>
    <w:rsid w:val="5F4E6765"/>
    <w:rsid w:val="5F7C1524"/>
    <w:rsid w:val="5F9C5723"/>
    <w:rsid w:val="5FAF18FA"/>
    <w:rsid w:val="600532C8"/>
    <w:rsid w:val="6036191B"/>
    <w:rsid w:val="6040150D"/>
    <w:rsid w:val="60477D84"/>
    <w:rsid w:val="606E3563"/>
    <w:rsid w:val="609603C4"/>
    <w:rsid w:val="60A96349"/>
    <w:rsid w:val="60F82E2D"/>
    <w:rsid w:val="60FD48E7"/>
    <w:rsid w:val="61001CE1"/>
    <w:rsid w:val="6118527D"/>
    <w:rsid w:val="612F6320"/>
    <w:rsid w:val="61734BA9"/>
    <w:rsid w:val="61AD3C17"/>
    <w:rsid w:val="61B45646"/>
    <w:rsid w:val="61CE3B8D"/>
    <w:rsid w:val="61EE40B9"/>
    <w:rsid w:val="62214205"/>
    <w:rsid w:val="623F6839"/>
    <w:rsid w:val="627E7362"/>
    <w:rsid w:val="62B15989"/>
    <w:rsid w:val="62E3561A"/>
    <w:rsid w:val="62E51984"/>
    <w:rsid w:val="62E52BF0"/>
    <w:rsid w:val="630006BE"/>
    <w:rsid w:val="63500CFE"/>
    <w:rsid w:val="63A4104A"/>
    <w:rsid w:val="63BA261B"/>
    <w:rsid w:val="63BC2837"/>
    <w:rsid w:val="63C16BEA"/>
    <w:rsid w:val="63DC4C88"/>
    <w:rsid w:val="642E107D"/>
    <w:rsid w:val="642F1B54"/>
    <w:rsid w:val="645C1924"/>
    <w:rsid w:val="6477675E"/>
    <w:rsid w:val="6490560B"/>
    <w:rsid w:val="64942E6C"/>
    <w:rsid w:val="64EA33D4"/>
    <w:rsid w:val="64FC57C2"/>
    <w:rsid w:val="651B7271"/>
    <w:rsid w:val="657C2D0E"/>
    <w:rsid w:val="659417A4"/>
    <w:rsid w:val="659D726C"/>
    <w:rsid w:val="65B37C6A"/>
    <w:rsid w:val="65C94540"/>
    <w:rsid w:val="65F8742B"/>
    <w:rsid w:val="65FF2424"/>
    <w:rsid w:val="66092699"/>
    <w:rsid w:val="664D59C9"/>
    <w:rsid w:val="6663130C"/>
    <w:rsid w:val="668F6040"/>
    <w:rsid w:val="66B028AC"/>
    <w:rsid w:val="66B73179"/>
    <w:rsid w:val="66C11F13"/>
    <w:rsid w:val="66D103A8"/>
    <w:rsid w:val="66EF082E"/>
    <w:rsid w:val="66F67E0E"/>
    <w:rsid w:val="674F5770"/>
    <w:rsid w:val="677953F6"/>
    <w:rsid w:val="6784541A"/>
    <w:rsid w:val="67CA4DF7"/>
    <w:rsid w:val="67F500C6"/>
    <w:rsid w:val="6804655B"/>
    <w:rsid w:val="68250567"/>
    <w:rsid w:val="688D47A2"/>
    <w:rsid w:val="68AA5354"/>
    <w:rsid w:val="68AB69D7"/>
    <w:rsid w:val="68E1689C"/>
    <w:rsid w:val="690D7691"/>
    <w:rsid w:val="691B3B5C"/>
    <w:rsid w:val="69205616"/>
    <w:rsid w:val="69231D99"/>
    <w:rsid w:val="69531548"/>
    <w:rsid w:val="697B45FB"/>
    <w:rsid w:val="6981521F"/>
    <w:rsid w:val="6996429D"/>
    <w:rsid w:val="69A51678"/>
    <w:rsid w:val="6A541451"/>
    <w:rsid w:val="6A8C11F2"/>
    <w:rsid w:val="6AAB7162"/>
    <w:rsid w:val="6ADE12E5"/>
    <w:rsid w:val="6B431148"/>
    <w:rsid w:val="6B594B7D"/>
    <w:rsid w:val="6B6F018F"/>
    <w:rsid w:val="6BA73DCD"/>
    <w:rsid w:val="6BF3491C"/>
    <w:rsid w:val="6C2E180A"/>
    <w:rsid w:val="6C3F4E4E"/>
    <w:rsid w:val="6C560CAF"/>
    <w:rsid w:val="6C5D26DE"/>
    <w:rsid w:val="6CB30550"/>
    <w:rsid w:val="6CB57E24"/>
    <w:rsid w:val="6CBF6EF4"/>
    <w:rsid w:val="6D095228"/>
    <w:rsid w:val="6D1D48B7"/>
    <w:rsid w:val="6D4425D2"/>
    <w:rsid w:val="6D920165"/>
    <w:rsid w:val="6D9D5488"/>
    <w:rsid w:val="6DDB33BB"/>
    <w:rsid w:val="6E1F2C65"/>
    <w:rsid w:val="6E9C573F"/>
    <w:rsid w:val="6EE844E0"/>
    <w:rsid w:val="6EFC61DE"/>
    <w:rsid w:val="6F0D2199"/>
    <w:rsid w:val="6FF46EB5"/>
    <w:rsid w:val="6FFD045F"/>
    <w:rsid w:val="702C664F"/>
    <w:rsid w:val="704240C4"/>
    <w:rsid w:val="70721977"/>
    <w:rsid w:val="708B5A6B"/>
    <w:rsid w:val="708F2650"/>
    <w:rsid w:val="70B14DA6"/>
    <w:rsid w:val="70C66AA3"/>
    <w:rsid w:val="70D958BC"/>
    <w:rsid w:val="713A08A9"/>
    <w:rsid w:val="71866233"/>
    <w:rsid w:val="71A010A2"/>
    <w:rsid w:val="71B96608"/>
    <w:rsid w:val="71C34D91"/>
    <w:rsid w:val="71E929E5"/>
    <w:rsid w:val="72231CD3"/>
    <w:rsid w:val="7229553C"/>
    <w:rsid w:val="722A12B4"/>
    <w:rsid w:val="7235379B"/>
    <w:rsid w:val="723D2D95"/>
    <w:rsid w:val="72402057"/>
    <w:rsid w:val="72451C4A"/>
    <w:rsid w:val="724A3704"/>
    <w:rsid w:val="727A2DEB"/>
    <w:rsid w:val="72AE2C4E"/>
    <w:rsid w:val="72AE77EF"/>
    <w:rsid w:val="72B1108D"/>
    <w:rsid w:val="7346211D"/>
    <w:rsid w:val="73504D4A"/>
    <w:rsid w:val="73614861"/>
    <w:rsid w:val="737A5923"/>
    <w:rsid w:val="7393283D"/>
    <w:rsid w:val="73B88F80"/>
    <w:rsid w:val="73C03C7E"/>
    <w:rsid w:val="73C31078"/>
    <w:rsid w:val="73D86C91"/>
    <w:rsid w:val="73EF00BF"/>
    <w:rsid w:val="741E09A4"/>
    <w:rsid w:val="74212243"/>
    <w:rsid w:val="749649DF"/>
    <w:rsid w:val="749857BF"/>
    <w:rsid w:val="749C3D28"/>
    <w:rsid w:val="74AB0A44"/>
    <w:rsid w:val="74AD776E"/>
    <w:rsid w:val="74C652C4"/>
    <w:rsid w:val="74C94E19"/>
    <w:rsid w:val="75054F76"/>
    <w:rsid w:val="759251A6"/>
    <w:rsid w:val="760D6F22"/>
    <w:rsid w:val="76263B40"/>
    <w:rsid w:val="76937428"/>
    <w:rsid w:val="769431A0"/>
    <w:rsid w:val="769A6A08"/>
    <w:rsid w:val="76C16F73"/>
    <w:rsid w:val="76DD69CC"/>
    <w:rsid w:val="76E01F41"/>
    <w:rsid w:val="77A318EC"/>
    <w:rsid w:val="77E15F71"/>
    <w:rsid w:val="78025A15"/>
    <w:rsid w:val="78767001"/>
    <w:rsid w:val="787A073D"/>
    <w:rsid w:val="789254BD"/>
    <w:rsid w:val="78947487"/>
    <w:rsid w:val="78B508C0"/>
    <w:rsid w:val="78CD4747"/>
    <w:rsid w:val="78DE6954"/>
    <w:rsid w:val="78E04567"/>
    <w:rsid w:val="78EB611B"/>
    <w:rsid w:val="790A14F7"/>
    <w:rsid w:val="791D56CF"/>
    <w:rsid w:val="792F0DEB"/>
    <w:rsid w:val="7931117A"/>
    <w:rsid w:val="793D7B1F"/>
    <w:rsid w:val="798C1249"/>
    <w:rsid w:val="7A0643B5"/>
    <w:rsid w:val="7A084B74"/>
    <w:rsid w:val="7A4078C7"/>
    <w:rsid w:val="7A523156"/>
    <w:rsid w:val="7A85352B"/>
    <w:rsid w:val="7A8C43C6"/>
    <w:rsid w:val="7AA2698F"/>
    <w:rsid w:val="7AAC0AB8"/>
    <w:rsid w:val="7AAD65DE"/>
    <w:rsid w:val="7AE00762"/>
    <w:rsid w:val="7AFB3B2F"/>
    <w:rsid w:val="7B731598"/>
    <w:rsid w:val="7B783090"/>
    <w:rsid w:val="7BAE6AB2"/>
    <w:rsid w:val="7BB340C8"/>
    <w:rsid w:val="7BCE3A38"/>
    <w:rsid w:val="7BE25154"/>
    <w:rsid w:val="7BE7708B"/>
    <w:rsid w:val="7BF73FB5"/>
    <w:rsid w:val="7C1032C9"/>
    <w:rsid w:val="7C350F81"/>
    <w:rsid w:val="7C43369E"/>
    <w:rsid w:val="7C851F6D"/>
    <w:rsid w:val="7CB974BC"/>
    <w:rsid w:val="7D1B4C74"/>
    <w:rsid w:val="7D4C20DE"/>
    <w:rsid w:val="7D503278"/>
    <w:rsid w:val="7D6A5E50"/>
    <w:rsid w:val="7D8C6BBD"/>
    <w:rsid w:val="7DA963CF"/>
    <w:rsid w:val="7DD16A88"/>
    <w:rsid w:val="7DF804B8"/>
    <w:rsid w:val="7DFA7D8C"/>
    <w:rsid w:val="7E1A3F8B"/>
    <w:rsid w:val="7EB02B41"/>
    <w:rsid w:val="7F8E2E82"/>
    <w:rsid w:val="7F9F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3"/>
    <w:qFormat/>
    <w:uiPriority w:val="9"/>
    <w:pPr>
      <w:keepNext/>
      <w:widowControl/>
      <w:spacing w:before="340" w:after="330" w:line="576" w:lineRule="auto"/>
      <w:outlineLvl w:val="0"/>
    </w:pPr>
    <w:rPr>
      <w:rFonts w:ascii="???" w:hAnsi="???" w:eastAsia="宋体" w:cs="Arial"/>
      <w:color w:val="020000"/>
      <w:kern w:val="36"/>
      <w:sz w:val="44"/>
      <w:szCs w:val="44"/>
    </w:rPr>
  </w:style>
  <w:style w:type="paragraph" w:styleId="3">
    <w:name w:val="heading 2"/>
    <w:basedOn w:val="1"/>
    <w:next w:val="1"/>
    <w:link w:val="62"/>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4"/>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21"/>
    <w:unhideWhenUsed/>
    <w:qFormat/>
    <w:uiPriority w:val="0"/>
    <w:pPr>
      <w:keepNext/>
      <w:keepLines/>
      <w:spacing w:before="280" w:after="290" w:line="376" w:lineRule="auto"/>
      <w:outlineLvl w:val="4"/>
    </w:pPr>
    <w:rPr>
      <w:b/>
      <w:bCs/>
      <w:sz w:val="28"/>
      <w:szCs w:val="2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Times New Roman" w:hAnsi="Times New Roman" w:eastAsia="宋体" w:cs="Times New Roman"/>
      <w:szCs w:val="24"/>
    </w:rPr>
  </w:style>
  <w:style w:type="paragraph" w:styleId="8">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Normal Indent"/>
    <w:basedOn w:val="1"/>
    <w:next w:val="1"/>
    <w:link w:val="115"/>
    <w:qFormat/>
    <w:uiPriority w:val="0"/>
    <w:pPr>
      <w:ind w:firstLine="420" w:firstLineChars="200"/>
    </w:pPr>
    <w:rPr>
      <w:rFonts w:ascii="Times New Roman" w:hAnsi="Times New Roman" w:eastAsia="宋体" w:cs="Times New Roman"/>
      <w:kern w:val="0"/>
      <w:sz w:val="24"/>
      <w:szCs w:val="20"/>
    </w:rPr>
  </w:style>
  <w:style w:type="paragraph" w:styleId="10">
    <w:name w:val="Document Map"/>
    <w:basedOn w:val="1"/>
    <w:link w:val="133"/>
    <w:qFormat/>
    <w:uiPriority w:val="0"/>
    <w:rPr>
      <w:rFonts w:ascii="宋体" w:hAnsi="Calibri" w:eastAsia="宋体" w:cs="Times New Roman"/>
      <w:kern w:val="0"/>
      <w:sz w:val="18"/>
      <w:szCs w:val="20"/>
    </w:rPr>
  </w:style>
  <w:style w:type="paragraph" w:styleId="11">
    <w:name w:val="toa heading"/>
    <w:basedOn w:val="1"/>
    <w:next w:val="1"/>
    <w:unhideWhenUsed/>
    <w:qFormat/>
    <w:uiPriority w:val="0"/>
    <w:pPr>
      <w:spacing w:before="120"/>
    </w:pPr>
    <w:rPr>
      <w:rFonts w:ascii="Cambria" w:hAnsi="Cambria" w:eastAsia="宋体" w:cs="Times New Roman"/>
      <w:sz w:val="24"/>
    </w:rPr>
  </w:style>
  <w:style w:type="paragraph" w:styleId="12">
    <w:name w:val="annotation text"/>
    <w:basedOn w:val="1"/>
    <w:link w:val="161"/>
    <w:qFormat/>
    <w:uiPriority w:val="0"/>
    <w:pPr>
      <w:jc w:val="left"/>
    </w:pPr>
  </w:style>
  <w:style w:type="paragraph" w:styleId="13">
    <w:name w:val="Salutation"/>
    <w:basedOn w:val="1"/>
    <w:next w:val="1"/>
    <w:link w:val="222"/>
    <w:qFormat/>
    <w:uiPriority w:val="0"/>
    <w:rPr>
      <w:rFonts w:ascii="宋体" w:hAnsi="Times New Roman" w:eastAsia="宋体" w:cs="Times New Roman"/>
      <w:b/>
      <w:sz w:val="28"/>
      <w:szCs w:val="24"/>
    </w:rPr>
  </w:style>
  <w:style w:type="paragraph" w:styleId="14">
    <w:name w:val="Body Text"/>
    <w:basedOn w:val="1"/>
    <w:link w:val="136"/>
    <w:qFormat/>
    <w:uiPriority w:val="99"/>
    <w:pPr>
      <w:spacing w:after="120"/>
    </w:pPr>
    <w:rPr>
      <w:rFonts w:ascii="Calibri" w:hAnsi="Calibri" w:eastAsia="宋体" w:cs="Times New Roman"/>
      <w:kern w:val="0"/>
      <w:sz w:val="24"/>
      <w:szCs w:val="20"/>
    </w:rPr>
  </w:style>
  <w:style w:type="paragraph" w:styleId="15">
    <w:name w:val="Body Text Indent"/>
    <w:basedOn w:val="1"/>
    <w:link w:val="67"/>
    <w:qFormat/>
    <w:uiPriority w:val="0"/>
    <w:pPr>
      <w:widowControl/>
      <w:spacing w:after="120"/>
      <w:ind w:left="420"/>
    </w:pPr>
    <w:rPr>
      <w:rFonts w:ascii="??" w:hAnsi="??" w:eastAsia="宋体" w:cs="Arial"/>
      <w:kern w:val="0"/>
      <w:sz w:val="24"/>
      <w:szCs w:val="24"/>
    </w:rPr>
  </w:style>
  <w:style w:type="paragraph" w:styleId="16">
    <w:name w:val="toc 5"/>
    <w:basedOn w:val="1"/>
    <w:next w:val="1"/>
    <w:qFormat/>
    <w:uiPriority w:val="0"/>
    <w:pPr>
      <w:ind w:left="1680" w:leftChars="800"/>
    </w:pPr>
    <w:rPr>
      <w:rFonts w:ascii="Times New Roman" w:hAnsi="Times New Roman" w:eastAsia="宋体" w:cs="Times New Roman"/>
      <w:szCs w:val="24"/>
    </w:rPr>
  </w:style>
  <w:style w:type="paragraph" w:styleId="17">
    <w:name w:val="toc 3"/>
    <w:basedOn w:val="1"/>
    <w:next w:val="1"/>
    <w:qFormat/>
    <w:uiPriority w:val="39"/>
    <w:pPr>
      <w:ind w:left="840" w:leftChars="400"/>
    </w:pPr>
    <w:rPr>
      <w:rFonts w:ascii="Times New Roman" w:hAnsi="Times New Roman" w:eastAsia="宋体" w:cs="Times New Roman"/>
      <w:szCs w:val="24"/>
    </w:rPr>
  </w:style>
  <w:style w:type="paragraph" w:styleId="18">
    <w:name w:val="Plain Text"/>
    <w:basedOn w:val="1"/>
    <w:link w:val="199"/>
    <w:qFormat/>
    <w:uiPriority w:val="0"/>
    <w:rPr>
      <w:rFonts w:ascii="宋体" w:hAnsi="Courier New" w:eastAsia="宋体" w:cs="宋体"/>
      <w:szCs w:val="21"/>
    </w:rPr>
  </w:style>
  <w:style w:type="paragraph" w:styleId="19">
    <w:name w:val="toc 8"/>
    <w:basedOn w:val="1"/>
    <w:next w:val="1"/>
    <w:qFormat/>
    <w:uiPriority w:val="0"/>
    <w:pPr>
      <w:ind w:left="2940" w:leftChars="1400"/>
    </w:pPr>
    <w:rPr>
      <w:rFonts w:ascii="Times New Roman" w:hAnsi="Times New Roman" w:eastAsia="宋体" w:cs="Times New Roman"/>
      <w:szCs w:val="24"/>
    </w:rPr>
  </w:style>
  <w:style w:type="paragraph" w:styleId="20">
    <w:name w:val="Date"/>
    <w:basedOn w:val="1"/>
    <w:next w:val="1"/>
    <w:link w:val="156"/>
    <w:qFormat/>
    <w:uiPriority w:val="0"/>
    <w:rPr>
      <w:szCs w:val="21"/>
    </w:rPr>
  </w:style>
  <w:style w:type="paragraph" w:styleId="21">
    <w:name w:val="Body Text Indent 2"/>
    <w:basedOn w:val="1"/>
    <w:link w:val="129"/>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2">
    <w:name w:val="Balloon Text"/>
    <w:basedOn w:val="1"/>
    <w:link w:val="79"/>
    <w:qFormat/>
    <w:uiPriority w:val="0"/>
    <w:rPr>
      <w:rFonts w:ascii="Calibri" w:hAnsi="Calibri" w:eastAsia="宋体" w:cs="Times New Roman"/>
      <w:sz w:val="18"/>
      <w:szCs w:val="18"/>
    </w:rPr>
  </w:style>
  <w:style w:type="paragraph" w:styleId="23">
    <w:name w:val="footer"/>
    <w:basedOn w:val="1"/>
    <w:link w:val="66"/>
    <w:qFormat/>
    <w:uiPriority w:val="99"/>
    <w:pPr>
      <w:tabs>
        <w:tab w:val="center" w:pos="4153"/>
        <w:tab w:val="right" w:pos="8306"/>
      </w:tabs>
      <w:snapToGrid w:val="0"/>
      <w:jc w:val="left"/>
    </w:pPr>
    <w:rPr>
      <w:rFonts w:ascii="Calibri" w:hAnsi="Calibri" w:eastAsia="宋体" w:cs="Times New Roman"/>
      <w:sz w:val="18"/>
      <w:szCs w:val="18"/>
    </w:rPr>
  </w:style>
  <w:style w:type="paragraph" w:styleId="24">
    <w:name w:val="header"/>
    <w:basedOn w:val="1"/>
    <w:link w:val="65"/>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5">
    <w:name w:val="toc 1"/>
    <w:basedOn w:val="1"/>
    <w:next w:val="1"/>
    <w:qFormat/>
    <w:uiPriority w:val="39"/>
    <w:rPr>
      <w:rFonts w:ascii="Times New Roman" w:hAnsi="Times New Roman" w:eastAsia="宋体" w:cs="Times New Roman"/>
      <w:szCs w:val="24"/>
    </w:rPr>
  </w:style>
  <w:style w:type="paragraph" w:styleId="26">
    <w:name w:val="toc 4"/>
    <w:basedOn w:val="1"/>
    <w:next w:val="1"/>
    <w:qFormat/>
    <w:uiPriority w:val="0"/>
    <w:pPr>
      <w:ind w:left="1260" w:leftChars="600"/>
    </w:pPr>
    <w:rPr>
      <w:rFonts w:ascii="Times New Roman" w:hAnsi="Times New Roman" w:eastAsia="宋体" w:cs="Times New Roman"/>
      <w:szCs w:val="24"/>
    </w:rPr>
  </w:style>
  <w:style w:type="paragraph" w:styleId="27">
    <w:name w:val="Subtitle"/>
    <w:basedOn w:val="1"/>
    <w:next w:val="1"/>
    <w:link w:val="223"/>
    <w:qFormat/>
    <w:uiPriority w:val="11"/>
    <w:pPr>
      <w:spacing w:before="240" w:after="60" w:line="312" w:lineRule="auto"/>
      <w:jc w:val="center"/>
      <w:outlineLvl w:val="1"/>
    </w:pPr>
    <w:rPr>
      <w:rFonts w:ascii="Cambria" w:hAnsi="Cambria" w:eastAsia="仿宋" w:cs="Times New Roman"/>
      <w:b/>
      <w:bCs/>
      <w:kern w:val="28"/>
      <w:sz w:val="32"/>
      <w:szCs w:val="32"/>
    </w:rPr>
  </w:style>
  <w:style w:type="paragraph" w:styleId="28">
    <w:name w:val="footnote text"/>
    <w:basedOn w:val="1"/>
    <w:link w:val="173"/>
    <w:qFormat/>
    <w:uiPriority w:val="0"/>
    <w:pPr>
      <w:snapToGrid w:val="0"/>
      <w:jc w:val="left"/>
    </w:pPr>
    <w:rPr>
      <w:rFonts w:ascii="Times New Roman" w:hAnsi="Times New Roman" w:eastAsia="宋体" w:cs="Times New Roman"/>
      <w:sz w:val="18"/>
      <w:szCs w:val="18"/>
    </w:rPr>
  </w:style>
  <w:style w:type="paragraph" w:styleId="29">
    <w:name w:val="toc 6"/>
    <w:basedOn w:val="1"/>
    <w:next w:val="1"/>
    <w:qFormat/>
    <w:uiPriority w:val="0"/>
    <w:pPr>
      <w:ind w:left="2100" w:leftChars="1000"/>
    </w:pPr>
    <w:rPr>
      <w:rFonts w:ascii="Times New Roman" w:hAnsi="Times New Roman" w:eastAsia="宋体" w:cs="Times New Roman"/>
      <w:szCs w:val="24"/>
    </w:rPr>
  </w:style>
  <w:style w:type="paragraph" w:styleId="30">
    <w:name w:val="Body Text Indent 3"/>
    <w:basedOn w:val="1"/>
    <w:link w:val="131"/>
    <w:qFormat/>
    <w:uiPriority w:val="99"/>
    <w:pPr>
      <w:spacing w:line="440" w:lineRule="exact"/>
      <w:ind w:firstLine="412" w:firstLineChars="200"/>
    </w:pPr>
    <w:rPr>
      <w:rFonts w:ascii="宋体" w:hAnsi="Calibri" w:eastAsia="宋体" w:cs="Times New Roman"/>
      <w:kern w:val="0"/>
      <w:sz w:val="20"/>
      <w:szCs w:val="20"/>
    </w:rPr>
  </w:style>
  <w:style w:type="paragraph" w:styleId="31">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32">
    <w:name w:val="toc 2"/>
    <w:basedOn w:val="1"/>
    <w:next w:val="1"/>
    <w:qFormat/>
    <w:uiPriority w:val="39"/>
    <w:pPr>
      <w:ind w:left="420" w:leftChars="200"/>
    </w:pPr>
    <w:rPr>
      <w:rFonts w:ascii="Times New Roman" w:hAnsi="Times New Roman" w:eastAsia="宋体" w:cs="Times New Roman"/>
      <w:szCs w:val="24"/>
    </w:rPr>
  </w:style>
  <w:style w:type="paragraph" w:styleId="33">
    <w:name w:val="toc 9"/>
    <w:basedOn w:val="1"/>
    <w:next w:val="1"/>
    <w:qFormat/>
    <w:uiPriority w:val="0"/>
    <w:pPr>
      <w:ind w:left="3360" w:leftChars="1600"/>
    </w:pPr>
    <w:rPr>
      <w:rFonts w:ascii="Times New Roman" w:hAnsi="Times New Roman" w:eastAsia="宋体" w:cs="Times New Roman"/>
      <w:szCs w:val="24"/>
    </w:rPr>
  </w:style>
  <w:style w:type="paragraph" w:styleId="34">
    <w:name w:val="Body Text 2"/>
    <w:basedOn w:val="1"/>
    <w:link w:val="206"/>
    <w:unhideWhenUsed/>
    <w:qFormat/>
    <w:uiPriority w:val="99"/>
    <w:pPr>
      <w:spacing w:after="120" w:line="480" w:lineRule="auto"/>
    </w:pPr>
  </w:style>
  <w:style w:type="paragraph" w:styleId="35">
    <w:name w:val="List Continue 2"/>
    <w:basedOn w:val="1"/>
    <w:qFormat/>
    <w:uiPriority w:val="99"/>
    <w:pPr>
      <w:spacing w:after="120"/>
      <w:ind w:left="840" w:leftChars="400"/>
    </w:pPr>
    <w:rPr>
      <w:rFonts w:ascii="Times New Roman" w:hAnsi="Times New Roman" w:eastAsia="宋体" w:cs="Times New Roman"/>
      <w:szCs w:val="24"/>
    </w:rPr>
  </w:style>
  <w:style w:type="paragraph" w:styleId="36">
    <w:name w:val="HTML Preformatted"/>
    <w:basedOn w:val="1"/>
    <w:link w:val="21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jc w:val="left"/>
    </w:pPr>
    <w:rPr>
      <w:rFonts w:ascii="Arial" w:hAnsi="Arial" w:cs="Arial"/>
      <w:kern w:val="0"/>
      <w:sz w:val="28"/>
      <w:szCs w:val="28"/>
    </w:rPr>
  </w:style>
  <w:style w:type="paragraph" w:styleId="37">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8">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9">
    <w:name w:val="Title"/>
    <w:basedOn w:val="1"/>
    <w:next w:val="1"/>
    <w:link w:val="159"/>
    <w:qFormat/>
    <w:uiPriority w:val="0"/>
    <w:pPr>
      <w:spacing w:before="240" w:after="60"/>
      <w:jc w:val="center"/>
      <w:outlineLvl w:val="0"/>
    </w:pPr>
    <w:rPr>
      <w:rFonts w:ascii="Cambria" w:hAnsi="Cambria" w:cs="Times New Roman"/>
      <w:b/>
      <w:bCs/>
      <w:sz w:val="32"/>
      <w:szCs w:val="32"/>
    </w:rPr>
  </w:style>
  <w:style w:type="paragraph" w:styleId="40">
    <w:name w:val="annotation subject"/>
    <w:basedOn w:val="12"/>
    <w:next w:val="12"/>
    <w:link w:val="166"/>
    <w:qFormat/>
    <w:uiPriority w:val="0"/>
    <w:rPr>
      <w:b/>
      <w:bCs/>
    </w:rPr>
  </w:style>
  <w:style w:type="paragraph" w:styleId="41">
    <w:name w:val="Body Text First Indent"/>
    <w:basedOn w:val="14"/>
    <w:link w:val="224"/>
    <w:qFormat/>
    <w:uiPriority w:val="0"/>
    <w:pPr>
      <w:autoSpaceDE w:val="0"/>
      <w:autoSpaceDN w:val="0"/>
      <w:adjustRightInd w:val="0"/>
      <w:spacing w:line="360" w:lineRule="auto"/>
      <w:ind w:firstLine="420" w:firstLineChars="200"/>
    </w:pPr>
    <w:rPr>
      <w:rFonts w:ascii="Arial" w:hAnsi="Arial"/>
      <w:sz w:val="20"/>
      <w:szCs w:val="21"/>
    </w:rPr>
  </w:style>
  <w:style w:type="paragraph" w:styleId="42">
    <w:name w:val="Body Text First Indent 2"/>
    <w:basedOn w:val="15"/>
    <w:next w:val="14"/>
    <w:link w:val="203"/>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rFonts w:cs="Times New Roman"/>
      <w:b/>
    </w:rPr>
  </w:style>
  <w:style w:type="character" w:styleId="47">
    <w:name w:val="page number"/>
    <w:basedOn w:val="45"/>
    <w:qFormat/>
    <w:uiPriority w:val="0"/>
    <w:rPr>
      <w:rFonts w:cs="Times New Roman"/>
    </w:rPr>
  </w:style>
  <w:style w:type="character" w:styleId="48">
    <w:name w:val="FollowedHyperlink"/>
    <w:basedOn w:val="45"/>
    <w:qFormat/>
    <w:uiPriority w:val="99"/>
    <w:rPr>
      <w:rFonts w:cs="Times New Roman"/>
      <w:color w:val="555555"/>
      <w:u w:val="none"/>
    </w:rPr>
  </w:style>
  <w:style w:type="character" w:styleId="49">
    <w:name w:val="Emphasis"/>
    <w:basedOn w:val="45"/>
    <w:qFormat/>
    <w:uiPriority w:val="0"/>
    <w:rPr>
      <w:rFonts w:cs="Times New Roman"/>
      <w:i/>
    </w:rPr>
  </w:style>
  <w:style w:type="character" w:styleId="50">
    <w:name w:val="HTML Definition"/>
    <w:basedOn w:val="45"/>
    <w:qFormat/>
    <w:uiPriority w:val="99"/>
    <w:rPr>
      <w:rFonts w:cs="Times New Roman"/>
    </w:rPr>
  </w:style>
  <w:style w:type="character" w:styleId="51">
    <w:name w:val="HTML Acronym"/>
    <w:basedOn w:val="45"/>
    <w:qFormat/>
    <w:uiPriority w:val="99"/>
    <w:rPr>
      <w:rFonts w:cs="Times New Roman"/>
    </w:rPr>
  </w:style>
  <w:style w:type="character" w:styleId="52">
    <w:name w:val="HTML Variable"/>
    <w:basedOn w:val="45"/>
    <w:qFormat/>
    <w:uiPriority w:val="99"/>
    <w:rPr>
      <w:rFonts w:cs="Times New Roman"/>
    </w:rPr>
  </w:style>
  <w:style w:type="character" w:styleId="53">
    <w:name w:val="Hyperlink"/>
    <w:basedOn w:val="45"/>
    <w:qFormat/>
    <w:uiPriority w:val="99"/>
    <w:rPr>
      <w:rFonts w:cs="Times New Roman"/>
      <w:color w:val="555555"/>
      <w:u w:val="none"/>
    </w:rPr>
  </w:style>
  <w:style w:type="character" w:styleId="54">
    <w:name w:val="HTML Code"/>
    <w:basedOn w:val="45"/>
    <w:qFormat/>
    <w:uiPriority w:val="99"/>
    <w:rPr>
      <w:rFonts w:ascii="monospace" w:hAnsi="monospace" w:cs="Times New Roman"/>
      <w:sz w:val="24"/>
    </w:rPr>
  </w:style>
  <w:style w:type="character" w:styleId="55">
    <w:name w:val="annotation reference"/>
    <w:qFormat/>
    <w:uiPriority w:val="0"/>
    <w:rPr>
      <w:sz w:val="21"/>
      <w:szCs w:val="21"/>
    </w:rPr>
  </w:style>
  <w:style w:type="character" w:styleId="56">
    <w:name w:val="HTML Cite"/>
    <w:basedOn w:val="45"/>
    <w:qFormat/>
    <w:uiPriority w:val="99"/>
    <w:rPr>
      <w:rFonts w:cs="Times New Roman"/>
    </w:rPr>
  </w:style>
  <w:style w:type="character" w:styleId="57">
    <w:name w:val="footnote reference"/>
    <w:semiHidden/>
    <w:qFormat/>
    <w:uiPriority w:val="0"/>
    <w:rPr>
      <w:vertAlign w:val="superscript"/>
    </w:rPr>
  </w:style>
  <w:style w:type="character" w:styleId="58">
    <w:name w:val="HTML Keyboard"/>
    <w:basedOn w:val="45"/>
    <w:qFormat/>
    <w:uiPriority w:val="99"/>
    <w:rPr>
      <w:rFonts w:ascii="monospace" w:hAnsi="monospace" w:cs="Times New Roman"/>
      <w:sz w:val="24"/>
    </w:rPr>
  </w:style>
  <w:style w:type="character" w:styleId="59">
    <w:name w:val="HTML Sample"/>
    <w:basedOn w:val="45"/>
    <w:qFormat/>
    <w:uiPriority w:val="99"/>
    <w:rPr>
      <w:rFonts w:ascii="monospace" w:hAnsi="monospace" w:cs="Times New Roman"/>
      <w:sz w:val="24"/>
    </w:rPr>
  </w:style>
  <w:style w:type="paragraph" w:customStyle="1" w:styleId="60">
    <w:name w:val="正文首行缩进1"/>
    <w:basedOn w:val="14"/>
    <w:qFormat/>
    <w:uiPriority w:val="0"/>
    <w:pPr>
      <w:ind w:firstLine="420" w:firstLineChars="100"/>
    </w:pPr>
    <w:rPr>
      <w:rFonts w:ascii="宋体" w:hAnsi="宋体"/>
      <w:sz w:val="21"/>
      <w:szCs w:val="18"/>
    </w:rPr>
  </w:style>
  <w:style w:type="paragraph" w:customStyle="1" w:styleId="61">
    <w:name w:val="目录 81"/>
    <w:basedOn w:val="1"/>
    <w:next w:val="1"/>
    <w:qFormat/>
    <w:uiPriority w:val="99"/>
    <w:pPr>
      <w:ind w:left="1470"/>
      <w:jc w:val="left"/>
    </w:pPr>
  </w:style>
  <w:style w:type="character" w:customStyle="1" w:styleId="62">
    <w:name w:val="标题 2 字符"/>
    <w:basedOn w:val="45"/>
    <w:link w:val="3"/>
    <w:qFormat/>
    <w:uiPriority w:val="99"/>
    <w:rPr>
      <w:rFonts w:ascii="???" w:hAnsi="???" w:eastAsia="宋体" w:cs="Arial"/>
      <w:b/>
      <w:bCs/>
      <w:color w:val="020000"/>
      <w:kern w:val="0"/>
      <w:sz w:val="32"/>
      <w:szCs w:val="32"/>
    </w:rPr>
  </w:style>
  <w:style w:type="character" w:customStyle="1" w:styleId="63">
    <w:name w:val="标题 1 字符"/>
    <w:basedOn w:val="45"/>
    <w:link w:val="2"/>
    <w:qFormat/>
    <w:uiPriority w:val="9"/>
    <w:rPr>
      <w:rFonts w:ascii="???" w:hAnsi="???" w:eastAsia="宋体" w:cs="Arial"/>
      <w:b/>
      <w:bCs/>
      <w:color w:val="020000"/>
      <w:kern w:val="36"/>
      <w:sz w:val="44"/>
      <w:szCs w:val="44"/>
    </w:rPr>
  </w:style>
  <w:style w:type="character" w:customStyle="1" w:styleId="64">
    <w:name w:val="标题 3 字符"/>
    <w:basedOn w:val="45"/>
    <w:link w:val="4"/>
    <w:qFormat/>
    <w:uiPriority w:val="99"/>
    <w:rPr>
      <w:rFonts w:ascii="??" w:hAnsi="??" w:eastAsia="宋体" w:cs="Arial"/>
      <w:b/>
      <w:bCs/>
      <w:color w:val="000000"/>
      <w:kern w:val="0"/>
      <w:sz w:val="32"/>
      <w:szCs w:val="32"/>
    </w:rPr>
  </w:style>
  <w:style w:type="character" w:customStyle="1" w:styleId="65">
    <w:name w:val="页眉 字符"/>
    <w:basedOn w:val="45"/>
    <w:link w:val="24"/>
    <w:qFormat/>
    <w:uiPriority w:val="99"/>
    <w:rPr>
      <w:rFonts w:ascii="Calibri" w:hAnsi="Calibri" w:eastAsia="宋体" w:cs="Times New Roman"/>
      <w:sz w:val="18"/>
      <w:szCs w:val="18"/>
    </w:rPr>
  </w:style>
  <w:style w:type="character" w:customStyle="1" w:styleId="66">
    <w:name w:val="页脚 字符"/>
    <w:basedOn w:val="45"/>
    <w:link w:val="23"/>
    <w:qFormat/>
    <w:uiPriority w:val="99"/>
    <w:rPr>
      <w:rFonts w:ascii="Calibri" w:hAnsi="Calibri" w:eastAsia="宋体" w:cs="Times New Roman"/>
      <w:sz w:val="18"/>
      <w:szCs w:val="18"/>
    </w:rPr>
  </w:style>
  <w:style w:type="character" w:customStyle="1" w:styleId="67">
    <w:name w:val="正文文本缩进 字符"/>
    <w:basedOn w:val="45"/>
    <w:link w:val="15"/>
    <w:qFormat/>
    <w:uiPriority w:val="0"/>
    <w:rPr>
      <w:rFonts w:ascii="??" w:hAnsi="??" w:eastAsia="宋体" w:cs="Arial"/>
      <w:kern w:val="0"/>
      <w:sz w:val="24"/>
      <w:szCs w:val="24"/>
    </w:rPr>
  </w:style>
  <w:style w:type="paragraph" w:customStyle="1" w:styleId="68">
    <w:name w:val="列出段落1"/>
    <w:basedOn w:val="1"/>
    <w:link w:val="209"/>
    <w:qFormat/>
    <w:uiPriority w:val="0"/>
    <w:pPr>
      <w:ind w:firstLine="420" w:firstLineChars="200"/>
    </w:pPr>
    <w:rPr>
      <w:rFonts w:ascii="Calibri" w:hAnsi="Calibri" w:eastAsia="宋体" w:cs="Times New Roman"/>
    </w:rPr>
  </w:style>
  <w:style w:type="character" w:customStyle="1" w:styleId="69">
    <w:name w:val="标题 2 Char Char"/>
    <w:qFormat/>
    <w:uiPriority w:val="99"/>
    <w:rPr>
      <w:rFonts w:ascii="Arial" w:hAnsi="Arial" w:eastAsia="黑体"/>
      <w:b/>
      <w:kern w:val="2"/>
      <w:sz w:val="32"/>
      <w:lang w:val="en-US" w:eastAsia="zh-CN"/>
    </w:rPr>
  </w:style>
  <w:style w:type="character" w:customStyle="1" w:styleId="70">
    <w:name w:val="2charchar"/>
    <w:basedOn w:val="45"/>
    <w:qFormat/>
    <w:uiPriority w:val="99"/>
    <w:rPr>
      <w:rFonts w:cs="Times New Roman"/>
    </w:rPr>
  </w:style>
  <w:style w:type="paragraph" w:customStyle="1" w:styleId="71">
    <w:name w:val="表格文字"/>
    <w:basedOn w:val="1"/>
    <w:qFormat/>
    <w:uiPriority w:val="0"/>
    <w:pPr>
      <w:adjustRightInd w:val="0"/>
      <w:spacing w:line="420" w:lineRule="atLeast"/>
      <w:jc w:val="left"/>
    </w:pPr>
    <w:rPr>
      <w:rFonts w:ascii="Times New Roman" w:hAnsi="Times New Roman" w:eastAsia="宋体" w:cs="Times New Roman"/>
      <w:kern w:val="0"/>
      <w:szCs w:val="20"/>
    </w:rPr>
  </w:style>
  <w:style w:type="paragraph" w:customStyle="1" w:styleId="72">
    <w:name w:val="z-窗体顶端1"/>
    <w:basedOn w:val="1"/>
    <w:next w:val="1"/>
    <w:link w:val="73"/>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3">
    <w:name w:val="z-窗体顶端 Char"/>
    <w:basedOn w:val="45"/>
    <w:link w:val="72"/>
    <w:semiHidden/>
    <w:qFormat/>
    <w:uiPriority w:val="99"/>
    <w:rPr>
      <w:rFonts w:ascii="Arial" w:hAnsi="Arial" w:eastAsia="宋体" w:cs="Arial"/>
      <w:vanish/>
      <w:kern w:val="0"/>
      <w:sz w:val="16"/>
      <w:szCs w:val="16"/>
    </w:rPr>
  </w:style>
  <w:style w:type="paragraph" w:customStyle="1" w:styleId="74">
    <w:name w:val="z-窗体底端1"/>
    <w:basedOn w:val="1"/>
    <w:next w:val="1"/>
    <w:link w:val="75"/>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5">
    <w:name w:val="z-窗体底端 Char"/>
    <w:basedOn w:val="45"/>
    <w:link w:val="74"/>
    <w:semiHidden/>
    <w:qFormat/>
    <w:uiPriority w:val="99"/>
    <w:rPr>
      <w:rFonts w:ascii="Arial" w:hAnsi="Arial" w:eastAsia="宋体" w:cs="Arial"/>
      <w:vanish/>
      <w:kern w:val="0"/>
      <w:sz w:val="16"/>
      <w:szCs w:val="16"/>
    </w:rPr>
  </w:style>
  <w:style w:type="paragraph" w:customStyle="1" w:styleId="76">
    <w:name w:val="hu正文"/>
    <w:basedOn w:val="1"/>
    <w:link w:val="77"/>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7">
    <w:name w:val="hu正文 Char"/>
    <w:link w:val="76"/>
    <w:qFormat/>
    <w:locked/>
    <w:uiPriority w:val="99"/>
    <w:rPr>
      <w:rFonts w:ascii="Times New Roman" w:hAnsi="Times New Roman" w:eastAsia="宋体" w:cs="Times New Roman"/>
      <w:kern w:val="0"/>
      <w:sz w:val="24"/>
      <w:szCs w:val="20"/>
    </w:rPr>
  </w:style>
  <w:style w:type="paragraph" w:customStyle="1" w:styleId="78">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9">
    <w:name w:val="批注框文本 字符"/>
    <w:basedOn w:val="45"/>
    <w:link w:val="22"/>
    <w:qFormat/>
    <w:uiPriority w:val="0"/>
    <w:rPr>
      <w:rFonts w:ascii="Calibri" w:hAnsi="Calibri" w:eastAsia="宋体" w:cs="Times New Roman"/>
      <w:sz w:val="18"/>
      <w:szCs w:val="18"/>
    </w:rPr>
  </w:style>
  <w:style w:type="character" w:customStyle="1" w:styleId="80">
    <w:name w:val="ui-bz-bg-hover1"/>
    <w:basedOn w:val="45"/>
    <w:qFormat/>
    <w:uiPriority w:val="99"/>
    <w:rPr>
      <w:rFonts w:cs="Times New Roman"/>
    </w:rPr>
  </w:style>
  <w:style w:type="character" w:customStyle="1" w:styleId="81">
    <w:name w:val="批注框文本 Char1"/>
    <w:qFormat/>
    <w:uiPriority w:val="99"/>
    <w:rPr>
      <w:rFonts w:ascii="Times New Roman" w:hAnsi="Times New Roman" w:eastAsia="宋体"/>
      <w:sz w:val="18"/>
    </w:rPr>
  </w:style>
  <w:style w:type="character" w:customStyle="1" w:styleId="82">
    <w:name w:val="bds_nopic"/>
    <w:basedOn w:val="45"/>
    <w:qFormat/>
    <w:uiPriority w:val="99"/>
    <w:rPr>
      <w:rFonts w:cs="Times New Roman"/>
    </w:rPr>
  </w:style>
  <w:style w:type="character" w:customStyle="1" w:styleId="83">
    <w:name w:val="tip12"/>
    <w:qFormat/>
    <w:uiPriority w:val="99"/>
    <w:rPr>
      <w:vanish/>
      <w:color w:val="FF0000"/>
      <w:sz w:val="18"/>
    </w:rPr>
  </w:style>
  <w:style w:type="character" w:customStyle="1" w:styleId="84">
    <w:name w:val="Body Text Indent 3 Char"/>
    <w:qFormat/>
    <w:locked/>
    <w:uiPriority w:val="99"/>
    <w:rPr>
      <w:rFonts w:ascii="宋体" w:eastAsia="宋体"/>
    </w:rPr>
  </w:style>
  <w:style w:type="character" w:customStyle="1" w:styleId="85">
    <w:name w:val="HTML Markup"/>
    <w:qFormat/>
    <w:uiPriority w:val="99"/>
    <w:rPr>
      <w:vanish/>
      <w:color w:val="FF0000"/>
    </w:rPr>
  </w:style>
  <w:style w:type="character" w:customStyle="1" w:styleId="86">
    <w:name w:val="tip7"/>
    <w:qFormat/>
    <w:uiPriority w:val="99"/>
    <w:rPr>
      <w:vanish/>
      <w:color w:val="FF0000"/>
      <w:sz w:val="18"/>
    </w:rPr>
  </w:style>
  <w:style w:type="character" w:customStyle="1" w:styleId="87">
    <w:name w:val="f-star"/>
    <w:qFormat/>
    <w:uiPriority w:val="99"/>
    <w:rPr>
      <w:color w:val="999999"/>
      <w:sz w:val="21"/>
    </w:rPr>
  </w:style>
  <w:style w:type="character" w:customStyle="1" w:styleId="88">
    <w:name w:val="Document Map Char1"/>
    <w:qFormat/>
    <w:uiPriority w:val="99"/>
    <w:rPr>
      <w:rFonts w:ascii="Times New Roman" w:hAnsi="Times New Roman"/>
      <w:kern w:val="2"/>
      <w:sz w:val="2"/>
    </w:rPr>
  </w:style>
  <w:style w:type="character" w:customStyle="1" w:styleId="89">
    <w:name w:val="my-class2"/>
    <w:basedOn w:val="45"/>
    <w:qFormat/>
    <w:uiPriority w:val="99"/>
    <w:rPr>
      <w:rFonts w:cs="Times New Roman"/>
    </w:rPr>
  </w:style>
  <w:style w:type="character" w:customStyle="1" w:styleId="90">
    <w:name w:val="no52"/>
    <w:basedOn w:val="45"/>
    <w:qFormat/>
    <w:uiPriority w:val="99"/>
    <w:rPr>
      <w:rFonts w:cs="Times New Roman"/>
    </w:rPr>
  </w:style>
  <w:style w:type="character" w:customStyle="1" w:styleId="91">
    <w:name w:val="no4"/>
    <w:basedOn w:val="45"/>
    <w:qFormat/>
    <w:uiPriority w:val="99"/>
    <w:rPr>
      <w:rFonts w:cs="Times New Roman"/>
    </w:rPr>
  </w:style>
  <w:style w:type="character" w:customStyle="1" w:styleId="92">
    <w:name w:val="my-notice"/>
    <w:basedOn w:val="45"/>
    <w:qFormat/>
    <w:uiPriority w:val="99"/>
    <w:rPr>
      <w:rFonts w:cs="Times New Roman"/>
    </w:rPr>
  </w:style>
  <w:style w:type="character" w:customStyle="1" w:styleId="93">
    <w:name w:val="ico-jiang"/>
    <w:basedOn w:val="45"/>
    <w:qFormat/>
    <w:uiPriority w:val="99"/>
    <w:rPr>
      <w:rFonts w:cs="Times New Roman"/>
    </w:rPr>
  </w:style>
  <w:style w:type="character" w:customStyle="1" w:styleId="94">
    <w:name w:val="ico-jiang2"/>
    <w:basedOn w:val="45"/>
    <w:qFormat/>
    <w:uiPriority w:val="99"/>
    <w:rPr>
      <w:rFonts w:cs="Times New Roman"/>
    </w:rPr>
  </w:style>
  <w:style w:type="character" w:customStyle="1" w:styleId="95">
    <w:name w:val="bds_more1"/>
    <w:qFormat/>
    <w:uiPriority w:val="99"/>
    <w:rPr>
      <w:rFonts w:ascii="宋体" w:hAnsi="宋体" w:eastAsia="宋体"/>
    </w:rPr>
  </w:style>
  <w:style w:type="character" w:customStyle="1" w:styleId="96">
    <w:name w:val="Body Text Indent 2 Char"/>
    <w:qFormat/>
    <w:locked/>
    <w:uiPriority w:val="99"/>
    <w:rPr>
      <w:rFonts w:ascii="宋体" w:eastAsia="宋体"/>
      <w:sz w:val="24"/>
    </w:rPr>
  </w:style>
  <w:style w:type="character" w:customStyle="1" w:styleId="97">
    <w:name w:val="org_name"/>
    <w:basedOn w:val="45"/>
    <w:qFormat/>
    <w:uiPriority w:val="99"/>
    <w:rPr>
      <w:rFonts w:cs="Times New Roman"/>
    </w:rPr>
  </w:style>
  <w:style w:type="character" w:customStyle="1" w:styleId="98">
    <w:name w:val="org_name2"/>
    <w:basedOn w:val="45"/>
    <w:qFormat/>
    <w:uiPriority w:val="99"/>
    <w:rPr>
      <w:rFonts w:cs="Times New Roman"/>
    </w:rPr>
  </w:style>
  <w:style w:type="character" w:customStyle="1" w:styleId="99">
    <w:name w:val="tip10"/>
    <w:qFormat/>
    <w:uiPriority w:val="99"/>
    <w:rPr>
      <w:vanish/>
      <w:color w:val="FF0000"/>
      <w:sz w:val="18"/>
    </w:rPr>
  </w:style>
  <w:style w:type="character" w:customStyle="1" w:styleId="100">
    <w:name w:val="orange"/>
    <w:qFormat/>
    <w:uiPriority w:val="99"/>
    <w:rPr>
      <w:color w:val="3FB58F"/>
    </w:rPr>
  </w:style>
  <w:style w:type="character" w:customStyle="1" w:styleId="101">
    <w:name w:val="bds_more"/>
    <w:basedOn w:val="45"/>
    <w:qFormat/>
    <w:uiPriority w:val="99"/>
    <w:rPr>
      <w:rFonts w:cs="Times New Roman"/>
    </w:rPr>
  </w:style>
  <w:style w:type="character" w:customStyle="1" w:styleId="102">
    <w:name w:val="t-tag"/>
    <w:qFormat/>
    <w:uiPriority w:val="99"/>
    <w:rPr>
      <w:color w:val="FFFFFF"/>
      <w:sz w:val="18"/>
      <w:shd w:val="clear" w:color="auto" w:fill="FE8833"/>
    </w:rPr>
  </w:style>
  <w:style w:type="character" w:customStyle="1" w:styleId="103">
    <w:name w:val="top-icon"/>
    <w:basedOn w:val="45"/>
    <w:qFormat/>
    <w:uiPriority w:val="99"/>
    <w:rPr>
      <w:rFonts w:cs="Times New Roman"/>
    </w:rPr>
  </w:style>
  <w:style w:type="character" w:customStyle="1" w:styleId="104">
    <w:name w:val="Body Text Char"/>
    <w:qFormat/>
    <w:locked/>
    <w:uiPriority w:val="99"/>
    <w:rPr>
      <w:sz w:val="24"/>
    </w:rPr>
  </w:style>
  <w:style w:type="character" w:customStyle="1" w:styleId="105">
    <w:name w:val="no72"/>
    <w:basedOn w:val="45"/>
    <w:qFormat/>
    <w:uiPriority w:val="99"/>
    <w:rPr>
      <w:rFonts w:cs="Times New Roman"/>
    </w:rPr>
  </w:style>
  <w:style w:type="character" w:customStyle="1" w:styleId="106">
    <w:name w:val="bds_nopic2"/>
    <w:basedOn w:val="45"/>
    <w:qFormat/>
    <w:uiPriority w:val="99"/>
    <w:rPr>
      <w:rFonts w:cs="Times New Roman"/>
    </w:rPr>
  </w:style>
  <w:style w:type="character" w:customStyle="1" w:styleId="107">
    <w:name w:val="Document Map Char"/>
    <w:qFormat/>
    <w:uiPriority w:val="99"/>
    <w:rPr>
      <w:rFonts w:ascii="宋体"/>
      <w:sz w:val="18"/>
    </w:rPr>
  </w:style>
  <w:style w:type="character" w:customStyle="1" w:styleId="108">
    <w:name w:val="no6"/>
    <w:basedOn w:val="45"/>
    <w:qFormat/>
    <w:uiPriority w:val="99"/>
    <w:rPr>
      <w:rFonts w:cs="Times New Roman"/>
    </w:rPr>
  </w:style>
  <w:style w:type="character" w:customStyle="1" w:styleId="109">
    <w:name w:val="tip"/>
    <w:qFormat/>
    <w:uiPriority w:val="99"/>
    <w:rPr>
      <w:vanish/>
      <w:color w:val="FF0000"/>
      <w:sz w:val="18"/>
    </w:rPr>
  </w:style>
  <w:style w:type="character" w:customStyle="1" w:styleId="110">
    <w:name w:val="apple-converted-space"/>
    <w:basedOn w:val="45"/>
    <w:qFormat/>
    <w:uiPriority w:val="99"/>
    <w:rPr>
      <w:rFonts w:cs="Times New Roman"/>
    </w:rPr>
  </w:style>
  <w:style w:type="character" w:customStyle="1" w:styleId="111">
    <w:name w:val="bds_more2"/>
    <w:basedOn w:val="45"/>
    <w:qFormat/>
    <w:uiPriority w:val="99"/>
    <w:rPr>
      <w:rFonts w:cs="Times New Roman"/>
    </w:rPr>
  </w:style>
  <w:style w:type="character" w:customStyle="1" w:styleId="112">
    <w:name w:val="my-class"/>
    <w:basedOn w:val="45"/>
    <w:qFormat/>
    <w:uiPriority w:val="99"/>
    <w:rPr>
      <w:rFonts w:cs="Times New Roman"/>
    </w:rPr>
  </w:style>
  <w:style w:type="character" w:customStyle="1" w:styleId="113">
    <w:name w:val="ui-bz-bg-hover"/>
    <w:qFormat/>
    <w:uiPriority w:val="99"/>
    <w:rPr>
      <w:shd w:val="clear" w:color="auto" w:fill="000000"/>
    </w:rPr>
  </w:style>
  <w:style w:type="character" w:customStyle="1" w:styleId="114">
    <w:name w:val="no7"/>
    <w:basedOn w:val="45"/>
    <w:qFormat/>
    <w:uiPriority w:val="99"/>
    <w:rPr>
      <w:rFonts w:cs="Times New Roman"/>
    </w:rPr>
  </w:style>
  <w:style w:type="character" w:customStyle="1" w:styleId="115">
    <w:name w:val="正文缩进 字符"/>
    <w:link w:val="9"/>
    <w:qFormat/>
    <w:locked/>
    <w:uiPriority w:val="0"/>
    <w:rPr>
      <w:rFonts w:ascii="Times New Roman" w:hAnsi="Times New Roman" w:eastAsia="宋体" w:cs="Times New Roman"/>
      <w:kern w:val="0"/>
      <w:sz w:val="24"/>
      <w:szCs w:val="20"/>
    </w:rPr>
  </w:style>
  <w:style w:type="character" w:customStyle="1" w:styleId="116">
    <w:name w:val="ico-jiang1"/>
    <w:basedOn w:val="45"/>
    <w:qFormat/>
    <w:uiPriority w:val="99"/>
    <w:rPr>
      <w:rFonts w:cs="Times New Roman"/>
    </w:rPr>
  </w:style>
  <w:style w:type="character" w:customStyle="1" w:styleId="117">
    <w:name w:val="no62"/>
    <w:basedOn w:val="45"/>
    <w:qFormat/>
    <w:uiPriority w:val="99"/>
    <w:rPr>
      <w:rFonts w:cs="Times New Roman"/>
    </w:rPr>
  </w:style>
  <w:style w:type="character" w:customStyle="1" w:styleId="118">
    <w:name w:val="orange5"/>
    <w:qFormat/>
    <w:uiPriority w:val="99"/>
    <w:rPr>
      <w:color w:val="3FB58F"/>
    </w:rPr>
  </w:style>
  <w:style w:type="character" w:customStyle="1" w:styleId="119">
    <w:name w:val="bds_more4"/>
    <w:basedOn w:val="45"/>
    <w:qFormat/>
    <w:uiPriority w:val="99"/>
    <w:rPr>
      <w:rFonts w:cs="Times New Roman"/>
    </w:rPr>
  </w:style>
  <w:style w:type="character" w:customStyle="1" w:styleId="120">
    <w:name w:val="no5"/>
    <w:basedOn w:val="45"/>
    <w:qFormat/>
    <w:uiPriority w:val="99"/>
    <w:rPr>
      <w:rFonts w:cs="Times New Roman"/>
    </w:rPr>
  </w:style>
  <w:style w:type="character" w:customStyle="1" w:styleId="121">
    <w:name w:val="bds_more3"/>
    <w:basedOn w:val="45"/>
    <w:qFormat/>
    <w:uiPriority w:val="99"/>
    <w:rPr>
      <w:rFonts w:cs="Times New Roman"/>
    </w:rPr>
  </w:style>
  <w:style w:type="character" w:customStyle="1" w:styleId="122">
    <w:name w:val="no42"/>
    <w:basedOn w:val="45"/>
    <w:qFormat/>
    <w:uiPriority w:val="99"/>
    <w:rPr>
      <w:rFonts w:cs="Times New Roman"/>
    </w:rPr>
  </w:style>
  <w:style w:type="character" w:customStyle="1" w:styleId="123">
    <w:name w:val="bds_nopic1"/>
    <w:basedOn w:val="45"/>
    <w:qFormat/>
    <w:uiPriority w:val="99"/>
    <w:rPr>
      <w:rFonts w:cs="Times New Roman"/>
    </w:rPr>
  </w:style>
  <w:style w:type="character" w:customStyle="1" w:styleId="124">
    <w:name w:val="my-notice1"/>
    <w:basedOn w:val="45"/>
    <w:qFormat/>
    <w:uiPriority w:val="99"/>
    <w:rPr>
      <w:rFonts w:cs="Times New Roman"/>
    </w:rPr>
  </w:style>
  <w:style w:type="character" w:customStyle="1" w:styleId="125">
    <w:name w:val="orange6"/>
    <w:qFormat/>
    <w:uiPriority w:val="99"/>
    <w:rPr>
      <w:color w:val="3FB58F"/>
    </w:rPr>
  </w:style>
  <w:style w:type="character" w:customStyle="1" w:styleId="126">
    <w:name w:val="Document Map Char2"/>
    <w:qFormat/>
    <w:locked/>
    <w:uiPriority w:val="99"/>
    <w:rPr>
      <w:rFonts w:ascii="宋体"/>
      <w:sz w:val="18"/>
    </w:rPr>
  </w:style>
  <w:style w:type="character" w:customStyle="1" w:styleId="127">
    <w:name w:val="ico-jiang3"/>
    <w:basedOn w:val="45"/>
    <w:qFormat/>
    <w:uiPriority w:val="99"/>
    <w:rPr>
      <w:rFonts w:cs="Times New Roman"/>
    </w:rPr>
  </w:style>
  <w:style w:type="character" w:customStyle="1" w:styleId="128">
    <w:name w:val="tip13"/>
    <w:qFormat/>
    <w:uiPriority w:val="99"/>
    <w:rPr>
      <w:vanish/>
      <w:color w:val="FF0000"/>
      <w:sz w:val="18"/>
    </w:rPr>
  </w:style>
  <w:style w:type="character" w:customStyle="1" w:styleId="129">
    <w:name w:val="正文文本缩进 2 字符"/>
    <w:basedOn w:val="45"/>
    <w:link w:val="21"/>
    <w:qFormat/>
    <w:uiPriority w:val="99"/>
    <w:rPr>
      <w:rFonts w:ascii="宋体" w:hAnsi="Calibri" w:eastAsia="宋体" w:cs="Times New Roman"/>
      <w:kern w:val="0"/>
      <w:sz w:val="24"/>
      <w:szCs w:val="20"/>
    </w:rPr>
  </w:style>
  <w:style w:type="character" w:customStyle="1" w:styleId="130">
    <w:name w:val="Body Text Indent 2 Char1"/>
    <w:basedOn w:val="45"/>
    <w:semiHidden/>
    <w:qFormat/>
    <w:locked/>
    <w:uiPriority w:val="99"/>
    <w:rPr>
      <w:rFonts w:cs="Times New Roman"/>
    </w:rPr>
  </w:style>
  <w:style w:type="character" w:customStyle="1" w:styleId="131">
    <w:name w:val="正文文本缩进 3 字符"/>
    <w:basedOn w:val="45"/>
    <w:link w:val="30"/>
    <w:qFormat/>
    <w:uiPriority w:val="99"/>
    <w:rPr>
      <w:rFonts w:ascii="宋体" w:hAnsi="Calibri" w:eastAsia="宋体" w:cs="Times New Roman"/>
      <w:kern w:val="0"/>
      <w:sz w:val="20"/>
      <w:szCs w:val="20"/>
    </w:rPr>
  </w:style>
  <w:style w:type="character" w:customStyle="1" w:styleId="132">
    <w:name w:val="Body Text Indent 3 Char1"/>
    <w:basedOn w:val="45"/>
    <w:semiHidden/>
    <w:qFormat/>
    <w:locked/>
    <w:uiPriority w:val="99"/>
    <w:rPr>
      <w:rFonts w:cs="Times New Roman"/>
      <w:sz w:val="16"/>
      <w:szCs w:val="16"/>
    </w:rPr>
  </w:style>
  <w:style w:type="character" w:customStyle="1" w:styleId="133">
    <w:name w:val="文档结构图 字符"/>
    <w:basedOn w:val="45"/>
    <w:link w:val="10"/>
    <w:qFormat/>
    <w:uiPriority w:val="99"/>
    <w:rPr>
      <w:rFonts w:ascii="宋体" w:hAnsi="Calibri" w:eastAsia="宋体" w:cs="Times New Roman"/>
      <w:kern w:val="0"/>
      <w:sz w:val="18"/>
      <w:szCs w:val="20"/>
    </w:rPr>
  </w:style>
  <w:style w:type="character" w:customStyle="1" w:styleId="134">
    <w:name w:val="Document Map Char3"/>
    <w:basedOn w:val="45"/>
    <w:semiHidden/>
    <w:qFormat/>
    <w:locked/>
    <w:uiPriority w:val="99"/>
    <w:rPr>
      <w:rFonts w:ascii="Times New Roman" w:hAnsi="Times New Roman" w:cs="Times New Roman"/>
      <w:sz w:val="2"/>
    </w:rPr>
  </w:style>
  <w:style w:type="paragraph" w:customStyle="1" w:styleId="135">
    <w:name w:val="_Style 1"/>
    <w:basedOn w:val="1"/>
    <w:qFormat/>
    <w:uiPriority w:val="99"/>
    <w:pPr>
      <w:ind w:firstLine="420" w:firstLineChars="200"/>
    </w:pPr>
    <w:rPr>
      <w:rFonts w:ascii="Times New Roman" w:hAnsi="Times New Roman" w:eastAsia="宋体" w:cs="Times New Roman"/>
      <w:szCs w:val="24"/>
    </w:rPr>
  </w:style>
  <w:style w:type="character" w:customStyle="1" w:styleId="136">
    <w:name w:val="正文文本 字符"/>
    <w:basedOn w:val="45"/>
    <w:link w:val="14"/>
    <w:qFormat/>
    <w:uiPriority w:val="99"/>
    <w:rPr>
      <w:rFonts w:ascii="Calibri" w:hAnsi="Calibri" w:eastAsia="宋体" w:cs="Times New Roman"/>
      <w:kern w:val="0"/>
      <w:sz w:val="24"/>
      <w:szCs w:val="20"/>
    </w:rPr>
  </w:style>
  <w:style w:type="character" w:customStyle="1" w:styleId="137">
    <w:name w:val="Body Text Char1"/>
    <w:basedOn w:val="45"/>
    <w:semiHidden/>
    <w:qFormat/>
    <w:locked/>
    <w:uiPriority w:val="99"/>
    <w:rPr>
      <w:rFonts w:cs="Times New Roman"/>
    </w:rPr>
  </w:style>
  <w:style w:type="paragraph" w:customStyle="1" w:styleId="138">
    <w:name w:val="_Style 21"/>
    <w:basedOn w:val="1"/>
    <w:qFormat/>
    <w:uiPriority w:val="99"/>
    <w:rPr>
      <w:rFonts w:ascii="Times New Roman" w:hAnsi="Times New Roman" w:eastAsia="宋体" w:cs="Times New Roman"/>
      <w:szCs w:val="20"/>
    </w:rPr>
  </w:style>
  <w:style w:type="paragraph" w:customStyle="1" w:styleId="139">
    <w:name w:val="p0"/>
    <w:basedOn w:val="1"/>
    <w:qFormat/>
    <w:uiPriority w:val="0"/>
    <w:pPr>
      <w:widowControl/>
    </w:pPr>
    <w:rPr>
      <w:rFonts w:ascii="Times New Roman" w:hAnsi="Times New Roman" w:eastAsia="宋体" w:cs="Times New Roman"/>
      <w:kern w:val="0"/>
      <w:szCs w:val="21"/>
    </w:rPr>
  </w:style>
  <w:style w:type="paragraph" w:customStyle="1" w:styleId="140">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41">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2">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3">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4">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5">
    <w:name w:val="_Style 2"/>
    <w:basedOn w:val="1"/>
    <w:qFormat/>
    <w:uiPriority w:val="34"/>
    <w:pPr>
      <w:ind w:firstLine="420" w:firstLineChars="200"/>
    </w:pPr>
    <w:rPr>
      <w:rFonts w:ascii="Calibri" w:hAnsi="Calibri" w:eastAsia="宋体" w:cs="Times New Roman"/>
    </w:rPr>
  </w:style>
  <w:style w:type="paragraph" w:customStyle="1" w:styleId="146">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7">
    <w:name w:val="_Style 11"/>
    <w:basedOn w:val="1"/>
    <w:qFormat/>
    <w:uiPriority w:val="99"/>
    <w:rPr>
      <w:rFonts w:ascii="Times New Roman" w:hAnsi="Times New Roman" w:eastAsia="宋体" w:cs="Times New Roman"/>
      <w:szCs w:val="24"/>
    </w:rPr>
  </w:style>
  <w:style w:type="paragraph" w:customStyle="1" w:styleId="148">
    <w:name w:val="Char"/>
    <w:basedOn w:val="1"/>
    <w:qFormat/>
    <w:uiPriority w:val="99"/>
    <w:rPr>
      <w:rFonts w:ascii="Times New Roman" w:hAnsi="Times New Roman" w:eastAsia="宋体" w:cs="Times New Roman"/>
      <w:szCs w:val="21"/>
    </w:rPr>
  </w:style>
  <w:style w:type="paragraph" w:customStyle="1" w:styleId="149">
    <w:name w:val="列出段落12"/>
    <w:basedOn w:val="1"/>
    <w:qFormat/>
    <w:uiPriority w:val="99"/>
    <w:pPr>
      <w:ind w:firstLine="420" w:firstLineChars="200"/>
    </w:pPr>
    <w:rPr>
      <w:rFonts w:ascii="Times New Roman" w:hAnsi="Times New Roman" w:eastAsia="宋体" w:cs="Times New Roman"/>
      <w:szCs w:val="24"/>
    </w:rPr>
  </w:style>
  <w:style w:type="paragraph" w:customStyle="1" w:styleId="150">
    <w:name w:val="列出段落2"/>
    <w:basedOn w:val="1"/>
    <w:qFormat/>
    <w:uiPriority w:val="99"/>
    <w:pPr>
      <w:ind w:firstLine="420" w:firstLineChars="200"/>
    </w:pPr>
    <w:rPr>
      <w:rFonts w:ascii="Times New Roman" w:hAnsi="Times New Roman" w:eastAsia="宋体" w:cs="Times New Roman"/>
      <w:szCs w:val="24"/>
    </w:rPr>
  </w:style>
  <w:style w:type="paragraph" w:customStyle="1" w:styleId="151">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52">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53">
    <w:name w:val="font41"/>
    <w:qFormat/>
    <w:uiPriority w:val="99"/>
    <w:rPr>
      <w:rFonts w:hint="eastAsia" w:ascii="宋体" w:hAnsi="宋体" w:eastAsia="宋体" w:cs="宋体"/>
      <w:b/>
      <w:color w:val="000000"/>
      <w:sz w:val="22"/>
      <w:szCs w:val="22"/>
      <w:u w:val="none"/>
    </w:rPr>
  </w:style>
  <w:style w:type="character" w:customStyle="1" w:styleId="154">
    <w:name w:val="font81"/>
    <w:qFormat/>
    <w:uiPriority w:val="0"/>
    <w:rPr>
      <w:rFonts w:hint="eastAsia" w:ascii="宋体" w:hAnsi="宋体" w:eastAsia="宋体" w:cs="宋体"/>
      <w:b/>
      <w:color w:val="000000"/>
      <w:sz w:val="22"/>
      <w:szCs w:val="22"/>
      <w:u w:val="none"/>
    </w:rPr>
  </w:style>
  <w:style w:type="character" w:customStyle="1" w:styleId="155">
    <w:name w:val="font21"/>
    <w:qFormat/>
    <w:uiPriority w:val="0"/>
    <w:rPr>
      <w:rFonts w:hint="eastAsia" w:ascii="宋体" w:hAnsi="宋体" w:eastAsia="宋体" w:cs="宋体"/>
      <w:color w:val="000000"/>
      <w:sz w:val="18"/>
      <w:szCs w:val="18"/>
      <w:u w:val="none"/>
    </w:rPr>
  </w:style>
  <w:style w:type="character" w:customStyle="1" w:styleId="156">
    <w:name w:val="日期 字符"/>
    <w:link w:val="20"/>
    <w:qFormat/>
    <w:uiPriority w:val="0"/>
    <w:rPr>
      <w:szCs w:val="21"/>
    </w:rPr>
  </w:style>
  <w:style w:type="character" w:customStyle="1" w:styleId="157">
    <w:name w:val="font01"/>
    <w:qFormat/>
    <w:uiPriority w:val="99"/>
    <w:rPr>
      <w:rFonts w:hint="eastAsia" w:ascii="宋体" w:hAnsi="宋体" w:eastAsia="宋体" w:cs="宋体"/>
      <w:color w:val="000000"/>
      <w:sz w:val="22"/>
      <w:szCs w:val="22"/>
      <w:u w:val="none"/>
    </w:rPr>
  </w:style>
  <w:style w:type="character" w:customStyle="1" w:styleId="158">
    <w:name w:val="Char Char1"/>
    <w:qFormat/>
    <w:uiPriority w:val="0"/>
    <w:rPr>
      <w:rFonts w:eastAsia="宋体"/>
      <w:kern w:val="2"/>
      <w:sz w:val="18"/>
      <w:szCs w:val="18"/>
      <w:lang w:val="en-US" w:eastAsia="zh-CN" w:bidi="ar-SA"/>
    </w:rPr>
  </w:style>
  <w:style w:type="character" w:customStyle="1" w:styleId="159">
    <w:name w:val="标题 字符"/>
    <w:link w:val="39"/>
    <w:qFormat/>
    <w:uiPriority w:val="0"/>
    <w:rPr>
      <w:rFonts w:ascii="Cambria" w:hAnsi="Cambria" w:cs="Times New Roman"/>
      <w:b/>
      <w:bCs/>
      <w:sz w:val="32"/>
      <w:szCs w:val="32"/>
    </w:rPr>
  </w:style>
  <w:style w:type="character" w:customStyle="1" w:styleId="160">
    <w:name w:val="hei141"/>
    <w:qFormat/>
    <w:uiPriority w:val="0"/>
    <w:rPr>
      <w:rFonts w:hint="eastAsia" w:ascii="宋体" w:hAnsi="宋体" w:eastAsia="宋体"/>
      <w:color w:val="000000"/>
      <w:sz w:val="19"/>
      <w:szCs w:val="19"/>
      <w:u w:val="none"/>
    </w:rPr>
  </w:style>
  <w:style w:type="character" w:customStyle="1" w:styleId="161">
    <w:name w:val="批注文字 字符"/>
    <w:link w:val="12"/>
    <w:qFormat/>
    <w:uiPriority w:val="0"/>
  </w:style>
  <w:style w:type="character" w:customStyle="1" w:styleId="162">
    <w:name w:val="apple-style-span"/>
    <w:basedOn w:val="45"/>
    <w:qFormat/>
    <w:uiPriority w:val="0"/>
  </w:style>
  <w:style w:type="character" w:customStyle="1" w:styleId="163">
    <w:name w:val="param-value"/>
    <w:qFormat/>
    <w:uiPriority w:val="99"/>
    <w:rPr>
      <w:rFonts w:cs="Times New Roman"/>
    </w:rPr>
  </w:style>
  <w:style w:type="character" w:customStyle="1" w:styleId="164">
    <w:name w:val="font61"/>
    <w:qFormat/>
    <w:uiPriority w:val="0"/>
    <w:rPr>
      <w:rFonts w:hint="eastAsia" w:ascii="宋体" w:hAnsi="宋体" w:eastAsia="宋体" w:cs="宋体"/>
      <w:color w:val="000000"/>
      <w:sz w:val="22"/>
      <w:szCs w:val="22"/>
      <w:u w:val="none"/>
    </w:rPr>
  </w:style>
  <w:style w:type="character" w:customStyle="1" w:styleId="165">
    <w:name w:val="font11"/>
    <w:qFormat/>
    <w:uiPriority w:val="0"/>
    <w:rPr>
      <w:rFonts w:hint="eastAsia" w:ascii="宋体" w:hAnsi="宋体" w:eastAsia="宋体" w:cs="宋体"/>
      <w:color w:val="FF0000"/>
      <w:sz w:val="22"/>
      <w:szCs w:val="22"/>
      <w:u w:val="none"/>
    </w:rPr>
  </w:style>
  <w:style w:type="character" w:customStyle="1" w:styleId="166">
    <w:name w:val="批注主题 字符"/>
    <w:link w:val="40"/>
    <w:qFormat/>
    <w:uiPriority w:val="0"/>
    <w:rPr>
      <w:b/>
      <w:bCs/>
    </w:rPr>
  </w:style>
  <w:style w:type="character" w:customStyle="1" w:styleId="167">
    <w:name w:val="批注文字 Char1"/>
    <w:basedOn w:val="45"/>
    <w:semiHidden/>
    <w:qFormat/>
    <w:uiPriority w:val="99"/>
  </w:style>
  <w:style w:type="paragraph" w:customStyle="1" w:styleId="168">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9">
    <w:name w:val="批注主题 Char1"/>
    <w:basedOn w:val="167"/>
    <w:semiHidden/>
    <w:qFormat/>
    <w:uiPriority w:val="99"/>
    <w:rPr>
      <w:b/>
      <w:bCs/>
    </w:rPr>
  </w:style>
  <w:style w:type="paragraph" w:customStyle="1" w:styleId="170">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日期 Char1"/>
    <w:basedOn w:val="45"/>
    <w:semiHidden/>
    <w:qFormat/>
    <w:uiPriority w:val="99"/>
  </w:style>
  <w:style w:type="paragraph" w:customStyle="1" w:styleId="172">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3">
    <w:name w:val="脚注文本 字符"/>
    <w:basedOn w:val="45"/>
    <w:link w:val="28"/>
    <w:semiHidden/>
    <w:qFormat/>
    <w:uiPriority w:val="0"/>
    <w:rPr>
      <w:rFonts w:ascii="Times New Roman" w:hAnsi="Times New Roman" w:eastAsia="宋体" w:cs="Times New Roman"/>
      <w:sz w:val="18"/>
      <w:szCs w:val="18"/>
    </w:rPr>
  </w:style>
  <w:style w:type="paragraph" w:customStyle="1" w:styleId="174">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5">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6">
    <w:name w:val="标题 Char1"/>
    <w:basedOn w:val="45"/>
    <w:qFormat/>
    <w:uiPriority w:val="10"/>
    <w:rPr>
      <w:rFonts w:eastAsia="宋体" w:asciiTheme="majorHAnsi" w:hAnsiTheme="majorHAnsi" w:cstheme="majorBidi"/>
      <w:b/>
      <w:bCs/>
      <w:sz w:val="32"/>
      <w:szCs w:val="32"/>
    </w:rPr>
  </w:style>
  <w:style w:type="paragraph" w:customStyle="1" w:styleId="177">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8">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80">
    <w:name w:val="Default"/>
    <w:basedOn w:val="39"/>
    <w:next w:val="2"/>
    <w:qFormat/>
    <w:uiPriority w:val="0"/>
    <w:pPr>
      <w:autoSpaceDE w:val="0"/>
      <w:autoSpaceDN w:val="0"/>
      <w:adjustRightInd w:val="0"/>
      <w:jc w:val="both"/>
    </w:pPr>
    <w:rPr>
      <w:rFonts w:ascii="黑体" w:hAnsi="黑体" w:eastAsia="宋体" w:cs="黑体"/>
      <w:color w:val="000000"/>
      <w:sz w:val="24"/>
      <w:szCs w:val="24"/>
    </w:rPr>
  </w:style>
  <w:style w:type="paragraph" w:customStyle="1" w:styleId="181">
    <w:name w:val="List Paragraph1"/>
    <w:basedOn w:val="1"/>
    <w:qFormat/>
    <w:uiPriority w:val="0"/>
    <w:pPr>
      <w:ind w:firstLine="420" w:firstLineChars="200"/>
    </w:pPr>
    <w:rPr>
      <w:rFonts w:ascii="Times New Roman" w:hAnsi="Times New Roman" w:eastAsia="宋体" w:cs="Times New Roman"/>
      <w:szCs w:val="24"/>
    </w:rPr>
  </w:style>
  <w:style w:type="paragraph" w:customStyle="1" w:styleId="182">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3">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4">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5">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7">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8">
    <w:name w:val="列出段落3"/>
    <w:basedOn w:val="1"/>
    <w:qFormat/>
    <w:uiPriority w:val="0"/>
    <w:pPr>
      <w:ind w:firstLine="420" w:firstLineChars="200"/>
    </w:pPr>
    <w:rPr>
      <w:rFonts w:ascii="Times New Roman" w:hAnsi="Times New Roman" w:eastAsia="宋体" w:cs="Times New Roman"/>
      <w:szCs w:val="24"/>
    </w:rPr>
  </w:style>
  <w:style w:type="character" w:customStyle="1" w:styleId="189">
    <w:name w:val="Char Char12"/>
    <w:qFormat/>
    <w:uiPriority w:val="0"/>
    <w:rPr>
      <w:rFonts w:eastAsia="宋体"/>
      <w:kern w:val="2"/>
      <w:sz w:val="18"/>
      <w:szCs w:val="18"/>
      <w:lang w:val="en-US" w:eastAsia="zh-CN" w:bidi="ar-SA"/>
    </w:rPr>
  </w:style>
  <w:style w:type="paragraph" w:customStyle="1" w:styleId="190">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2">
    <w:name w:val="列出段落4"/>
    <w:basedOn w:val="1"/>
    <w:qFormat/>
    <w:uiPriority w:val="0"/>
    <w:pPr>
      <w:ind w:firstLine="420" w:firstLineChars="200"/>
    </w:pPr>
    <w:rPr>
      <w:rFonts w:ascii="Times New Roman" w:hAnsi="Times New Roman" w:eastAsia="宋体" w:cs="Times New Roman"/>
      <w:szCs w:val="24"/>
    </w:rPr>
  </w:style>
  <w:style w:type="character" w:customStyle="1" w:styleId="193">
    <w:name w:val="Char Char11"/>
    <w:qFormat/>
    <w:uiPriority w:val="0"/>
    <w:rPr>
      <w:rFonts w:eastAsia="宋体"/>
      <w:kern w:val="2"/>
      <w:sz w:val="18"/>
      <w:szCs w:val="18"/>
      <w:lang w:val="en-US" w:eastAsia="zh-CN" w:bidi="ar-SA"/>
    </w:rPr>
  </w:style>
  <w:style w:type="paragraph" w:customStyle="1" w:styleId="194">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5">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6">
    <w:name w:val="列出段落5"/>
    <w:basedOn w:val="1"/>
    <w:qFormat/>
    <w:uiPriority w:val="0"/>
    <w:pPr>
      <w:ind w:firstLine="420" w:firstLineChars="200"/>
    </w:pPr>
    <w:rPr>
      <w:rFonts w:ascii="Times New Roman" w:hAnsi="Times New Roman" w:eastAsia="宋体" w:cs="Times New Roman"/>
      <w:szCs w:val="24"/>
    </w:rPr>
  </w:style>
  <w:style w:type="character" w:customStyle="1" w:styleId="197">
    <w:name w:val="bookmark-item"/>
    <w:basedOn w:val="45"/>
    <w:qFormat/>
    <w:uiPriority w:val="0"/>
  </w:style>
  <w:style w:type="paragraph" w:customStyle="1" w:styleId="198">
    <w:name w:val="列出段落6"/>
    <w:basedOn w:val="1"/>
    <w:qFormat/>
    <w:uiPriority w:val="34"/>
    <w:pPr>
      <w:ind w:firstLine="420" w:firstLineChars="200"/>
    </w:pPr>
    <w:rPr>
      <w:rFonts w:ascii="Calibri" w:hAnsi="Calibri" w:eastAsia="宋体" w:cs="Times New Roman"/>
    </w:rPr>
  </w:style>
  <w:style w:type="character" w:customStyle="1" w:styleId="199">
    <w:name w:val="纯文本 字符"/>
    <w:basedOn w:val="45"/>
    <w:link w:val="18"/>
    <w:qFormat/>
    <w:uiPriority w:val="0"/>
    <w:rPr>
      <w:rFonts w:ascii="宋体" w:hAnsi="Courier New" w:eastAsia="宋体" w:cs="宋体"/>
      <w:kern w:val="2"/>
      <w:sz w:val="21"/>
      <w:szCs w:val="21"/>
    </w:rPr>
  </w:style>
  <w:style w:type="paragraph" w:customStyle="1" w:styleId="200">
    <w:name w:val="0"/>
    <w:basedOn w:val="1"/>
    <w:qFormat/>
    <w:uiPriority w:val="0"/>
    <w:pPr>
      <w:widowControl/>
      <w:snapToGrid w:val="0"/>
      <w:jc w:val="left"/>
    </w:pPr>
    <w:rPr>
      <w:rFonts w:ascii="Times New Roman" w:hAnsi="Times New Roman" w:eastAsia="宋体" w:cs="Times New Roman"/>
      <w:kern w:val="0"/>
      <w:sz w:val="20"/>
      <w:szCs w:val="20"/>
    </w:rPr>
  </w:style>
  <w:style w:type="paragraph" w:customStyle="1" w:styleId="201">
    <w:name w:val="Table Paragraph"/>
    <w:basedOn w:val="1"/>
    <w:qFormat/>
    <w:uiPriority w:val="1"/>
    <w:pPr>
      <w:jc w:val="left"/>
    </w:pPr>
    <w:rPr>
      <w:rFonts w:ascii="Calibri" w:hAnsi="Calibri" w:eastAsia="Calibri" w:cs="Times New Roman"/>
      <w:kern w:val="0"/>
      <w:sz w:val="22"/>
      <w:lang w:eastAsia="en-US"/>
    </w:rPr>
  </w:style>
  <w:style w:type="paragraph" w:customStyle="1" w:styleId="202">
    <w:name w:val="_Style 3"/>
    <w:basedOn w:val="1"/>
    <w:qFormat/>
    <w:uiPriority w:val="34"/>
    <w:pPr>
      <w:ind w:firstLine="420" w:firstLineChars="200"/>
    </w:pPr>
    <w:rPr>
      <w:rFonts w:ascii="Times New Roman" w:hAnsi="Times New Roman" w:eastAsia="宋体" w:cs="黑体"/>
      <w:szCs w:val="24"/>
    </w:rPr>
  </w:style>
  <w:style w:type="character" w:customStyle="1" w:styleId="203">
    <w:name w:val="正文文本首行缩进 2 字符"/>
    <w:basedOn w:val="67"/>
    <w:link w:val="42"/>
    <w:semiHidden/>
    <w:qFormat/>
    <w:uiPriority w:val="99"/>
    <w:rPr>
      <w:rFonts w:ascii="??" w:hAnsi="??" w:eastAsia="宋体" w:cs="Arial"/>
      <w:kern w:val="2"/>
      <w:sz w:val="21"/>
      <w:szCs w:val="22"/>
    </w:rPr>
  </w:style>
  <w:style w:type="paragraph" w:customStyle="1" w:styleId="204">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5">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6">
    <w:name w:val="正文文本 2 字符"/>
    <w:basedOn w:val="45"/>
    <w:link w:val="34"/>
    <w:semiHidden/>
    <w:qFormat/>
    <w:uiPriority w:val="99"/>
    <w:rPr>
      <w:rFonts w:asciiTheme="minorHAnsi" w:hAnsiTheme="minorHAnsi" w:eastAsiaTheme="minorEastAsia" w:cstheme="minorBidi"/>
      <w:kern w:val="2"/>
      <w:sz w:val="21"/>
      <w:szCs w:val="22"/>
    </w:rPr>
  </w:style>
  <w:style w:type="paragraph" w:customStyle="1" w:styleId="207">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208">
    <w:name w:val="列表段落1"/>
    <w:basedOn w:val="1"/>
    <w:qFormat/>
    <w:uiPriority w:val="0"/>
    <w:pPr>
      <w:ind w:firstLine="420" w:firstLineChars="200"/>
    </w:pPr>
    <w:rPr>
      <w:rFonts w:ascii="Times New Roman" w:hAnsi="Times New Roman" w:eastAsia="宋体" w:cs="Times New Roman"/>
    </w:rPr>
  </w:style>
  <w:style w:type="character" w:customStyle="1" w:styleId="209">
    <w:name w:val="列表段落 字符"/>
    <w:link w:val="68"/>
    <w:qFormat/>
    <w:uiPriority w:val="0"/>
    <w:rPr>
      <w:rFonts w:ascii="Calibri" w:hAnsi="Calibri"/>
      <w:kern w:val="2"/>
      <w:sz w:val="21"/>
      <w:szCs w:val="22"/>
    </w:rPr>
  </w:style>
  <w:style w:type="paragraph" w:customStyle="1" w:styleId="210">
    <w:name w:val="列出段落7"/>
    <w:basedOn w:val="1"/>
    <w:unhideWhenUsed/>
    <w:qFormat/>
    <w:uiPriority w:val="99"/>
    <w:pPr>
      <w:ind w:firstLine="420" w:firstLineChars="200"/>
    </w:pPr>
  </w:style>
  <w:style w:type="character" w:customStyle="1" w:styleId="211">
    <w:name w:val="HTML 预设格式 字符"/>
    <w:basedOn w:val="45"/>
    <w:link w:val="36"/>
    <w:qFormat/>
    <w:uiPriority w:val="0"/>
    <w:rPr>
      <w:rFonts w:ascii="Arial" w:hAnsi="Arial" w:cs="Arial" w:eastAsiaTheme="minorEastAsia"/>
      <w:sz w:val="28"/>
      <w:szCs w:val="28"/>
    </w:rPr>
  </w:style>
  <w:style w:type="paragraph" w:customStyle="1" w:styleId="212">
    <w:name w:val="BodyText"/>
    <w:basedOn w:val="1"/>
    <w:next w:val="213"/>
    <w:qFormat/>
    <w:uiPriority w:val="0"/>
    <w:pPr>
      <w:spacing w:line="300" w:lineRule="auto"/>
      <w:jc w:val="center"/>
      <w:textAlignment w:val="baseline"/>
    </w:pPr>
    <w:rPr>
      <w:rFonts w:ascii="宋体" w:hAnsi="宋体" w:eastAsia="宋体"/>
      <w:sz w:val="24"/>
      <w:szCs w:val="24"/>
    </w:rPr>
  </w:style>
  <w:style w:type="paragraph" w:customStyle="1" w:styleId="213">
    <w:name w:val="TOC2"/>
    <w:basedOn w:val="1"/>
    <w:next w:val="1"/>
    <w:qFormat/>
    <w:uiPriority w:val="0"/>
    <w:pPr>
      <w:spacing w:line="413" w:lineRule="auto"/>
      <w:ind w:left="240" w:leftChars="100"/>
      <w:textAlignment w:val="baseline"/>
    </w:pPr>
    <w:rPr>
      <w:rFonts w:ascii="Calibri" w:hAnsi="Calibri" w:eastAsia="仿宋"/>
      <w:sz w:val="24"/>
      <w:szCs w:val="24"/>
    </w:rPr>
  </w:style>
  <w:style w:type="character" w:customStyle="1" w:styleId="214">
    <w:name w:val="纯文本 Char1"/>
    <w:qFormat/>
    <w:uiPriority w:val="0"/>
    <w:rPr>
      <w:rFonts w:eastAsia="宋体"/>
      <w:kern w:val="2"/>
      <w:sz w:val="24"/>
      <w:lang w:val="en-US" w:eastAsia="zh-CN" w:bidi="ar-SA"/>
    </w:rPr>
  </w:style>
  <w:style w:type="character" w:customStyle="1" w:styleId="215">
    <w:name w:val="页脚 Char1"/>
    <w:qFormat/>
    <w:uiPriority w:val="0"/>
    <w:rPr>
      <w:rFonts w:eastAsia="宋体"/>
      <w:kern w:val="2"/>
      <w:sz w:val="18"/>
      <w:szCs w:val="18"/>
      <w:lang w:val="en-US" w:eastAsia="zh-CN" w:bidi="ar-SA"/>
    </w:rPr>
  </w:style>
  <w:style w:type="character" w:customStyle="1" w:styleId="216">
    <w:name w:val="页眉 Char1"/>
    <w:qFormat/>
    <w:uiPriority w:val="0"/>
    <w:rPr>
      <w:rFonts w:eastAsia="宋体"/>
      <w:kern w:val="2"/>
      <w:sz w:val="18"/>
      <w:szCs w:val="18"/>
      <w:lang w:val="en-US" w:eastAsia="zh-CN" w:bidi="ar-SA"/>
    </w:rPr>
  </w:style>
  <w:style w:type="character" w:customStyle="1" w:styleId="217">
    <w:name w:val="正文缩进 Char1"/>
    <w:link w:val="218"/>
    <w:qFormat/>
    <w:uiPriority w:val="0"/>
    <w:rPr>
      <w:rFonts w:ascii="宋体"/>
      <w:sz w:val="24"/>
    </w:rPr>
  </w:style>
  <w:style w:type="paragraph" w:customStyle="1" w:styleId="218">
    <w:name w:val="正文缩进1"/>
    <w:basedOn w:val="1"/>
    <w:link w:val="217"/>
    <w:qFormat/>
    <w:uiPriority w:val="0"/>
    <w:pPr>
      <w:autoSpaceDE w:val="0"/>
      <w:autoSpaceDN w:val="0"/>
      <w:adjustRightInd w:val="0"/>
      <w:ind w:firstLine="420"/>
      <w:jc w:val="left"/>
    </w:pPr>
    <w:rPr>
      <w:rFonts w:ascii="宋体" w:hAnsi="Times New Roman" w:eastAsia="宋体" w:cs="Times New Roman"/>
      <w:kern w:val="0"/>
      <w:sz w:val="24"/>
      <w:szCs w:val="20"/>
    </w:rPr>
  </w:style>
  <w:style w:type="paragraph" w:customStyle="1" w:styleId="219">
    <w:name w:val="索引 11"/>
    <w:basedOn w:val="1"/>
    <w:next w:val="1"/>
    <w:qFormat/>
    <w:uiPriority w:val="0"/>
    <w:pPr>
      <w:spacing w:line="360" w:lineRule="auto"/>
    </w:pPr>
    <w:rPr>
      <w:rFonts w:ascii="仿宋_GB2312" w:hAnsi="Times New Roman" w:eastAsia="仿宋_GB2312" w:cs="Times New Roman"/>
      <w:sz w:val="24"/>
      <w:szCs w:val="20"/>
    </w:rPr>
  </w:style>
  <w:style w:type="paragraph" w:customStyle="1" w:styleId="220">
    <w:name w:val="纯文本1"/>
    <w:basedOn w:val="1"/>
    <w:qFormat/>
    <w:uiPriority w:val="0"/>
    <w:rPr>
      <w:rFonts w:ascii="宋体" w:hAnsi="Courier New" w:eastAsia="宋体" w:cs="Times New Roman"/>
      <w:kern w:val="0"/>
      <w:sz w:val="20"/>
      <w:szCs w:val="20"/>
    </w:rPr>
  </w:style>
  <w:style w:type="character" w:customStyle="1" w:styleId="221">
    <w:name w:val="标题 5 字符"/>
    <w:basedOn w:val="45"/>
    <w:link w:val="6"/>
    <w:semiHidden/>
    <w:qFormat/>
    <w:uiPriority w:val="9"/>
    <w:rPr>
      <w:rFonts w:asciiTheme="minorHAnsi" w:hAnsiTheme="minorHAnsi" w:eastAsiaTheme="minorEastAsia" w:cstheme="minorBidi"/>
      <w:b/>
      <w:bCs/>
      <w:kern w:val="2"/>
      <w:sz w:val="28"/>
      <w:szCs w:val="28"/>
    </w:rPr>
  </w:style>
  <w:style w:type="character" w:customStyle="1" w:styleId="222">
    <w:name w:val="称呼 字符"/>
    <w:basedOn w:val="45"/>
    <w:link w:val="13"/>
    <w:qFormat/>
    <w:uiPriority w:val="0"/>
    <w:rPr>
      <w:rFonts w:ascii="宋体"/>
      <w:b/>
      <w:kern w:val="2"/>
      <w:sz w:val="28"/>
      <w:szCs w:val="24"/>
    </w:rPr>
  </w:style>
  <w:style w:type="character" w:customStyle="1" w:styleId="223">
    <w:name w:val="副标题 字符"/>
    <w:basedOn w:val="45"/>
    <w:link w:val="27"/>
    <w:qFormat/>
    <w:uiPriority w:val="11"/>
    <w:rPr>
      <w:rFonts w:ascii="Cambria" w:hAnsi="Cambria" w:eastAsia="仿宋"/>
      <w:b/>
      <w:bCs/>
      <w:kern w:val="28"/>
      <w:sz w:val="32"/>
      <w:szCs w:val="32"/>
    </w:rPr>
  </w:style>
  <w:style w:type="character" w:customStyle="1" w:styleId="224">
    <w:name w:val="正文文本首行缩进 字符"/>
    <w:basedOn w:val="136"/>
    <w:link w:val="41"/>
    <w:qFormat/>
    <w:uiPriority w:val="0"/>
    <w:rPr>
      <w:rFonts w:ascii="Arial" w:hAnsi="Arial" w:eastAsia="宋体" w:cs="Times New Roman"/>
      <w:kern w:val="0"/>
      <w:sz w:val="24"/>
      <w:szCs w:val="21"/>
    </w:rPr>
  </w:style>
  <w:style w:type="paragraph" w:customStyle="1" w:styleId="225">
    <w:name w:val="测评方案正文"/>
    <w:basedOn w:val="226"/>
    <w:qFormat/>
    <w:uiPriority w:val="0"/>
    <w:pPr>
      <w:ind w:firstLine="200" w:firstLineChars="200"/>
    </w:pPr>
    <w:rPr>
      <w:b w:val="0"/>
      <w:sz w:val="21"/>
    </w:rPr>
  </w:style>
  <w:style w:type="paragraph" w:customStyle="1" w:styleId="226">
    <w:name w:val="测评方案2级"/>
    <w:basedOn w:val="1"/>
    <w:qFormat/>
    <w:uiPriority w:val="0"/>
    <w:pPr>
      <w:spacing w:beforeLines="50" w:afterLines="50" w:line="300" w:lineRule="auto"/>
    </w:pPr>
    <w:rPr>
      <w:rFonts w:ascii="Times New Roman" w:hAnsi="Times New Roman" w:eastAsia="宋体" w:cs="Times New Roman"/>
      <w:b/>
      <w:sz w:val="28"/>
      <w:szCs w:val="32"/>
    </w:rPr>
  </w:style>
  <w:style w:type="paragraph" w:customStyle="1" w:styleId="227">
    <w:name w:val="正文首行缩进两字符"/>
    <w:qFormat/>
    <w:uiPriority w:val="0"/>
    <w:pPr>
      <w:widowControl w:val="0"/>
      <w:jc w:val="both"/>
    </w:pPr>
    <w:rPr>
      <w:rFonts w:ascii="Calibri" w:hAnsi="Calibri" w:eastAsia="宋体" w:cs="Times New Roman"/>
      <w:kern w:val="2"/>
      <w:sz w:val="21"/>
      <w:lang w:val="en-US" w:eastAsia="zh-CN" w:bidi="ar-SA"/>
    </w:rPr>
  </w:style>
  <w:style w:type="paragraph" w:customStyle="1" w:styleId="228">
    <w:name w:val="测评方案3级"/>
    <w:basedOn w:val="226"/>
    <w:qFormat/>
    <w:uiPriority w:val="0"/>
    <w:pPr>
      <w:spacing w:before="156" w:after="156"/>
    </w:pPr>
    <w:rPr>
      <w:rFonts w:ascii="黑体" w:eastAsia="黑体"/>
      <w:sz w:val="24"/>
    </w:rPr>
  </w:style>
  <w:style w:type="paragraph" w:customStyle="1" w:styleId="229">
    <w:name w:val="Body text|7"/>
    <w:basedOn w:val="1"/>
    <w:qFormat/>
    <w:uiPriority w:val="0"/>
    <w:rPr>
      <w:rFonts w:ascii="Times New Roman" w:hAnsi="Times New Roman" w:eastAsia="宋体" w:cs="Times New Roman"/>
      <w:sz w:val="32"/>
      <w:szCs w:val="32"/>
      <w:shd w:val="clear" w:color="auto" w:fill="FFFFFF"/>
    </w:rPr>
  </w:style>
  <w:style w:type="paragraph" w:customStyle="1" w:styleId="230">
    <w:name w:val="Body text|1"/>
    <w:basedOn w:val="1"/>
    <w:qFormat/>
    <w:uiPriority w:val="0"/>
    <w:pPr>
      <w:spacing w:after="40" w:line="353" w:lineRule="auto"/>
      <w:ind w:firstLine="40"/>
    </w:pPr>
    <w:rPr>
      <w:rFonts w:ascii="宋体" w:hAnsi="宋体" w:eastAsia="宋体" w:cs="宋体"/>
      <w:sz w:val="46"/>
      <w:szCs w:val="46"/>
      <w:lang w:val="zh-TW" w:eastAsia="zh-TW" w:bidi="zh-TW"/>
    </w:rPr>
  </w:style>
  <w:style w:type="paragraph" w:customStyle="1" w:styleId="231">
    <w:name w:val="Body text|2"/>
    <w:basedOn w:val="1"/>
    <w:qFormat/>
    <w:uiPriority w:val="0"/>
    <w:pPr>
      <w:spacing w:after="60"/>
    </w:pPr>
    <w:rPr>
      <w:rFonts w:ascii="宋体" w:hAnsi="宋体" w:eastAsia="宋体" w:cs="宋体"/>
      <w:sz w:val="54"/>
      <w:szCs w:val="54"/>
    </w:rPr>
  </w:style>
  <w:style w:type="paragraph" w:customStyle="1" w:styleId="232">
    <w:name w:val="Body text|6"/>
    <w:basedOn w:val="1"/>
    <w:qFormat/>
    <w:uiPriority w:val="0"/>
    <w:rPr>
      <w:rFonts w:ascii="Times New Roman" w:hAnsi="Times New Roman" w:eastAsia="宋体" w:cs="Times New Roman"/>
      <w:b/>
      <w:bCs/>
      <w:sz w:val="36"/>
      <w:szCs w:val="36"/>
      <w:shd w:val="clear" w:color="auto" w:fill="FFFFFF"/>
    </w:rPr>
  </w:style>
  <w:style w:type="table" w:customStyle="1" w:styleId="233">
    <w:name w:val="样式9"/>
    <w:basedOn w:val="43"/>
    <w:qFormat/>
    <w:uiPriority w:val="99"/>
    <w:pPr>
      <w:spacing w:line="276" w:lineRule="auto"/>
      <w:jc w:val="center"/>
    </w:pPr>
    <w:rPr>
      <w:rFonts w:eastAsia="华文仿宋"/>
      <w:sz w:val="21"/>
    </w:rPr>
    <w:tblP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
    <w:tcPr>
      <w:vAlign w:val="center"/>
    </w:tcPr>
    <w:tblStylePr w:type="firstRow">
      <w:rPr>
        <w:rFonts w:eastAsia="Tms Rmn"/>
        <w:b/>
      </w:rPr>
    </w:tblStylePr>
  </w:style>
  <w:style w:type="paragraph" w:customStyle="1" w:styleId="234">
    <w:name w:val="表格中文"/>
    <w:qFormat/>
    <w:locked/>
    <w:uiPriority w:val="0"/>
    <w:pPr>
      <w:spacing w:line="240" w:lineRule="atLeast"/>
      <w:jc w:val="both"/>
    </w:pPr>
    <w:rPr>
      <w:rFonts w:ascii="Verdana" w:hAnsi="Verdana" w:eastAsia="宋体" w:cs="Times New Roman"/>
      <w:bCs/>
      <w:sz w:val="18"/>
      <w:szCs w:val="18"/>
      <w:lang w:val="en-US" w:eastAsia="zh-CN" w:bidi="ar-SA"/>
    </w:rPr>
  </w:style>
  <w:style w:type="paragraph" w:customStyle="1" w:styleId="235">
    <w:name w:val="null3"/>
    <w:qFormat/>
    <w:uiPriority w:val="0"/>
    <w:rPr>
      <w:rFonts w:hint="eastAsia" w:ascii="Calibri" w:hAnsi="Calibri" w:eastAsia="宋体" w:cs="Times New Roman"/>
      <w:lang w:val="en-US" w:eastAsia="zh-Hans" w:bidi="ar-SA"/>
    </w:rPr>
  </w:style>
  <w:style w:type="character" w:customStyle="1" w:styleId="236">
    <w:name w:val="15"/>
    <w:qFormat/>
    <w:uiPriority w:val="0"/>
    <w:rPr>
      <w:rFonts w:hint="eastAsia" w:ascii="宋体" w:hAnsi="宋体" w:eastAsia="宋体"/>
      <w:color w:val="000000"/>
      <w:sz w:val="22"/>
      <w:szCs w:val="22"/>
    </w:rPr>
  </w:style>
  <w:style w:type="paragraph" w:customStyle="1" w:styleId="237">
    <w:name w:val="答复表头"/>
    <w:basedOn w:val="238"/>
    <w:next w:val="1"/>
    <w:qFormat/>
    <w:uiPriority w:val="0"/>
    <w:pPr>
      <w:tabs>
        <w:tab w:val="left" w:pos="480"/>
      </w:tabs>
    </w:pPr>
    <w:rPr>
      <w:b/>
    </w:rPr>
  </w:style>
  <w:style w:type="paragraph" w:customStyle="1" w:styleId="238">
    <w:name w:val="正表头"/>
    <w:basedOn w:val="1"/>
    <w:qFormat/>
    <w:uiPriority w:val="0"/>
    <w:pPr>
      <w:tabs>
        <w:tab w:val="left" w:pos="480"/>
      </w:tabs>
      <w:autoSpaceDE w:val="0"/>
      <w:autoSpaceDN w:val="0"/>
      <w:adjustRightInd w:val="0"/>
      <w:jc w:val="center"/>
      <w:textAlignment w:val="baseline"/>
    </w:pPr>
    <w:rPr>
      <w:rFonts w:ascii="宋体" w:hAnsi="Tms Rmn" w:eastAsia="宋体" w:cs="Times New Roman"/>
      <w:color w:val="000000"/>
      <w:kern w:val="0"/>
      <w:szCs w:val="24"/>
    </w:rPr>
  </w:style>
  <w:style w:type="paragraph" w:customStyle="1" w:styleId="239">
    <w:name w:val="表格文字2"/>
    <w:basedOn w:val="240"/>
    <w:qFormat/>
    <w:uiPriority w:val="99"/>
    <w:pPr>
      <w:spacing w:before="25" w:after="25"/>
      <w:jc w:val="left"/>
    </w:pPr>
    <w:rPr>
      <w:bCs/>
      <w:spacing w:val="10"/>
      <w:kern w:val="0"/>
    </w:rPr>
  </w:style>
  <w:style w:type="paragraph" w:customStyle="1" w:styleId="240">
    <w:name w:val="正文1"/>
    <w:qFormat/>
    <w:uiPriority w:val="0"/>
    <w:pPr>
      <w:jc w:val="both"/>
    </w:pPr>
    <w:rPr>
      <w:rFonts w:ascii="Times New Roman" w:hAnsi="Times New Roman" w:eastAsia="宋体" w:cs="Times New Roman"/>
      <w:kern w:val="2"/>
      <w:sz w:val="21"/>
      <w:szCs w:val="21"/>
      <w:lang w:val="en-US" w:eastAsia="zh-CN" w:bidi="ar-SA"/>
    </w:rPr>
  </w:style>
  <w:style w:type="table" w:customStyle="1" w:styleId="241">
    <w:name w:val="Table Normal"/>
    <w:unhideWhenUsed/>
    <w:qFormat/>
    <w:uiPriority w:val="0"/>
    <w:tblPr>
      <w:tblCellMar>
        <w:top w:w="0" w:type="dxa"/>
        <w:left w:w="0" w:type="dxa"/>
        <w:bottom w:w="0" w:type="dxa"/>
        <w:right w:w="0" w:type="dxa"/>
      </w:tblCellMar>
    </w:tblPr>
  </w:style>
  <w:style w:type="paragraph" w:customStyle="1" w:styleId="242">
    <w:name w:val="Normal_6"/>
    <w:qFormat/>
    <w:uiPriority w:val="0"/>
    <w:rPr>
      <w:rFonts w:ascii="宋体" w:hAnsi="宋体" w:eastAsia="宋体" w:cs="Times New Roman"/>
      <w:sz w:val="24"/>
      <w:szCs w:val="24"/>
      <w:lang w:val="en-US" w:eastAsia="zh-CN" w:bidi="ar-SA"/>
    </w:rPr>
  </w:style>
  <w:style w:type="paragraph" w:customStyle="1" w:styleId="243">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styleId="244">
    <w:name w:val="No Spacing"/>
    <w:qFormat/>
    <w:uiPriority w:val="1"/>
    <w:pPr>
      <w:jc w:val="both"/>
    </w:pPr>
    <w:rPr>
      <w:rFonts w:ascii="Times New Roman" w:hAnsi="Times New Roman" w:eastAsia="宋体" w:cs="Times New Roman"/>
      <w:kern w:val="2"/>
      <w:sz w:val="21"/>
      <w:szCs w:val="21"/>
      <w:lang w:val="en-US" w:eastAsia="zh-CN" w:bidi="ar-SA"/>
    </w:rPr>
  </w:style>
  <w:style w:type="paragraph" w:customStyle="1" w:styleId="245">
    <w:name w:val="Table Text"/>
    <w:basedOn w:val="1"/>
    <w:semiHidden/>
    <w:qFormat/>
    <w:uiPriority w:val="0"/>
    <w:rPr>
      <w:rFonts w:ascii="仿宋" w:hAnsi="仿宋" w:eastAsia="仿宋" w:cs="仿宋"/>
      <w:sz w:val="28"/>
      <w:szCs w:val="28"/>
      <w:lang w:eastAsia="en-US"/>
    </w:rPr>
  </w:style>
  <w:style w:type="paragraph" w:customStyle="1" w:styleId="246">
    <w:name w:val="目录 62"/>
    <w:next w:val="1"/>
    <w:qFormat/>
    <w:uiPriority w:val="0"/>
    <w:rPr>
      <w:rFonts w:ascii="Times New Roman" w:hAnsi="Times New Roman" w:eastAsia="宋体" w:cs="Times New Roman"/>
      <w:sz w:val="21"/>
      <w:lang w:val="en-US" w:eastAsia="zh-CN" w:bidi="ar-SA"/>
    </w:rPr>
  </w:style>
  <w:style w:type="character" w:customStyle="1" w:styleId="247">
    <w:name w:val="font212"/>
    <w:basedOn w:val="45"/>
    <w:qFormat/>
    <w:uiPriority w:val="0"/>
    <w:rPr>
      <w:rFonts w:hint="eastAsia" w:ascii="宋体" w:hAnsi="宋体" w:eastAsia="宋体" w:cs="宋体"/>
      <w:color w:val="000000"/>
      <w:sz w:val="22"/>
      <w:szCs w:val="22"/>
      <w:u w:val="none"/>
    </w:rPr>
  </w:style>
  <w:style w:type="character" w:customStyle="1" w:styleId="248">
    <w:name w:val="font241"/>
    <w:basedOn w:val="45"/>
    <w:qFormat/>
    <w:uiPriority w:val="0"/>
    <w:rPr>
      <w:rFonts w:hint="eastAsia" w:ascii="方正小标宋简体" w:hAnsi="方正小标宋简体" w:eastAsia="方正小标宋简体" w:cs="方正小标宋简体"/>
      <w:color w:val="000000"/>
      <w:sz w:val="40"/>
      <w:szCs w:val="40"/>
      <w:u w:val="single"/>
    </w:rPr>
  </w:style>
  <w:style w:type="character" w:customStyle="1" w:styleId="249">
    <w:name w:val="font51"/>
    <w:basedOn w:val="45"/>
    <w:qFormat/>
    <w:uiPriority w:val="0"/>
    <w:rPr>
      <w:rFonts w:hint="default" w:ascii="Times New Roman" w:hAnsi="Times New Roman" w:cs="Times New Roman"/>
      <w:color w:val="000000"/>
      <w:sz w:val="20"/>
      <w:szCs w:val="20"/>
      <w:u w:val="none"/>
    </w:rPr>
  </w:style>
  <w:style w:type="character" w:customStyle="1" w:styleId="250">
    <w:name w:val="font101"/>
    <w:basedOn w:val="45"/>
    <w:qFormat/>
    <w:uiPriority w:val="0"/>
    <w:rPr>
      <w:rFonts w:hint="eastAsia" w:ascii="宋体" w:hAnsi="宋体" w:eastAsia="宋体" w:cs="宋体"/>
      <w:color w:val="000000"/>
      <w:sz w:val="20"/>
      <w:szCs w:val="20"/>
      <w:u w:val="none"/>
    </w:rPr>
  </w:style>
  <w:style w:type="character" w:customStyle="1" w:styleId="251">
    <w:name w:val="font251"/>
    <w:basedOn w:val="45"/>
    <w:qFormat/>
    <w:uiPriority w:val="0"/>
    <w:rPr>
      <w:rFonts w:hint="eastAsia" w:ascii="宋体" w:hAnsi="宋体" w:eastAsia="宋体" w:cs="宋体"/>
      <w:color w:val="000000"/>
      <w:sz w:val="20"/>
      <w:szCs w:val="20"/>
      <w:u w:val="none"/>
      <w:vertAlign w:val="superscript"/>
    </w:rPr>
  </w:style>
  <w:style w:type="character" w:customStyle="1" w:styleId="252">
    <w:name w:val="font91"/>
    <w:basedOn w:val="45"/>
    <w:qFormat/>
    <w:uiPriority w:val="0"/>
    <w:rPr>
      <w:rFonts w:hint="eastAsia" w:ascii="宋体" w:hAnsi="宋体" w:eastAsia="宋体" w:cs="宋体"/>
      <w:color w:val="000000"/>
      <w:sz w:val="20"/>
      <w:szCs w:val="20"/>
      <w:u w:val="none"/>
    </w:rPr>
  </w:style>
  <w:style w:type="character" w:customStyle="1" w:styleId="253">
    <w:name w:val="font261"/>
    <w:basedOn w:val="45"/>
    <w:qFormat/>
    <w:uiPriority w:val="0"/>
    <w:rPr>
      <w:rFonts w:hint="eastAsia" w:ascii="宋体" w:hAnsi="宋体" w:eastAsia="宋体" w:cs="宋体"/>
      <w:color w:val="000000"/>
      <w:sz w:val="20"/>
      <w:szCs w:val="20"/>
      <w:u w:val="none"/>
      <w:vertAlign w:val="superscript"/>
    </w:rPr>
  </w:style>
  <w:style w:type="character" w:customStyle="1" w:styleId="254">
    <w:name w:val="font271"/>
    <w:basedOn w:val="45"/>
    <w:qFormat/>
    <w:uiPriority w:val="0"/>
    <w:rPr>
      <w:rFonts w:hint="eastAsia" w:ascii="宋体" w:hAnsi="宋体" w:eastAsia="宋体" w:cs="宋体"/>
      <w:color w:val="000000"/>
      <w:sz w:val="20"/>
      <w:szCs w:val="20"/>
      <w:u w:val="none"/>
      <w:vertAlign w:val="subscript"/>
    </w:rPr>
  </w:style>
  <w:style w:type="character" w:customStyle="1" w:styleId="255">
    <w:name w:val="font161"/>
    <w:basedOn w:val="45"/>
    <w:qFormat/>
    <w:uiPriority w:val="0"/>
    <w:rPr>
      <w:rFonts w:hint="eastAsia" w:ascii="仿宋" w:hAnsi="仿宋" w:eastAsia="仿宋" w:cs="仿宋"/>
      <w:color w:val="000000"/>
      <w:sz w:val="20"/>
      <w:szCs w:val="20"/>
      <w:u w:val="none"/>
    </w:rPr>
  </w:style>
  <w:style w:type="character" w:customStyle="1" w:styleId="256">
    <w:name w:val="font151"/>
    <w:basedOn w:val="45"/>
    <w:qFormat/>
    <w:uiPriority w:val="0"/>
    <w:rPr>
      <w:rFonts w:hint="eastAsia" w:ascii="仿宋" w:hAnsi="仿宋" w:eastAsia="仿宋" w:cs="仿宋"/>
      <w:color w:val="000000"/>
      <w:sz w:val="20"/>
      <w:szCs w:val="20"/>
      <w:u w:val="none"/>
    </w:rPr>
  </w:style>
  <w:style w:type="character" w:customStyle="1" w:styleId="257">
    <w:name w:val="font171"/>
    <w:basedOn w:val="45"/>
    <w:qFormat/>
    <w:uiPriority w:val="0"/>
    <w:rPr>
      <w:rFonts w:hint="default" w:ascii="Arial" w:hAnsi="Arial" w:cs="Arial"/>
      <w:color w:val="000000"/>
      <w:sz w:val="20"/>
      <w:szCs w:val="20"/>
      <w:u w:val="none"/>
    </w:rPr>
  </w:style>
  <w:style w:type="character" w:customStyle="1" w:styleId="258">
    <w:name w:val="font281"/>
    <w:basedOn w:val="45"/>
    <w:qFormat/>
    <w:uiPriority w:val="0"/>
    <w:rPr>
      <w:rFonts w:hint="eastAsia" w:ascii="仿宋" w:hAnsi="仿宋" w:eastAsia="仿宋" w:cs="仿宋"/>
      <w:color w:val="000000"/>
      <w:sz w:val="20"/>
      <w:szCs w:val="20"/>
      <w:u w:val="none"/>
      <w:vertAlign w:val="subscript"/>
    </w:rPr>
  </w:style>
  <w:style w:type="character" w:customStyle="1" w:styleId="259">
    <w:name w:val="font291"/>
    <w:basedOn w:val="45"/>
    <w:qFormat/>
    <w:uiPriority w:val="0"/>
    <w:rPr>
      <w:rFonts w:hint="default" w:ascii="Arial" w:hAnsi="Arial" w:cs="Arial"/>
      <w:color w:val="000000"/>
      <w:sz w:val="20"/>
      <w:szCs w:val="20"/>
      <w:u w:val="none"/>
    </w:rPr>
  </w:style>
  <w:style w:type="character" w:customStyle="1" w:styleId="260">
    <w:name w:val="font181"/>
    <w:basedOn w:val="45"/>
    <w:qFormat/>
    <w:uiPriority w:val="0"/>
    <w:rPr>
      <w:rFonts w:hint="eastAsia" w:ascii="仿宋" w:hAnsi="仿宋" w:eastAsia="仿宋" w:cs="仿宋"/>
      <w:color w:val="000000"/>
      <w:sz w:val="20"/>
      <w:szCs w:val="20"/>
      <w:u w:val="none"/>
    </w:rPr>
  </w:style>
  <w:style w:type="character" w:customStyle="1" w:styleId="261">
    <w:name w:val="font301"/>
    <w:basedOn w:val="45"/>
    <w:qFormat/>
    <w:uiPriority w:val="0"/>
    <w:rPr>
      <w:rFonts w:ascii="微软雅黑" w:hAnsi="微软雅黑" w:eastAsia="微软雅黑" w:cs="微软雅黑"/>
      <w:color w:val="000000"/>
      <w:sz w:val="22"/>
      <w:szCs w:val="22"/>
      <w:u w:val="none"/>
    </w:rPr>
  </w:style>
  <w:style w:type="character" w:customStyle="1" w:styleId="262">
    <w:name w:val="font312"/>
    <w:basedOn w:val="45"/>
    <w:qFormat/>
    <w:uiPriority w:val="0"/>
    <w:rPr>
      <w:rFonts w:hint="eastAsia" w:ascii="微软雅黑" w:hAnsi="微软雅黑" w:eastAsia="微软雅黑" w:cs="微软雅黑"/>
      <w:color w:val="000000"/>
      <w:sz w:val="20"/>
      <w:szCs w:val="20"/>
      <w:u w:val="none"/>
    </w:rPr>
  </w:style>
  <w:style w:type="character" w:customStyle="1" w:styleId="263">
    <w:name w:val="font221"/>
    <w:basedOn w:val="45"/>
    <w:qFormat/>
    <w:uiPriority w:val="0"/>
    <w:rPr>
      <w:rFonts w:hint="default" w:ascii="Times New Roman" w:hAnsi="Times New Roman" w:cs="Times New Roman"/>
      <w:color w:val="000000"/>
      <w:sz w:val="20"/>
      <w:szCs w:val="20"/>
      <w:u w:val="none"/>
    </w:rPr>
  </w:style>
  <w:style w:type="character" w:customStyle="1" w:styleId="264">
    <w:name w:val="font321"/>
    <w:basedOn w:val="45"/>
    <w:qFormat/>
    <w:uiPriority w:val="0"/>
    <w:rPr>
      <w:rFonts w:hint="eastAsia" w:ascii="仿宋" w:hAnsi="仿宋" w:eastAsia="仿宋" w:cs="仿宋"/>
      <w:color w:val="000000"/>
      <w:sz w:val="20"/>
      <w:szCs w:val="20"/>
      <w:u w:val="none"/>
    </w:rPr>
  </w:style>
  <w:style w:type="character" w:customStyle="1" w:styleId="265">
    <w:name w:val="font191"/>
    <w:basedOn w:val="45"/>
    <w:qFormat/>
    <w:uiPriority w:val="0"/>
    <w:rPr>
      <w:rFonts w:hint="eastAsia" w:ascii="仿宋" w:hAnsi="仿宋" w:eastAsia="仿宋" w:cs="仿宋"/>
      <w:color w:val="000000"/>
      <w:sz w:val="20"/>
      <w:szCs w:val="20"/>
      <w:u w:val="none"/>
    </w:rPr>
  </w:style>
  <w:style w:type="character" w:customStyle="1" w:styleId="266">
    <w:name w:val="font331"/>
    <w:basedOn w:val="45"/>
    <w:qFormat/>
    <w:uiPriority w:val="0"/>
    <w:rPr>
      <w:rFonts w:hint="eastAsia" w:ascii="仿宋" w:hAnsi="仿宋" w:eastAsia="仿宋" w:cs="仿宋"/>
      <w:color w:val="000000"/>
      <w:sz w:val="20"/>
      <w:szCs w:val="20"/>
      <w:u w:val="none"/>
      <w:vertAlign w:val="superscript"/>
    </w:rPr>
  </w:style>
  <w:style w:type="paragraph" w:styleId="267">
    <w:name w:val="List Paragraph"/>
    <w:basedOn w:val="1"/>
    <w:qFormat/>
    <w:uiPriority w:val="0"/>
    <w:pPr>
      <w:ind w:firstLine="420" w:firstLineChars="200"/>
    </w:pPr>
  </w:style>
  <w:style w:type="character" w:customStyle="1" w:styleId="268">
    <w:name w:val="font341"/>
    <w:basedOn w:val="45"/>
    <w:qFormat/>
    <w:uiPriority w:val="0"/>
    <w:rPr>
      <w:rFonts w:hint="eastAsia" w:ascii="仿宋" w:hAnsi="仿宋" w:eastAsia="仿宋" w:cs="仿宋"/>
      <w:color w:val="000000"/>
      <w:sz w:val="20"/>
      <w:szCs w:val="20"/>
      <w:u w:val="none"/>
    </w:rPr>
  </w:style>
  <w:style w:type="character" w:customStyle="1" w:styleId="269">
    <w:name w:val="font351"/>
    <w:basedOn w:val="45"/>
    <w:qFormat/>
    <w:uiPriority w:val="0"/>
    <w:rPr>
      <w:rFonts w:hint="eastAsia" w:ascii="仿宋" w:hAnsi="仿宋" w:eastAsia="仿宋" w:cs="仿宋"/>
      <w:color w:val="000000"/>
      <w:sz w:val="20"/>
      <w:szCs w:val="20"/>
      <w:u w:val="none"/>
      <w:vertAlign w:val="superscript"/>
    </w:rPr>
  </w:style>
  <w:style w:type="paragraph" w:customStyle="1" w:styleId="270">
    <w:name w:val="正文_2"/>
    <w:basedOn w:val="271"/>
    <w:qFormat/>
    <w:uiPriority w:val="0"/>
  </w:style>
  <w:style w:type="paragraph" w:customStyle="1" w:styleId="271">
    <w:name w:val="正文_1"/>
    <w:next w:val="4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72">
    <w:name w:val="采购正文"/>
    <w:qFormat/>
    <w:uiPriority w:val="0"/>
    <w:pPr>
      <w:snapToGrid w:val="0"/>
      <w:spacing w:line="360" w:lineRule="auto"/>
      <w:ind w:firstLine="200" w:firstLineChars="200"/>
    </w:pPr>
    <w:rPr>
      <w:rFonts w:ascii="仿宋" w:hAnsi="仿宋" w:eastAsia="宋体" w:cs="Times New Roman"/>
      <w:kern w:val="2"/>
      <w:sz w:val="24"/>
      <w:szCs w:val="24"/>
      <w:lang w:val="en-US" w:eastAsia="zh-CN" w:bidi="ar-SA"/>
    </w:rPr>
  </w:style>
  <w:style w:type="paragraph" w:customStyle="1" w:styleId="273">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63</Pages>
  <Words>17738</Words>
  <Characters>19291</Characters>
  <Lines>1231</Lines>
  <Paragraphs>1153</Paragraphs>
  <TotalTime>3</TotalTime>
  <ScaleCrop>false</ScaleCrop>
  <LinksUpToDate>false</LinksUpToDate>
  <CharactersWithSpaces>19671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2026-06-22T08:16:00Z</dcterms:created>
  <dc:creator>Administrator</dc:creator>
  <cp:lastModifiedBy>Administrator</cp:lastModifiedBy>
  <cp:lastPrinted>2026-03-12T08:30:00Z</cp:lastPrinted>
  <dcterms:modified xsi:type="dcterms:W3CDTF">2026-07-06T09:24:37Z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65E9F0F0DD7E4AA4A25E325C5590AFC9_13</vt:lpwstr>
  </property>
  <property fmtid="{D5CDD505-2E9C-101B-9397-08002B2CF9AE}" pid="4" name="KSOTemplateDocerSaveRecord">
    <vt:lpwstr>eyJoZGlkIjoiYzE5M2NlMWI0ZmI4MTMyOTFjNDg1ODY2YTdiMDE0NzAiLCJ1c2VySWQiOiIyMDc2NjcyMDcifQ==</vt:lpwstr>
  </property>
</Properties>
</file>