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EEB67">
      <w:pPr>
        <w:adjustRightInd w:val="0"/>
        <w:snapToGrid w:val="0"/>
        <w:jc w:val="left"/>
        <w:rPr>
          <w:rFonts w:hint="eastAsia" w:ascii="仿宋" w:hAnsi="仿宋" w:eastAsia="仿宋" w:cs="仿宋"/>
          <w:color w:val="auto"/>
          <w:highlight w:val="none"/>
        </w:rPr>
      </w:pPr>
    </w:p>
    <w:p w14:paraId="5E7B1485">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5520" cy="795655"/>
            <wp:effectExtent l="0" t="0" r="508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985520" cy="795655"/>
                    </a:xfrm>
                    <a:prstGeom prst="rect">
                      <a:avLst/>
                    </a:prstGeom>
                    <a:noFill/>
                    <a:ln>
                      <a:noFill/>
                    </a:ln>
                  </pic:spPr>
                </pic:pic>
              </a:graphicData>
            </a:graphic>
          </wp:inline>
        </w:drawing>
      </w:r>
    </w:p>
    <w:p w14:paraId="281E85E1">
      <w:pPr>
        <w:adjustRightInd w:val="0"/>
        <w:snapToGrid w:val="0"/>
        <w:spacing w:line="480" w:lineRule="exact"/>
        <w:jc w:val="center"/>
        <w:rPr>
          <w:rFonts w:hint="eastAsia" w:ascii="仿宋" w:hAnsi="仿宋" w:eastAsia="仿宋" w:cs="仿宋"/>
          <w:bCs/>
          <w:color w:val="auto"/>
          <w:sz w:val="48"/>
          <w:szCs w:val="48"/>
          <w:highlight w:val="none"/>
        </w:rPr>
      </w:pPr>
    </w:p>
    <w:p w14:paraId="43486172">
      <w:pPr>
        <w:adjustRightInd w:val="0"/>
        <w:snapToGrid w:val="0"/>
        <w:spacing w:line="480" w:lineRule="exact"/>
        <w:jc w:val="center"/>
        <w:rPr>
          <w:rFonts w:hint="eastAsia" w:ascii="仿宋" w:hAnsi="仿宋" w:eastAsia="仿宋" w:cs="仿宋"/>
          <w:bCs/>
          <w:color w:val="auto"/>
          <w:sz w:val="48"/>
          <w:szCs w:val="48"/>
          <w:highlight w:val="none"/>
        </w:rPr>
      </w:pPr>
      <w:r>
        <w:rPr>
          <w:rFonts w:hint="eastAsia" w:ascii="仿宋" w:hAnsi="仿宋" w:eastAsia="仿宋" w:cs="仿宋"/>
          <w:bCs/>
          <w:color w:val="auto"/>
          <w:sz w:val="48"/>
          <w:szCs w:val="48"/>
          <w:highlight w:val="none"/>
        </w:rPr>
        <w:t>招 标 文 件</w:t>
      </w:r>
    </w:p>
    <w:p w14:paraId="4B5D7485">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公开招标-服务</w:t>
      </w:r>
      <w:r>
        <w:rPr>
          <w:rFonts w:hint="eastAsia" w:ascii="仿宋" w:hAnsi="仿宋" w:eastAsia="仿宋" w:cs="仿宋"/>
          <w:b/>
          <w:bCs/>
          <w:color w:val="auto"/>
          <w:sz w:val="28"/>
          <w:szCs w:val="28"/>
          <w:highlight w:val="none"/>
          <w:lang w:eastAsia="zh-CN"/>
        </w:rPr>
        <w:t>）</w:t>
      </w:r>
    </w:p>
    <w:p w14:paraId="01253B25">
      <w:pPr>
        <w:ind w:left="1574" w:right="-191" w:rightChars="-91" w:hanging="1574" w:hangingChars="492"/>
        <w:rPr>
          <w:rFonts w:hint="eastAsia" w:ascii="仿宋" w:hAnsi="仿宋" w:eastAsia="仿宋" w:cs="仿宋"/>
          <w:bCs/>
          <w:color w:val="auto"/>
          <w:kern w:val="0"/>
          <w:sz w:val="32"/>
          <w:szCs w:val="32"/>
          <w:highlight w:val="none"/>
        </w:rPr>
      </w:pPr>
    </w:p>
    <w:p w14:paraId="02BC04DF">
      <w:pPr>
        <w:ind w:left="1574" w:right="-191" w:rightChars="-91" w:hanging="1574" w:hangingChars="492"/>
        <w:rPr>
          <w:rFonts w:hint="eastAsia" w:ascii="仿宋" w:hAnsi="仿宋" w:eastAsia="仿宋" w:cs="仿宋"/>
          <w:bCs/>
          <w:color w:val="auto"/>
          <w:sz w:val="32"/>
          <w:highlight w:val="none"/>
          <w:lang w:eastAsia="zh-CN"/>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lang w:eastAsia="zh-CN"/>
        </w:rPr>
        <w:t>新疆农业大学新疆专业技术人员高校数据一体化数据共享平台管理系统建设</w:t>
      </w:r>
    </w:p>
    <w:p w14:paraId="2A026E38">
      <w:pPr>
        <w:adjustRightInd w:val="0"/>
        <w:snapToGrid w:val="0"/>
        <w:spacing w:line="480" w:lineRule="exact"/>
        <w:rPr>
          <w:rFonts w:hint="eastAsia" w:ascii="仿宋" w:hAnsi="仿宋" w:eastAsia="仿宋" w:cs="仿宋"/>
          <w:bCs/>
          <w:color w:val="auto"/>
          <w:kern w:val="0"/>
          <w:sz w:val="32"/>
          <w:szCs w:val="32"/>
          <w:highlight w:val="none"/>
        </w:rPr>
      </w:pPr>
    </w:p>
    <w:p w14:paraId="1BABD549">
      <w:pPr>
        <w:ind w:left="1894" w:right="-191" w:rightChars="-91" w:hanging="1894" w:hangingChars="592"/>
        <w:rPr>
          <w:rFonts w:hint="eastAsia" w:ascii="仿宋" w:hAnsi="仿宋" w:eastAsia="仿宋" w:cs="仿宋"/>
          <w:bCs/>
          <w:color w:val="auto"/>
          <w:kern w:val="0"/>
          <w:sz w:val="32"/>
          <w:szCs w:val="32"/>
          <w:highlight w:val="none"/>
          <w:lang w:eastAsia="zh-CN"/>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kern w:val="0"/>
          <w:sz w:val="32"/>
          <w:szCs w:val="32"/>
          <w:highlight w:val="none"/>
          <w:lang w:eastAsia="zh-CN"/>
        </w:rPr>
        <w:t>新疆农业大学</w:t>
      </w:r>
    </w:p>
    <w:p w14:paraId="003989C3">
      <w:pPr>
        <w:adjustRightInd w:val="0"/>
        <w:snapToGrid w:val="0"/>
        <w:spacing w:line="480" w:lineRule="exact"/>
        <w:rPr>
          <w:rFonts w:hint="eastAsia" w:ascii="仿宋" w:hAnsi="仿宋" w:eastAsia="仿宋" w:cs="仿宋"/>
          <w:bCs/>
          <w:color w:val="auto"/>
          <w:sz w:val="32"/>
          <w:szCs w:val="32"/>
          <w:highlight w:val="none"/>
        </w:rPr>
      </w:pPr>
    </w:p>
    <w:p w14:paraId="0ED11C22">
      <w:pPr>
        <w:adjustRightInd w:val="0"/>
        <w:snapToGrid w:val="0"/>
        <w:spacing w:line="276" w:lineRule="auto"/>
        <w:rPr>
          <w:rFonts w:hint="eastAsia" w:ascii="仿宋" w:hAnsi="仿宋" w:eastAsia="仿宋" w:cs="仿宋"/>
          <w:bCs/>
          <w:color w:val="auto"/>
          <w:sz w:val="32"/>
          <w:szCs w:val="24"/>
          <w:highlight w:val="none"/>
          <w:lang w:val="en-US" w:eastAsia="zh-CN"/>
        </w:rPr>
      </w:pPr>
      <w:r>
        <w:rPr>
          <w:rFonts w:hint="eastAsia" w:ascii="仿宋" w:hAnsi="仿宋" w:eastAsia="仿宋" w:cs="仿宋"/>
          <w:bCs/>
          <w:color w:val="auto"/>
          <w:sz w:val="32"/>
          <w:szCs w:val="24"/>
          <w:highlight w:val="none"/>
        </w:rPr>
        <w:t>联系人：</w:t>
      </w:r>
      <w:r>
        <w:rPr>
          <w:rFonts w:hint="eastAsia" w:ascii="仿宋" w:hAnsi="仿宋" w:eastAsia="仿宋" w:cs="仿宋"/>
          <w:bCs/>
          <w:color w:val="auto"/>
          <w:sz w:val="32"/>
          <w:szCs w:val="24"/>
          <w:highlight w:val="none"/>
          <w:lang w:val="en-US" w:eastAsia="zh-CN"/>
        </w:rPr>
        <w:t>刘振</w:t>
      </w:r>
    </w:p>
    <w:p w14:paraId="54C23D22">
      <w:pPr>
        <w:adjustRightInd w:val="0"/>
        <w:snapToGrid w:val="0"/>
        <w:spacing w:line="276" w:lineRule="auto"/>
        <w:jc w:val="center"/>
        <w:rPr>
          <w:rFonts w:hint="eastAsia" w:ascii="仿宋" w:hAnsi="仿宋" w:eastAsia="仿宋" w:cs="仿宋"/>
          <w:bCs/>
          <w:color w:val="auto"/>
          <w:sz w:val="32"/>
          <w:szCs w:val="24"/>
          <w:highlight w:val="none"/>
        </w:rPr>
      </w:pPr>
    </w:p>
    <w:p w14:paraId="4A1C3D66">
      <w:pPr>
        <w:adjustRightInd w:val="0"/>
        <w:snapToGrid w:val="0"/>
        <w:spacing w:line="276" w:lineRule="auto"/>
        <w:jc w:val="left"/>
        <w:rPr>
          <w:rFonts w:hint="eastAsia" w:ascii="仿宋" w:hAnsi="仿宋" w:eastAsia="仿宋" w:cs="仿宋"/>
          <w:bCs/>
          <w:color w:val="auto"/>
          <w:sz w:val="32"/>
          <w:szCs w:val="24"/>
          <w:highlight w:val="none"/>
          <w:lang w:val="en-US" w:eastAsia="zh-CN"/>
        </w:rPr>
      </w:pPr>
      <w:r>
        <w:rPr>
          <w:rFonts w:hint="eastAsia" w:ascii="仿宋" w:hAnsi="仿宋" w:eastAsia="仿宋" w:cs="仿宋"/>
          <w:bCs/>
          <w:color w:val="auto"/>
          <w:sz w:val="32"/>
          <w:szCs w:val="24"/>
          <w:highlight w:val="none"/>
        </w:rPr>
        <w:t>电话：</w:t>
      </w:r>
      <w:r>
        <w:rPr>
          <w:rFonts w:hint="eastAsia" w:ascii="仿宋" w:hAnsi="仿宋" w:eastAsia="仿宋" w:cs="仿宋"/>
          <w:bCs/>
          <w:color w:val="auto"/>
          <w:sz w:val="32"/>
          <w:szCs w:val="24"/>
          <w:highlight w:val="none"/>
          <w:lang w:eastAsia="zh-CN"/>
        </w:rPr>
        <w:t>15199111199</w:t>
      </w:r>
    </w:p>
    <w:p w14:paraId="52359579">
      <w:pPr>
        <w:rPr>
          <w:rFonts w:hint="eastAsia" w:ascii="仿宋" w:hAnsi="仿宋" w:eastAsia="仿宋" w:cs="仿宋"/>
          <w:color w:val="auto"/>
          <w:highlight w:val="none"/>
        </w:rPr>
      </w:pPr>
    </w:p>
    <w:p w14:paraId="35A8C444">
      <w:pPr>
        <w:adjustRightInd w:val="0"/>
        <w:snapToGrid w:val="0"/>
        <w:spacing w:line="480" w:lineRule="exact"/>
        <w:jc w:val="lef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w:t>
      </w:r>
    </w:p>
    <w:p w14:paraId="1CDEE17F">
      <w:pPr>
        <w:adjustRightInd w:val="0"/>
        <w:snapToGrid w:val="0"/>
        <w:spacing w:line="480" w:lineRule="exact"/>
        <w:rPr>
          <w:rFonts w:hint="eastAsia" w:ascii="仿宋" w:hAnsi="仿宋" w:eastAsia="仿宋" w:cs="仿宋"/>
          <w:bCs/>
          <w:color w:val="auto"/>
          <w:sz w:val="32"/>
          <w:szCs w:val="32"/>
          <w:highlight w:val="none"/>
        </w:rPr>
      </w:pPr>
    </w:p>
    <w:p w14:paraId="48E9508C">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16244D1B">
      <w:pPr>
        <w:adjustRightInd w:val="0"/>
        <w:snapToGrid w:val="0"/>
        <w:spacing w:line="480" w:lineRule="exact"/>
        <w:rPr>
          <w:rFonts w:hint="eastAsia" w:ascii="仿宋" w:hAnsi="仿宋" w:eastAsia="仿宋" w:cs="仿宋"/>
          <w:bCs/>
          <w:color w:val="auto"/>
          <w:sz w:val="32"/>
          <w:szCs w:val="32"/>
          <w:highlight w:val="none"/>
        </w:rPr>
      </w:pPr>
    </w:p>
    <w:p w14:paraId="6FFE116B">
      <w:pPr>
        <w:adjustRightInd w:val="0"/>
        <w:snapToGrid w:val="0"/>
        <w:spacing w:line="480" w:lineRule="exact"/>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sz w:val="32"/>
          <w:szCs w:val="32"/>
          <w:highlight w:val="none"/>
        </w:rPr>
        <w:t>联系人：</w:t>
      </w:r>
      <w:r>
        <w:rPr>
          <w:rFonts w:hint="eastAsia" w:ascii="仿宋" w:hAnsi="仿宋" w:eastAsia="仿宋" w:cs="仿宋"/>
          <w:bCs/>
          <w:color w:val="auto"/>
          <w:sz w:val="32"/>
          <w:szCs w:val="32"/>
          <w:highlight w:val="none"/>
          <w:lang w:val="en-US" w:eastAsia="zh-CN"/>
        </w:rPr>
        <w:t>马丹阳</w:t>
      </w:r>
      <w:bookmarkStart w:id="335" w:name="_GoBack"/>
      <w:bookmarkEnd w:id="335"/>
    </w:p>
    <w:p w14:paraId="1F97C145">
      <w:pPr>
        <w:adjustRightInd w:val="0"/>
        <w:snapToGrid w:val="0"/>
        <w:spacing w:line="480" w:lineRule="exact"/>
        <w:jc w:val="center"/>
        <w:rPr>
          <w:rFonts w:hint="eastAsia" w:ascii="仿宋" w:hAnsi="仿宋" w:eastAsia="仿宋" w:cs="仿宋"/>
          <w:bCs/>
          <w:color w:val="auto"/>
          <w:sz w:val="32"/>
          <w:szCs w:val="32"/>
          <w:highlight w:val="none"/>
        </w:rPr>
      </w:pPr>
    </w:p>
    <w:p w14:paraId="3DDC8E12">
      <w:pPr>
        <w:adjustRightInd w:val="0"/>
        <w:snapToGrid w:val="0"/>
        <w:spacing w:line="480" w:lineRule="exact"/>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：0991-4661782</w:t>
      </w:r>
    </w:p>
    <w:p w14:paraId="481DCC4D">
      <w:pPr>
        <w:adjustRightInd w:val="0"/>
        <w:snapToGrid w:val="0"/>
        <w:spacing w:line="480" w:lineRule="exact"/>
        <w:rPr>
          <w:rFonts w:hint="eastAsia" w:ascii="仿宋" w:hAnsi="仿宋" w:eastAsia="仿宋" w:cs="仿宋"/>
          <w:bCs/>
          <w:color w:val="auto"/>
          <w:sz w:val="32"/>
          <w:szCs w:val="32"/>
          <w:highlight w:val="none"/>
        </w:rPr>
      </w:pPr>
    </w:p>
    <w:p w14:paraId="26F4AA3D">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w:t>
      </w:r>
      <w:r>
        <w:rPr>
          <w:rFonts w:hint="eastAsia" w:ascii="仿宋" w:hAnsi="仿宋" w:eastAsia="仿宋" w:cs="仿宋"/>
          <w:bCs/>
          <w:color w:val="auto"/>
          <w:sz w:val="32"/>
          <w:szCs w:val="32"/>
          <w:highlight w:val="none"/>
          <w:lang w:eastAsia="zh-CN"/>
        </w:rPr>
        <w:t>凤凰科技大厦</w:t>
      </w:r>
      <w:r>
        <w:rPr>
          <w:rFonts w:hint="eastAsia" w:ascii="仿宋" w:hAnsi="仿宋" w:eastAsia="仿宋" w:cs="仿宋"/>
          <w:bCs/>
          <w:color w:val="auto"/>
          <w:sz w:val="32"/>
          <w:szCs w:val="32"/>
          <w:highlight w:val="none"/>
        </w:rPr>
        <w:t>五楼</w:t>
      </w:r>
    </w:p>
    <w:p w14:paraId="0201236A">
      <w:pPr>
        <w:adjustRightInd w:val="0"/>
        <w:snapToGrid w:val="0"/>
        <w:spacing w:line="480" w:lineRule="exact"/>
        <w:rPr>
          <w:rFonts w:hint="eastAsia" w:ascii="仿宋" w:hAnsi="仿宋" w:eastAsia="仿宋" w:cs="仿宋"/>
          <w:bCs/>
          <w:color w:val="auto"/>
          <w:sz w:val="32"/>
          <w:szCs w:val="32"/>
          <w:highlight w:val="none"/>
        </w:rPr>
      </w:pPr>
    </w:p>
    <w:p w14:paraId="3038F1FE">
      <w:pPr>
        <w:widowControl/>
        <w:jc w:val="left"/>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r>
    </w:p>
    <w:p w14:paraId="4BF7D7DE">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目录</w:t>
      </w:r>
    </w:p>
    <w:p w14:paraId="46B27482">
      <w:pPr>
        <w:pStyle w:val="24"/>
        <w:tabs>
          <w:tab w:val="right" w:leader="dot" w:pos="9354"/>
        </w:tabs>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_Toc3634 </w:instrText>
      </w:r>
      <w:r>
        <w:rPr>
          <w:rFonts w:hint="eastAsia" w:ascii="仿宋" w:hAnsi="仿宋" w:eastAsia="仿宋" w:cs="仿宋"/>
          <w:highlight w:val="none"/>
        </w:rPr>
        <w:fldChar w:fldCharType="separate"/>
      </w:r>
      <w:r>
        <w:rPr>
          <w:rFonts w:hint="eastAsia" w:ascii="仿宋" w:hAnsi="仿宋" w:eastAsia="仿宋" w:cs="仿宋"/>
          <w:bCs/>
          <w:szCs w:val="32"/>
          <w:highlight w:val="none"/>
        </w:rPr>
        <w:t>招标公告</w:t>
      </w:r>
      <w:r>
        <w:tab/>
      </w:r>
      <w:r>
        <w:fldChar w:fldCharType="begin"/>
      </w:r>
      <w:r>
        <w:instrText xml:space="preserve"> PAGEREF _Toc3634 \h </w:instrText>
      </w:r>
      <w:r>
        <w:fldChar w:fldCharType="separate"/>
      </w:r>
      <w:r>
        <w:t>1</w:t>
      </w:r>
      <w:r>
        <w:fldChar w:fldCharType="end"/>
      </w:r>
      <w:r>
        <w:rPr>
          <w:rFonts w:hint="eastAsia" w:ascii="仿宋" w:hAnsi="仿宋" w:eastAsia="仿宋" w:cs="仿宋"/>
          <w:color w:val="auto"/>
          <w:highlight w:val="none"/>
        </w:rPr>
        <w:fldChar w:fldCharType="end"/>
      </w:r>
    </w:p>
    <w:p w14:paraId="7650BF47">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_Toc15607 </w:instrText>
      </w:r>
      <w:r>
        <w:rPr>
          <w:rFonts w:hint="eastAsia" w:ascii="仿宋" w:hAnsi="仿宋" w:eastAsia="仿宋" w:cs="仿宋"/>
          <w:highlight w:val="none"/>
        </w:rPr>
        <w:fldChar w:fldCharType="separate"/>
      </w:r>
      <w:r>
        <w:rPr>
          <w:rFonts w:hint="eastAsia" w:ascii="仿宋" w:hAnsi="仿宋" w:eastAsia="仿宋" w:cs="仿宋"/>
          <w:szCs w:val="24"/>
          <w:highlight w:val="none"/>
        </w:rPr>
        <w:t>投标人须知前附表</w:t>
      </w:r>
      <w:r>
        <w:tab/>
      </w:r>
      <w:r>
        <w:fldChar w:fldCharType="begin"/>
      </w:r>
      <w:r>
        <w:instrText xml:space="preserve"> PAGEREF _Toc15607 \h </w:instrText>
      </w:r>
      <w:r>
        <w:fldChar w:fldCharType="separate"/>
      </w:r>
      <w:r>
        <w:t>3</w:t>
      </w:r>
      <w:r>
        <w:fldChar w:fldCharType="end"/>
      </w:r>
      <w:r>
        <w:rPr>
          <w:rFonts w:hint="eastAsia" w:ascii="仿宋" w:hAnsi="仿宋" w:eastAsia="仿宋" w:cs="仿宋"/>
          <w:color w:val="auto"/>
          <w:highlight w:val="none"/>
        </w:rPr>
        <w:fldChar w:fldCharType="end"/>
      </w:r>
    </w:p>
    <w:p w14:paraId="4B96587D">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_Toc32237 </w:instrText>
      </w:r>
      <w:r>
        <w:rPr>
          <w:rFonts w:hint="eastAsia" w:ascii="仿宋" w:hAnsi="仿宋" w:eastAsia="仿宋" w:cs="仿宋"/>
          <w:highlight w:val="none"/>
        </w:rPr>
        <w:fldChar w:fldCharType="separate"/>
      </w:r>
      <w:r>
        <w:rPr>
          <w:rFonts w:hint="eastAsia" w:ascii="仿宋" w:hAnsi="仿宋" w:eastAsia="仿宋" w:cs="仿宋"/>
          <w:szCs w:val="24"/>
          <w:highlight w:val="none"/>
        </w:rPr>
        <w:t>第一章 投标人须知</w:t>
      </w:r>
      <w:r>
        <w:tab/>
      </w:r>
      <w:r>
        <w:fldChar w:fldCharType="begin"/>
      </w:r>
      <w:r>
        <w:instrText xml:space="preserve"> PAGEREF _Toc32237 \h </w:instrText>
      </w:r>
      <w:r>
        <w:fldChar w:fldCharType="separate"/>
      </w:r>
      <w:r>
        <w:t>7</w:t>
      </w:r>
      <w:r>
        <w:fldChar w:fldCharType="end"/>
      </w:r>
      <w:r>
        <w:rPr>
          <w:rFonts w:hint="eastAsia" w:ascii="仿宋" w:hAnsi="仿宋" w:eastAsia="仿宋" w:cs="仿宋"/>
          <w:color w:val="auto"/>
          <w:highlight w:val="none"/>
        </w:rPr>
        <w:fldChar w:fldCharType="end"/>
      </w:r>
    </w:p>
    <w:p w14:paraId="1ADA446C">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_Toc19376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lang w:eastAsia="zh-CN"/>
        </w:rPr>
        <w:t>、</w:t>
      </w:r>
      <w:r>
        <w:rPr>
          <w:rFonts w:hint="eastAsia" w:ascii="仿宋" w:hAnsi="仿宋" w:eastAsia="仿宋" w:cs="仿宋"/>
          <w:szCs w:val="24"/>
          <w:highlight w:val="none"/>
        </w:rPr>
        <w:t>总则</w:t>
      </w:r>
      <w:r>
        <w:tab/>
      </w:r>
      <w:r>
        <w:fldChar w:fldCharType="begin"/>
      </w:r>
      <w:r>
        <w:instrText xml:space="preserve"> PAGEREF _Toc19376 \h </w:instrText>
      </w:r>
      <w:r>
        <w:fldChar w:fldCharType="separate"/>
      </w:r>
      <w:r>
        <w:t>7</w:t>
      </w:r>
      <w:r>
        <w:fldChar w:fldCharType="end"/>
      </w:r>
      <w:r>
        <w:rPr>
          <w:rFonts w:hint="eastAsia" w:ascii="仿宋" w:hAnsi="仿宋" w:eastAsia="仿宋" w:cs="仿宋"/>
          <w:color w:val="auto"/>
          <w:highlight w:val="none"/>
        </w:rPr>
        <w:fldChar w:fldCharType="end"/>
      </w:r>
    </w:p>
    <w:p w14:paraId="19523306">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_Toc1828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rPr>
        <w:t>招标文件</w:t>
      </w:r>
      <w:r>
        <w:tab/>
      </w:r>
      <w:r>
        <w:fldChar w:fldCharType="begin"/>
      </w:r>
      <w:r>
        <w:instrText xml:space="preserve"> PAGEREF _Toc1828 \h </w:instrText>
      </w:r>
      <w:r>
        <w:fldChar w:fldCharType="separate"/>
      </w:r>
      <w:r>
        <w:t>8</w:t>
      </w:r>
      <w:r>
        <w:fldChar w:fldCharType="end"/>
      </w:r>
      <w:r>
        <w:rPr>
          <w:rFonts w:hint="eastAsia" w:ascii="仿宋" w:hAnsi="仿宋" w:eastAsia="仿宋" w:cs="仿宋"/>
          <w:color w:val="auto"/>
          <w:highlight w:val="none"/>
        </w:rPr>
        <w:fldChar w:fldCharType="end"/>
      </w:r>
    </w:p>
    <w:p w14:paraId="135B47CE">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_Toc8828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投标文件</w:t>
      </w:r>
      <w:r>
        <w:tab/>
      </w:r>
      <w:r>
        <w:fldChar w:fldCharType="begin"/>
      </w:r>
      <w:r>
        <w:instrText xml:space="preserve"> PAGEREF _Toc8828 \h </w:instrText>
      </w:r>
      <w:r>
        <w:fldChar w:fldCharType="separate"/>
      </w:r>
      <w:r>
        <w:t>10</w:t>
      </w:r>
      <w:r>
        <w:fldChar w:fldCharType="end"/>
      </w:r>
      <w:r>
        <w:rPr>
          <w:rFonts w:hint="eastAsia" w:ascii="仿宋" w:hAnsi="仿宋" w:eastAsia="仿宋" w:cs="仿宋"/>
          <w:color w:val="auto"/>
          <w:highlight w:val="none"/>
        </w:rPr>
        <w:fldChar w:fldCharType="end"/>
      </w:r>
    </w:p>
    <w:p w14:paraId="16B053FD">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_Toc29573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四、</w:t>
      </w:r>
      <w:r>
        <w:rPr>
          <w:rFonts w:hint="eastAsia" w:ascii="仿宋" w:hAnsi="仿宋" w:eastAsia="仿宋" w:cs="仿宋"/>
          <w:szCs w:val="24"/>
          <w:highlight w:val="none"/>
        </w:rPr>
        <w:t>投标</w:t>
      </w:r>
      <w:r>
        <w:tab/>
      </w:r>
      <w:r>
        <w:fldChar w:fldCharType="begin"/>
      </w:r>
      <w:r>
        <w:instrText xml:space="preserve"> PAGEREF _Toc29573 \h </w:instrText>
      </w:r>
      <w:r>
        <w:fldChar w:fldCharType="separate"/>
      </w:r>
      <w:r>
        <w:t>12</w:t>
      </w:r>
      <w:r>
        <w:fldChar w:fldCharType="end"/>
      </w:r>
      <w:r>
        <w:rPr>
          <w:rFonts w:hint="eastAsia" w:ascii="仿宋" w:hAnsi="仿宋" w:eastAsia="仿宋" w:cs="仿宋"/>
          <w:color w:val="auto"/>
          <w:highlight w:val="none"/>
        </w:rPr>
        <w:fldChar w:fldCharType="end"/>
      </w:r>
    </w:p>
    <w:p w14:paraId="5C235555">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_Toc12971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五、</w:t>
      </w:r>
      <w:r>
        <w:rPr>
          <w:rFonts w:hint="eastAsia" w:ascii="仿宋" w:hAnsi="仿宋" w:eastAsia="仿宋" w:cs="仿宋"/>
          <w:szCs w:val="24"/>
          <w:highlight w:val="none"/>
        </w:rPr>
        <w:t>开标</w:t>
      </w:r>
      <w:r>
        <w:tab/>
      </w:r>
      <w:r>
        <w:fldChar w:fldCharType="begin"/>
      </w:r>
      <w:r>
        <w:instrText xml:space="preserve"> PAGEREF _Toc12971 \h </w:instrText>
      </w:r>
      <w:r>
        <w:fldChar w:fldCharType="separate"/>
      </w:r>
      <w:r>
        <w:t>13</w:t>
      </w:r>
      <w:r>
        <w:fldChar w:fldCharType="end"/>
      </w:r>
      <w:r>
        <w:rPr>
          <w:rFonts w:hint="eastAsia" w:ascii="仿宋" w:hAnsi="仿宋" w:eastAsia="仿宋" w:cs="仿宋"/>
          <w:color w:val="auto"/>
          <w:highlight w:val="none"/>
        </w:rPr>
        <w:fldChar w:fldCharType="end"/>
      </w:r>
    </w:p>
    <w:p w14:paraId="16D6D0C3">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_Toc19496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评标</w:t>
      </w:r>
      <w:r>
        <w:tab/>
      </w:r>
      <w:r>
        <w:fldChar w:fldCharType="begin"/>
      </w:r>
      <w:r>
        <w:instrText xml:space="preserve"> PAGEREF _Toc19496 \h </w:instrText>
      </w:r>
      <w:r>
        <w:fldChar w:fldCharType="separate"/>
      </w:r>
      <w:r>
        <w:t>13</w:t>
      </w:r>
      <w:r>
        <w:fldChar w:fldCharType="end"/>
      </w:r>
      <w:r>
        <w:rPr>
          <w:rFonts w:hint="eastAsia" w:ascii="仿宋" w:hAnsi="仿宋" w:eastAsia="仿宋" w:cs="仿宋"/>
          <w:color w:val="auto"/>
          <w:highlight w:val="none"/>
        </w:rPr>
        <w:fldChar w:fldCharType="end"/>
      </w:r>
    </w:p>
    <w:p w14:paraId="0BCB648B">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_Toc29135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定标及合同授予</w:t>
      </w:r>
      <w:r>
        <w:tab/>
      </w:r>
      <w:r>
        <w:fldChar w:fldCharType="begin"/>
      </w:r>
      <w:r>
        <w:instrText xml:space="preserve"> PAGEREF _Toc29135 \h </w:instrText>
      </w:r>
      <w:r>
        <w:fldChar w:fldCharType="separate"/>
      </w:r>
      <w:r>
        <w:t>14</w:t>
      </w:r>
      <w:r>
        <w:fldChar w:fldCharType="end"/>
      </w:r>
      <w:r>
        <w:rPr>
          <w:rFonts w:hint="eastAsia" w:ascii="仿宋" w:hAnsi="仿宋" w:eastAsia="仿宋" w:cs="仿宋"/>
          <w:color w:val="auto"/>
          <w:highlight w:val="none"/>
        </w:rPr>
        <w:fldChar w:fldCharType="end"/>
      </w:r>
    </w:p>
    <w:p w14:paraId="241BEBF9">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_Toc1461 </w:instrText>
      </w:r>
      <w:r>
        <w:rPr>
          <w:rFonts w:hint="eastAsia" w:ascii="仿宋" w:hAnsi="仿宋" w:eastAsia="仿宋" w:cs="仿宋"/>
          <w:highlight w:val="none"/>
        </w:rPr>
        <w:fldChar w:fldCharType="separate"/>
      </w:r>
      <w:r>
        <w:rPr>
          <w:rFonts w:hint="eastAsia" w:ascii="仿宋" w:hAnsi="仿宋" w:eastAsia="仿宋" w:cs="仿宋"/>
          <w:szCs w:val="24"/>
          <w:highlight w:val="none"/>
        </w:rPr>
        <w:t>八、纪律和监督</w:t>
      </w:r>
      <w:r>
        <w:tab/>
      </w:r>
      <w:r>
        <w:fldChar w:fldCharType="begin"/>
      </w:r>
      <w:r>
        <w:instrText xml:space="preserve"> PAGEREF _Toc1461 \h </w:instrText>
      </w:r>
      <w:r>
        <w:fldChar w:fldCharType="separate"/>
      </w:r>
      <w:r>
        <w:t>15</w:t>
      </w:r>
      <w:r>
        <w:fldChar w:fldCharType="end"/>
      </w:r>
      <w:r>
        <w:rPr>
          <w:rFonts w:hint="eastAsia" w:ascii="仿宋" w:hAnsi="仿宋" w:eastAsia="仿宋" w:cs="仿宋"/>
          <w:color w:val="auto"/>
          <w:highlight w:val="none"/>
        </w:rPr>
        <w:fldChar w:fldCharType="end"/>
      </w:r>
    </w:p>
    <w:p w14:paraId="737AF939">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_Toc27112 </w:instrText>
      </w:r>
      <w:r>
        <w:rPr>
          <w:rFonts w:hint="eastAsia" w:ascii="仿宋" w:hAnsi="仿宋" w:eastAsia="仿宋" w:cs="仿宋"/>
          <w:highlight w:val="none"/>
        </w:rPr>
        <w:fldChar w:fldCharType="separate"/>
      </w:r>
      <w:r>
        <w:rPr>
          <w:rFonts w:hint="eastAsia" w:ascii="仿宋" w:hAnsi="仿宋" w:eastAsia="仿宋" w:cs="仿宋"/>
          <w:szCs w:val="24"/>
          <w:highlight w:val="none"/>
        </w:rPr>
        <w:t>第二章 评标办法</w:t>
      </w:r>
      <w:r>
        <w:tab/>
      </w:r>
      <w:r>
        <w:fldChar w:fldCharType="begin"/>
      </w:r>
      <w:r>
        <w:instrText xml:space="preserve"> PAGEREF _Toc27112 \h </w:instrText>
      </w:r>
      <w:r>
        <w:fldChar w:fldCharType="separate"/>
      </w:r>
      <w:r>
        <w:t>16</w:t>
      </w:r>
      <w:r>
        <w:fldChar w:fldCharType="end"/>
      </w:r>
      <w:r>
        <w:rPr>
          <w:rFonts w:hint="eastAsia" w:ascii="仿宋" w:hAnsi="仿宋" w:eastAsia="仿宋" w:cs="仿宋"/>
          <w:color w:val="auto"/>
          <w:highlight w:val="none"/>
        </w:rPr>
        <w:fldChar w:fldCharType="end"/>
      </w:r>
    </w:p>
    <w:p w14:paraId="5E3B2316">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_Toc4686 </w:instrText>
      </w:r>
      <w:r>
        <w:rPr>
          <w:rFonts w:hint="eastAsia" w:ascii="仿宋" w:hAnsi="仿宋" w:eastAsia="仿宋" w:cs="仿宋"/>
          <w:highlight w:val="none"/>
        </w:rPr>
        <w:fldChar w:fldCharType="separate"/>
      </w:r>
      <w:r>
        <w:rPr>
          <w:rFonts w:hint="eastAsia" w:ascii="仿宋" w:hAnsi="仿宋" w:eastAsia="仿宋" w:cs="仿宋"/>
          <w:szCs w:val="24"/>
          <w:highlight w:val="none"/>
        </w:rPr>
        <w:t>评审办法前附表</w:t>
      </w:r>
      <w:r>
        <w:tab/>
      </w:r>
      <w:r>
        <w:fldChar w:fldCharType="begin"/>
      </w:r>
      <w:r>
        <w:instrText xml:space="preserve"> PAGEREF _Toc4686 \h </w:instrText>
      </w:r>
      <w:r>
        <w:fldChar w:fldCharType="separate"/>
      </w:r>
      <w:r>
        <w:t>16</w:t>
      </w:r>
      <w:r>
        <w:fldChar w:fldCharType="end"/>
      </w:r>
      <w:r>
        <w:rPr>
          <w:rFonts w:hint="eastAsia" w:ascii="仿宋" w:hAnsi="仿宋" w:eastAsia="仿宋" w:cs="仿宋"/>
          <w:color w:val="auto"/>
          <w:highlight w:val="none"/>
        </w:rPr>
        <w:fldChar w:fldCharType="end"/>
      </w:r>
    </w:p>
    <w:p w14:paraId="27FF3546">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_Toc15374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评标方法</w:t>
      </w:r>
      <w:r>
        <w:tab/>
      </w:r>
      <w:r>
        <w:fldChar w:fldCharType="begin"/>
      </w:r>
      <w:r>
        <w:instrText xml:space="preserve"> PAGEREF _Toc15374 \h </w:instrText>
      </w:r>
      <w:r>
        <w:fldChar w:fldCharType="separate"/>
      </w:r>
      <w:r>
        <w:t>19</w:t>
      </w:r>
      <w:r>
        <w:fldChar w:fldCharType="end"/>
      </w:r>
      <w:r>
        <w:rPr>
          <w:rFonts w:hint="eastAsia" w:ascii="仿宋" w:hAnsi="仿宋" w:eastAsia="仿宋" w:cs="仿宋"/>
          <w:color w:val="auto"/>
          <w:highlight w:val="none"/>
        </w:rPr>
        <w:fldChar w:fldCharType="end"/>
      </w:r>
    </w:p>
    <w:p w14:paraId="3FE18DE4">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_Toc12331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rPr>
        <w:t>评审标准</w:t>
      </w:r>
      <w:r>
        <w:tab/>
      </w:r>
      <w:r>
        <w:fldChar w:fldCharType="begin"/>
      </w:r>
      <w:r>
        <w:instrText xml:space="preserve"> PAGEREF _Toc12331 \h </w:instrText>
      </w:r>
      <w:r>
        <w:fldChar w:fldCharType="separate"/>
      </w:r>
      <w:r>
        <w:t>19</w:t>
      </w:r>
      <w:r>
        <w:fldChar w:fldCharType="end"/>
      </w:r>
      <w:r>
        <w:rPr>
          <w:rFonts w:hint="eastAsia" w:ascii="仿宋" w:hAnsi="仿宋" w:eastAsia="仿宋" w:cs="仿宋"/>
          <w:color w:val="auto"/>
          <w:highlight w:val="none"/>
        </w:rPr>
        <w:fldChar w:fldCharType="end"/>
      </w:r>
    </w:p>
    <w:p w14:paraId="6109A8FA">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_Toc12586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评标程序</w:t>
      </w:r>
      <w:r>
        <w:tab/>
      </w:r>
      <w:r>
        <w:fldChar w:fldCharType="begin"/>
      </w:r>
      <w:r>
        <w:instrText xml:space="preserve"> PAGEREF _Toc12586 \h </w:instrText>
      </w:r>
      <w:r>
        <w:fldChar w:fldCharType="separate"/>
      </w:r>
      <w:r>
        <w:t>20</w:t>
      </w:r>
      <w:r>
        <w:fldChar w:fldCharType="end"/>
      </w:r>
      <w:r>
        <w:rPr>
          <w:rFonts w:hint="eastAsia" w:ascii="仿宋" w:hAnsi="仿宋" w:eastAsia="仿宋" w:cs="仿宋"/>
          <w:color w:val="auto"/>
          <w:highlight w:val="none"/>
        </w:rPr>
        <w:fldChar w:fldCharType="end"/>
      </w:r>
    </w:p>
    <w:p w14:paraId="4E296447">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_Toc16854 </w:instrText>
      </w:r>
      <w:r>
        <w:rPr>
          <w:rFonts w:hint="eastAsia" w:ascii="仿宋" w:hAnsi="仿宋" w:eastAsia="仿宋" w:cs="仿宋"/>
          <w:highlight w:val="none"/>
        </w:rPr>
        <w:fldChar w:fldCharType="separate"/>
      </w:r>
      <w:r>
        <w:rPr>
          <w:rFonts w:hint="eastAsia" w:ascii="仿宋" w:hAnsi="仿宋" w:eastAsia="仿宋" w:cs="仿宋"/>
          <w:szCs w:val="24"/>
          <w:highlight w:val="none"/>
        </w:rPr>
        <w:t>第三章 合同</w:t>
      </w:r>
      <w:r>
        <w:rPr>
          <w:rFonts w:hint="eastAsia" w:ascii="仿宋" w:hAnsi="仿宋" w:eastAsia="仿宋" w:cs="仿宋"/>
          <w:szCs w:val="24"/>
          <w:highlight w:val="none"/>
          <w:lang w:val="en-US" w:eastAsia="zh-CN"/>
        </w:rPr>
        <w:t>文本</w:t>
      </w:r>
      <w:r>
        <w:tab/>
      </w:r>
      <w:r>
        <w:fldChar w:fldCharType="begin"/>
      </w:r>
      <w:r>
        <w:instrText xml:space="preserve"> PAGEREF _Toc16854 \h </w:instrText>
      </w:r>
      <w:r>
        <w:fldChar w:fldCharType="separate"/>
      </w:r>
      <w:r>
        <w:t>25</w:t>
      </w:r>
      <w:r>
        <w:fldChar w:fldCharType="end"/>
      </w:r>
      <w:r>
        <w:rPr>
          <w:rFonts w:hint="eastAsia" w:ascii="仿宋" w:hAnsi="仿宋" w:eastAsia="仿宋" w:cs="仿宋"/>
          <w:color w:val="auto"/>
          <w:highlight w:val="none"/>
        </w:rPr>
        <w:fldChar w:fldCharType="end"/>
      </w:r>
    </w:p>
    <w:p w14:paraId="3670DE58">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_Toc4547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 xml:space="preserve">第四章 </w:t>
      </w:r>
      <w:r>
        <w:rPr>
          <w:rFonts w:hint="eastAsia" w:ascii="仿宋" w:hAnsi="仿宋" w:eastAsia="仿宋" w:cs="仿宋"/>
          <w:szCs w:val="24"/>
          <w:highlight w:val="none"/>
          <w:lang w:eastAsia="zh-CN"/>
        </w:rPr>
        <w:t>采购需求</w:t>
      </w:r>
      <w:r>
        <w:tab/>
      </w:r>
      <w:r>
        <w:fldChar w:fldCharType="begin"/>
      </w:r>
      <w:r>
        <w:instrText xml:space="preserve"> PAGEREF _Toc4547 \h </w:instrText>
      </w:r>
      <w:r>
        <w:fldChar w:fldCharType="separate"/>
      </w:r>
      <w:r>
        <w:t>37</w:t>
      </w:r>
      <w:r>
        <w:fldChar w:fldCharType="end"/>
      </w:r>
      <w:r>
        <w:rPr>
          <w:rFonts w:hint="eastAsia" w:ascii="仿宋" w:hAnsi="仿宋" w:eastAsia="仿宋" w:cs="仿宋"/>
          <w:color w:val="auto"/>
          <w:highlight w:val="none"/>
        </w:rPr>
        <w:fldChar w:fldCharType="end"/>
      </w:r>
    </w:p>
    <w:p w14:paraId="44E05C61">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_Toc9562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一、项目总体概况</w:t>
      </w:r>
      <w:r>
        <w:tab/>
      </w:r>
      <w:r>
        <w:fldChar w:fldCharType="begin"/>
      </w:r>
      <w:r>
        <w:instrText xml:space="preserve"> PAGEREF _Toc9562 \h </w:instrText>
      </w:r>
      <w:r>
        <w:fldChar w:fldCharType="separate"/>
      </w:r>
      <w:r>
        <w:t>37</w:t>
      </w:r>
      <w:r>
        <w:fldChar w:fldCharType="end"/>
      </w:r>
      <w:r>
        <w:rPr>
          <w:rFonts w:hint="eastAsia" w:ascii="仿宋" w:hAnsi="仿宋" w:eastAsia="仿宋" w:cs="仿宋"/>
          <w:color w:val="auto"/>
          <w:highlight w:val="none"/>
        </w:rPr>
        <w:fldChar w:fldCharType="end"/>
      </w:r>
    </w:p>
    <w:p w14:paraId="6140D9D6">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_Toc1259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二、总体建设要求</w:t>
      </w:r>
      <w:r>
        <w:tab/>
      </w:r>
      <w:r>
        <w:fldChar w:fldCharType="begin"/>
      </w:r>
      <w:r>
        <w:instrText xml:space="preserve"> PAGEREF _Toc1259 \h </w:instrText>
      </w:r>
      <w:r>
        <w:fldChar w:fldCharType="separate"/>
      </w:r>
      <w:r>
        <w:t>37</w:t>
      </w:r>
      <w:r>
        <w:fldChar w:fldCharType="end"/>
      </w:r>
      <w:r>
        <w:rPr>
          <w:rFonts w:hint="eastAsia" w:ascii="仿宋" w:hAnsi="仿宋" w:eastAsia="仿宋" w:cs="仿宋"/>
          <w:color w:val="auto"/>
          <w:highlight w:val="none"/>
        </w:rPr>
        <w:fldChar w:fldCharType="end"/>
      </w:r>
    </w:p>
    <w:p w14:paraId="08258F65">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_Toc27115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三、详细技术参数及功能需求</w:t>
      </w:r>
      <w:r>
        <w:tab/>
      </w:r>
      <w:r>
        <w:fldChar w:fldCharType="begin"/>
      </w:r>
      <w:r>
        <w:instrText xml:space="preserve"> PAGEREF _Toc27115 \h </w:instrText>
      </w:r>
      <w:r>
        <w:fldChar w:fldCharType="separate"/>
      </w:r>
      <w:r>
        <w:t>37</w:t>
      </w:r>
      <w:r>
        <w:fldChar w:fldCharType="end"/>
      </w:r>
      <w:r>
        <w:rPr>
          <w:rFonts w:hint="eastAsia" w:ascii="仿宋" w:hAnsi="仿宋" w:eastAsia="仿宋" w:cs="仿宋"/>
          <w:color w:val="auto"/>
          <w:highlight w:val="none"/>
        </w:rPr>
        <w:fldChar w:fldCharType="end"/>
      </w:r>
    </w:p>
    <w:p w14:paraId="54849AB0">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_Toc30663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四、运维培训及配套服务需求</w:t>
      </w:r>
      <w:r>
        <w:tab/>
      </w:r>
      <w:r>
        <w:fldChar w:fldCharType="begin"/>
      </w:r>
      <w:r>
        <w:instrText xml:space="preserve"> PAGEREF _Toc30663 \h </w:instrText>
      </w:r>
      <w:r>
        <w:fldChar w:fldCharType="separate"/>
      </w:r>
      <w:r>
        <w:t>39</w:t>
      </w:r>
      <w:r>
        <w:fldChar w:fldCharType="end"/>
      </w:r>
      <w:r>
        <w:rPr>
          <w:rFonts w:hint="eastAsia" w:ascii="仿宋" w:hAnsi="仿宋" w:eastAsia="仿宋" w:cs="仿宋"/>
          <w:color w:val="auto"/>
          <w:highlight w:val="none"/>
        </w:rPr>
        <w:fldChar w:fldCharType="end"/>
      </w:r>
    </w:p>
    <w:p w14:paraId="1F8B27AB">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_Toc32718 </w:instrText>
      </w:r>
      <w:r>
        <w:rPr>
          <w:rFonts w:hint="eastAsia" w:ascii="仿宋" w:hAnsi="仿宋" w:eastAsia="仿宋" w:cs="仿宋"/>
          <w:highlight w:val="none"/>
        </w:rPr>
        <w:fldChar w:fldCharType="separate"/>
      </w:r>
      <w:r>
        <w:rPr>
          <w:rFonts w:hint="eastAsia" w:ascii="仿宋" w:hAnsi="仿宋" w:eastAsia="仿宋" w:cs="仿宋"/>
          <w:szCs w:val="24"/>
          <w:highlight w:val="none"/>
        </w:rPr>
        <w:t>第五章 投标文件格式</w:t>
      </w:r>
      <w:r>
        <w:tab/>
      </w:r>
      <w:r>
        <w:fldChar w:fldCharType="begin"/>
      </w:r>
      <w:r>
        <w:instrText xml:space="preserve"> PAGEREF _Toc32718 \h </w:instrText>
      </w:r>
      <w:r>
        <w:fldChar w:fldCharType="separate"/>
      </w:r>
      <w:r>
        <w:t>45</w:t>
      </w:r>
      <w:r>
        <w:fldChar w:fldCharType="end"/>
      </w:r>
      <w:r>
        <w:rPr>
          <w:rFonts w:hint="eastAsia" w:ascii="仿宋" w:hAnsi="仿宋" w:eastAsia="仿宋" w:cs="仿宋"/>
          <w:color w:val="auto"/>
          <w:highlight w:val="none"/>
        </w:rPr>
        <w:fldChar w:fldCharType="end"/>
      </w:r>
    </w:p>
    <w:p w14:paraId="33DF0E34">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_Toc23128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开标一览表</w:t>
      </w:r>
      <w:r>
        <w:tab/>
      </w:r>
      <w:r>
        <w:fldChar w:fldCharType="begin"/>
      </w:r>
      <w:r>
        <w:instrText xml:space="preserve"> PAGEREF _Toc23128 \h </w:instrText>
      </w:r>
      <w:r>
        <w:fldChar w:fldCharType="separate"/>
      </w:r>
      <w:r>
        <w:t>47</w:t>
      </w:r>
      <w:r>
        <w:fldChar w:fldCharType="end"/>
      </w:r>
      <w:r>
        <w:rPr>
          <w:rFonts w:hint="eastAsia" w:ascii="仿宋" w:hAnsi="仿宋" w:eastAsia="仿宋" w:cs="仿宋"/>
          <w:color w:val="auto"/>
          <w:highlight w:val="none"/>
        </w:rPr>
        <w:fldChar w:fldCharType="end"/>
      </w:r>
    </w:p>
    <w:p w14:paraId="517B933D">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_Toc7310 </w:instrText>
      </w:r>
      <w:r>
        <w:rPr>
          <w:rFonts w:hint="eastAsia" w:ascii="仿宋" w:hAnsi="仿宋" w:eastAsia="仿宋" w:cs="仿宋"/>
          <w:highlight w:val="none"/>
        </w:rPr>
        <w:fldChar w:fldCharType="separate"/>
      </w:r>
      <w:r>
        <w:rPr>
          <w:rFonts w:hint="eastAsia" w:ascii="仿宋" w:hAnsi="仿宋" w:eastAsia="仿宋" w:cs="仿宋"/>
          <w:szCs w:val="24"/>
          <w:highlight w:val="none"/>
        </w:rPr>
        <w:t>二、投标函</w:t>
      </w:r>
      <w:r>
        <w:tab/>
      </w:r>
      <w:r>
        <w:fldChar w:fldCharType="begin"/>
      </w:r>
      <w:r>
        <w:instrText xml:space="preserve"> PAGEREF _Toc7310 \h </w:instrText>
      </w:r>
      <w:r>
        <w:fldChar w:fldCharType="separate"/>
      </w:r>
      <w:r>
        <w:t>48</w:t>
      </w:r>
      <w:r>
        <w:fldChar w:fldCharType="end"/>
      </w:r>
      <w:r>
        <w:rPr>
          <w:rFonts w:hint="eastAsia" w:ascii="仿宋" w:hAnsi="仿宋" w:eastAsia="仿宋" w:cs="仿宋"/>
          <w:color w:val="auto"/>
          <w:highlight w:val="none"/>
        </w:rPr>
        <w:fldChar w:fldCharType="end"/>
      </w:r>
    </w:p>
    <w:p w14:paraId="5B770BC5">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_Toc9056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、投标价格明细表</w:t>
      </w:r>
      <w:r>
        <w:tab/>
      </w:r>
      <w:r>
        <w:fldChar w:fldCharType="begin"/>
      </w:r>
      <w:r>
        <w:instrText xml:space="preserve"> PAGEREF _Toc9056 \h </w:instrText>
      </w:r>
      <w:r>
        <w:fldChar w:fldCharType="separate"/>
      </w:r>
      <w:r>
        <w:t>49</w:t>
      </w:r>
      <w:r>
        <w:fldChar w:fldCharType="end"/>
      </w:r>
      <w:r>
        <w:rPr>
          <w:rFonts w:hint="eastAsia" w:ascii="仿宋" w:hAnsi="仿宋" w:eastAsia="仿宋" w:cs="仿宋"/>
          <w:color w:val="auto"/>
          <w:highlight w:val="none"/>
        </w:rPr>
        <w:fldChar w:fldCharType="end"/>
      </w:r>
    </w:p>
    <w:p w14:paraId="29B7177B">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_Toc7612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四</w:t>
      </w:r>
      <w:r>
        <w:rPr>
          <w:rFonts w:hint="eastAsia" w:ascii="仿宋" w:hAnsi="仿宋" w:eastAsia="仿宋" w:cs="仿宋"/>
          <w:szCs w:val="24"/>
          <w:highlight w:val="none"/>
        </w:rPr>
        <w:t>、商务条款偏离表</w:t>
      </w:r>
      <w:r>
        <w:tab/>
      </w:r>
      <w:r>
        <w:fldChar w:fldCharType="begin"/>
      </w:r>
      <w:r>
        <w:instrText xml:space="preserve"> PAGEREF _Toc7612 \h </w:instrText>
      </w:r>
      <w:r>
        <w:fldChar w:fldCharType="separate"/>
      </w:r>
      <w:r>
        <w:t>50</w:t>
      </w:r>
      <w:r>
        <w:fldChar w:fldCharType="end"/>
      </w:r>
      <w:r>
        <w:rPr>
          <w:rFonts w:hint="eastAsia" w:ascii="仿宋" w:hAnsi="仿宋" w:eastAsia="仿宋" w:cs="仿宋"/>
          <w:color w:val="auto"/>
          <w:highlight w:val="none"/>
        </w:rPr>
        <w:fldChar w:fldCharType="end"/>
      </w:r>
    </w:p>
    <w:p w14:paraId="3AA817AA">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_Toc23708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五</w:t>
      </w:r>
      <w:r>
        <w:rPr>
          <w:rFonts w:hint="eastAsia" w:ascii="仿宋" w:hAnsi="仿宋" w:eastAsia="仿宋" w:cs="仿宋"/>
          <w:szCs w:val="24"/>
          <w:highlight w:val="none"/>
        </w:rPr>
        <w:t>、</w:t>
      </w:r>
      <w:r>
        <w:rPr>
          <w:rFonts w:hint="eastAsia" w:ascii="仿宋" w:hAnsi="仿宋" w:eastAsia="仿宋" w:cs="仿宋"/>
          <w:szCs w:val="24"/>
          <w:highlight w:val="none"/>
          <w:lang w:eastAsia="zh-CN"/>
        </w:rPr>
        <w:t>技术条款偏离表</w:t>
      </w:r>
      <w:r>
        <w:tab/>
      </w:r>
      <w:r>
        <w:fldChar w:fldCharType="begin"/>
      </w:r>
      <w:r>
        <w:instrText xml:space="preserve"> PAGEREF _Toc23708 \h </w:instrText>
      </w:r>
      <w:r>
        <w:fldChar w:fldCharType="separate"/>
      </w:r>
      <w:r>
        <w:t>51</w:t>
      </w:r>
      <w:r>
        <w:fldChar w:fldCharType="end"/>
      </w:r>
      <w:r>
        <w:rPr>
          <w:rFonts w:hint="eastAsia" w:ascii="仿宋" w:hAnsi="仿宋" w:eastAsia="仿宋" w:cs="仿宋"/>
          <w:color w:val="auto"/>
          <w:highlight w:val="none"/>
        </w:rPr>
        <w:fldChar w:fldCharType="end"/>
      </w:r>
    </w:p>
    <w:p w14:paraId="377AE696">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_Toc18128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、法定代表人身份证明书</w:t>
      </w:r>
      <w:r>
        <w:tab/>
      </w:r>
      <w:r>
        <w:fldChar w:fldCharType="begin"/>
      </w:r>
      <w:r>
        <w:instrText xml:space="preserve"> PAGEREF _Toc18128 \h </w:instrText>
      </w:r>
      <w:r>
        <w:fldChar w:fldCharType="separate"/>
      </w:r>
      <w:r>
        <w:t>52</w:t>
      </w:r>
      <w:r>
        <w:fldChar w:fldCharType="end"/>
      </w:r>
      <w:r>
        <w:rPr>
          <w:rFonts w:hint="eastAsia" w:ascii="仿宋" w:hAnsi="仿宋" w:eastAsia="仿宋" w:cs="仿宋"/>
          <w:color w:val="auto"/>
          <w:highlight w:val="none"/>
        </w:rPr>
        <w:fldChar w:fldCharType="end"/>
      </w:r>
    </w:p>
    <w:p w14:paraId="251DE7A4">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_Toc16813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、法定代表人授权委托书</w:t>
      </w:r>
      <w:r>
        <w:tab/>
      </w:r>
      <w:r>
        <w:fldChar w:fldCharType="begin"/>
      </w:r>
      <w:r>
        <w:instrText xml:space="preserve"> PAGEREF _Toc16813 \h </w:instrText>
      </w:r>
      <w:r>
        <w:fldChar w:fldCharType="separate"/>
      </w:r>
      <w:r>
        <w:t>53</w:t>
      </w:r>
      <w:r>
        <w:fldChar w:fldCharType="end"/>
      </w:r>
      <w:r>
        <w:rPr>
          <w:rFonts w:hint="eastAsia" w:ascii="仿宋" w:hAnsi="仿宋" w:eastAsia="仿宋" w:cs="仿宋"/>
          <w:color w:val="auto"/>
          <w:highlight w:val="none"/>
        </w:rPr>
        <w:fldChar w:fldCharType="end"/>
      </w:r>
    </w:p>
    <w:p w14:paraId="337D007D">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_Toc23262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八</w:t>
      </w:r>
      <w:r>
        <w:rPr>
          <w:rFonts w:hint="eastAsia" w:ascii="仿宋" w:hAnsi="仿宋" w:eastAsia="仿宋" w:cs="仿宋"/>
          <w:szCs w:val="24"/>
          <w:highlight w:val="none"/>
        </w:rPr>
        <w:t>、</w:t>
      </w:r>
      <w:r>
        <w:rPr>
          <w:rFonts w:hint="eastAsia" w:ascii="仿宋" w:hAnsi="仿宋" w:eastAsia="仿宋" w:cs="仿宋"/>
          <w:bCs/>
          <w:szCs w:val="24"/>
          <w:highlight w:val="none"/>
        </w:rPr>
        <w:t>投标人资格条件证明材料</w:t>
      </w:r>
      <w:r>
        <w:tab/>
      </w:r>
      <w:r>
        <w:fldChar w:fldCharType="begin"/>
      </w:r>
      <w:r>
        <w:instrText xml:space="preserve"> PAGEREF _Toc23262 \h </w:instrText>
      </w:r>
      <w:r>
        <w:fldChar w:fldCharType="separate"/>
      </w:r>
      <w:r>
        <w:t>54</w:t>
      </w:r>
      <w:r>
        <w:fldChar w:fldCharType="end"/>
      </w:r>
      <w:r>
        <w:rPr>
          <w:rFonts w:hint="eastAsia" w:ascii="仿宋" w:hAnsi="仿宋" w:eastAsia="仿宋" w:cs="仿宋"/>
          <w:color w:val="auto"/>
          <w:highlight w:val="none"/>
        </w:rPr>
        <w:fldChar w:fldCharType="end"/>
      </w:r>
    </w:p>
    <w:p w14:paraId="4F14F5EA">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_Toc21684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九</w:t>
      </w:r>
      <w:r>
        <w:rPr>
          <w:rFonts w:hint="eastAsia" w:ascii="仿宋" w:hAnsi="仿宋" w:eastAsia="仿宋" w:cs="仿宋"/>
          <w:szCs w:val="24"/>
          <w:highlight w:val="none"/>
        </w:rPr>
        <w:t>、投标人近年类似项目情况表</w:t>
      </w:r>
      <w:r>
        <w:tab/>
      </w:r>
      <w:r>
        <w:fldChar w:fldCharType="begin"/>
      </w:r>
      <w:r>
        <w:instrText xml:space="preserve"> PAGEREF _Toc21684 \h </w:instrText>
      </w:r>
      <w:r>
        <w:fldChar w:fldCharType="separate"/>
      </w:r>
      <w:r>
        <w:t>62</w:t>
      </w:r>
      <w:r>
        <w:fldChar w:fldCharType="end"/>
      </w:r>
      <w:r>
        <w:rPr>
          <w:rFonts w:hint="eastAsia" w:ascii="仿宋" w:hAnsi="仿宋" w:eastAsia="仿宋" w:cs="仿宋"/>
          <w:color w:val="auto"/>
          <w:highlight w:val="none"/>
        </w:rPr>
        <w:fldChar w:fldCharType="end"/>
      </w:r>
    </w:p>
    <w:p w14:paraId="0E35412E">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_Toc15641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十、</w:t>
      </w:r>
      <w:r>
        <w:rPr>
          <w:rFonts w:hint="eastAsia" w:ascii="仿宋" w:hAnsi="仿宋" w:eastAsia="仿宋" w:cs="仿宋"/>
          <w:bCs/>
          <w:szCs w:val="24"/>
          <w:highlight w:val="none"/>
          <w:shd w:val="clear" w:color="auto" w:fill="FFFFFF" w:themeFill="background1"/>
        </w:rPr>
        <w:t>项目负责人简历表</w:t>
      </w:r>
      <w:r>
        <w:tab/>
      </w:r>
      <w:r>
        <w:fldChar w:fldCharType="begin"/>
      </w:r>
      <w:r>
        <w:instrText xml:space="preserve"> PAGEREF _Toc15641 \h </w:instrText>
      </w:r>
      <w:r>
        <w:fldChar w:fldCharType="separate"/>
      </w:r>
      <w:r>
        <w:t>63</w:t>
      </w:r>
      <w:r>
        <w:fldChar w:fldCharType="end"/>
      </w:r>
      <w:r>
        <w:rPr>
          <w:rFonts w:hint="eastAsia" w:ascii="仿宋" w:hAnsi="仿宋" w:eastAsia="仿宋" w:cs="仿宋"/>
          <w:color w:val="auto"/>
          <w:highlight w:val="none"/>
        </w:rPr>
        <w:fldChar w:fldCharType="end"/>
      </w:r>
    </w:p>
    <w:p w14:paraId="7B947167">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_Toc25552 </w:instrText>
      </w:r>
      <w:r>
        <w:rPr>
          <w:rFonts w:hint="eastAsia" w:ascii="仿宋" w:hAnsi="仿宋" w:eastAsia="仿宋" w:cs="仿宋"/>
          <w:highlight w:val="none"/>
        </w:rPr>
        <w:fldChar w:fldCharType="separate"/>
      </w:r>
      <w:r>
        <w:rPr>
          <w:rFonts w:hint="eastAsia" w:ascii="仿宋" w:hAnsi="仿宋" w:eastAsia="仿宋" w:cs="仿宋"/>
          <w:szCs w:val="24"/>
          <w:highlight w:val="none"/>
          <w:shd w:val="clear" w:color="auto" w:fill="FFFFFF" w:themeFill="background1"/>
          <w:lang w:val="en-US" w:eastAsia="zh-CN"/>
        </w:rPr>
        <w:t>十一</w:t>
      </w:r>
      <w:r>
        <w:rPr>
          <w:rFonts w:hint="eastAsia" w:ascii="仿宋" w:hAnsi="仿宋" w:eastAsia="仿宋" w:cs="仿宋"/>
          <w:szCs w:val="24"/>
          <w:highlight w:val="none"/>
          <w:shd w:val="clear" w:color="auto" w:fill="FFFFFF" w:themeFill="background1"/>
        </w:rPr>
        <w:t>、拟派主要</w:t>
      </w:r>
      <w:r>
        <w:rPr>
          <w:rFonts w:hint="eastAsia" w:ascii="仿宋" w:hAnsi="仿宋" w:eastAsia="仿宋" w:cs="仿宋"/>
          <w:szCs w:val="24"/>
          <w:highlight w:val="none"/>
          <w:shd w:val="clear" w:color="auto" w:fill="FFFFFF" w:themeFill="background1"/>
          <w:lang w:val="en-US" w:eastAsia="zh-CN"/>
        </w:rPr>
        <w:t>服务</w:t>
      </w:r>
      <w:r>
        <w:rPr>
          <w:rFonts w:hint="eastAsia" w:ascii="仿宋" w:hAnsi="仿宋" w:eastAsia="仿宋" w:cs="仿宋"/>
          <w:szCs w:val="24"/>
          <w:highlight w:val="none"/>
          <w:shd w:val="clear" w:color="auto" w:fill="FFFFFF" w:themeFill="background1"/>
        </w:rPr>
        <w:t>人员情况表</w:t>
      </w:r>
      <w:r>
        <w:tab/>
      </w:r>
      <w:r>
        <w:fldChar w:fldCharType="begin"/>
      </w:r>
      <w:r>
        <w:instrText xml:space="preserve"> PAGEREF _Toc25552 \h </w:instrText>
      </w:r>
      <w:r>
        <w:fldChar w:fldCharType="separate"/>
      </w:r>
      <w:r>
        <w:t>64</w:t>
      </w:r>
      <w:r>
        <w:fldChar w:fldCharType="end"/>
      </w:r>
      <w:r>
        <w:rPr>
          <w:rFonts w:hint="eastAsia" w:ascii="仿宋" w:hAnsi="仿宋" w:eastAsia="仿宋" w:cs="仿宋"/>
          <w:color w:val="auto"/>
          <w:highlight w:val="none"/>
        </w:rPr>
        <w:fldChar w:fldCharType="end"/>
      </w:r>
    </w:p>
    <w:p w14:paraId="50834172">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_Toc17257 </w:instrText>
      </w:r>
      <w:r>
        <w:rPr>
          <w:rFonts w:hint="eastAsia" w:ascii="仿宋" w:hAnsi="仿宋" w:eastAsia="仿宋" w:cs="仿宋"/>
          <w:highlight w:val="none"/>
        </w:rPr>
        <w:fldChar w:fldCharType="separate"/>
      </w:r>
      <w:r>
        <w:rPr>
          <w:rFonts w:hint="eastAsia" w:ascii="仿宋" w:hAnsi="仿宋" w:eastAsia="仿宋" w:cs="仿宋"/>
          <w:szCs w:val="24"/>
          <w:highlight w:val="none"/>
        </w:rPr>
        <w:t>十</w:t>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rPr>
        <w:t>、</w:t>
      </w:r>
      <w:r>
        <w:rPr>
          <w:rFonts w:hint="eastAsia" w:ascii="仿宋" w:hAnsi="仿宋" w:eastAsia="仿宋" w:cs="仿宋"/>
          <w:szCs w:val="24"/>
          <w:highlight w:val="none"/>
          <w:lang w:eastAsia="zh-CN"/>
        </w:rPr>
        <w:t>服务方案</w:t>
      </w:r>
      <w:r>
        <w:tab/>
      </w:r>
      <w:r>
        <w:fldChar w:fldCharType="begin"/>
      </w:r>
      <w:r>
        <w:instrText xml:space="preserve"> PAGEREF _Toc17257 \h </w:instrText>
      </w:r>
      <w:r>
        <w:fldChar w:fldCharType="separate"/>
      </w:r>
      <w:r>
        <w:t>65</w:t>
      </w:r>
      <w:r>
        <w:fldChar w:fldCharType="end"/>
      </w:r>
      <w:r>
        <w:rPr>
          <w:rFonts w:hint="eastAsia" w:ascii="仿宋" w:hAnsi="仿宋" w:eastAsia="仿宋" w:cs="仿宋"/>
          <w:color w:val="auto"/>
          <w:highlight w:val="none"/>
        </w:rPr>
        <w:fldChar w:fldCharType="end"/>
      </w:r>
    </w:p>
    <w:p w14:paraId="65A7A61F">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_Toc3859 </w:instrText>
      </w:r>
      <w:r>
        <w:rPr>
          <w:rFonts w:hint="eastAsia" w:ascii="仿宋" w:hAnsi="仿宋" w:eastAsia="仿宋" w:cs="仿宋"/>
          <w:highlight w:val="none"/>
        </w:rPr>
        <w:fldChar w:fldCharType="separate"/>
      </w:r>
      <w:r>
        <w:rPr>
          <w:rFonts w:hint="eastAsia" w:ascii="仿宋" w:hAnsi="仿宋" w:eastAsia="仿宋" w:cs="仿宋"/>
          <w:szCs w:val="24"/>
          <w:highlight w:val="none"/>
        </w:rPr>
        <w:t>十</w:t>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、保证金缴纳证明材料</w:t>
      </w:r>
      <w:r>
        <w:tab/>
      </w:r>
      <w:r>
        <w:fldChar w:fldCharType="begin"/>
      </w:r>
      <w:r>
        <w:instrText xml:space="preserve"> PAGEREF _Toc3859 \h </w:instrText>
      </w:r>
      <w:r>
        <w:fldChar w:fldCharType="separate"/>
      </w:r>
      <w:r>
        <w:t>66</w:t>
      </w:r>
      <w:r>
        <w:fldChar w:fldCharType="end"/>
      </w:r>
      <w:r>
        <w:rPr>
          <w:rFonts w:hint="eastAsia" w:ascii="仿宋" w:hAnsi="仿宋" w:eastAsia="仿宋" w:cs="仿宋"/>
          <w:color w:val="auto"/>
          <w:highlight w:val="none"/>
        </w:rPr>
        <w:fldChar w:fldCharType="end"/>
      </w:r>
    </w:p>
    <w:p w14:paraId="1806DF34">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_Toc31650 </w:instrText>
      </w:r>
      <w:r>
        <w:rPr>
          <w:rFonts w:hint="eastAsia" w:ascii="仿宋" w:hAnsi="仿宋" w:eastAsia="仿宋" w:cs="仿宋"/>
          <w:highlight w:val="none"/>
        </w:rPr>
        <w:fldChar w:fldCharType="separate"/>
      </w:r>
      <w:r>
        <w:rPr>
          <w:rFonts w:hint="eastAsia" w:ascii="仿宋" w:hAnsi="仿宋" w:eastAsia="仿宋" w:cs="仿宋"/>
          <w:szCs w:val="24"/>
          <w:highlight w:val="none"/>
        </w:rPr>
        <w:t>十</w:t>
      </w:r>
      <w:r>
        <w:rPr>
          <w:rFonts w:hint="eastAsia" w:ascii="仿宋" w:hAnsi="仿宋" w:eastAsia="仿宋" w:cs="仿宋"/>
          <w:szCs w:val="24"/>
          <w:highlight w:val="none"/>
          <w:lang w:val="en-US" w:eastAsia="zh-CN"/>
        </w:rPr>
        <w:t>四</w:t>
      </w:r>
      <w:r>
        <w:rPr>
          <w:rFonts w:hint="eastAsia" w:ascii="仿宋" w:hAnsi="仿宋" w:eastAsia="仿宋" w:cs="仿宋"/>
          <w:szCs w:val="24"/>
          <w:highlight w:val="none"/>
        </w:rPr>
        <w:t>、其它需要提交的资料</w:t>
      </w:r>
      <w:r>
        <w:tab/>
      </w:r>
      <w:r>
        <w:fldChar w:fldCharType="begin"/>
      </w:r>
      <w:r>
        <w:instrText xml:space="preserve"> PAGEREF _Toc31650 \h </w:instrText>
      </w:r>
      <w:r>
        <w:fldChar w:fldCharType="separate"/>
      </w:r>
      <w:r>
        <w:t>67</w:t>
      </w:r>
      <w:r>
        <w:fldChar w:fldCharType="end"/>
      </w:r>
      <w:r>
        <w:rPr>
          <w:rFonts w:hint="eastAsia" w:ascii="仿宋" w:hAnsi="仿宋" w:eastAsia="仿宋" w:cs="仿宋"/>
          <w:color w:val="auto"/>
          <w:highlight w:val="none"/>
        </w:rPr>
        <w:fldChar w:fldCharType="end"/>
      </w:r>
    </w:p>
    <w:p w14:paraId="0BE6A032">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_Toc23172 </w:instrText>
      </w:r>
      <w:r>
        <w:rPr>
          <w:rFonts w:hint="eastAsia" w:ascii="仿宋" w:hAnsi="仿宋" w:eastAsia="仿宋" w:cs="仿宋"/>
          <w:highlight w:val="none"/>
        </w:rPr>
        <w:fldChar w:fldCharType="separate"/>
      </w:r>
      <w:r>
        <w:rPr>
          <w:rFonts w:hint="eastAsia" w:ascii="仿宋" w:hAnsi="仿宋" w:eastAsia="仿宋" w:cs="仿宋"/>
          <w:szCs w:val="24"/>
          <w:highlight w:val="none"/>
        </w:rPr>
        <w:t>第六章 补充条款</w:t>
      </w:r>
      <w:r>
        <w:tab/>
      </w:r>
      <w:r>
        <w:fldChar w:fldCharType="begin"/>
      </w:r>
      <w:r>
        <w:instrText xml:space="preserve"> PAGEREF _Toc23172 \h </w:instrText>
      </w:r>
      <w:r>
        <w:fldChar w:fldCharType="separate"/>
      </w:r>
      <w:r>
        <w:t>68</w:t>
      </w:r>
      <w:r>
        <w:fldChar w:fldCharType="end"/>
      </w:r>
      <w:r>
        <w:rPr>
          <w:rFonts w:hint="eastAsia" w:ascii="仿宋" w:hAnsi="仿宋" w:eastAsia="仿宋" w:cs="仿宋"/>
          <w:color w:val="auto"/>
          <w:highlight w:val="none"/>
        </w:rPr>
        <w:fldChar w:fldCharType="end"/>
      </w:r>
    </w:p>
    <w:p w14:paraId="5D287252">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_Toc22176 </w:instrText>
      </w:r>
      <w:r>
        <w:rPr>
          <w:rFonts w:hint="eastAsia" w:ascii="仿宋" w:hAnsi="仿宋" w:eastAsia="仿宋" w:cs="仿宋"/>
          <w:highlight w:val="none"/>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1</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中小企业扶持政策</w:t>
      </w:r>
      <w:r>
        <w:tab/>
      </w:r>
      <w:r>
        <w:fldChar w:fldCharType="begin"/>
      </w:r>
      <w:r>
        <w:instrText xml:space="preserve"> PAGEREF _Toc22176 \h </w:instrText>
      </w:r>
      <w:r>
        <w:fldChar w:fldCharType="separate"/>
      </w:r>
      <w:r>
        <w:t>68</w:t>
      </w:r>
      <w:r>
        <w:fldChar w:fldCharType="end"/>
      </w:r>
      <w:r>
        <w:rPr>
          <w:rFonts w:hint="eastAsia" w:ascii="仿宋" w:hAnsi="仿宋" w:eastAsia="仿宋" w:cs="仿宋"/>
          <w:color w:val="auto"/>
          <w:highlight w:val="none"/>
        </w:rPr>
        <w:fldChar w:fldCharType="end"/>
      </w:r>
    </w:p>
    <w:p w14:paraId="3D098811">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_Toc17587 </w:instrText>
      </w:r>
      <w:r>
        <w:rPr>
          <w:rFonts w:hint="eastAsia" w:ascii="仿宋" w:hAnsi="仿宋" w:eastAsia="仿宋" w:cs="仿宋"/>
          <w:highlight w:val="none"/>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2</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残疾人企业扶持政策</w:t>
      </w:r>
      <w:r>
        <w:tab/>
      </w:r>
      <w:r>
        <w:fldChar w:fldCharType="begin"/>
      </w:r>
      <w:r>
        <w:instrText xml:space="preserve"> PAGEREF _Toc17587 \h </w:instrText>
      </w:r>
      <w:r>
        <w:fldChar w:fldCharType="separate"/>
      </w:r>
      <w:r>
        <w:t>72</w:t>
      </w:r>
      <w:r>
        <w:fldChar w:fldCharType="end"/>
      </w:r>
      <w:r>
        <w:rPr>
          <w:rFonts w:hint="eastAsia" w:ascii="仿宋" w:hAnsi="仿宋" w:eastAsia="仿宋" w:cs="仿宋"/>
          <w:color w:val="auto"/>
          <w:highlight w:val="none"/>
        </w:rPr>
        <w:fldChar w:fldCharType="end"/>
      </w:r>
    </w:p>
    <w:p w14:paraId="1C40B7BA">
      <w:pPr>
        <w:pStyle w:val="30"/>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_Toc3384 </w:instrText>
      </w:r>
      <w:r>
        <w:rPr>
          <w:rFonts w:hint="eastAsia" w:ascii="仿宋" w:hAnsi="仿宋" w:eastAsia="仿宋" w:cs="仿宋"/>
          <w:highlight w:val="none"/>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3</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监狱扶持政策</w:t>
      </w:r>
      <w:r>
        <w:tab/>
      </w:r>
      <w:r>
        <w:fldChar w:fldCharType="begin"/>
      </w:r>
      <w:r>
        <w:instrText xml:space="preserve"> PAGEREF _Toc3384 \h </w:instrText>
      </w:r>
      <w:r>
        <w:fldChar w:fldCharType="separate"/>
      </w:r>
      <w:r>
        <w:t>74</w:t>
      </w:r>
      <w:r>
        <w:fldChar w:fldCharType="end"/>
      </w:r>
      <w:r>
        <w:rPr>
          <w:rFonts w:hint="eastAsia" w:ascii="仿宋" w:hAnsi="仿宋" w:eastAsia="仿宋" w:cs="仿宋"/>
          <w:color w:val="auto"/>
          <w:highlight w:val="none"/>
        </w:rPr>
        <w:fldChar w:fldCharType="end"/>
      </w:r>
    </w:p>
    <w:p w14:paraId="76B88218">
      <w:pPr>
        <w:rPr>
          <w:rFonts w:hint="eastAsia" w:ascii="仿宋" w:hAnsi="仿宋" w:eastAsia="仿宋" w:cs="仿宋"/>
          <w:color w:val="auto"/>
          <w:sz w:val="24"/>
          <w:highlight w:val="none"/>
        </w:rPr>
      </w:pPr>
      <w:r>
        <w:rPr>
          <w:rFonts w:hint="eastAsia" w:ascii="仿宋" w:hAnsi="仿宋" w:eastAsia="仿宋" w:cs="仿宋"/>
          <w:color w:val="auto"/>
          <w:highlight w:val="none"/>
        </w:rPr>
        <w:fldChar w:fldCharType="end"/>
      </w:r>
    </w:p>
    <w:p w14:paraId="07DFEE24">
      <w:pPr>
        <w:spacing w:line="360" w:lineRule="auto"/>
        <w:jc w:val="center"/>
        <w:outlineLvl w:val="0"/>
        <w:rPr>
          <w:rFonts w:hint="eastAsia" w:ascii="仿宋" w:hAnsi="仿宋" w:eastAsia="仿宋" w:cs="仿宋"/>
          <w:b/>
          <w:bCs/>
          <w:color w:val="auto"/>
          <w:sz w:val="32"/>
          <w:szCs w:val="32"/>
          <w:highlight w:val="none"/>
        </w:rPr>
        <w:sectPr>
          <w:footerReference r:id="rId6" w:type="first"/>
          <w:headerReference r:id="rId3" w:type="default"/>
          <w:footerReference r:id="rId4" w:type="default"/>
          <w:footerReference r:id="rId5" w:type="even"/>
          <w:pgSz w:w="11906" w:h="16838"/>
          <w:pgMar w:top="1361" w:right="1134" w:bottom="1361" w:left="1418" w:header="851" w:footer="992" w:gutter="0"/>
          <w:pgNumType w:start="1"/>
          <w:cols w:space="720" w:num="1"/>
          <w:docGrid w:type="lines" w:linePitch="312" w:charSpace="0"/>
        </w:sectPr>
      </w:pPr>
    </w:p>
    <w:p w14:paraId="33B9E51C">
      <w:pPr>
        <w:spacing w:line="360" w:lineRule="auto"/>
        <w:jc w:val="center"/>
        <w:outlineLvl w:val="0"/>
        <w:rPr>
          <w:rFonts w:hint="eastAsia" w:ascii="仿宋" w:hAnsi="仿宋" w:eastAsia="仿宋" w:cs="仿宋"/>
          <w:b/>
          <w:bCs/>
          <w:color w:val="auto"/>
          <w:sz w:val="24"/>
          <w:szCs w:val="24"/>
          <w:highlight w:val="none"/>
        </w:rPr>
      </w:pPr>
      <w:bookmarkStart w:id="0" w:name="_Toc3634"/>
      <w:r>
        <w:rPr>
          <w:rFonts w:hint="eastAsia" w:ascii="仿宋" w:hAnsi="仿宋" w:eastAsia="仿宋" w:cs="仿宋"/>
          <w:b/>
          <w:bCs/>
          <w:color w:val="auto"/>
          <w:sz w:val="32"/>
          <w:szCs w:val="32"/>
          <w:highlight w:val="none"/>
        </w:rPr>
        <w:t>招标公告</w:t>
      </w:r>
      <w:bookmarkEnd w:id="0"/>
    </w:p>
    <w:p w14:paraId="67D4A9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5A20A3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新疆农业大学新疆专业技术人员高校数据一体化数据共享平台管理系统建设</w:t>
      </w:r>
      <w:r>
        <w:rPr>
          <w:rFonts w:hint="eastAsia" w:ascii="仿宋" w:hAnsi="仿宋" w:eastAsia="仿宋" w:cs="仿宋"/>
          <w:color w:val="auto"/>
          <w:sz w:val="24"/>
          <w:szCs w:val="24"/>
          <w:highlight w:val="none"/>
        </w:rPr>
        <w:t>招标项目的潜在投标人应在政采云平台线上获取招标文件，并于</w:t>
      </w:r>
      <w:r>
        <w:rPr>
          <w:rFonts w:hint="eastAsia" w:ascii="仿宋" w:hAnsi="仿宋" w:eastAsia="仿宋" w:cs="仿宋"/>
          <w:color w:val="auto"/>
          <w:sz w:val="24"/>
          <w:szCs w:val="24"/>
          <w:highlight w:val="none"/>
          <w:lang w:eastAsia="zh-CN"/>
        </w:rPr>
        <w:t>2026年08月03日11:00</w:t>
      </w:r>
      <w:r>
        <w:rPr>
          <w:rFonts w:hint="eastAsia" w:ascii="仿宋" w:hAnsi="仿宋" w:eastAsia="仿宋" w:cs="仿宋"/>
          <w:color w:val="auto"/>
          <w:sz w:val="24"/>
          <w:szCs w:val="24"/>
          <w:highlight w:val="none"/>
        </w:rPr>
        <w:t>（北京时间）前递交投标文件。</w:t>
      </w:r>
    </w:p>
    <w:p w14:paraId="60F3AA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0D9FC3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XJXSJ-202</w:t>
      </w:r>
      <w:r>
        <w:rPr>
          <w:rFonts w:hint="eastAsia" w:ascii="仿宋" w:hAnsi="仿宋" w:eastAsia="仿宋" w:cs="仿宋"/>
          <w:color w:val="auto"/>
          <w:sz w:val="24"/>
          <w:szCs w:val="24"/>
          <w:highlight w:val="none"/>
          <w:lang w:val="en-US" w:eastAsia="zh-CN"/>
        </w:rPr>
        <w:t>6（ZC）-402</w:t>
      </w:r>
    </w:p>
    <w:p w14:paraId="1971BF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新疆农业大学新疆专业技术人员高校数据一体化数据共享平台管理系统建设</w:t>
      </w:r>
    </w:p>
    <w:p w14:paraId="54211E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259405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预算金额（元）：</w:t>
      </w:r>
      <w:r>
        <w:rPr>
          <w:rFonts w:hint="eastAsia" w:ascii="仿宋" w:hAnsi="仿宋" w:eastAsia="仿宋" w:cs="仿宋"/>
          <w:color w:val="auto"/>
          <w:sz w:val="24"/>
          <w:szCs w:val="24"/>
          <w:highlight w:val="none"/>
          <w:lang w:val="en-US" w:eastAsia="zh-CN"/>
        </w:rPr>
        <w:t>575000.00</w:t>
      </w:r>
    </w:p>
    <w:p w14:paraId="24249E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最高限价（元）：</w:t>
      </w:r>
      <w:r>
        <w:rPr>
          <w:rFonts w:hint="eastAsia" w:ascii="仿宋" w:hAnsi="仿宋" w:eastAsia="仿宋" w:cs="仿宋"/>
          <w:color w:val="auto"/>
          <w:sz w:val="24"/>
          <w:szCs w:val="32"/>
          <w:highlight w:val="none"/>
          <w:lang w:val="en-US" w:eastAsia="zh-CN"/>
        </w:rPr>
        <w:t>575000.00</w:t>
      </w:r>
    </w:p>
    <w:p w14:paraId="2AF277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简要规格描述或项目基本概况介绍、用途：</w:t>
      </w:r>
      <w:r>
        <w:rPr>
          <w:rFonts w:hint="eastAsia" w:ascii="仿宋" w:hAnsi="仿宋" w:eastAsia="仿宋" w:cs="仿宋"/>
          <w:color w:val="auto"/>
          <w:sz w:val="24"/>
          <w:szCs w:val="24"/>
          <w:highlight w:val="none"/>
          <w:lang w:eastAsia="zh-CN"/>
        </w:rPr>
        <w:t>新疆专业技术人员高校数据一体化数据共享平台管理系统建设</w:t>
      </w:r>
    </w:p>
    <w:p w14:paraId="38C421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合</w:t>
      </w:r>
      <w:r>
        <w:rPr>
          <w:rFonts w:hint="eastAsia" w:ascii="仿宋" w:hAnsi="仿宋" w:eastAsia="仿宋" w:cs="仿宋"/>
          <w:color w:val="auto"/>
          <w:sz w:val="24"/>
          <w:szCs w:val="32"/>
          <w:highlight w:val="none"/>
          <w:lang w:val="en-US" w:eastAsia="zh-CN"/>
        </w:rPr>
        <w:t>同履约期限：自合同签订之日起30日内完成平台的开发建设，运维期三年。</w:t>
      </w:r>
    </w:p>
    <w:p w14:paraId="28A2D5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本项目（否）接受联合体投标。</w:t>
      </w:r>
    </w:p>
    <w:p w14:paraId="10C998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的资格要求：</w:t>
      </w:r>
    </w:p>
    <w:p w14:paraId="1ABCBF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满足《中华人民共和国政府采购法》第二十二条规定。</w:t>
      </w:r>
    </w:p>
    <w:p w14:paraId="410FBE63">
      <w:pPr>
        <w:widowControl/>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val="en-US" w:eastAsia="zh-CN"/>
        </w:rPr>
        <w:t>为中小企业。</w:t>
      </w:r>
    </w:p>
    <w:p w14:paraId="3A7B3750">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p w14:paraId="074D8260">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三、获取招标文件</w:t>
      </w:r>
    </w:p>
    <w:p w14:paraId="183858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日至202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日，每天上午00:00至1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:00，下午1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:00至23:59（北京时间，法定节假日除外）</w:t>
      </w:r>
    </w:p>
    <w:p w14:paraId="409E12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w:t>
      </w:r>
    </w:p>
    <w:p w14:paraId="58B5E7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登录政采云平台https://www.zcygov.cn/在线申请获取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（进入“项目采购”应用，在获取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菜单中选择项目，申请获取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），或者点击采购公告底部潜在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”，页面跳转后登陆，直接获取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w:t>
      </w:r>
    </w:p>
    <w:p w14:paraId="49D033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售价（元）：0</w:t>
      </w:r>
    </w:p>
    <w:p w14:paraId="47C2F7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四、提交投标文件截止时间、开标时间和地点</w:t>
      </w:r>
    </w:p>
    <w:p w14:paraId="0ED75A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提交投标文件截止时间：</w:t>
      </w:r>
      <w:r>
        <w:rPr>
          <w:rFonts w:hint="eastAsia" w:ascii="仿宋" w:hAnsi="仿宋" w:eastAsia="仿宋" w:cs="仿宋"/>
          <w:color w:val="auto"/>
          <w:sz w:val="24"/>
          <w:szCs w:val="24"/>
          <w:highlight w:val="none"/>
          <w:lang w:eastAsia="zh-CN"/>
        </w:rPr>
        <w:t>2026年08月03日11:00</w:t>
      </w:r>
      <w:r>
        <w:rPr>
          <w:rFonts w:hint="eastAsia" w:ascii="仿宋" w:hAnsi="仿宋" w:eastAsia="仿宋" w:cs="仿宋"/>
          <w:color w:val="auto"/>
          <w:sz w:val="24"/>
          <w:szCs w:val="24"/>
          <w:highlight w:val="none"/>
        </w:rPr>
        <w:t>（北京时间）</w:t>
      </w:r>
    </w:p>
    <w:p w14:paraId="116BF2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投标地点：请登录政采云投标客户端投标</w:t>
      </w:r>
    </w:p>
    <w:p w14:paraId="4CB28A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w:t>
      </w:r>
      <w:r>
        <w:rPr>
          <w:rFonts w:hint="eastAsia" w:ascii="仿宋" w:hAnsi="仿宋" w:eastAsia="仿宋" w:cs="仿宋"/>
          <w:color w:val="auto"/>
          <w:sz w:val="24"/>
          <w:szCs w:val="24"/>
          <w:highlight w:val="none"/>
          <w:lang w:eastAsia="zh-CN"/>
        </w:rPr>
        <w:t>2026年08月03日11:00</w:t>
      </w:r>
      <w:r>
        <w:rPr>
          <w:rFonts w:hint="eastAsia" w:ascii="仿宋" w:hAnsi="仿宋" w:eastAsia="仿宋" w:cs="仿宋"/>
          <w:color w:val="auto"/>
          <w:sz w:val="24"/>
          <w:szCs w:val="24"/>
          <w:highlight w:val="none"/>
        </w:rPr>
        <w:t>（北京时间）</w:t>
      </w:r>
    </w:p>
    <w:p w14:paraId="1A112F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开标地点：投标人登录政采云平台https://www.zcygov.cn/，进入“项目采购-开标评标-右边选择对应项目点击“进入项目”进入开标大厅。</w:t>
      </w:r>
    </w:p>
    <w:p w14:paraId="267BB8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五、公告期限</w:t>
      </w:r>
    </w:p>
    <w:p w14:paraId="2345FB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4E0AF9E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六、对本次采购提出询问，请按以下方式联系</w:t>
      </w:r>
    </w:p>
    <w:p w14:paraId="410FEDC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4E7EC9BC">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新疆农业大学</w:t>
      </w:r>
    </w:p>
    <w:p w14:paraId="6E29916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址：乌鲁木齐市农大东路311号</w:t>
      </w:r>
    </w:p>
    <w:p w14:paraId="4EF54F19">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15199111199</w:t>
      </w:r>
    </w:p>
    <w:p w14:paraId="23D963B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3AE25F7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53578F7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址：乌鲁木齐市新兴街20号</w:t>
      </w:r>
      <w:r>
        <w:rPr>
          <w:rFonts w:hint="eastAsia" w:ascii="仿宋" w:hAnsi="仿宋" w:eastAsia="仿宋" w:cs="仿宋"/>
          <w:color w:val="auto"/>
          <w:sz w:val="24"/>
          <w:szCs w:val="24"/>
          <w:highlight w:val="none"/>
          <w:lang w:eastAsia="zh-CN"/>
        </w:rPr>
        <w:t>凤凰科技大厦</w:t>
      </w:r>
      <w:r>
        <w:rPr>
          <w:rFonts w:hint="eastAsia" w:ascii="仿宋" w:hAnsi="仿宋" w:eastAsia="仿宋" w:cs="仿宋"/>
          <w:color w:val="auto"/>
          <w:sz w:val="24"/>
          <w:szCs w:val="24"/>
          <w:highlight w:val="none"/>
        </w:rPr>
        <w:t>五楼</w:t>
      </w:r>
    </w:p>
    <w:p w14:paraId="60A7EFE0">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val="en-US" w:eastAsia="zh-CN"/>
        </w:rPr>
        <w:t>18690890996</w:t>
      </w:r>
    </w:p>
    <w:p w14:paraId="6BE5744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766E7DEE">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val="en-US" w:eastAsia="zh-CN"/>
        </w:rPr>
        <w:t>马丹阳</w:t>
      </w:r>
    </w:p>
    <w:p w14:paraId="0560E09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话：0991-4661782</w:t>
      </w:r>
    </w:p>
    <w:p w14:paraId="4CEA1E82">
      <w:pPr>
        <w:pStyle w:val="8"/>
        <w:rPr>
          <w:rFonts w:hint="eastAsia" w:ascii="仿宋" w:hAnsi="仿宋" w:eastAsia="仿宋" w:cs="仿宋"/>
          <w:color w:val="auto"/>
          <w:highlight w:val="none"/>
        </w:rPr>
      </w:pPr>
    </w:p>
    <w:p w14:paraId="06BA5047">
      <w:pPr>
        <w:rPr>
          <w:rFonts w:hint="eastAsia" w:ascii="仿宋" w:hAnsi="仿宋" w:eastAsia="仿宋" w:cs="仿宋"/>
          <w:color w:val="auto"/>
          <w:sz w:val="24"/>
          <w:highlight w:val="none"/>
        </w:rPr>
        <w:sectPr>
          <w:footerReference r:id="rId7" w:type="default"/>
          <w:pgSz w:w="11906" w:h="16838"/>
          <w:pgMar w:top="1361" w:right="1134" w:bottom="1361" w:left="1418" w:header="851" w:footer="992" w:gutter="0"/>
          <w:pgNumType w:fmt="decimal" w:start="1"/>
          <w:cols w:space="720" w:num="1"/>
          <w:docGrid w:type="lines" w:linePitch="312" w:charSpace="0"/>
        </w:sectPr>
      </w:pPr>
    </w:p>
    <w:p w14:paraId="73F38540">
      <w:pPr>
        <w:spacing w:line="440" w:lineRule="exact"/>
        <w:jc w:val="center"/>
        <w:outlineLvl w:val="0"/>
        <w:rPr>
          <w:rFonts w:hint="eastAsia" w:ascii="仿宋" w:hAnsi="仿宋" w:eastAsia="仿宋" w:cs="仿宋"/>
          <w:b/>
          <w:color w:val="auto"/>
          <w:sz w:val="24"/>
          <w:szCs w:val="24"/>
          <w:highlight w:val="none"/>
        </w:rPr>
      </w:pPr>
      <w:bookmarkStart w:id="1" w:name="_Toc15607"/>
      <w:r>
        <w:rPr>
          <w:rFonts w:hint="eastAsia" w:ascii="仿宋" w:hAnsi="仿宋" w:eastAsia="仿宋" w:cs="仿宋"/>
          <w:b/>
          <w:color w:val="auto"/>
          <w:sz w:val="24"/>
          <w:szCs w:val="24"/>
          <w:highlight w:val="none"/>
        </w:rPr>
        <w:t>投标人须知前附表</w:t>
      </w:r>
      <w:bookmarkEnd w:id="1"/>
    </w:p>
    <w:tbl>
      <w:tblPr>
        <w:tblStyle w:val="39"/>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410"/>
        <w:gridCol w:w="7073"/>
      </w:tblGrid>
      <w:tr w14:paraId="52873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07317197">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项号</w:t>
            </w:r>
          </w:p>
        </w:tc>
        <w:tc>
          <w:tcPr>
            <w:tcW w:w="8483" w:type="dxa"/>
            <w:gridSpan w:val="2"/>
            <w:vAlign w:val="center"/>
          </w:tcPr>
          <w:p w14:paraId="660C8486">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编列内容</w:t>
            </w:r>
          </w:p>
        </w:tc>
      </w:tr>
      <w:tr w14:paraId="48B2A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631F3A7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410" w:type="dxa"/>
            <w:vAlign w:val="center"/>
          </w:tcPr>
          <w:p w14:paraId="06DA83F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7073" w:type="dxa"/>
            <w:vAlign w:val="center"/>
          </w:tcPr>
          <w:p w14:paraId="46FED05E">
            <w:pPr>
              <w:keepNext/>
              <w:keepLines w:val="0"/>
              <w:pageBreakBefore w:val="0"/>
              <w:widowControl/>
              <w:kinsoku/>
              <w:wordWrap/>
              <w:overflowPunct/>
              <w:topLinePunct w:val="0"/>
              <w:autoSpaceDE/>
              <w:autoSpaceDN/>
              <w:bidi w:val="0"/>
              <w:adjustRightInd/>
              <w:snapToGrid/>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新疆农业大学新疆专业技术人员高校数据一体化数据共享平台管理系统建设</w:t>
            </w:r>
          </w:p>
        </w:tc>
      </w:tr>
      <w:tr w14:paraId="64419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C39C16B">
            <w:pPr>
              <w:jc w:val="center"/>
              <w:rPr>
                <w:rFonts w:hint="eastAsia" w:ascii="仿宋" w:hAnsi="仿宋" w:eastAsia="仿宋" w:cs="仿宋"/>
                <w:color w:val="auto"/>
                <w:kern w:val="0"/>
                <w:szCs w:val="21"/>
                <w:highlight w:val="none"/>
              </w:rPr>
            </w:pPr>
          </w:p>
        </w:tc>
        <w:tc>
          <w:tcPr>
            <w:tcW w:w="1410" w:type="dxa"/>
            <w:vAlign w:val="center"/>
          </w:tcPr>
          <w:p w14:paraId="365A0AE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w:t>
            </w:r>
          </w:p>
        </w:tc>
        <w:tc>
          <w:tcPr>
            <w:tcW w:w="7073" w:type="dxa"/>
            <w:vAlign w:val="center"/>
          </w:tcPr>
          <w:p w14:paraId="53AD51D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XJXSJ-2026（ZC）-</w:t>
            </w:r>
            <w:r>
              <w:rPr>
                <w:rFonts w:hint="eastAsia" w:ascii="仿宋" w:hAnsi="仿宋" w:eastAsia="仿宋" w:cs="仿宋"/>
                <w:color w:val="auto"/>
                <w:kern w:val="0"/>
                <w:szCs w:val="21"/>
                <w:highlight w:val="none"/>
                <w:lang w:val="en-US" w:eastAsia="zh-CN"/>
              </w:rPr>
              <w:t>402</w:t>
            </w:r>
          </w:p>
        </w:tc>
      </w:tr>
      <w:tr w14:paraId="787A1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6BD19D84">
            <w:pPr>
              <w:jc w:val="center"/>
              <w:rPr>
                <w:rFonts w:hint="eastAsia" w:ascii="仿宋" w:hAnsi="仿宋" w:eastAsia="仿宋" w:cs="仿宋"/>
                <w:color w:val="auto"/>
                <w:kern w:val="0"/>
                <w:szCs w:val="21"/>
                <w:highlight w:val="none"/>
              </w:rPr>
            </w:pPr>
          </w:p>
        </w:tc>
        <w:tc>
          <w:tcPr>
            <w:tcW w:w="1410" w:type="dxa"/>
            <w:vAlign w:val="center"/>
          </w:tcPr>
          <w:p w14:paraId="06F51068">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7073" w:type="dxa"/>
            <w:vAlign w:val="center"/>
          </w:tcPr>
          <w:p w14:paraId="320003B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新疆农业大学</w:t>
            </w:r>
          </w:p>
        </w:tc>
      </w:tr>
      <w:tr w14:paraId="3A55C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85" w:hRule="atLeast"/>
          <w:jc w:val="center"/>
        </w:trPr>
        <w:tc>
          <w:tcPr>
            <w:tcW w:w="597" w:type="dxa"/>
            <w:vMerge w:val="continue"/>
            <w:vAlign w:val="center"/>
          </w:tcPr>
          <w:p w14:paraId="4A5394D2">
            <w:pPr>
              <w:jc w:val="center"/>
              <w:rPr>
                <w:rFonts w:hint="eastAsia" w:ascii="仿宋" w:hAnsi="仿宋" w:eastAsia="仿宋" w:cs="仿宋"/>
                <w:color w:val="auto"/>
                <w:kern w:val="0"/>
                <w:szCs w:val="21"/>
                <w:highlight w:val="none"/>
              </w:rPr>
            </w:pPr>
          </w:p>
        </w:tc>
        <w:tc>
          <w:tcPr>
            <w:tcW w:w="1410" w:type="dxa"/>
            <w:vAlign w:val="center"/>
          </w:tcPr>
          <w:p w14:paraId="645B288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7073" w:type="dxa"/>
            <w:vAlign w:val="center"/>
          </w:tcPr>
          <w:p w14:paraId="2CE93CC6">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新疆新世纪招标有限公司</w:t>
            </w:r>
          </w:p>
        </w:tc>
      </w:tr>
      <w:tr w14:paraId="663C5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DE7153C">
            <w:pPr>
              <w:jc w:val="center"/>
              <w:rPr>
                <w:rFonts w:hint="eastAsia" w:ascii="仿宋" w:hAnsi="仿宋" w:eastAsia="仿宋" w:cs="仿宋"/>
                <w:color w:val="auto"/>
                <w:kern w:val="0"/>
                <w:szCs w:val="21"/>
                <w:highlight w:val="none"/>
              </w:rPr>
            </w:pPr>
          </w:p>
        </w:tc>
        <w:tc>
          <w:tcPr>
            <w:tcW w:w="1410" w:type="dxa"/>
            <w:vAlign w:val="center"/>
          </w:tcPr>
          <w:p w14:paraId="27B06FA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项目地点</w:t>
            </w:r>
          </w:p>
        </w:tc>
        <w:tc>
          <w:tcPr>
            <w:tcW w:w="7073" w:type="dxa"/>
            <w:vAlign w:val="center"/>
          </w:tcPr>
          <w:p w14:paraId="4D10BE5B">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乌鲁木齐市</w:t>
            </w:r>
          </w:p>
        </w:tc>
      </w:tr>
      <w:tr w14:paraId="36342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FD0260A">
            <w:pPr>
              <w:jc w:val="center"/>
              <w:rPr>
                <w:rFonts w:hint="eastAsia" w:ascii="仿宋" w:hAnsi="仿宋" w:eastAsia="仿宋" w:cs="仿宋"/>
                <w:color w:val="auto"/>
                <w:kern w:val="0"/>
                <w:szCs w:val="21"/>
                <w:highlight w:val="none"/>
              </w:rPr>
            </w:pPr>
          </w:p>
        </w:tc>
        <w:tc>
          <w:tcPr>
            <w:tcW w:w="1410" w:type="dxa"/>
            <w:vAlign w:val="center"/>
          </w:tcPr>
          <w:p w14:paraId="2C05575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资金来源</w:t>
            </w:r>
          </w:p>
        </w:tc>
        <w:tc>
          <w:tcPr>
            <w:tcW w:w="7073" w:type="dxa"/>
            <w:vAlign w:val="center"/>
          </w:tcPr>
          <w:p w14:paraId="4099B54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校级专项经费</w:t>
            </w:r>
          </w:p>
        </w:tc>
      </w:tr>
      <w:tr w14:paraId="14918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7DDA7C6">
            <w:pPr>
              <w:jc w:val="center"/>
              <w:rPr>
                <w:rFonts w:hint="eastAsia" w:ascii="仿宋" w:hAnsi="仿宋" w:eastAsia="仿宋" w:cs="仿宋"/>
                <w:color w:val="auto"/>
                <w:kern w:val="0"/>
                <w:szCs w:val="21"/>
                <w:highlight w:val="none"/>
              </w:rPr>
            </w:pPr>
          </w:p>
        </w:tc>
        <w:tc>
          <w:tcPr>
            <w:tcW w:w="1410" w:type="dxa"/>
            <w:vAlign w:val="center"/>
          </w:tcPr>
          <w:p w14:paraId="3E641FD3">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采购预算金额</w:t>
            </w:r>
          </w:p>
        </w:tc>
        <w:tc>
          <w:tcPr>
            <w:tcW w:w="7073" w:type="dxa"/>
            <w:vAlign w:val="center"/>
          </w:tcPr>
          <w:p w14:paraId="0B73B803">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575000.00元</w:t>
            </w:r>
          </w:p>
        </w:tc>
      </w:tr>
      <w:tr w14:paraId="30EFA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C46E238">
            <w:pPr>
              <w:jc w:val="center"/>
              <w:rPr>
                <w:rFonts w:hint="eastAsia" w:ascii="仿宋" w:hAnsi="仿宋" w:eastAsia="仿宋" w:cs="仿宋"/>
                <w:color w:val="auto"/>
                <w:kern w:val="0"/>
                <w:szCs w:val="21"/>
                <w:highlight w:val="none"/>
              </w:rPr>
            </w:pPr>
          </w:p>
        </w:tc>
        <w:tc>
          <w:tcPr>
            <w:tcW w:w="1410" w:type="dxa"/>
            <w:vAlign w:val="center"/>
          </w:tcPr>
          <w:p w14:paraId="1E1951E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最高限价</w:t>
            </w:r>
          </w:p>
        </w:tc>
        <w:tc>
          <w:tcPr>
            <w:tcW w:w="7073" w:type="dxa"/>
            <w:vAlign w:val="center"/>
          </w:tcPr>
          <w:p w14:paraId="1C1C770C">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575000.00元</w:t>
            </w:r>
          </w:p>
        </w:tc>
      </w:tr>
      <w:tr w14:paraId="59920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929876E">
            <w:pPr>
              <w:jc w:val="center"/>
              <w:rPr>
                <w:rFonts w:hint="eastAsia" w:ascii="仿宋" w:hAnsi="仿宋" w:eastAsia="仿宋" w:cs="仿宋"/>
                <w:color w:val="auto"/>
                <w:kern w:val="0"/>
                <w:szCs w:val="21"/>
                <w:highlight w:val="none"/>
              </w:rPr>
            </w:pPr>
          </w:p>
        </w:tc>
        <w:tc>
          <w:tcPr>
            <w:tcW w:w="1410" w:type="dxa"/>
            <w:shd w:val="clear" w:color="auto" w:fill="auto"/>
            <w:vAlign w:val="center"/>
          </w:tcPr>
          <w:p w14:paraId="20E73394">
            <w:pPr>
              <w:keepNext/>
              <w:widowControl/>
              <w:jc w:val="distribute"/>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合同履约期限</w:t>
            </w:r>
          </w:p>
        </w:tc>
        <w:tc>
          <w:tcPr>
            <w:tcW w:w="7073" w:type="dxa"/>
            <w:shd w:val="clear" w:color="auto" w:fill="auto"/>
            <w:vAlign w:val="center"/>
          </w:tcPr>
          <w:p w14:paraId="36EA2684">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自合同签订之日起30日内完成平台的开发建设，运维期三年。</w:t>
            </w:r>
          </w:p>
        </w:tc>
      </w:tr>
      <w:tr w14:paraId="53217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95" w:hRule="atLeast"/>
          <w:jc w:val="center"/>
        </w:trPr>
        <w:tc>
          <w:tcPr>
            <w:tcW w:w="597" w:type="dxa"/>
            <w:vMerge w:val="continue"/>
            <w:vAlign w:val="center"/>
          </w:tcPr>
          <w:p w14:paraId="504F5A02">
            <w:pPr>
              <w:jc w:val="center"/>
              <w:rPr>
                <w:rFonts w:hint="eastAsia" w:ascii="仿宋" w:hAnsi="仿宋" w:eastAsia="仿宋" w:cs="仿宋"/>
                <w:color w:val="auto"/>
                <w:kern w:val="0"/>
                <w:szCs w:val="21"/>
                <w:highlight w:val="none"/>
              </w:rPr>
            </w:pPr>
          </w:p>
        </w:tc>
        <w:tc>
          <w:tcPr>
            <w:tcW w:w="1410" w:type="dxa"/>
            <w:shd w:val="clear" w:color="auto" w:fill="auto"/>
            <w:vAlign w:val="center"/>
          </w:tcPr>
          <w:p w14:paraId="4849C73C">
            <w:pPr>
              <w:keepNext/>
              <w:widowControl/>
              <w:jc w:val="distribute"/>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服务地点</w:t>
            </w:r>
          </w:p>
        </w:tc>
        <w:tc>
          <w:tcPr>
            <w:tcW w:w="7073" w:type="dxa"/>
            <w:shd w:val="clear" w:color="auto" w:fill="auto"/>
            <w:vAlign w:val="center"/>
          </w:tcPr>
          <w:p w14:paraId="17364C1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乌鲁木齐市</w:t>
            </w:r>
          </w:p>
        </w:tc>
      </w:tr>
      <w:tr w14:paraId="42B04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7B8AD7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410" w:type="dxa"/>
            <w:vAlign w:val="center"/>
          </w:tcPr>
          <w:p w14:paraId="76CB735F">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7073" w:type="dxa"/>
            <w:vAlign w:val="center"/>
          </w:tcPr>
          <w:p w14:paraId="3F6A9EE8">
            <w:pPr>
              <w:keepNext/>
              <w:keepLines w:val="0"/>
              <w:pageBreakBefore w:val="0"/>
              <w:widowControl/>
              <w:kinsoku/>
              <w:wordWrap/>
              <w:overflowPunct/>
              <w:topLinePunct w:val="0"/>
              <w:autoSpaceDE/>
              <w:autoSpaceDN/>
              <w:bidi w:val="0"/>
              <w:adjustRightInd/>
              <w:snapToGrid/>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新疆农业大学新疆专业技术人员高校数据一体化数据共享平台管理系统建设</w:t>
            </w:r>
            <w:r>
              <w:rPr>
                <w:rFonts w:hint="eastAsia" w:ascii="仿宋" w:hAnsi="仿宋" w:eastAsia="仿宋" w:cs="仿宋"/>
                <w:color w:val="auto"/>
                <w:kern w:val="0"/>
                <w:szCs w:val="21"/>
                <w:highlight w:val="none"/>
              </w:rPr>
              <w:t>范围内</w:t>
            </w:r>
            <w:r>
              <w:rPr>
                <w:rFonts w:hint="eastAsia" w:ascii="仿宋" w:hAnsi="仿宋" w:eastAsia="仿宋" w:cs="仿宋"/>
                <w:color w:val="auto"/>
                <w:kern w:val="0"/>
                <w:szCs w:val="21"/>
                <w:highlight w:val="none"/>
                <w:lang w:val="en-US" w:eastAsia="zh-CN"/>
              </w:rPr>
              <w:t>对应</w:t>
            </w:r>
            <w:r>
              <w:rPr>
                <w:rFonts w:hint="eastAsia" w:ascii="仿宋" w:hAnsi="仿宋" w:eastAsia="仿宋" w:cs="仿宋"/>
                <w:color w:val="auto"/>
                <w:kern w:val="0"/>
                <w:szCs w:val="21"/>
                <w:highlight w:val="none"/>
              </w:rPr>
              <w:t>的所有工作内容，关于采购范围的详细说明见招标文件第四章“</w:t>
            </w:r>
            <w:r>
              <w:rPr>
                <w:rFonts w:hint="eastAsia" w:ascii="仿宋" w:hAnsi="仿宋" w:eastAsia="仿宋" w:cs="仿宋"/>
                <w:color w:val="auto"/>
                <w:kern w:val="0"/>
                <w:szCs w:val="21"/>
                <w:highlight w:val="none"/>
                <w:lang w:eastAsia="zh-CN"/>
              </w:rPr>
              <w:t>采购需求</w:t>
            </w:r>
            <w:r>
              <w:rPr>
                <w:rFonts w:hint="eastAsia" w:ascii="仿宋" w:hAnsi="仿宋" w:eastAsia="仿宋" w:cs="仿宋"/>
                <w:color w:val="auto"/>
                <w:kern w:val="0"/>
                <w:szCs w:val="21"/>
                <w:highlight w:val="none"/>
              </w:rPr>
              <w:t>”。</w:t>
            </w:r>
          </w:p>
        </w:tc>
      </w:tr>
      <w:tr w14:paraId="43E88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62AB5B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410" w:type="dxa"/>
            <w:vAlign w:val="center"/>
          </w:tcPr>
          <w:p w14:paraId="69CF713E">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采购方式</w:t>
            </w:r>
          </w:p>
        </w:tc>
        <w:tc>
          <w:tcPr>
            <w:tcW w:w="7073" w:type="dxa"/>
            <w:vAlign w:val="center"/>
          </w:tcPr>
          <w:p w14:paraId="274C3DD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公开招标</w:t>
            </w:r>
          </w:p>
        </w:tc>
      </w:tr>
      <w:tr w14:paraId="70857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35C06DD">
            <w:pPr>
              <w:jc w:val="center"/>
              <w:rPr>
                <w:rFonts w:hint="eastAsia" w:ascii="仿宋" w:hAnsi="仿宋" w:eastAsia="仿宋" w:cs="仿宋"/>
                <w:color w:val="auto"/>
                <w:kern w:val="0"/>
                <w:szCs w:val="21"/>
                <w:highlight w:val="none"/>
              </w:rPr>
            </w:pPr>
          </w:p>
        </w:tc>
        <w:tc>
          <w:tcPr>
            <w:tcW w:w="1410" w:type="dxa"/>
            <w:vAlign w:val="center"/>
          </w:tcPr>
          <w:p w14:paraId="0FCA990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资格审查方式</w:t>
            </w:r>
          </w:p>
        </w:tc>
        <w:tc>
          <w:tcPr>
            <w:tcW w:w="7073" w:type="dxa"/>
            <w:vAlign w:val="center"/>
          </w:tcPr>
          <w:p w14:paraId="4E77333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资格后审</w:t>
            </w:r>
          </w:p>
        </w:tc>
      </w:tr>
      <w:tr w14:paraId="1EF31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C52565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410" w:type="dxa"/>
            <w:vAlign w:val="center"/>
          </w:tcPr>
          <w:p w14:paraId="394971F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评审办法</w:t>
            </w:r>
          </w:p>
        </w:tc>
        <w:tc>
          <w:tcPr>
            <w:tcW w:w="7073" w:type="dxa"/>
            <w:vAlign w:val="center"/>
          </w:tcPr>
          <w:p w14:paraId="008D5E6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综合评分法</w:t>
            </w:r>
          </w:p>
        </w:tc>
      </w:tr>
      <w:tr w14:paraId="4724C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7D755CC">
            <w:pPr>
              <w:jc w:val="center"/>
              <w:rPr>
                <w:rFonts w:hint="eastAsia" w:ascii="仿宋" w:hAnsi="仿宋" w:eastAsia="仿宋" w:cs="仿宋"/>
                <w:color w:val="auto"/>
                <w:kern w:val="0"/>
                <w:szCs w:val="21"/>
                <w:highlight w:val="none"/>
              </w:rPr>
            </w:pPr>
          </w:p>
        </w:tc>
        <w:tc>
          <w:tcPr>
            <w:tcW w:w="1410" w:type="dxa"/>
            <w:vAlign w:val="center"/>
          </w:tcPr>
          <w:p w14:paraId="6BBD8F52">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定标方法</w:t>
            </w:r>
          </w:p>
        </w:tc>
        <w:tc>
          <w:tcPr>
            <w:tcW w:w="7073" w:type="dxa"/>
            <w:vAlign w:val="center"/>
          </w:tcPr>
          <w:p w14:paraId="38ABAB9D">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评标委员会推荐三名中标候选人</w:t>
            </w:r>
          </w:p>
        </w:tc>
      </w:tr>
      <w:tr w14:paraId="265A5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3A6E0A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410" w:type="dxa"/>
            <w:vAlign w:val="center"/>
          </w:tcPr>
          <w:p w14:paraId="473462FE">
            <w:pPr>
              <w:keepNext/>
              <w:widowControl/>
              <w:jc w:val="distribute"/>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投标人的资格要求</w:t>
            </w:r>
          </w:p>
        </w:tc>
        <w:tc>
          <w:tcPr>
            <w:tcW w:w="7073" w:type="dxa"/>
            <w:vAlign w:val="center"/>
          </w:tcPr>
          <w:p w14:paraId="60915F4A">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满足《中华人民共和国政府采购法》第二十二条规定。</w:t>
            </w:r>
          </w:p>
          <w:p w14:paraId="295A4615">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2、投标人为中小企业。</w:t>
            </w:r>
          </w:p>
          <w:p w14:paraId="7CD9B79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tc>
      </w:tr>
      <w:tr w14:paraId="2DD76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7C718D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410" w:type="dxa"/>
            <w:vAlign w:val="center"/>
          </w:tcPr>
          <w:p w14:paraId="2AD6D253">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投标人不得存在的情形</w:t>
            </w:r>
          </w:p>
        </w:tc>
        <w:tc>
          <w:tcPr>
            <w:tcW w:w="7073" w:type="dxa"/>
            <w:vAlign w:val="center"/>
          </w:tcPr>
          <w:p w14:paraId="22CCD4F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1、本项目不接受联合体。</w:t>
            </w:r>
          </w:p>
          <w:p w14:paraId="7B3F09D7">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2、单位负责人为同一人或者存在直接控股、管理关系的不同投标人，不得参加同一合同项下的政府采购活动。</w:t>
            </w:r>
          </w:p>
          <w:p w14:paraId="3B575EF0">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3、除单一来源采购项目外，为采购项目提供整体设计、规范编制或者项目管理、监理、检测等服务的投标人，不得再参加该采购项目的其他采购活动。</w:t>
            </w:r>
          </w:p>
          <w:p w14:paraId="2EFD5C1B">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4、投标人处于被责令停业、财产被接管、冻结和破产状态，以及投标资格被取消或者被暂停且在暂停期内。</w:t>
            </w:r>
          </w:p>
          <w:p w14:paraId="37889D5B">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5、法律规定的其它情形。</w:t>
            </w:r>
          </w:p>
        </w:tc>
      </w:tr>
      <w:tr w14:paraId="7E8B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A0E620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410" w:type="dxa"/>
            <w:vAlign w:val="center"/>
          </w:tcPr>
          <w:p w14:paraId="7F9A63F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招标文件费</w:t>
            </w:r>
          </w:p>
        </w:tc>
        <w:tc>
          <w:tcPr>
            <w:tcW w:w="7073" w:type="dxa"/>
            <w:vAlign w:val="center"/>
          </w:tcPr>
          <w:p w14:paraId="4F827EA7">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0元</w:t>
            </w:r>
          </w:p>
        </w:tc>
      </w:tr>
      <w:tr w14:paraId="32CB4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632841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410" w:type="dxa"/>
            <w:vAlign w:val="center"/>
          </w:tcPr>
          <w:p w14:paraId="31CBCF6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投标保证金</w:t>
            </w:r>
          </w:p>
        </w:tc>
        <w:tc>
          <w:tcPr>
            <w:tcW w:w="7073" w:type="dxa"/>
            <w:vAlign w:val="center"/>
          </w:tcPr>
          <w:p w14:paraId="16EEA756">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1、</w:t>
            </w:r>
            <w:r>
              <w:rPr>
                <w:rFonts w:hint="eastAsia" w:ascii="仿宋" w:hAnsi="仿宋" w:eastAsia="仿宋" w:cs="仿宋"/>
                <w:color w:val="auto"/>
                <w:kern w:val="0"/>
                <w:szCs w:val="21"/>
                <w:highlight w:val="none"/>
                <w:shd w:val="clear" w:color="auto" w:fill="FFFFFF" w:themeFill="background1"/>
              </w:rPr>
              <w:t>投标保证金</w:t>
            </w:r>
            <w:r>
              <w:rPr>
                <w:rFonts w:hint="eastAsia" w:ascii="仿宋" w:hAnsi="仿宋" w:eastAsia="仿宋" w:cs="仿宋"/>
                <w:color w:val="auto"/>
                <w:kern w:val="0"/>
                <w:szCs w:val="21"/>
                <w:highlight w:val="none"/>
                <w:shd w:val="clear" w:color="auto" w:fill="FFFFFF" w:themeFill="background1"/>
                <w:lang w:val="en-US" w:eastAsia="zh-CN"/>
              </w:rPr>
              <w:t>金额：11000.00元</w:t>
            </w:r>
          </w:p>
          <w:p w14:paraId="342595B4">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2、提交截止时间：同投标文件递交截止时间</w:t>
            </w:r>
          </w:p>
          <w:p w14:paraId="6A41B92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3、提交形式：</w:t>
            </w:r>
            <w:r>
              <w:rPr>
                <w:rFonts w:hint="eastAsia" w:ascii="仿宋" w:hAnsi="仿宋" w:eastAsia="仿宋" w:cs="仿宋"/>
                <w:color w:val="auto"/>
                <w:kern w:val="0"/>
                <w:szCs w:val="21"/>
                <w:highlight w:val="none"/>
                <w:shd w:val="clear" w:color="auto" w:fill="FFFFFF" w:themeFill="background1"/>
              </w:rPr>
              <w:t>投标保证金以支票、汇票、本票或者金融机构、担保机构出具的保函等非现金形式提交至采购代理机构。</w:t>
            </w:r>
          </w:p>
          <w:p w14:paraId="421A5C2C">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4、银行账户信息</w:t>
            </w:r>
          </w:p>
          <w:p w14:paraId="194AD7E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24389E0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6C4A07F5">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2723FF8D">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113B83E8">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lang w:val="en-US" w:eastAsia="zh-CN"/>
              </w:rPr>
              <w:t>5、投标人在提交投标保证金时需备注项目名称简称。</w:t>
            </w:r>
          </w:p>
        </w:tc>
      </w:tr>
      <w:tr w14:paraId="1128F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CA7B9C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410" w:type="dxa"/>
            <w:vAlign w:val="center"/>
          </w:tcPr>
          <w:p w14:paraId="6ED89D3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现场踏勘</w:t>
            </w:r>
          </w:p>
        </w:tc>
        <w:tc>
          <w:tcPr>
            <w:tcW w:w="7073" w:type="dxa"/>
            <w:vAlign w:val="center"/>
          </w:tcPr>
          <w:p w14:paraId="3F09CCBD">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不组织</w:t>
            </w:r>
          </w:p>
        </w:tc>
      </w:tr>
      <w:tr w14:paraId="6583A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F500F63">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1410" w:type="dxa"/>
            <w:vAlign w:val="center"/>
          </w:tcPr>
          <w:p w14:paraId="3B1E135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招标答疑</w:t>
            </w:r>
          </w:p>
        </w:tc>
        <w:tc>
          <w:tcPr>
            <w:tcW w:w="7073" w:type="dxa"/>
            <w:vAlign w:val="center"/>
          </w:tcPr>
          <w:p w14:paraId="50CA851B">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提出询问的，应当在投标文件递交截止时间15日前以书面形式（加盖公章）递交至新疆新世纪招标有限公司，否则采购人不作任何解释。</w:t>
            </w:r>
          </w:p>
          <w:p w14:paraId="1A013D4E">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对招标文件提出质疑的，应当在获取招标文件或者招标文件公告期限届满之日起7个工作日内一次性以书面形式（按照财政部制定的质疑函范本编写）提出并递交至采购代理机构。</w:t>
            </w:r>
          </w:p>
          <w:p w14:paraId="7AAC3DF3">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质疑接收人：</w:t>
            </w:r>
            <w:r>
              <w:rPr>
                <w:rFonts w:hint="eastAsia" w:ascii="仿宋" w:hAnsi="仿宋" w:eastAsia="仿宋" w:cs="仿宋"/>
                <w:color w:val="auto"/>
                <w:szCs w:val="21"/>
                <w:highlight w:val="none"/>
                <w:lang w:val="en-US" w:eastAsia="zh-CN"/>
              </w:rPr>
              <w:t>马丹阳</w:t>
            </w:r>
            <w:r>
              <w:rPr>
                <w:rFonts w:hint="eastAsia" w:ascii="仿宋" w:hAnsi="仿宋" w:eastAsia="仿宋" w:cs="仿宋"/>
                <w:color w:val="auto"/>
                <w:szCs w:val="21"/>
                <w:highlight w:val="none"/>
              </w:rPr>
              <w:t>；联系方式：0991-4661782。</w:t>
            </w:r>
          </w:p>
          <w:p w14:paraId="35AF6960">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注：1、投标人必须在法定质疑期内一次性提出针对同一采购程序环节的质疑；</w:t>
            </w:r>
            <w:r>
              <w:rPr>
                <w:rFonts w:hint="eastAsia" w:ascii="仿宋" w:hAnsi="仿宋" w:eastAsia="仿宋" w:cs="仿宋"/>
                <w:color w:val="auto"/>
                <w:szCs w:val="21"/>
                <w:highlight w:val="none"/>
              </w:rPr>
              <w:t>投标人投诉的事项不得超出已质疑事项的范围。2、</w:t>
            </w:r>
            <w:r>
              <w:rPr>
                <w:rFonts w:hint="eastAsia" w:ascii="仿宋" w:hAnsi="仿宋" w:eastAsia="仿宋" w:cs="仿宋"/>
                <w:color w:val="auto"/>
                <w:kern w:val="0"/>
                <w:szCs w:val="21"/>
                <w:highlight w:val="none"/>
              </w:rPr>
              <w:t>投标人</w:t>
            </w:r>
            <w:r>
              <w:rPr>
                <w:rFonts w:hint="eastAsia" w:ascii="仿宋" w:hAnsi="仿宋" w:eastAsia="仿宋" w:cs="仿宋"/>
                <w:color w:val="auto"/>
                <w:szCs w:val="21"/>
                <w:highlight w:val="none"/>
              </w:rPr>
              <w:t>在国家法律规定的时间内未提出书面疑问，视为对招标文件的技术参数、资格条件、评审方法、合同文本等所有内容无异议。</w:t>
            </w:r>
          </w:p>
        </w:tc>
      </w:tr>
      <w:tr w14:paraId="370A3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85D35A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410" w:type="dxa"/>
            <w:vAlign w:val="center"/>
          </w:tcPr>
          <w:p w14:paraId="56E5B00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w:t>
            </w:r>
          </w:p>
        </w:tc>
        <w:tc>
          <w:tcPr>
            <w:tcW w:w="7073" w:type="dxa"/>
            <w:shd w:val="clear" w:color="auto" w:fill="auto"/>
            <w:vAlign w:val="center"/>
          </w:tcPr>
          <w:p w14:paraId="17D7AE84">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本次采购采用电子交易方式，电子交易平台为“政采云平台（https://www.zcygov.cn/）”。投标人参与本项目电子交易活动前，应注册成为政府采购云平台正式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065D4942">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 </w:t>
            </w:r>
          </w:p>
          <w:p w14:paraId="60FCFAC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3、加密的电子投标文件应在投标文件递交截止时间前通过政采云平台上传完成。逾期上传或者未上传指定地点的投标文件，不予受理。</w:t>
            </w:r>
          </w:p>
          <w:p w14:paraId="196E10C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4、投标人在开标前须提前配置好电脑浏览器，开标时请使用制作加密电子投标文件的CA锁进行解密及报价确认。本项目投标文件解密时间定为30分钟，如因自身原因导致无法正常解密，后果由投标人自行承担。</w:t>
            </w:r>
          </w:p>
          <w:p w14:paraId="22E4F1ED">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5、如遇“政采云平台（https://www.zcygov.cn/）”电子交易规则调整，以最新要求为准。</w:t>
            </w:r>
          </w:p>
        </w:tc>
      </w:tr>
      <w:tr w14:paraId="70CE6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CE5CB6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410" w:type="dxa"/>
            <w:vAlign w:val="center"/>
          </w:tcPr>
          <w:p w14:paraId="3C85E10A">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投标文件递交</w:t>
            </w:r>
          </w:p>
        </w:tc>
        <w:tc>
          <w:tcPr>
            <w:tcW w:w="7073" w:type="dxa"/>
            <w:shd w:val="clear" w:color="auto" w:fill="auto"/>
            <w:vAlign w:val="center"/>
          </w:tcPr>
          <w:p w14:paraId="4641B6F8">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截止时间：</w:t>
            </w:r>
            <w:r>
              <w:rPr>
                <w:rFonts w:hint="eastAsia" w:ascii="仿宋" w:hAnsi="仿宋" w:eastAsia="仿宋" w:cs="仿宋"/>
                <w:color w:val="auto"/>
                <w:kern w:val="0"/>
                <w:szCs w:val="21"/>
                <w:highlight w:val="none"/>
                <w:u w:val="single"/>
                <w:lang w:eastAsia="zh-CN"/>
              </w:rPr>
              <w:t>2026年08月03日11:00</w:t>
            </w:r>
            <w:r>
              <w:rPr>
                <w:rFonts w:hint="eastAsia" w:ascii="仿宋" w:hAnsi="仿宋" w:eastAsia="仿宋" w:cs="仿宋"/>
                <w:color w:val="auto"/>
                <w:kern w:val="0"/>
                <w:szCs w:val="21"/>
                <w:highlight w:val="none"/>
              </w:rPr>
              <w:t>（北京时间）</w:t>
            </w:r>
          </w:p>
          <w:p w14:paraId="5DE409FC">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递交地点：政采云平台（https://www.zcygov.cn/）</w:t>
            </w:r>
          </w:p>
        </w:tc>
      </w:tr>
      <w:tr w14:paraId="23D34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28D156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c>
          <w:tcPr>
            <w:tcW w:w="1410" w:type="dxa"/>
            <w:vAlign w:val="center"/>
          </w:tcPr>
          <w:p w14:paraId="64B9BA0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w:t>
            </w:r>
          </w:p>
        </w:tc>
        <w:tc>
          <w:tcPr>
            <w:tcW w:w="7073" w:type="dxa"/>
            <w:shd w:val="clear" w:color="auto" w:fill="auto"/>
            <w:vAlign w:val="center"/>
          </w:tcPr>
          <w:p w14:paraId="2625B5C3">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时间：</w:t>
            </w:r>
            <w:r>
              <w:rPr>
                <w:rFonts w:hint="eastAsia" w:ascii="仿宋" w:hAnsi="仿宋" w:eastAsia="仿宋" w:cs="仿宋"/>
                <w:color w:val="auto"/>
                <w:kern w:val="0"/>
                <w:szCs w:val="21"/>
                <w:highlight w:val="none"/>
                <w:u w:val="single"/>
                <w:lang w:eastAsia="zh-CN"/>
              </w:rPr>
              <w:t>2026年08月03日11:00</w:t>
            </w:r>
            <w:r>
              <w:rPr>
                <w:rFonts w:hint="eastAsia" w:ascii="仿宋" w:hAnsi="仿宋" w:eastAsia="仿宋" w:cs="仿宋"/>
                <w:color w:val="auto"/>
                <w:kern w:val="0"/>
                <w:szCs w:val="21"/>
                <w:highlight w:val="none"/>
              </w:rPr>
              <w:t>（北京时间）</w:t>
            </w:r>
          </w:p>
          <w:p w14:paraId="2344B9E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地点：政采云平台（https://www.zcygov.cn/）</w:t>
            </w:r>
          </w:p>
        </w:tc>
      </w:tr>
      <w:tr w14:paraId="6723A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38990E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410" w:type="dxa"/>
            <w:vAlign w:val="center"/>
          </w:tcPr>
          <w:p w14:paraId="4DF98F8C">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投标有效期</w:t>
            </w:r>
          </w:p>
        </w:tc>
        <w:tc>
          <w:tcPr>
            <w:tcW w:w="7073" w:type="dxa"/>
            <w:vAlign w:val="center"/>
          </w:tcPr>
          <w:p w14:paraId="1FC01D84">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自投标截止之日90日历日</w:t>
            </w:r>
          </w:p>
        </w:tc>
      </w:tr>
      <w:tr w14:paraId="2A97C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E428071">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w:t>
            </w:r>
          </w:p>
        </w:tc>
        <w:tc>
          <w:tcPr>
            <w:tcW w:w="1410" w:type="dxa"/>
            <w:vAlign w:val="center"/>
          </w:tcPr>
          <w:p w14:paraId="3A81AEAF">
            <w:pPr>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公告发布媒体</w:t>
            </w:r>
          </w:p>
        </w:tc>
        <w:tc>
          <w:tcPr>
            <w:tcW w:w="7073" w:type="dxa"/>
            <w:vAlign w:val="center"/>
          </w:tcPr>
          <w:p w14:paraId="62E2091B">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shd w:val="clear" w:color="auto" w:fill="FFFFFF" w:themeFill="background1"/>
              </w:rPr>
              <w:t>新疆政府采购网</w:t>
            </w:r>
          </w:p>
        </w:tc>
      </w:tr>
      <w:tr w14:paraId="70B2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4BFBAB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w:t>
            </w:r>
          </w:p>
        </w:tc>
        <w:tc>
          <w:tcPr>
            <w:tcW w:w="1410" w:type="dxa"/>
            <w:vAlign w:val="center"/>
          </w:tcPr>
          <w:p w14:paraId="29E4BB0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7073" w:type="dxa"/>
            <w:vAlign w:val="center"/>
          </w:tcPr>
          <w:p w14:paraId="31471930">
            <w:pPr>
              <w:keepLines w:val="0"/>
              <w:pageBreakBefore w:val="0"/>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1、履约保证金金额：</w:t>
            </w:r>
            <w:r>
              <w:rPr>
                <w:rFonts w:hint="eastAsia" w:ascii="仿宋" w:hAnsi="仿宋" w:eastAsia="仿宋" w:cs="仿宋"/>
                <w:color w:val="auto"/>
                <w:kern w:val="0"/>
                <w:szCs w:val="21"/>
                <w:highlight w:val="none"/>
                <w:lang w:val="en-US" w:eastAsia="zh-CN"/>
              </w:rPr>
              <w:t>无。</w:t>
            </w:r>
          </w:p>
          <w:p w14:paraId="31AF8C61">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shd w:val="clear" w:color="auto" w:fill="FFFFFF" w:themeFill="background1"/>
              </w:rPr>
              <w:t>2、</w:t>
            </w:r>
            <w:r>
              <w:rPr>
                <w:rFonts w:hint="eastAsia" w:ascii="仿宋" w:hAnsi="仿宋" w:eastAsia="仿宋" w:cs="仿宋"/>
                <w:color w:val="auto"/>
                <w:kern w:val="0"/>
                <w:szCs w:val="21"/>
                <w:highlight w:val="none"/>
                <w:shd w:val="clear" w:color="auto" w:fill="FFFFFF" w:themeFill="background1"/>
                <w:lang w:eastAsia="zh-CN"/>
              </w:rPr>
              <w:t>投标人</w:t>
            </w:r>
            <w:r>
              <w:rPr>
                <w:rFonts w:hint="eastAsia" w:ascii="仿宋" w:hAnsi="仿宋" w:eastAsia="仿宋" w:cs="仿宋"/>
                <w:color w:val="auto"/>
                <w:kern w:val="0"/>
                <w:szCs w:val="21"/>
                <w:highlight w:val="none"/>
                <w:shd w:val="clear" w:color="auto" w:fill="FFFFFF" w:themeFill="background1"/>
              </w:rPr>
              <w:t>应当以支票、汇票、本票或者金融机构、担保机构出具的保函等非现金形式提交履约保证金。</w:t>
            </w:r>
          </w:p>
        </w:tc>
      </w:tr>
      <w:tr w14:paraId="11D94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248" w:hRule="atLeast"/>
          <w:jc w:val="center"/>
        </w:trPr>
        <w:tc>
          <w:tcPr>
            <w:tcW w:w="597" w:type="dxa"/>
            <w:vAlign w:val="center"/>
          </w:tcPr>
          <w:p w14:paraId="0EDEB88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17</w:t>
            </w:r>
          </w:p>
        </w:tc>
        <w:tc>
          <w:tcPr>
            <w:tcW w:w="1410" w:type="dxa"/>
            <w:vAlign w:val="center"/>
          </w:tcPr>
          <w:p w14:paraId="3AD8A84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中小企业政策说明</w:t>
            </w:r>
          </w:p>
        </w:tc>
        <w:tc>
          <w:tcPr>
            <w:tcW w:w="7073" w:type="dxa"/>
            <w:vAlign w:val="center"/>
          </w:tcPr>
          <w:p w14:paraId="4E4E312E">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845216A">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在政府采购活动中，投标人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1E8B5ABA">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3、在货物采购项目中，投标人提供的货物既有中小企业制造货物，也有大型企业制造货物的，不享受本办法规定的中小企业扶持政策。</w:t>
            </w:r>
          </w:p>
          <w:p w14:paraId="0B482C84">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4、以联合体形式参加政府采购活动，联合体各方均为中小企业的，联合体视同中小企业。其中，联合体各方均为小微企业的，联合体视同小微企业。</w:t>
            </w:r>
          </w:p>
          <w:p w14:paraId="5C9ABA26">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5、投标人经享受扶持政策获得政府采购合同的，小微企业不得将合同分包给大中型企业，中型企业不得将合同分包给大型企业；</w:t>
            </w:r>
          </w:p>
          <w:p w14:paraId="37C62828">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6、残疾人福利性单位和监狱企业视同小型、微型企业。</w:t>
            </w:r>
          </w:p>
          <w:p w14:paraId="344904E4">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 w:val="21"/>
                <w:szCs w:val="21"/>
                <w:highlight w:val="none"/>
                <w:lang w:val="en-US" w:eastAsia="zh-CN" w:bidi="ar-SA"/>
              </w:rPr>
              <w:t>7</w:t>
            </w:r>
            <w:r>
              <w:rPr>
                <w:rFonts w:hint="eastAsia" w:ascii="仿宋" w:hAnsi="仿宋" w:eastAsia="仿宋" w:cs="仿宋"/>
                <w:color w:val="auto"/>
                <w:kern w:val="0"/>
                <w:szCs w:val="21"/>
                <w:highlight w:val="none"/>
              </w:rPr>
              <w:t>、根据“关于印发中小企业划型标准规定的通知(工信部联企业〔2011〕300号)”等有关规定，本项目标的所属行业为软件和信息技术服务业。</w:t>
            </w:r>
          </w:p>
        </w:tc>
      </w:tr>
      <w:tr w14:paraId="3A8DE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A246CD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w:t>
            </w:r>
          </w:p>
        </w:tc>
        <w:tc>
          <w:tcPr>
            <w:tcW w:w="1410" w:type="dxa"/>
            <w:vAlign w:val="center"/>
          </w:tcPr>
          <w:p w14:paraId="7DED8DB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合同</w:t>
            </w:r>
            <w:r>
              <w:rPr>
                <w:rFonts w:hint="eastAsia" w:ascii="仿宋" w:hAnsi="仿宋" w:eastAsia="仿宋" w:cs="仿宋"/>
                <w:color w:val="auto"/>
                <w:kern w:val="0"/>
                <w:szCs w:val="21"/>
                <w:highlight w:val="none"/>
              </w:rPr>
              <w:t>分包</w:t>
            </w:r>
          </w:p>
        </w:tc>
        <w:tc>
          <w:tcPr>
            <w:tcW w:w="7073" w:type="dxa"/>
            <w:vAlign w:val="center"/>
          </w:tcPr>
          <w:p w14:paraId="0F6044F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不允许分包</w:t>
            </w:r>
          </w:p>
          <w:p w14:paraId="11DB117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允许分包</w:t>
            </w:r>
            <w:r>
              <w:rPr>
                <w:rFonts w:hint="eastAsia" w:ascii="仿宋" w:hAnsi="仿宋" w:eastAsia="仿宋" w:cs="仿宋"/>
                <w:color w:val="auto"/>
                <w:kern w:val="0"/>
                <w:szCs w:val="21"/>
                <w:highlight w:val="none"/>
                <w:u w:val="none"/>
                <w:lang w:val="en-US" w:eastAsia="zh-CN"/>
              </w:rPr>
              <w:t>。</w:t>
            </w:r>
            <w:r>
              <w:rPr>
                <w:rFonts w:hint="eastAsia" w:ascii="仿宋" w:hAnsi="仿宋" w:eastAsia="仿宋" w:cs="仿宋"/>
                <w:color w:val="auto"/>
                <w:kern w:val="0"/>
                <w:szCs w:val="21"/>
                <w:highlight w:val="none"/>
                <w:u w:val="none"/>
              </w:rPr>
              <w:t xml:space="preserve"> </w:t>
            </w:r>
          </w:p>
        </w:tc>
      </w:tr>
      <w:tr w14:paraId="0CD74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F53522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19</w:t>
            </w:r>
          </w:p>
        </w:tc>
        <w:tc>
          <w:tcPr>
            <w:tcW w:w="1410" w:type="dxa"/>
            <w:shd w:val="clear" w:color="auto" w:fill="auto"/>
            <w:vAlign w:val="center"/>
          </w:tcPr>
          <w:p w14:paraId="21C4580C">
            <w:pPr>
              <w:keepNext/>
              <w:widowControl/>
              <w:jc w:val="distribute"/>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说明</w:t>
            </w:r>
          </w:p>
        </w:tc>
        <w:tc>
          <w:tcPr>
            <w:tcW w:w="7073" w:type="dxa"/>
            <w:shd w:val="clear" w:color="auto" w:fill="auto"/>
            <w:vAlign w:val="center"/>
          </w:tcPr>
          <w:p w14:paraId="25B367BD">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1、招标文件中所述政策法规、标准规范等文件，如有新文件则按新文件执行，如已废止则仅为参考。</w:t>
            </w:r>
          </w:p>
          <w:p w14:paraId="05C2FDBA">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2、投标人须根据招标文件要求在投标文件中提供评审所需的相应证明材料扫描件。</w:t>
            </w:r>
          </w:p>
          <w:p w14:paraId="6D52C5F9">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3、建议投标人对本招标文件服务要求进行点对点应答，根据本招标文件的要求,结合所提供的服务，进行逐条逐项答复、说明和解释。</w:t>
            </w:r>
          </w:p>
          <w:p w14:paraId="5B979D73">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4、最低报价不能作为中标的保证。</w:t>
            </w:r>
          </w:p>
          <w:p w14:paraId="2B3D9CCC">
            <w:pPr>
              <w:keepNext/>
              <w:widowControl/>
              <w:ind w:firstLine="420" w:firstLineChars="200"/>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5、为避免投标文件缺失，建议各投标人在投标文件上传阶段，将全套投标文件内容上传至电子交易平台的商务技术响应文件模块。</w:t>
            </w:r>
          </w:p>
          <w:p w14:paraId="18CF7844">
            <w:pPr>
              <w:keepNext/>
              <w:keepLines w:val="0"/>
              <w:pageBreakBefore w:val="0"/>
              <w:widowControl/>
              <w:numPr>
                <w:ilvl w:val="0"/>
                <w:numId w:val="0"/>
              </w:numPr>
              <w:kinsoku/>
              <w:wordWrap/>
              <w:overflowPunct/>
              <w:topLinePunct w:val="0"/>
              <w:autoSpaceDE/>
              <w:autoSpaceDN/>
              <w:bidi w:val="0"/>
              <w:adjustRightInd/>
              <w:snapToGrid/>
              <w:ind w:firstLine="420" w:firstLineChars="20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 w:val="21"/>
                <w:szCs w:val="21"/>
                <w:highlight w:val="none"/>
                <w:lang w:val="en-US" w:eastAsia="zh-CN" w:bidi="ar-SA"/>
              </w:rPr>
              <w:t>6、本表内容如与后文内容不一致处，以本表为准。</w:t>
            </w:r>
          </w:p>
        </w:tc>
      </w:tr>
    </w:tbl>
    <w:p w14:paraId="09625969">
      <w:pPr>
        <w:spacing w:line="360" w:lineRule="auto"/>
        <w:jc w:val="center"/>
        <w:outlineLvl w:val="0"/>
        <w:rPr>
          <w:rFonts w:hint="eastAsia" w:ascii="仿宋" w:hAnsi="仿宋" w:eastAsia="仿宋" w:cs="仿宋"/>
          <w:b/>
          <w:color w:val="auto"/>
          <w:sz w:val="24"/>
          <w:szCs w:val="24"/>
          <w:highlight w:val="none"/>
        </w:rPr>
      </w:pPr>
      <w:bookmarkStart w:id="2" w:name="_BookMark_3"/>
      <w:bookmarkEnd w:id="2"/>
      <w:r>
        <w:rPr>
          <w:rFonts w:hint="eastAsia" w:ascii="仿宋" w:hAnsi="仿宋" w:eastAsia="仿宋" w:cs="仿宋"/>
          <w:color w:val="auto"/>
          <w:kern w:val="0"/>
          <w:sz w:val="24"/>
          <w:szCs w:val="24"/>
          <w:highlight w:val="none"/>
        </w:rPr>
        <w:br w:type="page"/>
      </w:r>
      <w:bookmarkStart w:id="3" w:name="_Toc32237"/>
      <w:r>
        <w:rPr>
          <w:rFonts w:hint="eastAsia" w:ascii="仿宋" w:hAnsi="仿宋" w:eastAsia="仿宋" w:cs="仿宋"/>
          <w:b/>
          <w:color w:val="auto"/>
          <w:sz w:val="24"/>
          <w:szCs w:val="24"/>
          <w:highlight w:val="none"/>
        </w:rPr>
        <w:t>第一章 投标人须知</w:t>
      </w:r>
      <w:bookmarkEnd w:id="3"/>
      <w:bookmarkStart w:id="4" w:name="_BookMark_2"/>
      <w:bookmarkEnd w:id="4"/>
    </w:p>
    <w:p w14:paraId="17F5FFA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5" w:name="_Toc130252597"/>
      <w:bookmarkStart w:id="6" w:name="_Toc31299"/>
      <w:bookmarkStart w:id="7" w:name="_Toc10298"/>
      <w:bookmarkStart w:id="8" w:name="_Toc19376"/>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总则</w:t>
      </w:r>
      <w:bookmarkEnd w:id="5"/>
      <w:bookmarkEnd w:id="6"/>
      <w:bookmarkEnd w:id="7"/>
      <w:bookmarkEnd w:id="8"/>
    </w:p>
    <w:p w14:paraId="70F0C09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1.1采购项目概况</w:t>
      </w:r>
    </w:p>
    <w:p w14:paraId="6BE067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1.1.1项目名称：见</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须知前附表。</w:t>
      </w:r>
    </w:p>
    <w:p w14:paraId="2BEA4A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项目编号：见</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须知前附表。</w:t>
      </w:r>
    </w:p>
    <w:p w14:paraId="03F5F9B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采购人：见投标人须知前附表。</w:t>
      </w:r>
    </w:p>
    <w:p w14:paraId="174544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采购代理机构：见投标人须知前附表。</w:t>
      </w:r>
    </w:p>
    <w:p w14:paraId="2EBDB0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项目地点：见投标人须知前附表。</w:t>
      </w:r>
    </w:p>
    <w:p w14:paraId="2B34A9C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资金来源：见投标人须知前附表。</w:t>
      </w:r>
    </w:p>
    <w:p w14:paraId="389F0D7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采购预算金额：见投标人须知前附表。</w:t>
      </w:r>
    </w:p>
    <w:p w14:paraId="20C973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rPr>
        <w:t>最高限价：见投标人须知前附表。</w:t>
      </w:r>
    </w:p>
    <w:p w14:paraId="194326D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合同履约期限</w:t>
      </w:r>
      <w:r>
        <w:rPr>
          <w:rFonts w:hint="eastAsia" w:ascii="仿宋" w:hAnsi="仿宋" w:eastAsia="仿宋" w:cs="仿宋"/>
          <w:color w:val="auto"/>
          <w:kern w:val="0"/>
          <w:sz w:val="24"/>
          <w:szCs w:val="24"/>
          <w:highlight w:val="none"/>
        </w:rPr>
        <w:t>：见投标人须知前附表。</w:t>
      </w:r>
    </w:p>
    <w:p w14:paraId="1990D6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lang w:eastAsia="zh-CN"/>
        </w:rPr>
        <w:t>服务地点</w:t>
      </w:r>
      <w:r>
        <w:rPr>
          <w:rFonts w:hint="eastAsia" w:ascii="仿宋" w:hAnsi="仿宋" w:eastAsia="仿宋" w:cs="仿宋"/>
          <w:color w:val="auto"/>
          <w:kern w:val="0"/>
          <w:sz w:val="24"/>
          <w:szCs w:val="24"/>
          <w:highlight w:val="none"/>
        </w:rPr>
        <w:t>：见投标人须知前附表。</w:t>
      </w:r>
    </w:p>
    <w:p w14:paraId="5654F46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1.2采购范围：见投标人须知前附表。</w:t>
      </w:r>
    </w:p>
    <w:p w14:paraId="5AD7517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1.3采购方式和资格审查方式</w:t>
      </w:r>
    </w:p>
    <w:p w14:paraId="66A88B1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1.3.1采购方式：见投标人须知前附表。</w:t>
      </w:r>
    </w:p>
    <w:p w14:paraId="204056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1.3.2资格审查方式：见投标人须知前附表。</w:t>
      </w:r>
    </w:p>
    <w:p w14:paraId="38FEB36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 评审办法及定标方法</w:t>
      </w:r>
    </w:p>
    <w:p w14:paraId="4CACC4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1.4.1评审办法：见投标人须知前附表。</w:t>
      </w:r>
    </w:p>
    <w:p w14:paraId="2AABCD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1.4.2定标方法：见投标人须知前附表。</w:t>
      </w:r>
    </w:p>
    <w:p w14:paraId="2149ACE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eastAsia="zh-CN"/>
        </w:rPr>
        <w:t>投标人的资格要求</w:t>
      </w:r>
      <w:r>
        <w:rPr>
          <w:rFonts w:hint="eastAsia" w:ascii="仿宋" w:hAnsi="仿宋" w:eastAsia="仿宋" w:cs="仿宋"/>
          <w:color w:val="auto"/>
          <w:kern w:val="0"/>
          <w:sz w:val="24"/>
          <w:szCs w:val="24"/>
          <w:highlight w:val="none"/>
        </w:rPr>
        <w:t>：见投标人须知前附表。</w:t>
      </w:r>
    </w:p>
    <w:p w14:paraId="343509C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1.6投标人不得存在的情形：见投标人须知前附表。</w:t>
      </w:r>
    </w:p>
    <w:p w14:paraId="542610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1.7费用承担</w:t>
      </w:r>
    </w:p>
    <w:p w14:paraId="3D8A79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1.7.1招标文件费：见投标人须知前附表。</w:t>
      </w:r>
    </w:p>
    <w:p w14:paraId="1FFF54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1.7.2投标人应承担其编制投标文件与递交投标文件所涉及的一切费用，无论投标结果如何，采购人及采购代理机构对上述费用不作任何补偿。采购代理咨询费由中标人支付。</w:t>
      </w:r>
    </w:p>
    <w:p w14:paraId="42AD73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1.8投标保证金：见投标人须知前附表。</w:t>
      </w:r>
    </w:p>
    <w:p w14:paraId="72EEF7B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1.9现场踏勘</w:t>
      </w:r>
    </w:p>
    <w:p w14:paraId="5D598C2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1.9.1投标人须知前附表如规定组织踏勘现场的，采购人或采购代理机构按投标人须知前附表规定的时间、地点组织投标人踏勘项目现场。</w:t>
      </w:r>
    </w:p>
    <w:p w14:paraId="04D730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1.9.2投标人踏勘现场发生的费用自理。</w:t>
      </w:r>
    </w:p>
    <w:p w14:paraId="61928E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1.9.3除采购人或采购代理机构的原因外，投标人自行负责在踏勘现场中所发生的人员伤亡和财产损失。</w:t>
      </w:r>
    </w:p>
    <w:p w14:paraId="25141C5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1.9.4采购人或采购代理机构在踏勘现场中介绍的项目有关情况，供投标人在编制投标文件时参考，采购人或采购代理机构不对投标人据此作出的判断和决策负责。</w:t>
      </w:r>
    </w:p>
    <w:p w14:paraId="6E19E7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1.10招标答疑</w:t>
      </w:r>
    </w:p>
    <w:p w14:paraId="14F3FF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1.10.1投标人若有询问或质疑，应按投标人须知前附表规定的时间、方式向采购人或采购代理机构提出，要求采购人对招标文件予以澄清。</w:t>
      </w:r>
    </w:p>
    <w:p w14:paraId="579C96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1.11投标文件：见投标人须知前附表。</w:t>
      </w:r>
    </w:p>
    <w:p w14:paraId="661DDE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1.12投标文件递交：见投标人须知前附表。</w:t>
      </w:r>
    </w:p>
    <w:p w14:paraId="35ED1C4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1.13开标：见投标人须知前附表。</w:t>
      </w:r>
    </w:p>
    <w:p w14:paraId="71AE10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1.14投标有效期：见投标人须知前附表。</w:t>
      </w:r>
    </w:p>
    <w:p w14:paraId="2BA814E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1.15公告发布媒体：见投标人须知前附表。</w:t>
      </w:r>
    </w:p>
    <w:p w14:paraId="407454F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1.16履约保证金：见投标人须知前附表。</w:t>
      </w:r>
    </w:p>
    <w:p w14:paraId="13CE3E7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1.17中小企业政策说明：见投标人须知前附表。</w:t>
      </w:r>
    </w:p>
    <w:p w14:paraId="3E2128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1.18合同分包：见投标人须知前附表。</w:t>
      </w:r>
    </w:p>
    <w:p w14:paraId="7988019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19</w:t>
      </w:r>
      <w:r>
        <w:rPr>
          <w:rFonts w:hint="eastAsia" w:ascii="仿宋" w:hAnsi="仿宋" w:eastAsia="仿宋" w:cs="仿宋"/>
          <w:color w:val="auto"/>
          <w:kern w:val="0"/>
          <w:sz w:val="24"/>
          <w:szCs w:val="24"/>
          <w:highlight w:val="none"/>
        </w:rPr>
        <w:t>保密</w:t>
      </w:r>
    </w:p>
    <w:p w14:paraId="3312A9D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参与招标投标活动的各方应当对招标文件和投标文件中的商业和技术等秘密保密，否则应当承担相应的法律责任。</w:t>
      </w:r>
    </w:p>
    <w:p w14:paraId="14DCDD5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20</w:t>
      </w:r>
      <w:r>
        <w:rPr>
          <w:rFonts w:hint="eastAsia" w:ascii="仿宋" w:hAnsi="仿宋" w:eastAsia="仿宋" w:cs="仿宋"/>
          <w:color w:val="auto"/>
          <w:kern w:val="0"/>
          <w:sz w:val="24"/>
          <w:szCs w:val="24"/>
          <w:highlight w:val="none"/>
        </w:rPr>
        <w:t>语言文字</w:t>
      </w:r>
    </w:p>
    <w:p w14:paraId="76716F2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除专用术语外，与招标投标有关的语言均应当使用中文。必要时专用术语应附有中文注释。</w:t>
      </w:r>
    </w:p>
    <w:p w14:paraId="46AB747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计量单位</w:t>
      </w:r>
    </w:p>
    <w:p w14:paraId="1CA967A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所有计量均采用中华人民共和国法定计量单位。</w:t>
      </w:r>
    </w:p>
    <w:p w14:paraId="63D3CAE6">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9" w:name="_Toc13326"/>
      <w:bookmarkStart w:id="10" w:name="_Toc535592196"/>
      <w:bookmarkStart w:id="11" w:name="_Toc9197"/>
      <w:bookmarkStart w:id="12" w:name="_Toc1828"/>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招标文件</w:t>
      </w:r>
      <w:bookmarkEnd w:id="9"/>
      <w:bookmarkEnd w:id="10"/>
      <w:bookmarkEnd w:id="11"/>
      <w:bookmarkEnd w:id="12"/>
    </w:p>
    <w:p w14:paraId="39052F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 招标文件的组成</w:t>
      </w:r>
    </w:p>
    <w:p w14:paraId="4B5CB6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（1）招标公告</w:t>
      </w:r>
    </w:p>
    <w:p w14:paraId="415A3B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（2）投标人须知前附表</w:t>
      </w:r>
    </w:p>
    <w:p w14:paraId="409783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（3）投标人须知</w:t>
      </w:r>
    </w:p>
    <w:p w14:paraId="17E35A9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（4）评标办法</w:t>
      </w:r>
    </w:p>
    <w:p w14:paraId="241A2A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w:t>
      </w:r>
      <w:r>
        <w:rPr>
          <w:rFonts w:hint="eastAsia" w:ascii="仿宋" w:hAnsi="仿宋" w:eastAsia="仿宋" w:cs="仿宋"/>
          <w:color w:val="auto"/>
          <w:kern w:val="0"/>
          <w:sz w:val="24"/>
          <w:szCs w:val="24"/>
          <w:highlight w:val="none"/>
          <w:lang w:val="en-US" w:eastAsia="zh-CN"/>
        </w:rPr>
        <w:t>文本</w:t>
      </w:r>
      <w:r>
        <w:rPr>
          <w:rFonts w:hint="eastAsia" w:ascii="仿宋" w:hAnsi="仿宋" w:eastAsia="仿宋" w:cs="仿宋"/>
          <w:color w:val="auto"/>
          <w:kern w:val="0"/>
          <w:sz w:val="24"/>
          <w:szCs w:val="24"/>
          <w:highlight w:val="none"/>
        </w:rPr>
        <w:t>；</w:t>
      </w:r>
    </w:p>
    <w:p w14:paraId="2884E5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r>
        <w:rPr>
          <w:rFonts w:hint="eastAsia" w:ascii="仿宋" w:hAnsi="仿宋" w:eastAsia="仿宋" w:cs="仿宋"/>
          <w:color w:val="auto"/>
          <w:kern w:val="0"/>
          <w:sz w:val="24"/>
          <w:szCs w:val="24"/>
          <w:highlight w:val="none"/>
          <w:lang w:eastAsia="zh-CN"/>
        </w:rPr>
        <w:t>采购需求</w:t>
      </w:r>
      <w:r>
        <w:rPr>
          <w:rFonts w:hint="eastAsia" w:ascii="仿宋" w:hAnsi="仿宋" w:eastAsia="仿宋" w:cs="仿宋"/>
          <w:color w:val="auto"/>
          <w:kern w:val="0"/>
          <w:sz w:val="24"/>
          <w:szCs w:val="24"/>
          <w:highlight w:val="none"/>
        </w:rPr>
        <w:t>；</w:t>
      </w:r>
    </w:p>
    <w:p w14:paraId="4DC323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（7）投标文件格式；</w:t>
      </w:r>
    </w:p>
    <w:p w14:paraId="3CA967F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17A8E06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（9）根据本章第2.4款对招标文件所作的澄清、修改，构成招标文件的组成部分。</w:t>
      </w:r>
    </w:p>
    <w:p w14:paraId="28FC14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2.2招标文件的获取</w:t>
      </w:r>
    </w:p>
    <w:p w14:paraId="571935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凡有意参加并符合投标人须知前附表“</w:t>
      </w:r>
      <w:r>
        <w:rPr>
          <w:rFonts w:hint="eastAsia" w:ascii="仿宋" w:hAnsi="仿宋" w:eastAsia="仿宋" w:cs="仿宋"/>
          <w:color w:val="auto"/>
          <w:kern w:val="0"/>
          <w:sz w:val="24"/>
          <w:szCs w:val="24"/>
          <w:highlight w:val="none"/>
          <w:lang w:eastAsia="zh-CN"/>
        </w:rPr>
        <w:t>投标人的资格要求</w:t>
      </w:r>
      <w:r>
        <w:rPr>
          <w:rFonts w:hint="eastAsia" w:ascii="仿宋" w:hAnsi="仿宋" w:eastAsia="仿宋" w:cs="仿宋"/>
          <w:color w:val="auto"/>
          <w:kern w:val="0"/>
          <w:sz w:val="24"/>
          <w:szCs w:val="24"/>
          <w:highlight w:val="none"/>
        </w:rPr>
        <w:t>”的投标人，均可获取招标文件。</w:t>
      </w:r>
    </w:p>
    <w:p w14:paraId="74E87B7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2.3招标文件的澄清</w:t>
      </w:r>
    </w:p>
    <w:p w14:paraId="10008B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2.3.1 投标人应当仔细阅读和检查招标文件的全部内容。如发现缺失或附件不全，应当及时向采购人提出，以便补齐。如有疑问，应当在投标人须知前附表规定的时间、方式向采购人提出，要求采购人对招标文件予以澄清。</w:t>
      </w:r>
    </w:p>
    <w:p w14:paraId="5A08CA5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2.3.2 招标文件的澄清将按照投标人须知前附表规定的时间、方式发布，但不指明澄清问题的来源。</w:t>
      </w:r>
    </w:p>
    <w:p w14:paraId="19B17A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2.4招标文件的修改</w:t>
      </w:r>
    </w:p>
    <w:p w14:paraId="433BCB5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 招标文件的修改将按照投标人须知前附表规定的时间、方式发布，但不指明澄清问题的来源。</w:t>
      </w:r>
    </w:p>
    <w:p w14:paraId="49A571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在投标人须知前附表规定的截止时间前，无论出于何种原因，采购人或采购代理机构可主动地或在解答潜在投标人提出的澄清问题时对招标文件进行修改。</w:t>
      </w:r>
    </w:p>
    <w:p w14:paraId="7218658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2.4.3 招标文件的修改部分是招标文件的组成部分对投标人具有约束力。</w:t>
      </w:r>
    </w:p>
    <w:p w14:paraId="36E0E3E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2.4.4 当采购人发放的招标文件及招标文件的答疑文件、修改文件、补充文件前后不一致，发生矛盾情况时，以最后发出的为准。</w:t>
      </w:r>
    </w:p>
    <w:p w14:paraId="57B33DF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2.4.5 如果招标文件各个组成部分之间出现歧义或相互矛盾，或任何文件中呈现明显的或不符合逻辑等的错误，或在文件编写过程中经常出现的打印错误等，投标人应将需要澄清的内容在投标人须知前附表规定的时间之前提出。根据合同条款中的相关约定，如果投标人在投标过程中未能发现并对有关歧义、矛盾或错误提出澄清请求，而在中标后发现并提出，中标人将必须接受由采购人依据合同有关条款而做出的书面澄清。</w:t>
      </w:r>
    </w:p>
    <w:p w14:paraId="295890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2.5由于本项目采用电子招标方式，潜在投标人的名单将在提交投标文件截止时间后才会解密。因此，采购人或采购代理机构无法通过传统的传真或邮件方式，将招标文件的澄清或修改内容逐一通知到每位已获取招标文件的潜在投标人。为确保信息的及时性和准确性，澄清或修改的内容将仅在政采云平台以更正公告的形式发布。潜在投标人需密切关注该网站，及时查看并下载相关更正公告。若因潜在投标人未能及时查看或下载相关更正公告，而导致的一切后果，将由潜在投标人自行承担。</w:t>
      </w:r>
    </w:p>
    <w:p w14:paraId="6B32FA7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13" w:name="_BookMark_6"/>
      <w:bookmarkEnd w:id="13"/>
      <w:bookmarkStart w:id="14" w:name="_Toc5120"/>
      <w:bookmarkStart w:id="15" w:name="_Toc535592197"/>
      <w:bookmarkStart w:id="16" w:name="_Toc7644"/>
      <w:bookmarkStart w:id="17" w:name="_Toc8828"/>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投标文件</w:t>
      </w:r>
      <w:bookmarkEnd w:id="14"/>
      <w:bookmarkEnd w:id="15"/>
      <w:bookmarkEnd w:id="16"/>
      <w:bookmarkEnd w:id="17"/>
    </w:p>
    <w:p w14:paraId="51508DC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投标文件的组成：</w:t>
      </w:r>
    </w:p>
    <w:p w14:paraId="5CDFB724">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、开标一览表</w:t>
      </w:r>
    </w:p>
    <w:p w14:paraId="232D2346">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、投标函</w:t>
      </w:r>
    </w:p>
    <w:p w14:paraId="695497F6">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、投标价格明细表</w:t>
      </w:r>
    </w:p>
    <w:p w14:paraId="430272C9">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、商务条款偏离表</w:t>
      </w:r>
    </w:p>
    <w:p w14:paraId="24E8EA57">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技术条款偏离表</w:t>
      </w:r>
    </w:p>
    <w:p w14:paraId="395D3C95">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、法定代表人身份证明书</w:t>
      </w:r>
    </w:p>
    <w:p w14:paraId="6650D748">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、法定代表人授权委托书</w:t>
      </w:r>
    </w:p>
    <w:p w14:paraId="7740F7DB">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lang w:eastAsia="zh-CN"/>
        </w:rPr>
        <w:t>）、投标人资格条件证明材料</w:t>
      </w:r>
    </w:p>
    <w:p w14:paraId="7D9F0458">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lang w:eastAsia="zh-CN"/>
        </w:rPr>
        <w:t>）、投标人近年类似项目情况表</w:t>
      </w:r>
    </w:p>
    <w:p w14:paraId="7BC92119">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10</w:t>
      </w:r>
      <w:r>
        <w:rPr>
          <w:rFonts w:hint="eastAsia" w:ascii="仿宋" w:hAnsi="仿宋" w:eastAsia="仿宋" w:cs="仿宋"/>
          <w:bCs/>
          <w:color w:val="auto"/>
          <w:sz w:val="24"/>
          <w:szCs w:val="24"/>
          <w:highlight w:val="none"/>
          <w:lang w:eastAsia="zh-CN"/>
        </w:rPr>
        <w:t>）、项目负责人简历表</w:t>
      </w:r>
    </w:p>
    <w:p w14:paraId="0F20AE22">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11</w:t>
      </w:r>
      <w:r>
        <w:rPr>
          <w:rFonts w:hint="eastAsia" w:ascii="仿宋" w:hAnsi="仿宋" w:eastAsia="仿宋" w:cs="仿宋"/>
          <w:bCs/>
          <w:color w:val="auto"/>
          <w:sz w:val="24"/>
          <w:szCs w:val="24"/>
          <w:highlight w:val="none"/>
          <w:lang w:eastAsia="zh-CN"/>
        </w:rPr>
        <w:t>）、拟派主要服务人员情况表</w:t>
      </w:r>
    </w:p>
    <w:p w14:paraId="183093F5">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12</w:t>
      </w:r>
      <w:r>
        <w:rPr>
          <w:rFonts w:hint="eastAsia" w:ascii="仿宋" w:hAnsi="仿宋" w:eastAsia="仿宋" w:cs="仿宋"/>
          <w:bCs/>
          <w:color w:val="auto"/>
          <w:sz w:val="24"/>
          <w:szCs w:val="24"/>
          <w:highlight w:val="none"/>
          <w:lang w:eastAsia="zh-CN"/>
        </w:rPr>
        <w:t>）、服务方案</w:t>
      </w:r>
    </w:p>
    <w:p w14:paraId="0F83733A">
      <w:pPr>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13</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kern w:val="0"/>
          <w:sz w:val="24"/>
          <w:szCs w:val="24"/>
          <w:highlight w:val="none"/>
        </w:rPr>
        <w:t>保证金缴纳证明材料</w:t>
      </w:r>
    </w:p>
    <w:p w14:paraId="60DED2DC">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14</w:t>
      </w:r>
      <w:r>
        <w:rPr>
          <w:rFonts w:hint="eastAsia" w:ascii="仿宋" w:hAnsi="仿宋" w:eastAsia="仿宋" w:cs="仿宋"/>
          <w:bCs/>
          <w:color w:val="auto"/>
          <w:sz w:val="24"/>
          <w:szCs w:val="24"/>
          <w:highlight w:val="none"/>
          <w:lang w:eastAsia="zh-CN"/>
        </w:rPr>
        <w:t>）、其它需要提交的资料</w:t>
      </w:r>
    </w:p>
    <w:p w14:paraId="4C33005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投标价格</w:t>
      </w:r>
    </w:p>
    <w:p w14:paraId="73CF43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3.2.1投标价格应包括投标人履行本项目合同（如果中标）所必须的所有成本费用和中标人应承担的一切税费；未列和没有填写的项目费用，采购人将视为已包括在投标价格中。</w:t>
      </w:r>
    </w:p>
    <w:p w14:paraId="60C63A4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投标人的投标价格不得超出本项目</w:t>
      </w:r>
      <w:r>
        <w:rPr>
          <w:rFonts w:hint="eastAsia" w:ascii="仿宋" w:hAnsi="仿宋" w:eastAsia="仿宋" w:cs="仿宋"/>
          <w:color w:val="auto"/>
          <w:kern w:val="0"/>
          <w:sz w:val="24"/>
          <w:szCs w:val="24"/>
          <w:highlight w:val="none"/>
          <w:lang w:eastAsia="zh-CN"/>
        </w:rPr>
        <w:t>最高限价</w:t>
      </w:r>
      <w:r>
        <w:rPr>
          <w:rFonts w:hint="eastAsia" w:ascii="仿宋" w:hAnsi="仿宋" w:eastAsia="仿宋" w:cs="仿宋"/>
          <w:color w:val="auto"/>
          <w:kern w:val="0"/>
          <w:sz w:val="24"/>
          <w:szCs w:val="24"/>
          <w:highlight w:val="none"/>
        </w:rPr>
        <w:t>。</w:t>
      </w:r>
    </w:p>
    <w:p w14:paraId="219460F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 投标有效期</w:t>
      </w:r>
    </w:p>
    <w:p w14:paraId="1E37407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 在投标人须知前附表规定的投标有效期内，投标人不得要求撤销或修改其投标文件。</w:t>
      </w:r>
    </w:p>
    <w:p w14:paraId="6CB23D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出现特殊情况需要延长投标有效期的，采购人将通知所有投标人延长投标有效期。投标人同意延长的，应当相应延长其投标保证金的有效期，但不得要求或被允许修改或撤销其投标文件；投标人拒绝延长的，其投标失效，但投标人有权收回其投标保证金。</w:t>
      </w:r>
    </w:p>
    <w:p w14:paraId="137A6CB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 投标保证金</w:t>
      </w:r>
    </w:p>
    <w:p w14:paraId="2982FF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投标人应于投标截止时间前按投标人须知前附表规定数额提交投标保证金。未提交投标保证金的，将被视为非响应性投标而予以拒绝。联合体投标的，其投标保证金由牵头人递交，并应符合投标人须知前附表的规定。</w:t>
      </w:r>
    </w:p>
    <w:p w14:paraId="52435CD5">
      <w:pPr>
        <w:shd w:val="clear" w:color="auto" w:fill="FFFFFF"/>
        <w:snapToGrid w:val="0"/>
        <w:spacing w:line="384"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3.4.2</w:t>
      </w:r>
      <w:r>
        <w:rPr>
          <w:rFonts w:hint="eastAsia" w:ascii="仿宋" w:hAnsi="仿宋" w:eastAsia="仿宋" w:cs="仿宋"/>
          <w:color w:val="auto"/>
          <w:sz w:val="24"/>
          <w:szCs w:val="24"/>
          <w:highlight w:val="none"/>
        </w:rPr>
        <w:t>投标保证金以支票、汇票、本票或者金融机构、担保机构出具的保函等非现金形式提交至采购代理机构。</w:t>
      </w:r>
    </w:p>
    <w:p w14:paraId="78D1B7DD">
      <w:pPr>
        <w:shd w:val="clear" w:color="auto" w:fill="FFFFFF"/>
        <w:snapToGrid w:val="0"/>
        <w:spacing w:line="384"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3.4.3投标保证金是为了保护采购人免遭因投标人的行为而蒙受损失。采购人在因投标人的行为受到损害时可根据相关法律规定没收投标人的投标保证金。</w:t>
      </w:r>
    </w:p>
    <w:p w14:paraId="31DCD44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 采购人或者采购代理机构应当自中标通知书发出之日起5个工作日内退还未中标人的投标保证金，自采购合同签订之日起5个工作日内退还中标人的投标保证金。</w:t>
      </w:r>
    </w:p>
    <w:p w14:paraId="615BECC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3.4.5投标保证金有效期与投标有效期一致。</w:t>
      </w:r>
    </w:p>
    <w:p w14:paraId="74F26D3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3.4.6有下列情形之一的，投标保证金不予退还：</w:t>
      </w:r>
    </w:p>
    <w:p w14:paraId="402D9B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（1）开标后在投标有效期内，投标人撤</w:t>
      </w:r>
      <w:r>
        <w:rPr>
          <w:rFonts w:hint="eastAsia" w:ascii="仿宋" w:hAnsi="仿宋" w:eastAsia="仿宋" w:cs="仿宋"/>
          <w:color w:val="auto"/>
          <w:kern w:val="0"/>
          <w:sz w:val="24"/>
          <w:szCs w:val="24"/>
          <w:highlight w:val="none"/>
          <w:lang w:val="en-US" w:eastAsia="zh-CN"/>
        </w:rPr>
        <w:t>销</w:t>
      </w:r>
      <w:r>
        <w:rPr>
          <w:rFonts w:hint="eastAsia" w:ascii="仿宋" w:hAnsi="仿宋" w:eastAsia="仿宋" w:cs="仿宋"/>
          <w:color w:val="auto"/>
          <w:kern w:val="0"/>
          <w:sz w:val="24"/>
          <w:szCs w:val="24"/>
          <w:highlight w:val="none"/>
        </w:rPr>
        <w:t>其投标</w:t>
      </w:r>
      <w:r>
        <w:rPr>
          <w:rFonts w:hint="eastAsia" w:ascii="仿宋" w:hAnsi="仿宋" w:eastAsia="仿宋" w:cs="仿宋"/>
          <w:color w:val="auto"/>
          <w:kern w:val="0"/>
          <w:sz w:val="24"/>
          <w:szCs w:val="24"/>
          <w:highlight w:val="none"/>
          <w:lang w:val="en-US" w:eastAsia="zh-CN"/>
        </w:rPr>
        <w:t>的</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 xml:space="preserve"> </w:t>
      </w:r>
    </w:p>
    <w:p w14:paraId="71FF965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）中标后无正当理由不与采购人签订合同的；</w:t>
      </w:r>
    </w:p>
    <w:p w14:paraId="13DC60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）中标人与采购人订立背离合同实质性内容的其他协议；</w:t>
      </w:r>
    </w:p>
    <w:p w14:paraId="76484E6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）将中标项目转让给他人，或者在投标文件中未说明，且未经采购</w:t>
      </w:r>
      <w:r>
        <w:rPr>
          <w:rFonts w:hint="eastAsia" w:ascii="仿宋" w:hAnsi="仿宋" w:eastAsia="仿宋" w:cs="仿宋"/>
          <w:color w:val="auto"/>
          <w:kern w:val="0"/>
          <w:sz w:val="24"/>
          <w:szCs w:val="24"/>
          <w:highlight w:val="none"/>
          <w:lang w:val="en-US" w:eastAsia="zh-CN"/>
        </w:rPr>
        <w:t>人</w:t>
      </w:r>
      <w:r>
        <w:rPr>
          <w:rFonts w:hint="eastAsia" w:ascii="仿宋" w:hAnsi="仿宋" w:eastAsia="仿宋" w:cs="仿宋"/>
          <w:color w:val="auto"/>
          <w:kern w:val="0"/>
          <w:sz w:val="24"/>
          <w:szCs w:val="24"/>
          <w:highlight w:val="none"/>
        </w:rPr>
        <w:t>同意，将中标项目分包给他人的；</w:t>
      </w:r>
    </w:p>
    <w:p w14:paraId="35B27EF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）存在串通投标行为的；</w:t>
      </w:r>
    </w:p>
    <w:p w14:paraId="5306B3E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）存在弄虚作假或提供虚假材料谋取中标的；</w:t>
      </w:r>
    </w:p>
    <w:p w14:paraId="794957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）投标人其他未按招标文件规定和合同约定履行义务的行为。</w:t>
      </w:r>
    </w:p>
    <w:p w14:paraId="5DAECA8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法律法规规定的其它情形</w:t>
      </w:r>
    </w:p>
    <w:p w14:paraId="1589A4D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投标文件的编制</w:t>
      </w:r>
    </w:p>
    <w:p w14:paraId="0CA20D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3.5.1投标文件应按第五章“投标文件格式”进行编写，如有必要，可以增加附页，作为投标文件的组成部分。</w:t>
      </w:r>
    </w:p>
    <w:p w14:paraId="34F044F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3.5.2投标文件应当对招标文件有关采购范围、技术与服务要求等实质性内容做出响应。</w:t>
      </w:r>
    </w:p>
    <w:p w14:paraId="79AF7D9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18" w:name="_BookMark_7"/>
      <w:bookmarkEnd w:id="18"/>
      <w:bookmarkStart w:id="19" w:name="_Toc535592198"/>
      <w:r>
        <w:rPr>
          <w:rFonts w:hint="eastAsia" w:ascii="仿宋" w:hAnsi="仿宋" w:eastAsia="仿宋" w:cs="仿宋"/>
          <w:color w:val="auto"/>
          <w:kern w:val="0"/>
          <w:sz w:val="24"/>
          <w:szCs w:val="24"/>
          <w:highlight w:val="none"/>
          <w:shd w:val="clear" w:color="auto" w:fill="FFFFFF" w:themeFill="background1"/>
        </w:rPr>
        <w:t>3.5.3电子投标文件的制作须使用相应的制作工具软件。</w:t>
      </w:r>
    </w:p>
    <w:p w14:paraId="3EB356E3">
      <w:pPr>
        <w:widowControl/>
        <w:shd w:val="clear" w:color="auto" w:fill="FFFFFF"/>
        <w:snapToGrid w:val="0"/>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w:t>
      </w:r>
      <w:r>
        <w:rPr>
          <w:rFonts w:hint="eastAsia" w:ascii="仿宋" w:hAnsi="仿宋" w:eastAsia="仿宋" w:cs="仿宋"/>
          <w:color w:val="auto"/>
          <w:kern w:val="0"/>
          <w:sz w:val="24"/>
          <w:szCs w:val="24"/>
          <w:highlight w:val="none"/>
          <w:shd w:val="clear" w:color="auto" w:fill="FFFFFF" w:themeFill="background1"/>
          <w:lang w:val="en-US" w:eastAsia="zh-CN"/>
        </w:rPr>
        <w:t>4</w:t>
      </w:r>
      <w:r>
        <w:rPr>
          <w:rFonts w:hint="eastAsia" w:ascii="仿宋" w:hAnsi="仿宋" w:eastAsia="仿宋" w:cs="仿宋"/>
          <w:color w:val="auto"/>
          <w:kern w:val="0"/>
          <w:sz w:val="24"/>
          <w:szCs w:val="24"/>
          <w:highlight w:val="none"/>
          <w:shd w:val="clear" w:color="auto" w:fill="FFFFFF" w:themeFill="background1"/>
        </w:rPr>
        <w:t>电子招投标文件具有法律效力，与其他形式的招投标文件在内容和格式上等同，若投标文件与招标文件要求不一致，其内容影响成交结果时，责任由投标人自行承担。投标人递交的电子投标文件因投标人自身原因而导致无法导入电子辅助评标系统，该投标文件视为无效投标文件，将导致其投标被拒绝</w:t>
      </w:r>
      <w:r>
        <w:rPr>
          <w:rFonts w:hint="eastAsia" w:ascii="仿宋" w:hAnsi="仿宋" w:eastAsia="仿宋" w:cs="仿宋"/>
          <w:color w:val="auto"/>
          <w:sz w:val="24"/>
          <w:highlight w:val="none"/>
          <w:shd w:val="clear" w:color="auto" w:fill="FFFFFF" w:themeFill="background1"/>
        </w:rPr>
        <w:t>。</w:t>
      </w:r>
    </w:p>
    <w:p w14:paraId="4656CDFA">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0" w:name="_Toc834"/>
      <w:bookmarkStart w:id="21" w:name="_Toc24066"/>
      <w:bookmarkStart w:id="22" w:name="_Toc29573"/>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投标</w:t>
      </w:r>
      <w:bookmarkEnd w:id="19"/>
      <w:bookmarkEnd w:id="20"/>
      <w:bookmarkEnd w:id="21"/>
      <w:bookmarkEnd w:id="22"/>
    </w:p>
    <w:p w14:paraId="28759641">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bookmarkStart w:id="23" w:name="_BookMark_8"/>
      <w:bookmarkEnd w:id="23"/>
      <w:bookmarkStart w:id="24" w:name="_Toc535592199"/>
      <w:r>
        <w:rPr>
          <w:rFonts w:hint="eastAsia" w:ascii="仿宋" w:hAnsi="仿宋" w:eastAsia="仿宋" w:cs="仿宋"/>
          <w:bCs/>
          <w:color w:val="auto"/>
          <w:sz w:val="24"/>
          <w:szCs w:val="24"/>
          <w:highlight w:val="none"/>
        </w:rPr>
        <w:t xml:space="preserve">4.1本次采购采用电子交易方式，电子交易平台为“政采云平台（https://www.zcygov.cn/）”。投标人参与本项目电子交易活动前，应注册成为政府采购云平台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030994A8">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w:t>
      </w:r>
    </w:p>
    <w:p w14:paraId="3C8C72ED">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4.3投标文件的递交</w:t>
      </w:r>
    </w:p>
    <w:p w14:paraId="0CC0EA3E">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4.3.1加密的电子投标文件应在投标文件递交截止时间前通过政采云平台上传完成。逾期上传或者未上传指定地点的投标文件，采购人不予受理。</w:t>
      </w:r>
    </w:p>
    <w:p w14:paraId="5F16EC6F">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4.3.2采购人事先约定延长投标文件递交截止时间的，采购人与投标人以前的投标截止期方面的全部权利、责任和义务，将适用延长至新的投标截止期。</w:t>
      </w:r>
    </w:p>
    <w:p w14:paraId="547883CE">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4.3.3投标人或其投标文件存在下列情形之一的，采购人对其投标文件不予受理：</w:t>
      </w:r>
    </w:p>
    <w:p w14:paraId="09DC659E">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（1）逾期上传的</w:t>
      </w:r>
      <w:r>
        <w:rPr>
          <w:rFonts w:hint="eastAsia" w:ascii="仿宋" w:hAnsi="仿宋" w:eastAsia="仿宋" w:cs="仿宋"/>
          <w:bCs/>
          <w:color w:val="auto"/>
          <w:sz w:val="24"/>
          <w:szCs w:val="24"/>
          <w:highlight w:val="none"/>
          <w:lang w:eastAsia="zh-CN"/>
        </w:rPr>
        <w:t>投标文件</w:t>
      </w:r>
      <w:r>
        <w:rPr>
          <w:rFonts w:hint="eastAsia" w:ascii="仿宋" w:hAnsi="仿宋" w:eastAsia="仿宋" w:cs="仿宋"/>
          <w:bCs/>
          <w:color w:val="auto"/>
          <w:sz w:val="24"/>
          <w:szCs w:val="24"/>
          <w:highlight w:val="none"/>
        </w:rPr>
        <w:t>；</w:t>
      </w:r>
    </w:p>
    <w:p w14:paraId="28E841ED">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（2）未上传指定地点的</w:t>
      </w:r>
      <w:r>
        <w:rPr>
          <w:rFonts w:hint="eastAsia" w:ascii="仿宋" w:hAnsi="仿宋" w:eastAsia="仿宋" w:cs="仿宋"/>
          <w:bCs/>
          <w:color w:val="auto"/>
          <w:sz w:val="24"/>
          <w:szCs w:val="24"/>
          <w:highlight w:val="none"/>
          <w:lang w:eastAsia="zh-CN"/>
        </w:rPr>
        <w:t>投标文件；</w:t>
      </w:r>
    </w:p>
    <w:p w14:paraId="021D568D">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）未按要求加密的</w:t>
      </w:r>
      <w:r>
        <w:rPr>
          <w:rFonts w:hint="eastAsia" w:ascii="仿宋" w:hAnsi="仿宋" w:eastAsia="仿宋" w:cs="仿宋"/>
          <w:bCs/>
          <w:color w:val="auto"/>
          <w:sz w:val="24"/>
          <w:szCs w:val="24"/>
          <w:highlight w:val="none"/>
          <w:lang w:eastAsia="zh-CN"/>
        </w:rPr>
        <w:t>投标文件；</w:t>
      </w:r>
    </w:p>
    <w:p w14:paraId="3616039B">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）未</w:t>
      </w:r>
      <w:r>
        <w:rPr>
          <w:rFonts w:hint="eastAsia" w:ascii="仿宋" w:hAnsi="仿宋" w:eastAsia="仿宋" w:cs="仿宋"/>
          <w:bCs/>
          <w:color w:val="auto"/>
          <w:sz w:val="24"/>
          <w:szCs w:val="24"/>
          <w:highlight w:val="none"/>
          <w:lang w:val="en-US" w:eastAsia="zh-CN"/>
        </w:rPr>
        <w:t>在规定时间内解密的</w:t>
      </w:r>
      <w:r>
        <w:rPr>
          <w:rFonts w:hint="eastAsia" w:ascii="仿宋" w:hAnsi="仿宋" w:eastAsia="仿宋" w:cs="仿宋"/>
          <w:bCs/>
          <w:color w:val="auto"/>
          <w:sz w:val="24"/>
          <w:szCs w:val="24"/>
          <w:highlight w:val="none"/>
          <w:lang w:eastAsia="zh-CN"/>
        </w:rPr>
        <w:t>投标文件</w:t>
      </w:r>
      <w:r>
        <w:rPr>
          <w:rFonts w:hint="eastAsia" w:ascii="仿宋" w:hAnsi="仿宋" w:eastAsia="仿宋" w:cs="仿宋"/>
          <w:bCs/>
          <w:color w:val="auto"/>
          <w:sz w:val="24"/>
          <w:szCs w:val="24"/>
          <w:highlight w:val="none"/>
        </w:rPr>
        <w:t>。</w:t>
      </w:r>
    </w:p>
    <w:p w14:paraId="497D10D6">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4.4投标文件的修改与撤回</w:t>
      </w:r>
    </w:p>
    <w:p w14:paraId="0FF9CBB0">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4.4.1投标人应在投标须知前附表中规定的截止时间前，可以撤回已上传的投标文件。如要修改，必须在撤回并修改后在规定的投标文件递交截止时间之前将修改后的投标文件再重新上传。在投标文件递交截止时间之后，投标人不得对上传的投标文件撤销或修改。</w:t>
      </w:r>
    </w:p>
    <w:p w14:paraId="05C36AE6">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4.5投标文件格式</w:t>
      </w:r>
    </w:p>
    <w:p w14:paraId="028E53EC">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4.5.1投标文件格式见第五章。</w:t>
      </w:r>
    </w:p>
    <w:p w14:paraId="7966EA41">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4.5.2投标人应使用本招标文件后面提供的投标文件格式填写，如不够用时，投标人可按同样格式自行编制和填补，如果本招标文件未提供格式的，投标人可自行编制。</w:t>
      </w:r>
    </w:p>
    <w:p w14:paraId="42BA6FCE">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5" w:name="_Toc8957"/>
      <w:bookmarkStart w:id="26" w:name="_Toc29839"/>
      <w:bookmarkStart w:id="27" w:name="_Toc12971"/>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开标</w:t>
      </w:r>
      <w:bookmarkEnd w:id="24"/>
      <w:bookmarkEnd w:id="25"/>
      <w:bookmarkEnd w:id="26"/>
      <w:bookmarkEnd w:id="27"/>
    </w:p>
    <w:p w14:paraId="3B86860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 开标时间和地点</w:t>
      </w:r>
    </w:p>
    <w:p w14:paraId="6DBCDF3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采购人或采购代理机构将在投标人须知前附表规定的时间、地点公开开标，所有潜在投标人均可</w:t>
      </w:r>
      <w:r>
        <w:rPr>
          <w:rFonts w:hint="eastAsia" w:ascii="仿宋" w:hAnsi="仿宋" w:eastAsia="仿宋" w:cs="仿宋"/>
          <w:color w:val="auto"/>
          <w:sz w:val="24"/>
          <w:szCs w:val="24"/>
          <w:highlight w:val="none"/>
        </w:rPr>
        <w:t>登录政采云平台https://www.zcygov.cn/，进入“项目采购-开标评标-右边选择对应项目点击“进入项目”进入开标大厅。</w:t>
      </w:r>
    </w:p>
    <w:p w14:paraId="57A1797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 开标程序</w:t>
      </w:r>
    </w:p>
    <w:p w14:paraId="5DDA552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按下列程序进行开标：</w:t>
      </w:r>
    </w:p>
    <w:p w14:paraId="782B39F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（1）投标人解密投标文件</w:t>
      </w:r>
    </w:p>
    <w:p w14:paraId="52CE789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（2）唱标</w:t>
      </w:r>
    </w:p>
    <w:p w14:paraId="5746D14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（3）投标人确认</w:t>
      </w:r>
    </w:p>
    <w:p w14:paraId="7B93070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（4）开标结束</w:t>
      </w:r>
    </w:p>
    <w:p w14:paraId="0A3496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14:paraId="728C91D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8" w:name="_BookMark_9"/>
      <w:bookmarkEnd w:id="28"/>
      <w:bookmarkStart w:id="29" w:name="_Toc14199"/>
      <w:bookmarkStart w:id="30" w:name="_Toc31963"/>
      <w:bookmarkStart w:id="31" w:name="_Toc535592200"/>
      <w:bookmarkStart w:id="32" w:name="_Toc19496"/>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评标</w:t>
      </w:r>
      <w:bookmarkEnd w:id="29"/>
      <w:bookmarkEnd w:id="30"/>
      <w:bookmarkEnd w:id="31"/>
      <w:bookmarkEnd w:id="32"/>
    </w:p>
    <w:p w14:paraId="6643B4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 评标委员会</w:t>
      </w:r>
    </w:p>
    <w:p w14:paraId="3456738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6.1.1 评标由采购人按照《政府采购评标专家管理办法》财库〔2016〕198号，依法组建的评标委员会负责。评标委员会由采购人熟悉相关业务的代表，以及有关技术、经济等方面的专家组成。</w:t>
      </w:r>
    </w:p>
    <w:p w14:paraId="2064B3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6.1.2 评标委员会成员有下列情形之一的，应当回避：</w:t>
      </w:r>
    </w:p>
    <w:p w14:paraId="47D25FC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（1）参加采购活动前三年内,与投标人存在劳动关系,或者担任过投标人的董事、监事,或者是投标人的控股股东或实际控制人。</w:t>
      </w:r>
    </w:p>
    <w:p w14:paraId="2CA1FAF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（2）与投标人的法定代表人或者负责人有夫妻、直系血亲、三代以内旁系血亲或者近姻亲关系。</w:t>
      </w:r>
    </w:p>
    <w:p w14:paraId="2A0D30E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（3）与投标人有其他可能影响政府采购活动公平、公正进行的关系。</w:t>
      </w:r>
    </w:p>
    <w:p w14:paraId="34A2333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 评标原则</w:t>
      </w:r>
    </w:p>
    <w:p w14:paraId="72C12A4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评标活动遵循公平、公正、科学和择优的原则。</w:t>
      </w:r>
    </w:p>
    <w:p w14:paraId="26A8FA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6.3 评标</w:t>
      </w:r>
    </w:p>
    <w:p w14:paraId="403D55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评标委员会按照招标文件中规定的方法、评标因素、标准和程序对投标文件进行评标。</w:t>
      </w:r>
    </w:p>
    <w:p w14:paraId="31B49595">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33" w:name="_BookMark_10"/>
      <w:bookmarkEnd w:id="33"/>
      <w:bookmarkStart w:id="34" w:name="_Toc535592201"/>
      <w:bookmarkStart w:id="35" w:name="_Toc19793"/>
      <w:bookmarkStart w:id="36" w:name="_Toc10869"/>
      <w:bookmarkStart w:id="37" w:name="_Toc29135"/>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定标及合同授予</w:t>
      </w:r>
      <w:bookmarkEnd w:id="34"/>
      <w:bookmarkEnd w:id="35"/>
      <w:bookmarkEnd w:id="36"/>
      <w:bookmarkEnd w:id="37"/>
    </w:p>
    <w:p w14:paraId="69420E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1257700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评标委员会按照招标文件中规定的方法、评标因素、标准和程序对投标文件进行评标，并按投标人须知前附表的规定向采购人推荐中标候选人。采购人依据评标委员会推荐的中标候选人确定中标人。</w:t>
      </w:r>
    </w:p>
    <w:p w14:paraId="49760A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7.1.2采购人从中标候选人中确定出中标人的原则：采购人应当确定排名第一的中标候选人为中标人。排名第一的中标候选人放弃中标、因不可抗力不能履行合同、拒绝与采购人签订合同，不按照招标文件要求提交履约保证金、或者被查实存在影响中标结果的违法行为等情形，不符合中标条件的，采购人可以按照评标委员会推荐的中标候选人名单排名依次确定其他中标候选人为中标人。</w:t>
      </w:r>
    </w:p>
    <w:p w14:paraId="0210AFB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7.2中标结果公告</w:t>
      </w:r>
    </w:p>
    <w:p w14:paraId="2F37BF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在公告中标结果的同时，采购人或者采购代理机构向中标人发出中标通知书；对未通过资格审查的投标人，应当告知其未通过的原因。</w:t>
      </w:r>
    </w:p>
    <w:p w14:paraId="64D604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CADD1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在签订合同前，中标人应按投标人须知前附表规定的金额、形式向采购人提交履约保证金。联合体中标的，其履约保证金由牵头人提交，并应符合投标人须知前附表的规定。</w:t>
      </w:r>
    </w:p>
    <w:p w14:paraId="3A2D8E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7.3.2 中标人未按要求提交履约保证金的，视为放弃中标，其投标保证金不予退还；给采购人造成的损失超过投标保证金数额的，中标人还应当对超过部分予以赔偿。</w:t>
      </w:r>
    </w:p>
    <w:p w14:paraId="23919E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182487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7.4.1采购人应当自中标通知书发出之日起30日内，按照招标文件和中标人投标文件的规定，与中标人签订书面合同。</w:t>
      </w:r>
    </w:p>
    <w:p w14:paraId="51730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7.4.2发出中标通知书后，采购人无正当理由拒签合同的，给中标人造成损失的，还应当赔偿中标人损失。</w:t>
      </w:r>
    </w:p>
    <w:p w14:paraId="0C6C4F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7.4.3发出中标通知书后，中标人无正当理由拒签合同的，采购人将取消其中标资格，其投标保证金不予退还；给采购人造成的损失超过投标保证金数额的，中标人还应当对超过部分予以赔偿。</w:t>
      </w:r>
    </w:p>
    <w:p w14:paraId="018EF98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7.4.4</w:t>
      </w:r>
      <w:r>
        <w:rPr>
          <w:rFonts w:hint="eastAsia" w:ascii="仿宋" w:hAnsi="仿宋" w:eastAsia="仿宋" w:cs="仿宋"/>
          <w:color w:val="auto"/>
          <w:kern w:val="0"/>
          <w:sz w:val="24"/>
          <w:szCs w:val="24"/>
          <w:highlight w:val="none"/>
        </w:rPr>
        <w:t xml:space="preserve"> 中标人拒绝与采购人签订合同的，采购人可以按照评标报告推荐的中标候选人名单排序，确定下一候选人为中标人，也可以重新开展政府采购活动。</w:t>
      </w:r>
    </w:p>
    <w:p w14:paraId="5260BA3F">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38" w:name="_BookMark_11"/>
      <w:bookmarkEnd w:id="38"/>
      <w:bookmarkStart w:id="39" w:name="_Toc24040"/>
      <w:bookmarkStart w:id="40" w:name="_Toc14256"/>
      <w:bookmarkStart w:id="41" w:name="_Toc30798"/>
      <w:bookmarkStart w:id="42" w:name="_Toc18355"/>
      <w:bookmarkStart w:id="43" w:name="_Toc535592202"/>
      <w:bookmarkStart w:id="44" w:name="_Toc1461"/>
      <w:r>
        <w:rPr>
          <w:rFonts w:hint="eastAsia" w:ascii="仿宋" w:hAnsi="仿宋" w:eastAsia="仿宋" w:cs="仿宋"/>
          <w:b/>
          <w:color w:val="auto"/>
          <w:sz w:val="24"/>
          <w:szCs w:val="24"/>
          <w:highlight w:val="none"/>
        </w:rPr>
        <w:t>八、纪律和监督</w:t>
      </w:r>
      <w:bookmarkEnd w:id="39"/>
      <w:bookmarkEnd w:id="40"/>
      <w:bookmarkEnd w:id="41"/>
      <w:bookmarkEnd w:id="42"/>
      <w:bookmarkEnd w:id="43"/>
      <w:bookmarkEnd w:id="44"/>
    </w:p>
    <w:p w14:paraId="029865E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8.1 对采购人的纪律要求</w:t>
      </w:r>
    </w:p>
    <w:p w14:paraId="5125DC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采购人不得泄漏招标投标活动中应当保密的情况和资料，不得与投标人串通损害国家利益、社会公共利益或者他人合法权益。</w:t>
      </w:r>
    </w:p>
    <w:p w14:paraId="0C5721B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8.2 对投标人的纪律要求</w:t>
      </w:r>
    </w:p>
    <w:p w14:paraId="7934DA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74669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8.3 对评标委员会成员的纪律要求</w:t>
      </w:r>
    </w:p>
    <w:p w14:paraId="74E970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不得收受他人的财物或者其他好处，不得向他人透露对投标文件的评标和比较、中标候选人的推荐情况以及评标有关的其他情况。在评标活动中，评标委员会成员不得擅离职守，影响评标程序正常进行，不得使用评标办法没有规定的评标因素和标准进行评标。</w:t>
      </w:r>
    </w:p>
    <w:p w14:paraId="511E59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8.4 对与评标活动有关的工作人员的纪律要求</w:t>
      </w:r>
    </w:p>
    <w:p w14:paraId="653DCEC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与评标活动有关的工作人员不得收受他人的财物或者其他好处，不得向他人透露对投标文件的评标和比较、中标候选人的推荐情况以及评标有关的其他情况。在评标活动中，与评标活动有关的工作人员不得擅离职守，影响评标程序正常进行。</w:t>
      </w:r>
    </w:p>
    <w:p w14:paraId="76CD270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8.5 监督</w:t>
      </w:r>
    </w:p>
    <w:p w14:paraId="68840C83">
      <w:pPr>
        <w:widowControl/>
        <w:shd w:val="clear" w:color="auto" w:fill="FFFFFF"/>
        <w:snapToGrid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color w:val="auto"/>
          <w:kern w:val="0"/>
          <w:sz w:val="24"/>
          <w:szCs w:val="24"/>
          <w:highlight w:val="none"/>
        </w:rPr>
        <w:t>本项目的招标投标活动及其相关当事人应当接受有管辖权的监督部门依法实施的监督。</w:t>
      </w:r>
      <w:r>
        <w:rPr>
          <w:rFonts w:hint="eastAsia" w:ascii="仿宋" w:hAnsi="仿宋" w:eastAsia="仿宋" w:cs="仿宋"/>
          <w:bCs/>
          <w:color w:val="auto"/>
          <w:kern w:val="0"/>
          <w:sz w:val="24"/>
          <w:szCs w:val="24"/>
          <w:highlight w:val="none"/>
        </w:rPr>
        <w:br w:type="page"/>
      </w:r>
    </w:p>
    <w:p w14:paraId="7CA5C7D9">
      <w:pPr>
        <w:widowControl/>
        <w:shd w:val="clear" w:color="auto" w:fill="FFFFFF"/>
        <w:snapToGrid w:val="0"/>
        <w:spacing w:line="360" w:lineRule="auto"/>
        <w:jc w:val="center"/>
        <w:outlineLvl w:val="0"/>
        <w:rPr>
          <w:rFonts w:hint="eastAsia" w:ascii="仿宋" w:hAnsi="仿宋" w:eastAsia="仿宋" w:cs="仿宋"/>
          <w:b/>
          <w:color w:val="auto"/>
          <w:sz w:val="24"/>
          <w:szCs w:val="24"/>
          <w:highlight w:val="none"/>
        </w:rPr>
      </w:pPr>
      <w:bookmarkStart w:id="45" w:name="_Toc27112"/>
      <w:r>
        <w:rPr>
          <w:rFonts w:hint="eastAsia" w:ascii="仿宋" w:hAnsi="仿宋" w:eastAsia="仿宋" w:cs="仿宋"/>
          <w:b/>
          <w:color w:val="auto"/>
          <w:sz w:val="24"/>
          <w:szCs w:val="24"/>
          <w:highlight w:val="none"/>
        </w:rPr>
        <w:t>第二章 评标办法</w:t>
      </w:r>
      <w:bookmarkEnd w:id="45"/>
    </w:p>
    <w:p w14:paraId="15080F55">
      <w:pPr>
        <w:keepNext w:val="0"/>
        <w:keepLines w:val="0"/>
        <w:pageBreakBefore w:val="0"/>
        <w:widowControl w:val="0"/>
        <w:tabs>
          <w:tab w:val="center" w:pos="4832"/>
          <w:tab w:val="left" w:pos="7140"/>
        </w:tabs>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color w:val="auto"/>
          <w:sz w:val="24"/>
          <w:szCs w:val="24"/>
          <w:highlight w:val="none"/>
        </w:rPr>
      </w:pPr>
      <w:bookmarkStart w:id="46" w:name="_BookMark_1"/>
      <w:bookmarkEnd w:id="46"/>
      <w:bookmarkStart w:id="47" w:name="_Toc58342531"/>
      <w:bookmarkStart w:id="48" w:name="_Toc4686"/>
      <w:bookmarkStart w:id="49" w:name="_Toc501719166"/>
      <w:r>
        <w:rPr>
          <w:rFonts w:hint="eastAsia" w:ascii="仿宋" w:hAnsi="仿宋" w:eastAsia="仿宋" w:cs="仿宋"/>
          <w:b/>
          <w:color w:val="auto"/>
          <w:sz w:val="24"/>
          <w:szCs w:val="24"/>
          <w:highlight w:val="none"/>
        </w:rPr>
        <w:t>评审办法前附表</w:t>
      </w:r>
      <w:bookmarkEnd w:id="47"/>
      <w:bookmarkEnd w:id="48"/>
    </w:p>
    <w:tbl>
      <w:tblPr>
        <w:tblStyle w:val="39"/>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2783"/>
        <w:gridCol w:w="5744"/>
      </w:tblGrid>
      <w:tr w14:paraId="470D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7DD54F1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783" w:type="dxa"/>
            <w:tcMar>
              <w:top w:w="0" w:type="dxa"/>
              <w:left w:w="28" w:type="dxa"/>
              <w:bottom w:w="0" w:type="dxa"/>
              <w:right w:w="28" w:type="dxa"/>
            </w:tcMar>
            <w:vAlign w:val="center"/>
          </w:tcPr>
          <w:p w14:paraId="06C6CB0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条款内容</w:t>
            </w:r>
          </w:p>
        </w:tc>
        <w:tc>
          <w:tcPr>
            <w:tcW w:w="5744" w:type="dxa"/>
            <w:tcMar>
              <w:top w:w="0" w:type="dxa"/>
              <w:left w:w="28" w:type="dxa"/>
              <w:bottom w:w="0" w:type="dxa"/>
              <w:right w:w="28" w:type="dxa"/>
            </w:tcMar>
            <w:vAlign w:val="center"/>
          </w:tcPr>
          <w:p w14:paraId="6597201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编列内容</w:t>
            </w:r>
          </w:p>
        </w:tc>
      </w:tr>
      <w:tr w14:paraId="0624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612" w:type="dxa"/>
            <w:tcMar>
              <w:top w:w="0" w:type="dxa"/>
              <w:left w:w="28" w:type="dxa"/>
              <w:bottom w:w="0" w:type="dxa"/>
              <w:right w:w="28" w:type="dxa"/>
            </w:tcMar>
            <w:vAlign w:val="center"/>
          </w:tcPr>
          <w:p w14:paraId="2AFE325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783" w:type="dxa"/>
            <w:tcMar>
              <w:top w:w="0" w:type="dxa"/>
              <w:left w:w="28" w:type="dxa"/>
              <w:bottom w:w="0" w:type="dxa"/>
              <w:right w:w="28" w:type="dxa"/>
            </w:tcMar>
            <w:vAlign w:val="center"/>
          </w:tcPr>
          <w:p w14:paraId="78822EA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分值构成</w:t>
            </w:r>
          </w:p>
          <w:p w14:paraId="067953B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(总分100分)</w:t>
            </w:r>
          </w:p>
        </w:tc>
        <w:tc>
          <w:tcPr>
            <w:tcW w:w="5744" w:type="dxa"/>
            <w:tcMar>
              <w:top w:w="0" w:type="dxa"/>
              <w:left w:w="28" w:type="dxa"/>
              <w:bottom w:w="0" w:type="dxa"/>
              <w:right w:w="28" w:type="dxa"/>
            </w:tcMar>
            <w:vAlign w:val="center"/>
          </w:tcPr>
          <w:p w14:paraId="02FBDDD5">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1.详细评审部分</w:t>
            </w:r>
            <w:r>
              <w:rPr>
                <w:rFonts w:hint="eastAsia" w:ascii="仿宋" w:hAnsi="仿宋" w:eastAsia="仿宋" w:cs="仿宋"/>
                <w:color w:val="auto"/>
                <w:szCs w:val="21"/>
                <w:highlight w:val="none"/>
                <w:lang w:val="en-US" w:eastAsia="zh-CN"/>
              </w:rPr>
              <w:t>90</w:t>
            </w:r>
            <w:r>
              <w:rPr>
                <w:rFonts w:hint="eastAsia" w:ascii="仿宋" w:hAnsi="仿宋" w:eastAsia="仿宋" w:cs="仿宋"/>
                <w:color w:val="auto"/>
                <w:szCs w:val="21"/>
                <w:highlight w:val="none"/>
              </w:rPr>
              <w:t>分</w:t>
            </w:r>
          </w:p>
          <w:p w14:paraId="71090DC9">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2.投标报价部分</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分</w:t>
            </w:r>
          </w:p>
        </w:tc>
      </w:tr>
      <w:tr w14:paraId="6101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7" w:hRule="atLeast"/>
          <w:jc w:val="center"/>
        </w:trPr>
        <w:tc>
          <w:tcPr>
            <w:tcW w:w="612" w:type="dxa"/>
            <w:tcMar>
              <w:top w:w="0" w:type="dxa"/>
              <w:left w:w="28" w:type="dxa"/>
              <w:bottom w:w="0" w:type="dxa"/>
              <w:right w:w="28" w:type="dxa"/>
            </w:tcMar>
            <w:vAlign w:val="center"/>
          </w:tcPr>
          <w:p w14:paraId="717AFDE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783" w:type="dxa"/>
            <w:tcMar>
              <w:top w:w="0" w:type="dxa"/>
              <w:left w:w="28" w:type="dxa"/>
              <w:bottom w:w="0" w:type="dxa"/>
              <w:right w:w="28" w:type="dxa"/>
            </w:tcMar>
            <w:vAlign w:val="center"/>
          </w:tcPr>
          <w:p w14:paraId="4A25573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w:t>
            </w:r>
          </w:p>
        </w:tc>
        <w:tc>
          <w:tcPr>
            <w:tcW w:w="5744" w:type="dxa"/>
            <w:tcMar>
              <w:top w:w="0" w:type="dxa"/>
              <w:left w:w="28" w:type="dxa"/>
              <w:bottom w:w="0" w:type="dxa"/>
              <w:right w:w="28" w:type="dxa"/>
            </w:tcMar>
            <w:vAlign w:val="center"/>
          </w:tcPr>
          <w:p w14:paraId="172E7DA3">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详见《资格审查标准》</w:t>
            </w:r>
          </w:p>
        </w:tc>
      </w:tr>
      <w:tr w14:paraId="1FE1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47E452C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783" w:type="dxa"/>
            <w:tcMar>
              <w:top w:w="0" w:type="dxa"/>
              <w:left w:w="28" w:type="dxa"/>
              <w:bottom w:w="0" w:type="dxa"/>
              <w:right w:w="28" w:type="dxa"/>
            </w:tcMar>
            <w:vAlign w:val="center"/>
          </w:tcPr>
          <w:p w14:paraId="3D07D32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完备性及符合性审查</w:t>
            </w:r>
          </w:p>
        </w:tc>
        <w:tc>
          <w:tcPr>
            <w:tcW w:w="5744" w:type="dxa"/>
            <w:tcMar>
              <w:top w:w="0" w:type="dxa"/>
              <w:left w:w="28" w:type="dxa"/>
              <w:bottom w:w="0" w:type="dxa"/>
              <w:right w:w="28" w:type="dxa"/>
            </w:tcMar>
            <w:vAlign w:val="center"/>
          </w:tcPr>
          <w:p w14:paraId="62191333">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w:t>
            </w:r>
            <w:r>
              <w:rPr>
                <w:rFonts w:hint="eastAsia" w:ascii="仿宋" w:hAnsi="仿宋" w:eastAsia="仿宋" w:cs="仿宋"/>
                <w:color w:val="auto"/>
                <w:szCs w:val="21"/>
                <w:highlight w:val="none"/>
                <w:lang w:eastAsia="zh-CN"/>
              </w:rPr>
              <w:t>符合性审查标准</w:t>
            </w:r>
            <w:r>
              <w:rPr>
                <w:rFonts w:hint="eastAsia" w:ascii="仿宋" w:hAnsi="仿宋" w:eastAsia="仿宋" w:cs="仿宋"/>
                <w:color w:val="auto"/>
                <w:szCs w:val="21"/>
                <w:highlight w:val="none"/>
              </w:rPr>
              <w:t>》</w:t>
            </w:r>
          </w:p>
        </w:tc>
      </w:tr>
      <w:tr w14:paraId="5DA7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shd w:val="clear" w:color="auto" w:fill="auto"/>
            <w:tcMar>
              <w:top w:w="0" w:type="dxa"/>
              <w:left w:w="28" w:type="dxa"/>
              <w:bottom w:w="0" w:type="dxa"/>
              <w:right w:w="28" w:type="dxa"/>
            </w:tcMar>
            <w:vAlign w:val="center"/>
          </w:tcPr>
          <w:p w14:paraId="68F01544">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4</w:t>
            </w:r>
          </w:p>
        </w:tc>
        <w:tc>
          <w:tcPr>
            <w:tcW w:w="2783" w:type="dxa"/>
            <w:shd w:val="clear" w:color="auto" w:fill="auto"/>
            <w:tcMar>
              <w:top w:w="0" w:type="dxa"/>
              <w:left w:w="28" w:type="dxa"/>
              <w:bottom w:w="0" w:type="dxa"/>
              <w:right w:w="28" w:type="dxa"/>
            </w:tcMar>
            <w:vAlign w:val="center"/>
          </w:tcPr>
          <w:p w14:paraId="21CDAFD1">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详细评审</w:t>
            </w:r>
          </w:p>
        </w:tc>
        <w:tc>
          <w:tcPr>
            <w:tcW w:w="5744" w:type="dxa"/>
            <w:tcMar>
              <w:top w:w="0" w:type="dxa"/>
              <w:left w:w="28" w:type="dxa"/>
              <w:bottom w:w="0" w:type="dxa"/>
              <w:right w:w="28" w:type="dxa"/>
            </w:tcMar>
            <w:vAlign w:val="center"/>
          </w:tcPr>
          <w:p w14:paraId="795A3152">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详见《详细评审标准》及本节第3.</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款</w:t>
            </w:r>
          </w:p>
        </w:tc>
      </w:tr>
    </w:tbl>
    <w:p w14:paraId="1E2E5CA6">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p>
    <w:p w14:paraId="38E504EA">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《资格审查标准》</w:t>
      </w:r>
      <w:bookmarkEnd w:id="49"/>
    </w:p>
    <w:tbl>
      <w:tblPr>
        <w:tblStyle w:val="39"/>
        <w:tblW w:w="52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7"/>
        <w:gridCol w:w="3657"/>
        <w:gridCol w:w="4875"/>
      </w:tblGrid>
      <w:tr w14:paraId="4A28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2" w:type="pct"/>
            <w:vAlign w:val="center"/>
          </w:tcPr>
          <w:p w14:paraId="63256EE1">
            <w:pPr>
              <w:widowControl/>
              <w:shd w:val="clear" w:color="auto" w:fill="FFFFFF"/>
              <w:snapToGrid w:val="0"/>
              <w:spacing w:line="360" w:lineRule="auto"/>
              <w:jc w:val="center"/>
              <w:rPr>
                <w:rFonts w:hint="eastAsia" w:ascii="仿宋" w:hAnsi="仿宋" w:eastAsia="仿宋" w:cs="仿宋"/>
                <w:color w:val="auto"/>
                <w:kern w:val="0"/>
                <w:szCs w:val="24"/>
                <w:highlight w:val="none"/>
              </w:rPr>
            </w:pPr>
            <w:bookmarkStart w:id="50" w:name="_Toc501719167"/>
            <w:r>
              <w:rPr>
                <w:rFonts w:hint="eastAsia" w:ascii="仿宋" w:hAnsi="仿宋" w:eastAsia="仿宋" w:cs="仿宋"/>
                <w:color w:val="auto"/>
                <w:kern w:val="0"/>
                <w:szCs w:val="24"/>
                <w:highlight w:val="none"/>
              </w:rPr>
              <w:t>序号</w:t>
            </w:r>
          </w:p>
        </w:tc>
        <w:tc>
          <w:tcPr>
            <w:tcW w:w="1958" w:type="pct"/>
            <w:vAlign w:val="center"/>
          </w:tcPr>
          <w:p w14:paraId="6222D86E">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2608" w:type="pct"/>
            <w:vAlign w:val="center"/>
          </w:tcPr>
          <w:p w14:paraId="259F385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23A47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2" w:type="pct"/>
            <w:vAlign w:val="center"/>
          </w:tcPr>
          <w:p w14:paraId="0FA6C3E7">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1</w:t>
            </w:r>
          </w:p>
        </w:tc>
        <w:tc>
          <w:tcPr>
            <w:tcW w:w="1958" w:type="pct"/>
            <w:shd w:val="clear" w:color="auto" w:fill="auto"/>
            <w:vAlign w:val="center"/>
          </w:tcPr>
          <w:p w14:paraId="266274DD">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具有独立承担民事责任的能力</w:t>
            </w:r>
            <w:r>
              <w:rPr>
                <w:rFonts w:hint="eastAsia" w:ascii="仿宋" w:hAnsi="仿宋" w:eastAsia="仿宋" w:cs="仿宋"/>
                <w:color w:val="auto"/>
                <w:szCs w:val="21"/>
                <w:highlight w:val="none"/>
                <w:shd w:val="clear" w:color="auto" w:fill="FFFFFF" w:themeFill="background1"/>
                <w:lang w:eastAsia="zh-CN"/>
              </w:rPr>
              <w:t>。</w:t>
            </w:r>
          </w:p>
        </w:tc>
        <w:tc>
          <w:tcPr>
            <w:tcW w:w="2608" w:type="pct"/>
            <w:shd w:val="clear" w:color="auto" w:fill="auto"/>
            <w:vAlign w:val="center"/>
          </w:tcPr>
          <w:p w14:paraId="09DBD08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1、如投标人是企业（包括合伙企业)，应提供在工商部门注册的有效“企业法人营业执照”或“营业执照”;</w:t>
            </w:r>
          </w:p>
          <w:p w14:paraId="7174160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2、如投标人是事业单位，应提供有效的“事业单位法人证书”;</w:t>
            </w:r>
          </w:p>
          <w:p w14:paraId="5B72396B">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3、如投标人是非企业专业服务机构的，应提供执业许可证等证明文件;</w:t>
            </w:r>
          </w:p>
          <w:p w14:paraId="6EAA376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4、如投标人是个体工商户，应提供有效的“个体工商户营业执照”;</w:t>
            </w:r>
          </w:p>
          <w:p w14:paraId="25A7848F">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5、如投标人是自然人，应提供有效的自然人身份证明。</w:t>
            </w:r>
          </w:p>
        </w:tc>
      </w:tr>
      <w:tr w14:paraId="1317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2" w:type="pct"/>
            <w:vAlign w:val="center"/>
          </w:tcPr>
          <w:p w14:paraId="4B31630D">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2</w:t>
            </w:r>
          </w:p>
        </w:tc>
        <w:tc>
          <w:tcPr>
            <w:tcW w:w="1958" w:type="pct"/>
            <w:shd w:val="clear" w:color="auto" w:fill="auto"/>
            <w:vAlign w:val="center"/>
          </w:tcPr>
          <w:p w14:paraId="511AA615">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具有良好的商业信誉和健全的财务会计制度</w:t>
            </w:r>
            <w:r>
              <w:rPr>
                <w:rFonts w:hint="eastAsia" w:ascii="仿宋" w:hAnsi="仿宋" w:eastAsia="仿宋" w:cs="仿宋"/>
                <w:color w:val="auto"/>
                <w:szCs w:val="21"/>
                <w:highlight w:val="none"/>
                <w:shd w:val="clear" w:color="auto" w:fill="FFFFFF" w:themeFill="background1"/>
                <w:lang w:eastAsia="zh-CN"/>
              </w:rPr>
              <w:t>。</w:t>
            </w:r>
          </w:p>
        </w:tc>
        <w:tc>
          <w:tcPr>
            <w:tcW w:w="2608" w:type="pct"/>
            <w:shd w:val="clear" w:color="auto" w:fill="auto"/>
            <w:vAlign w:val="center"/>
          </w:tcPr>
          <w:p w14:paraId="276C0F5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满足下述一条要求即可：</w:t>
            </w:r>
          </w:p>
          <w:p w14:paraId="22BB492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要求1、经审计的财务报告（</w:t>
            </w:r>
            <w:r>
              <w:rPr>
                <w:rFonts w:hint="eastAsia" w:ascii="仿宋" w:hAnsi="仿宋" w:eastAsia="仿宋" w:cs="仿宋"/>
                <w:color w:val="auto"/>
                <w:kern w:val="0"/>
                <w:szCs w:val="24"/>
                <w:highlight w:val="none"/>
                <w:lang w:eastAsia="zh-CN"/>
              </w:rPr>
              <w:t>2024年度或2025年度</w:t>
            </w:r>
            <w:r>
              <w:rPr>
                <w:rFonts w:hint="eastAsia" w:ascii="仿宋" w:hAnsi="仿宋" w:eastAsia="仿宋" w:cs="仿宋"/>
                <w:color w:val="auto"/>
                <w:kern w:val="0"/>
                <w:szCs w:val="24"/>
                <w:highlight w:val="none"/>
              </w:rPr>
              <w:t>，包括“四表-注”，即资产负债表、利润表、现金流量表、所有者权益变动表及其附注）或银行出具的资信证明（投标文件递交截止之日前六个月内任意一个月</w:t>
            </w:r>
            <w:r>
              <w:rPr>
                <w:rFonts w:hint="eastAsia" w:ascii="仿宋" w:hAnsi="仿宋" w:eastAsia="仿宋" w:cs="仿宋"/>
                <w:color w:val="auto"/>
                <w:kern w:val="0"/>
                <w:szCs w:val="24"/>
                <w:highlight w:val="none"/>
                <w:lang w:eastAsia="zh-CN"/>
              </w:rPr>
              <w:t>，</w:t>
            </w:r>
            <w:r>
              <w:rPr>
                <w:rFonts w:hint="eastAsia" w:ascii="仿宋" w:hAnsi="仿宋" w:eastAsia="仿宋" w:cs="仿宋"/>
                <w:color w:val="auto"/>
                <w:kern w:val="0"/>
                <w:szCs w:val="24"/>
                <w:highlight w:val="none"/>
                <w:lang w:val="en-US" w:eastAsia="zh-CN"/>
              </w:rPr>
              <w:t>不限制采购人主体</w:t>
            </w:r>
            <w:r>
              <w:rPr>
                <w:rFonts w:hint="eastAsia" w:ascii="仿宋" w:hAnsi="仿宋" w:eastAsia="仿宋" w:cs="仿宋"/>
                <w:color w:val="auto"/>
                <w:kern w:val="0"/>
                <w:szCs w:val="24"/>
                <w:highlight w:val="none"/>
              </w:rPr>
              <w:t>）。</w:t>
            </w:r>
          </w:p>
          <w:p w14:paraId="21311878">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rPr>
              <w:t>要求2、成立不足</w:t>
            </w:r>
            <w:r>
              <w:rPr>
                <w:rFonts w:hint="eastAsia" w:ascii="仿宋" w:hAnsi="仿宋" w:eastAsia="仿宋" w:cs="仿宋"/>
                <w:color w:val="auto"/>
                <w:kern w:val="0"/>
                <w:szCs w:val="24"/>
                <w:highlight w:val="none"/>
                <w:lang w:val="en-US" w:eastAsia="zh-CN"/>
              </w:rPr>
              <w:t>六</w:t>
            </w:r>
            <w:r>
              <w:rPr>
                <w:rFonts w:hint="eastAsia" w:ascii="仿宋" w:hAnsi="仿宋" w:eastAsia="仿宋" w:cs="仿宋"/>
                <w:color w:val="auto"/>
                <w:kern w:val="0"/>
                <w:szCs w:val="24"/>
                <w:highlight w:val="none"/>
              </w:rPr>
              <w:t>个月（以投标文件递交截止之日为期限）的投标人无需提供。</w:t>
            </w:r>
          </w:p>
        </w:tc>
      </w:tr>
      <w:tr w14:paraId="32A37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2" w:type="pct"/>
            <w:vAlign w:val="center"/>
          </w:tcPr>
          <w:p w14:paraId="0601F3D9">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3</w:t>
            </w:r>
          </w:p>
        </w:tc>
        <w:tc>
          <w:tcPr>
            <w:tcW w:w="1958" w:type="pct"/>
            <w:shd w:val="clear" w:color="auto" w:fill="auto"/>
            <w:vAlign w:val="center"/>
          </w:tcPr>
          <w:p w14:paraId="247B387D">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具有履行合同所必需的设备和专业技术能力</w:t>
            </w:r>
            <w:r>
              <w:rPr>
                <w:rFonts w:hint="eastAsia" w:ascii="仿宋" w:hAnsi="仿宋" w:eastAsia="仿宋" w:cs="仿宋"/>
                <w:color w:val="auto"/>
                <w:szCs w:val="21"/>
                <w:highlight w:val="none"/>
                <w:shd w:val="clear" w:color="auto" w:fill="FFFFFF" w:themeFill="background1"/>
                <w:lang w:eastAsia="zh-CN"/>
              </w:rPr>
              <w:t>。</w:t>
            </w:r>
          </w:p>
        </w:tc>
        <w:tc>
          <w:tcPr>
            <w:tcW w:w="2608" w:type="pct"/>
            <w:shd w:val="clear" w:color="auto" w:fill="auto"/>
            <w:vAlign w:val="center"/>
          </w:tcPr>
          <w:p w14:paraId="670BF9AE">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提供《具有履行合同所必需的设备和专业技术能力的承诺函》，加盖投标人章。</w:t>
            </w:r>
          </w:p>
        </w:tc>
      </w:tr>
      <w:tr w14:paraId="28F3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2" w:type="pct"/>
            <w:vAlign w:val="center"/>
          </w:tcPr>
          <w:p w14:paraId="1D85476E">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4</w:t>
            </w:r>
          </w:p>
        </w:tc>
        <w:tc>
          <w:tcPr>
            <w:tcW w:w="1958" w:type="pct"/>
            <w:shd w:val="clear" w:color="auto" w:fill="auto"/>
            <w:vAlign w:val="center"/>
          </w:tcPr>
          <w:p w14:paraId="3C1EE9E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有依法缴纳税收和社会保障资金的良好记录</w:t>
            </w:r>
            <w:r>
              <w:rPr>
                <w:rFonts w:hint="eastAsia" w:ascii="仿宋" w:hAnsi="仿宋" w:eastAsia="仿宋" w:cs="仿宋"/>
                <w:color w:val="auto"/>
                <w:szCs w:val="21"/>
                <w:highlight w:val="none"/>
                <w:shd w:val="clear" w:color="auto" w:fill="FFFFFF" w:themeFill="background1"/>
                <w:lang w:eastAsia="zh-CN"/>
              </w:rPr>
              <w:t>。</w:t>
            </w:r>
          </w:p>
        </w:tc>
        <w:tc>
          <w:tcPr>
            <w:tcW w:w="2608" w:type="pct"/>
            <w:shd w:val="clear" w:color="auto" w:fill="auto"/>
            <w:vAlign w:val="center"/>
          </w:tcPr>
          <w:p w14:paraId="1634592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1、依法缴纳税收的证明材料：</w:t>
            </w:r>
          </w:p>
          <w:p w14:paraId="3D67570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投标人参加政府采购活动前一段时间（投标文件递交截止之日前六个月内任一个月）内缴纳税收的完税凭证（指各种完税证、缴款书、印花税票、扣（收）税凭证以及其他完税证明，提供上述任意一种即可）。</w:t>
            </w:r>
          </w:p>
          <w:p w14:paraId="28FCA86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2、依法缴纳社会保障资金的证明材料：</w:t>
            </w:r>
          </w:p>
          <w:p w14:paraId="2A01CCA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3EE8ECE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3、依法免税或不需要缴纳社会保障资金的投标人，应提供相应文件证明其依法免税或不需要缴纳社会保障资金。</w:t>
            </w:r>
          </w:p>
        </w:tc>
      </w:tr>
      <w:tr w14:paraId="42F6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2" w:type="pct"/>
            <w:vAlign w:val="center"/>
          </w:tcPr>
          <w:p w14:paraId="6E9046E6">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5</w:t>
            </w:r>
          </w:p>
        </w:tc>
        <w:tc>
          <w:tcPr>
            <w:tcW w:w="1958" w:type="pct"/>
            <w:shd w:val="clear" w:color="auto" w:fill="auto"/>
            <w:vAlign w:val="center"/>
          </w:tcPr>
          <w:p w14:paraId="2FAEA4B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r>
              <w:rPr>
                <w:rFonts w:hint="eastAsia" w:ascii="仿宋" w:hAnsi="仿宋" w:eastAsia="仿宋" w:cs="仿宋"/>
                <w:color w:val="auto"/>
                <w:szCs w:val="21"/>
                <w:highlight w:val="none"/>
                <w:shd w:val="clear" w:color="auto" w:fill="FFFFFF" w:themeFill="background1"/>
                <w:lang w:eastAsia="zh-CN"/>
              </w:rPr>
              <w:t>。</w:t>
            </w:r>
          </w:p>
        </w:tc>
        <w:tc>
          <w:tcPr>
            <w:tcW w:w="2608" w:type="pct"/>
            <w:shd w:val="clear" w:color="auto" w:fill="auto"/>
            <w:vAlign w:val="center"/>
          </w:tcPr>
          <w:p w14:paraId="2E1DDE1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szCs w:val="24"/>
                <w:highlight w:val="none"/>
                <w:lang w:val="en-US" w:eastAsia="zh-CN"/>
              </w:rPr>
              <w:t>提供《参加政府采购活动前3年内在经营活动中没有重大违法记录的书面声明》，加盖投标人章。</w:t>
            </w:r>
          </w:p>
        </w:tc>
      </w:tr>
      <w:tr w14:paraId="36BFD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2" w:type="pct"/>
            <w:vAlign w:val="center"/>
          </w:tcPr>
          <w:p w14:paraId="0D90C459">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6</w:t>
            </w:r>
          </w:p>
        </w:tc>
        <w:tc>
          <w:tcPr>
            <w:tcW w:w="1958" w:type="pct"/>
            <w:shd w:val="clear" w:color="auto" w:fill="auto"/>
            <w:vAlign w:val="center"/>
          </w:tcPr>
          <w:p w14:paraId="75CBEF9D">
            <w:pPr>
              <w:spacing w:line="360" w:lineRule="auto"/>
              <w:jc w:val="left"/>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val="en-US" w:eastAsia="zh-CN"/>
              </w:rPr>
              <w:t>投标人</w:t>
            </w:r>
            <w:r>
              <w:rPr>
                <w:rFonts w:hint="eastAsia" w:ascii="仿宋" w:hAnsi="仿宋" w:eastAsia="仿宋" w:cs="仿宋"/>
                <w:color w:val="auto"/>
                <w:kern w:val="0"/>
                <w:szCs w:val="21"/>
                <w:highlight w:val="none"/>
                <w:shd w:val="clear" w:color="auto" w:fill="FFFFFF" w:themeFill="background1"/>
                <w:lang w:eastAsia="zh-CN"/>
              </w:rPr>
              <w:t>为中小企业</w:t>
            </w:r>
            <w:r>
              <w:rPr>
                <w:rFonts w:hint="eastAsia" w:ascii="仿宋" w:hAnsi="仿宋" w:eastAsia="仿宋" w:cs="仿宋"/>
                <w:color w:val="auto"/>
                <w:kern w:val="0"/>
                <w:szCs w:val="21"/>
                <w:highlight w:val="none"/>
                <w:shd w:val="clear" w:color="auto" w:fill="FFFFFF" w:themeFill="background1"/>
              </w:rPr>
              <w:t>。</w:t>
            </w:r>
          </w:p>
        </w:tc>
        <w:tc>
          <w:tcPr>
            <w:tcW w:w="2608" w:type="pct"/>
            <w:shd w:val="clear" w:color="auto" w:fill="auto"/>
            <w:vAlign w:val="center"/>
          </w:tcPr>
          <w:p w14:paraId="6FA04A8A">
            <w:pPr>
              <w:keepNext w:val="0"/>
              <w:keepLines w:val="0"/>
              <w:pageBreakBefore w:val="0"/>
              <w:widowControl w:val="0"/>
              <w:kinsoku/>
              <w:wordWrap/>
              <w:overflowPunct/>
              <w:topLinePunct w:val="0"/>
              <w:autoSpaceDE/>
              <w:autoSpaceDN/>
              <w:bidi w:val="0"/>
              <w:adjustRightInd/>
              <w:snapToGrid/>
              <w:spacing w:line="360" w:lineRule="auto"/>
              <w:ind w:firstLine="210" w:firstLineChars="100"/>
              <w:jc w:val="left"/>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4"/>
                <w:highlight w:val="none"/>
                <w:lang w:val="en-US" w:eastAsia="zh-CN" w:bidi="ar-SA"/>
              </w:rPr>
              <w:t>按招标文件要求提供声明函，</w:t>
            </w:r>
            <w:r>
              <w:rPr>
                <w:rFonts w:hint="eastAsia" w:ascii="仿宋" w:hAnsi="仿宋" w:eastAsia="仿宋" w:cs="仿宋"/>
                <w:color w:val="auto"/>
                <w:kern w:val="0"/>
                <w:szCs w:val="21"/>
                <w:highlight w:val="none"/>
              </w:rPr>
              <w:t>加盖</w:t>
            </w:r>
            <w:r>
              <w:rPr>
                <w:rFonts w:hint="eastAsia" w:ascii="仿宋" w:hAnsi="仿宋" w:eastAsia="仿宋" w:cs="仿宋"/>
                <w:color w:val="auto"/>
                <w:kern w:val="0"/>
                <w:szCs w:val="24"/>
                <w:highlight w:val="none"/>
                <w:lang w:val="en-US" w:eastAsia="zh-CN"/>
              </w:rPr>
              <w:t>投标人</w:t>
            </w:r>
            <w:r>
              <w:rPr>
                <w:rFonts w:hint="eastAsia" w:ascii="仿宋" w:hAnsi="仿宋" w:eastAsia="仿宋" w:cs="仿宋"/>
                <w:color w:val="auto"/>
                <w:kern w:val="0"/>
                <w:szCs w:val="21"/>
                <w:highlight w:val="none"/>
                <w:lang w:eastAsia="zh-CN"/>
              </w:rPr>
              <w:t>章</w:t>
            </w:r>
            <w:r>
              <w:rPr>
                <w:rFonts w:hint="eastAsia" w:ascii="仿宋" w:hAnsi="仿宋" w:eastAsia="仿宋" w:cs="仿宋"/>
                <w:color w:val="auto"/>
                <w:kern w:val="0"/>
                <w:sz w:val="21"/>
                <w:szCs w:val="24"/>
                <w:highlight w:val="none"/>
                <w:lang w:val="en-US" w:eastAsia="zh-CN" w:bidi="ar-SA"/>
              </w:rPr>
              <w:t>。</w:t>
            </w:r>
          </w:p>
        </w:tc>
      </w:tr>
      <w:tr w14:paraId="46E6C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2" w:type="pct"/>
            <w:vAlign w:val="center"/>
          </w:tcPr>
          <w:p w14:paraId="054DEF25">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7</w:t>
            </w:r>
          </w:p>
        </w:tc>
        <w:tc>
          <w:tcPr>
            <w:tcW w:w="1958" w:type="pct"/>
            <w:shd w:val="clear" w:color="auto" w:fill="auto"/>
            <w:vAlign w:val="center"/>
          </w:tcPr>
          <w:p w14:paraId="3C302998">
            <w:pPr>
              <w:spacing w:line="360" w:lineRule="auto"/>
              <w:jc w:val="left"/>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tc>
        <w:tc>
          <w:tcPr>
            <w:tcW w:w="2608" w:type="pct"/>
            <w:shd w:val="clear" w:color="auto" w:fill="auto"/>
            <w:vAlign w:val="center"/>
          </w:tcPr>
          <w:p w14:paraId="76456561">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以采购人或者采购代理机构查询记录为准。</w:t>
            </w:r>
          </w:p>
        </w:tc>
      </w:tr>
      <w:tr w14:paraId="10EF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5000" w:type="pct"/>
            <w:gridSpan w:val="3"/>
            <w:vAlign w:val="center"/>
          </w:tcPr>
          <w:p w14:paraId="6C807894">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 如果资格评审中有一项不满足审查标准的，采购人将认定该投标人不通过资格审查，投标文件将被拒绝评审。并且不允许投标人通过修改或撤销其不符合要求的差异或保留，使之成为具有响应性的投标。</w:t>
            </w:r>
          </w:p>
        </w:tc>
      </w:tr>
    </w:tbl>
    <w:p w14:paraId="659BFE68">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p>
    <w:p w14:paraId="2967AA62">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w:t>
      </w:r>
      <w:r>
        <w:rPr>
          <w:rFonts w:hint="eastAsia" w:ascii="仿宋" w:hAnsi="仿宋" w:eastAsia="仿宋" w:cs="仿宋"/>
          <w:b/>
          <w:color w:val="auto"/>
          <w:kern w:val="0"/>
          <w:sz w:val="24"/>
          <w:szCs w:val="24"/>
          <w:highlight w:val="none"/>
          <w:lang w:eastAsia="zh-CN"/>
        </w:rPr>
        <w:t>符合性审查标准</w:t>
      </w:r>
      <w:r>
        <w:rPr>
          <w:rFonts w:hint="eastAsia" w:ascii="仿宋" w:hAnsi="仿宋" w:eastAsia="仿宋" w:cs="仿宋"/>
          <w:b/>
          <w:color w:val="auto"/>
          <w:kern w:val="0"/>
          <w:sz w:val="24"/>
          <w:szCs w:val="24"/>
          <w:highlight w:val="none"/>
        </w:rPr>
        <w:t>》</w:t>
      </w:r>
      <w:bookmarkEnd w:id="50"/>
    </w:p>
    <w:tbl>
      <w:tblPr>
        <w:tblStyle w:val="39"/>
        <w:tblW w:w="9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2"/>
        <w:gridCol w:w="4834"/>
        <w:gridCol w:w="3745"/>
      </w:tblGrid>
      <w:tr w14:paraId="4F90C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33CD07A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4834" w:type="dxa"/>
            <w:vAlign w:val="center"/>
          </w:tcPr>
          <w:p w14:paraId="6B984298">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3745" w:type="dxa"/>
            <w:vAlign w:val="center"/>
          </w:tcPr>
          <w:p w14:paraId="035A93B0">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2B44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2B132F3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4834" w:type="dxa"/>
            <w:vAlign w:val="center"/>
          </w:tcPr>
          <w:p w14:paraId="293DE452">
            <w:pPr>
              <w:widowControl/>
              <w:shd w:val="clear" w:color="auto" w:fill="FFFFFF"/>
              <w:snapToGrid w:val="0"/>
              <w:spacing w:line="360" w:lineRule="auto"/>
              <w:jc w:val="both"/>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投标文件必须按招标文件要求加盖</w:t>
            </w:r>
            <w:r>
              <w:rPr>
                <w:rFonts w:hint="eastAsia" w:ascii="仿宋" w:hAnsi="仿宋" w:eastAsia="仿宋" w:cs="仿宋"/>
                <w:color w:val="auto"/>
                <w:kern w:val="0"/>
                <w:szCs w:val="24"/>
                <w:highlight w:val="none"/>
                <w:lang w:eastAsia="zh-CN"/>
              </w:rPr>
              <w:t>投标人章</w:t>
            </w:r>
            <w:r>
              <w:rPr>
                <w:rFonts w:hint="eastAsia" w:ascii="仿宋" w:hAnsi="仿宋" w:eastAsia="仿宋" w:cs="仿宋"/>
                <w:color w:val="auto"/>
                <w:kern w:val="0"/>
                <w:szCs w:val="24"/>
                <w:highlight w:val="none"/>
              </w:rPr>
              <w:t>、</w:t>
            </w:r>
            <w:r>
              <w:rPr>
                <w:rFonts w:hint="eastAsia" w:ascii="仿宋" w:hAnsi="仿宋" w:eastAsia="仿宋" w:cs="仿宋"/>
                <w:color w:val="auto"/>
                <w:kern w:val="0"/>
                <w:szCs w:val="24"/>
                <w:highlight w:val="none"/>
                <w:lang w:eastAsia="zh-CN"/>
              </w:rPr>
              <w:t>法定代表人章（或签字）</w:t>
            </w:r>
            <w:r>
              <w:rPr>
                <w:rFonts w:hint="eastAsia" w:ascii="仿宋" w:hAnsi="仿宋" w:eastAsia="仿宋" w:cs="仿宋"/>
                <w:color w:val="auto"/>
                <w:kern w:val="0"/>
                <w:szCs w:val="24"/>
                <w:highlight w:val="none"/>
              </w:rPr>
              <w:t>。</w:t>
            </w:r>
          </w:p>
        </w:tc>
        <w:tc>
          <w:tcPr>
            <w:tcW w:w="3745" w:type="dxa"/>
            <w:vAlign w:val="center"/>
          </w:tcPr>
          <w:p w14:paraId="2B12F69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F2E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6AE4600A">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4834" w:type="dxa"/>
            <w:shd w:val="clear" w:color="auto" w:fill="auto"/>
            <w:vAlign w:val="center"/>
          </w:tcPr>
          <w:p w14:paraId="54F5B407">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投标</w:t>
            </w:r>
            <w:r>
              <w:rPr>
                <w:rFonts w:hint="eastAsia" w:ascii="仿宋" w:hAnsi="仿宋" w:eastAsia="仿宋" w:cs="仿宋"/>
                <w:color w:val="auto"/>
                <w:szCs w:val="21"/>
                <w:highlight w:val="none"/>
                <w:shd w:val="clear" w:color="auto" w:fill="FFFFFF" w:themeFill="background1"/>
                <w:lang w:eastAsia="zh-CN"/>
              </w:rPr>
              <w:t>价格</w:t>
            </w:r>
            <w:r>
              <w:rPr>
                <w:rFonts w:hint="eastAsia" w:ascii="仿宋" w:hAnsi="仿宋" w:eastAsia="仿宋" w:cs="仿宋"/>
                <w:color w:val="auto"/>
                <w:szCs w:val="21"/>
                <w:highlight w:val="none"/>
                <w:shd w:val="clear" w:color="auto" w:fill="FFFFFF" w:themeFill="background1"/>
              </w:rPr>
              <w:t>不得超过</w:t>
            </w:r>
            <w:r>
              <w:rPr>
                <w:rFonts w:hint="eastAsia" w:ascii="仿宋" w:hAnsi="仿宋" w:eastAsia="仿宋" w:cs="仿宋"/>
                <w:color w:val="auto"/>
                <w:szCs w:val="21"/>
                <w:highlight w:val="none"/>
                <w:shd w:val="clear" w:color="auto" w:fill="FFFFFF" w:themeFill="background1"/>
                <w:lang w:eastAsia="zh-CN"/>
              </w:rPr>
              <w:t>投标人</w:t>
            </w:r>
            <w:r>
              <w:rPr>
                <w:rFonts w:hint="eastAsia" w:ascii="仿宋" w:hAnsi="仿宋" w:eastAsia="仿宋" w:cs="仿宋"/>
                <w:color w:val="auto"/>
                <w:szCs w:val="21"/>
                <w:highlight w:val="none"/>
                <w:shd w:val="clear" w:color="auto" w:fill="FFFFFF" w:themeFill="background1"/>
              </w:rPr>
              <w:t>须知前附表中的</w:t>
            </w:r>
            <w:r>
              <w:rPr>
                <w:rFonts w:hint="eastAsia" w:ascii="仿宋" w:hAnsi="仿宋" w:eastAsia="仿宋" w:cs="仿宋"/>
                <w:color w:val="auto"/>
                <w:szCs w:val="21"/>
                <w:highlight w:val="none"/>
                <w:shd w:val="clear" w:color="auto" w:fill="FFFFFF" w:themeFill="background1"/>
                <w:lang w:val="en-US" w:eastAsia="zh-CN"/>
              </w:rPr>
              <w:t>最高限价</w:t>
            </w:r>
            <w:r>
              <w:rPr>
                <w:rFonts w:hint="eastAsia" w:ascii="仿宋" w:hAnsi="仿宋" w:eastAsia="仿宋" w:cs="仿宋"/>
                <w:color w:val="auto"/>
                <w:szCs w:val="21"/>
                <w:highlight w:val="none"/>
                <w:shd w:val="clear" w:color="auto" w:fill="FFFFFF" w:themeFill="background1"/>
              </w:rPr>
              <w:t>。</w:t>
            </w:r>
          </w:p>
        </w:tc>
        <w:tc>
          <w:tcPr>
            <w:tcW w:w="3745" w:type="dxa"/>
            <w:shd w:val="clear" w:color="auto" w:fill="auto"/>
            <w:vAlign w:val="center"/>
          </w:tcPr>
          <w:p w14:paraId="18C64067">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w:t>
            </w:r>
          </w:p>
        </w:tc>
      </w:tr>
      <w:tr w14:paraId="41D9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shd w:val="clear" w:color="auto" w:fill="auto"/>
            <w:vAlign w:val="center"/>
          </w:tcPr>
          <w:p w14:paraId="6AEB7216">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3</w:t>
            </w:r>
          </w:p>
        </w:tc>
        <w:tc>
          <w:tcPr>
            <w:tcW w:w="4834" w:type="dxa"/>
            <w:shd w:val="clear" w:color="auto" w:fill="auto"/>
            <w:vAlign w:val="center"/>
          </w:tcPr>
          <w:p w14:paraId="3BA60265">
            <w:pPr>
              <w:widowControl/>
              <w:shd w:val="clear" w:color="auto" w:fill="FFFFFF"/>
              <w:snapToGrid w:val="0"/>
              <w:spacing w:line="360" w:lineRule="auto"/>
              <w:jc w:val="both"/>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lang w:eastAsia="zh-CN"/>
              </w:rPr>
              <w:t>合同履约期限</w:t>
            </w:r>
            <w:r>
              <w:rPr>
                <w:rFonts w:hint="eastAsia" w:ascii="仿宋" w:hAnsi="仿宋" w:eastAsia="仿宋" w:cs="仿宋"/>
                <w:color w:val="auto"/>
                <w:kern w:val="0"/>
                <w:szCs w:val="24"/>
                <w:highlight w:val="none"/>
              </w:rPr>
              <w:t>必须满足招标文件要求。</w:t>
            </w:r>
          </w:p>
        </w:tc>
        <w:tc>
          <w:tcPr>
            <w:tcW w:w="3745" w:type="dxa"/>
            <w:vAlign w:val="center"/>
          </w:tcPr>
          <w:p w14:paraId="307FB870">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w:t>
            </w:r>
          </w:p>
        </w:tc>
      </w:tr>
      <w:tr w14:paraId="08B2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shd w:val="clear" w:color="auto" w:fill="auto"/>
            <w:vAlign w:val="center"/>
          </w:tcPr>
          <w:p w14:paraId="1F59E4FB">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4</w:t>
            </w:r>
          </w:p>
        </w:tc>
        <w:tc>
          <w:tcPr>
            <w:tcW w:w="4834" w:type="dxa"/>
            <w:shd w:val="clear" w:color="auto" w:fill="auto"/>
            <w:vAlign w:val="center"/>
          </w:tcPr>
          <w:p w14:paraId="1E7AF76B">
            <w:pPr>
              <w:widowControl/>
              <w:shd w:val="clear" w:color="auto" w:fill="FFFFFF"/>
              <w:snapToGrid w:val="0"/>
              <w:spacing w:line="360" w:lineRule="auto"/>
              <w:jc w:val="both"/>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kern w:val="0"/>
                <w:szCs w:val="24"/>
                <w:highlight w:val="none"/>
                <w:lang w:val="en-US" w:eastAsia="zh-CN"/>
              </w:rPr>
              <w:t>项目负责人简历表必须提供。</w:t>
            </w:r>
          </w:p>
        </w:tc>
        <w:tc>
          <w:tcPr>
            <w:tcW w:w="3745" w:type="dxa"/>
            <w:vAlign w:val="center"/>
          </w:tcPr>
          <w:p w14:paraId="7E90F99B">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AD1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22" w:type="dxa"/>
            <w:shd w:val="clear" w:color="auto" w:fill="auto"/>
            <w:tcMar>
              <w:top w:w="0" w:type="dxa"/>
              <w:left w:w="28" w:type="dxa"/>
              <w:bottom w:w="0" w:type="dxa"/>
              <w:right w:w="28" w:type="dxa"/>
            </w:tcMar>
            <w:vAlign w:val="center"/>
          </w:tcPr>
          <w:p w14:paraId="08DC2897">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5</w:t>
            </w:r>
          </w:p>
        </w:tc>
        <w:tc>
          <w:tcPr>
            <w:tcW w:w="4834" w:type="dxa"/>
            <w:shd w:val="clear" w:color="auto" w:fill="auto"/>
            <w:vAlign w:val="center"/>
          </w:tcPr>
          <w:p w14:paraId="43FAE19B">
            <w:pPr>
              <w:widowControl/>
              <w:shd w:val="clear" w:color="auto" w:fill="FFFFFF"/>
              <w:snapToGrid w:val="0"/>
              <w:spacing w:line="360" w:lineRule="auto"/>
              <w:jc w:val="both"/>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highlight w:val="none"/>
                <w:lang w:val="en-US" w:eastAsia="zh-CN"/>
              </w:rPr>
              <w:t>拟派主要服务人员情况表</w:t>
            </w:r>
            <w:r>
              <w:rPr>
                <w:rFonts w:hint="eastAsia" w:ascii="仿宋" w:hAnsi="仿宋" w:eastAsia="仿宋" w:cs="仿宋"/>
                <w:color w:val="auto"/>
                <w:kern w:val="0"/>
                <w:szCs w:val="24"/>
                <w:highlight w:val="none"/>
                <w:lang w:val="en-US" w:eastAsia="zh-CN"/>
              </w:rPr>
              <w:t>必须提供。</w:t>
            </w:r>
          </w:p>
        </w:tc>
        <w:tc>
          <w:tcPr>
            <w:tcW w:w="3745" w:type="dxa"/>
            <w:tcMar>
              <w:top w:w="0" w:type="dxa"/>
              <w:left w:w="28" w:type="dxa"/>
              <w:bottom w:w="0" w:type="dxa"/>
              <w:right w:w="28" w:type="dxa"/>
            </w:tcMar>
            <w:vAlign w:val="center"/>
          </w:tcPr>
          <w:p w14:paraId="2B1C2FD5">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686B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shd w:val="clear" w:color="auto" w:fill="auto"/>
            <w:tcMar>
              <w:top w:w="0" w:type="dxa"/>
              <w:left w:w="28" w:type="dxa"/>
              <w:bottom w:w="0" w:type="dxa"/>
              <w:right w:w="28" w:type="dxa"/>
            </w:tcMar>
            <w:vAlign w:val="center"/>
          </w:tcPr>
          <w:p w14:paraId="2E37272A">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lang w:val="en-US" w:eastAsia="zh-CN"/>
              </w:rPr>
              <w:t>6</w:t>
            </w:r>
          </w:p>
        </w:tc>
        <w:tc>
          <w:tcPr>
            <w:tcW w:w="4834" w:type="dxa"/>
            <w:shd w:val="clear" w:color="auto" w:fill="auto"/>
            <w:vAlign w:val="center"/>
          </w:tcPr>
          <w:p w14:paraId="71509BE4">
            <w:pPr>
              <w:spacing w:line="360" w:lineRule="auto"/>
              <w:jc w:val="both"/>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投标保证金必须按照招标文件要求缴纳。</w:t>
            </w:r>
          </w:p>
        </w:tc>
        <w:tc>
          <w:tcPr>
            <w:tcW w:w="3745" w:type="dxa"/>
            <w:shd w:val="clear" w:color="auto" w:fill="auto"/>
            <w:tcMar>
              <w:top w:w="0" w:type="dxa"/>
              <w:left w:w="28" w:type="dxa"/>
              <w:bottom w:w="0" w:type="dxa"/>
              <w:right w:w="28" w:type="dxa"/>
            </w:tcMar>
            <w:vAlign w:val="center"/>
          </w:tcPr>
          <w:p w14:paraId="6E93B1E8">
            <w:pPr>
              <w:spacing w:line="360" w:lineRule="auto"/>
              <w:jc w:val="both"/>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保证金缴纳证明材料：汇款凭证或支票或汇票或保函或保证金收据等的扫描件。</w:t>
            </w:r>
          </w:p>
          <w:p w14:paraId="2974D36B">
            <w:pPr>
              <w:spacing w:line="360" w:lineRule="auto"/>
              <w:jc w:val="both"/>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注：采用电汇方式缴纳的，若投标人未提供上述证明材料，但采购代理机构已查实足额缴纳的，视为已按规定缴纳保证金。</w:t>
            </w:r>
          </w:p>
        </w:tc>
      </w:tr>
      <w:tr w14:paraId="0027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84" w:hRule="atLeast"/>
          <w:jc w:val="center"/>
        </w:trPr>
        <w:tc>
          <w:tcPr>
            <w:tcW w:w="722" w:type="dxa"/>
            <w:shd w:val="clear" w:color="auto" w:fill="auto"/>
            <w:tcMar>
              <w:top w:w="0" w:type="dxa"/>
              <w:left w:w="28" w:type="dxa"/>
              <w:bottom w:w="0" w:type="dxa"/>
              <w:right w:w="28" w:type="dxa"/>
            </w:tcMar>
            <w:vAlign w:val="center"/>
          </w:tcPr>
          <w:p w14:paraId="1D76F82D">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lang w:val="en-US" w:eastAsia="zh-CN"/>
              </w:rPr>
              <w:t>7</w:t>
            </w:r>
          </w:p>
        </w:tc>
        <w:tc>
          <w:tcPr>
            <w:tcW w:w="4834" w:type="dxa"/>
            <w:shd w:val="clear" w:color="auto" w:fill="auto"/>
            <w:vAlign w:val="center"/>
          </w:tcPr>
          <w:p w14:paraId="0C2BB191">
            <w:pPr>
              <w:widowControl/>
              <w:shd w:val="clear" w:color="auto" w:fill="FFFFFF"/>
              <w:snapToGrid w:val="0"/>
              <w:spacing w:line="360" w:lineRule="auto"/>
              <w:jc w:val="both"/>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投标文件符合招标文件全部实质性要求。</w:t>
            </w:r>
          </w:p>
        </w:tc>
        <w:tc>
          <w:tcPr>
            <w:tcW w:w="3745" w:type="dxa"/>
            <w:shd w:val="clear" w:color="auto" w:fill="auto"/>
            <w:tcMar>
              <w:top w:w="0" w:type="dxa"/>
              <w:left w:w="28" w:type="dxa"/>
              <w:bottom w:w="0" w:type="dxa"/>
              <w:right w:w="28" w:type="dxa"/>
            </w:tcMar>
            <w:vAlign w:val="center"/>
          </w:tcPr>
          <w:p w14:paraId="214A2E4A">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w:t>
            </w:r>
          </w:p>
        </w:tc>
      </w:tr>
      <w:tr w14:paraId="0A88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301" w:type="dxa"/>
            <w:gridSpan w:val="3"/>
            <w:vAlign w:val="center"/>
          </w:tcPr>
          <w:p w14:paraId="6A1BDEB5">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完备性及符合性审查中有一项不满足评审标准的，评标委员会将认定该投标人不通过完备性及符合性审查，不得进入下一阶段评审。并且不允许投标人通过修改或撤销其不符合要求的差异或保留，使之成为具有响应性的投标。</w:t>
            </w:r>
          </w:p>
        </w:tc>
      </w:tr>
    </w:tbl>
    <w:p w14:paraId="0E19ABBC">
      <w:pPr>
        <w:rPr>
          <w:rFonts w:hint="eastAsia" w:ascii="仿宋" w:hAnsi="仿宋" w:eastAsia="仿宋" w:cs="仿宋"/>
          <w:b/>
          <w:color w:val="auto"/>
          <w:szCs w:val="24"/>
          <w:highlight w:val="none"/>
        </w:rPr>
      </w:pPr>
    </w:p>
    <w:p w14:paraId="7347DFA8">
      <w:pPr>
        <w:rPr>
          <w:rFonts w:hint="eastAsia" w:ascii="仿宋" w:hAnsi="仿宋" w:eastAsia="仿宋" w:cs="仿宋"/>
          <w:b/>
          <w:color w:val="auto"/>
          <w:szCs w:val="24"/>
          <w:highlight w:val="none"/>
        </w:rPr>
      </w:pPr>
    </w:p>
    <w:p w14:paraId="2E847EDB">
      <w:pPr>
        <w:rPr>
          <w:rFonts w:hint="eastAsia" w:ascii="仿宋" w:hAnsi="仿宋" w:eastAsia="仿宋" w:cs="仿宋"/>
          <w:b/>
          <w:color w:val="auto"/>
          <w:szCs w:val="24"/>
          <w:highlight w:val="none"/>
        </w:rPr>
      </w:pPr>
    </w:p>
    <w:p w14:paraId="1EE21171">
      <w:pPr>
        <w:jc w:val="center"/>
        <w:rPr>
          <w:rFonts w:hint="eastAsia" w:ascii="仿宋" w:hAnsi="仿宋" w:eastAsia="仿宋" w:cs="仿宋"/>
          <w:color w:val="auto"/>
          <w:highlight w:val="none"/>
        </w:rPr>
      </w:pPr>
      <w:r>
        <w:rPr>
          <w:rFonts w:hint="eastAsia" w:ascii="仿宋" w:hAnsi="仿宋" w:eastAsia="仿宋" w:cs="仿宋"/>
          <w:b/>
          <w:color w:val="auto"/>
          <w:szCs w:val="24"/>
          <w:highlight w:val="none"/>
        </w:rPr>
        <w:t>《详细评审标准》</w:t>
      </w:r>
    </w:p>
    <w:tbl>
      <w:tblPr>
        <w:tblStyle w:val="39"/>
        <w:tblW w:w="47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8"/>
        <w:gridCol w:w="979"/>
        <w:gridCol w:w="1066"/>
        <w:gridCol w:w="5894"/>
      </w:tblGrid>
      <w:tr w14:paraId="70A6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329" w:type="pct"/>
            <w:vAlign w:val="center"/>
          </w:tcPr>
          <w:p w14:paraId="65A6DA8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highlight w:val="none"/>
              </w:rPr>
              <w:t>序号</w:t>
            </w:r>
          </w:p>
        </w:tc>
        <w:tc>
          <w:tcPr>
            <w:tcW w:w="576" w:type="pct"/>
            <w:vAlign w:val="center"/>
          </w:tcPr>
          <w:p w14:paraId="2EB1AE3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highlight w:val="none"/>
              </w:rPr>
              <w:t>评审项目</w:t>
            </w:r>
          </w:p>
        </w:tc>
        <w:tc>
          <w:tcPr>
            <w:tcW w:w="627" w:type="pct"/>
            <w:shd w:val="clear" w:color="auto" w:fill="auto"/>
            <w:vAlign w:val="center"/>
          </w:tcPr>
          <w:p w14:paraId="4FE782CA">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标准分</w:t>
            </w:r>
          </w:p>
        </w:tc>
        <w:tc>
          <w:tcPr>
            <w:tcW w:w="3466" w:type="pct"/>
            <w:vAlign w:val="center"/>
          </w:tcPr>
          <w:p w14:paraId="7F1DC5A8">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评审标准</w:t>
            </w:r>
          </w:p>
        </w:tc>
      </w:tr>
      <w:tr w14:paraId="6FFC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329" w:type="pct"/>
            <w:shd w:val="clear" w:color="auto" w:fill="auto"/>
            <w:vAlign w:val="center"/>
          </w:tcPr>
          <w:p w14:paraId="751DE6A9">
            <w:pPr>
              <w:spacing w:line="360" w:lineRule="auto"/>
              <w:jc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highlight w:val="none"/>
              </w:rPr>
              <w:t>1</w:t>
            </w:r>
          </w:p>
        </w:tc>
        <w:tc>
          <w:tcPr>
            <w:tcW w:w="576" w:type="pct"/>
            <w:shd w:val="clear" w:color="auto" w:fill="auto"/>
            <w:vAlign w:val="center"/>
          </w:tcPr>
          <w:p w14:paraId="68EE5417">
            <w:pPr>
              <w:spacing w:line="360" w:lineRule="auto"/>
              <w:ind w:firstLine="0" w:firstLineChars="0"/>
              <w:jc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highlight w:val="none"/>
                <w:lang w:val="en-US" w:eastAsia="zh-CN"/>
              </w:rPr>
              <w:t>投标报价</w:t>
            </w:r>
          </w:p>
        </w:tc>
        <w:tc>
          <w:tcPr>
            <w:tcW w:w="627" w:type="pct"/>
            <w:shd w:val="clear" w:color="auto" w:fill="auto"/>
            <w:vAlign w:val="center"/>
          </w:tcPr>
          <w:p w14:paraId="2EB05215">
            <w:pPr>
              <w:spacing w:line="360"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10</w:t>
            </w:r>
          </w:p>
        </w:tc>
        <w:tc>
          <w:tcPr>
            <w:tcW w:w="3466" w:type="pct"/>
            <w:shd w:val="clear" w:color="auto" w:fill="auto"/>
            <w:vAlign w:val="center"/>
          </w:tcPr>
          <w:p w14:paraId="4387B2EB">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投标报价得分计算方法：</w:t>
            </w:r>
          </w:p>
          <w:p w14:paraId="757FF9E6">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1.投标报价的确定</w:t>
            </w:r>
          </w:p>
          <w:p w14:paraId="54ED8C31">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投标报价是指经评审的且不超过最高限价的投标价格</w:t>
            </w:r>
          </w:p>
          <w:p w14:paraId="2983D313">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2.基准价的确定</w:t>
            </w:r>
          </w:p>
          <w:p w14:paraId="3610A49C">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满足采购文件要求且最后投标报价最低的供应商的价格为基准价</w:t>
            </w:r>
          </w:p>
          <w:p w14:paraId="6517A245">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3.投标报价得分=(基准价／投标报价)×10</w:t>
            </w:r>
          </w:p>
          <w:p w14:paraId="51A1C51D">
            <w:pPr>
              <w:spacing w:line="360" w:lineRule="auto"/>
              <w:ind w:firstLine="420" w:firstLineChars="200"/>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highlight w:val="none"/>
                <w:lang w:val="en-US" w:eastAsia="zh-CN"/>
              </w:rPr>
              <w:t>4.分值计算保留小数点后两位，小数点后三位“四舍五入”。</w:t>
            </w:r>
          </w:p>
        </w:tc>
      </w:tr>
      <w:tr w14:paraId="33AF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3" w:hRule="atLeast"/>
          <w:jc w:val="center"/>
        </w:trPr>
        <w:tc>
          <w:tcPr>
            <w:tcW w:w="329" w:type="pct"/>
            <w:shd w:val="clear" w:color="auto" w:fill="auto"/>
            <w:vAlign w:val="center"/>
          </w:tcPr>
          <w:p w14:paraId="6D59DEA9">
            <w:pPr>
              <w:spacing w:line="360" w:lineRule="auto"/>
              <w:ind w:firstLine="0" w:firstLineChars="0"/>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highlight w:val="none"/>
                <w:lang w:val="en-US" w:eastAsia="zh-CN"/>
              </w:rPr>
              <w:t>2</w:t>
            </w:r>
          </w:p>
        </w:tc>
        <w:tc>
          <w:tcPr>
            <w:tcW w:w="576" w:type="pct"/>
            <w:shd w:val="clear" w:color="auto" w:fill="auto"/>
            <w:vAlign w:val="center"/>
          </w:tcPr>
          <w:p w14:paraId="3622AC18">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企业</w:t>
            </w:r>
            <w:r>
              <w:rPr>
                <w:rFonts w:hint="eastAsia" w:ascii="仿宋" w:hAnsi="仿宋" w:eastAsia="仿宋" w:cs="仿宋"/>
                <w:color w:val="auto"/>
                <w:szCs w:val="21"/>
                <w:highlight w:val="none"/>
                <w:shd w:val="clear" w:color="auto" w:fill="FFFFFF" w:themeFill="background1"/>
              </w:rPr>
              <w:t>类似业绩</w:t>
            </w:r>
          </w:p>
        </w:tc>
        <w:tc>
          <w:tcPr>
            <w:tcW w:w="627" w:type="pct"/>
            <w:shd w:val="clear" w:color="auto" w:fill="auto"/>
            <w:vAlign w:val="center"/>
          </w:tcPr>
          <w:p w14:paraId="4F687878">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8</w:t>
            </w:r>
          </w:p>
        </w:tc>
        <w:tc>
          <w:tcPr>
            <w:tcW w:w="3466" w:type="pct"/>
            <w:shd w:val="clear" w:color="auto" w:fill="auto"/>
            <w:vAlign w:val="center"/>
          </w:tcPr>
          <w:p w14:paraId="6349E23E">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eastAsia="zh-CN"/>
              </w:rPr>
              <w:t>供应商</w:t>
            </w:r>
            <w:r>
              <w:rPr>
                <w:rFonts w:hint="eastAsia" w:ascii="仿宋" w:hAnsi="仿宋" w:eastAsia="仿宋" w:cs="仿宋"/>
                <w:color w:val="auto"/>
                <w:szCs w:val="21"/>
                <w:highlight w:val="none"/>
                <w:shd w:val="clear" w:color="auto" w:fill="FFFFFF" w:themeFill="background1"/>
              </w:rPr>
              <w:t>近三年（2023年1月1日-至今，以合同签订时间为准）承接的类似业绩，每提供一项得</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rPr>
              <w:t>分，最多计</w:t>
            </w:r>
            <w:r>
              <w:rPr>
                <w:rFonts w:hint="eastAsia" w:ascii="仿宋" w:hAnsi="仿宋" w:eastAsia="仿宋" w:cs="仿宋"/>
                <w:color w:val="auto"/>
                <w:szCs w:val="21"/>
                <w:highlight w:val="none"/>
                <w:shd w:val="clear" w:color="auto" w:fill="FFFFFF" w:themeFill="background1"/>
                <w:lang w:val="en-US" w:eastAsia="zh-CN"/>
              </w:rPr>
              <w:t>4</w:t>
            </w:r>
            <w:r>
              <w:rPr>
                <w:rFonts w:hint="eastAsia" w:ascii="仿宋" w:hAnsi="仿宋" w:eastAsia="仿宋" w:cs="仿宋"/>
                <w:color w:val="auto"/>
                <w:szCs w:val="21"/>
                <w:highlight w:val="none"/>
                <w:shd w:val="clear" w:color="auto" w:fill="FFFFFF" w:themeFill="background1"/>
              </w:rPr>
              <w:t>项（须提供合同）。</w:t>
            </w:r>
          </w:p>
        </w:tc>
      </w:tr>
      <w:tr w14:paraId="333E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4" w:hRule="atLeast"/>
          <w:jc w:val="center"/>
        </w:trPr>
        <w:tc>
          <w:tcPr>
            <w:tcW w:w="329" w:type="pct"/>
            <w:shd w:val="clear" w:color="auto" w:fill="auto"/>
            <w:vAlign w:val="center"/>
          </w:tcPr>
          <w:p w14:paraId="16FB5F58">
            <w:pPr>
              <w:spacing w:line="360" w:lineRule="auto"/>
              <w:ind w:firstLine="0" w:firstLineChars="0"/>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highlight w:val="none"/>
                <w:lang w:val="en-US" w:eastAsia="zh-CN"/>
              </w:rPr>
              <w:t>3</w:t>
            </w:r>
          </w:p>
        </w:tc>
        <w:tc>
          <w:tcPr>
            <w:tcW w:w="576" w:type="pct"/>
            <w:shd w:val="clear" w:color="auto" w:fill="auto"/>
            <w:vAlign w:val="center"/>
          </w:tcPr>
          <w:p w14:paraId="3E69BCF9">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项目负责人</w:t>
            </w:r>
          </w:p>
        </w:tc>
        <w:tc>
          <w:tcPr>
            <w:tcW w:w="627" w:type="pct"/>
            <w:shd w:val="clear" w:color="auto" w:fill="auto"/>
            <w:vAlign w:val="center"/>
          </w:tcPr>
          <w:p w14:paraId="5EDCE39E">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4</w:t>
            </w:r>
          </w:p>
        </w:tc>
        <w:tc>
          <w:tcPr>
            <w:tcW w:w="3466" w:type="pct"/>
            <w:shd w:val="clear" w:color="auto" w:fill="auto"/>
            <w:vAlign w:val="center"/>
          </w:tcPr>
          <w:p w14:paraId="0D72D9DD">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项目负责人具有：</w:t>
            </w:r>
          </w:p>
          <w:p w14:paraId="2263CB07">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计算机技术与软件专业中级技术资格中级得2分、计算机技术与软件专业高级技术资格高级得4分；</w:t>
            </w:r>
          </w:p>
          <w:p w14:paraId="16EFA7DE">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注：须提供身份证、相应证书及本单位近半年任意一月社保缴纳证明或劳动合同；同一人员的不同证书只计取一次。</w:t>
            </w:r>
          </w:p>
        </w:tc>
      </w:tr>
      <w:tr w14:paraId="50FC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3" w:hRule="atLeast"/>
          <w:jc w:val="center"/>
        </w:trPr>
        <w:tc>
          <w:tcPr>
            <w:tcW w:w="329" w:type="pct"/>
            <w:shd w:val="clear" w:color="auto" w:fill="auto"/>
            <w:vAlign w:val="center"/>
          </w:tcPr>
          <w:p w14:paraId="64A38489">
            <w:pPr>
              <w:spacing w:line="360" w:lineRule="auto"/>
              <w:ind w:firstLine="0" w:firstLineChars="0"/>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highlight w:val="none"/>
                <w:lang w:val="en-US" w:eastAsia="zh-CN"/>
              </w:rPr>
              <w:t>4</w:t>
            </w:r>
          </w:p>
        </w:tc>
        <w:tc>
          <w:tcPr>
            <w:tcW w:w="576" w:type="pct"/>
            <w:shd w:val="clear" w:color="auto" w:fill="auto"/>
            <w:vAlign w:val="center"/>
          </w:tcPr>
          <w:p w14:paraId="6535F899">
            <w:pPr>
              <w:spacing w:line="288"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拟派人员</w:t>
            </w:r>
          </w:p>
        </w:tc>
        <w:tc>
          <w:tcPr>
            <w:tcW w:w="627" w:type="pct"/>
            <w:shd w:val="clear" w:color="auto" w:fill="auto"/>
            <w:vAlign w:val="center"/>
          </w:tcPr>
          <w:p w14:paraId="40028F7A">
            <w:pPr>
              <w:spacing w:line="288"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2"/>
                <w:sz w:val="21"/>
                <w:szCs w:val="21"/>
                <w:highlight w:val="none"/>
                <w:shd w:val="clear" w:color="auto" w:fill="FFFFFF" w:themeFill="background1"/>
                <w:lang w:val="en-US" w:eastAsia="zh-CN" w:bidi="ar-SA"/>
              </w:rPr>
              <w:t>8</w:t>
            </w:r>
          </w:p>
        </w:tc>
        <w:tc>
          <w:tcPr>
            <w:tcW w:w="3466" w:type="pct"/>
            <w:shd w:val="clear" w:color="auto" w:fill="auto"/>
            <w:vAlign w:val="center"/>
          </w:tcPr>
          <w:p w14:paraId="145C6C9A">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供应商为本项目拟配备的：</w:t>
            </w:r>
          </w:p>
          <w:p w14:paraId="7665992B">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团队成员（除项目负责人）具有计算机技术与软件专业中级及以上技术资格得2分，最多计4人；</w:t>
            </w:r>
          </w:p>
          <w:p w14:paraId="4313CBF1">
            <w:pPr>
              <w:spacing w:line="288" w:lineRule="auto"/>
              <w:ind w:firstLine="210" w:firstLineChars="100"/>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注：须提供人员身份证、相应证书及本单位近半年任意一月社保缴纳证明或劳动合同；同一人员的不同证书只计取一次。</w:t>
            </w:r>
          </w:p>
        </w:tc>
      </w:tr>
      <w:tr w14:paraId="2375B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3" w:hRule="atLeast"/>
          <w:jc w:val="center"/>
        </w:trPr>
        <w:tc>
          <w:tcPr>
            <w:tcW w:w="329" w:type="pct"/>
            <w:shd w:val="clear" w:color="auto" w:fill="auto"/>
            <w:vAlign w:val="center"/>
          </w:tcPr>
          <w:p w14:paraId="711A5589">
            <w:pPr>
              <w:spacing w:line="360" w:lineRule="auto"/>
              <w:ind w:firstLine="0" w:firstLineChars="0"/>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highlight w:val="none"/>
                <w:lang w:val="en-US" w:eastAsia="zh-CN"/>
              </w:rPr>
              <w:t>5</w:t>
            </w:r>
          </w:p>
        </w:tc>
        <w:tc>
          <w:tcPr>
            <w:tcW w:w="576" w:type="pct"/>
            <w:shd w:val="clear" w:color="auto" w:fill="auto"/>
            <w:vAlign w:val="center"/>
          </w:tcPr>
          <w:p w14:paraId="7BB3A56E">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服务要求响应</w:t>
            </w:r>
          </w:p>
        </w:tc>
        <w:tc>
          <w:tcPr>
            <w:tcW w:w="627" w:type="pct"/>
            <w:shd w:val="clear" w:color="auto" w:fill="auto"/>
            <w:vAlign w:val="center"/>
          </w:tcPr>
          <w:p w14:paraId="7DD4F1A7">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18</w:t>
            </w:r>
          </w:p>
        </w:tc>
        <w:tc>
          <w:tcPr>
            <w:tcW w:w="3466" w:type="pct"/>
            <w:shd w:val="clear" w:color="auto" w:fill="auto"/>
            <w:vAlign w:val="center"/>
          </w:tcPr>
          <w:p w14:paraId="778DA1AF">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供应商针对本项目服务要求全部响应得18分，缺一项或不满足的项扣2分；扣完为止。</w:t>
            </w:r>
          </w:p>
          <w:p w14:paraId="66E804B6">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注：技术指标要求须在技术条款偏离表中点对点响应。</w:t>
            </w:r>
          </w:p>
        </w:tc>
      </w:tr>
      <w:tr w14:paraId="6C3B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3" w:hRule="atLeast"/>
          <w:jc w:val="center"/>
        </w:trPr>
        <w:tc>
          <w:tcPr>
            <w:tcW w:w="329" w:type="pct"/>
            <w:shd w:val="clear" w:color="auto" w:fill="auto"/>
            <w:vAlign w:val="center"/>
          </w:tcPr>
          <w:p w14:paraId="016CBFA8">
            <w:pPr>
              <w:spacing w:line="360" w:lineRule="auto"/>
              <w:ind w:firstLine="0" w:firstLineChars="0"/>
              <w:jc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highlight w:val="none"/>
                <w:lang w:val="en-US" w:eastAsia="zh-CN"/>
              </w:rPr>
              <w:t>6</w:t>
            </w:r>
          </w:p>
        </w:tc>
        <w:tc>
          <w:tcPr>
            <w:tcW w:w="576" w:type="pct"/>
            <w:shd w:val="clear" w:color="auto" w:fill="auto"/>
            <w:vAlign w:val="center"/>
          </w:tcPr>
          <w:p w14:paraId="373D5D30">
            <w:pPr>
              <w:spacing w:line="288"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开发方案</w:t>
            </w:r>
          </w:p>
        </w:tc>
        <w:tc>
          <w:tcPr>
            <w:tcW w:w="627" w:type="pct"/>
            <w:shd w:val="clear" w:color="auto" w:fill="auto"/>
            <w:vAlign w:val="center"/>
          </w:tcPr>
          <w:p w14:paraId="5B27A549">
            <w:pPr>
              <w:spacing w:line="288"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2"/>
                <w:sz w:val="21"/>
                <w:szCs w:val="21"/>
                <w:highlight w:val="none"/>
                <w:shd w:val="clear" w:color="auto" w:fill="FFFFFF" w:themeFill="background1"/>
                <w:lang w:val="en-US" w:eastAsia="zh-CN" w:bidi="ar-SA"/>
              </w:rPr>
              <w:t>20</w:t>
            </w:r>
          </w:p>
        </w:tc>
        <w:tc>
          <w:tcPr>
            <w:tcW w:w="3466" w:type="pct"/>
            <w:shd w:val="clear" w:color="auto" w:fill="auto"/>
            <w:vAlign w:val="center"/>
          </w:tcPr>
          <w:p w14:paraId="6CB83990">
            <w:pPr>
              <w:keepNext w:val="0"/>
              <w:keepLines w:val="0"/>
              <w:widowControl/>
              <w:suppressLineNumbers w:val="0"/>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服务方案包括但不限于：①总体建设思路及系统整体规划、②系统架构及功能设计、③项目开发进度计划、④系统测试与验收方案、⑤系统试运行预案；5部分要素。</w:t>
            </w:r>
          </w:p>
          <w:p w14:paraId="15D7BF80">
            <w:pPr>
              <w:keepNext w:val="0"/>
              <w:keepLines w:val="0"/>
              <w:widowControl/>
              <w:suppressLineNumbers w:val="0"/>
              <w:ind w:firstLine="210" w:firstLineChars="100"/>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所有要素齐全且完全满足项目要求得20分，每缺一个要素扣4分，每个要素里每有一处内容缺陷扣2分（扣完为止）。</w:t>
            </w:r>
          </w:p>
        </w:tc>
      </w:tr>
      <w:tr w14:paraId="24E7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3" w:hRule="atLeast"/>
          <w:jc w:val="center"/>
        </w:trPr>
        <w:tc>
          <w:tcPr>
            <w:tcW w:w="329" w:type="pct"/>
            <w:shd w:val="clear" w:color="auto" w:fill="auto"/>
            <w:vAlign w:val="center"/>
          </w:tcPr>
          <w:p w14:paraId="5B18492F">
            <w:pPr>
              <w:spacing w:line="360" w:lineRule="auto"/>
              <w:ind w:firstLine="0" w:firstLineChars="0"/>
              <w:jc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highlight w:val="none"/>
                <w:lang w:val="en-US" w:eastAsia="zh-CN"/>
              </w:rPr>
              <w:t>7</w:t>
            </w:r>
          </w:p>
        </w:tc>
        <w:tc>
          <w:tcPr>
            <w:tcW w:w="576" w:type="pct"/>
            <w:shd w:val="clear" w:color="auto" w:fill="auto"/>
            <w:vAlign w:val="center"/>
          </w:tcPr>
          <w:p w14:paraId="332178C5">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rPr>
              <w:t>保障措施</w:t>
            </w:r>
          </w:p>
        </w:tc>
        <w:tc>
          <w:tcPr>
            <w:tcW w:w="627" w:type="pct"/>
            <w:shd w:val="clear" w:color="auto" w:fill="auto"/>
            <w:vAlign w:val="center"/>
          </w:tcPr>
          <w:p w14:paraId="79F5F84C">
            <w:pPr>
              <w:spacing w:line="288"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12</w:t>
            </w:r>
          </w:p>
        </w:tc>
        <w:tc>
          <w:tcPr>
            <w:tcW w:w="3466" w:type="pct"/>
            <w:shd w:val="clear" w:color="auto" w:fill="auto"/>
            <w:vAlign w:val="center"/>
          </w:tcPr>
          <w:p w14:paraId="2AA13FDA">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eastAsia="zh-CN"/>
              </w:rPr>
              <w:t>保障措施包括但不限于：</w:t>
            </w:r>
            <w:r>
              <w:rPr>
                <w:rFonts w:hint="eastAsia" w:ascii="仿宋" w:hAnsi="仿宋" w:eastAsia="仿宋" w:cs="仿宋"/>
                <w:color w:val="auto"/>
                <w:szCs w:val="21"/>
                <w:highlight w:val="none"/>
                <w:shd w:val="clear" w:color="auto" w:fill="FFFFFF" w:themeFill="background1"/>
                <w:lang w:val="en-US" w:eastAsia="zh-CN"/>
              </w:rPr>
              <w:t>①质量控制及保障措施、②进度</w:t>
            </w:r>
            <w:r>
              <w:rPr>
                <w:rFonts w:hint="eastAsia" w:ascii="仿宋" w:hAnsi="仿宋" w:eastAsia="仿宋" w:cs="仿宋"/>
                <w:color w:val="auto"/>
                <w:szCs w:val="21"/>
                <w:highlight w:val="none"/>
                <w:shd w:val="clear" w:color="auto" w:fill="FFFFFF" w:themeFill="background1"/>
                <w:lang w:eastAsia="zh-CN"/>
              </w:rPr>
              <w:t>管控</w:t>
            </w:r>
            <w:r>
              <w:rPr>
                <w:rFonts w:hint="eastAsia" w:ascii="仿宋" w:hAnsi="仿宋" w:eastAsia="仿宋" w:cs="仿宋"/>
                <w:color w:val="auto"/>
                <w:szCs w:val="21"/>
                <w:highlight w:val="none"/>
                <w:shd w:val="clear" w:color="auto" w:fill="FFFFFF" w:themeFill="background1"/>
                <w:lang w:val="en-US" w:eastAsia="zh-CN"/>
              </w:rPr>
              <w:t>及保障措施、③应急预案；3</w:t>
            </w:r>
            <w:r>
              <w:rPr>
                <w:rFonts w:hint="eastAsia" w:ascii="仿宋" w:hAnsi="仿宋" w:eastAsia="仿宋" w:cs="仿宋"/>
                <w:color w:val="auto"/>
                <w:szCs w:val="21"/>
                <w:highlight w:val="none"/>
                <w:shd w:val="clear" w:color="auto" w:fill="FFFFFF" w:themeFill="background1"/>
                <w:lang w:eastAsia="zh-CN"/>
              </w:rPr>
              <w:t>部分要素。</w:t>
            </w:r>
          </w:p>
          <w:p w14:paraId="0C2B3309">
            <w:pPr>
              <w:spacing w:line="288" w:lineRule="auto"/>
              <w:ind w:firstLine="210" w:firstLineChars="100"/>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eastAsia="zh-CN"/>
              </w:rPr>
              <w:t>所有要素齐全且完全满足项目要求得</w:t>
            </w:r>
            <w:r>
              <w:rPr>
                <w:rFonts w:hint="eastAsia" w:ascii="仿宋" w:hAnsi="仿宋" w:eastAsia="仿宋" w:cs="仿宋"/>
                <w:color w:val="auto"/>
                <w:szCs w:val="21"/>
                <w:highlight w:val="none"/>
                <w:shd w:val="clear" w:color="auto" w:fill="FFFFFF" w:themeFill="background1"/>
                <w:lang w:val="en-US" w:eastAsia="zh-CN"/>
              </w:rPr>
              <w:t>12</w:t>
            </w:r>
            <w:r>
              <w:rPr>
                <w:rFonts w:hint="eastAsia" w:ascii="仿宋" w:hAnsi="仿宋" w:eastAsia="仿宋" w:cs="仿宋"/>
                <w:color w:val="auto"/>
                <w:szCs w:val="21"/>
                <w:highlight w:val="none"/>
                <w:shd w:val="clear" w:color="auto" w:fill="FFFFFF" w:themeFill="background1"/>
                <w:lang w:eastAsia="zh-CN"/>
              </w:rPr>
              <w:t>分，每缺一个要素扣</w:t>
            </w:r>
            <w:r>
              <w:rPr>
                <w:rFonts w:hint="eastAsia" w:ascii="仿宋" w:hAnsi="仿宋" w:eastAsia="仿宋" w:cs="仿宋"/>
                <w:color w:val="auto"/>
                <w:szCs w:val="21"/>
                <w:highlight w:val="none"/>
                <w:shd w:val="clear" w:color="auto" w:fill="FFFFFF" w:themeFill="background1"/>
                <w:lang w:val="en-US" w:eastAsia="zh-CN"/>
              </w:rPr>
              <w:t>4</w:t>
            </w:r>
            <w:r>
              <w:rPr>
                <w:rFonts w:hint="eastAsia" w:ascii="仿宋" w:hAnsi="仿宋" w:eastAsia="仿宋" w:cs="仿宋"/>
                <w:color w:val="auto"/>
                <w:szCs w:val="21"/>
                <w:highlight w:val="none"/>
                <w:shd w:val="clear" w:color="auto" w:fill="FFFFFF" w:themeFill="background1"/>
                <w:lang w:eastAsia="zh-CN"/>
              </w:rPr>
              <w:t>分，每个要素里每有一处内容缺陷扣</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lang w:eastAsia="zh-CN"/>
              </w:rPr>
              <w:t>分（扣完为止）。</w:t>
            </w:r>
          </w:p>
        </w:tc>
      </w:tr>
      <w:tr w14:paraId="1DF73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3" w:hRule="atLeast"/>
          <w:jc w:val="center"/>
        </w:trPr>
        <w:tc>
          <w:tcPr>
            <w:tcW w:w="329" w:type="pct"/>
            <w:shd w:val="clear" w:color="auto" w:fill="auto"/>
            <w:vAlign w:val="center"/>
          </w:tcPr>
          <w:p w14:paraId="035C2907">
            <w:pPr>
              <w:spacing w:line="360" w:lineRule="auto"/>
              <w:ind w:firstLine="0" w:firstLineChars="0"/>
              <w:jc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highlight w:val="none"/>
                <w:lang w:val="en-US" w:eastAsia="zh-CN"/>
              </w:rPr>
              <w:t>8</w:t>
            </w:r>
          </w:p>
        </w:tc>
        <w:tc>
          <w:tcPr>
            <w:tcW w:w="576" w:type="pct"/>
            <w:shd w:val="clear" w:color="auto" w:fill="auto"/>
            <w:vAlign w:val="center"/>
          </w:tcPr>
          <w:p w14:paraId="51FF5361">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培训方案</w:t>
            </w:r>
          </w:p>
        </w:tc>
        <w:tc>
          <w:tcPr>
            <w:tcW w:w="627" w:type="pct"/>
            <w:shd w:val="clear" w:color="auto" w:fill="auto"/>
            <w:vAlign w:val="center"/>
          </w:tcPr>
          <w:p w14:paraId="0505006F">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8</w:t>
            </w:r>
          </w:p>
        </w:tc>
        <w:tc>
          <w:tcPr>
            <w:tcW w:w="3466" w:type="pct"/>
            <w:shd w:val="clear" w:color="auto" w:fill="auto"/>
            <w:vAlign w:val="center"/>
          </w:tcPr>
          <w:p w14:paraId="3B26C900">
            <w:pPr>
              <w:spacing w:line="288" w:lineRule="auto"/>
              <w:ind w:firstLine="210" w:firstLineChars="100"/>
              <w:jc w:val="left"/>
              <w:rPr>
                <w:rFonts w:hint="eastAsia" w:ascii="仿宋" w:hAnsi="仿宋" w:eastAsia="仿宋" w:cs="仿宋"/>
                <w:color w:val="auto"/>
                <w:highlight w:val="none"/>
                <w:lang w:val="en-US" w:eastAsia="zh-CN"/>
              </w:rPr>
            </w:pPr>
            <w:r>
              <w:rPr>
                <w:rFonts w:hint="eastAsia" w:ascii="仿宋" w:hAnsi="仿宋" w:eastAsia="仿宋" w:cs="仿宋"/>
                <w:color w:val="auto"/>
                <w:szCs w:val="21"/>
                <w:highlight w:val="none"/>
                <w:shd w:val="clear" w:color="auto" w:fill="FFFFFF" w:themeFill="background1"/>
                <w:lang w:val="en-US" w:eastAsia="zh-CN"/>
              </w:rPr>
              <w:t>培训方案</w:t>
            </w:r>
            <w:r>
              <w:rPr>
                <w:rFonts w:hint="eastAsia" w:ascii="仿宋" w:hAnsi="仿宋" w:eastAsia="仿宋" w:cs="仿宋"/>
                <w:color w:val="auto"/>
                <w:szCs w:val="21"/>
                <w:highlight w:val="none"/>
                <w:shd w:val="clear" w:color="auto" w:fill="FFFFFF" w:themeFill="background1"/>
                <w:lang w:eastAsia="zh-CN"/>
              </w:rPr>
              <w:t>包括但不限于：</w:t>
            </w:r>
            <w:r>
              <w:rPr>
                <w:rFonts w:hint="eastAsia" w:ascii="仿宋" w:hAnsi="仿宋" w:eastAsia="仿宋" w:cs="仿宋"/>
                <w:color w:val="auto"/>
                <w:highlight w:val="none"/>
              </w:rPr>
              <w:t>①培训计划、②培训团队</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2</w:t>
            </w:r>
            <w:r>
              <w:rPr>
                <w:rFonts w:hint="eastAsia" w:ascii="仿宋" w:hAnsi="仿宋" w:eastAsia="仿宋" w:cs="仿宋"/>
                <w:color w:val="auto"/>
                <w:szCs w:val="21"/>
                <w:highlight w:val="none"/>
                <w:shd w:val="clear" w:color="auto" w:fill="FFFFFF" w:themeFill="background1"/>
                <w:lang w:eastAsia="zh-CN"/>
              </w:rPr>
              <w:t>部分要素。</w:t>
            </w:r>
          </w:p>
          <w:p w14:paraId="17FCD108">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eastAsia="zh-CN"/>
              </w:rPr>
              <w:t>所有要素齐全且完全满足项目要求得</w:t>
            </w:r>
            <w:r>
              <w:rPr>
                <w:rFonts w:hint="eastAsia" w:ascii="仿宋" w:hAnsi="仿宋" w:eastAsia="仿宋" w:cs="仿宋"/>
                <w:color w:val="auto"/>
                <w:szCs w:val="21"/>
                <w:highlight w:val="none"/>
                <w:shd w:val="clear" w:color="auto" w:fill="FFFFFF" w:themeFill="background1"/>
                <w:lang w:val="en-US" w:eastAsia="zh-CN"/>
              </w:rPr>
              <w:t>8</w:t>
            </w:r>
            <w:r>
              <w:rPr>
                <w:rFonts w:hint="eastAsia" w:ascii="仿宋" w:hAnsi="仿宋" w:eastAsia="仿宋" w:cs="仿宋"/>
                <w:color w:val="auto"/>
                <w:szCs w:val="21"/>
                <w:highlight w:val="none"/>
                <w:shd w:val="clear" w:color="auto" w:fill="FFFFFF" w:themeFill="background1"/>
                <w:lang w:eastAsia="zh-CN"/>
              </w:rPr>
              <w:t>分，每缺一个要素扣</w:t>
            </w:r>
            <w:r>
              <w:rPr>
                <w:rFonts w:hint="eastAsia" w:ascii="仿宋" w:hAnsi="仿宋" w:eastAsia="仿宋" w:cs="仿宋"/>
                <w:color w:val="auto"/>
                <w:szCs w:val="21"/>
                <w:highlight w:val="none"/>
                <w:shd w:val="clear" w:color="auto" w:fill="FFFFFF" w:themeFill="background1"/>
                <w:lang w:val="en-US" w:eastAsia="zh-CN"/>
              </w:rPr>
              <w:t>4</w:t>
            </w:r>
            <w:r>
              <w:rPr>
                <w:rFonts w:hint="eastAsia" w:ascii="仿宋" w:hAnsi="仿宋" w:eastAsia="仿宋" w:cs="仿宋"/>
                <w:color w:val="auto"/>
                <w:szCs w:val="21"/>
                <w:highlight w:val="none"/>
                <w:shd w:val="clear" w:color="auto" w:fill="FFFFFF" w:themeFill="background1"/>
                <w:lang w:eastAsia="zh-CN"/>
              </w:rPr>
              <w:t>分，每个要素里每有一处内容缺陷扣</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lang w:eastAsia="zh-CN"/>
              </w:rPr>
              <w:t>分（扣完为止）。</w:t>
            </w:r>
          </w:p>
        </w:tc>
      </w:tr>
      <w:tr w14:paraId="3FC6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2" w:hRule="atLeast"/>
          <w:jc w:val="center"/>
        </w:trPr>
        <w:tc>
          <w:tcPr>
            <w:tcW w:w="329" w:type="pct"/>
            <w:shd w:val="clear" w:color="auto" w:fill="auto"/>
            <w:vAlign w:val="center"/>
          </w:tcPr>
          <w:p w14:paraId="14AA578D">
            <w:pPr>
              <w:spacing w:line="360" w:lineRule="auto"/>
              <w:ind w:firstLine="0" w:firstLineChars="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9</w:t>
            </w:r>
          </w:p>
        </w:tc>
        <w:tc>
          <w:tcPr>
            <w:tcW w:w="576" w:type="pct"/>
            <w:shd w:val="clear" w:color="auto" w:fill="auto"/>
            <w:vAlign w:val="center"/>
          </w:tcPr>
          <w:p w14:paraId="14F55578">
            <w:pPr>
              <w:spacing w:line="288" w:lineRule="auto"/>
              <w:ind w:firstLine="0" w:firstLineChars="0"/>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后续服务方案</w:t>
            </w:r>
          </w:p>
        </w:tc>
        <w:tc>
          <w:tcPr>
            <w:tcW w:w="627" w:type="pct"/>
            <w:shd w:val="clear" w:color="auto" w:fill="auto"/>
            <w:vAlign w:val="center"/>
          </w:tcPr>
          <w:p w14:paraId="44C8B908">
            <w:pPr>
              <w:spacing w:line="288"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2"/>
                <w:sz w:val="21"/>
                <w:szCs w:val="21"/>
                <w:highlight w:val="none"/>
                <w:shd w:val="clear" w:color="auto" w:fill="FFFFFF" w:themeFill="background1"/>
                <w:lang w:val="en-US" w:eastAsia="zh-CN" w:bidi="ar-SA"/>
              </w:rPr>
              <w:t>12</w:t>
            </w:r>
          </w:p>
        </w:tc>
        <w:tc>
          <w:tcPr>
            <w:tcW w:w="3466" w:type="pct"/>
            <w:shd w:val="clear" w:color="auto" w:fill="auto"/>
            <w:vAlign w:val="center"/>
          </w:tcPr>
          <w:p w14:paraId="40D4298C">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val="en-US" w:eastAsia="zh-CN"/>
              </w:rPr>
              <w:t>后续服务方案</w:t>
            </w:r>
            <w:r>
              <w:rPr>
                <w:rFonts w:hint="eastAsia" w:ascii="仿宋" w:hAnsi="仿宋" w:eastAsia="仿宋" w:cs="仿宋"/>
                <w:color w:val="auto"/>
                <w:szCs w:val="21"/>
                <w:highlight w:val="none"/>
                <w:shd w:val="clear" w:color="auto" w:fill="FFFFFF" w:themeFill="background1"/>
                <w:lang w:eastAsia="zh-CN"/>
              </w:rPr>
              <w:t>包括但不限于：</w:t>
            </w:r>
            <w:r>
              <w:rPr>
                <w:rFonts w:hint="eastAsia" w:ascii="仿宋" w:hAnsi="仿宋" w:eastAsia="仿宋" w:cs="仿宋"/>
                <w:color w:val="auto"/>
                <w:szCs w:val="21"/>
                <w:highlight w:val="none"/>
                <w:shd w:val="clear" w:color="auto" w:fill="FFFFFF" w:themeFill="background1"/>
                <w:lang w:val="en-US" w:eastAsia="zh-CN"/>
              </w:rPr>
              <w:t>①后续服务团队配置、②漏洞修复、③故障处理：3</w:t>
            </w:r>
            <w:r>
              <w:rPr>
                <w:rFonts w:hint="eastAsia" w:ascii="仿宋" w:hAnsi="仿宋" w:eastAsia="仿宋" w:cs="仿宋"/>
                <w:color w:val="auto"/>
                <w:szCs w:val="21"/>
                <w:highlight w:val="none"/>
                <w:shd w:val="clear" w:color="auto" w:fill="FFFFFF" w:themeFill="background1"/>
                <w:lang w:eastAsia="zh-CN"/>
              </w:rPr>
              <w:t>部分要素。</w:t>
            </w:r>
          </w:p>
          <w:p w14:paraId="1B374CC1">
            <w:pPr>
              <w:spacing w:line="288" w:lineRule="auto"/>
              <w:ind w:firstLine="210" w:firstLineChars="100"/>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eastAsia="zh-CN"/>
              </w:rPr>
              <w:t>所有要素齐全且完全满足项目要求得</w:t>
            </w:r>
            <w:r>
              <w:rPr>
                <w:rFonts w:hint="eastAsia" w:ascii="仿宋" w:hAnsi="仿宋" w:eastAsia="仿宋" w:cs="仿宋"/>
                <w:color w:val="auto"/>
                <w:szCs w:val="21"/>
                <w:highlight w:val="none"/>
                <w:shd w:val="clear" w:color="auto" w:fill="FFFFFF" w:themeFill="background1"/>
                <w:lang w:val="en-US" w:eastAsia="zh-CN"/>
              </w:rPr>
              <w:t>12</w:t>
            </w:r>
            <w:r>
              <w:rPr>
                <w:rFonts w:hint="eastAsia" w:ascii="仿宋" w:hAnsi="仿宋" w:eastAsia="仿宋" w:cs="仿宋"/>
                <w:color w:val="auto"/>
                <w:szCs w:val="21"/>
                <w:highlight w:val="none"/>
                <w:shd w:val="clear" w:color="auto" w:fill="FFFFFF" w:themeFill="background1"/>
                <w:lang w:eastAsia="zh-CN"/>
              </w:rPr>
              <w:t>分，每缺一个要素扣</w:t>
            </w:r>
            <w:r>
              <w:rPr>
                <w:rFonts w:hint="eastAsia" w:ascii="仿宋" w:hAnsi="仿宋" w:eastAsia="仿宋" w:cs="仿宋"/>
                <w:color w:val="auto"/>
                <w:szCs w:val="21"/>
                <w:highlight w:val="none"/>
                <w:shd w:val="clear" w:color="auto" w:fill="FFFFFF" w:themeFill="background1"/>
                <w:lang w:val="en-US" w:eastAsia="zh-CN"/>
              </w:rPr>
              <w:t>4</w:t>
            </w:r>
            <w:r>
              <w:rPr>
                <w:rFonts w:hint="eastAsia" w:ascii="仿宋" w:hAnsi="仿宋" w:eastAsia="仿宋" w:cs="仿宋"/>
                <w:color w:val="auto"/>
                <w:szCs w:val="21"/>
                <w:highlight w:val="none"/>
                <w:shd w:val="clear" w:color="auto" w:fill="FFFFFF" w:themeFill="background1"/>
                <w:lang w:eastAsia="zh-CN"/>
              </w:rPr>
              <w:t>分，每个要素里每有一处内容缺陷扣</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lang w:eastAsia="zh-CN"/>
              </w:rPr>
              <w:t>分（扣完为止）。</w:t>
            </w:r>
          </w:p>
        </w:tc>
      </w:tr>
      <w:tr w14:paraId="7C50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905" w:type="pct"/>
            <w:gridSpan w:val="2"/>
            <w:vAlign w:val="center"/>
          </w:tcPr>
          <w:p w14:paraId="50A8D5D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highlight w:val="none"/>
              </w:rPr>
              <w:t>合计</w:t>
            </w:r>
          </w:p>
        </w:tc>
        <w:tc>
          <w:tcPr>
            <w:tcW w:w="627" w:type="pct"/>
            <w:shd w:val="clear" w:color="auto" w:fill="auto"/>
            <w:vAlign w:val="center"/>
          </w:tcPr>
          <w:p w14:paraId="24684141">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100</w:t>
            </w:r>
          </w:p>
        </w:tc>
        <w:tc>
          <w:tcPr>
            <w:tcW w:w="3466" w:type="pct"/>
            <w:vAlign w:val="center"/>
          </w:tcPr>
          <w:p w14:paraId="781A148B">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p>
        </w:tc>
      </w:tr>
      <w:tr w14:paraId="7C48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9" w:hRule="atLeast"/>
          <w:jc w:val="center"/>
        </w:trPr>
        <w:tc>
          <w:tcPr>
            <w:tcW w:w="5000" w:type="pct"/>
            <w:gridSpan w:val="4"/>
            <w:vAlign w:val="center"/>
          </w:tcPr>
          <w:p w14:paraId="2C256DEA">
            <w:pPr>
              <w:spacing w:line="288"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30E12174">
      <w:pPr>
        <w:widowControl/>
        <w:jc w:val="left"/>
        <w:rPr>
          <w:rFonts w:hint="eastAsia" w:ascii="仿宋" w:hAnsi="仿宋" w:eastAsia="仿宋" w:cs="仿宋"/>
          <w:color w:val="auto"/>
          <w:highlight w:val="none"/>
        </w:rPr>
      </w:pPr>
    </w:p>
    <w:p w14:paraId="5B92F5D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51" w:name="_Toc12409"/>
      <w:bookmarkStart w:id="52" w:name="_Toc13566"/>
      <w:bookmarkStart w:id="53" w:name="_Toc115977387"/>
      <w:bookmarkStart w:id="54" w:name="_Toc15374"/>
      <w:bookmarkStart w:id="55" w:name="_Toc485312286"/>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评标方法</w:t>
      </w:r>
      <w:bookmarkEnd w:id="51"/>
      <w:bookmarkEnd w:id="52"/>
      <w:bookmarkEnd w:id="53"/>
      <w:bookmarkEnd w:id="54"/>
    </w:p>
    <w:p w14:paraId="24C3B14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本次评标采用综合评分法。评标委员会对满足招标文件实质性要求的投标文件，按照本节规定的评审标准进行评审。评标中各评委若发生意见分歧，以少数服从多数原则确定。</w:t>
      </w:r>
    </w:p>
    <w:p w14:paraId="74ED9668">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56" w:name="_Toc2089"/>
      <w:bookmarkStart w:id="57" w:name="_Toc115977388"/>
      <w:bookmarkStart w:id="58" w:name="_Toc8393"/>
      <w:bookmarkStart w:id="59" w:name="_Toc12331"/>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评审标准</w:t>
      </w:r>
      <w:bookmarkEnd w:id="56"/>
      <w:bookmarkEnd w:id="57"/>
      <w:bookmarkEnd w:id="58"/>
      <w:bookmarkEnd w:id="59"/>
    </w:p>
    <w:p w14:paraId="4929CC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2.1资格审查：评审因素和评审标准见《资格审查标准》。</w:t>
      </w:r>
    </w:p>
    <w:p w14:paraId="2093A3A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2.2完备性及符合性审查：评审因素和评审标准见《</w:t>
      </w:r>
      <w:r>
        <w:rPr>
          <w:rFonts w:hint="eastAsia" w:ascii="仿宋" w:hAnsi="仿宋" w:eastAsia="仿宋" w:cs="仿宋"/>
          <w:color w:val="auto"/>
          <w:kern w:val="0"/>
          <w:sz w:val="24"/>
          <w:szCs w:val="24"/>
          <w:highlight w:val="none"/>
          <w:lang w:eastAsia="zh-CN"/>
        </w:rPr>
        <w:t>符合性审查标准</w:t>
      </w:r>
      <w:r>
        <w:rPr>
          <w:rFonts w:hint="eastAsia" w:ascii="仿宋" w:hAnsi="仿宋" w:eastAsia="仿宋" w:cs="仿宋"/>
          <w:color w:val="auto"/>
          <w:kern w:val="0"/>
          <w:sz w:val="24"/>
          <w:szCs w:val="24"/>
          <w:highlight w:val="none"/>
        </w:rPr>
        <w:t>》。</w:t>
      </w:r>
    </w:p>
    <w:p w14:paraId="24F6F71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详细评审：</w:t>
      </w:r>
    </w:p>
    <w:p w14:paraId="0F28705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.1详细评审：评审因素和评审标准见《详细评审标准》及本节第3.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款。</w:t>
      </w:r>
    </w:p>
    <w:p w14:paraId="535121B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.2 投标报价评分标准：</w:t>
      </w:r>
    </w:p>
    <w:p w14:paraId="6B114AA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（1）分值构成：见评标办法前附表。</w:t>
      </w:r>
    </w:p>
    <w:p w14:paraId="29F755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（2）评标基准价的确定：见评标办法前附表。</w:t>
      </w:r>
    </w:p>
    <w:p w14:paraId="341F5A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（3）投标报价得分的计算：见评标办法前附表。</w:t>
      </w:r>
    </w:p>
    <w:p w14:paraId="5CB25F03">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60" w:name="_Toc24086"/>
      <w:bookmarkStart w:id="61" w:name="_Toc9713"/>
      <w:bookmarkStart w:id="62" w:name="_Toc115977389"/>
      <w:bookmarkStart w:id="63" w:name="_Toc12586"/>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评标程序</w:t>
      </w:r>
      <w:bookmarkEnd w:id="60"/>
      <w:bookmarkEnd w:id="61"/>
      <w:bookmarkEnd w:id="62"/>
      <w:bookmarkEnd w:id="63"/>
    </w:p>
    <w:p w14:paraId="447AFAF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基本程序</w:t>
      </w:r>
    </w:p>
    <w:p w14:paraId="5362D28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评标活动将按以下步骤进行：</w:t>
      </w:r>
    </w:p>
    <w:p w14:paraId="3A67BCD7">
      <w:pPr>
        <w:pStyle w:val="201"/>
        <w:widowControl/>
        <w:numPr>
          <w:ilvl w:val="0"/>
          <w:numId w:val="2"/>
        </w:numPr>
        <w:shd w:val="clear" w:color="auto" w:fill="FFFFFF"/>
        <w:snapToGrid w:val="0"/>
        <w:spacing w:line="360" w:lineRule="auto"/>
        <w:ind w:firstLine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评标准备</w:t>
      </w:r>
    </w:p>
    <w:p w14:paraId="6BA0BE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 资格审查</w:t>
      </w:r>
    </w:p>
    <w:p w14:paraId="5A3182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 完备性及符合性审查</w:t>
      </w:r>
    </w:p>
    <w:p w14:paraId="0241FC1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 详细评审</w:t>
      </w:r>
    </w:p>
    <w:p w14:paraId="7D3E886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 澄清、说明或补正</w:t>
      </w:r>
    </w:p>
    <w:p w14:paraId="53E302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 推荐中标候选人及提交评标报告</w:t>
      </w:r>
    </w:p>
    <w:p w14:paraId="11FF27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评标准备</w:t>
      </w:r>
    </w:p>
    <w:p w14:paraId="708669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3.2.1评标委员会成员签到</w:t>
      </w:r>
    </w:p>
    <w:p w14:paraId="119E88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评标委员会成员到达评标现场时应当在签到表上签到以证明其出席。</w:t>
      </w:r>
    </w:p>
    <w:p w14:paraId="406260B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评标委员会的分工</w:t>
      </w:r>
    </w:p>
    <w:p w14:paraId="05A69E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3.2.2.1评标委员会首先推选一名评标委员会主任。评标委员会主任负责评标活动的组织领导工作。评标委员会主任与评标委员会其它成员具有同等的评标权力。</w:t>
      </w:r>
    </w:p>
    <w:p w14:paraId="4BEAE9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3.2.2.2 评标委员会主任除履行自己作为评标委员会成员独立评标的职责外，主要负责以下工作：</w:t>
      </w:r>
    </w:p>
    <w:p w14:paraId="2F0FCF6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（1）组织评标委员会成员学习招标文件；</w:t>
      </w:r>
    </w:p>
    <w:p w14:paraId="5CEFBB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（2）汇总各评标委员会成员认为需要投标人澄清、说明或者补正的问题；</w:t>
      </w:r>
    </w:p>
    <w:p w14:paraId="62B2E1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（3）组织评标委员会对投标人质询并对投标人的答复进行评审；</w:t>
      </w:r>
    </w:p>
    <w:p w14:paraId="4001FFA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（4）对出现较大争议的事项进行书面记录；</w:t>
      </w:r>
    </w:p>
    <w:p w14:paraId="4374550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（5）组织收回评标过程中使用的文件、表格和评标记录以及其它资料，并查验评标记录的完整性及有效性；</w:t>
      </w:r>
    </w:p>
    <w:p w14:paraId="097BA21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（6）组织对评标结论进行复核确认；</w:t>
      </w:r>
    </w:p>
    <w:p w14:paraId="1281F85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（7）组织编写评标报告。</w:t>
      </w:r>
    </w:p>
    <w:p w14:paraId="6F5CE9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熟悉文件资料</w:t>
      </w:r>
    </w:p>
    <w:p w14:paraId="0B4B60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3.2.3.1 评标委员会主任应当组织评标委员会成员认真研究招标文件，了解和熟悉招标目的、招标范围、</w:t>
      </w:r>
      <w:r>
        <w:rPr>
          <w:rFonts w:hint="eastAsia" w:ascii="仿宋" w:hAnsi="仿宋" w:eastAsia="仿宋" w:cs="仿宋"/>
          <w:color w:val="auto"/>
          <w:kern w:val="0"/>
          <w:sz w:val="24"/>
          <w:szCs w:val="24"/>
          <w:highlight w:val="none"/>
          <w:lang w:eastAsia="zh-CN"/>
        </w:rPr>
        <w:t>采购需求</w:t>
      </w:r>
      <w:r>
        <w:rPr>
          <w:rFonts w:hint="eastAsia" w:ascii="仿宋" w:hAnsi="仿宋" w:eastAsia="仿宋" w:cs="仿宋"/>
          <w:color w:val="auto"/>
          <w:kern w:val="0"/>
          <w:sz w:val="24"/>
          <w:szCs w:val="24"/>
          <w:highlight w:val="none"/>
        </w:rPr>
        <w:t>，掌握评标标准和方法。</w:t>
      </w:r>
    </w:p>
    <w:p w14:paraId="6792C9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3.2.3.2 采购人或采购代理机构应当向评标委员会提供评标所需的信息和数据，包括：</w:t>
      </w:r>
    </w:p>
    <w:p w14:paraId="484EED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（1）招标文件及其澄清修改等招标文件补充；</w:t>
      </w:r>
    </w:p>
    <w:p w14:paraId="537CCC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（2）未在开标会上当场拒绝的各投标文件；</w:t>
      </w:r>
    </w:p>
    <w:p w14:paraId="4F7291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（3）开标会记录；</w:t>
      </w:r>
    </w:p>
    <w:p w14:paraId="36D69D5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（4）评标表格；</w:t>
      </w:r>
    </w:p>
    <w:p w14:paraId="2C7EFB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（5）其它信息和数据。</w:t>
      </w:r>
    </w:p>
    <w:p w14:paraId="4FCF8E5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3.3资格审查</w:t>
      </w:r>
    </w:p>
    <w:p w14:paraId="4FE7FF7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依据本章规定的评审因素和审查标准，对投标人的资格审查资料进行资格审查。资格审查有一项未通过审查标准，采购人将认定整个投标文件不响应招标文件而否决其投标，并且不允许投标人通过修改或撤销其不符合要求的差异或保留，使之成为具有响应性的投标。</w:t>
      </w:r>
    </w:p>
    <w:p w14:paraId="6B0495A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3.4完备性及符合性审查</w:t>
      </w:r>
    </w:p>
    <w:p w14:paraId="189B2A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评标委员依据本章规定的评审因素和评审标准，对投标人的投标文件进行完备性及符合性审查。完备性及符合性审查有一项未通过评审标准，评标委员会将认定整个投标文件不响应招标文件而否决其投标，并且不允许投标人通过修改或撤销其不符合要求的差异或保留，使之成为具有响应性的投标。</w:t>
      </w:r>
    </w:p>
    <w:p w14:paraId="4666FF1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 完备性及符合性审查条款是指对本招标项目产生了重大影响的重大偏差，而且纠正此类偏差将会对响应本次招标的其它投标人的竞争地位产生不公正的影响。</w:t>
      </w:r>
    </w:p>
    <w:p w14:paraId="53764BB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细微偏差是指投标文件在实质上响应招标文件要求，但在个别地方存在疏漏或者提供了不完整的技术信息和数据等情况，并且补正这些遗漏和不完整不会对其它投标人造成不公平的结果。细微偏差不影响投标文件的有效性，评标委员会可要求存在细微偏差的投标人予以补正。</w:t>
      </w:r>
    </w:p>
    <w:p w14:paraId="473235B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3.4.4政府采购评审中出现下列情形之一的，评审委员会应当启动异常低价投标（响应）审查程序：</w:t>
      </w:r>
    </w:p>
    <w:p w14:paraId="034539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.投标（响应）报价低于全部通过符合性审查</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投标（响应）报价平均值50%的，即投标（响应）报价&lt;全部通过符合性审查</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投标（响应）报价平均值×50%；</w:t>
      </w:r>
    </w:p>
    <w:p w14:paraId="5D6F6B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.投标（响应）报价低于通过符合性审查的次低报价</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投标（响应）报价50%的，即投标（响应）报价&lt;通过符合性审查的次低报价</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投标（响应）报价×50%；</w:t>
      </w:r>
    </w:p>
    <w:p w14:paraId="2B4B5B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.投标（响应）报价低于采购项目最高限价45%的，即投标（响应）报价&lt;采购项目最高限价×45%；</w:t>
      </w:r>
    </w:p>
    <w:p w14:paraId="4A7A08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.评审委员会基于专业判断，认为</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报价过低，有可能影响产品质量或者不能诚信履约的其他情形。</w:t>
      </w:r>
    </w:p>
    <w:p w14:paraId="5BA4D5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3.4.5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362F00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3.4.6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2D9017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详细评审</w:t>
      </w:r>
    </w:p>
    <w:p w14:paraId="498A02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.1.只有通过了资格审查、完备性及符合性审查</w:t>
      </w:r>
      <w:r>
        <w:rPr>
          <w:rFonts w:hint="eastAsia" w:ascii="仿宋" w:hAnsi="仿宋" w:eastAsia="仿宋" w:cs="仿宋"/>
          <w:color w:val="auto"/>
          <w:kern w:val="0"/>
          <w:sz w:val="24"/>
          <w:szCs w:val="24"/>
          <w:highlight w:val="none"/>
          <w:lang w:val="en-US" w:eastAsia="zh-CN"/>
        </w:rPr>
        <w:t>的投标人</w:t>
      </w:r>
      <w:r>
        <w:rPr>
          <w:rFonts w:hint="eastAsia" w:ascii="仿宋" w:hAnsi="仿宋" w:eastAsia="仿宋" w:cs="仿宋"/>
          <w:color w:val="auto"/>
          <w:kern w:val="0"/>
          <w:sz w:val="24"/>
          <w:szCs w:val="24"/>
          <w:highlight w:val="none"/>
        </w:rPr>
        <w:t>不少于3个方可进入详细评审。</w:t>
      </w:r>
    </w:p>
    <w:p w14:paraId="1F27C6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 澄清、说明和补正</w:t>
      </w:r>
    </w:p>
    <w:p w14:paraId="6811C2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2.1在不改变投标人投标文件实质性内容的前提下，评标委员会应当对投标文件进行基础性数据分析和整理，从而发现并提取其中可能存在的对招标范围理解的偏差、技术响应偏离、投标价格的算术性错误、错漏项、投标价格构成不合理、不平衡报价等存在明显异常的问题。</w:t>
      </w:r>
    </w:p>
    <w:p w14:paraId="027940C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.2.2澄清、说明和补正内容不得改变投标文件的实质性内容（算术性错误修正的除外）。投标人的书面澄清、说明和补正属于投标文件的组成部分。</w:t>
      </w:r>
    </w:p>
    <w:p w14:paraId="70432F1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2.3评标委员会针对需要投标人对所提交投标文件中不明确的内容进行书面澄清、说明或补正。澄清通知不得向投标人提出带有暗示性或诱导性问题，或向其明确投标文件中的遗漏和错误。投标人接到评标委员会发出的书面澄清通知后，应按评标委员会的要求提供书面澄清资料，并在规定的时间递交到指定地点。评标委员会不接受投标人主动提出的澄清、说明或补正。</w:t>
      </w:r>
    </w:p>
    <w:p w14:paraId="77612A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.2.4评标委员会对投标人提交的澄清、说明或补正有疑问的，可以要求投标人进一步澄清、说明或补正，直至满足评标委员会的要求。</w:t>
      </w:r>
    </w:p>
    <w:p w14:paraId="7B10DE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.3评委评分：评委按照《详细评审标准》评分，投标人详细评审得分等于全部评委评分的算术平均值。</w:t>
      </w:r>
    </w:p>
    <w:p w14:paraId="61EBCA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.4 算术错误修正：投标价格有算术错误或前后不一致的，评标委员会按以下原则对投标价格进行修正：</w:t>
      </w:r>
    </w:p>
    <w:p w14:paraId="025CDA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电子交易平台中报价与</w:t>
      </w:r>
      <w:r>
        <w:rPr>
          <w:rFonts w:hint="eastAsia" w:ascii="仿宋" w:hAnsi="仿宋" w:eastAsia="仿宋" w:cs="仿宋"/>
          <w:color w:val="auto"/>
          <w:kern w:val="0"/>
          <w:sz w:val="24"/>
          <w:szCs w:val="24"/>
          <w:highlight w:val="none"/>
        </w:rPr>
        <w:t>投标文件相应内容不一致的，以投标文件为准；</w:t>
      </w:r>
    </w:p>
    <w:p w14:paraId="36AF96C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与投标文件中相应内容不一致的，以</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为准；</w:t>
      </w:r>
    </w:p>
    <w:p w14:paraId="3872DFB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1014B3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）单价金额小数点或者百分比有明显错位的，以</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的总价为准，并修改单价；</w:t>
      </w:r>
    </w:p>
    <w:p w14:paraId="50D3BB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）总价金额与按单价汇总金额不一致的，以单价金额计算结果为准。</w:t>
      </w:r>
    </w:p>
    <w:p w14:paraId="409AF3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同时出现两种以上不一致的，按照</w:t>
      </w:r>
      <w:r>
        <w:rPr>
          <w:rFonts w:hint="eastAsia" w:ascii="仿宋" w:hAnsi="仿宋" w:eastAsia="仿宋" w:cs="仿宋"/>
          <w:color w:val="auto"/>
          <w:kern w:val="0"/>
          <w:sz w:val="24"/>
          <w:szCs w:val="24"/>
          <w:highlight w:val="none"/>
          <w:lang w:val="en-US" w:eastAsia="zh-CN"/>
        </w:rPr>
        <w:t>上述</w:t>
      </w:r>
      <w:r>
        <w:rPr>
          <w:rFonts w:hint="eastAsia" w:ascii="仿宋" w:hAnsi="仿宋" w:eastAsia="仿宋" w:cs="仿宋"/>
          <w:color w:val="auto"/>
          <w:kern w:val="0"/>
          <w:sz w:val="24"/>
          <w:szCs w:val="24"/>
          <w:highlight w:val="none"/>
        </w:rPr>
        <w:t>的顺序修正。修正后的报价经投标人确认后产生约束力，投标人不确认或不接受的，其投标无效。</w:t>
      </w:r>
    </w:p>
    <w:p w14:paraId="2AC8AD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.5投标报价评分：对投标报价进行投标报价得分计算，计算方法详见评标办法前附表。</w:t>
      </w:r>
    </w:p>
    <w:p w14:paraId="495D9A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.6汇总评分结果，评分分值计算保留小数点后两位，小数点后第三位“四舍五入”。</w:t>
      </w:r>
    </w:p>
    <w:p w14:paraId="42EED5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.7详细评审工作全部结束后，投标人总得分排序按照以下原则进行。</w:t>
      </w:r>
    </w:p>
    <w:p w14:paraId="563F1E6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.7.1按照总得分由高到低顺序对投标人进行排序；</w:t>
      </w:r>
    </w:p>
    <w:p w14:paraId="7DC54FD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.7.2总得分相同时报价低的投标人排序靠前；</w:t>
      </w:r>
    </w:p>
    <w:p w14:paraId="556E054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.7.3总得分相同且报价相同的投标人，由采购人确定排序顺序；</w:t>
      </w:r>
    </w:p>
    <w:p w14:paraId="11F34E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推荐中标候选人及提交评标报告</w:t>
      </w:r>
    </w:p>
    <w:p w14:paraId="330A3A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.1评标委员会推荐中标候选人，总得分排序第一的投标人将被确定为第一中标候选人，以此类推确定出规定数量的的中标候选人。</w:t>
      </w:r>
    </w:p>
    <w:p w14:paraId="5F17A1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.2当通过了资格审查、完备性及符合性审查后，投标</w:t>
      </w:r>
      <w:r>
        <w:rPr>
          <w:rFonts w:hint="eastAsia" w:ascii="仿宋" w:hAnsi="仿宋" w:eastAsia="仿宋" w:cs="仿宋"/>
          <w:color w:val="auto"/>
          <w:kern w:val="0"/>
          <w:sz w:val="24"/>
          <w:szCs w:val="24"/>
          <w:highlight w:val="none"/>
          <w:lang w:val="en-US" w:eastAsia="zh-CN"/>
        </w:rPr>
        <w:t>人</w:t>
      </w:r>
      <w:r>
        <w:rPr>
          <w:rFonts w:hint="eastAsia" w:ascii="仿宋" w:hAnsi="仿宋" w:eastAsia="仿宋" w:cs="仿宋"/>
          <w:color w:val="auto"/>
          <w:kern w:val="0"/>
          <w:sz w:val="24"/>
          <w:szCs w:val="24"/>
          <w:highlight w:val="none"/>
        </w:rPr>
        <w:t>少于3个时，采购人应当依法重新招标。</w:t>
      </w:r>
    </w:p>
    <w:p w14:paraId="5B463E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.3 评标委员会完成评标后，应当向采购人提交书面评标报告。</w:t>
      </w:r>
    </w:p>
    <w:p w14:paraId="7F7115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特殊情况的处置程序</w:t>
      </w:r>
    </w:p>
    <w:p w14:paraId="32CF165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.1 关于评标活动暂停</w:t>
      </w:r>
    </w:p>
    <w:p w14:paraId="64A3E0F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应当执行连续评标的原则，按评标办法中规定的程序、内容、方法、标准完成全部评标工作。只有发生不可抗力导致评标工作无法继续时，评标活动方可暂停。发生评标暂停情况时，应当封存全部投标文件和评标记录，待不可抗力的影响结束且具备继续评标的条件时，由原评标委员会继续评标。</w:t>
      </w:r>
    </w:p>
    <w:p w14:paraId="505F78A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.2关于评标中途更换评委</w:t>
      </w:r>
    </w:p>
    <w:p w14:paraId="5CE47EC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.2.1 除非发生下列情况之一，评标委员会成员不得在评标中途更换：</w:t>
      </w:r>
    </w:p>
    <w:p w14:paraId="1EFAB00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（1）因不可抗拒的客观原因，不能到场或需在评标中途退出评标活动。</w:t>
      </w:r>
    </w:p>
    <w:p w14:paraId="7266599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（2）根据法律法规规定，某个或某几个评标委员会成员需要回避。</w:t>
      </w:r>
    </w:p>
    <w:p w14:paraId="2ACC9F1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.2.2 退出评标的评标委员会成员，其已完成的评标行为无效，由更换的评委进行评标。</w:t>
      </w:r>
    </w:p>
    <w:p w14:paraId="33CA474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.3 在评标环节中，需评标委员会就某项定性的评审结论做出表决的，由评标委员会全体成员按照少数服从多数的原则确定。</w:t>
      </w:r>
    </w:p>
    <w:bookmarkEnd w:id="55"/>
    <w:p w14:paraId="4109DD7D">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902AA74">
      <w:pPr>
        <w:spacing w:line="440" w:lineRule="exact"/>
        <w:jc w:val="center"/>
        <w:outlineLvl w:val="0"/>
        <w:rPr>
          <w:rFonts w:hint="eastAsia" w:ascii="仿宋" w:hAnsi="仿宋" w:eastAsia="仿宋" w:cs="仿宋"/>
          <w:b/>
          <w:color w:val="auto"/>
          <w:sz w:val="24"/>
          <w:szCs w:val="24"/>
          <w:highlight w:val="none"/>
          <w:lang w:val="en-US" w:eastAsia="zh-CN"/>
        </w:rPr>
      </w:pPr>
      <w:bookmarkStart w:id="64" w:name="_Toc16854"/>
      <w:r>
        <w:rPr>
          <w:rFonts w:hint="eastAsia" w:ascii="仿宋" w:hAnsi="仿宋" w:eastAsia="仿宋" w:cs="仿宋"/>
          <w:b/>
          <w:color w:val="auto"/>
          <w:sz w:val="24"/>
          <w:szCs w:val="24"/>
          <w:highlight w:val="none"/>
        </w:rPr>
        <w:t>第三章 合同</w:t>
      </w:r>
      <w:r>
        <w:rPr>
          <w:rFonts w:hint="eastAsia" w:ascii="仿宋" w:hAnsi="仿宋" w:eastAsia="仿宋" w:cs="仿宋"/>
          <w:b/>
          <w:color w:val="auto"/>
          <w:sz w:val="24"/>
          <w:szCs w:val="24"/>
          <w:highlight w:val="none"/>
          <w:lang w:val="en-US" w:eastAsia="zh-CN"/>
        </w:rPr>
        <w:t>文本</w:t>
      </w:r>
      <w:bookmarkEnd w:id="64"/>
    </w:p>
    <w:p w14:paraId="67F0628B">
      <w:pPr>
        <w:rPr>
          <w:rFonts w:hint="eastAsia" w:ascii="仿宋" w:hAnsi="仿宋" w:eastAsia="仿宋" w:cs="仿宋"/>
          <w:color w:val="auto"/>
          <w:highlight w:val="none"/>
        </w:rPr>
      </w:pPr>
    </w:p>
    <w:p w14:paraId="68530622">
      <w:pPr>
        <w:spacing w:line="360" w:lineRule="auto"/>
        <w:jc w:val="center"/>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注：本合同文本供参考，具体内容以双方签订的为准。</w:t>
      </w:r>
    </w:p>
    <w:p w14:paraId="19320C9D">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合同登记编号：</w:t>
      </w:r>
    </w:p>
    <w:tbl>
      <w:tblPr>
        <w:tblStyle w:val="39"/>
        <w:tblpPr w:leftFromText="180" w:rightFromText="180" w:vertAnchor="text" w:horzAnchor="margin" w:tblpXSpec="center" w:tblpY="2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
        <w:gridCol w:w="414"/>
        <w:gridCol w:w="414"/>
        <w:gridCol w:w="414"/>
        <w:gridCol w:w="314"/>
        <w:gridCol w:w="414"/>
        <w:gridCol w:w="414"/>
        <w:gridCol w:w="414"/>
        <w:gridCol w:w="397"/>
        <w:gridCol w:w="320"/>
        <w:gridCol w:w="415"/>
        <w:gridCol w:w="415"/>
        <w:gridCol w:w="415"/>
        <w:gridCol w:w="415"/>
        <w:gridCol w:w="415"/>
        <w:gridCol w:w="415"/>
        <w:gridCol w:w="415"/>
        <w:gridCol w:w="430"/>
        <w:gridCol w:w="400"/>
      </w:tblGrid>
      <w:tr w14:paraId="35BD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trPr>
        <w:tc>
          <w:tcPr>
            <w:tcW w:w="430" w:type="dxa"/>
            <w:noWrap w:val="0"/>
            <w:vAlign w:val="top"/>
          </w:tcPr>
          <w:p w14:paraId="2D27F507">
            <w:pPr>
              <w:jc w:val="center"/>
              <w:rPr>
                <w:rFonts w:hint="eastAsia" w:ascii="仿宋" w:hAnsi="仿宋" w:eastAsia="仿宋" w:cs="仿宋"/>
                <w:b/>
                <w:bCs/>
                <w:color w:val="auto"/>
                <w:sz w:val="32"/>
                <w:highlight w:val="none"/>
              </w:rPr>
            </w:pPr>
          </w:p>
        </w:tc>
        <w:tc>
          <w:tcPr>
            <w:tcW w:w="414" w:type="dxa"/>
            <w:noWrap w:val="0"/>
            <w:vAlign w:val="top"/>
          </w:tcPr>
          <w:p w14:paraId="5138C4D3">
            <w:pPr>
              <w:jc w:val="center"/>
              <w:rPr>
                <w:rFonts w:hint="eastAsia" w:ascii="仿宋" w:hAnsi="仿宋" w:eastAsia="仿宋" w:cs="仿宋"/>
                <w:b/>
                <w:bCs/>
                <w:color w:val="auto"/>
                <w:sz w:val="32"/>
                <w:highlight w:val="none"/>
              </w:rPr>
            </w:pPr>
          </w:p>
        </w:tc>
        <w:tc>
          <w:tcPr>
            <w:tcW w:w="414" w:type="dxa"/>
            <w:noWrap w:val="0"/>
            <w:vAlign w:val="top"/>
          </w:tcPr>
          <w:p w14:paraId="16BC91A8">
            <w:pPr>
              <w:jc w:val="center"/>
              <w:rPr>
                <w:rFonts w:hint="eastAsia" w:ascii="仿宋" w:hAnsi="仿宋" w:eastAsia="仿宋" w:cs="仿宋"/>
                <w:b/>
                <w:bCs/>
                <w:color w:val="auto"/>
                <w:sz w:val="32"/>
                <w:highlight w:val="none"/>
              </w:rPr>
            </w:pPr>
          </w:p>
        </w:tc>
        <w:tc>
          <w:tcPr>
            <w:tcW w:w="414" w:type="dxa"/>
            <w:noWrap w:val="0"/>
            <w:vAlign w:val="top"/>
          </w:tcPr>
          <w:p w14:paraId="4AC399F3">
            <w:pPr>
              <w:jc w:val="center"/>
              <w:rPr>
                <w:rFonts w:hint="eastAsia" w:ascii="仿宋" w:hAnsi="仿宋" w:eastAsia="仿宋" w:cs="仿宋"/>
                <w:b/>
                <w:bCs/>
                <w:color w:val="auto"/>
                <w:sz w:val="32"/>
                <w:highlight w:val="none"/>
              </w:rPr>
            </w:pPr>
          </w:p>
        </w:tc>
        <w:tc>
          <w:tcPr>
            <w:tcW w:w="314" w:type="dxa"/>
            <w:tcBorders>
              <w:top w:val="nil"/>
              <w:bottom w:val="nil"/>
            </w:tcBorders>
            <w:noWrap w:val="0"/>
            <w:vAlign w:val="top"/>
          </w:tcPr>
          <w:p w14:paraId="652BA9A1">
            <w:pPr>
              <w:jc w:val="center"/>
              <w:rPr>
                <w:rFonts w:hint="eastAsia" w:ascii="仿宋" w:hAnsi="仿宋" w:eastAsia="仿宋" w:cs="仿宋"/>
                <w:b/>
                <w:bCs/>
                <w:color w:val="auto"/>
                <w:sz w:val="32"/>
                <w:highlight w:val="none"/>
              </w:rPr>
            </w:pPr>
          </w:p>
        </w:tc>
        <w:tc>
          <w:tcPr>
            <w:tcW w:w="414" w:type="dxa"/>
            <w:noWrap w:val="0"/>
            <w:vAlign w:val="top"/>
          </w:tcPr>
          <w:p w14:paraId="0C91393E">
            <w:pPr>
              <w:jc w:val="center"/>
              <w:rPr>
                <w:rFonts w:hint="eastAsia" w:ascii="仿宋" w:hAnsi="仿宋" w:eastAsia="仿宋" w:cs="仿宋"/>
                <w:b/>
                <w:bCs/>
                <w:color w:val="auto"/>
                <w:sz w:val="32"/>
                <w:highlight w:val="none"/>
              </w:rPr>
            </w:pPr>
          </w:p>
        </w:tc>
        <w:tc>
          <w:tcPr>
            <w:tcW w:w="414" w:type="dxa"/>
            <w:noWrap w:val="0"/>
            <w:vAlign w:val="top"/>
          </w:tcPr>
          <w:p w14:paraId="2755B2FC">
            <w:pPr>
              <w:jc w:val="center"/>
              <w:rPr>
                <w:rFonts w:hint="eastAsia" w:ascii="仿宋" w:hAnsi="仿宋" w:eastAsia="仿宋" w:cs="仿宋"/>
                <w:b/>
                <w:bCs/>
                <w:color w:val="auto"/>
                <w:sz w:val="32"/>
                <w:highlight w:val="none"/>
              </w:rPr>
            </w:pPr>
          </w:p>
        </w:tc>
        <w:tc>
          <w:tcPr>
            <w:tcW w:w="414" w:type="dxa"/>
            <w:noWrap w:val="0"/>
            <w:vAlign w:val="top"/>
          </w:tcPr>
          <w:p w14:paraId="763B18C5">
            <w:pPr>
              <w:jc w:val="center"/>
              <w:rPr>
                <w:rFonts w:hint="eastAsia" w:ascii="仿宋" w:hAnsi="仿宋" w:eastAsia="仿宋" w:cs="仿宋"/>
                <w:b/>
                <w:bCs/>
                <w:color w:val="auto"/>
                <w:sz w:val="32"/>
                <w:highlight w:val="none"/>
              </w:rPr>
            </w:pPr>
          </w:p>
        </w:tc>
        <w:tc>
          <w:tcPr>
            <w:tcW w:w="397" w:type="dxa"/>
            <w:tcBorders>
              <w:top w:val="single" w:color="auto" w:sz="4" w:space="0"/>
              <w:bottom w:val="single" w:color="auto" w:sz="4" w:space="0"/>
            </w:tcBorders>
            <w:noWrap w:val="0"/>
            <w:vAlign w:val="top"/>
          </w:tcPr>
          <w:p w14:paraId="3ECF70F0">
            <w:pPr>
              <w:jc w:val="center"/>
              <w:rPr>
                <w:rFonts w:hint="eastAsia" w:ascii="仿宋" w:hAnsi="仿宋" w:eastAsia="仿宋" w:cs="仿宋"/>
                <w:b/>
                <w:bCs/>
                <w:color w:val="auto"/>
                <w:sz w:val="32"/>
                <w:highlight w:val="none"/>
              </w:rPr>
            </w:pPr>
          </w:p>
        </w:tc>
        <w:tc>
          <w:tcPr>
            <w:tcW w:w="320" w:type="dxa"/>
            <w:tcBorders>
              <w:top w:val="nil"/>
              <w:bottom w:val="nil"/>
            </w:tcBorders>
            <w:noWrap w:val="0"/>
            <w:vAlign w:val="top"/>
          </w:tcPr>
          <w:p w14:paraId="2A2E01C0">
            <w:pPr>
              <w:jc w:val="center"/>
              <w:rPr>
                <w:rFonts w:hint="eastAsia" w:ascii="仿宋" w:hAnsi="仿宋" w:eastAsia="仿宋" w:cs="仿宋"/>
                <w:b/>
                <w:bCs/>
                <w:color w:val="auto"/>
                <w:sz w:val="32"/>
                <w:highlight w:val="none"/>
              </w:rPr>
            </w:pPr>
          </w:p>
        </w:tc>
        <w:tc>
          <w:tcPr>
            <w:tcW w:w="415" w:type="dxa"/>
            <w:tcBorders>
              <w:top w:val="single" w:color="auto" w:sz="4" w:space="0"/>
            </w:tcBorders>
            <w:noWrap w:val="0"/>
            <w:vAlign w:val="top"/>
          </w:tcPr>
          <w:p w14:paraId="61A1A018">
            <w:pPr>
              <w:jc w:val="center"/>
              <w:rPr>
                <w:rFonts w:hint="eastAsia" w:ascii="仿宋" w:hAnsi="仿宋" w:eastAsia="仿宋" w:cs="仿宋"/>
                <w:b/>
                <w:bCs/>
                <w:color w:val="auto"/>
                <w:sz w:val="32"/>
                <w:highlight w:val="none"/>
              </w:rPr>
            </w:pPr>
          </w:p>
        </w:tc>
        <w:tc>
          <w:tcPr>
            <w:tcW w:w="415" w:type="dxa"/>
            <w:tcBorders>
              <w:top w:val="single" w:color="auto" w:sz="4" w:space="0"/>
            </w:tcBorders>
            <w:noWrap w:val="0"/>
            <w:vAlign w:val="top"/>
          </w:tcPr>
          <w:p w14:paraId="51B6D751">
            <w:pPr>
              <w:jc w:val="center"/>
              <w:rPr>
                <w:rFonts w:hint="eastAsia" w:ascii="仿宋" w:hAnsi="仿宋" w:eastAsia="仿宋" w:cs="仿宋"/>
                <w:b/>
                <w:bCs/>
                <w:color w:val="auto"/>
                <w:sz w:val="32"/>
                <w:highlight w:val="none"/>
              </w:rPr>
            </w:pPr>
          </w:p>
        </w:tc>
        <w:tc>
          <w:tcPr>
            <w:tcW w:w="415" w:type="dxa"/>
            <w:tcBorders>
              <w:top w:val="nil"/>
              <w:bottom w:val="nil"/>
            </w:tcBorders>
            <w:noWrap w:val="0"/>
            <w:vAlign w:val="top"/>
          </w:tcPr>
          <w:p w14:paraId="0C53144E">
            <w:pPr>
              <w:jc w:val="center"/>
              <w:rPr>
                <w:rFonts w:hint="eastAsia" w:ascii="仿宋" w:hAnsi="仿宋" w:eastAsia="仿宋" w:cs="仿宋"/>
                <w:b/>
                <w:bCs/>
                <w:color w:val="auto"/>
                <w:sz w:val="32"/>
                <w:highlight w:val="none"/>
              </w:rPr>
            </w:pPr>
          </w:p>
        </w:tc>
        <w:tc>
          <w:tcPr>
            <w:tcW w:w="415" w:type="dxa"/>
            <w:tcBorders>
              <w:top w:val="single" w:color="auto" w:sz="4" w:space="0"/>
            </w:tcBorders>
            <w:noWrap w:val="0"/>
            <w:vAlign w:val="top"/>
          </w:tcPr>
          <w:p w14:paraId="0A40EE9E">
            <w:pPr>
              <w:jc w:val="center"/>
              <w:rPr>
                <w:rFonts w:hint="eastAsia" w:ascii="仿宋" w:hAnsi="仿宋" w:eastAsia="仿宋" w:cs="仿宋"/>
                <w:b/>
                <w:bCs/>
                <w:color w:val="auto"/>
                <w:sz w:val="32"/>
                <w:highlight w:val="none"/>
              </w:rPr>
            </w:pPr>
          </w:p>
        </w:tc>
        <w:tc>
          <w:tcPr>
            <w:tcW w:w="415" w:type="dxa"/>
            <w:tcBorders>
              <w:top w:val="single" w:color="auto" w:sz="4" w:space="0"/>
            </w:tcBorders>
            <w:noWrap w:val="0"/>
            <w:vAlign w:val="top"/>
          </w:tcPr>
          <w:p w14:paraId="4E0FD0F0">
            <w:pPr>
              <w:jc w:val="center"/>
              <w:rPr>
                <w:rFonts w:hint="eastAsia" w:ascii="仿宋" w:hAnsi="仿宋" w:eastAsia="仿宋" w:cs="仿宋"/>
                <w:b/>
                <w:bCs/>
                <w:color w:val="auto"/>
                <w:sz w:val="32"/>
                <w:highlight w:val="none"/>
              </w:rPr>
            </w:pPr>
          </w:p>
        </w:tc>
        <w:tc>
          <w:tcPr>
            <w:tcW w:w="415" w:type="dxa"/>
            <w:noWrap w:val="0"/>
            <w:vAlign w:val="top"/>
          </w:tcPr>
          <w:p w14:paraId="52D87BCD">
            <w:pPr>
              <w:rPr>
                <w:rFonts w:hint="eastAsia" w:ascii="仿宋" w:hAnsi="仿宋" w:eastAsia="仿宋" w:cs="仿宋"/>
                <w:b/>
                <w:bCs/>
                <w:color w:val="auto"/>
                <w:sz w:val="32"/>
                <w:highlight w:val="none"/>
              </w:rPr>
            </w:pPr>
          </w:p>
        </w:tc>
        <w:tc>
          <w:tcPr>
            <w:tcW w:w="415" w:type="dxa"/>
            <w:noWrap w:val="0"/>
            <w:vAlign w:val="top"/>
          </w:tcPr>
          <w:p w14:paraId="62538F54">
            <w:pPr>
              <w:rPr>
                <w:rFonts w:hint="eastAsia" w:ascii="仿宋" w:hAnsi="仿宋" w:eastAsia="仿宋" w:cs="仿宋"/>
                <w:b/>
                <w:bCs/>
                <w:color w:val="auto"/>
                <w:sz w:val="32"/>
                <w:highlight w:val="none"/>
              </w:rPr>
            </w:pPr>
          </w:p>
        </w:tc>
        <w:tc>
          <w:tcPr>
            <w:tcW w:w="430" w:type="dxa"/>
            <w:noWrap w:val="0"/>
            <w:vAlign w:val="top"/>
          </w:tcPr>
          <w:p w14:paraId="292919F9">
            <w:pPr>
              <w:rPr>
                <w:rFonts w:hint="eastAsia" w:ascii="仿宋" w:hAnsi="仿宋" w:eastAsia="仿宋" w:cs="仿宋"/>
                <w:b/>
                <w:bCs/>
                <w:color w:val="auto"/>
                <w:sz w:val="32"/>
                <w:highlight w:val="none"/>
              </w:rPr>
            </w:pPr>
          </w:p>
        </w:tc>
        <w:tc>
          <w:tcPr>
            <w:tcW w:w="400" w:type="dxa"/>
            <w:noWrap w:val="0"/>
            <w:vAlign w:val="top"/>
          </w:tcPr>
          <w:p w14:paraId="71110DD2">
            <w:pPr>
              <w:rPr>
                <w:rFonts w:hint="eastAsia" w:ascii="仿宋" w:hAnsi="仿宋" w:eastAsia="仿宋" w:cs="仿宋"/>
                <w:b/>
                <w:bCs/>
                <w:color w:val="auto"/>
                <w:sz w:val="32"/>
                <w:highlight w:val="none"/>
              </w:rPr>
            </w:pPr>
          </w:p>
        </w:tc>
      </w:tr>
    </w:tbl>
    <w:p w14:paraId="6E359CAC">
      <w:pPr>
        <w:jc w:val="center"/>
        <w:rPr>
          <w:rFonts w:hint="eastAsia" w:ascii="仿宋" w:hAnsi="仿宋" w:eastAsia="仿宋" w:cs="仿宋"/>
          <w:color w:val="auto"/>
          <w:sz w:val="52"/>
          <w:highlight w:val="none"/>
        </w:rPr>
      </w:pPr>
    </w:p>
    <w:p w14:paraId="05692B1D">
      <w:pPr>
        <w:jc w:val="center"/>
        <w:rPr>
          <w:rFonts w:hint="eastAsia" w:ascii="仿宋" w:hAnsi="仿宋" w:eastAsia="仿宋" w:cs="仿宋"/>
          <w:b/>
          <w:bCs/>
          <w:color w:val="auto"/>
          <w:sz w:val="52"/>
          <w:highlight w:val="none"/>
        </w:rPr>
      </w:pPr>
      <w:r>
        <w:rPr>
          <w:rFonts w:hint="eastAsia" w:ascii="仿宋" w:hAnsi="仿宋" w:eastAsia="仿宋" w:cs="仿宋"/>
          <w:b/>
          <w:bCs/>
          <w:color w:val="auto"/>
          <w:sz w:val="52"/>
          <w:highlight w:val="none"/>
        </w:rPr>
        <w:t>技术开发（委托）合同</w:t>
      </w:r>
    </w:p>
    <w:p w14:paraId="7C6F7C19">
      <w:pPr>
        <w:jc w:val="center"/>
        <w:rPr>
          <w:rFonts w:hint="eastAsia" w:ascii="仿宋" w:hAnsi="仿宋" w:eastAsia="仿宋" w:cs="仿宋"/>
          <w:color w:val="auto"/>
          <w:sz w:val="36"/>
          <w:highlight w:val="none"/>
        </w:rPr>
      </w:pPr>
    </w:p>
    <w:p w14:paraId="6922C8D5">
      <w:pPr>
        <w:spacing w:line="552" w:lineRule="auto"/>
        <w:ind w:right="-31" w:rightChars="-15"/>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 </w:t>
      </w:r>
      <w:r>
        <w:rPr>
          <w:rFonts w:hint="eastAsia" w:ascii="仿宋" w:hAnsi="仿宋" w:eastAsia="仿宋" w:cs="仿宋"/>
          <w:b/>
          <w:bCs/>
          <w:color w:val="auto"/>
          <w:sz w:val="36"/>
          <w:highlight w:val="none"/>
        </w:rPr>
        <w:t xml:space="preserve"> </w:t>
      </w:r>
      <w:r>
        <w:rPr>
          <w:rFonts w:hint="eastAsia" w:ascii="仿宋" w:hAnsi="仿宋" w:eastAsia="仿宋" w:cs="仿宋"/>
          <w:color w:val="auto"/>
          <w:sz w:val="36"/>
          <w:highlight w:val="none"/>
        </w:rPr>
        <w:t xml:space="preserve"> </w:t>
      </w:r>
      <w:r>
        <w:rPr>
          <w:rFonts w:hint="eastAsia" w:ascii="仿宋" w:hAnsi="仿宋" w:eastAsia="仿宋" w:cs="仿宋"/>
          <w:b/>
          <w:bCs/>
          <w:color w:val="auto"/>
          <w:sz w:val="36"/>
          <w:highlight w:val="none"/>
        </w:rPr>
        <w:t>项目名称：</w:t>
      </w:r>
      <w:r>
        <w:rPr>
          <w:rFonts w:hint="eastAsia" w:ascii="仿宋" w:hAnsi="仿宋" w:eastAsia="仿宋" w:cs="仿宋"/>
          <w:color w:val="auto"/>
          <w:sz w:val="36"/>
          <w:highlight w:val="none"/>
          <w:u w:val="single"/>
        </w:rPr>
        <w:t xml:space="preserve">                                </w:t>
      </w:r>
      <w:r>
        <w:rPr>
          <w:rFonts w:hint="eastAsia" w:ascii="仿宋" w:hAnsi="仿宋" w:eastAsia="仿宋" w:cs="仿宋"/>
          <w:color w:val="auto"/>
          <w:sz w:val="36"/>
          <w:highlight w:val="none"/>
        </w:rPr>
        <w:t xml:space="preserve">  </w:t>
      </w:r>
    </w:p>
    <w:p w14:paraId="11A7BDBE">
      <w:pPr>
        <w:spacing w:line="552" w:lineRule="auto"/>
        <w:ind w:right="-15"/>
        <w:rPr>
          <w:rFonts w:hint="eastAsia" w:ascii="仿宋" w:hAnsi="仿宋" w:eastAsia="仿宋" w:cs="仿宋"/>
          <w:b/>
          <w:bCs/>
          <w:color w:val="auto"/>
          <w:sz w:val="36"/>
          <w:highlight w:val="none"/>
          <w:u w:val="single"/>
        </w:rPr>
      </w:pPr>
      <w:r>
        <w:rPr>
          <w:rFonts w:hint="eastAsia" w:ascii="仿宋" w:hAnsi="仿宋" w:eastAsia="仿宋" w:cs="仿宋"/>
          <w:color w:val="auto"/>
          <w:sz w:val="36"/>
          <w:highlight w:val="none"/>
        </w:rPr>
        <w:t xml:space="preserve">   </w:t>
      </w:r>
      <w:r>
        <w:rPr>
          <w:rFonts w:hint="eastAsia" w:ascii="仿宋" w:hAnsi="仿宋" w:eastAsia="仿宋" w:cs="仿宋"/>
          <w:b/>
          <w:bCs/>
          <w:color w:val="auto"/>
          <w:sz w:val="36"/>
          <w:highlight w:val="none"/>
        </w:rPr>
        <w:t>委托方（甲方）：</w:t>
      </w:r>
      <w:r>
        <w:rPr>
          <w:rFonts w:hint="eastAsia" w:ascii="仿宋" w:hAnsi="仿宋" w:eastAsia="仿宋" w:cs="仿宋"/>
          <w:color w:val="auto"/>
          <w:sz w:val="36"/>
          <w:highlight w:val="none"/>
          <w:u w:val="single"/>
        </w:rPr>
        <w:t xml:space="preserve">                           </w:t>
      </w:r>
    </w:p>
    <w:p w14:paraId="556E9DF1">
      <w:pPr>
        <w:spacing w:line="552" w:lineRule="auto"/>
        <w:ind w:right="-15"/>
        <w:rPr>
          <w:rFonts w:hint="eastAsia" w:ascii="仿宋" w:hAnsi="仿宋" w:eastAsia="仿宋" w:cs="仿宋"/>
          <w:color w:val="auto"/>
          <w:sz w:val="36"/>
          <w:highlight w:val="none"/>
          <w:u w:val="single"/>
        </w:rPr>
      </w:pPr>
      <w:r>
        <w:rPr>
          <w:rFonts w:hint="eastAsia" w:ascii="仿宋" w:hAnsi="仿宋" w:eastAsia="仿宋" w:cs="仿宋"/>
          <w:color w:val="auto"/>
          <w:sz w:val="36"/>
          <w:highlight w:val="none"/>
        </w:rPr>
        <w:t xml:space="preserve">                 </w:t>
      </w:r>
      <w:r>
        <w:rPr>
          <w:rFonts w:hint="eastAsia" w:ascii="仿宋" w:hAnsi="仿宋" w:eastAsia="仿宋" w:cs="仿宋"/>
          <w:color w:val="auto"/>
          <w:sz w:val="36"/>
          <w:highlight w:val="none"/>
          <w:u w:val="single"/>
        </w:rPr>
        <w:t xml:space="preserve">                            </w:t>
      </w:r>
    </w:p>
    <w:p w14:paraId="4291FC4A">
      <w:pPr>
        <w:spacing w:line="552" w:lineRule="auto"/>
        <w:ind w:right="-15" w:firstLine="360" w:firstLineChars="100"/>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 </w:t>
      </w:r>
      <w:r>
        <w:rPr>
          <w:rFonts w:hint="eastAsia" w:ascii="仿宋" w:hAnsi="仿宋" w:eastAsia="仿宋" w:cs="仿宋"/>
          <w:b/>
          <w:bCs/>
          <w:color w:val="auto"/>
          <w:sz w:val="36"/>
          <w:highlight w:val="none"/>
        </w:rPr>
        <w:t>受托方（乙方）：</w:t>
      </w:r>
      <w:r>
        <w:rPr>
          <w:rFonts w:hint="eastAsia" w:ascii="仿宋" w:hAnsi="仿宋" w:eastAsia="仿宋" w:cs="仿宋"/>
          <w:color w:val="auto"/>
          <w:sz w:val="36"/>
          <w:highlight w:val="none"/>
          <w:u w:val="single"/>
        </w:rPr>
        <w:t xml:space="preserve">                           </w:t>
      </w:r>
    </w:p>
    <w:p w14:paraId="77F5F7F7">
      <w:pPr>
        <w:spacing w:line="552" w:lineRule="auto"/>
        <w:ind w:left="-540" w:right="-15"/>
        <w:rPr>
          <w:rFonts w:hint="eastAsia" w:ascii="仿宋" w:hAnsi="仿宋" w:eastAsia="仿宋" w:cs="仿宋"/>
          <w:color w:val="auto"/>
          <w:sz w:val="36"/>
          <w:highlight w:val="none"/>
          <w:u w:val="single"/>
        </w:rPr>
      </w:pPr>
      <w:r>
        <w:rPr>
          <w:rFonts w:hint="eastAsia" w:ascii="仿宋" w:hAnsi="仿宋" w:eastAsia="仿宋" w:cs="仿宋"/>
          <w:color w:val="auto"/>
          <w:sz w:val="36"/>
          <w:highlight w:val="none"/>
        </w:rPr>
        <w:t xml:space="preserve">                    </w:t>
      </w:r>
      <w:r>
        <w:rPr>
          <w:rFonts w:hint="eastAsia" w:ascii="仿宋" w:hAnsi="仿宋" w:eastAsia="仿宋" w:cs="仿宋"/>
          <w:color w:val="auto"/>
          <w:sz w:val="36"/>
          <w:highlight w:val="none"/>
          <w:u w:val="single"/>
        </w:rPr>
        <w:t xml:space="preserve">                            </w:t>
      </w:r>
    </w:p>
    <w:p w14:paraId="4EB09B23">
      <w:pPr>
        <w:spacing w:line="552" w:lineRule="auto"/>
        <w:ind w:left="-180" w:right="-15"/>
        <w:rPr>
          <w:rFonts w:hint="eastAsia" w:ascii="仿宋" w:hAnsi="仿宋" w:eastAsia="仿宋" w:cs="仿宋"/>
          <w:color w:val="auto"/>
          <w:sz w:val="36"/>
          <w:highlight w:val="none"/>
          <w:u w:val="single"/>
        </w:rPr>
      </w:pPr>
      <w:r>
        <w:rPr>
          <w:rFonts w:hint="eastAsia" w:ascii="仿宋" w:hAnsi="仿宋" w:eastAsia="仿宋" w:cs="仿宋"/>
          <w:color w:val="auto"/>
          <w:sz w:val="36"/>
          <w:highlight w:val="none"/>
        </w:rPr>
        <w:t xml:space="preserve">    </w:t>
      </w:r>
      <w:r>
        <w:rPr>
          <w:rFonts w:hint="eastAsia" w:ascii="仿宋" w:hAnsi="仿宋" w:eastAsia="仿宋" w:cs="仿宋"/>
          <w:b/>
          <w:bCs/>
          <w:color w:val="auto"/>
          <w:sz w:val="36"/>
          <w:highlight w:val="none"/>
        </w:rPr>
        <w:t>签订时间：</w:t>
      </w:r>
      <w:r>
        <w:rPr>
          <w:rFonts w:hint="eastAsia" w:ascii="仿宋" w:hAnsi="仿宋" w:eastAsia="仿宋" w:cs="仿宋"/>
          <w:color w:val="auto"/>
          <w:sz w:val="36"/>
          <w:highlight w:val="none"/>
          <w:u w:val="single"/>
        </w:rPr>
        <w:t xml:space="preserve">                                </w:t>
      </w:r>
    </w:p>
    <w:p w14:paraId="6F272318">
      <w:pPr>
        <w:spacing w:line="552" w:lineRule="auto"/>
        <w:ind w:right="-15"/>
        <w:rPr>
          <w:rFonts w:hint="eastAsia" w:ascii="仿宋" w:hAnsi="仿宋" w:eastAsia="仿宋" w:cs="仿宋"/>
          <w:b/>
          <w:bCs/>
          <w:color w:val="auto"/>
          <w:sz w:val="36"/>
          <w:highlight w:val="none"/>
        </w:rPr>
      </w:pPr>
      <w:r>
        <w:rPr>
          <w:rFonts w:hint="eastAsia" w:ascii="仿宋" w:hAnsi="仿宋" w:eastAsia="仿宋" w:cs="仿宋"/>
          <w:color w:val="auto"/>
          <w:sz w:val="36"/>
          <w:highlight w:val="none"/>
        </w:rPr>
        <w:t xml:space="preserve">   </w:t>
      </w:r>
      <w:r>
        <w:rPr>
          <w:rFonts w:hint="eastAsia" w:ascii="仿宋" w:hAnsi="仿宋" w:eastAsia="仿宋" w:cs="仿宋"/>
          <w:b/>
          <w:bCs/>
          <w:color w:val="auto"/>
          <w:sz w:val="36"/>
          <w:highlight w:val="none"/>
        </w:rPr>
        <w:t>签订地点：</w:t>
      </w:r>
      <w:r>
        <w:rPr>
          <w:rFonts w:hint="eastAsia" w:ascii="仿宋" w:hAnsi="仿宋" w:eastAsia="仿宋" w:cs="仿宋"/>
          <w:color w:val="auto"/>
          <w:sz w:val="36"/>
          <w:highlight w:val="none"/>
          <w:u w:val="single"/>
        </w:rPr>
        <w:t xml:space="preserve">                                </w:t>
      </w:r>
      <w:r>
        <w:rPr>
          <w:rFonts w:hint="eastAsia" w:ascii="仿宋" w:hAnsi="仿宋" w:eastAsia="仿宋" w:cs="仿宋"/>
          <w:color w:val="auto"/>
          <w:sz w:val="36"/>
          <w:highlight w:val="none"/>
        </w:rPr>
        <w:t xml:space="preserve">   </w:t>
      </w:r>
      <w:r>
        <w:rPr>
          <w:rFonts w:hint="eastAsia" w:ascii="仿宋" w:hAnsi="仿宋" w:eastAsia="仿宋" w:cs="仿宋"/>
          <w:b/>
          <w:bCs/>
          <w:color w:val="auto"/>
          <w:sz w:val="36"/>
          <w:highlight w:val="none"/>
        </w:rPr>
        <w:t xml:space="preserve"> </w:t>
      </w:r>
    </w:p>
    <w:p w14:paraId="1F19E29A">
      <w:pPr>
        <w:spacing w:line="552" w:lineRule="auto"/>
        <w:ind w:right="-15"/>
        <w:rPr>
          <w:rFonts w:hint="eastAsia" w:ascii="仿宋" w:hAnsi="仿宋" w:eastAsia="仿宋" w:cs="仿宋"/>
          <w:color w:val="auto"/>
          <w:sz w:val="36"/>
          <w:highlight w:val="none"/>
          <w:u w:val="single"/>
        </w:rPr>
      </w:pPr>
      <w:r>
        <w:rPr>
          <w:rFonts w:hint="eastAsia" w:ascii="仿宋" w:hAnsi="仿宋" w:eastAsia="仿宋" w:cs="仿宋"/>
          <w:color w:val="auto"/>
          <w:sz w:val="36"/>
          <w:highlight w:val="none"/>
        </w:rPr>
        <w:t xml:space="preserve">  </w:t>
      </w:r>
      <w:r>
        <w:rPr>
          <w:rFonts w:hint="eastAsia" w:ascii="仿宋" w:hAnsi="仿宋" w:eastAsia="仿宋" w:cs="仿宋"/>
          <w:b/>
          <w:bCs/>
          <w:color w:val="auto"/>
          <w:sz w:val="36"/>
          <w:highlight w:val="none"/>
        </w:rPr>
        <w:t xml:space="preserve"> 有效期限：</w:t>
      </w:r>
      <w:r>
        <w:rPr>
          <w:rFonts w:hint="eastAsia" w:ascii="仿宋" w:hAnsi="仿宋" w:eastAsia="仿宋" w:cs="仿宋"/>
          <w:color w:val="auto"/>
          <w:sz w:val="36"/>
          <w:highlight w:val="none"/>
          <w:u w:val="single"/>
        </w:rPr>
        <w:t xml:space="preserve">                                </w:t>
      </w:r>
    </w:p>
    <w:p w14:paraId="76DE2F16">
      <w:pPr>
        <w:spacing w:line="600" w:lineRule="auto"/>
        <w:ind w:right="-15"/>
        <w:rPr>
          <w:rFonts w:hint="eastAsia" w:ascii="仿宋" w:hAnsi="仿宋" w:eastAsia="仿宋" w:cs="仿宋"/>
          <w:color w:val="auto"/>
          <w:sz w:val="30"/>
          <w:highlight w:val="none"/>
        </w:rPr>
      </w:pPr>
      <w:r>
        <w:rPr>
          <w:rFonts w:hint="eastAsia" w:ascii="仿宋" w:hAnsi="仿宋" w:eastAsia="仿宋" w:cs="仿宋"/>
          <w:color w:val="auto"/>
          <w:sz w:val="36"/>
          <w:highlight w:val="none"/>
        </w:rPr>
        <w:t xml:space="preserve">         </w:t>
      </w:r>
    </w:p>
    <w:p w14:paraId="529AA1D1">
      <w:pPr>
        <w:ind w:right="-210" w:rightChars="-100"/>
        <w:rPr>
          <w:rFonts w:hint="eastAsia" w:ascii="仿宋" w:hAnsi="仿宋" w:eastAsia="仿宋" w:cs="仿宋"/>
          <w:color w:val="auto"/>
          <w:sz w:val="30"/>
          <w:highlight w:val="none"/>
        </w:rPr>
      </w:pPr>
    </w:p>
    <w:p w14:paraId="71D8CA49">
      <w:pPr>
        <w:jc w:val="center"/>
        <w:rPr>
          <w:rFonts w:hint="eastAsia" w:ascii="仿宋" w:hAnsi="仿宋" w:eastAsia="仿宋" w:cs="仿宋"/>
          <w:color w:val="auto"/>
          <w:sz w:val="36"/>
          <w:highlight w:val="none"/>
        </w:rPr>
      </w:pPr>
      <w:r>
        <w:rPr>
          <w:rFonts w:hint="eastAsia" w:ascii="仿宋" w:hAnsi="仿宋" w:eastAsia="仿宋" w:cs="仿宋"/>
          <w:color w:val="auto"/>
          <w:sz w:val="36"/>
          <w:highlight w:val="none"/>
        </w:rPr>
        <w:t>中华人民共和国科学技术部印制</w:t>
      </w:r>
    </w:p>
    <w:p w14:paraId="3CD84860">
      <w:pPr>
        <w:jc w:val="center"/>
        <w:rPr>
          <w:rFonts w:hint="eastAsia" w:ascii="仿宋" w:hAnsi="仿宋" w:eastAsia="仿宋" w:cs="仿宋"/>
          <w:b/>
          <w:bCs/>
          <w:color w:val="auto"/>
          <w:sz w:val="36"/>
          <w:highlight w:val="none"/>
        </w:rPr>
      </w:pPr>
    </w:p>
    <w:p w14:paraId="56EE5229">
      <w:pPr>
        <w:jc w:val="center"/>
        <w:rPr>
          <w:rFonts w:hint="eastAsia" w:ascii="仿宋" w:hAnsi="仿宋" w:eastAsia="仿宋" w:cs="仿宋"/>
          <w:color w:val="auto"/>
          <w:sz w:val="32"/>
          <w:highlight w:val="none"/>
        </w:rPr>
      </w:pPr>
    </w:p>
    <w:p w14:paraId="188EC0C2">
      <w:pPr>
        <w:jc w:val="center"/>
        <w:rPr>
          <w:rFonts w:hint="eastAsia" w:ascii="仿宋" w:hAnsi="仿宋" w:eastAsia="仿宋" w:cs="仿宋"/>
          <w:color w:val="auto"/>
          <w:sz w:val="36"/>
          <w:highlight w:val="none"/>
        </w:rPr>
        <w:sectPr>
          <w:footerReference r:id="rId10" w:type="first"/>
          <w:footerReference r:id="rId8" w:type="default"/>
          <w:footerReference r:id="rId9" w:type="even"/>
          <w:pgSz w:w="11906" w:h="16838"/>
          <w:pgMar w:top="1304" w:right="1469" w:bottom="1304" w:left="1469" w:header="851" w:footer="992" w:gutter="0"/>
          <w:pgNumType w:fmt="decimal"/>
          <w:cols w:space="425" w:num="1"/>
          <w:titlePg/>
          <w:docGrid w:type="lines" w:linePitch="312" w:charSpace="0"/>
        </w:sectPr>
      </w:pPr>
    </w:p>
    <w:p w14:paraId="246EB304">
      <w:pPr>
        <w:jc w:val="center"/>
        <w:rPr>
          <w:rFonts w:hint="eastAsia" w:ascii="仿宋" w:hAnsi="仿宋" w:eastAsia="仿宋" w:cs="仿宋"/>
          <w:color w:val="auto"/>
          <w:sz w:val="36"/>
          <w:highlight w:val="none"/>
        </w:rPr>
      </w:pPr>
    </w:p>
    <w:p w14:paraId="2D829293">
      <w:pPr>
        <w:jc w:val="center"/>
        <w:rPr>
          <w:rFonts w:hint="eastAsia" w:ascii="仿宋" w:hAnsi="仿宋" w:eastAsia="仿宋" w:cs="仿宋"/>
          <w:color w:val="auto"/>
          <w:sz w:val="36"/>
          <w:highlight w:val="none"/>
        </w:rPr>
      </w:pPr>
    </w:p>
    <w:p w14:paraId="299CF1E4">
      <w:pPr>
        <w:spacing w:line="360" w:lineRule="auto"/>
        <w:jc w:val="center"/>
        <w:rPr>
          <w:rFonts w:hint="eastAsia" w:ascii="仿宋" w:hAnsi="仿宋" w:eastAsia="仿宋" w:cs="仿宋"/>
          <w:color w:val="auto"/>
          <w:sz w:val="13"/>
          <w:highlight w:val="none"/>
        </w:rPr>
      </w:pPr>
      <w:r>
        <w:rPr>
          <w:rFonts w:hint="eastAsia" w:ascii="仿宋" w:hAnsi="仿宋" w:eastAsia="仿宋" w:cs="仿宋"/>
          <w:color w:val="auto"/>
          <w:sz w:val="36"/>
          <w:highlight w:val="none"/>
        </w:rPr>
        <w:t>填 写 说 明</w:t>
      </w:r>
    </w:p>
    <w:p w14:paraId="368B9A3F">
      <w:pPr>
        <w:spacing w:line="360" w:lineRule="auto"/>
        <w:jc w:val="center"/>
        <w:rPr>
          <w:rFonts w:hint="eastAsia" w:ascii="仿宋" w:hAnsi="仿宋" w:eastAsia="仿宋" w:cs="仿宋"/>
          <w:color w:val="auto"/>
          <w:sz w:val="13"/>
          <w:highlight w:val="none"/>
        </w:rPr>
      </w:pPr>
    </w:p>
    <w:p w14:paraId="3D366112">
      <w:pPr>
        <w:numPr>
          <w:ilvl w:val="0"/>
          <w:numId w:val="3"/>
        </w:numPr>
        <w:spacing w:line="96"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本合同为中华人民共和国科学技术部印制的技术开发（委托）</w:t>
      </w:r>
    </w:p>
    <w:p w14:paraId="45385A31">
      <w:pPr>
        <w:spacing w:line="96"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合同示范文本，各技术合同登记机构可推介技术合同当事人参照使用。</w:t>
      </w:r>
    </w:p>
    <w:p w14:paraId="3AEB999B">
      <w:pPr>
        <w:numPr>
          <w:ilvl w:val="0"/>
          <w:numId w:val="3"/>
        </w:num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本合同书适用于一方当事人委托另一方当事人进行新技术、新</w:t>
      </w:r>
    </w:p>
    <w:p w14:paraId="3516B88B">
      <w:pPr>
        <w:spacing w:line="48" w:lineRule="auto"/>
        <w:rPr>
          <w:rFonts w:hint="eastAsia" w:ascii="仿宋" w:hAnsi="仿宋" w:eastAsia="仿宋" w:cs="仿宋"/>
          <w:color w:val="auto"/>
          <w:spacing w:val="6"/>
          <w:sz w:val="28"/>
          <w:highlight w:val="none"/>
        </w:rPr>
      </w:pPr>
      <w:r>
        <w:rPr>
          <w:rFonts w:hint="eastAsia" w:ascii="仿宋" w:hAnsi="仿宋" w:eastAsia="仿宋" w:cs="仿宋"/>
          <w:color w:val="auto"/>
          <w:spacing w:val="6"/>
          <w:sz w:val="28"/>
          <w:highlight w:val="none"/>
        </w:rPr>
        <w:t>产品、新工艺、新材料或者新品种及其系统的研究开发所订立的技术开</w:t>
      </w:r>
    </w:p>
    <w:p w14:paraId="44F2C088">
      <w:p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发合同。</w:t>
      </w:r>
    </w:p>
    <w:p w14:paraId="7EB763AC">
      <w:pPr>
        <w:numPr>
          <w:ilvl w:val="0"/>
          <w:numId w:val="3"/>
        </w:num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签约一方为多个当事人的，可按各自在合同关系中的作用等，</w:t>
      </w:r>
    </w:p>
    <w:p w14:paraId="25D0D78F">
      <w:p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在“委托方”、“受托方”项下（增页）分别排列为共同委托人或共同受</w:t>
      </w:r>
    </w:p>
    <w:p w14:paraId="40B06165">
      <w:p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托人。</w:t>
      </w:r>
    </w:p>
    <w:p w14:paraId="1B0E2002">
      <w:pPr>
        <w:numPr>
          <w:ilvl w:val="0"/>
          <w:numId w:val="3"/>
        </w:num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本合同书未尽事项，可由当事人附页另行约定，并可作为本合</w:t>
      </w:r>
    </w:p>
    <w:p w14:paraId="3691A899">
      <w:p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同的组成部分。</w:t>
      </w:r>
    </w:p>
    <w:p w14:paraId="4AA5E161">
      <w:pPr>
        <w:numPr>
          <w:ilvl w:val="0"/>
          <w:numId w:val="3"/>
        </w:num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当事人使用本合同书时约定无需填写的条款，应在该条款处注</w:t>
      </w:r>
    </w:p>
    <w:p w14:paraId="1F84039A">
      <w:pPr>
        <w:spacing w:line="48"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明“无”等字样。</w:t>
      </w:r>
    </w:p>
    <w:p w14:paraId="16772274">
      <w:pP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w:t>
      </w:r>
    </w:p>
    <w:p w14:paraId="7D6A5729">
      <w:pPr>
        <w:rPr>
          <w:rFonts w:hint="eastAsia" w:ascii="仿宋" w:hAnsi="仿宋" w:eastAsia="仿宋" w:cs="仿宋"/>
          <w:color w:val="auto"/>
          <w:sz w:val="28"/>
          <w:highlight w:val="none"/>
        </w:rPr>
      </w:pPr>
    </w:p>
    <w:p w14:paraId="73B95CD7">
      <w:pPr>
        <w:rPr>
          <w:rFonts w:hint="eastAsia" w:ascii="仿宋" w:hAnsi="仿宋" w:eastAsia="仿宋" w:cs="仿宋"/>
          <w:color w:val="auto"/>
          <w:sz w:val="28"/>
          <w:highlight w:val="none"/>
        </w:rPr>
      </w:pPr>
    </w:p>
    <w:p w14:paraId="7B780324">
      <w:pPr>
        <w:rPr>
          <w:rFonts w:hint="eastAsia" w:ascii="仿宋" w:hAnsi="仿宋" w:eastAsia="仿宋" w:cs="仿宋"/>
          <w:color w:val="auto"/>
          <w:sz w:val="28"/>
          <w:highlight w:val="none"/>
        </w:rPr>
      </w:pPr>
    </w:p>
    <w:p w14:paraId="2A969840">
      <w:pPr>
        <w:rPr>
          <w:rFonts w:hint="eastAsia" w:ascii="仿宋" w:hAnsi="仿宋" w:eastAsia="仿宋" w:cs="仿宋"/>
          <w:color w:val="auto"/>
          <w:sz w:val="28"/>
          <w:highlight w:val="none"/>
        </w:rPr>
      </w:pPr>
    </w:p>
    <w:p w14:paraId="55BC8ECF">
      <w:pPr>
        <w:rPr>
          <w:rFonts w:hint="eastAsia" w:ascii="仿宋" w:hAnsi="仿宋" w:eastAsia="仿宋" w:cs="仿宋"/>
          <w:color w:val="auto"/>
          <w:sz w:val="28"/>
          <w:highlight w:val="none"/>
        </w:rPr>
      </w:pPr>
    </w:p>
    <w:p w14:paraId="5D566BCC">
      <w:pPr>
        <w:ind w:firstLine="2520" w:firstLineChars="700"/>
        <w:rPr>
          <w:rFonts w:hint="eastAsia" w:ascii="仿宋" w:hAnsi="仿宋" w:eastAsia="仿宋" w:cs="仿宋"/>
          <w:color w:val="auto"/>
          <w:sz w:val="36"/>
          <w:highlight w:val="none"/>
        </w:rPr>
        <w:sectPr>
          <w:pgSz w:w="11906" w:h="16838"/>
          <w:pgMar w:top="1304" w:right="1469" w:bottom="1304" w:left="1469" w:header="851" w:footer="992" w:gutter="0"/>
          <w:pgNumType w:fmt="decimal"/>
          <w:cols w:space="425" w:num="1"/>
          <w:titlePg/>
          <w:docGrid w:type="lines" w:linePitch="312" w:charSpace="0"/>
        </w:sectPr>
      </w:pPr>
    </w:p>
    <w:p w14:paraId="345348AA">
      <w:pPr>
        <w:spacing w:line="360" w:lineRule="auto"/>
        <w:ind w:firstLine="1680" w:firstLineChars="700"/>
        <w:rPr>
          <w:rFonts w:hint="eastAsia" w:ascii="仿宋" w:hAnsi="仿宋" w:eastAsia="仿宋" w:cs="仿宋"/>
          <w:color w:val="auto"/>
          <w:sz w:val="24"/>
          <w:szCs w:val="24"/>
          <w:highlight w:val="none"/>
        </w:rPr>
      </w:pPr>
    </w:p>
    <w:p w14:paraId="7A3CC3DB">
      <w:pPr>
        <w:spacing w:line="360" w:lineRule="auto"/>
        <w:ind w:firstLine="1920" w:firstLineChars="8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技术开发（委托）合同</w:t>
      </w:r>
    </w:p>
    <w:p w14:paraId="78194304">
      <w:pPr>
        <w:spacing w:line="360" w:lineRule="auto"/>
        <w:ind w:firstLine="1920" w:firstLineChars="800"/>
        <w:rPr>
          <w:rFonts w:hint="eastAsia" w:ascii="仿宋" w:hAnsi="仿宋" w:eastAsia="仿宋" w:cs="仿宋"/>
          <w:color w:val="auto"/>
          <w:sz w:val="24"/>
          <w:szCs w:val="24"/>
          <w:highlight w:val="none"/>
        </w:rPr>
      </w:pPr>
    </w:p>
    <w:p w14:paraId="6751561A">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委托方（甲方）：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D0F9E7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住  所  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B3341B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w:t>
      </w:r>
    </w:p>
    <w:p w14:paraId="31C847FE">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项目联系人：</w:t>
      </w:r>
      <w:r>
        <w:rPr>
          <w:rFonts w:hint="eastAsia" w:ascii="仿宋" w:hAnsi="仿宋" w:eastAsia="仿宋" w:cs="仿宋"/>
          <w:color w:val="auto"/>
          <w:sz w:val="24"/>
          <w:szCs w:val="24"/>
          <w:highlight w:val="none"/>
          <w:u w:val="single"/>
        </w:rPr>
        <w:t xml:space="preserve">                                            </w:t>
      </w:r>
    </w:p>
    <w:p w14:paraId="05440A4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联系方式</w:t>
      </w:r>
    </w:p>
    <w:p w14:paraId="69F35C70">
      <w:pPr>
        <w:tabs>
          <w:tab w:val="left" w:pos="8100"/>
        </w:tabs>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通讯地址：</w:t>
      </w:r>
      <w:r>
        <w:rPr>
          <w:rFonts w:hint="eastAsia" w:ascii="仿宋" w:hAnsi="仿宋" w:eastAsia="仿宋" w:cs="仿宋"/>
          <w:color w:val="auto"/>
          <w:sz w:val="24"/>
          <w:szCs w:val="24"/>
          <w:highlight w:val="none"/>
          <w:u w:val="single"/>
        </w:rPr>
        <w:t xml:space="preserve">                                              </w:t>
      </w:r>
    </w:p>
    <w:p w14:paraId="4F7AE89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p>
    <w:p w14:paraId="0ED3853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9BC1F60">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受托方（乙方）：</w:t>
      </w:r>
      <w:r>
        <w:rPr>
          <w:rFonts w:hint="eastAsia" w:ascii="仿宋" w:hAnsi="仿宋" w:eastAsia="仿宋" w:cs="仿宋"/>
          <w:color w:val="auto"/>
          <w:sz w:val="24"/>
          <w:szCs w:val="24"/>
          <w:highlight w:val="none"/>
          <w:u w:val="single"/>
        </w:rPr>
        <w:t xml:space="preserve">                                           </w:t>
      </w:r>
    </w:p>
    <w:p w14:paraId="66E4D41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住  所  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F3DEA1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w:t>
      </w:r>
    </w:p>
    <w:p w14:paraId="5B29A8D0">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项目联系人：</w:t>
      </w:r>
      <w:r>
        <w:rPr>
          <w:rFonts w:hint="eastAsia" w:ascii="仿宋" w:hAnsi="仿宋" w:eastAsia="仿宋" w:cs="仿宋"/>
          <w:color w:val="auto"/>
          <w:sz w:val="24"/>
          <w:szCs w:val="24"/>
          <w:highlight w:val="none"/>
          <w:u w:val="single"/>
        </w:rPr>
        <w:t xml:space="preserve">                                            </w:t>
      </w:r>
    </w:p>
    <w:p w14:paraId="00C753B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联系方式 </w:t>
      </w:r>
    </w:p>
    <w:p w14:paraId="4E50A394">
      <w:pPr>
        <w:tabs>
          <w:tab w:val="left" w:pos="8100"/>
        </w:tabs>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通讯地址：</w:t>
      </w:r>
      <w:r>
        <w:rPr>
          <w:rFonts w:hint="eastAsia" w:ascii="仿宋" w:hAnsi="仿宋" w:eastAsia="仿宋" w:cs="仿宋"/>
          <w:color w:val="auto"/>
          <w:sz w:val="24"/>
          <w:szCs w:val="24"/>
          <w:highlight w:val="none"/>
          <w:u w:val="single"/>
        </w:rPr>
        <w:t xml:space="preserve">                                              </w:t>
      </w:r>
    </w:p>
    <w:p w14:paraId="43BF45C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p>
    <w:p w14:paraId="39BE346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5F20518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12E17A8">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本合同甲方委托乙方研究开发</w:t>
      </w:r>
      <w:r>
        <w:rPr>
          <w:rFonts w:hint="eastAsia" w:ascii="仿宋" w:hAnsi="仿宋" w:eastAsia="仿宋" w:cs="仿宋"/>
          <w:color w:val="auto"/>
          <w:sz w:val="24"/>
          <w:szCs w:val="24"/>
          <w:highlight w:val="none"/>
          <w:u w:val="single"/>
        </w:rPr>
        <w:t xml:space="preserve">                                </w:t>
      </w:r>
    </w:p>
    <w:p w14:paraId="084BB30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项目，并支付研究开发经费和</w:t>
      </w:r>
    </w:p>
    <w:p w14:paraId="1246C5C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报酬,  乙方接受委托并进行此项研究开发工作。双方经过平等协商，在</w:t>
      </w:r>
    </w:p>
    <w:p w14:paraId="6E40157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真实、充分地表达各自意愿的基础上，根据《中华人民共和国</w:t>
      </w:r>
      <w:r>
        <w:rPr>
          <w:rFonts w:hint="eastAsia" w:ascii="仿宋" w:hAnsi="仿宋" w:eastAsia="仿宋" w:cs="仿宋"/>
          <w:color w:val="auto"/>
          <w:sz w:val="24"/>
          <w:szCs w:val="24"/>
          <w:highlight w:val="none"/>
          <w:lang w:val="en-US" w:eastAsia="zh-CN"/>
        </w:rPr>
        <w:t>民法典</w:t>
      </w:r>
      <w:r>
        <w:rPr>
          <w:rFonts w:hint="eastAsia" w:ascii="仿宋" w:hAnsi="仿宋" w:eastAsia="仿宋" w:cs="仿宋"/>
          <w:color w:val="auto"/>
          <w:sz w:val="24"/>
          <w:szCs w:val="24"/>
          <w:highlight w:val="none"/>
        </w:rPr>
        <w:t>》</w:t>
      </w:r>
    </w:p>
    <w:p w14:paraId="77A24C1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的规定，达成如下协议，并由双方共同恪守。</w:t>
      </w:r>
    </w:p>
    <w:p w14:paraId="630B973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第一条  本合同研究开发项目的要求如下：</w:t>
      </w:r>
    </w:p>
    <w:p w14:paraId="1F54692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6467E59">
      <w:pPr>
        <w:spacing w:line="360" w:lineRule="auto"/>
        <w:ind w:firstLine="720" w:firstLineChars="3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1．技术目标：</w:t>
      </w:r>
      <w:r>
        <w:rPr>
          <w:rFonts w:hint="eastAsia" w:ascii="仿宋" w:hAnsi="仿宋" w:eastAsia="仿宋" w:cs="仿宋"/>
          <w:color w:val="auto"/>
          <w:sz w:val="24"/>
          <w:szCs w:val="24"/>
          <w:highlight w:val="none"/>
          <w:u w:val="single"/>
        </w:rPr>
        <w:t xml:space="preserve">                                          </w:t>
      </w:r>
    </w:p>
    <w:p w14:paraId="3D41F14D">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6EA0FDA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381C21D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FF5387D">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2．技术内容：</w:t>
      </w:r>
      <w:r>
        <w:rPr>
          <w:rFonts w:hint="eastAsia" w:ascii="仿宋" w:hAnsi="仿宋" w:eastAsia="仿宋" w:cs="仿宋"/>
          <w:color w:val="auto"/>
          <w:sz w:val="24"/>
          <w:szCs w:val="24"/>
          <w:highlight w:val="none"/>
          <w:u w:val="single"/>
        </w:rPr>
        <w:t xml:space="preserve">                                          </w:t>
      </w:r>
    </w:p>
    <w:p w14:paraId="71F76AC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52F0E1E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20E76CF2">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3BE6FBA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CD36B78">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3．技术方法和路线：</w:t>
      </w:r>
      <w:r>
        <w:rPr>
          <w:rFonts w:hint="eastAsia" w:ascii="仿宋" w:hAnsi="仿宋" w:eastAsia="仿宋" w:cs="仿宋"/>
          <w:color w:val="auto"/>
          <w:sz w:val="24"/>
          <w:szCs w:val="24"/>
          <w:highlight w:val="none"/>
          <w:u w:val="single"/>
        </w:rPr>
        <w:t xml:space="preserve">                                    </w:t>
      </w:r>
    </w:p>
    <w:p w14:paraId="31DE1DAE">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345EBE3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07451DB4">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038B23D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7F1EF6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第二条  乙方应在本合同生效后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日内向甲方提交研究开发计</w:t>
      </w:r>
    </w:p>
    <w:p w14:paraId="6B1BE84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划。研究开发计划应包括以下主要内容：</w:t>
      </w:r>
    </w:p>
    <w:p w14:paraId="279FE1D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730294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DA43CD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C5D1AF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F300B4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第三条  乙方应按下列进度完成研究开发工作：</w:t>
      </w:r>
    </w:p>
    <w:p w14:paraId="75F090A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4FA012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509907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E236B4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FD8D03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第四条  甲方应向乙方提供的技术资料及协作事项如下：</w:t>
      </w:r>
    </w:p>
    <w:p w14:paraId="3AE447AC">
      <w:pPr>
        <w:tabs>
          <w:tab w:val="left" w:pos="54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E269961">
      <w:pPr>
        <w:tabs>
          <w:tab w:val="left" w:pos="540"/>
        </w:tabs>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1．技术资料清单：</w:t>
      </w:r>
      <w:r>
        <w:rPr>
          <w:rFonts w:hint="eastAsia" w:ascii="仿宋" w:hAnsi="仿宋" w:eastAsia="仿宋" w:cs="仿宋"/>
          <w:color w:val="auto"/>
          <w:sz w:val="24"/>
          <w:szCs w:val="24"/>
          <w:highlight w:val="none"/>
          <w:u w:val="single"/>
        </w:rPr>
        <w:t xml:space="preserve">                                       </w:t>
      </w:r>
    </w:p>
    <w:p w14:paraId="2952949D">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6A6D9FD0">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74ED3F1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FB814B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2．提供时间和方式：</w:t>
      </w:r>
      <w:r>
        <w:rPr>
          <w:rFonts w:hint="eastAsia" w:ascii="仿宋" w:hAnsi="仿宋" w:eastAsia="仿宋" w:cs="仿宋"/>
          <w:color w:val="auto"/>
          <w:sz w:val="24"/>
          <w:szCs w:val="24"/>
          <w:highlight w:val="none"/>
          <w:u w:val="single"/>
        </w:rPr>
        <w:t xml:space="preserve">                                     </w:t>
      </w:r>
    </w:p>
    <w:p w14:paraId="2C2A3B4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0F99C1C">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3．其他协作事项：</w:t>
      </w:r>
      <w:r>
        <w:rPr>
          <w:rFonts w:hint="eastAsia" w:ascii="仿宋" w:hAnsi="仿宋" w:eastAsia="仿宋" w:cs="仿宋"/>
          <w:color w:val="auto"/>
          <w:sz w:val="24"/>
          <w:szCs w:val="24"/>
          <w:highlight w:val="none"/>
          <w:u w:val="single"/>
        </w:rPr>
        <w:t xml:space="preserve">                                       </w:t>
      </w:r>
    </w:p>
    <w:p w14:paraId="5748382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367A641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484C45A">
      <w:pPr>
        <w:spacing w:line="360" w:lineRule="auto"/>
        <w:ind w:firstLine="576"/>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本合同履行完毕后，上述技术资料按以下方式处理：</w:t>
      </w:r>
      <w:r>
        <w:rPr>
          <w:rFonts w:hint="eastAsia" w:ascii="仿宋" w:hAnsi="仿宋" w:eastAsia="仿宋" w:cs="仿宋"/>
          <w:color w:val="auto"/>
          <w:sz w:val="24"/>
          <w:szCs w:val="24"/>
          <w:highlight w:val="none"/>
          <w:u w:val="single"/>
        </w:rPr>
        <w:t xml:space="preserve">           </w:t>
      </w:r>
    </w:p>
    <w:p w14:paraId="3BDDC494">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6FC819E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FDD6F8D">
      <w:pPr>
        <w:tabs>
          <w:tab w:val="left" w:pos="54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第五条  甲方应按以下方式支付研究开发经费和报酬：</w:t>
      </w:r>
    </w:p>
    <w:p w14:paraId="6BAD23B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1．研究开发经费和报酬总额为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AB8982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其中：（1）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82A7F3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01020A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602238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4F883FA">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研究开发经费由甲方  分期      （一次、分期或提成）支付乙</w:t>
      </w:r>
    </w:p>
    <w:p w14:paraId="35D8A051">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方。具体支付方式和时间如下：   </w:t>
      </w:r>
    </w:p>
    <w:p w14:paraId="6F821E47">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合同签订后10个工作日内，甲方向乙方支付合同总额的70%，即XX元（人民币XXX元整）。                                           </w:t>
      </w:r>
    </w:p>
    <w:p w14:paraId="2DE10867">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项目通过验收后支付30%，即XX元（人民币XXX元整）。 </w:t>
      </w:r>
    </w:p>
    <w:p w14:paraId="2E51B23F">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                                                  </w:t>
      </w:r>
    </w:p>
    <w:p w14:paraId="4B741257">
      <w:pPr>
        <w:spacing w:line="360" w:lineRule="auto"/>
        <w:ind w:firstLine="720" w:firstLineChars="3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（4）                                                  </w:t>
      </w:r>
    </w:p>
    <w:p w14:paraId="61FA922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乙方开户银行名称、地址和帐号为：</w:t>
      </w:r>
    </w:p>
    <w:p w14:paraId="3E524E08">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4024955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2F014EB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CC91EBC">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帐号：</w:t>
      </w:r>
      <w:r>
        <w:rPr>
          <w:rFonts w:hint="eastAsia" w:ascii="仿宋" w:hAnsi="仿宋" w:eastAsia="仿宋" w:cs="仿宋"/>
          <w:color w:val="auto"/>
          <w:sz w:val="24"/>
          <w:szCs w:val="24"/>
          <w:highlight w:val="none"/>
          <w:u w:val="single"/>
        </w:rPr>
        <w:t xml:space="preserve">                                                     </w:t>
      </w:r>
    </w:p>
    <w:p w14:paraId="366A47C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3．双方确定，甲方以实施研究开发成果所产生的利益提成支付乙</w:t>
      </w:r>
    </w:p>
    <w:p w14:paraId="543CE28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方的研究开发经费和报酬的，乙方有权以</w:t>
      </w:r>
      <w:r>
        <w:rPr>
          <w:rFonts w:hint="eastAsia" w:ascii="仿宋" w:hAnsi="仿宋" w:eastAsia="仿宋" w:cs="仿宋"/>
          <w:color w:val="auto"/>
          <w:sz w:val="24"/>
          <w:szCs w:val="24"/>
          <w:highlight w:val="none"/>
          <w:u w:val="single"/>
        </w:rPr>
        <w:t xml:space="preserve">                           </w:t>
      </w:r>
    </w:p>
    <w:p w14:paraId="34BA116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的方式查阅甲方有关的会计帐目。</w:t>
      </w:r>
    </w:p>
    <w:p w14:paraId="39B4D56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6"/>
          <w:sz w:val="24"/>
          <w:szCs w:val="24"/>
          <w:highlight w:val="none"/>
        </w:rPr>
        <w:t>第六条</w:t>
      </w:r>
      <w:r>
        <w:rPr>
          <w:rFonts w:hint="eastAsia" w:ascii="仿宋" w:hAnsi="仿宋" w:eastAsia="仿宋" w:cs="仿宋"/>
          <w:color w:val="auto"/>
          <w:sz w:val="24"/>
          <w:szCs w:val="24"/>
          <w:highlight w:val="none"/>
        </w:rPr>
        <w:t xml:space="preserve">  本合同的研究开发经费由乙方以</w:t>
      </w:r>
      <w:r>
        <w:rPr>
          <w:rFonts w:hint="eastAsia" w:ascii="仿宋" w:hAnsi="仿宋" w:eastAsia="仿宋" w:cs="仿宋"/>
          <w:color w:val="auto"/>
          <w:sz w:val="24"/>
          <w:szCs w:val="24"/>
          <w:highlight w:val="none"/>
          <w:u w:val="single"/>
        </w:rPr>
        <w:t xml:space="preserve">                       </w:t>
      </w:r>
    </w:p>
    <w:p w14:paraId="00A16DA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的方式使用。甲方有权以</w:t>
      </w:r>
      <w:r>
        <w:rPr>
          <w:rFonts w:hint="eastAsia" w:ascii="仿宋" w:hAnsi="仿宋" w:eastAsia="仿宋" w:cs="仿宋"/>
          <w:color w:val="auto"/>
          <w:sz w:val="24"/>
          <w:szCs w:val="24"/>
          <w:highlight w:val="none"/>
          <w:u w:val="single"/>
        </w:rPr>
        <w:t xml:space="preserve">            </w:t>
      </w:r>
    </w:p>
    <w:p w14:paraId="1DE0DA6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的方式检查乙方进行研究开发工作和</w:t>
      </w:r>
    </w:p>
    <w:p w14:paraId="0C53991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使用研究开发经费的情况，但不得妨碍乙方的正常工作。</w:t>
      </w:r>
    </w:p>
    <w:p w14:paraId="52B0E19A">
      <w:pPr>
        <w:numPr>
          <w:ilvl w:val="0"/>
          <w:numId w:val="4"/>
        </w:numPr>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本合同的变更必须由双方协商一致，并以书面形式确定 。</w:t>
      </w:r>
    </w:p>
    <w:p w14:paraId="160DF5F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但有下列情形之一的，</w:t>
      </w:r>
      <w:r>
        <w:rPr>
          <w:rFonts w:hint="eastAsia" w:ascii="仿宋" w:hAnsi="仿宋" w:eastAsia="仿宋" w:cs="仿宋"/>
          <w:color w:val="auto"/>
          <w:sz w:val="24"/>
          <w:szCs w:val="24"/>
          <w:highlight w:val="none"/>
        </w:rPr>
        <w:t>一方可以向另一方提出变更合同权利与义务的请</w:t>
      </w:r>
    </w:p>
    <w:p w14:paraId="5479E86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求，另一方应当在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日内予以答复；逾期未予答复的，视为同意。</w:t>
      </w:r>
    </w:p>
    <w:p w14:paraId="69495EA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11C694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C3F707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D66A7E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B547561">
      <w:pPr>
        <w:numPr>
          <w:ilvl w:val="0"/>
          <w:numId w:val="4"/>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未经甲方同意，乙方不得将本合同项目部分或全部研究开</w:t>
      </w:r>
    </w:p>
    <w:p w14:paraId="1358AEB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发工作转让第三人承担。但有下列情况之一的，乙方可以不经甲方同意，将本合同项目部分或全部研究开发工作转让第三人承担：</w:t>
      </w:r>
    </w:p>
    <w:p w14:paraId="4052069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4F9801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6E94AD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21530F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4A8F89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乙方可以转让研究开发工作的具体内容包括：</w:t>
      </w:r>
      <w:r>
        <w:rPr>
          <w:rFonts w:hint="eastAsia" w:ascii="仿宋" w:hAnsi="仿宋" w:eastAsia="仿宋" w:cs="仿宋"/>
          <w:color w:val="auto"/>
          <w:sz w:val="24"/>
          <w:szCs w:val="24"/>
          <w:highlight w:val="none"/>
          <w:u w:val="single"/>
        </w:rPr>
        <w:t xml:space="preserve">                 </w:t>
      </w:r>
    </w:p>
    <w:p w14:paraId="27E9EBCB">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76742E8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62879A9">
      <w:pPr>
        <w:numPr>
          <w:ilvl w:val="0"/>
          <w:numId w:val="4"/>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在本合同履行中，因出现在现有技术水平和条件下难以克</w:t>
      </w:r>
    </w:p>
    <w:p w14:paraId="51DC130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服的技术困难，导致研究开发失败或部分失败，并造成一方或双方损失</w:t>
      </w:r>
    </w:p>
    <w:p w14:paraId="116AAEA6">
      <w:pPr>
        <w:spacing w:line="360" w:lineRule="auto"/>
        <w:rPr>
          <w:rFonts w:hint="eastAsia" w:ascii="仿宋" w:hAnsi="仿宋" w:eastAsia="仿宋" w:cs="仿宋"/>
          <w:color w:val="auto"/>
          <w:sz w:val="24"/>
          <w:szCs w:val="24"/>
          <w:highlight w:val="none"/>
        </w:rPr>
      </w:pPr>
    </w:p>
    <w:p w14:paraId="1C31128D">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的，双方按如下约定承担风险损失：</w:t>
      </w:r>
      <w:r>
        <w:rPr>
          <w:rFonts w:hint="eastAsia" w:ascii="仿宋" w:hAnsi="仿宋" w:eastAsia="仿宋" w:cs="仿宋"/>
          <w:color w:val="auto"/>
          <w:sz w:val="24"/>
          <w:szCs w:val="24"/>
          <w:highlight w:val="none"/>
          <w:u w:val="single"/>
        </w:rPr>
        <w:t xml:space="preserve">                             </w:t>
      </w:r>
    </w:p>
    <w:p w14:paraId="617D3477">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51A92EA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D3BD8AF">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双方确定，本合同项目的技术风险按</w:t>
      </w:r>
      <w:r>
        <w:rPr>
          <w:rFonts w:hint="eastAsia" w:ascii="仿宋" w:hAnsi="仿宋" w:eastAsia="仿宋" w:cs="仿宋"/>
          <w:color w:val="auto"/>
          <w:sz w:val="24"/>
          <w:szCs w:val="24"/>
          <w:highlight w:val="none"/>
          <w:u w:val="single"/>
        </w:rPr>
        <w:t xml:space="preserve">                         </w:t>
      </w:r>
    </w:p>
    <w:p w14:paraId="1E209DE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的方式认定。认定技术</w:t>
      </w:r>
    </w:p>
    <w:p w14:paraId="2E0BADB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风险的基本内容应当包括技术风险的存在、范围、程度及损失大小等。</w:t>
      </w:r>
    </w:p>
    <w:p w14:paraId="02BDCB8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认定技术风险的基本条件是：</w:t>
      </w:r>
    </w:p>
    <w:p w14:paraId="59EDCA3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本合同项目在现有技术水平条件下具有足够的难度；</w:t>
      </w:r>
    </w:p>
    <w:p w14:paraId="55538EF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乙方在主观上无过错且经认定研究开发失败为合理的失败。</w:t>
      </w:r>
    </w:p>
    <w:p w14:paraId="7734566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一方发现技术风险存在并有可能致使研究开发失败或部分失败的情</w:t>
      </w:r>
    </w:p>
    <w:p w14:paraId="743F133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形时，应当在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日内通知另一方并采取适当措施减少损失。逾期未</w:t>
      </w:r>
    </w:p>
    <w:p w14:paraId="1830C63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通知并未采取适当措施而致使损失扩大的，应当就扩大的损失承担赔偿</w:t>
      </w:r>
    </w:p>
    <w:p w14:paraId="541FF16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责任。</w:t>
      </w:r>
    </w:p>
    <w:p w14:paraId="388DE70A">
      <w:pPr>
        <w:numPr>
          <w:ilvl w:val="0"/>
          <w:numId w:val="4"/>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在本合同履行中，因作为研究开发标的的技术已经由他人</w:t>
      </w:r>
    </w:p>
    <w:p w14:paraId="6D2200A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公开（包括以专利权方式公开），一方应在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日内通知另一方解除合</w:t>
      </w:r>
    </w:p>
    <w:p w14:paraId="4F4A1E6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同。逾期未通知并致使另一方产生损失的，另一方有权要求予以赔偿。</w:t>
      </w:r>
    </w:p>
    <w:p w14:paraId="5D4E1F2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4"/>
          <w:sz w:val="24"/>
          <w:szCs w:val="24"/>
          <w:highlight w:val="none"/>
        </w:rPr>
        <w:t>第十一条</w:t>
      </w:r>
      <w:r>
        <w:rPr>
          <w:rFonts w:hint="eastAsia" w:ascii="仿宋" w:hAnsi="仿宋" w:eastAsia="仿宋" w:cs="仿宋"/>
          <w:color w:val="auto"/>
          <w:sz w:val="24"/>
          <w:szCs w:val="24"/>
          <w:highlight w:val="none"/>
        </w:rPr>
        <w:t xml:space="preserve">  双方确定因履行本合同应遵守的保密义务如下：</w:t>
      </w:r>
    </w:p>
    <w:p w14:paraId="1DB03D3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甲方：</w:t>
      </w:r>
    </w:p>
    <w:p w14:paraId="6C4E8DF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保密内容（包括技术信息和经营信息）: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本项目开发工程中所产生的技术、文档、源代码、形成的专利产品等</w:t>
      </w:r>
      <w:r>
        <w:rPr>
          <w:rFonts w:hint="eastAsia" w:ascii="仿宋" w:hAnsi="仿宋" w:eastAsia="仿宋" w:cs="仿宋"/>
          <w:color w:val="auto"/>
          <w:sz w:val="24"/>
          <w:szCs w:val="24"/>
          <w:highlight w:val="none"/>
        </w:rPr>
        <w:t>。</w:t>
      </w:r>
    </w:p>
    <w:p w14:paraId="1D1CF68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2．涉密人员范围: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甲方全体人员以及与甲方有关的相关人员</w:t>
      </w:r>
      <w:r>
        <w:rPr>
          <w:rFonts w:hint="eastAsia" w:ascii="仿宋" w:hAnsi="仿宋" w:eastAsia="仿宋" w:cs="仿宋"/>
          <w:color w:val="auto"/>
          <w:sz w:val="24"/>
          <w:szCs w:val="24"/>
          <w:highlight w:val="none"/>
        </w:rPr>
        <w:t>。</w:t>
      </w:r>
    </w:p>
    <w:p w14:paraId="2D6CF9FC">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3．保密期限：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10年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841D2D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4．泄密责任：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承担违约责任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B0C799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DFEB21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乙方：</w:t>
      </w:r>
    </w:p>
    <w:p w14:paraId="2FE33E5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保密内容（包括技术信息和经营信息）: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甲方提供的资料、信息、文件以及业务相关人员信息等内容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4FB181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2．涉密人员范围: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乙方全体人员以及与乙方有关的人员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3142679">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3．保密期限：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10年                               </w:t>
      </w:r>
      <w:r>
        <w:rPr>
          <w:rFonts w:hint="eastAsia" w:ascii="仿宋" w:hAnsi="仿宋" w:eastAsia="仿宋" w:cs="仿宋"/>
          <w:color w:val="auto"/>
          <w:sz w:val="24"/>
          <w:szCs w:val="24"/>
          <w:highlight w:val="none"/>
        </w:rPr>
        <w:t>。</w:t>
      </w:r>
    </w:p>
    <w:p w14:paraId="5CECE12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4．泄密责任：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承担违约责任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2ACE417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第十二条  乙方应当按以下方式向甲方交付研究开发成果：</w:t>
      </w:r>
    </w:p>
    <w:p w14:paraId="164EFB9E">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1．研究开发成果交付的形式及数量：</w:t>
      </w:r>
      <w:r>
        <w:rPr>
          <w:rFonts w:hint="eastAsia" w:ascii="仿宋" w:hAnsi="仿宋" w:eastAsia="仿宋" w:cs="仿宋"/>
          <w:color w:val="auto"/>
          <w:sz w:val="24"/>
          <w:szCs w:val="24"/>
          <w:highlight w:val="none"/>
          <w:u w:val="single"/>
        </w:rPr>
        <w:t xml:space="preserve">                        </w:t>
      </w:r>
    </w:p>
    <w:p w14:paraId="09D8075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1585F17">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2．研究开发成果交付的时间及地点：</w:t>
      </w:r>
      <w:r>
        <w:rPr>
          <w:rFonts w:hint="eastAsia" w:ascii="仿宋" w:hAnsi="仿宋" w:eastAsia="仿宋" w:cs="仿宋"/>
          <w:color w:val="auto"/>
          <w:sz w:val="24"/>
          <w:szCs w:val="24"/>
          <w:highlight w:val="none"/>
          <w:u w:val="single"/>
        </w:rPr>
        <w:t xml:space="preserve">                        </w:t>
      </w:r>
    </w:p>
    <w:p w14:paraId="5567C19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B5A83EF">
      <w:pPr>
        <w:tabs>
          <w:tab w:val="left" w:pos="720"/>
        </w:tabs>
        <w:spacing w:line="36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第十三条  双方确定，按以下标准及方法对乙方完成的研究开发成</w:t>
      </w:r>
    </w:p>
    <w:p w14:paraId="5F072F6F">
      <w:pPr>
        <w:tabs>
          <w:tab w:val="left" w:pos="720"/>
        </w:tabs>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果进行验收：</w:t>
      </w:r>
      <w:r>
        <w:rPr>
          <w:rFonts w:hint="eastAsia" w:ascii="仿宋" w:hAnsi="仿宋" w:eastAsia="仿宋" w:cs="仿宋"/>
          <w:color w:val="auto"/>
          <w:sz w:val="24"/>
          <w:szCs w:val="24"/>
          <w:highlight w:val="none"/>
          <w:u w:val="single"/>
        </w:rPr>
        <w:t xml:space="preserve">                                                  </w:t>
      </w:r>
    </w:p>
    <w:p w14:paraId="5124DD5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7EBFEF0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F52C17">
      <w:pPr>
        <w:spacing w:line="360" w:lineRule="auto"/>
        <w:ind w:firstLine="482" w:firstLineChars="20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第十四条  乙方应当保证其交付给甲方的研究开发成果不侵犯任何</w:t>
      </w:r>
    </w:p>
    <w:p w14:paraId="7496B63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第三人的合法权益。如发生第三人指控甲方实施的技术侵权的，乙方应当</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E37522C">
      <w:pPr>
        <w:spacing w:line="36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第十五条  双方确定，因履行本合同所产生的研究开发成果及其相</w:t>
      </w:r>
    </w:p>
    <w:p w14:paraId="543CE6D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关知识产权权利归属，按下列第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种方式处理：</w:t>
      </w:r>
    </w:p>
    <w:p w14:paraId="1E4B704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（甲、乙、双）方享有申请专利的权利。</w:t>
      </w:r>
    </w:p>
    <w:p w14:paraId="4FDEBAB8">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专利权取得后的使用和有关利益分配方式如下：</w:t>
      </w:r>
      <w:r>
        <w:rPr>
          <w:rFonts w:hint="eastAsia" w:ascii="仿宋" w:hAnsi="仿宋" w:eastAsia="仿宋" w:cs="仿宋"/>
          <w:color w:val="auto"/>
          <w:sz w:val="24"/>
          <w:szCs w:val="24"/>
          <w:highlight w:val="none"/>
          <w:u w:val="single"/>
        </w:rPr>
        <w:t xml:space="preserve">                </w:t>
      </w:r>
    </w:p>
    <w:p w14:paraId="49FB268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2229A94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B3BD4D8">
      <w:pPr>
        <w:spacing w:line="36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2．按技术秘密方式处理。有关使用和转让的权利归属及由此产生</w:t>
      </w:r>
    </w:p>
    <w:p w14:paraId="2BB71DD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的利益按以下约定处理：</w:t>
      </w:r>
    </w:p>
    <w:p w14:paraId="39C7E0AC">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（1）技术秘密的使用权：</w:t>
      </w:r>
      <w:r>
        <w:rPr>
          <w:rFonts w:hint="eastAsia" w:ascii="仿宋" w:hAnsi="仿宋" w:eastAsia="仿宋" w:cs="仿宋"/>
          <w:color w:val="auto"/>
          <w:sz w:val="24"/>
          <w:szCs w:val="24"/>
          <w:highlight w:val="none"/>
          <w:u w:val="single"/>
        </w:rPr>
        <w:t xml:space="preserve">                                   </w:t>
      </w:r>
    </w:p>
    <w:p w14:paraId="115F41B3">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（2）技术秘密的转让权：</w:t>
      </w:r>
      <w:r>
        <w:rPr>
          <w:rFonts w:hint="eastAsia" w:ascii="仿宋" w:hAnsi="仿宋" w:eastAsia="仿宋" w:cs="仿宋"/>
          <w:color w:val="auto"/>
          <w:sz w:val="24"/>
          <w:szCs w:val="24"/>
          <w:highlight w:val="none"/>
          <w:u w:val="single"/>
        </w:rPr>
        <w:t xml:space="preserve">                                   </w:t>
      </w:r>
    </w:p>
    <w:p w14:paraId="69099F4C">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（3）相关利益的分配办法：</w:t>
      </w:r>
      <w:r>
        <w:rPr>
          <w:rFonts w:hint="eastAsia" w:ascii="仿宋" w:hAnsi="仿宋" w:eastAsia="仿宋" w:cs="仿宋"/>
          <w:color w:val="auto"/>
          <w:sz w:val="24"/>
          <w:szCs w:val="24"/>
          <w:highlight w:val="none"/>
          <w:u w:val="single"/>
        </w:rPr>
        <w:t xml:space="preserve">                                 </w:t>
      </w:r>
    </w:p>
    <w:p w14:paraId="6890F4D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DC149BE">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双方对本合同有关的知识产权权利归属特别约定如下：</w:t>
      </w:r>
      <w:r>
        <w:rPr>
          <w:rFonts w:hint="eastAsia" w:ascii="仿宋" w:hAnsi="仿宋" w:eastAsia="仿宋" w:cs="仿宋"/>
          <w:color w:val="auto"/>
          <w:sz w:val="24"/>
          <w:szCs w:val="24"/>
          <w:highlight w:val="none"/>
          <w:u w:val="single"/>
        </w:rPr>
        <w:t xml:space="preserve">         </w:t>
      </w:r>
    </w:p>
    <w:p w14:paraId="349307A0">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58DB710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B4F4D1B">
      <w:pPr>
        <w:spacing w:line="36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第十六条  乙方不得在向甲方交付研究开发成果之前，自行将研究</w:t>
      </w:r>
    </w:p>
    <w:p w14:paraId="219104C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开发成果转让给第三人。</w:t>
      </w:r>
    </w:p>
    <w:p w14:paraId="35D3F39B">
      <w:pPr>
        <w:spacing w:line="360" w:lineRule="auto"/>
        <w:ind w:firstLine="459" w:firstLineChars="198"/>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第十七条  </w:t>
      </w:r>
      <w:r>
        <w:rPr>
          <w:rFonts w:hint="eastAsia" w:ascii="仿宋" w:hAnsi="仿宋" w:eastAsia="仿宋" w:cs="仿宋"/>
          <w:color w:val="auto"/>
          <w:sz w:val="24"/>
          <w:szCs w:val="24"/>
          <w:highlight w:val="none"/>
        </w:rPr>
        <w:t>乙方完成本合同项目的研究开发人员享有在有关技术成</w:t>
      </w:r>
    </w:p>
    <w:p w14:paraId="4FD0086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果文件上写明技术成果完成者的权利和取得有关荣誉证书、奖励的权利。</w:t>
      </w:r>
    </w:p>
    <w:p w14:paraId="080D96D3">
      <w:pPr>
        <w:spacing w:line="36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第十八条  乙方利用研究开发经费所购置与研究开发工作有关的设备、器材、资料等财产，归</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双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（甲、乙、双）方所有。</w:t>
      </w:r>
    </w:p>
    <w:p w14:paraId="1DFAF799">
      <w:pPr>
        <w:spacing w:line="36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第十九条  双方确定，乙方应在向甲方交付研究开发成果后，根据</w:t>
      </w:r>
    </w:p>
    <w:p w14:paraId="395737B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甲方的请求，为甲方指定的人员提供技术指导和培训，或提供与使用该</w:t>
      </w:r>
    </w:p>
    <w:p w14:paraId="076657C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研究开发成果相关的技术服务。</w:t>
      </w:r>
    </w:p>
    <w:p w14:paraId="08280B0F">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1．技术服务和指导内容：</w:t>
      </w:r>
      <w:r>
        <w:rPr>
          <w:rFonts w:hint="eastAsia" w:ascii="仿宋" w:hAnsi="仿宋" w:eastAsia="仿宋" w:cs="仿宋"/>
          <w:color w:val="auto"/>
          <w:sz w:val="24"/>
          <w:szCs w:val="24"/>
          <w:highlight w:val="none"/>
          <w:u w:val="single"/>
        </w:rPr>
        <w:t xml:space="preserve">                                  </w:t>
      </w:r>
    </w:p>
    <w:p w14:paraId="5B9DB07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14ABED0">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2：地点和方式：</w:t>
      </w:r>
      <w:r>
        <w:rPr>
          <w:rFonts w:hint="eastAsia" w:ascii="仿宋" w:hAnsi="仿宋" w:eastAsia="仿宋" w:cs="仿宋"/>
          <w:color w:val="auto"/>
          <w:sz w:val="24"/>
          <w:szCs w:val="24"/>
          <w:highlight w:val="none"/>
          <w:u w:val="single"/>
        </w:rPr>
        <w:t xml:space="preserve">                                          </w:t>
      </w:r>
    </w:p>
    <w:p w14:paraId="554109A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11A1EE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3．费用及支付方式：</w:t>
      </w:r>
      <w:r>
        <w:rPr>
          <w:rFonts w:hint="eastAsia" w:ascii="仿宋" w:hAnsi="仿宋" w:eastAsia="仿宋" w:cs="仿宋"/>
          <w:color w:val="auto"/>
          <w:sz w:val="24"/>
          <w:szCs w:val="24"/>
          <w:highlight w:val="none"/>
          <w:u w:val="single"/>
        </w:rPr>
        <w:t xml:space="preserve">                                      </w:t>
      </w:r>
    </w:p>
    <w:p w14:paraId="426F022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0A3FA4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第二十条  双方确定：任何一方违反本合同约定，造成研究开发工</w:t>
      </w:r>
    </w:p>
    <w:p w14:paraId="508F2717">
      <w:pP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作停滞、延误或失败的，按以下约定承担违约责任：</w:t>
      </w:r>
    </w:p>
    <w:p w14:paraId="1EC7B8E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方违反本合同第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条约定，应当</w:t>
      </w:r>
      <w:r>
        <w:rPr>
          <w:rFonts w:hint="eastAsia" w:ascii="仿宋" w:hAnsi="仿宋" w:eastAsia="仿宋" w:cs="仿宋"/>
          <w:color w:val="auto"/>
          <w:sz w:val="24"/>
          <w:szCs w:val="24"/>
          <w:highlight w:val="none"/>
          <w:u w:val="single"/>
        </w:rPr>
        <w:t xml:space="preserve"> 对每个无法完成的</w:t>
      </w:r>
      <w:r>
        <w:rPr>
          <w:rFonts w:hint="eastAsia" w:ascii="仿宋" w:hAnsi="仿宋" w:eastAsia="仿宋" w:cs="仿宋"/>
          <w:color w:val="auto"/>
          <w:sz w:val="24"/>
          <w:szCs w:val="24"/>
          <w:highlight w:val="none"/>
          <w:u w:val="single"/>
          <w:lang w:val="en-US" w:eastAsia="zh-CN"/>
        </w:rPr>
        <w:t>模块，支付合同总额的5%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（支付违约金或损失赔偿额的计算方法）。</w:t>
      </w:r>
    </w:p>
    <w:p w14:paraId="5854699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方违反本合同第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条约定，应当</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每延迟一天，支付合同总价的1%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（支付违约金或损失赔偿额的计算方法）。</w:t>
      </w:r>
    </w:p>
    <w:p w14:paraId="4B15359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方违反本合同第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十一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条约定，应当</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承担给甲方造成的一切损失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（支付违约金或损失赔偿额的计算方法）。</w:t>
      </w:r>
    </w:p>
    <w:p w14:paraId="78D7DD7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甲</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方违反本合同第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十一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条约定，应当</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承担给乙方造成的一切损失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（支付违约金或损失赔偿额的计算方法）。</w:t>
      </w:r>
    </w:p>
    <w:p w14:paraId="201AE5E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w:t>
      </w:r>
      <w:r>
        <w:rPr>
          <w:rFonts w:hint="eastAsia" w:ascii="仿宋" w:hAnsi="仿宋" w:eastAsia="仿宋" w:cs="仿宋"/>
          <w:color w:val="auto"/>
          <w:sz w:val="24"/>
          <w:szCs w:val="24"/>
          <w:highlight w:val="none"/>
          <w:u w:val="single"/>
        </w:rPr>
        <w:t>在合同履行过程中存在违约行为的一方，除承担违约责任外，还需承担对方因自身违约而进行维权所产生的费用，包括但不限于保全费、保全保险费、保全担保费、律师费、鉴定费、公告费、公证费、交通费、差旅费、食宿费等费用。</w:t>
      </w:r>
    </w:p>
    <w:p w14:paraId="3A9E7FC4">
      <w:pPr>
        <w:spacing w:line="360" w:lineRule="auto"/>
        <w:ind w:firstLine="472" w:firstLineChars="200"/>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第</w:t>
      </w:r>
      <w:r>
        <w:rPr>
          <w:rFonts w:hint="eastAsia" w:ascii="仿宋" w:hAnsi="仿宋" w:eastAsia="仿宋" w:cs="仿宋"/>
          <w:color w:val="auto"/>
          <w:sz w:val="24"/>
          <w:szCs w:val="24"/>
          <w:highlight w:val="none"/>
        </w:rPr>
        <w:t>二十一条</w:t>
      </w:r>
      <w:r>
        <w:rPr>
          <w:rFonts w:hint="eastAsia" w:ascii="仿宋" w:hAnsi="仿宋" w:eastAsia="仿宋" w:cs="仿宋"/>
          <w:color w:val="auto"/>
          <w:spacing w:val="-2"/>
          <w:sz w:val="24"/>
          <w:szCs w:val="24"/>
          <w:highlight w:val="none"/>
        </w:rPr>
        <w:t xml:space="preserve">  双方确定，甲方有权利用乙方按照本合同约定提供的</w:t>
      </w:r>
    </w:p>
    <w:p w14:paraId="1E6816A9">
      <w:pPr>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研究开发成果，进行后续改进。由此产生的具有实质性或创造性技术进</w:t>
      </w:r>
    </w:p>
    <w:p w14:paraId="4066E6DB">
      <w:pPr>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步特征的新的技术成果及其权利归属，由</w:t>
      </w: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2"/>
          <w:sz w:val="24"/>
          <w:szCs w:val="24"/>
          <w:highlight w:val="none"/>
        </w:rPr>
        <w:t>（甲、乙、双）方享有。</w:t>
      </w:r>
    </w:p>
    <w:p w14:paraId="30ED2FE9">
      <w:pPr>
        <w:spacing w:line="360" w:lineRule="auto"/>
        <w:rPr>
          <w:rFonts w:hint="eastAsia" w:ascii="仿宋" w:hAnsi="仿宋" w:eastAsia="仿宋" w:cs="仿宋"/>
          <w:color w:val="auto"/>
          <w:spacing w:val="-2"/>
          <w:sz w:val="24"/>
          <w:szCs w:val="24"/>
          <w:highlight w:val="none"/>
          <w:u w:val="single"/>
        </w:rPr>
      </w:pPr>
      <w:r>
        <w:rPr>
          <w:rFonts w:hint="eastAsia" w:ascii="仿宋" w:hAnsi="仿宋" w:eastAsia="仿宋" w:cs="仿宋"/>
          <w:color w:val="auto"/>
          <w:spacing w:val="-2"/>
          <w:sz w:val="24"/>
          <w:szCs w:val="24"/>
          <w:highlight w:val="none"/>
        </w:rPr>
        <w:t>具体相关利益的分配办法如下：</w:t>
      </w:r>
      <w:r>
        <w:rPr>
          <w:rFonts w:hint="eastAsia" w:ascii="仿宋" w:hAnsi="仿宋" w:eastAsia="仿宋" w:cs="仿宋"/>
          <w:color w:val="auto"/>
          <w:spacing w:val="-2"/>
          <w:sz w:val="24"/>
          <w:szCs w:val="24"/>
          <w:highlight w:val="none"/>
          <w:u w:val="single"/>
        </w:rPr>
        <w:t xml:space="preserve">                                   </w:t>
      </w:r>
    </w:p>
    <w:p w14:paraId="4F32392B">
      <w:pPr>
        <w:spacing w:line="360" w:lineRule="auto"/>
        <w:jc w:val="left"/>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2"/>
          <w:sz w:val="24"/>
          <w:szCs w:val="24"/>
          <w:highlight w:val="none"/>
        </w:rPr>
        <w:t>。</w:t>
      </w:r>
    </w:p>
    <w:p w14:paraId="408EB393">
      <w:pPr>
        <w:tabs>
          <w:tab w:val="left" w:pos="540"/>
        </w:tabs>
        <w:spacing w:line="360" w:lineRule="auto"/>
        <w:ind w:firstLine="540"/>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乙方有权在完成本合同约定的研究开发工作后，利用该项研究开发</w:t>
      </w:r>
    </w:p>
    <w:p w14:paraId="267CB0A1">
      <w:pPr>
        <w:tabs>
          <w:tab w:val="left" w:pos="540"/>
        </w:tabs>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成果进行后续改进。由此产生的具有实质性或创造性技术进步特征的新</w:t>
      </w:r>
    </w:p>
    <w:p w14:paraId="7515A31B">
      <w:pPr>
        <w:tabs>
          <w:tab w:val="left" w:pos="540"/>
        </w:tabs>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的技术成果，归</w:t>
      </w: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2"/>
          <w:sz w:val="24"/>
          <w:szCs w:val="24"/>
          <w:highlight w:val="none"/>
        </w:rPr>
        <w:t>（甲、乙、双）方所有。具体相关利益的分配办</w:t>
      </w:r>
    </w:p>
    <w:p w14:paraId="64FACE84">
      <w:pPr>
        <w:tabs>
          <w:tab w:val="left" w:pos="540"/>
        </w:tabs>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法如下：</w:t>
      </w: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2"/>
          <w:sz w:val="24"/>
          <w:szCs w:val="24"/>
          <w:highlight w:val="none"/>
        </w:rPr>
        <w:t>。</w:t>
      </w:r>
    </w:p>
    <w:p w14:paraId="7DC96A3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C47581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第二十二条  双方确定，在本合同有效期内，甲方指定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66CB23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为甲方项目联系人，乙方指定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为乙方项目联系人。</w:t>
      </w:r>
    </w:p>
    <w:p w14:paraId="58B8A17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项目联系人承担以下责任：</w:t>
      </w:r>
    </w:p>
    <w:p w14:paraId="3119C66E">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1．</w:t>
      </w:r>
      <w:r>
        <w:rPr>
          <w:rFonts w:hint="eastAsia" w:ascii="仿宋" w:hAnsi="仿宋" w:eastAsia="仿宋" w:cs="仿宋"/>
          <w:color w:val="auto"/>
          <w:sz w:val="24"/>
          <w:szCs w:val="24"/>
          <w:highlight w:val="none"/>
          <w:u w:val="single"/>
        </w:rPr>
        <w:t xml:space="preserve">                                                      </w:t>
      </w:r>
    </w:p>
    <w:p w14:paraId="7F8560E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u w:val="single"/>
        </w:rPr>
        <w:t xml:space="preserve">                                                      </w:t>
      </w:r>
    </w:p>
    <w:p w14:paraId="2C998DE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3．</w:t>
      </w:r>
      <w:r>
        <w:rPr>
          <w:rFonts w:hint="eastAsia" w:ascii="仿宋" w:hAnsi="仿宋" w:eastAsia="仿宋" w:cs="仿宋"/>
          <w:color w:val="auto"/>
          <w:sz w:val="24"/>
          <w:szCs w:val="24"/>
          <w:highlight w:val="none"/>
          <w:u w:val="single"/>
        </w:rPr>
        <w:t xml:space="preserve">                                                      </w:t>
      </w:r>
    </w:p>
    <w:p w14:paraId="09B03D4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一方变更项目联系人的，应当及时以书面形式通知另一方。未及时</w:t>
      </w:r>
    </w:p>
    <w:p w14:paraId="2FDC199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通知并影响本合同履行或造成损失的，应承担相应的责任。</w:t>
      </w:r>
    </w:p>
    <w:p w14:paraId="626F9783">
      <w:pPr>
        <w:spacing w:line="36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第二十三条  双方确定，出现下列情形，致使本合同的履行成为不</w:t>
      </w:r>
    </w:p>
    <w:p w14:paraId="6058A48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必要或不可能的，一方可以通知另一方解除本合同；</w:t>
      </w:r>
    </w:p>
    <w:p w14:paraId="3A05A3F2">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1．因发生不可抗力或技术风险；</w:t>
      </w:r>
    </w:p>
    <w:p w14:paraId="6792BEB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E1DA20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159ECCF">
      <w:pPr>
        <w:tabs>
          <w:tab w:val="left" w:pos="54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第二十四条  双方因履行本合同而发生的争议，应协商、调解解决。协商、调解不成的，确定按以下第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种方式处理：</w:t>
      </w:r>
    </w:p>
    <w:p w14:paraId="511A925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1．提交</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54F5413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2．依法向人民法院起诉。</w:t>
      </w:r>
    </w:p>
    <w:p w14:paraId="1E34DE8C">
      <w:pPr>
        <w:spacing w:line="36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第二十五条  双方确定：本合同及相关附件中所涉及的有关名词和</w:t>
      </w:r>
    </w:p>
    <w:p w14:paraId="1BD634F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技术术语，其定义和解释如下：</w:t>
      </w:r>
    </w:p>
    <w:p w14:paraId="403B0D77">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1．</w:t>
      </w:r>
      <w:r>
        <w:rPr>
          <w:rFonts w:hint="eastAsia" w:ascii="仿宋" w:hAnsi="仿宋" w:eastAsia="仿宋" w:cs="仿宋"/>
          <w:color w:val="auto"/>
          <w:sz w:val="24"/>
          <w:szCs w:val="24"/>
          <w:highlight w:val="none"/>
          <w:u w:val="single"/>
        </w:rPr>
        <w:t xml:space="preserve">                                                      </w:t>
      </w:r>
    </w:p>
    <w:p w14:paraId="6953CEE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u w:val="single"/>
        </w:rPr>
        <w:t xml:space="preserve">                                                      </w:t>
      </w:r>
    </w:p>
    <w:p w14:paraId="5FFBDFD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3．</w:t>
      </w:r>
      <w:r>
        <w:rPr>
          <w:rFonts w:hint="eastAsia" w:ascii="仿宋" w:hAnsi="仿宋" w:eastAsia="仿宋" w:cs="仿宋"/>
          <w:color w:val="auto"/>
          <w:sz w:val="24"/>
          <w:szCs w:val="24"/>
          <w:highlight w:val="none"/>
          <w:u w:val="single"/>
        </w:rPr>
        <w:t xml:space="preserve">                                                      </w:t>
      </w:r>
    </w:p>
    <w:p w14:paraId="43442CF8">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4．</w:t>
      </w:r>
      <w:r>
        <w:rPr>
          <w:rFonts w:hint="eastAsia" w:ascii="仿宋" w:hAnsi="仿宋" w:eastAsia="仿宋" w:cs="仿宋"/>
          <w:color w:val="auto"/>
          <w:sz w:val="24"/>
          <w:szCs w:val="24"/>
          <w:highlight w:val="none"/>
          <w:u w:val="single"/>
        </w:rPr>
        <w:t xml:space="preserve">                                                      </w:t>
      </w:r>
    </w:p>
    <w:p w14:paraId="525B4987">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5．</w:t>
      </w:r>
      <w:r>
        <w:rPr>
          <w:rFonts w:hint="eastAsia" w:ascii="仿宋" w:hAnsi="仿宋" w:eastAsia="仿宋" w:cs="仿宋"/>
          <w:color w:val="auto"/>
          <w:sz w:val="24"/>
          <w:szCs w:val="24"/>
          <w:highlight w:val="none"/>
          <w:u w:val="single"/>
        </w:rPr>
        <w:t xml:space="preserve">                                                      </w:t>
      </w:r>
    </w:p>
    <w:p w14:paraId="54107B0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第二十六条  与履行本合同有关的下列技术文件，经双方以</w:t>
      </w:r>
      <w:r>
        <w:rPr>
          <w:rFonts w:hint="eastAsia" w:ascii="仿宋" w:hAnsi="仿宋" w:eastAsia="仿宋" w:cs="仿宋"/>
          <w:color w:val="auto"/>
          <w:sz w:val="24"/>
          <w:szCs w:val="24"/>
          <w:highlight w:val="none"/>
          <w:u w:val="single"/>
        </w:rPr>
        <w:t xml:space="preserve">      </w:t>
      </w:r>
    </w:p>
    <w:p w14:paraId="6188831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方式确认后，为本合同的组成部分：</w:t>
      </w:r>
    </w:p>
    <w:p w14:paraId="7F8BC50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1．技术背景资料：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78606C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A80BCE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2．可行性论证报告：</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E2CFDD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3．技术评价报告：</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A3564B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4．技术标准和规范：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FB666F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5．原始设计和工艺文件：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A0EED4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6．其他：</w:t>
      </w:r>
      <w:r>
        <w:rPr>
          <w:rFonts w:hint="eastAsia" w:ascii="仿宋" w:hAnsi="仿宋" w:eastAsia="仿宋" w:cs="仿宋"/>
          <w:color w:val="auto"/>
          <w:sz w:val="24"/>
          <w:szCs w:val="24"/>
          <w:highlight w:val="none"/>
          <w:u w:val="single"/>
        </w:rPr>
        <w:t xml:space="preserve">                                              </w:t>
      </w:r>
    </w:p>
    <w:p w14:paraId="25656EB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0CA45F6">
      <w:pPr>
        <w:tabs>
          <w:tab w:val="left" w:pos="720"/>
          <w:tab w:val="left" w:pos="900"/>
        </w:tabs>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第二十七条  双方约定本合同其他相关事项为：</w:t>
      </w:r>
      <w:r>
        <w:rPr>
          <w:rFonts w:hint="eastAsia" w:ascii="仿宋" w:hAnsi="仿宋" w:eastAsia="仿宋" w:cs="仿宋"/>
          <w:color w:val="auto"/>
          <w:sz w:val="24"/>
          <w:szCs w:val="24"/>
          <w:highlight w:val="none"/>
          <w:u w:val="single"/>
        </w:rPr>
        <w:t xml:space="preserve">               </w:t>
      </w:r>
    </w:p>
    <w:p w14:paraId="3856609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6D447DF2">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7EB178A2">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6B975C1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0DA8DF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第二十八条  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份，具有同等法律效力。</w:t>
      </w:r>
    </w:p>
    <w:p w14:paraId="24675CB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第二十九条  </w:t>
      </w:r>
      <w:r>
        <w:rPr>
          <w:rFonts w:hint="eastAsia" w:ascii="仿宋" w:hAnsi="仿宋" w:eastAsia="仿宋" w:cs="仿宋"/>
          <w:color w:val="auto"/>
          <w:spacing w:val="4"/>
          <w:sz w:val="24"/>
          <w:szCs w:val="24"/>
          <w:highlight w:val="none"/>
        </w:rPr>
        <w:t>本合同经双方签字盖章后生效。</w:t>
      </w:r>
    </w:p>
    <w:p w14:paraId="4C0FF55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B5E031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甲方：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(盖章） </w:t>
      </w:r>
    </w:p>
    <w:p w14:paraId="4CD7467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（签名）</w:t>
      </w:r>
    </w:p>
    <w:p w14:paraId="7150627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2B19EEBB">
      <w:pPr>
        <w:spacing w:line="360" w:lineRule="auto"/>
        <w:rPr>
          <w:rFonts w:hint="eastAsia" w:ascii="仿宋" w:hAnsi="仿宋" w:eastAsia="仿宋" w:cs="仿宋"/>
          <w:color w:val="auto"/>
          <w:sz w:val="24"/>
          <w:szCs w:val="24"/>
          <w:highlight w:val="none"/>
        </w:rPr>
      </w:pPr>
    </w:p>
    <w:p w14:paraId="7790A4B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（盖章） </w:t>
      </w:r>
    </w:p>
    <w:p w14:paraId="1F902CA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（签名）</w:t>
      </w:r>
    </w:p>
    <w:p w14:paraId="7F36601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4B950809">
      <w:pPr>
        <w:spacing w:line="360" w:lineRule="auto"/>
        <w:rPr>
          <w:rFonts w:hint="eastAsia" w:ascii="仿宋" w:hAnsi="仿宋" w:eastAsia="仿宋" w:cs="仿宋"/>
          <w:color w:val="auto"/>
          <w:sz w:val="24"/>
          <w:szCs w:val="24"/>
          <w:highlight w:val="none"/>
        </w:rPr>
        <w:sectPr>
          <w:pgSz w:w="11906" w:h="16838"/>
          <w:pgMar w:top="1304" w:right="1469" w:bottom="1304" w:left="1469" w:header="851" w:footer="992" w:gutter="0"/>
          <w:pgNumType w:fmt="decimal"/>
          <w:cols w:space="425" w:num="1"/>
          <w:docGrid w:type="linesAndChars" w:linePitch="312" w:charSpace="0"/>
        </w:sectPr>
      </w:pPr>
    </w:p>
    <w:p w14:paraId="1D17A99C">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印花税票粘贴处：</w:t>
      </w:r>
    </w:p>
    <w:p w14:paraId="1C64D4D0">
      <w:pPr>
        <w:spacing w:line="520" w:lineRule="exact"/>
        <w:rPr>
          <w:rFonts w:hint="eastAsia" w:ascii="仿宋" w:hAnsi="仿宋" w:eastAsia="仿宋" w:cs="仿宋"/>
          <w:color w:val="auto"/>
          <w:sz w:val="28"/>
          <w:highlight w:val="none"/>
        </w:rPr>
      </w:pPr>
    </w:p>
    <w:p w14:paraId="607BCBCE">
      <w:pPr>
        <w:spacing w:line="520" w:lineRule="exact"/>
        <w:rPr>
          <w:rFonts w:hint="eastAsia" w:ascii="仿宋" w:hAnsi="仿宋" w:eastAsia="仿宋" w:cs="仿宋"/>
          <w:color w:val="auto"/>
          <w:sz w:val="28"/>
          <w:highlight w:val="none"/>
          <w:u w:val="single"/>
        </w:rPr>
      </w:pPr>
    </w:p>
    <w:p w14:paraId="2D1D3414">
      <w:pPr>
        <w:spacing w:line="520" w:lineRule="exact"/>
        <w:rPr>
          <w:rFonts w:hint="eastAsia" w:ascii="仿宋" w:hAnsi="仿宋" w:eastAsia="仿宋" w:cs="仿宋"/>
          <w:color w:val="auto"/>
          <w:sz w:val="28"/>
          <w:highlight w:val="none"/>
          <w:u w:val="single"/>
        </w:rPr>
      </w:pPr>
    </w:p>
    <w:p w14:paraId="179E3DD0">
      <w:pPr>
        <w:spacing w:line="520" w:lineRule="exact"/>
        <w:rPr>
          <w:rFonts w:hint="eastAsia" w:ascii="仿宋" w:hAnsi="仿宋" w:eastAsia="仿宋" w:cs="仿宋"/>
          <w:color w:val="auto"/>
          <w:sz w:val="28"/>
          <w:highlight w:val="none"/>
          <w:u w:val="single"/>
        </w:rPr>
      </w:pPr>
    </w:p>
    <w:p w14:paraId="0C599F8C">
      <w:pPr>
        <w:spacing w:line="52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u w:val="single"/>
        </w:rPr>
        <w:t xml:space="preserve">                                                             </w:t>
      </w:r>
    </w:p>
    <w:p w14:paraId="77C123BA">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（以下由技术合同登记机构填写）</w:t>
      </w:r>
    </w:p>
    <w:p w14:paraId="74E109EB">
      <w:pPr>
        <w:spacing w:line="520" w:lineRule="exact"/>
        <w:rPr>
          <w:rFonts w:hint="eastAsia" w:ascii="仿宋" w:hAnsi="仿宋" w:eastAsia="仿宋" w:cs="仿宋"/>
          <w:color w:val="auto"/>
          <w:sz w:val="28"/>
          <w:highlight w:val="none"/>
        </w:rPr>
      </w:pPr>
    </w:p>
    <w:p w14:paraId="115DC40B">
      <w:pPr>
        <w:spacing w:line="520" w:lineRule="exact"/>
        <w:rPr>
          <w:rFonts w:hint="eastAsia" w:ascii="仿宋" w:hAnsi="仿宋" w:eastAsia="仿宋" w:cs="仿宋"/>
          <w:color w:val="auto"/>
          <w:sz w:val="28"/>
          <w:highlight w:val="none"/>
        </w:rPr>
      </w:pPr>
    </w:p>
    <w:p w14:paraId="61223557">
      <w:pPr>
        <w:spacing w:line="52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    1．申请登记人：</w:t>
      </w:r>
      <w:r>
        <w:rPr>
          <w:rFonts w:hint="eastAsia" w:ascii="仿宋" w:hAnsi="仿宋" w:eastAsia="仿宋" w:cs="仿宋"/>
          <w:color w:val="auto"/>
          <w:sz w:val="28"/>
          <w:highlight w:val="none"/>
          <w:u w:val="single"/>
        </w:rPr>
        <w:t xml:space="preserve">                                       </w:t>
      </w:r>
    </w:p>
    <w:p w14:paraId="27CA05FC">
      <w:pPr>
        <w:spacing w:line="52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    2．登记材料：（1）</w:t>
      </w:r>
      <w:r>
        <w:rPr>
          <w:rFonts w:hint="eastAsia" w:ascii="仿宋" w:hAnsi="仿宋" w:eastAsia="仿宋" w:cs="仿宋"/>
          <w:color w:val="auto"/>
          <w:sz w:val="28"/>
          <w:highlight w:val="none"/>
          <w:u w:val="single"/>
        </w:rPr>
        <w:t xml:space="preserve">                                     </w:t>
      </w:r>
    </w:p>
    <w:p w14:paraId="6A85FE16">
      <w:pPr>
        <w:spacing w:line="52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                （2）</w:t>
      </w:r>
      <w:r>
        <w:rPr>
          <w:rFonts w:hint="eastAsia" w:ascii="仿宋" w:hAnsi="仿宋" w:eastAsia="仿宋" w:cs="仿宋"/>
          <w:color w:val="auto"/>
          <w:sz w:val="28"/>
          <w:highlight w:val="none"/>
          <w:u w:val="single"/>
        </w:rPr>
        <w:t xml:space="preserve">                                     </w:t>
      </w:r>
    </w:p>
    <w:p w14:paraId="0AFE07E4">
      <w:pPr>
        <w:spacing w:line="52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                （3）</w:t>
      </w:r>
      <w:r>
        <w:rPr>
          <w:rFonts w:hint="eastAsia" w:ascii="仿宋" w:hAnsi="仿宋" w:eastAsia="仿宋" w:cs="仿宋"/>
          <w:color w:val="auto"/>
          <w:sz w:val="28"/>
          <w:highlight w:val="none"/>
          <w:u w:val="single"/>
        </w:rPr>
        <w:t xml:space="preserve">                                     </w:t>
      </w:r>
    </w:p>
    <w:p w14:paraId="20D92E2E">
      <w:pPr>
        <w:spacing w:line="52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    3．合同类型：</w:t>
      </w:r>
      <w:r>
        <w:rPr>
          <w:rFonts w:hint="eastAsia" w:ascii="仿宋" w:hAnsi="仿宋" w:eastAsia="仿宋" w:cs="仿宋"/>
          <w:color w:val="auto"/>
          <w:sz w:val="28"/>
          <w:highlight w:val="none"/>
          <w:u w:val="single"/>
        </w:rPr>
        <w:t xml:space="preserve">                                         </w:t>
      </w:r>
    </w:p>
    <w:p w14:paraId="4B43DF21">
      <w:pPr>
        <w:spacing w:line="52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    4．合同交易额：</w:t>
      </w:r>
      <w:r>
        <w:rPr>
          <w:rFonts w:hint="eastAsia" w:ascii="仿宋" w:hAnsi="仿宋" w:eastAsia="仿宋" w:cs="仿宋"/>
          <w:color w:val="auto"/>
          <w:sz w:val="28"/>
          <w:highlight w:val="none"/>
          <w:u w:val="single"/>
        </w:rPr>
        <w:t xml:space="preserve">                                       </w:t>
      </w:r>
    </w:p>
    <w:p w14:paraId="71C96CFE">
      <w:pPr>
        <w:spacing w:line="52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    5．技术交易额：</w:t>
      </w:r>
      <w:r>
        <w:rPr>
          <w:rFonts w:hint="eastAsia" w:ascii="仿宋" w:hAnsi="仿宋" w:eastAsia="仿宋" w:cs="仿宋"/>
          <w:color w:val="auto"/>
          <w:sz w:val="28"/>
          <w:highlight w:val="none"/>
          <w:u w:val="single"/>
        </w:rPr>
        <w:t xml:space="preserve">                                       </w:t>
      </w:r>
    </w:p>
    <w:p w14:paraId="399CAD0C">
      <w:pPr>
        <w:rPr>
          <w:rFonts w:hint="eastAsia" w:ascii="仿宋" w:hAnsi="仿宋" w:eastAsia="仿宋" w:cs="仿宋"/>
          <w:color w:val="auto"/>
          <w:sz w:val="28"/>
          <w:highlight w:val="none"/>
          <w:u w:val="single"/>
        </w:rPr>
      </w:pPr>
    </w:p>
    <w:p w14:paraId="0DFB9198">
      <w:pP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w:t>
      </w:r>
    </w:p>
    <w:p w14:paraId="269A2AF6">
      <w:pPr>
        <w:ind w:firstLine="3640" w:firstLineChars="1300"/>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技术合同登记机构（印章）</w:t>
      </w:r>
    </w:p>
    <w:p w14:paraId="0303E174">
      <w:pP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w:t>
      </w:r>
    </w:p>
    <w:p w14:paraId="1A4AAFD6">
      <w:pPr>
        <w:ind w:firstLine="4480" w:firstLineChars="1600"/>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经办人：</w:t>
      </w:r>
    </w:p>
    <w:p w14:paraId="27D55D31">
      <w:pP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年    月    日</w:t>
      </w:r>
    </w:p>
    <w:p w14:paraId="31D15834">
      <w:pPr>
        <w:spacing w:line="360" w:lineRule="auto"/>
        <w:jc w:val="center"/>
        <w:outlineLvl w:val="9"/>
        <w:rPr>
          <w:rFonts w:hint="eastAsia" w:ascii="仿宋" w:hAnsi="仿宋" w:eastAsia="仿宋" w:cs="仿宋"/>
          <w:b w:val="0"/>
          <w:bCs w:val="0"/>
          <w:color w:val="auto"/>
          <w:sz w:val="24"/>
          <w:szCs w:val="24"/>
          <w:highlight w:val="none"/>
        </w:rPr>
      </w:pPr>
    </w:p>
    <w:p w14:paraId="5CEF69A1">
      <w:pPr>
        <w:spacing w:line="360" w:lineRule="auto"/>
        <w:outlineLvl w:val="9"/>
        <w:rPr>
          <w:rFonts w:hint="eastAsia" w:ascii="仿宋" w:hAnsi="仿宋" w:eastAsia="仿宋" w:cs="仿宋"/>
          <w:color w:val="auto"/>
          <w:sz w:val="24"/>
          <w:szCs w:val="24"/>
          <w:highlight w:val="none"/>
        </w:rPr>
      </w:pPr>
    </w:p>
    <w:p w14:paraId="75AFE21F">
      <w:pPr>
        <w:spacing w:line="560" w:lineRule="exact"/>
        <w:rPr>
          <w:rFonts w:hint="eastAsia" w:ascii="仿宋" w:hAnsi="仿宋" w:eastAsia="仿宋" w:cs="仿宋"/>
          <w:b/>
          <w:color w:val="auto"/>
          <w:sz w:val="24"/>
          <w:szCs w:val="24"/>
          <w:highlight w:val="none"/>
        </w:rPr>
      </w:pPr>
    </w:p>
    <w:p w14:paraId="6D0B1A30">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6805C608">
      <w:pPr>
        <w:numPr>
          <w:ilvl w:val="0"/>
          <w:numId w:val="0"/>
        </w:numPr>
        <w:spacing w:line="440" w:lineRule="exact"/>
        <w:jc w:val="center"/>
        <w:outlineLvl w:val="0"/>
        <w:rPr>
          <w:rFonts w:hint="eastAsia" w:ascii="仿宋" w:hAnsi="仿宋" w:eastAsia="仿宋" w:cs="仿宋"/>
          <w:b/>
          <w:bCs/>
          <w:color w:val="auto"/>
          <w:kern w:val="44"/>
          <w:sz w:val="32"/>
          <w:szCs w:val="44"/>
          <w:highlight w:val="none"/>
          <w:lang w:val="en-US" w:eastAsia="zh-CN" w:bidi="ar-SA"/>
        </w:rPr>
      </w:pPr>
      <w:bookmarkStart w:id="65" w:name="_合同文件的组成及解释顺序"/>
      <w:bookmarkEnd w:id="65"/>
      <w:bookmarkStart w:id="66" w:name="_Toc138639074"/>
      <w:bookmarkEnd w:id="66"/>
      <w:bookmarkStart w:id="67" w:name="_Toc138639091"/>
      <w:bookmarkEnd w:id="67"/>
      <w:bookmarkStart w:id="68" w:name="_Toc138638535"/>
      <w:bookmarkEnd w:id="68"/>
      <w:bookmarkStart w:id="69" w:name="_Toc138639090"/>
      <w:bookmarkEnd w:id="69"/>
      <w:bookmarkStart w:id="70" w:name="_Toc138638534"/>
      <w:bookmarkEnd w:id="70"/>
      <w:bookmarkStart w:id="71" w:name="_Toc138638906"/>
      <w:bookmarkEnd w:id="71"/>
      <w:bookmarkStart w:id="72" w:name="_Toc138638884"/>
      <w:bookmarkEnd w:id="72"/>
      <w:bookmarkStart w:id="73" w:name="_Toc138638510"/>
      <w:bookmarkEnd w:id="73"/>
      <w:bookmarkStart w:id="74" w:name="_Toc138638883"/>
      <w:bookmarkEnd w:id="74"/>
      <w:bookmarkStart w:id="75" w:name="_Toc138638538"/>
      <w:bookmarkEnd w:id="75"/>
      <w:bookmarkStart w:id="76" w:name="_Toc138638910"/>
      <w:bookmarkEnd w:id="76"/>
      <w:bookmarkStart w:id="77" w:name="_Toc138638702"/>
      <w:bookmarkEnd w:id="77"/>
      <w:bookmarkStart w:id="78" w:name="_Toc138638907"/>
      <w:bookmarkEnd w:id="78"/>
      <w:bookmarkStart w:id="79" w:name="_Toc138638718"/>
      <w:bookmarkEnd w:id="79"/>
      <w:bookmarkStart w:id="80" w:name="_Toc138638509"/>
      <w:bookmarkEnd w:id="80"/>
      <w:bookmarkStart w:id="81" w:name="_Toc138639145"/>
      <w:bookmarkEnd w:id="81"/>
      <w:bookmarkStart w:id="82" w:name="_Toc138638773"/>
      <w:bookmarkEnd w:id="82"/>
      <w:bookmarkStart w:id="83" w:name="_Toc138638719"/>
      <w:bookmarkEnd w:id="83"/>
      <w:bookmarkStart w:id="84" w:name="_Toc4547"/>
      <w:bookmarkStart w:id="85" w:name="_Toc531016893"/>
      <w:r>
        <w:rPr>
          <w:rFonts w:hint="eastAsia" w:ascii="仿宋" w:hAnsi="仿宋" w:eastAsia="仿宋" w:cs="仿宋"/>
          <w:b/>
          <w:color w:val="auto"/>
          <w:sz w:val="24"/>
          <w:szCs w:val="24"/>
          <w:highlight w:val="none"/>
          <w:lang w:val="en-US" w:eastAsia="zh-CN"/>
        </w:rPr>
        <w:t xml:space="preserve">第四章 </w:t>
      </w:r>
      <w:r>
        <w:rPr>
          <w:rFonts w:hint="eastAsia" w:ascii="仿宋" w:hAnsi="仿宋" w:eastAsia="仿宋" w:cs="仿宋"/>
          <w:b/>
          <w:color w:val="auto"/>
          <w:sz w:val="24"/>
          <w:szCs w:val="24"/>
          <w:highlight w:val="none"/>
          <w:lang w:eastAsia="zh-CN"/>
        </w:rPr>
        <w:t>采购需求</w:t>
      </w:r>
      <w:bookmarkEnd w:id="84"/>
    </w:p>
    <w:p w14:paraId="1FAFF191">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lang w:val="en-US" w:eastAsia="zh-CN"/>
        </w:rPr>
      </w:pPr>
      <w:bookmarkStart w:id="86" w:name="_Toc9562"/>
      <w:r>
        <w:rPr>
          <w:rFonts w:hint="eastAsia" w:ascii="仿宋" w:hAnsi="仿宋" w:eastAsia="仿宋" w:cs="仿宋"/>
          <w:b/>
          <w:color w:val="auto"/>
          <w:sz w:val="24"/>
          <w:szCs w:val="24"/>
          <w:highlight w:val="none"/>
          <w:lang w:val="en-US" w:eastAsia="zh-CN"/>
        </w:rPr>
        <w:t>一、项目总体概况</w:t>
      </w:r>
      <w:bookmarkEnd w:id="86"/>
    </w:p>
    <w:p w14:paraId="0D73C016">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新疆专业技术人员管理平台已完成顶层设计与统一部署，全面落地职称申报、材料审核、会议评审、批文办理、证书发放、数据共享、数据统计分析等全流程综合服务功能，建成专业技术人员一体化管理信息平台，有效支撑全区职称“放管服”改革落地实施。</w:t>
      </w:r>
    </w:p>
    <w:p w14:paraId="2707E20A">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为进一步深化职称“放管服”改革落地成效，优化学校专业技术人员管理服务模式，彻底解决教职工业务数据重复填报、经办人员重复审核核验的工作痛点，严格落实“数据多跑腿、群众少跑路”的数字化服务要求，新疆农业大学拟实施新疆专业技术人员高校数据一体化数据共享平台管理系统建设项目。项目依托学校数据中台底座，整合归集全校专业技术人员各类业务数据与申报附件，搭建一体化数据共享、复用、管理、对接平台，实现与自治区专业技术人员管理平台的数据互通、业务联动，构建“一方归集、统一认证、多方共享、全域复用”的数据治理与应用机制，全方位提升学校专业技术人员职称管理、评审服务、数据管控、证照管理等工作的数字化、一体化、规范化、高效化水平。</w:t>
      </w:r>
    </w:p>
    <w:p w14:paraId="4C0A3D52">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lang w:val="en-US" w:eastAsia="zh-CN"/>
        </w:rPr>
      </w:pPr>
      <w:bookmarkStart w:id="87" w:name="_Toc1259"/>
      <w:r>
        <w:rPr>
          <w:rFonts w:hint="eastAsia" w:ascii="仿宋" w:hAnsi="仿宋" w:eastAsia="仿宋" w:cs="仿宋"/>
          <w:b/>
          <w:color w:val="auto"/>
          <w:sz w:val="24"/>
          <w:szCs w:val="24"/>
          <w:highlight w:val="none"/>
          <w:lang w:val="en-US" w:eastAsia="zh-CN"/>
        </w:rPr>
        <w:t>二、总体建设要求</w:t>
      </w:r>
      <w:bookmarkEnd w:id="87"/>
    </w:p>
    <w:p w14:paraId="4C3935B1">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需严格贴合新疆专业技术人员管理相关政策及高校人事、职称管理工作实际，基于自治区专业技术人员管理平台整体架构，搭建高校专属的数据一体化共享管理平台，完成标准化数据接口开发、全域数据互联互通、评审功能优化升级、数据安全管控及全流程运维保障等建设内容。整体系统采用国产化适配架构，实现专业技术人员数据自动归集、智能回填、协同评审、证照共享、全程监控、安全防护一体化能力，打造标准化、智能化、可拓展的高校专业技术人员数据共享管理体系，保障学校专业技术人员各项业务高效、合规、有序开展。</w:t>
      </w:r>
    </w:p>
    <w:p w14:paraId="11A7DF8F">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lang w:val="en-US" w:eastAsia="zh-CN"/>
        </w:rPr>
      </w:pPr>
      <w:bookmarkStart w:id="88" w:name="_Toc27115"/>
      <w:r>
        <w:rPr>
          <w:rFonts w:hint="eastAsia" w:ascii="仿宋" w:hAnsi="仿宋" w:eastAsia="仿宋" w:cs="仿宋"/>
          <w:b/>
          <w:color w:val="auto"/>
          <w:sz w:val="24"/>
          <w:szCs w:val="24"/>
          <w:highlight w:val="none"/>
          <w:lang w:val="en-US" w:eastAsia="zh-CN"/>
        </w:rPr>
        <w:t>三、详细技术参数及功能需求</w:t>
      </w:r>
      <w:bookmarkEnd w:id="88"/>
    </w:p>
    <w:p w14:paraId="4C08F35A">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本项目围绕新疆农业大学专业技术人员高校数据一体化共享管理核心需求，搭建全域数据共享、业务协同、安全可控的智能化管理平台，具体技术参数及功能要求如下：</w:t>
      </w:r>
    </w:p>
    <w:p w14:paraId="3CA6CAEB">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（一）系统架构适配需求</w:t>
      </w:r>
    </w:p>
    <w:p w14:paraId="0F3A0507">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项目整体采用成熟稳定的B/S架构设计，具备良好的兼容性、扩展性与适配性，可完全适配国产化操作系统、国产化数据库、国产化服务器环境，支持校内本地化部署，满足高校数字化建设及信创适配相关要求，保障系统长期稳定运行。</w:t>
      </w:r>
    </w:p>
    <w:p w14:paraId="653EDE9B">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（二）职称申报书优化改造需求</w:t>
      </w:r>
    </w:p>
    <w:p w14:paraId="5C96D0E1">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严格依据最新自治区高校教师系列职称评审政策及评审条件，优化重构职称评审申报书栏目体系，完善申报书内容架构。优化后申报书需全面覆盖教师核心评审信息模块，具体包含教师基本情况、岗位聘任与年度考核情况、教学工作经历与教学成果、教学科研项目、横向课题研究、知识产权成果、科研成果转化、期刊论文发表、媒体刊稿成果、著编译作及教材编撰、各类荣誉称号等全维度内容，栏目设置贴合评审标准，内容适配高校教师职称申报场景。</w:t>
      </w:r>
    </w:p>
    <w:p w14:paraId="713133DE">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（三）一体化数据接口开发</w:t>
      </w:r>
    </w:p>
    <w:p w14:paraId="5558B8CD">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基于优化完善的职称申报标准化栏目体系及学校专业技术人员数据治理规范，依托学校数据中台全域数据资源，制定标准化、规范化的数据对接清单、数据字段标准、数据传输协议，开发一体化数据共享对接接口。系统支持自动抓取、归集、整合全校教职工专业技术人员相关业务数据，可实现职称申报、人员信息核验、成果统计等各类业务数据一键智能回填，彻底替代人工手动填报模式，实现校内专业技术人员数据统一治理、一次归集、全域复用，打通校内数据与新疆专业技术人员管理平台的数据壁垒。</w:t>
      </w:r>
    </w:p>
    <w:p w14:paraId="27EB7DB8">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（四）云会议评审系统优化改造需求</w:t>
      </w:r>
    </w:p>
    <w:p w14:paraId="7AB79DF9">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优化升级线上学科组评审云会议系统，对接职称申报书业务数据栏目与职称评审量化赋分表。系统可根据评审量化赋分表中的客观项评分标准，自动关联申报人员对应申报材料与业务数据，实现评审客观指标的自动核算、精准赋分，减少人工评分误差，提升职称评审工作的客观性、公正性与高效性。</w:t>
      </w:r>
    </w:p>
    <w:p w14:paraId="40D6A66C">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（五）电子证照数据共享对接需求</w:t>
      </w:r>
    </w:p>
    <w:p w14:paraId="6865AA1D">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发电子证照标准化对接接口，实现与新疆专业技术人员管理平台证照数据互联互通。在评审委员会完成职称评审、签发电子证书后，系统可自动同步获取教职工个人职称电子证照照面信息、完整电子证照文件，支持证照数据校内共享、查询、复用，实现职称电子证照无纸化、数字化管理。</w:t>
      </w:r>
    </w:p>
    <w:p w14:paraId="78ECE44C">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（六）单点登录互通需求</w:t>
      </w:r>
    </w:p>
    <w:p w14:paraId="47427574">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打通学校校内管理系统与新疆专业技术人员管理平台的身份认证通道，实现双系统单点登录互通。教职工通过校内统一账号完成一次身份认证后，可直接跳转登录职称评审系统，同时系统支持个人基础信息自动关联、同步更新，解决多系统账号重复登录、信息不一致等问题，优化用户操作体验。</w:t>
      </w:r>
    </w:p>
    <w:p w14:paraId="7A96C084">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（七）一体化数据协同平台建设需求</w:t>
      </w:r>
    </w:p>
    <w:p w14:paraId="4D2F0AB3">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搭建适配高校专业技术人员数据管理的一体化协同共享平台，集成路由转发、安全认证授权、负载均衡、流量控制、缓存管理、监控日志、熔断降级等基础运维能力。基于学校数据中台已治理的标准化专业技术人员数据，支持各类数据共享API接口的标准化设计、开发、调试与文档化输出。配套可视化运维管理后台，支持业务字段自定义配置、数据共享规则自定义、可视化运维监控操作，同时配备完善的数据安全管控、分级权限管控、全量用户管理、数据共享审批等功能模块，构建全方位、一体化的数据协同管理体系，满足学校专业技术人员数据共享、业务协同、自主运维、规范管理的核心需求。</w:t>
      </w:r>
    </w:p>
    <w:p w14:paraId="5B885E99">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（八）数据接口监控运维需求</w:t>
      </w:r>
    </w:p>
    <w:p w14:paraId="1B108143">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搭建数据接口智能监控体系，实现学校一体化数据共享平台与自治区专业技术人员管理平台之间数据接口的实时监测、全程追踪。系统可实时监控接口响应效率、数据调用成功率、数据传输完整性、数据同步时效性等核心性能指标，自动识别数据调用异常、传输中断、数据缺失、接口故障等各类问题，具备7×24小时实时预警、弹窗告警、短信提示等功能，支持异常日志自动留存、问题溯源分析、故障统计复盘，全方位保障跨平台数据共享、交互、同步的稳定性与可靠性。</w:t>
      </w:r>
    </w:p>
    <w:p w14:paraId="7310B017">
      <w:pPr>
        <w:widowControl w:val="0"/>
        <w:spacing w:after="0" w:line="360" w:lineRule="auto"/>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（九）全流程数据安全合规管控需求</w:t>
      </w:r>
    </w:p>
    <w:p w14:paraId="7324B241">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严格遵循《网络安全法》《数据安全法》《个人信息保护法》及自治区专业技术人员数据管理相关规范，针对平台数据归集、传输、共享、存储、使用、复用全流程构建安全防护体系。对平台所有业务数据、专业技术人员个人敏感信息、科研成果数据、职称评审数据等采用国密算法进行加密传输、加密存储，建立数据分级分类管理、访问权限管控、操作日志审计、数据防泄露、数据防篡改机制，规范全域数据共享与应用流程，严防数据滥用、泄露、篡改、丢失，确保平台所有数据应用、业务流转合法合规。</w:t>
      </w:r>
    </w:p>
    <w:p w14:paraId="0AEAE1BE">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lang w:val="en-US" w:eastAsia="zh-CN"/>
        </w:rPr>
      </w:pPr>
      <w:bookmarkStart w:id="89" w:name="_Toc30663"/>
      <w:r>
        <w:rPr>
          <w:rFonts w:hint="eastAsia" w:ascii="仿宋" w:hAnsi="仿宋" w:eastAsia="仿宋" w:cs="仿宋"/>
          <w:b/>
          <w:color w:val="auto"/>
          <w:sz w:val="24"/>
          <w:szCs w:val="24"/>
          <w:highlight w:val="none"/>
          <w:lang w:val="en-US" w:eastAsia="zh-CN"/>
        </w:rPr>
        <w:t>四、运维培训及配套服务需求</w:t>
      </w:r>
      <w:bookmarkEnd w:id="89"/>
    </w:p>
    <w:p w14:paraId="61DA2BB3">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需为本项目提供完善的落地配套与运维培训服务，结合平台功能及学校实际使用场景，提供基础的系统使用相关资料。同时针对管理员、业务经办人员、教职工等不同使用群体，提供现场授课、线上视频教学、远程协助等灵活多样的实操培训与答疑服务，确保相关人员熟练掌握平台各项操作功能，保障平台顺利落地、正常使用及常态化稳定运行。</w:t>
      </w:r>
    </w:p>
    <w:p w14:paraId="5178F902">
      <w:pPr>
        <w:widowControl w:val="0"/>
        <w:spacing w:after="0" w:line="360" w:lineRule="auto"/>
        <w:ind w:firstLine="482" w:firstLineChars="200"/>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五、项目总体建设与服务要求</w:t>
      </w:r>
    </w:p>
    <w:p w14:paraId="5F64C932">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本项目整体建设需贴合自治区专业技术人员管理政策及学校高校数据一体化共享管理的核心业务需求，平台功能、数据标准、业务流程完全适配职称评审、人员管理、数据复用、证照共享等场景，确保系统适配性、数据合规性、业务流畅性，满足学校长期数字化管理发展需求。</w:t>
      </w:r>
    </w:p>
    <w:p w14:paraId="4146A77B">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 平台整体架构需具备良好的兼容性、开放性与可拓展性，支持后续政策更新、业务场景拓展、数据字段迭代、接口扩容、功能升级改造，可适配学校专业技术人员数据治理工作的长期发展。</w:t>
      </w:r>
    </w:p>
    <w:p w14:paraId="7100F1B2">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 供应商需提供完整的项目质保、运维及技术支撑服务，质保期内7×24小时响应平台故障、接口异常、数据同步故障、安全隐患等各类问题，全程保障一体化数据共享平台稳定、安全、高效运行。</w:t>
      </w:r>
    </w:p>
    <w:p w14:paraId="606F36E9">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 项目整体建设、软硬件适配、接口开发、数据治理、安全防护等所有内容，均需符合国家信创适配、网络安全、数据安全相关标准及自治区专业技术人员数据管理规范，确保项目建设全流程合法合规、标准统一。</w:t>
      </w:r>
    </w:p>
    <w:p w14:paraId="39D8E3D1">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集成对接要求</w:t>
      </w:r>
    </w:p>
    <w:p w14:paraId="09700A1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1、建设规范依据</w:t>
      </w:r>
    </w:p>
    <w:p w14:paraId="2C8FD28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1.1政策文件</w:t>
      </w:r>
    </w:p>
    <w:p w14:paraId="26100DBF">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（1）《中华人民共和国网络安全法》</w:t>
      </w:r>
    </w:p>
    <w:p w14:paraId="5FD0434A">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（2）《中华人民共和国密码法》</w:t>
      </w:r>
    </w:p>
    <w:p w14:paraId="5FDFBC43">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（3）《新疆农业大学信息化项目建设管理办法（试行）》</w:t>
      </w:r>
    </w:p>
    <w:p w14:paraId="565658D9">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（4）《新疆农业大学信息（软件）系统验收规范（试行）》</w:t>
      </w:r>
    </w:p>
    <w:p w14:paraId="0017F796">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（5）《新疆农业大学职称评审实施办法（试行）》</w:t>
      </w:r>
    </w:p>
    <w:p w14:paraId="28BA9625">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（6）《新疆农业大学中层领导班子和处级干部年度综合考核评价办法（修订）》</w:t>
      </w:r>
    </w:p>
    <w:p w14:paraId="38ABC14D">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（7）《新疆农业大学教职工考核实施办法（修订）》</w:t>
      </w:r>
    </w:p>
    <w:p w14:paraId="405F5585">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（8）《新疆农业大学信息系统集成标准规范（试行）》</w:t>
      </w:r>
    </w:p>
    <w:p w14:paraId="4309B26B">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（9）《新疆农业大学信息化基础数据管理办法（试行）》</w:t>
      </w:r>
    </w:p>
    <w:p w14:paraId="042F4A86">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（10）新疆农业大学数据可视化大屏设计规范（试行）</w:t>
      </w:r>
    </w:p>
    <w:p w14:paraId="65CED3E9">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1.2技术规范文件</w:t>
      </w:r>
    </w:p>
    <w:p w14:paraId="601EEA98">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项目建设过程中应符合现行国家、自治区以及高校行业有关规范和标准最新版本要求，如在项目建设过程有新出台的标准和规范，也应遵循。本项目应遵循的标准规范包含但不限于以下内容：</w:t>
      </w:r>
    </w:p>
    <w:p w14:paraId="16F64955">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（1）《密码模块安全技术要求》GM/T 0028-2014；</w:t>
      </w:r>
    </w:p>
    <w:p w14:paraId="4956786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（2）《信息系统密码应用基本要求》GM/T 0054-2018；</w:t>
      </w:r>
    </w:p>
    <w:p w14:paraId="3C8ED90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（3）《信息安全技术 云计算服务安全指南》GB/T 31167-2014；</w:t>
      </w:r>
    </w:p>
    <w:p w14:paraId="63E328A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（4）《信息安全技术 云计算服务安全能力要求》GB/T 31168-2014；</w:t>
      </w:r>
    </w:p>
    <w:p w14:paraId="783653CF">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（5）《信息安全技术 网络安全等级保护基本要求》GB/T 22239-2019；</w:t>
      </w:r>
    </w:p>
    <w:p w14:paraId="4D25A4C8">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（6）《信息安全技术 网络安全等级保护测评要求》GB/T 28448-2019；</w:t>
      </w:r>
    </w:p>
    <w:p w14:paraId="093D963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（7）《信息安全技术 网络安全等级保护安全设计技术要求》GB/T 25070-2019。</w:t>
      </w:r>
    </w:p>
    <w:p w14:paraId="12155776">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（8）教技厅〔2019〕3号《教育移动互联网应用程序备案管理办法》</w:t>
      </w:r>
    </w:p>
    <w:p w14:paraId="6C131221">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（9）新农大办发〔2024〕16 号《新疆农业大学信息化建设规范V2.0》</w:t>
      </w:r>
    </w:p>
    <w:p w14:paraId="72E0A57C">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（10）新农大办发〔2021〕31号《新疆农业大学信息化基础数据管理办法》（试行）</w:t>
      </w:r>
    </w:p>
    <w:p w14:paraId="74B28C53">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（11）新农大办发〔2021〕32号《新疆农业大学信息化项目建设管理办法》（试行）</w:t>
      </w:r>
    </w:p>
    <w:p w14:paraId="6E47C2E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（12）《新疆农业大学信息(软件)系统验收规范(试行)》新农大发[2023] 47 号</w:t>
      </w:r>
    </w:p>
    <w:p w14:paraId="5ABCF2CB">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2、集成费用要求</w:t>
      </w:r>
    </w:p>
    <w:p w14:paraId="58CD5F2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中标厂商须承担与数字化校园平台集成相关费用，包含中标厂商系统自身开发费用及平台厂商对接集成费用。</w:t>
      </w:r>
    </w:p>
    <w:p w14:paraId="2E4BD09F">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3、系统集成要求：</w:t>
      </w:r>
    </w:p>
    <w:p w14:paraId="310E1160">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新疆农业大学“十五五”校园信息化建设发展规划》为基本纲要，按照学校要求提供公共服务的接口设计，提供完整使用文档，并配合学校完成与智慧校园基础平台及各应用系统集成。须提供完整的表结构，在服务期内，免费提供全数据接口。需与学校已有的平台及业务的无缝对接，主要从应用集成、数据集成、服务集成进行要求。</w:t>
      </w:r>
    </w:p>
    <w:p w14:paraId="313ECEA1">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3.1应用集成</w:t>
      </w:r>
    </w:p>
    <w:p w14:paraId="296F02A6">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（1）统一身份认证集成</w:t>
      </w:r>
    </w:p>
    <w:p w14:paraId="59165953">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业务系统须与校方现有认证平台进行统一身份认证集成。参照校方认证平台提供的认证接口，进行认证集成开发，实现统一身份认证集成，教职工、学生等各类用户通过信息门户平台即可直接登录供应商业务系统而无需二次认证。</w:t>
      </w:r>
    </w:p>
    <w:p w14:paraId="693412CD">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实现统一认证和单点登录提供接口和通道，须支持跨平台和各种开发语言的应用系统接入平台，如目前学校各类应用系统所使用的.net、JAVA、PHP等多种开发语言；支持CAS4.0、SAML1.1协议，能将各类应用纳入认证范围，实现集中统一的认证。身份、授权、认证功能相互独立，可以灵活的与第三方产品对接。支持底层多种通用结构的认证技术协议，至少包括LDAP等。</w:t>
      </w:r>
    </w:p>
    <w:p w14:paraId="347F5C5A">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取消本地认证。如需开通本地认证，通过申请审核批准方可执行。</w:t>
      </w:r>
    </w:p>
    <w:p w14:paraId="3C774175">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（2）信息门户集成</w:t>
      </w:r>
    </w:p>
    <w:p w14:paraId="38EC7B9D">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在校方信息门户平台中，增加供应商系统入口，通过单点登录地址即可登录供应商业务系统。</w:t>
      </w:r>
    </w:p>
    <w:p w14:paraId="0495C293">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（3）移动门户集成</w:t>
      </w:r>
    </w:p>
    <w:p w14:paraId="1C83C144">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供应商业务系统须与校方现有移动门户进行应用集成。系统必须提供H5移动客户端集成服务，包含但不限于APP（IOS、Android）、微信企业号。</w:t>
      </w:r>
    </w:p>
    <w:p w14:paraId="70911974">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（4）学校基础数据集成</w:t>
      </w:r>
    </w:p>
    <w:p w14:paraId="34481BEF">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涉及学校组织岗位、教职工、学生、各类编码信息由学校组织岗位中心提供和维护，业务系统不得自行建设维护，以保证组织岗位信息统一。</w:t>
      </w:r>
    </w:p>
    <w:p w14:paraId="61B49F81">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3.2数据集成</w:t>
      </w:r>
    </w:p>
    <w:p w14:paraId="5B721495">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（1）数据标准</w:t>
      </w:r>
    </w:p>
    <w:p w14:paraId="231DD29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严格遵循教育部2012年最新发布的《教育管理信息化标准》和《高等学校管理信息标准》等信息标准，参照《新疆农业大学信息标准规范V2.0》及《新疆农业大学信息标准代码》等文件，统一并完善涉及业务信息部分的数据信息标准的接入与下发，达到数据建模、信息采集、加工处理、数据交换过程中的规范化。</w:t>
      </w:r>
    </w:p>
    <w:p w14:paraId="4326482C">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提供数据库设计规范、完整的数据库字典（表结构、视图、表之间关联关系等）。</w:t>
      </w:r>
    </w:p>
    <w:p w14:paraId="73794AD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（2）数据集成</w:t>
      </w:r>
    </w:p>
    <w:p w14:paraId="4F0B0046">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供应商业务系统采集、传输、使用、存储的数据均为校方资产。须实现与学校数据中心对接，同步复制全部业务数据至学校数据中心，为学校数据分析应用提供基础数据。</w:t>
      </w:r>
    </w:p>
    <w:p w14:paraId="637E8F4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供应商须提供系统完整数据表结构、数据字典说明文档，项目实施及售后服务期间，须需免费配合校方进行数据集成并提供技术支持。</w:t>
      </w:r>
    </w:p>
    <w:p w14:paraId="43523040">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要求供应商免费完成对我校原业务系统数据的平滑迁移（用户纸质数据和历史数据），并确保迁移到新系统中数据的准确性。</w:t>
      </w:r>
    </w:p>
    <w:p w14:paraId="6B5BD8E3">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支持以视图、推送中间库、webservice等多种形式提供数据共享及交换，并提供完整使用文档。</w:t>
      </w:r>
    </w:p>
    <w:p w14:paraId="204597D6">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提供API接口及接口管理授权功能，供第三方对接或调用。数据集成接口必须支持包括JMS Topic、JMS Queue、Web Service、Tabled-Txt文件、XML文件、支持操作系统的网络协议，包括FTP。</w:t>
      </w:r>
    </w:p>
    <w:p w14:paraId="4DB445D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3.3服务集成</w:t>
      </w:r>
    </w:p>
    <w:p w14:paraId="2A8BFAAB">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消息集成</w:t>
      </w:r>
    </w:p>
    <w:p w14:paraId="13753C0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基于校园各类应用系统信息统一收发要求，所有业务系统待办任务、消息需通过短信、微信、邮件等通道发送的消息均须对接校园统一通信平台，由统一通信平台负责发送，包括回执消息的接收。</w:t>
      </w:r>
    </w:p>
    <w:p w14:paraId="79DC9E1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信息发送须严格遵守各通信运营商对信息安全管理和企业用户授权的相关要求，包括但不限于信息审计、黑白名单设置和信息模板管理等要求。</w:t>
      </w:r>
    </w:p>
    <w:p w14:paraId="0F7CDF19">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4、系统管理要求：</w:t>
      </w:r>
    </w:p>
    <w:p w14:paraId="657EF7FC">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4.1信创要求</w:t>
      </w:r>
    </w:p>
    <w:p w14:paraId="2F09F5D1">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为了确保系统的稳定性和安全性，本项目要求系统采用国产化的操作系统、算法、中间件和数据库，以确保系统的可靠性和安全性。具体要求如下：</w:t>
      </w:r>
    </w:p>
    <w:p w14:paraId="59D6FE98">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（1）操作系统</w:t>
      </w:r>
    </w:p>
    <w:p w14:paraId="3E92692B">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系统应采用国产化的操作系统，以确保系统的稳定性和安全性。</w:t>
      </w:r>
    </w:p>
    <w:p w14:paraId="3AD8CD3B">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（2）算法</w:t>
      </w:r>
    </w:p>
    <w:p w14:paraId="5758E26E">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系统应采用国产化的加密算法，以确保系统的高效性和准确性。</w:t>
      </w:r>
    </w:p>
    <w:p w14:paraId="58C17323">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（3）中间件</w:t>
      </w:r>
    </w:p>
    <w:p w14:paraId="2106B1E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系统应采用国产化的中间件，以确保系统的可扩展性和高并发性。</w:t>
      </w:r>
    </w:p>
    <w:p w14:paraId="7C3FAA7A">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（4）数据库</w:t>
      </w:r>
    </w:p>
    <w:p w14:paraId="7C8919C0">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系统应采用国产化的数据库。</w:t>
      </w:r>
    </w:p>
    <w:p w14:paraId="4AC9640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（5）浏览器</w:t>
      </w:r>
    </w:p>
    <w:p w14:paraId="76B3FD44">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系统应兼容国产电脑常使用的浏览器。</w:t>
      </w:r>
    </w:p>
    <w:p w14:paraId="6DC42549">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（6）文件格式</w:t>
      </w:r>
    </w:p>
    <w:p w14:paraId="7C808D06">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系统所提供的文件在线预览、编辑、下载等功能均需支持OFD格式。</w:t>
      </w:r>
    </w:p>
    <w:p w14:paraId="73725E3A">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4.2界面风格要求</w:t>
      </w:r>
    </w:p>
    <w:p w14:paraId="17C7359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操作流程清晰简洁，用户界面风格统一美观大方，整体色调应与新疆农业大学主页保持一致，如主色、辅助色等。图标等UI设计风格应与移动门户（“智慧新农大”企业微信）和服务大厅保持一致。打开菜单窗口并行排列，给用户提供良好的操作体验。可自定义表单字段显示的位置及顺序，避免出现预留信息点过多，导致数据显示不直观的情况。系统建设涉及数据可视化展示的需遵照《新疆农业大学数据可视化大屏设计规范（试行）》 进行建设，保证与学校“数智新农”风格统一。</w:t>
      </w:r>
    </w:p>
    <w:p w14:paraId="382D0CE8">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4.3可靠性、稳定性</w:t>
      </w:r>
    </w:p>
    <w:p w14:paraId="6B02563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良好的运行保障体系，提供完善的存储、备份手段，提供故障恢复手段，确保系统的稳定性，应用系统生产的数据、数据库数据，必须定期备份，备份周期不得小于7天，重要数据必须每天备份。要求基于Linux环境进行系统部署，数据库要求采用主流数据库。中标厂商须提供正版软件授权。</w:t>
      </w:r>
    </w:p>
    <w:p w14:paraId="07773502">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4.4安全性、保密性：</w:t>
      </w:r>
    </w:p>
    <w:p w14:paraId="25730BBD">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设计时必须考虑整体的安全性，从数据访问操作、用户认证、数据加密等多个方面进行安全性设计，提高系统的安全性。系统应分别针对不同的应用和不同的环境，采取不同的措施，包括系统安全机制、数据存取权限控制和数据存储加密机制。</w:t>
      </w:r>
    </w:p>
    <w:p w14:paraId="3AF9219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（1）遵守《中华人民共和国网络安全法》《中华人民共和国数据安全法》《中华人民共和国保守国家秘密法》《中华人民共和国个人信息保护法相关规定，满足国家相关法律法规的要求。</w:t>
      </w:r>
    </w:p>
    <w:p w14:paraId="40A08F03">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（2）符合信息系统等级保护要求，符合信息系统风险评估要求。</w:t>
      </w:r>
    </w:p>
    <w:p w14:paraId="00FBF3B8">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（3）重要或敏感信息须加密存储，且采用加密方式进行传输，不得以明文形式存储及在网络中传输。</w:t>
      </w:r>
    </w:p>
    <w:p w14:paraId="1B03DD86">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（4）需使用加密锁对软件进行保护的，必须采用电子加密锁，不得使用硬件加密锁。</w:t>
      </w:r>
    </w:p>
    <w:p w14:paraId="69A739F7">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（5）应用系统安全由软件开发方负责，必须及时进行漏洞检测和修补。</w:t>
      </w:r>
    </w:p>
    <w:p w14:paraId="6510FF2A">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（6）应用系统数据由校方所有，未经学校允许，软件提供方不得获取、传播任何数据。</w:t>
      </w:r>
    </w:p>
    <w:p w14:paraId="7455609D">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4.5可管理性</w:t>
      </w:r>
    </w:p>
    <w:p w14:paraId="0D3FDAE4">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的设计必须符合学校实际业务处理流程，有很好的可管理性，业务流程清晰，权限划分合理，提供便捷的搜索功能、工作流控制功能、查询统计功能，满足用户业务的功能需求，能够支撑用户部门完成相应业务工作。</w:t>
      </w:r>
    </w:p>
    <w:p w14:paraId="1CC03CAD">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4.6敏感数据追踪</w:t>
      </w:r>
    </w:p>
    <w:p w14:paraId="0B8037A0">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能清晰记录系统日志，需做到内部敏感数据的详细操作等可见、可查询、可追踪，日志存储时间不得小于90天。</w:t>
      </w:r>
    </w:p>
    <w:p w14:paraId="1652D5E0">
      <w:pPr>
        <w:widowControl w:val="0"/>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4.7网络要求</w:t>
      </w:r>
    </w:p>
    <w:p w14:paraId="198CA3C7">
      <w:pPr>
        <w:widowControl w:val="0"/>
        <w:spacing w:after="0" w:line="360" w:lineRule="auto"/>
        <w:ind w:firstLine="480" w:firstLineChars="20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系统必须基于IPv6环境部署。</w:t>
      </w:r>
    </w:p>
    <w:p w14:paraId="5D161166">
      <w:pPr>
        <w:rPr>
          <w:rFonts w:hint="eastAsia" w:ascii="仿宋" w:hAnsi="仿宋" w:eastAsia="仿宋" w:cs="仿宋"/>
          <w:color w:val="auto"/>
          <w:highlight w:val="none"/>
        </w:rPr>
      </w:pPr>
    </w:p>
    <w:p w14:paraId="4C929E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p>
    <w:p w14:paraId="42C7EF2B">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17BEA65D">
      <w:pPr>
        <w:spacing w:line="440" w:lineRule="exact"/>
        <w:jc w:val="center"/>
        <w:outlineLvl w:val="0"/>
        <w:rPr>
          <w:rFonts w:hint="eastAsia" w:ascii="仿宋" w:hAnsi="仿宋" w:eastAsia="仿宋" w:cs="仿宋"/>
          <w:b/>
          <w:color w:val="auto"/>
          <w:sz w:val="24"/>
          <w:szCs w:val="24"/>
          <w:highlight w:val="none"/>
        </w:rPr>
      </w:pPr>
      <w:bookmarkStart w:id="90" w:name="_Toc32718"/>
      <w:r>
        <w:rPr>
          <w:rFonts w:hint="eastAsia" w:ascii="仿宋" w:hAnsi="仿宋" w:eastAsia="仿宋" w:cs="仿宋"/>
          <w:b/>
          <w:color w:val="auto"/>
          <w:sz w:val="24"/>
          <w:szCs w:val="24"/>
          <w:highlight w:val="none"/>
        </w:rPr>
        <w:t>第五章 投标文件格式</w:t>
      </w:r>
      <w:bookmarkEnd w:id="85"/>
      <w:bookmarkEnd w:id="90"/>
    </w:p>
    <w:p w14:paraId="1B4D7084">
      <w:pPr>
        <w:rPr>
          <w:rFonts w:hint="eastAsia" w:ascii="仿宋" w:hAnsi="仿宋" w:eastAsia="仿宋" w:cs="仿宋"/>
          <w:b/>
          <w:color w:val="auto"/>
          <w:sz w:val="24"/>
          <w:szCs w:val="24"/>
          <w:highlight w:val="none"/>
        </w:rPr>
      </w:pPr>
    </w:p>
    <w:p w14:paraId="144F3838">
      <w:pPr>
        <w:rPr>
          <w:rFonts w:hint="eastAsia" w:ascii="仿宋" w:hAnsi="仿宋" w:eastAsia="仿宋" w:cs="仿宋"/>
          <w:color w:val="auto"/>
          <w:sz w:val="24"/>
          <w:szCs w:val="24"/>
          <w:highlight w:val="none"/>
          <w:u w:val="single"/>
        </w:rPr>
      </w:pPr>
    </w:p>
    <w:p w14:paraId="08CDB3AA">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投标文件封面示例</w:t>
      </w:r>
    </w:p>
    <w:p w14:paraId="658BF6E4">
      <w:pPr>
        <w:spacing w:line="480" w:lineRule="auto"/>
        <w:jc w:val="center"/>
        <w:rPr>
          <w:rFonts w:hint="eastAsia" w:ascii="仿宋" w:hAnsi="仿宋" w:eastAsia="仿宋" w:cs="仿宋"/>
          <w:b/>
          <w:bCs/>
          <w:color w:val="auto"/>
          <w:sz w:val="24"/>
          <w:szCs w:val="24"/>
          <w:highlight w:val="none"/>
          <w:u w:val="single"/>
        </w:rPr>
      </w:pPr>
    </w:p>
    <w:p w14:paraId="19794BE6">
      <w:pPr>
        <w:pStyle w:val="37"/>
        <w:rPr>
          <w:rFonts w:hint="eastAsia" w:ascii="仿宋" w:hAnsi="仿宋" w:eastAsia="仿宋" w:cs="仿宋"/>
          <w:color w:val="auto"/>
          <w:highlight w:val="none"/>
        </w:rPr>
      </w:pPr>
    </w:p>
    <w:p w14:paraId="565CD4A2">
      <w:pPr>
        <w:spacing w:line="480" w:lineRule="auto"/>
        <w:jc w:val="center"/>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w:t>
      </w:r>
      <w:r>
        <w:rPr>
          <w:rFonts w:hint="eastAsia" w:ascii="仿宋" w:hAnsi="仿宋" w:eastAsia="仿宋" w:cs="仿宋"/>
          <w:b/>
          <w:bCs/>
          <w:color w:val="auto"/>
          <w:sz w:val="24"/>
          <w:szCs w:val="24"/>
          <w:highlight w:val="none"/>
          <w:u w:val="single"/>
          <w:lang w:val="en-US" w:eastAsia="zh-CN"/>
        </w:rPr>
        <w:t>项目名称</w:t>
      </w:r>
      <w:r>
        <w:rPr>
          <w:rFonts w:hint="eastAsia" w:ascii="仿宋" w:hAnsi="仿宋" w:eastAsia="仿宋" w:cs="仿宋"/>
          <w:b/>
          <w:bCs/>
          <w:color w:val="auto"/>
          <w:sz w:val="24"/>
          <w:szCs w:val="24"/>
          <w:highlight w:val="none"/>
          <w:u w:val="single"/>
        </w:rPr>
        <w:t>）</w:t>
      </w:r>
    </w:p>
    <w:p w14:paraId="600A8576">
      <w:pPr>
        <w:spacing w:line="480" w:lineRule="auto"/>
        <w:jc w:val="center"/>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w:t>
      </w:r>
      <w:r>
        <w:rPr>
          <w:rFonts w:hint="eastAsia" w:ascii="仿宋" w:hAnsi="仿宋" w:eastAsia="仿宋" w:cs="仿宋"/>
          <w:b/>
          <w:bCs/>
          <w:color w:val="auto"/>
          <w:sz w:val="24"/>
          <w:szCs w:val="24"/>
          <w:highlight w:val="none"/>
          <w:u w:val="single"/>
          <w:lang w:val="en-US" w:eastAsia="zh-CN"/>
        </w:rPr>
        <w:t>项目编号</w:t>
      </w:r>
      <w:r>
        <w:rPr>
          <w:rFonts w:hint="eastAsia" w:ascii="仿宋" w:hAnsi="仿宋" w:eastAsia="仿宋" w:cs="仿宋"/>
          <w:b/>
          <w:bCs/>
          <w:color w:val="auto"/>
          <w:sz w:val="24"/>
          <w:szCs w:val="24"/>
          <w:highlight w:val="none"/>
          <w:u w:val="single"/>
        </w:rPr>
        <w:t>）</w:t>
      </w:r>
    </w:p>
    <w:p w14:paraId="39E71733">
      <w:pPr>
        <w:spacing w:line="300" w:lineRule="exact"/>
        <w:jc w:val="center"/>
        <w:rPr>
          <w:rFonts w:hint="eastAsia" w:ascii="仿宋" w:hAnsi="仿宋" w:eastAsia="仿宋" w:cs="仿宋"/>
          <w:b/>
          <w:bCs/>
          <w:color w:val="auto"/>
          <w:sz w:val="24"/>
          <w:szCs w:val="24"/>
          <w:highlight w:val="none"/>
        </w:rPr>
      </w:pPr>
    </w:p>
    <w:p w14:paraId="342DE633">
      <w:pPr>
        <w:spacing w:line="300" w:lineRule="exact"/>
        <w:jc w:val="center"/>
        <w:rPr>
          <w:rFonts w:hint="eastAsia" w:ascii="仿宋" w:hAnsi="仿宋" w:eastAsia="仿宋" w:cs="仿宋"/>
          <w:b/>
          <w:bCs/>
          <w:color w:val="auto"/>
          <w:sz w:val="24"/>
          <w:szCs w:val="24"/>
          <w:highlight w:val="none"/>
        </w:rPr>
      </w:pPr>
    </w:p>
    <w:p w14:paraId="227314FD">
      <w:pPr>
        <w:spacing w:line="3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w:t>
      </w:r>
    </w:p>
    <w:p w14:paraId="2923F342">
      <w:pPr>
        <w:spacing w:line="720" w:lineRule="auto"/>
        <w:rPr>
          <w:rFonts w:hint="eastAsia" w:ascii="仿宋" w:hAnsi="仿宋" w:eastAsia="仿宋" w:cs="仿宋"/>
          <w:color w:val="auto"/>
          <w:sz w:val="24"/>
          <w:szCs w:val="24"/>
          <w:highlight w:val="none"/>
        </w:rPr>
      </w:pPr>
    </w:p>
    <w:p w14:paraId="12CC1CAA">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投标人：（盖章）</w:t>
      </w:r>
    </w:p>
    <w:p w14:paraId="49B06D04">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sz w:val="24"/>
          <w:szCs w:val="24"/>
          <w:highlight w:val="none"/>
        </w:rPr>
        <w:t>）</w:t>
      </w:r>
    </w:p>
    <w:p w14:paraId="6F5CD6C0">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p w14:paraId="4B428206">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p w14:paraId="4F472509">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718366F5">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4FA0FCDB">
      <w:pPr>
        <w:spacing w:line="720" w:lineRule="auto"/>
        <w:rPr>
          <w:rFonts w:hint="eastAsia" w:ascii="仿宋" w:hAnsi="仿宋" w:eastAsia="仿宋" w:cs="仿宋"/>
          <w:color w:val="auto"/>
          <w:sz w:val="24"/>
          <w:szCs w:val="24"/>
          <w:highlight w:val="none"/>
        </w:rPr>
      </w:pPr>
    </w:p>
    <w:p w14:paraId="74423D82">
      <w:pPr>
        <w:spacing w:line="72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74D9D060">
      <w:pPr>
        <w:tabs>
          <w:tab w:val="center" w:pos="4832"/>
          <w:tab w:val="left" w:pos="7140"/>
        </w:tabs>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91" w:name="_Toc130252613"/>
      <w:r>
        <w:rPr>
          <w:rFonts w:hint="eastAsia" w:ascii="仿宋" w:hAnsi="仿宋" w:eastAsia="仿宋" w:cs="仿宋"/>
          <w:b/>
          <w:color w:val="auto"/>
          <w:sz w:val="24"/>
          <w:szCs w:val="24"/>
          <w:highlight w:val="none"/>
        </w:rPr>
        <w:t>目 录</w:t>
      </w:r>
      <w:bookmarkEnd w:id="91"/>
    </w:p>
    <w:p w14:paraId="32E5CB6E">
      <w:pPr>
        <w:spacing w:line="280" w:lineRule="exact"/>
        <w:ind w:firstLine="240" w:firstLineChars="100"/>
        <w:rPr>
          <w:rFonts w:hint="eastAsia" w:ascii="仿宋" w:hAnsi="仿宋" w:eastAsia="仿宋" w:cs="仿宋"/>
          <w:bCs/>
          <w:color w:val="auto"/>
          <w:sz w:val="24"/>
          <w:szCs w:val="24"/>
          <w:highlight w:val="none"/>
        </w:rPr>
      </w:pPr>
    </w:p>
    <w:p w14:paraId="0B45514A">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一、开标一览表</w:t>
      </w:r>
    </w:p>
    <w:p w14:paraId="16DDB009">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二、投标函</w:t>
      </w:r>
    </w:p>
    <w:p w14:paraId="0B0BBECD">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三、投标价格明细表</w:t>
      </w:r>
    </w:p>
    <w:p w14:paraId="3F7FCEFD">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四、商务条款偏离表</w:t>
      </w:r>
    </w:p>
    <w:p w14:paraId="5D74D7F8">
      <w:pPr>
        <w:spacing w:line="360" w:lineRule="auto"/>
        <w:ind w:firstLine="240" w:firstLineChars="1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五、</w:t>
      </w:r>
      <w:r>
        <w:rPr>
          <w:rFonts w:hint="eastAsia" w:ascii="仿宋" w:hAnsi="仿宋" w:eastAsia="仿宋" w:cs="仿宋"/>
          <w:color w:val="auto"/>
          <w:kern w:val="0"/>
          <w:sz w:val="24"/>
          <w:szCs w:val="24"/>
          <w:highlight w:val="none"/>
          <w:lang w:eastAsia="zh-CN"/>
        </w:rPr>
        <w:t>技术条款偏离表</w:t>
      </w:r>
    </w:p>
    <w:p w14:paraId="10D6BE60">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六、法定代表人身份证明书</w:t>
      </w:r>
    </w:p>
    <w:p w14:paraId="44C52FD2">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七、法定代表人授权委托书</w:t>
      </w:r>
    </w:p>
    <w:p w14:paraId="756D82B4">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八、投标人资格条件证明材料</w:t>
      </w:r>
    </w:p>
    <w:p w14:paraId="3E09CCFE">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九、投标人近年类似项目情况表</w:t>
      </w:r>
    </w:p>
    <w:p w14:paraId="15192236">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十、项目负责人简历表</w:t>
      </w:r>
    </w:p>
    <w:p w14:paraId="7F7DE9A6">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十一、拟派主要服务人员情况表</w:t>
      </w:r>
    </w:p>
    <w:p w14:paraId="014313EE">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十二、服务方案</w:t>
      </w:r>
    </w:p>
    <w:p w14:paraId="1271A572">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十三、保证金缴纳证明材料</w:t>
      </w:r>
    </w:p>
    <w:p w14:paraId="4945AF6A">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十四、</w:t>
      </w:r>
      <w:r>
        <w:rPr>
          <w:rFonts w:hint="eastAsia" w:ascii="仿宋" w:hAnsi="仿宋" w:eastAsia="仿宋" w:cs="仿宋"/>
          <w:color w:val="auto"/>
          <w:kern w:val="0"/>
          <w:sz w:val="24"/>
          <w:szCs w:val="24"/>
          <w:highlight w:val="none"/>
        </w:rPr>
        <w:t>其它需要提交的资料</w:t>
      </w:r>
    </w:p>
    <w:p w14:paraId="6238BC3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注：为了便于查找，请按上述顺序编制投标文件内容，并在目录中标明每项内容的起始页码。</w:t>
      </w:r>
    </w:p>
    <w:p w14:paraId="297994EB">
      <w:pPr>
        <w:numPr>
          <w:ilvl w:val="0"/>
          <w:numId w:val="0"/>
        </w:num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92" w:name="_Toc6644"/>
      <w:bookmarkStart w:id="93" w:name="_Toc18033"/>
      <w:bookmarkStart w:id="94" w:name="_Toc23128"/>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开标一览表</w:t>
      </w:r>
      <w:bookmarkEnd w:id="92"/>
      <w:bookmarkEnd w:id="93"/>
      <w:bookmarkEnd w:id="94"/>
    </w:p>
    <w:p w14:paraId="31EF9313">
      <w:pPr>
        <w:rPr>
          <w:rFonts w:hint="eastAsia" w:ascii="仿宋" w:hAnsi="仿宋" w:eastAsia="仿宋" w:cs="仿宋"/>
          <w:color w:val="auto"/>
          <w:highlight w:val="none"/>
        </w:rPr>
      </w:pPr>
    </w:p>
    <w:p w14:paraId="4EC0F420">
      <w:pPr>
        <w:rPr>
          <w:rFonts w:hint="eastAsia" w:ascii="仿宋" w:hAnsi="仿宋" w:eastAsia="仿宋" w:cs="仿宋"/>
          <w:color w:val="auto"/>
          <w:highlight w:val="none"/>
        </w:rPr>
      </w:pPr>
    </w:p>
    <w:tbl>
      <w:tblPr>
        <w:tblStyle w:val="39"/>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6249"/>
      </w:tblGrid>
      <w:tr w14:paraId="57CE2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1BD2324E">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项目名称</w:t>
            </w:r>
          </w:p>
        </w:tc>
        <w:tc>
          <w:tcPr>
            <w:tcW w:w="3499" w:type="pct"/>
            <w:tcBorders>
              <w:left w:val="single" w:color="auto" w:sz="4" w:space="0"/>
            </w:tcBorders>
            <w:shd w:val="clear" w:color="auto" w:fill="auto"/>
            <w:vAlign w:val="center"/>
          </w:tcPr>
          <w:p w14:paraId="60C69916">
            <w:pPr>
              <w:spacing w:line="360" w:lineRule="auto"/>
              <w:ind w:right="-670" w:rightChars="0"/>
              <w:rPr>
                <w:rFonts w:hint="eastAsia" w:ascii="仿宋" w:hAnsi="仿宋" w:eastAsia="仿宋" w:cs="仿宋"/>
                <w:bCs/>
                <w:color w:val="auto"/>
                <w:kern w:val="2"/>
                <w:sz w:val="24"/>
                <w:szCs w:val="24"/>
                <w:highlight w:val="none"/>
                <w:lang w:val="en-US" w:eastAsia="zh-CN" w:bidi="ar-SA"/>
              </w:rPr>
            </w:pPr>
          </w:p>
        </w:tc>
      </w:tr>
      <w:tr w14:paraId="7784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04637253">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项目编号</w:t>
            </w:r>
          </w:p>
        </w:tc>
        <w:tc>
          <w:tcPr>
            <w:tcW w:w="3499" w:type="pct"/>
            <w:tcBorders>
              <w:left w:val="single" w:color="auto" w:sz="4" w:space="0"/>
            </w:tcBorders>
            <w:shd w:val="clear" w:color="auto" w:fill="auto"/>
            <w:vAlign w:val="center"/>
          </w:tcPr>
          <w:p w14:paraId="35107763">
            <w:pPr>
              <w:spacing w:line="360" w:lineRule="auto"/>
              <w:ind w:right="-670" w:rightChars="0"/>
              <w:rPr>
                <w:rFonts w:hint="eastAsia" w:ascii="仿宋" w:hAnsi="仿宋" w:eastAsia="仿宋" w:cs="仿宋"/>
                <w:bCs/>
                <w:color w:val="auto"/>
                <w:kern w:val="2"/>
                <w:sz w:val="24"/>
                <w:szCs w:val="24"/>
                <w:highlight w:val="none"/>
                <w:lang w:val="en-US" w:eastAsia="zh-CN" w:bidi="ar-SA"/>
              </w:rPr>
            </w:pPr>
          </w:p>
        </w:tc>
      </w:tr>
      <w:tr w14:paraId="7149E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6360F24E">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投标价格</w:t>
            </w:r>
          </w:p>
        </w:tc>
        <w:tc>
          <w:tcPr>
            <w:tcW w:w="3499" w:type="pct"/>
            <w:tcBorders>
              <w:left w:val="single" w:color="auto" w:sz="4" w:space="0"/>
            </w:tcBorders>
            <w:shd w:val="clear" w:color="auto" w:fill="auto"/>
            <w:vAlign w:val="center"/>
          </w:tcPr>
          <w:p w14:paraId="15601ABB">
            <w:pPr>
              <w:snapToGrid w:val="0"/>
              <w:spacing w:line="360" w:lineRule="auto"/>
              <w:rPr>
                <w:rFonts w:hint="eastAsia" w:ascii="仿宋" w:hAnsi="仿宋" w:eastAsia="仿宋" w:cs="仿宋"/>
                <w:bCs/>
                <w:color w:val="auto"/>
                <w:kern w:val="2"/>
                <w:sz w:val="24"/>
                <w:szCs w:val="24"/>
                <w:highlight w:val="none"/>
                <w:u w:val="single"/>
                <w:lang w:val="en-US" w:eastAsia="zh-CN" w:bidi="ar-SA"/>
              </w:rPr>
            </w:pPr>
            <w:r>
              <w:rPr>
                <w:rFonts w:hint="eastAsia" w:ascii="仿宋" w:hAnsi="仿宋" w:eastAsia="仿宋" w:cs="仿宋"/>
                <w:bCs/>
                <w:color w:val="auto"/>
                <w:kern w:val="2"/>
                <w:sz w:val="24"/>
                <w:szCs w:val="24"/>
                <w:highlight w:val="none"/>
                <w:lang w:val="en-US" w:eastAsia="zh-CN" w:bidi="ar-SA"/>
              </w:rPr>
              <w:t>小写：</w:t>
            </w:r>
            <w:r>
              <w:rPr>
                <w:rFonts w:hint="eastAsia" w:ascii="仿宋" w:hAnsi="仿宋" w:eastAsia="仿宋" w:cs="仿宋"/>
                <w:bCs/>
                <w:color w:val="auto"/>
                <w:kern w:val="2"/>
                <w:sz w:val="24"/>
                <w:szCs w:val="24"/>
                <w:highlight w:val="none"/>
                <w:u w:val="single"/>
                <w:lang w:val="en-US" w:eastAsia="zh-CN" w:bidi="ar-SA"/>
              </w:rPr>
              <w:t xml:space="preserve">            元</w:t>
            </w:r>
          </w:p>
          <w:p w14:paraId="048510CB">
            <w:pPr>
              <w:snapToGrid w:val="0"/>
              <w:spacing w:line="360" w:lineRule="auto"/>
              <w:rPr>
                <w:rFonts w:hint="eastAsia" w:ascii="仿宋" w:hAnsi="仿宋" w:eastAsia="仿宋" w:cs="仿宋"/>
                <w:color w:val="auto"/>
                <w:highlight w:val="none"/>
                <w:lang w:val="en-US" w:eastAsia="zh-CN"/>
              </w:rPr>
            </w:pPr>
            <w:r>
              <w:rPr>
                <w:rFonts w:hint="eastAsia" w:ascii="仿宋" w:hAnsi="仿宋" w:eastAsia="仿宋" w:cs="仿宋"/>
                <w:bCs/>
                <w:color w:val="auto"/>
                <w:kern w:val="2"/>
                <w:sz w:val="24"/>
                <w:szCs w:val="24"/>
                <w:highlight w:val="none"/>
                <w:lang w:val="en-US" w:eastAsia="zh-CN" w:bidi="ar-SA"/>
              </w:rPr>
              <w:t>大写：</w:t>
            </w:r>
            <w:r>
              <w:rPr>
                <w:rFonts w:hint="eastAsia" w:ascii="仿宋" w:hAnsi="仿宋" w:eastAsia="仿宋" w:cs="仿宋"/>
                <w:bCs/>
                <w:color w:val="auto"/>
                <w:kern w:val="2"/>
                <w:sz w:val="24"/>
                <w:szCs w:val="24"/>
                <w:highlight w:val="none"/>
                <w:u w:val="single"/>
                <w:lang w:val="en-US" w:eastAsia="zh-CN" w:bidi="ar-SA"/>
              </w:rPr>
              <w:t xml:space="preserve">            元</w:t>
            </w:r>
          </w:p>
        </w:tc>
      </w:tr>
      <w:tr w14:paraId="5A34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708E4767">
            <w:pPr>
              <w:snapToGrid w:val="0"/>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shd w:val="clear" w:color="auto" w:fill="auto"/>
            <w:vAlign w:val="center"/>
          </w:tcPr>
          <w:p w14:paraId="3E4A8B81">
            <w:pPr>
              <w:snapToGrid w:val="0"/>
              <w:spacing w:line="360" w:lineRule="auto"/>
              <w:rPr>
                <w:rFonts w:hint="eastAsia" w:ascii="仿宋" w:hAnsi="仿宋" w:eastAsia="仿宋" w:cs="仿宋"/>
                <w:bCs/>
                <w:color w:val="auto"/>
                <w:kern w:val="2"/>
                <w:sz w:val="24"/>
                <w:szCs w:val="24"/>
                <w:highlight w:val="none"/>
                <w:lang w:val="en-US" w:eastAsia="zh-CN" w:bidi="ar-SA"/>
              </w:rPr>
            </w:pPr>
          </w:p>
        </w:tc>
      </w:tr>
      <w:tr w14:paraId="5E65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0D4C206D">
            <w:pPr>
              <w:snapToGrid w:val="0"/>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投标有效期</w:t>
            </w:r>
          </w:p>
        </w:tc>
        <w:tc>
          <w:tcPr>
            <w:tcW w:w="3499" w:type="pct"/>
            <w:tcBorders>
              <w:left w:val="single" w:color="auto" w:sz="4" w:space="0"/>
            </w:tcBorders>
            <w:shd w:val="clear" w:color="auto" w:fill="auto"/>
            <w:vAlign w:val="center"/>
          </w:tcPr>
          <w:p w14:paraId="0D633AC8">
            <w:pPr>
              <w:snapToGrid w:val="0"/>
              <w:spacing w:line="360" w:lineRule="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自投标截止之日</w:t>
            </w:r>
            <w:r>
              <w:rPr>
                <w:rFonts w:hint="eastAsia" w:ascii="仿宋" w:hAnsi="仿宋" w:eastAsia="仿宋" w:cs="仿宋"/>
                <w:bCs/>
                <w:color w:val="auto"/>
                <w:kern w:val="2"/>
                <w:sz w:val="24"/>
                <w:szCs w:val="24"/>
                <w:highlight w:val="none"/>
                <w:u w:val="single"/>
                <w:lang w:val="en-US" w:eastAsia="zh-CN" w:bidi="ar-SA"/>
              </w:rPr>
              <w:t xml:space="preserve"> 90 </w:t>
            </w:r>
            <w:r>
              <w:rPr>
                <w:rFonts w:hint="eastAsia" w:ascii="仿宋" w:hAnsi="仿宋" w:eastAsia="仿宋" w:cs="仿宋"/>
                <w:bCs/>
                <w:color w:val="auto"/>
                <w:kern w:val="2"/>
                <w:sz w:val="24"/>
                <w:szCs w:val="24"/>
                <w:highlight w:val="none"/>
                <w:lang w:val="en-US" w:eastAsia="zh-CN" w:bidi="ar-SA"/>
              </w:rPr>
              <w:t>日历日</w:t>
            </w:r>
          </w:p>
        </w:tc>
      </w:tr>
      <w:tr w14:paraId="29FCE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0D61ADA1">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备注</w:t>
            </w:r>
          </w:p>
        </w:tc>
        <w:tc>
          <w:tcPr>
            <w:tcW w:w="3499" w:type="pct"/>
            <w:tcBorders>
              <w:left w:val="single" w:color="auto" w:sz="4" w:space="0"/>
            </w:tcBorders>
            <w:shd w:val="clear" w:color="auto" w:fill="auto"/>
            <w:vAlign w:val="center"/>
          </w:tcPr>
          <w:p w14:paraId="7A71EEF0">
            <w:pPr>
              <w:rPr>
                <w:rFonts w:hint="eastAsia" w:ascii="仿宋" w:hAnsi="仿宋" w:eastAsia="仿宋" w:cs="仿宋"/>
                <w:bCs/>
                <w:color w:val="auto"/>
                <w:kern w:val="2"/>
                <w:sz w:val="24"/>
                <w:szCs w:val="24"/>
                <w:highlight w:val="none"/>
                <w:lang w:val="en-US" w:eastAsia="zh-CN" w:bidi="ar-SA"/>
              </w:rPr>
            </w:pPr>
          </w:p>
        </w:tc>
      </w:tr>
    </w:tbl>
    <w:p w14:paraId="7450167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539E27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C64E403">
      <w:pPr>
        <w:pStyle w:val="38"/>
        <w:rPr>
          <w:rFonts w:hint="eastAsia" w:ascii="仿宋" w:hAnsi="仿宋" w:eastAsia="仿宋" w:cs="仿宋"/>
          <w:color w:val="auto"/>
          <w:highlight w:val="none"/>
        </w:rPr>
      </w:pPr>
    </w:p>
    <w:p w14:paraId="70988BB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DA8A73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647DECE">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04BCAF8C">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1BA7C447">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4EFA2A8D">
      <w:pPr>
        <w:tabs>
          <w:tab w:val="center" w:pos="4832"/>
          <w:tab w:val="left" w:pos="7140"/>
        </w:tabs>
        <w:jc w:val="center"/>
        <w:outlineLvl w:val="1"/>
        <w:rPr>
          <w:rFonts w:hint="eastAsia" w:ascii="仿宋" w:hAnsi="仿宋" w:eastAsia="仿宋" w:cs="仿宋"/>
          <w:b/>
          <w:color w:val="auto"/>
          <w:sz w:val="24"/>
          <w:szCs w:val="24"/>
          <w:highlight w:val="none"/>
        </w:rPr>
      </w:pPr>
      <w:bookmarkStart w:id="95" w:name="_Toc13707"/>
      <w:bookmarkStart w:id="96" w:name="_Toc6911"/>
      <w:bookmarkStart w:id="97" w:name="_Toc7310"/>
      <w:r>
        <w:rPr>
          <w:rFonts w:hint="eastAsia" w:ascii="仿宋" w:hAnsi="仿宋" w:eastAsia="仿宋" w:cs="仿宋"/>
          <w:b/>
          <w:color w:val="auto"/>
          <w:sz w:val="24"/>
          <w:szCs w:val="24"/>
          <w:highlight w:val="none"/>
        </w:rPr>
        <w:t>二、投标函</w:t>
      </w:r>
      <w:bookmarkEnd w:id="95"/>
      <w:bookmarkEnd w:id="96"/>
      <w:bookmarkEnd w:id="97"/>
    </w:p>
    <w:p w14:paraId="289E126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5F40D5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57E4B23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496DB43">
      <w:pPr>
        <w:widowControl/>
        <w:shd w:val="clear" w:color="auto" w:fill="FFFFFF"/>
        <w:snapToGrid w:val="0"/>
        <w:spacing w:line="384"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项目名称</w:t>
      </w:r>
      <w:r>
        <w:rPr>
          <w:rFonts w:hint="eastAsia" w:ascii="仿宋" w:hAnsi="仿宋" w:eastAsia="仿宋" w:cs="仿宋"/>
          <w:color w:val="auto"/>
          <w:kern w:val="0"/>
          <w:sz w:val="24"/>
          <w:szCs w:val="24"/>
          <w:highlight w:val="none"/>
        </w:rPr>
        <w:t>）的招标文件，遵照《中华人民共和国政府采购法》等有关法律法规的规定，经考察现场和充分研究贵方的招标文件的全部内容后，我方郑重承诺如下：</w:t>
      </w:r>
    </w:p>
    <w:p w14:paraId="06725F90">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5466FA9C">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4E1629D5">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0B8F54C4">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4、我方所递交的投标文件及有关资料内容完整、真实和准确，且不存在投标人须知前附表规定的投标人不得存在的任何一种情形。</w:t>
      </w:r>
    </w:p>
    <w:p w14:paraId="110C35EB">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5、本</w:t>
      </w:r>
      <w:r>
        <w:rPr>
          <w:rFonts w:hint="eastAsia" w:ascii="仿宋" w:hAnsi="仿宋" w:eastAsia="仿宋" w:cs="仿宋"/>
          <w:color w:val="auto"/>
          <w:sz w:val="24"/>
          <w:szCs w:val="24"/>
          <w:highlight w:val="none"/>
          <w:shd w:val="clear" w:color="auto" w:fill="FFFFFF" w:themeFill="background1"/>
        </w:rPr>
        <w:t>投标文件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rPr>
        <w:t>招标文件</w:t>
      </w:r>
      <w:r>
        <w:rPr>
          <w:rFonts w:hint="eastAsia" w:ascii="仿宋" w:hAnsi="仿宋" w:eastAsia="仿宋" w:cs="仿宋"/>
          <w:color w:val="auto"/>
          <w:kern w:val="0"/>
          <w:sz w:val="24"/>
          <w:szCs w:val="24"/>
          <w:highlight w:val="none"/>
          <w:shd w:val="clear" w:color="auto" w:fill="FFFFFF" w:themeFill="background1"/>
        </w:rPr>
        <w:t>规定的投标有效期内对我方具有约束力，如果我方在投标有效期内撤销投标，其投标保证金将被贵方没收。</w:t>
      </w:r>
    </w:p>
    <w:p w14:paraId="316081FA">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6、</w:t>
      </w:r>
      <w:r>
        <w:rPr>
          <w:rFonts w:hint="eastAsia" w:ascii="仿宋" w:hAnsi="仿宋" w:eastAsia="仿宋" w:cs="仿宋"/>
          <w:color w:val="auto"/>
          <w:kern w:val="0"/>
          <w:sz w:val="24"/>
          <w:szCs w:val="24"/>
          <w:highlight w:val="none"/>
        </w:rPr>
        <w:t>我方已完全理解招标文件的全部内容，并无异议。</w:t>
      </w:r>
    </w:p>
    <w:p w14:paraId="6164D5E4">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7、如我方中标，我方自愿向代理机构支付咨询费，并在合同签订后</w:t>
      </w:r>
      <w:r>
        <w:rPr>
          <w:rFonts w:hint="eastAsia" w:ascii="仿宋" w:hAnsi="仿宋" w:eastAsia="仿宋" w:cs="仿宋"/>
          <w:color w:val="auto"/>
          <w:kern w:val="0"/>
          <w:sz w:val="24"/>
          <w:szCs w:val="24"/>
          <w:highlight w:val="none"/>
          <w:shd w:val="clear" w:color="auto" w:fill="FFFFFF" w:themeFill="background1"/>
          <w:lang w:val="en-US" w:eastAsia="zh-CN"/>
        </w:rPr>
        <w:t>1</w:t>
      </w:r>
      <w:r>
        <w:rPr>
          <w:rFonts w:hint="eastAsia" w:ascii="仿宋" w:hAnsi="仿宋" w:eastAsia="仿宋" w:cs="仿宋"/>
          <w:color w:val="auto"/>
          <w:kern w:val="0"/>
          <w:sz w:val="24"/>
          <w:szCs w:val="24"/>
          <w:highlight w:val="none"/>
          <w:shd w:val="clear" w:color="auto" w:fill="FFFFFF" w:themeFill="background1"/>
        </w:rPr>
        <w:t>个工作日内向采购代理机构提供采购合同原件一份用于采购资料备案工作。</w:t>
      </w:r>
    </w:p>
    <w:p w14:paraId="76540176">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8、我方愿意提供贵方可能要求的与采购有关的一切数据或资料，完全理解贵方不一定接受最低投标报价的投标或收到的任何投标。</w:t>
      </w:r>
    </w:p>
    <w:p w14:paraId="2C569CD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A2E752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6586AC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8D1569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76ED552C">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31906FAF">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30FAD369">
      <w:pPr>
        <w:tabs>
          <w:tab w:val="center" w:pos="4832"/>
          <w:tab w:val="left" w:pos="7140"/>
        </w:tabs>
        <w:jc w:val="center"/>
        <w:outlineLvl w:val="1"/>
        <w:rPr>
          <w:rFonts w:hint="eastAsia" w:ascii="仿宋" w:hAnsi="仿宋" w:eastAsia="仿宋" w:cs="仿宋"/>
          <w:color w:val="auto"/>
          <w:sz w:val="24"/>
          <w:szCs w:val="24"/>
          <w:highlight w:val="none"/>
          <w:lang w:eastAsia="zh-CN"/>
        </w:rPr>
      </w:pPr>
      <w:bookmarkStart w:id="98" w:name="_Toc109941765"/>
      <w:bookmarkStart w:id="99" w:name="_Toc2378"/>
      <w:bookmarkStart w:id="100" w:name="_Toc130252615"/>
      <w:bookmarkStart w:id="101" w:name="_Toc109921158"/>
      <w:bookmarkStart w:id="102" w:name="_Toc110707965"/>
      <w:bookmarkStart w:id="103" w:name="_Toc9056"/>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、投标价格明细表</w:t>
      </w:r>
      <w:bookmarkEnd w:id="98"/>
      <w:bookmarkEnd w:id="99"/>
      <w:bookmarkEnd w:id="100"/>
      <w:bookmarkEnd w:id="101"/>
      <w:bookmarkEnd w:id="102"/>
      <w:bookmarkEnd w:id="103"/>
    </w:p>
    <w:tbl>
      <w:tblPr>
        <w:tblStyle w:val="39"/>
        <w:tblW w:w="8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8"/>
        <w:gridCol w:w="3118"/>
        <w:gridCol w:w="2835"/>
        <w:gridCol w:w="1379"/>
      </w:tblGrid>
      <w:tr w14:paraId="38C65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23EA8268">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序号</w:t>
            </w:r>
          </w:p>
        </w:tc>
        <w:tc>
          <w:tcPr>
            <w:tcW w:w="3118" w:type="dxa"/>
            <w:vAlign w:val="center"/>
          </w:tcPr>
          <w:p w14:paraId="0EC095CE">
            <w:pPr>
              <w:jc w:val="center"/>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lang w:val="en-US" w:eastAsia="zh-CN"/>
              </w:rPr>
              <w:t>内容</w:t>
            </w:r>
          </w:p>
        </w:tc>
        <w:tc>
          <w:tcPr>
            <w:tcW w:w="2835" w:type="dxa"/>
            <w:vAlign w:val="center"/>
          </w:tcPr>
          <w:p w14:paraId="76238D59">
            <w:pPr>
              <w:jc w:val="center"/>
              <w:rPr>
                <w:rFonts w:hint="eastAsia" w:ascii="仿宋" w:hAnsi="仿宋" w:eastAsia="仿宋" w:cs="仿宋"/>
                <w:bCs/>
                <w:color w:val="auto"/>
                <w:szCs w:val="21"/>
                <w:highlight w:val="none"/>
              </w:rPr>
            </w:pPr>
            <w:r>
              <w:rPr>
                <w:rFonts w:hint="eastAsia" w:ascii="仿宋" w:hAnsi="仿宋" w:eastAsia="仿宋" w:cs="仿宋"/>
                <w:color w:val="auto"/>
                <w:kern w:val="0"/>
                <w:szCs w:val="21"/>
                <w:highlight w:val="none"/>
                <w:lang w:val="en-US" w:eastAsia="zh-CN"/>
              </w:rPr>
              <w:t>价格</w:t>
            </w:r>
            <w:r>
              <w:rPr>
                <w:rFonts w:hint="eastAsia" w:ascii="仿宋" w:hAnsi="仿宋" w:eastAsia="仿宋" w:cs="仿宋"/>
                <w:bCs/>
                <w:color w:val="auto"/>
                <w:szCs w:val="21"/>
                <w:highlight w:val="none"/>
              </w:rPr>
              <w:t>（元）</w:t>
            </w:r>
          </w:p>
        </w:tc>
        <w:tc>
          <w:tcPr>
            <w:tcW w:w="1379" w:type="dxa"/>
            <w:vAlign w:val="center"/>
          </w:tcPr>
          <w:p w14:paraId="2F34CBC1">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r>
      <w:tr w14:paraId="3B977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4C6C7B62">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3118" w:type="dxa"/>
            <w:vAlign w:val="center"/>
          </w:tcPr>
          <w:p w14:paraId="2E0762C0">
            <w:pPr>
              <w:jc w:val="center"/>
              <w:rPr>
                <w:rFonts w:hint="eastAsia" w:ascii="仿宋" w:hAnsi="仿宋" w:eastAsia="仿宋" w:cs="仿宋"/>
                <w:color w:val="auto"/>
                <w:kern w:val="0"/>
                <w:szCs w:val="21"/>
                <w:highlight w:val="none"/>
              </w:rPr>
            </w:pPr>
          </w:p>
        </w:tc>
        <w:tc>
          <w:tcPr>
            <w:tcW w:w="2835" w:type="dxa"/>
            <w:vAlign w:val="center"/>
          </w:tcPr>
          <w:p w14:paraId="28E7021B">
            <w:pPr>
              <w:jc w:val="center"/>
              <w:rPr>
                <w:rFonts w:hint="eastAsia" w:ascii="仿宋" w:hAnsi="仿宋" w:eastAsia="仿宋" w:cs="仿宋"/>
                <w:color w:val="auto"/>
                <w:kern w:val="0"/>
                <w:szCs w:val="21"/>
                <w:highlight w:val="none"/>
              </w:rPr>
            </w:pPr>
          </w:p>
        </w:tc>
        <w:tc>
          <w:tcPr>
            <w:tcW w:w="1379" w:type="dxa"/>
            <w:vAlign w:val="center"/>
          </w:tcPr>
          <w:p w14:paraId="50402219">
            <w:pPr>
              <w:jc w:val="center"/>
              <w:rPr>
                <w:rFonts w:hint="eastAsia" w:ascii="仿宋" w:hAnsi="仿宋" w:eastAsia="仿宋" w:cs="仿宋"/>
                <w:bCs/>
                <w:color w:val="auto"/>
                <w:szCs w:val="21"/>
                <w:highlight w:val="none"/>
              </w:rPr>
            </w:pPr>
          </w:p>
        </w:tc>
      </w:tr>
      <w:tr w14:paraId="3D52F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379571CB">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3118" w:type="dxa"/>
            <w:vAlign w:val="center"/>
          </w:tcPr>
          <w:p w14:paraId="3E34D4CC">
            <w:pPr>
              <w:jc w:val="center"/>
              <w:rPr>
                <w:rFonts w:hint="eastAsia" w:ascii="仿宋" w:hAnsi="仿宋" w:eastAsia="仿宋" w:cs="仿宋"/>
                <w:color w:val="auto"/>
                <w:kern w:val="0"/>
                <w:szCs w:val="21"/>
                <w:highlight w:val="none"/>
              </w:rPr>
            </w:pPr>
          </w:p>
        </w:tc>
        <w:tc>
          <w:tcPr>
            <w:tcW w:w="2835" w:type="dxa"/>
            <w:vAlign w:val="center"/>
          </w:tcPr>
          <w:p w14:paraId="4607AAF5">
            <w:pPr>
              <w:jc w:val="center"/>
              <w:rPr>
                <w:rFonts w:hint="eastAsia" w:ascii="仿宋" w:hAnsi="仿宋" w:eastAsia="仿宋" w:cs="仿宋"/>
                <w:color w:val="auto"/>
                <w:kern w:val="0"/>
                <w:szCs w:val="21"/>
                <w:highlight w:val="none"/>
              </w:rPr>
            </w:pPr>
          </w:p>
        </w:tc>
        <w:tc>
          <w:tcPr>
            <w:tcW w:w="1379" w:type="dxa"/>
            <w:vAlign w:val="center"/>
          </w:tcPr>
          <w:p w14:paraId="19DFAB97">
            <w:pPr>
              <w:jc w:val="center"/>
              <w:rPr>
                <w:rFonts w:hint="eastAsia" w:ascii="仿宋" w:hAnsi="仿宋" w:eastAsia="仿宋" w:cs="仿宋"/>
                <w:bCs/>
                <w:color w:val="auto"/>
                <w:szCs w:val="21"/>
                <w:highlight w:val="none"/>
              </w:rPr>
            </w:pPr>
          </w:p>
        </w:tc>
      </w:tr>
      <w:tr w14:paraId="6D1A1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08F10A9F">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p>
        </w:tc>
        <w:tc>
          <w:tcPr>
            <w:tcW w:w="3118" w:type="dxa"/>
            <w:vAlign w:val="center"/>
          </w:tcPr>
          <w:p w14:paraId="2F299EAE">
            <w:pPr>
              <w:jc w:val="center"/>
              <w:rPr>
                <w:rFonts w:hint="eastAsia" w:ascii="仿宋" w:hAnsi="仿宋" w:eastAsia="仿宋" w:cs="仿宋"/>
                <w:color w:val="auto"/>
                <w:kern w:val="0"/>
                <w:szCs w:val="21"/>
                <w:highlight w:val="none"/>
              </w:rPr>
            </w:pPr>
          </w:p>
        </w:tc>
        <w:tc>
          <w:tcPr>
            <w:tcW w:w="2835" w:type="dxa"/>
            <w:vAlign w:val="center"/>
          </w:tcPr>
          <w:p w14:paraId="163E5CA7">
            <w:pPr>
              <w:jc w:val="center"/>
              <w:rPr>
                <w:rFonts w:hint="eastAsia" w:ascii="仿宋" w:hAnsi="仿宋" w:eastAsia="仿宋" w:cs="仿宋"/>
                <w:color w:val="auto"/>
                <w:kern w:val="0"/>
                <w:szCs w:val="21"/>
                <w:highlight w:val="none"/>
              </w:rPr>
            </w:pPr>
          </w:p>
        </w:tc>
        <w:tc>
          <w:tcPr>
            <w:tcW w:w="1379" w:type="dxa"/>
            <w:vAlign w:val="center"/>
          </w:tcPr>
          <w:p w14:paraId="4E61E515">
            <w:pPr>
              <w:jc w:val="center"/>
              <w:rPr>
                <w:rFonts w:hint="eastAsia" w:ascii="仿宋" w:hAnsi="仿宋" w:eastAsia="仿宋" w:cs="仿宋"/>
                <w:bCs/>
                <w:color w:val="auto"/>
                <w:szCs w:val="21"/>
                <w:highlight w:val="none"/>
              </w:rPr>
            </w:pPr>
          </w:p>
        </w:tc>
      </w:tr>
      <w:tr w14:paraId="1EB47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4A6DCFE1">
            <w:pPr>
              <w:jc w:val="center"/>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w:t>
            </w:r>
          </w:p>
        </w:tc>
        <w:tc>
          <w:tcPr>
            <w:tcW w:w="3118" w:type="dxa"/>
            <w:vAlign w:val="center"/>
          </w:tcPr>
          <w:p w14:paraId="4DD12119">
            <w:pPr>
              <w:jc w:val="center"/>
              <w:rPr>
                <w:rFonts w:hint="eastAsia" w:ascii="仿宋" w:hAnsi="仿宋" w:eastAsia="仿宋" w:cs="仿宋"/>
                <w:color w:val="auto"/>
                <w:kern w:val="0"/>
                <w:szCs w:val="21"/>
                <w:highlight w:val="none"/>
              </w:rPr>
            </w:pPr>
          </w:p>
        </w:tc>
        <w:tc>
          <w:tcPr>
            <w:tcW w:w="2835" w:type="dxa"/>
            <w:vAlign w:val="center"/>
          </w:tcPr>
          <w:p w14:paraId="3C07D0C4">
            <w:pPr>
              <w:jc w:val="center"/>
              <w:rPr>
                <w:rFonts w:hint="eastAsia" w:ascii="仿宋" w:hAnsi="仿宋" w:eastAsia="仿宋" w:cs="仿宋"/>
                <w:color w:val="auto"/>
                <w:kern w:val="0"/>
                <w:szCs w:val="21"/>
                <w:highlight w:val="none"/>
              </w:rPr>
            </w:pPr>
          </w:p>
        </w:tc>
        <w:tc>
          <w:tcPr>
            <w:tcW w:w="1379" w:type="dxa"/>
            <w:vAlign w:val="center"/>
          </w:tcPr>
          <w:p w14:paraId="3F22CCEA">
            <w:pPr>
              <w:jc w:val="center"/>
              <w:rPr>
                <w:rFonts w:hint="eastAsia" w:ascii="仿宋" w:hAnsi="仿宋" w:eastAsia="仿宋" w:cs="仿宋"/>
                <w:bCs/>
                <w:color w:val="auto"/>
                <w:szCs w:val="21"/>
                <w:highlight w:val="none"/>
              </w:rPr>
            </w:pPr>
          </w:p>
        </w:tc>
      </w:tr>
      <w:tr w14:paraId="2AA22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4216" w:type="dxa"/>
            <w:gridSpan w:val="2"/>
            <w:vAlign w:val="center"/>
          </w:tcPr>
          <w:p w14:paraId="4E46A3C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合计</w:t>
            </w:r>
            <w:r>
              <w:rPr>
                <w:rFonts w:hint="eastAsia" w:ascii="仿宋" w:hAnsi="仿宋" w:eastAsia="仿宋" w:cs="仿宋"/>
                <w:bCs/>
                <w:color w:val="auto"/>
                <w:szCs w:val="21"/>
                <w:highlight w:val="none"/>
              </w:rPr>
              <w:t>（元）</w:t>
            </w:r>
          </w:p>
        </w:tc>
        <w:tc>
          <w:tcPr>
            <w:tcW w:w="2835" w:type="dxa"/>
            <w:vAlign w:val="center"/>
          </w:tcPr>
          <w:p w14:paraId="6802F4AB">
            <w:pPr>
              <w:jc w:val="center"/>
              <w:rPr>
                <w:rFonts w:hint="eastAsia" w:ascii="仿宋" w:hAnsi="仿宋" w:eastAsia="仿宋" w:cs="仿宋"/>
                <w:bCs/>
                <w:color w:val="auto"/>
                <w:szCs w:val="21"/>
                <w:highlight w:val="none"/>
              </w:rPr>
            </w:pPr>
          </w:p>
        </w:tc>
        <w:tc>
          <w:tcPr>
            <w:tcW w:w="1379" w:type="dxa"/>
            <w:vAlign w:val="center"/>
          </w:tcPr>
          <w:p w14:paraId="30B1CDAD">
            <w:pPr>
              <w:jc w:val="center"/>
              <w:rPr>
                <w:rFonts w:hint="eastAsia" w:ascii="仿宋" w:hAnsi="仿宋" w:eastAsia="仿宋" w:cs="仿宋"/>
                <w:bCs/>
                <w:color w:val="auto"/>
                <w:szCs w:val="21"/>
                <w:highlight w:val="none"/>
              </w:rPr>
            </w:pPr>
          </w:p>
        </w:tc>
      </w:tr>
    </w:tbl>
    <w:p w14:paraId="25BCD7FC">
      <w:pPr>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注：</w:t>
      </w:r>
      <w:r>
        <w:rPr>
          <w:rFonts w:hint="eastAsia" w:ascii="仿宋" w:hAnsi="仿宋" w:eastAsia="仿宋" w:cs="仿宋"/>
          <w:color w:val="auto"/>
          <w:kern w:val="0"/>
          <w:sz w:val="24"/>
          <w:szCs w:val="24"/>
          <w:highlight w:val="none"/>
        </w:rPr>
        <w:t>投标价格应包括投标人履行本项目合同（如果中标）所必须的所有成本费用和中标人应承担的一切税费；未列和没有填写的项目费用，采购人将视为已包括在投标价格中。</w:t>
      </w:r>
    </w:p>
    <w:p w14:paraId="5784A144">
      <w:pPr>
        <w:spacing w:line="360" w:lineRule="auto"/>
        <w:ind w:firstLine="480" w:firstLineChars="200"/>
        <w:jc w:val="left"/>
        <w:rPr>
          <w:rFonts w:hint="eastAsia" w:ascii="仿宋" w:hAnsi="仿宋" w:eastAsia="仿宋" w:cs="仿宋"/>
          <w:color w:val="auto"/>
          <w:kern w:val="0"/>
          <w:sz w:val="24"/>
          <w:szCs w:val="24"/>
          <w:highlight w:val="none"/>
        </w:rPr>
      </w:pPr>
    </w:p>
    <w:p w14:paraId="15810BE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D0319D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348AB4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7014EC4B">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1F3C989D">
      <w:pPr>
        <w:pStyle w:val="38"/>
        <w:rPr>
          <w:rFonts w:hint="eastAsia" w:ascii="仿宋" w:hAnsi="仿宋" w:eastAsia="仿宋" w:cs="仿宋"/>
          <w:color w:val="auto"/>
          <w:highlight w:val="none"/>
        </w:rPr>
      </w:pPr>
    </w:p>
    <w:p w14:paraId="6D911D9D">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104" w:name="_Toc17089"/>
      <w:bookmarkStart w:id="105" w:name="_Toc3062"/>
      <w:bookmarkStart w:id="106" w:name="_Toc109921161"/>
      <w:bookmarkStart w:id="107" w:name="_Toc110707968"/>
      <w:bookmarkStart w:id="108" w:name="_Toc30686"/>
      <w:bookmarkStart w:id="109" w:name="_Toc130252618"/>
      <w:bookmarkStart w:id="110" w:name="_Toc109941768"/>
      <w:bookmarkStart w:id="111" w:name="_Toc7612"/>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、商务条款偏离表</w:t>
      </w:r>
      <w:bookmarkEnd w:id="104"/>
      <w:bookmarkEnd w:id="105"/>
      <w:bookmarkEnd w:id="106"/>
      <w:bookmarkEnd w:id="107"/>
      <w:bookmarkEnd w:id="108"/>
      <w:bookmarkEnd w:id="109"/>
      <w:bookmarkEnd w:id="110"/>
      <w:bookmarkEnd w:id="111"/>
    </w:p>
    <w:p w14:paraId="595A2A45">
      <w:pPr>
        <w:rPr>
          <w:rFonts w:hint="eastAsia" w:ascii="仿宋" w:hAnsi="仿宋" w:eastAsia="仿宋" w:cs="仿宋"/>
          <w:color w:val="auto"/>
          <w:highlight w:val="none"/>
        </w:rPr>
      </w:pPr>
    </w:p>
    <w:tbl>
      <w:tblPr>
        <w:tblStyle w:val="39"/>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5E778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0EDC297E">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2119BC9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76CD708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招标文件的商务条款</w:t>
            </w:r>
          </w:p>
        </w:tc>
        <w:tc>
          <w:tcPr>
            <w:tcW w:w="2126" w:type="dxa"/>
            <w:vAlign w:val="center"/>
          </w:tcPr>
          <w:p w14:paraId="23EDA3E6">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投标文件的商务条款</w:t>
            </w:r>
          </w:p>
        </w:tc>
        <w:tc>
          <w:tcPr>
            <w:tcW w:w="1985" w:type="dxa"/>
            <w:vAlign w:val="center"/>
          </w:tcPr>
          <w:p w14:paraId="4D1857E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4F74E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11A3562">
            <w:pPr>
              <w:jc w:val="center"/>
              <w:rPr>
                <w:rFonts w:hint="eastAsia" w:ascii="仿宋" w:hAnsi="仿宋" w:eastAsia="仿宋" w:cs="仿宋"/>
                <w:b/>
                <w:bCs/>
                <w:color w:val="auto"/>
                <w:sz w:val="24"/>
                <w:szCs w:val="24"/>
                <w:highlight w:val="none"/>
              </w:rPr>
            </w:pPr>
          </w:p>
        </w:tc>
        <w:tc>
          <w:tcPr>
            <w:tcW w:w="2070" w:type="dxa"/>
          </w:tcPr>
          <w:p w14:paraId="06973D6E">
            <w:pPr>
              <w:jc w:val="center"/>
              <w:rPr>
                <w:rFonts w:hint="eastAsia" w:ascii="仿宋" w:hAnsi="仿宋" w:eastAsia="仿宋" w:cs="仿宋"/>
                <w:b/>
                <w:bCs/>
                <w:color w:val="auto"/>
                <w:sz w:val="24"/>
                <w:szCs w:val="24"/>
                <w:highlight w:val="none"/>
              </w:rPr>
            </w:pPr>
          </w:p>
        </w:tc>
        <w:tc>
          <w:tcPr>
            <w:tcW w:w="2052" w:type="dxa"/>
          </w:tcPr>
          <w:p w14:paraId="4FC4980A">
            <w:pPr>
              <w:jc w:val="center"/>
              <w:rPr>
                <w:rFonts w:hint="eastAsia" w:ascii="仿宋" w:hAnsi="仿宋" w:eastAsia="仿宋" w:cs="仿宋"/>
                <w:b/>
                <w:bCs/>
                <w:color w:val="auto"/>
                <w:sz w:val="24"/>
                <w:szCs w:val="24"/>
                <w:highlight w:val="none"/>
              </w:rPr>
            </w:pPr>
          </w:p>
        </w:tc>
        <w:tc>
          <w:tcPr>
            <w:tcW w:w="2126" w:type="dxa"/>
          </w:tcPr>
          <w:p w14:paraId="5D036468">
            <w:pPr>
              <w:jc w:val="center"/>
              <w:rPr>
                <w:rFonts w:hint="eastAsia" w:ascii="仿宋" w:hAnsi="仿宋" w:eastAsia="仿宋" w:cs="仿宋"/>
                <w:b/>
                <w:bCs/>
                <w:color w:val="auto"/>
                <w:sz w:val="24"/>
                <w:szCs w:val="24"/>
                <w:highlight w:val="none"/>
              </w:rPr>
            </w:pPr>
          </w:p>
        </w:tc>
        <w:tc>
          <w:tcPr>
            <w:tcW w:w="1985" w:type="dxa"/>
          </w:tcPr>
          <w:p w14:paraId="0C3A4791">
            <w:pPr>
              <w:jc w:val="center"/>
              <w:rPr>
                <w:rFonts w:hint="eastAsia" w:ascii="仿宋" w:hAnsi="仿宋" w:eastAsia="仿宋" w:cs="仿宋"/>
                <w:b/>
                <w:bCs/>
                <w:color w:val="auto"/>
                <w:sz w:val="24"/>
                <w:szCs w:val="24"/>
                <w:highlight w:val="none"/>
              </w:rPr>
            </w:pPr>
          </w:p>
        </w:tc>
      </w:tr>
      <w:tr w14:paraId="7C00F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35BAD888">
            <w:pPr>
              <w:jc w:val="center"/>
              <w:rPr>
                <w:rFonts w:hint="eastAsia" w:ascii="仿宋" w:hAnsi="仿宋" w:eastAsia="仿宋" w:cs="仿宋"/>
                <w:b/>
                <w:bCs/>
                <w:color w:val="auto"/>
                <w:sz w:val="24"/>
                <w:szCs w:val="24"/>
                <w:highlight w:val="none"/>
              </w:rPr>
            </w:pPr>
          </w:p>
        </w:tc>
        <w:tc>
          <w:tcPr>
            <w:tcW w:w="2070" w:type="dxa"/>
          </w:tcPr>
          <w:p w14:paraId="7FDE6B71">
            <w:pPr>
              <w:jc w:val="center"/>
              <w:rPr>
                <w:rFonts w:hint="eastAsia" w:ascii="仿宋" w:hAnsi="仿宋" w:eastAsia="仿宋" w:cs="仿宋"/>
                <w:b/>
                <w:bCs/>
                <w:color w:val="auto"/>
                <w:sz w:val="24"/>
                <w:szCs w:val="24"/>
                <w:highlight w:val="none"/>
              </w:rPr>
            </w:pPr>
          </w:p>
        </w:tc>
        <w:tc>
          <w:tcPr>
            <w:tcW w:w="2052" w:type="dxa"/>
          </w:tcPr>
          <w:p w14:paraId="54B37094">
            <w:pPr>
              <w:jc w:val="center"/>
              <w:rPr>
                <w:rFonts w:hint="eastAsia" w:ascii="仿宋" w:hAnsi="仿宋" w:eastAsia="仿宋" w:cs="仿宋"/>
                <w:b/>
                <w:bCs/>
                <w:color w:val="auto"/>
                <w:sz w:val="24"/>
                <w:szCs w:val="24"/>
                <w:highlight w:val="none"/>
              </w:rPr>
            </w:pPr>
          </w:p>
        </w:tc>
        <w:tc>
          <w:tcPr>
            <w:tcW w:w="2126" w:type="dxa"/>
          </w:tcPr>
          <w:p w14:paraId="309881D9">
            <w:pPr>
              <w:jc w:val="center"/>
              <w:rPr>
                <w:rFonts w:hint="eastAsia" w:ascii="仿宋" w:hAnsi="仿宋" w:eastAsia="仿宋" w:cs="仿宋"/>
                <w:b/>
                <w:bCs/>
                <w:color w:val="auto"/>
                <w:sz w:val="24"/>
                <w:szCs w:val="24"/>
                <w:highlight w:val="none"/>
              </w:rPr>
            </w:pPr>
          </w:p>
        </w:tc>
        <w:tc>
          <w:tcPr>
            <w:tcW w:w="1985" w:type="dxa"/>
          </w:tcPr>
          <w:p w14:paraId="1683516C">
            <w:pPr>
              <w:jc w:val="center"/>
              <w:rPr>
                <w:rFonts w:hint="eastAsia" w:ascii="仿宋" w:hAnsi="仿宋" w:eastAsia="仿宋" w:cs="仿宋"/>
                <w:b/>
                <w:bCs/>
                <w:color w:val="auto"/>
                <w:sz w:val="24"/>
                <w:szCs w:val="24"/>
                <w:highlight w:val="none"/>
              </w:rPr>
            </w:pPr>
          </w:p>
        </w:tc>
      </w:tr>
      <w:tr w14:paraId="61836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5C76840">
            <w:pPr>
              <w:jc w:val="center"/>
              <w:rPr>
                <w:rFonts w:hint="eastAsia" w:ascii="仿宋" w:hAnsi="仿宋" w:eastAsia="仿宋" w:cs="仿宋"/>
                <w:b/>
                <w:bCs/>
                <w:color w:val="auto"/>
                <w:sz w:val="24"/>
                <w:szCs w:val="24"/>
                <w:highlight w:val="none"/>
              </w:rPr>
            </w:pPr>
          </w:p>
        </w:tc>
        <w:tc>
          <w:tcPr>
            <w:tcW w:w="2070" w:type="dxa"/>
          </w:tcPr>
          <w:p w14:paraId="0C085E03">
            <w:pPr>
              <w:jc w:val="center"/>
              <w:rPr>
                <w:rFonts w:hint="eastAsia" w:ascii="仿宋" w:hAnsi="仿宋" w:eastAsia="仿宋" w:cs="仿宋"/>
                <w:b/>
                <w:bCs/>
                <w:color w:val="auto"/>
                <w:sz w:val="24"/>
                <w:szCs w:val="24"/>
                <w:highlight w:val="none"/>
              </w:rPr>
            </w:pPr>
          </w:p>
        </w:tc>
        <w:tc>
          <w:tcPr>
            <w:tcW w:w="2052" w:type="dxa"/>
          </w:tcPr>
          <w:p w14:paraId="44481189">
            <w:pPr>
              <w:jc w:val="center"/>
              <w:rPr>
                <w:rFonts w:hint="eastAsia" w:ascii="仿宋" w:hAnsi="仿宋" w:eastAsia="仿宋" w:cs="仿宋"/>
                <w:b/>
                <w:bCs/>
                <w:color w:val="auto"/>
                <w:sz w:val="24"/>
                <w:szCs w:val="24"/>
                <w:highlight w:val="none"/>
              </w:rPr>
            </w:pPr>
          </w:p>
        </w:tc>
        <w:tc>
          <w:tcPr>
            <w:tcW w:w="2126" w:type="dxa"/>
          </w:tcPr>
          <w:p w14:paraId="20E19874">
            <w:pPr>
              <w:jc w:val="center"/>
              <w:rPr>
                <w:rFonts w:hint="eastAsia" w:ascii="仿宋" w:hAnsi="仿宋" w:eastAsia="仿宋" w:cs="仿宋"/>
                <w:b/>
                <w:bCs/>
                <w:color w:val="auto"/>
                <w:sz w:val="24"/>
                <w:szCs w:val="24"/>
                <w:highlight w:val="none"/>
              </w:rPr>
            </w:pPr>
          </w:p>
        </w:tc>
        <w:tc>
          <w:tcPr>
            <w:tcW w:w="1985" w:type="dxa"/>
          </w:tcPr>
          <w:p w14:paraId="2F1C6066">
            <w:pPr>
              <w:jc w:val="center"/>
              <w:rPr>
                <w:rFonts w:hint="eastAsia" w:ascii="仿宋" w:hAnsi="仿宋" w:eastAsia="仿宋" w:cs="仿宋"/>
                <w:b/>
                <w:bCs/>
                <w:color w:val="auto"/>
                <w:sz w:val="24"/>
                <w:szCs w:val="24"/>
                <w:highlight w:val="none"/>
              </w:rPr>
            </w:pPr>
          </w:p>
        </w:tc>
      </w:tr>
      <w:tr w14:paraId="4D3C6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2BC0526C">
            <w:pPr>
              <w:jc w:val="center"/>
              <w:rPr>
                <w:rFonts w:hint="eastAsia" w:ascii="仿宋" w:hAnsi="仿宋" w:eastAsia="仿宋" w:cs="仿宋"/>
                <w:b/>
                <w:bCs/>
                <w:color w:val="auto"/>
                <w:sz w:val="24"/>
                <w:szCs w:val="24"/>
                <w:highlight w:val="none"/>
              </w:rPr>
            </w:pPr>
          </w:p>
        </w:tc>
        <w:tc>
          <w:tcPr>
            <w:tcW w:w="2070" w:type="dxa"/>
          </w:tcPr>
          <w:p w14:paraId="79E73FA0">
            <w:pPr>
              <w:jc w:val="center"/>
              <w:rPr>
                <w:rFonts w:hint="eastAsia" w:ascii="仿宋" w:hAnsi="仿宋" w:eastAsia="仿宋" w:cs="仿宋"/>
                <w:b/>
                <w:bCs/>
                <w:color w:val="auto"/>
                <w:sz w:val="24"/>
                <w:szCs w:val="24"/>
                <w:highlight w:val="none"/>
              </w:rPr>
            </w:pPr>
          </w:p>
        </w:tc>
        <w:tc>
          <w:tcPr>
            <w:tcW w:w="2052" w:type="dxa"/>
          </w:tcPr>
          <w:p w14:paraId="3C76FEF8">
            <w:pPr>
              <w:jc w:val="center"/>
              <w:rPr>
                <w:rFonts w:hint="eastAsia" w:ascii="仿宋" w:hAnsi="仿宋" w:eastAsia="仿宋" w:cs="仿宋"/>
                <w:b/>
                <w:bCs/>
                <w:color w:val="auto"/>
                <w:sz w:val="24"/>
                <w:szCs w:val="24"/>
                <w:highlight w:val="none"/>
              </w:rPr>
            </w:pPr>
          </w:p>
        </w:tc>
        <w:tc>
          <w:tcPr>
            <w:tcW w:w="2126" w:type="dxa"/>
          </w:tcPr>
          <w:p w14:paraId="31B0366B">
            <w:pPr>
              <w:jc w:val="center"/>
              <w:rPr>
                <w:rFonts w:hint="eastAsia" w:ascii="仿宋" w:hAnsi="仿宋" w:eastAsia="仿宋" w:cs="仿宋"/>
                <w:b/>
                <w:bCs/>
                <w:color w:val="auto"/>
                <w:sz w:val="24"/>
                <w:szCs w:val="24"/>
                <w:highlight w:val="none"/>
              </w:rPr>
            </w:pPr>
          </w:p>
        </w:tc>
        <w:tc>
          <w:tcPr>
            <w:tcW w:w="1985" w:type="dxa"/>
          </w:tcPr>
          <w:p w14:paraId="6DC8FB88">
            <w:pPr>
              <w:jc w:val="center"/>
              <w:rPr>
                <w:rFonts w:hint="eastAsia" w:ascii="仿宋" w:hAnsi="仿宋" w:eastAsia="仿宋" w:cs="仿宋"/>
                <w:b/>
                <w:bCs/>
                <w:color w:val="auto"/>
                <w:sz w:val="24"/>
                <w:szCs w:val="24"/>
                <w:highlight w:val="none"/>
              </w:rPr>
            </w:pPr>
          </w:p>
        </w:tc>
      </w:tr>
      <w:tr w14:paraId="328DD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410F1A90">
            <w:pPr>
              <w:jc w:val="center"/>
              <w:rPr>
                <w:rFonts w:hint="eastAsia" w:ascii="仿宋" w:hAnsi="仿宋" w:eastAsia="仿宋" w:cs="仿宋"/>
                <w:b/>
                <w:bCs/>
                <w:color w:val="auto"/>
                <w:sz w:val="24"/>
                <w:szCs w:val="24"/>
                <w:highlight w:val="none"/>
              </w:rPr>
            </w:pPr>
          </w:p>
        </w:tc>
        <w:tc>
          <w:tcPr>
            <w:tcW w:w="2070" w:type="dxa"/>
          </w:tcPr>
          <w:p w14:paraId="26941949">
            <w:pPr>
              <w:jc w:val="center"/>
              <w:rPr>
                <w:rFonts w:hint="eastAsia" w:ascii="仿宋" w:hAnsi="仿宋" w:eastAsia="仿宋" w:cs="仿宋"/>
                <w:b/>
                <w:bCs/>
                <w:color w:val="auto"/>
                <w:sz w:val="24"/>
                <w:szCs w:val="24"/>
                <w:highlight w:val="none"/>
              </w:rPr>
            </w:pPr>
          </w:p>
        </w:tc>
        <w:tc>
          <w:tcPr>
            <w:tcW w:w="2052" w:type="dxa"/>
          </w:tcPr>
          <w:p w14:paraId="5FF4CBEE">
            <w:pPr>
              <w:jc w:val="center"/>
              <w:rPr>
                <w:rFonts w:hint="eastAsia" w:ascii="仿宋" w:hAnsi="仿宋" w:eastAsia="仿宋" w:cs="仿宋"/>
                <w:b/>
                <w:bCs/>
                <w:color w:val="auto"/>
                <w:sz w:val="24"/>
                <w:szCs w:val="24"/>
                <w:highlight w:val="none"/>
              </w:rPr>
            </w:pPr>
          </w:p>
        </w:tc>
        <w:tc>
          <w:tcPr>
            <w:tcW w:w="2126" w:type="dxa"/>
          </w:tcPr>
          <w:p w14:paraId="1FD73120">
            <w:pPr>
              <w:jc w:val="center"/>
              <w:rPr>
                <w:rFonts w:hint="eastAsia" w:ascii="仿宋" w:hAnsi="仿宋" w:eastAsia="仿宋" w:cs="仿宋"/>
                <w:b/>
                <w:bCs/>
                <w:color w:val="auto"/>
                <w:sz w:val="24"/>
                <w:szCs w:val="24"/>
                <w:highlight w:val="none"/>
              </w:rPr>
            </w:pPr>
          </w:p>
        </w:tc>
        <w:tc>
          <w:tcPr>
            <w:tcW w:w="1985" w:type="dxa"/>
          </w:tcPr>
          <w:p w14:paraId="446D75D1">
            <w:pPr>
              <w:jc w:val="center"/>
              <w:rPr>
                <w:rFonts w:hint="eastAsia" w:ascii="仿宋" w:hAnsi="仿宋" w:eastAsia="仿宋" w:cs="仿宋"/>
                <w:b/>
                <w:bCs/>
                <w:color w:val="auto"/>
                <w:sz w:val="24"/>
                <w:szCs w:val="24"/>
                <w:highlight w:val="none"/>
              </w:rPr>
            </w:pPr>
          </w:p>
        </w:tc>
      </w:tr>
    </w:tbl>
    <w:p w14:paraId="570F345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注：投标人商务条款有差异的，则在此表中列明实际响应的内容提要并加以说明，以便查对。无差异说明表示完全响应。</w:t>
      </w:r>
    </w:p>
    <w:p w14:paraId="126F489F">
      <w:pPr>
        <w:spacing w:line="360" w:lineRule="auto"/>
        <w:jc w:val="left"/>
        <w:rPr>
          <w:rFonts w:hint="eastAsia" w:ascii="仿宋" w:hAnsi="仿宋" w:eastAsia="仿宋" w:cs="仿宋"/>
          <w:color w:val="auto"/>
          <w:sz w:val="24"/>
          <w:szCs w:val="24"/>
          <w:highlight w:val="none"/>
        </w:rPr>
      </w:pPr>
    </w:p>
    <w:p w14:paraId="1A4A7B78">
      <w:pPr>
        <w:spacing w:line="360" w:lineRule="auto"/>
        <w:jc w:val="left"/>
        <w:rPr>
          <w:rFonts w:hint="eastAsia" w:ascii="仿宋" w:hAnsi="仿宋" w:eastAsia="仿宋" w:cs="仿宋"/>
          <w:color w:val="auto"/>
          <w:sz w:val="24"/>
          <w:szCs w:val="24"/>
          <w:highlight w:val="none"/>
        </w:rPr>
      </w:pPr>
    </w:p>
    <w:p w14:paraId="155A48A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D9B28F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CB2C0C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03D70E3D">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2FEF5FFA">
      <w:pPr>
        <w:rPr>
          <w:rFonts w:hint="eastAsia" w:ascii="仿宋" w:hAnsi="仿宋" w:eastAsia="仿宋" w:cs="仿宋"/>
          <w:color w:val="auto"/>
          <w:sz w:val="24"/>
          <w:szCs w:val="24"/>
          <w:highlight w:val="none"/>
        </w:rPr>
      </w:pPr>
      <w:r>
        <w:rPr>
          <w:rFonts w:hint="eastAsia" w:ascii="仿宋" w:hAnsi="仿宋" w:eastAsia="仿宋" w:cs="仿宋"/>
          <w:b/>
          <w:bCs/>
          <w:color w:val="auto"/>
          <w:kern w:val="36"/>
          <w:sz w:val="24"/>
          <w:szCs w:val="24"/>
          <w:highlight w:val="none"/>
        </w:rPr>
        <w:br w:type="page"/>
      </w:r>
    </w:p>
    <w:p w14:paraId="3075B71F">
      <w:pPr>
        <w:widowControl/>
        <w:jc w:val="left"/>
        <w:rPr>
          <w:rFonts w:hint="eastAsia" w:ascii="仿宋" w:hAnsi="仿宋" w:eastAsia="仿宋" w:cs="仿宋"/>
          <w:color w:val="auto"/>
          <w:sz w:val="24"/>
          <w:szCs w:val="24"/>
          <w:highlight w:val="none"/>
        </w:rPr>
      </w:pPr>
    </w:p>
    <w:p w14:paraId="0EF4A20F">
      <w:pPr>
        <w:tabs>
          <w:tab w:val="center" w:pos="4832"/>
          <w:tab w:val="left" w:pos="7140"/>
        </w:tabs>
        <w:jc w:val="center"/>
        <w:outlineLvl w:val="1"/>
        <w:rPr>
          <w:rFonts w:hint="eastAsia" w:ascii="仿宋" w:hAnsi="仿宋" w:eastAsia="仿宋" w:cs="仿宋"/>
          <w:b/>
          <w:color w:val="auto"/>
          <w:sz w:val="24"/>
          <w:szCs w:val="24"/>
          <w:highlight w:val="none"/>
          <w:lang w:eastAsia="zh-CN"/>
        </w:rPr>
      </w:pPr>
      <w:bookmarkStart w:id="112" w:name="_Toc110707967"/>
      <w:bookmarkStart w:id="113" w:name="_Toc27420"/>
      <w:bookmarkStart w:id="114" w:name="_Toc9974"/>
      <w:bookmarkStart w:id="115" w:name="_Toc109941767"/>
      <w:bookmarkStart w:id="116" w:name="_Toc6958"/>
      <w:bookmarkStart w:id="117" w:name="_Toc130252617"/>
      <w:bookmarkStart w:id="118" w:name="_Toc109921160"/>
      <w:bookmarkStart w:id="119" w:name="_Toc23708"/>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w:t>
      </w:r>
      <w:bookmarkEnd w:id="112"/>
      <w:bookmarkEnd w:id="113"/>
      <w:bookmarkEnd w:id="114"/>
      <w:bookmarkEnd w:id="115"/>
      <w:bookmarkEnd w:id="116"/>
      <w:bookmarkEnd w:id="117"/>
      <w:bookmarkEnd w:id="118"/>
      <w:r>
        <w:rPr>
          <w:rFonts w:hint="eastAsia" w:ascii="仿宋" w:hAnsi="仿宋" w:eastAsia="仿宋" w:cs="仿宋"/>
          <w:b/>
          <w:color w:val="auto"/>
          <w:sz w:val="24"/>
          <w:szCs w:val="24"/>
          <w:highlight w:val="none"/>
          <w:lang w:eastAsia="zh-CN"/>
        </w:rPr>
        <w:t>技术条款偏离表</w:t>
      </w:r>
      <w:bookmarkEnd w:id="119"/>
    </w:p>
    <w:tbl>
      <w:tblPr>
        <w:tblStyle w:val="39"/>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34980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7E56F69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6BCD1CA3">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2F17BDF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招标文件的技术条款</w:t>
            </w:r>
          </w:p>
        </w:tc>
        <w:tc>
          <w:tcPr>
            <w:tcW w:w="2126" w:type="dxa"/>
            <w:vAlign w:val="center"/>
          </w:tcPr>
          <w:p w14:paraId="0CEFC1A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投标文件的技术条款</w:t>
            </w:r>
          </w:p>
        </w:tc>
        <w:tc>
          <w:tcPr>
            <w:tcW w:w="1985" w:type="dxa"/>
            <w:vAlign w:val="center"/>
          </w:tcPr>
          <w:p w14:paraId="3ED0889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5993C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3578A28">
            <w:pPr>
              <w:jc w:val="center"/>
              <w:rPr>
                <w:rFonts w:hint="eastAsia" w:ascii="仿宋" w:hAnsi="仿宋" w:eastAsia="仿宋" w:cs="仿宋"/>
                <w:b/>
                <w:bCs/>
                <w:color w:val="auto"/>
                <w:sz w:val="24"/>
                <w:szCs w:val="24"/>
                <w:highlight w:val="none"/>
              </w:rPr>
            </w:pPr>
          </w:p>
        </w:tc>
        <w:tc>
          <w:tcPr>
            <w:tcW w:w="2070" w:type="dxa"/>
          </w:tcPr>
          <w:p w14:paraId="49EC4FF9">
            <w:pPr>
              <w:jc w:val="center"/>
              <w:rPr>
                <w:rFonts w:hint="eastAsia" w:ascii="仿宋" w:hAnsi="仿宋" w:eastAsia="仿宋" w:cs="仿宋"/>
                <w:b/>
                <w:bCs/>
                <w:color w:val="auto"/>
                <w:sz w:val="24"/>
                <w:szCs w:val="24"/>
                <w:highlight w:val="none"/>
              </w:rPr>
            </w:pPr>
          </w:p>
        </w:tc>
        <w:tc>
          <w:tcPr>
            <w:tcW w:w="2052" w:type="dxa"/>
          </w:tcPr>
          <w:p w14:paraId="4B8A8718">
            <w:pPr>
              <w:jc w:val="center"/>
              <w:rPr>
                <w:rFonts w:hint="eastAsia" w:ascii="仿宋" w:hAnsi="仿宋" w:eastAsia="仿宋" w:cs="仿宋"/>
                <w:b/>
                <w:bCs/>
                <w:color w:val="auto"/>
                <w:sz w:val="24"/>
                <w:szCs w:val="24"/>
                <w:highlight w:val="none"/>
              </w:rPr>
            </w:pPr>
          </w:p>
        </w:tc>
        <w:tc>
          <w:tcPr>
            <w:tcW w:w="2126" w:type="dxa"/>
          </w:tcPr>
          <w:p w14:paraId="40064EBF">
            <w:pPr>
              <w:jc w:val="center"/>
              <w:rPr>
                <w:rFonts w:hint="eastAsia" w:ascii="仿宋" w:hAnsi="仿宋" w:eastAsia="仿宋" w:cs="仿宋"/>
                <w:b/>
                <w:bCs/>
                <w:color w:val="auto"/>
                <w:sz w:val="24"/>
                <w:szCs w:val="24"/>
                <w:highlight w:val="none"/>
              </w:rPr>
            </w:pPr>
          </w:p>
        </w:tc>
        <w:tc>
          <w:tcPr>
            <w:tcW w:w="1985" w:type="dxa"/>
          </w:tcPr>
          <w:p w14:paraId="4134F56A">
            <w:pPr>
              <w:jc w:val="center"/>
              <w:rPr>
                <w:rFonts w:hint="eastAsia" w:ascii="仿宋" w:hAnsi="仿宋" w:eastAsia="仿宋" w:cs="仿宋"/>
                <w:b/>
                <w:bCs/>
                <w:color w:val="auto"/>
                <w:sz w:val="24"/>
                <w:szCs w:val="24"/>
                <w:highlight w:val="none"/>
              </w:rPr>
            </w:pPr>
          </w:p>
        </w:tc>
      </w:tr>
      <w:tr w14:paraId="4AB85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2C9FEB56">
            <w:pPr>
              <w:jc w:val="center"/>
              <w:rPr>
                <w:rFonts w:hint="eastAsia" w:ascii="仿宋" w:hAnsi="仿宋" w:eastAsia="仿宋" w:cs="仿宋"/>
                <w:b/>
                <w:bCs/>
                <w:color w:val="auto"/>
                <w:sz w:val="24"/>
                <w:szCs w:val="24"/>
                <w:highlight w:val="none"/>
              </w:rPr>
            </w:pPr>
          </w:p>
        </w:tc>
        <w:tc>
          <w:tcPr>
            <w:tcW w:w="2070" w:type="dxa"/>
          </w:tcPr>
          <w:p w14:paraId="172775B6">
            <w:pPr>
              <w:jc w:val="center"/>
              <w:rPr>
                <w:rFonts w:hint="eastAsia" w:ascii="仿宋" w:hAnsi="仿宋" w:eastAsia="仿宋" w:cs="仿宋"/>
                <w:b/>
                <w:bCs/>
                <w:color w:val="auto"/>
                <w:sz w:val="24"/>
                <w:szCs w:val="24"/>
                <w:highlight w:val="none"/>
              </w:rPr>
            </w:pPr>
          </w:p>
        </w:tc>
        <w:tc>
          <w:tcPr>
            <w:tcW w:w="2052" w:type="dxa"/>
          </w:tcPr>
          <w:p w14:paraId="35D5F743">
            <w:pPr>
              <w:jc w:val="center"/>
              <w:rPr>
                <w:rFonts w:hint="eastAsia" w:ascii="仿宋" w:hAnsi="仿宋" w:eastAsia="仿宋" w:cs="仿宋"/>
                <w:b/>
                <w:bCs/>
                <w:color w:val="auto"/>
                <w:sz w:val="24"/>
                <w:szCs w:val="24"/>
                <w:highlight w:val="none"/>
              </w:rPr>
            </w:pPr>
          </w:p>
        </w:tc>
        <w:tc>
          <w:tcPr>
            <w:tcW w:w="2126" w:type="dxa"/>
          </w:tcPr>
          <w:p w14:paraId="4DC02C7B">
            <w:pPr>
              <w:jc w:val="center"/>
              <w:rPr>
                <w:rFonts w:hint="eastAsia" w:ascii="仿宋" w:hAnsi="仿宋" w:eastAsia="仿宋" w:cs="仿宋"/>
                <w:b/>
                <w:bCs/>
                <w:color w:val="auto"/>
                <w:sz w:val="24"/>
                <w:szCs w:val="24"/>
                <w:highlight w:val="none"/>
              </w:rPr>
            </w:pPr>
          </w:p>
        </w:tc>
        <w:tc>
          <w:tcPr>
            <w:tcW w:w="1985" w:type="dxa"/>
          </w:tcPr>
          <w:p w14:paraId="22B78485">
            <w:pPr>
              <w:jc w:val="center"/>
              <w:rPr>
                <w:rFonts w:hint="eastAsia" w:ascii="仿宋" w:hAnsi="仿宋" w:eastAsia="仿宋" w:cs="仿宋"/>
                <w:b/>
                <w:bCs/>
                <w:color w:val="auto"/>
                <w:sz w:val="24"/>
                <w:szCs w:val="24"/>
                <w:highlight w:val="none"/>
              </w:rPr>
            </w:pPr>
          </w:p>
        </w:tc>
      </w:tr>
      <w:tr w14:paraId="254BB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2B6D5CD7">
            <w:pPr>
              <w:jc w:val="center"/>
              <w:rPr>
                <w:rFonts w:hint="eastAsia" w:ascii="仿宋" w:hAnsi="仿宋" w:eastAsia="仿宋" w:cs="仿宋"/>
                <w:b/>
                <w:bCs/>
                <w:color w:val="auto"/>
                <w:sz w:val="24"/>
                <w:szCs w:val="24"/>
                <w:highlight w:val="none"/>
              </w:rPr>
            </w:pPr>
          </w:p>
        </w:tc>
        <w:tc>
          <w:tcPr>
            <w:tcW w:w="2070" w:type="dxa"/>
          </w:tcPr>
          <w:p w14:paraId="449E79BE">
            <w:pPr>
              <w:jc w:val="center"/>
              <w:rPr>
                <w:rFonts w:hint="eastAsia" w:ascii="仿宋" w:hAnsi="仿宋" w:eastAsia="仿宋" w:cs="仿宋"/>
                <w:b/>
                <w:bCs/>
                <w:color w:val="auto"/>
                <w:sz w:val="24"/>
                <w:szCs w:val="24"/>
                <w:highlight w:val="none"/>
              </w:rPr>
            </w:pPr>
          </w:p>
        </w:tc>
        <w:tc>
          <w:tcPr>
            <w:tcW w:w="2052" w:type="dxa"/>
          </w:tcPr>
          <w:p w14:paraId="22A58360">
            <w:pPr>
              <w:jc w:val="center"/>
              <w:rPr>
                <w:rFonts w:hint="eastAsia" w:ascii="仿宋" w:hAnsi="仿宋" w:eastAsia="仿宋" w:cs="仿宋"/>
                <w:b/>
                <w:bCs/>
                <w:color w:val="auto"/>
                <w:sz w:val="24"/>
                <w:szCs w:val="24"/>
                <w:highlight w:val="none"/>
              </w:rPr>
            </w:pPr>
          </w:p>
        </w:tc>
        <w:tc>
          <w:tcPr>
            <w:tcW w:w="2126" w:type="dxa"/>
          </w:tcPr>
          <w:p w14:paraId="3F69E719">
            <w:pPr>
              <w:jc w:val="center"/>
              <w:rPr>
                <w:rFonts w:hint="eastAsia" w:ascii="仿宋" w:hAnsi="仿宋" w:eastAsia="仿宋" w:cs="仿宋"/>
                <w:b/>
                <w:bCs/>
                <w:color w:val="auto"/>
                <w:sz w:val="24"/>
                <w:szCs w:val="24"/>
                <w:highlight w:val="none"/>
              </w:rPr>
            </w:pPr>
          </w:p>
        </w:tc>
        <w:tc>
          <w:tcPr>
            <w:tcW w:w="1985" w:type="dxa"/>
          </w:tcPr>
          <w:p w14:paraId="78EC5A2D">
            <w:pPr>
              <w:jc w:val="center"/>
              <w:rPr>
                <w:rFonts w:hint="eastAsia" w:ascii="仿宋" w:hAnsi="仿宋" w:eastAsia="仿宋" w:cs="仿宋"/>
                <w:b/>
                <w:bCs/>
                <w:color w:val="auto"/>
                <w:sz w:val="24"/>
                <w:szCs w:val="24"/>
                <w:highlight w:val="none"/>
              </w:rPr>
            </w:pPr>
          </w:p>
        </w:tc>
      </w:tr>
      <w:tr w14:paraId="428EC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DC11596">
            <w:pPr>
              <w:jc w:val="center"/>
              <w:rPr>
                <w:rFonts w:hint="eastAsia" w:ascii="仿宋" w:hAnsi="仿宋" w:eastAsia="仿宋" w:cs="仿宋"/>
                <w:b/>
                <w:bCs/>
                <w:color w:val="auto"/>
                <w:sz w:val="24"/>
                <w:szCs w:val="24"/>
                <w:highlight w:val="none"/>
              </w:rPr>
            </w:pPr>
          </w:p>
        </w:tc>
        <w:tc>
          <w:tcPr>
            <w:tcW w:w="2070" w:type="dxa"/>
          </w:tcPr>
          <w:p w14:paraId="42B51AB4">
            <w:pPr>
              <w:jc w:val="center"/>
              <w:rPr>
                <w:rFonts w:hint="eastAsia" w:ascii="仿宋" w:hAnsi="仿宋" w:eastAsia="仿宋" w:cs="仿宋"/>
                <w:b/>
                <w:bCs/>
                <w:color w:val="auto"/>
                <w:sz w:val="24"/>
                <w:szCs w:val="24"/>
                <w:highlight w:val="none"/>
              </w:rPr>
            </w:pPr>
          </w:p>
        </w:tc>
        <w:tc>
          <w:tcPr>
            <w:tcW w:w="2052" w:type="dxa"/>
          </w:tcPr>
          <w:p w14:paraId="580C1305">
            <w:pPr>
              <w:jc w:val="center"/>
              <w:rPr>
                <w:rFonts w:hint="eastAsia" w:ascii="仿宋" w:hAnsi="仿宋" w:eastAsia="仿宋" w:cs="仿宋"/>
                <w:b/>
                <w:bCs/>
                <w:color w:val="auto"/>
                <w:sz w:val="24"/>
                <w:szCs w:val="24"/>
                <w:highlight w:val="none"/>
              </w:rPr>
            </w:pPr>
          </w:p>
        </w:tc>
        <w:tc>
          <w:tcPr>
            <w:tcW w:w="2126" w:type="dxa"/>
          </w:tcPr>
          <w:p w14:paraId="1597E152">
            <w:pPr>
              <w:jc w:val="center"/>
              <w:rPr>
                <w:rFonts w:hint="eastAsia" w:ascii="仿宋" w:hAnsi="仿宋" w:eastAsia="仿宋" w:cs="仿宋"/>
                <w:b/>
                <w:bCs/>
                <w:color w:val="auto"/>
                <w:sz w:val="24"/>
                <w:szCs w:val="24"/>
                <w:highlight w:val="none"/>
              </w:rPr>
            </w:pPr>
          </w:p>
        </w:tc>
        <w:tc>
          <w:tcPr>
            <w:tcW w:w="1985" w:type="dxa"/>
          </w:tcPr>
          <w:p w14:paraId="0E317426">
            <w:pPr>
              <w:jc w:val="center"/>
              <w:rPr>
                <w:rFonts w:hint="eastAsia" w:ascii="仿宋" w:hAnsi="仿宋" w:eastAsia="仿宋" w:cs="仿宋"/>
                <w:b/>
                <w:bCs/>
                <w:color w:val="auto"/>
                <w:sz w:val="24"/>
                <w:szCs w:val="24"/>
                <w:highlight w:val="none"/>
              </w:rPr>
            </w:pPr>
          </w:p>
        </w:tc>
      </w:tr>
      <w:tr w14:paraId="619F5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50CDB4E">
            <w:pPr>
              <w:jc w:val="center"/>
              <w:rPr>
                <w:rFonts w:hint="eastAsia" w:ascii="仿宋" w:hAnsi="仿宋" w:eastAsia="仿宋" w:cs="仿宋"/>
                <w:b/>
                <w:bCs/>
                <w:color w:val="auto"/>
                <w:sz w:val="24"/>
                <w:szCs w:val="24"/>
                <w:highlight w:val="none"/>
              </w:rPr>
            </w:pPr>
          </w:p>
        </w:tc>
        <w:tc>
          <w:tcPr>
            <w:tcW w:w="2070" w:type="dxa"/>
          </w:tcPr>
          <w:p w14:paraId="5EC9EFF7">
            <w:pPr>
              <w:jc w:val="center"/>
              <w:rPr>
                <w:rFonts w:hint="eastAsia" w:ascii="仿宋" w:hAnsi="仿宋" w:eastAsia="仿宋" w:cs="仿宋"/>
                <w:b/>
                <w:bCs/>
                <w:color w:val="auto"/>
                <w:sz w:val="24"/>
                <w:szCs w:val="24"/>
                <w:highlight w:val="none"/>
              </w:rPr>
            </w:pPr>
          </w:p>
        </w:tc>
        <w:tc>
          <w:tcPr>
            <w:tcW w:w="2052" w:type="dxa"/>
          </w:tcPr>
          <w:p w14:paraId="44022049">
            <w:pPr>
              <w:jc w:val="center"/>
              <w:rPr>
                <w:rFonts w:hint="eastAsia" w:ascii="仿宋" w:hAnsi="仿宋" w:eastAsia="仿宋" w:cs="仿宋"/>
                <w:b/>
                <w:bCs/>
                <w:color w:val="auto"/>
                <w:sz w:val="24"/>
                <w:szCs w:val="24"/>
                <w:highlight w:val="none"/>
              </w:rPr>
            </w:pPr>
          </w:p>
        </w:tc>
        <w:tc>
          <w:tcPr>
            <w:tcW w:w="2126" w:type="dxa"/>
          </w:tcPr>
          <w:p w14:paraId="1C00F4E5">
            <w:pPr>
              <w:jc w:val="center"/>
              <w:rPr>
                <w:rFonts w:hint="eastAsia" w:ascii="仿宋" w:hAnsi="仿宋" w:eastAsia="仿宋" w:cs="仿宋"/>
                <w:b/>
                <w:bCs/>
                <w:color w:val="auto"/>
                <w:sz w:val="24"/>
                <w:szCs w:val="24"/>
                <w:highlight w:val="none"/>
              </w:rPr>
            </w:pPr>
          </w:p>
        </w:tc>
        <w:tc>
          <w:tcPr>
            <w:tcW w:w="1985" w:type="dxa"/>
          </w:tcPr>
          <w:p w14:paraId="5AF9B554">
            <w:pPr>
              <w:jc w:val="center"/>
              <w:rPr>
                <w:rFonts w:hint="eastAsia" w:ascii="仿宋" w:hAnsi="仿宋" w:eastAsia="仿宋" w:cs="仿宋"/>
                <w:b/>
                <w:bCs/>
                <w:color w:val="auto"/>
                <w:sz w:val="24"/>
                <w:szCs w:val="24"/>
                <w:highlight w:val="none"/>
              </w:rPr>
            </w:pPr>
          </w:p>
        </w:tc>
      </w:tr>
    </w:tbl>
    <w:p w14:paraId="0924DDC5">
      <w:pPr>
        <w:rPr>
          <w:rFonts w:hint="eastAsia" w:ascii="仿宋" w:hAnsi="仿宋" w:eastAsia="仿宋" w:cs="仿宋"/>
          <w:color w:val="auto"/>
          <w:highlight w:val="none"/>
        </w:rPr>
      </w:pPr>
    </w:p>
    <w:p w14:paraId="5BF2C2BE">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注：投标人技术条款有差异的，则在此表中列明实际响应的内容提要并加以说明，以便查对。无差异说明表示完全响应。</w:t>
      </w:r>
    </w:p>
    <w:p w14:paraId="6F010D52">
      <w:pPr>
        <w:spacing w:line="360" w:lineRule="auto"/>
        <w:ind w:firstLine="475" w:firstLineChars="198"/>
        <w:jc w:val="left"/>
        <w:rPr>
          <w:rFonts w:hint="eastAsia" w:ascii="仿宋" w:hAnsi="仿宋" w:eastAsia="仿宋" w:cs="仿宋"/>
          <w:color w:val="auto"/>
          <w:sz w:val="24"/>
          <w:szCs w:val="24"/>
          <w:highlight w:val="none"/>
        </w:rPr>
      </w:pPr>
    </w:p>
    <w:p w14:paraId="0A906F1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E6DBF6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7556DD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F7E3FC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F56555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3A3E499A">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D2D0079">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bCs/>
          <w:color w:val="auto"/>
          <w:kern w:val="36"/>
          <w:sz w:val="24"/>
          <w:szCs w:val="24"/>
          <w:highlight w:val="none"/>
        </w:rPr>
        <w:br w:type="page"/>
      </w:r>
      <w:bookmarkStart w:id="120" w:name="_Toc29249"/>
      <w:bookmarkStart w:id="121" w:name="_Toc109921162"/>
      <w:bookmarkStart w:id="122" w:name="_Toc110707969"/>
      <w:bookmarkStart w:id="123" w:name="_Toc109941769"/>
      <w:bookmarkStart w:id="124" w:name="_Toc5075"/>
      <w:bookmarkStart w:id="125" w:name="_Toc2527"/>
      <w:bookmarkStart w:id="126" w:name="_Toc130252619"/>
      <w:bookmarkStart w:id="127" w:name="_Toc18128"/>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、法定代表人身份证明书</w:t>
      </w:r>
      <w:bookmarkEnd w:id="120"/>
      <w:bookmarkEnd w:id="121"/>
      <w:bookmarkEnd w:id="122"/>
      <w:bookmarkEnd w:id="123"/>
      <w:bookmarkEnd w:id="124"/>
      <w:bookmarkEnd w:id="125"/>
      <w:bookmarkEnd w:id="126"/>
      <w:bookmarkEnd w:id="127"/>
    </w:p>
    <w:p w14:paraId="77997B2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82CEF1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 标 人：</w:t>
      </w:r>
      <w:r>
        <w:rPr>
          <w:rFonts w:hint="eastAsia" w:ascii="仿宋" w:hAnsi="仿宋" w:eastAsia="仿宋" w:cs="仿宋"/>
          <w:color w:val="auto"/>
          <w:kern w:val="0"/>
          <w:sz w:val="24"/>
          <w:szCs w:val="24"/>
          <w:highlight w:val="none"/>
          <w:u w:val="single"/>
        </w:rPr>
        <w:t xml:space="preserve">                              </w:t>
      </w:r>
    </w:p>
    <w:p w14:paraId="50D5E5B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单位性质：</w:t>
      </w:r>
      <w:r>
        <w:rPr>
          <w:rFonts w:hint="eastAsia" w:ascii="仿宋" w:hAnsi="仿宋" w:eastAsia="仿宋" w:cs="仿宋"/>
          <w:color w:val="auto"/>
          <w:kern w:val="0"/>
          <w:sz w:val="24"/>
          <w:szCs w:val="24"/>
          <w:highlight w:val="none"/>
          <w:u w:val="single"/>
        </w:rPr>
        <w:t xml:space="preserve">                              </w:t>
      </w:r>
    </w:p>
    <w:p w14:paraId="50AC1BA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u w:val="single"/>
        </w:rPr>
        <w:t xml:space="preserve">                              </w:t>
      </w:r>
    </w:p>
    <w:p w14:paraId="7F326B3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日</w:t>
      </w:r>
    </w:p>
    <w:p w14:paraId="37EF764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rPr>
        <w:t xml:space="preserve">                              </w:t>
      </w:r>
    </w:p>
    <w:p w14:paraId="656721B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3C0EEF3">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职务：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（投标人名称）的法定代表人。</w:t>
      </w:r>
    </w:p>
    <w:p w14:paraId="73173556">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5ADC350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12A5BA3">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附：法定代表人身份证明</w:t>
      </w:r>
    </w:p>
    <w:p w14:paraId="354FF5D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tbl>
      <w:tblPr>
        <w:tblStyle w:val="39"/>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A55D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B1C6C5F">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法定代表人身份证复印件（正面）</w:t>
            </w:r>
          </w:p>
        </w:tc>
      </w:tr>
    </w:tbl>
    <w:p w14:paraId="636115CD">
      <w:pPr>
        <w:rPr>
          <w:rFonts w:hint="eastAsia" w:ascii="仿宋" w:hAnsi="仿宋" w:eastAsia="仿宋" w:cs="仿宋"/>
          <w:vanish/>
          <w:color w:val="auto"/>
          <w:highlight w:val="none"/>
        </w:rPr>
      </w:pPr>
    </w:p>
    <w:tbl>
      <w:tblPr>
        <w:tblStyle w:val="39"/>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750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07F08D05">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法定代表人身份证复印件（反面）</w:t>
            </w:r>
          </w:p>
        </w:tc>
      </w:tr>
    </w:tbl>
    <w:p w14:paraId="10E79B0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885620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4AD16F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5C70F1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78A6CFA">
      <w:pPr>
        <w:widowControl/>
        <w:shd w:val="clear" w:color="auto" w:fill="FFFFFF"/>
        <w:wordWrap w:val="0"/>
        <w:snapToGrid w:val="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日 </w:t>
      </w:r>
    </w:p>
    <w:p w14:paraId="76619CCC">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7CE9BD1F">
      <w:pPr>
        <w:tabs>
          <w:tab w:val="center" w:pos="4832"/>
          <w:tab w:val="left" w:pos="7140"/>
        </w:tabs>
        <w:jc w:val="center"/>
        <w:outlineLvl w:val="1"/>
        <w:rPr>
          <w:rFonts w:hint="eastAsia" w:ascii="仿宋" w:hAnsi="仿宋" w:eastAsia="仿宋" w:cs="仿宋"/>
          <w:b/>
          <w:color w:val="auto"/>
          <w:sz w:val="24"/>
          <w:szCs w:val="24"/>
          <w:highlight w:val="none"/>
        </w:rPr>
      </w:pPr>
      <w:bookmarkStart w:id="128" w:name="_Toc110707970"/>
      <w:bookmarkStart w:id="129" w:name="_Toc29077"/>
      <w:bookmarkStart w:id="130" w:name="_Toc109921163"/>
      <w:bookmarkStart w:id="131" w:name="_Toc19364"/>
      <w:bookmarkStart w:id="132" w:name="_Toc109941770"/>
      <w:bookmarkStart w:id="133" w:name="_Toc130252620"/>
      <w:bookmarkStart w:id="134" w:name="_Toc11931"/>
      <w:bookmarkStart w:id="135" w:name="_Toc16813"/>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、法定代表人授权委托书</w:t>
      </w:r>
      <w:bookmarkEnd w:id="128"/>
      <w:bookmarkEnd w:id="129"/>
      <w:bookmarkEnd w:id="130"/>
      <w:bookmarkEnd w:id="131"/>
      <w:bookmarkEnd w:id="132"/>
      <w:bookmarkEnd w:id="133"/>
      <w:bookmarkEnd w:id="134"/>
      <w:bookmarkEnd w:id="135"/>
    </w:p>
    <w:p w14:paraId="1397617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87EA264">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（投标人名称）的法定代表人，现拟派我单位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（姓名）为我方委托代理人。委托代理人根据授权，就</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（项目名称）的投标，以本公司名义处理一切与之有关的事务，其法律后果由我方承担。</w:t>
      </w:r>
    </w:p>
    <w:p w14:paraId="484EBA53">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代理人：</w:t>
      </w:r>
      <w:r>
        <w:rPr>
          <w:rFonts w:hint="eastAsia" w:ascii="仿宋" w:hAnsi="仿宋" w:eastAsia="仿宋" w:cs="仿宋"/>
          <w:i/>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年龄：</w:t>
      </w:r>
      <w:r>
        <w:rPr>
          <w:rFonts w:hint="eastAsia" w:ascii="仿宋" w:hAnsi="仿宋" w:eastAsia="仿宋" w:cs="仿宋"/>
          <w:color w:val="auto"/>
          <w:kern w:val="0"/>
          <w:sz w:val="24"/>
          <w:szCs w:val="24"/>
          <w:highlight w:val="none"/>
          <w:u w:val="single"/>
        </w:rPr>
        <w:t xml:space="preserve">                    </w:t>
      </w:r>
    </w:p>
    <w:p w14:paraId="795894CF">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  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部门：</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职务：</w:t>
      </w:r>
      <w:r>
        <w:rPr>
          <w:rFonts w:hint="eastAsia" w:ascii="仿宋" w:hAnsi="仿宋" w:eastAsia="仿宋" w:cs="仿宋"/>
          <w:color w:val="auto"/>
          <w:kern w:val="0"/>
          <w:sz w:val="24"/>
          <w:szCs w:val="24"/>
          <w:highlight w:val="none"/>
          <w:u w:val="single"/>
        </w:rPr>
        <w:t xml:space="preserve">                    </w:t>
      </w:r>
    </w:p>
    <w:p w14:paraId="1A53CCEE">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代理人无转委权，特此申明。</w:t>
      </w:r>
    </w:p>
    <w:p w14:paraId="048398E5">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p>
    <w:p w14:paraId="00282345">
      <w:pPr>
        <w:widowControl/>
        <w:shd w:val="clear" w:color="auto" w:fill="FFFFFF"/>
        <w:snapToGrid w:val="0"/>
        <w:spacing w:line="384"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附：委托代理人身份证明。</w:t>
      </w:r>
    </w:p>
    <w:tbl>
      <w:tblPr>
        <w:tblStyle w:val="39"/>
        <w:tblW w:w="3969" w:type="dxa"/>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tblGrid>
      <w:tr w14:paraId="14A7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exact"/>
        </w:trPr>
        <w:tc>
          <w:tcPr>
            <w:tcW w:w="3969" w:type="dxa"/>
            <w:vAlign w:val="center"/>
          </w:tcPr>
          <w:p w14:paraId="3BD3E5F6">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委托代理人身份证复印件（正面）</w:t>
            </w:r>
          </w:p>
        </w:tc>
      </w:tr>
    </w:tbl>
    <w:p w14:paraId="071EFA3E">
      <w:pPr>
        <w:rPr>
          <w:rFonts w:hint="eastAsia" w:ascii="仿宋" w:hAnsi="仿宋" w:eastAsia="仿宋" w:cs="仿宋"/>
          <w:vanish/>
          <w:color w:val="auto"/>
          <w:highlight w:val="none"/>
        </w:rPr>
      </w:pPr>
    </w:p>
    <w:tbl>
      <w:tblPr>
        <w:tblStyle w:val="39"/>
        <w:tblpPr w:leftFromText="180" w:rightFromText="180" w:vertAnchor="text" w:horzAnchor="margin" w:tblpXSpec="right" w:tblpY="-2446"/>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09B66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F46DFEE">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委托代理人身份证复印件（反面）</w:t>
            </w:r>
          </w:p>
        </w:tc>
      </w:tr>
    </w:tbl>
    <w:p w14:paraId="37916A7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F75866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390E74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C9284C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04ECE77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486D90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3F2B56A3">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6A6E44E3">
      <w:pPr>
        <w:rPr>
          <w:rFonts w:hint="eastAsia" w:ascii="仿宋" w:hAnsi="仿宋" w:eastAsia="仿宋" w:cs="仿宋"/>
          <w:b/>
          <w:color w:val="auto"/>
          <w:sz w:val="24"/>
          <w:szCs w:val="24"/>
          <w:highlight w:val="none"/>
        </w:rPr>
      </w:pPr>
      <w:bookmarkStart w:id="136" w:name="_Toc109921164"/>
      <w:bookmarkStart w:id="137" w:name="_Toc110707971"/>
      <w:bookmarkStart w:id="138" w:name="_Toc109941771"/>
      <w:bookmarkStart w:id="139" w:name="_Toc130252621"/>
      <w:bookmarkStart w:id="140" w:name="_Toc25783"/>
      <w:bookmarkStart w:id="141" w:name="_Toc29422"/>
      <w:bookmarkStart w:id="142" w:name="_Toc358451723"/>
      <w:r>
        <w:rPr>
          <w:rFonts w:hint="eastAsia" w:ascii="仿宋" w:hAnsi="仿宋" w:eastAsia="仿宋" w:cs="仿宋"/>
          <w:b/>
          <w:color w:val="auto"/>
          <w:sz w:val="24"/>
          <w:szCs w:val="24"/>
          <w:highlight w:val="none"/>
        </w:rPr>
        <w:br w:type="page"/>
      </w:r>
    </w:p>
    <w:p w14:paraId="41B81048">
      <w:pPr>
        <w:tabs>
          <w:tab w:val="center" w:pos="4832"/>
          <w:tab w:val="left" w:pos="7140"/>
        </w:tabs>
        <w:jc w:val="center"/>
        <w:outlineLvl w:val="1"/>
        <w:rPr>
          <w:rFonts w:hint="eastAsia" w:ascii="仿宋" w:hAnsi="仿宋" w:eastAsia="仿宋" w:cs="仿宋"/>
          <w:b/>
          <w:color w:val="auto"/>
          <w:sz w:val="24"/>
          <w:szCs w:val="24"/>
          <w:highlight w:val="none"/>
        </w:rPr>
      </w:pPr>
      <w:bookmarkStart w:id="143" w:name="_Toc23668"/>
      <w:bookmarkStart w:id="144" w:name="_Toc23262"/>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w:t>
      </w:r>
      <w:bookmarkEnd w:id="136"/>
      <w:bookmarkEnd w:id="137"/>
      <w:bookmarkEnd w:id="138"/>
      <w:r>
        <w:rPr>
          <w:rFonts w:hint="eastAsia" w:ascii="仿宋" w:hAnsi="仿宋" w:eastAsia="仿宋" w:cs="仿宋"/>
          <w:b/>
          <w:bCs/>
          <w:color w:val="auto"/>
          <w:sz w:val="24"/>
          <w:szCs w:val="24"/>
          <w:highlight w:val="none"/>
        </w:rPr>
        <w:t>投标人资格条件证明材料</w:t>
      </w:r>
      <w:bookmarkEnd w:id="139"/>
      <w:bookmarkEnd w:id="140"/>
      <w:bookmarkEnd w:id="141"/>
      <w:bookmarkEnd w:id="143"/>
      <w:bookmarkEnd w:id="144"/>
    </w:p>
    <w:p w14:paraId="4CB84F2D">
      <w:pPr>
        <w:rPr>
          <w:rFonts w:hint="eastAsia" w:ascii="仿宋" w:hAnsi="仿宋" w:eastAsia="仿宋" w:cs="仿宋"/>
          <w:color w:val="auto"/>
          <w:highlight w:val="none"/>
        </w:rPr>
      </w:pPr>
    </w:p>
    <w:tbl>
      <w:tblPr>
        <w:tblStyle w:val="39"/>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66FA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4C717E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投标人名称</w:t>
            </w:r>
          </w:p>
        </w:tc>
        <w:tc>
          <w:tcPr>
            <w:tcW w:w="7300" w:type="dxa"/>
            <w:gridSpan w:val="3"/>
            <w:vAlign w:val="center"/>
          </w:tcPr>
          <w:p w14:paraId="7878A11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r>
      <w:tr w14:paraId="47A31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BC00D3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40E4D31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2F7360B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688C9E40">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6A02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7C8AB0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24D39E3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08A1B28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057D0BC3">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F94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31952D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30118A6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7F57908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09D643DC">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23F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3822BDC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512ED9A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BCA526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62054EED">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3355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28BDF1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4DCEB0D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1C4D61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2C56146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79196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7D692B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6AFAB0D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172131F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1439BD9F">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D41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41BCAB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7B0270A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3D1386A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529C7DE8">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6E62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3DE3F34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6A50FD45">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CF2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14F6762B">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7C583023">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6792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BE031A9">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2CEF238E">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6367F187">
            <w:pPr>
              <w:autoSpaceDE w:val="0"/>
              <w:autoSpaceDN w:val="0"/>
              <w:adjustRightInd w:val="0"/>
              <w:snapToGrid w:val="0"/>
              <w:spacing w:line="520" w:lineRule="exact"/>
              <w:rPr>
                <w:rFonts w:hint="eastAsia" w:ascii="仿宋" w:hAnsi="仿宋" w:eastAsia="仿宋" w:cs="仿宋"/>
                <w:color w:val="auto"/>
                <w:kern w:val="0"/>
                <w:sz w:val="24"/>
                <w:szCs w:val="24"/>
                <w:highlight w:val="none"/>
              </w:rPr>
            </w:pPr>
          </w:p>
          <w:p w14:paraId="53DDA701">
            <w:pPr>
              <w:autoSpaceDE w:val="0"/>
              <w:autoSpaceDN w:val="0"/>
              <w:adjustRightInd w:val="0"/>
              <w:snapToGrid w:val="0"/>
              <w:spacing w:line="520" w:lineRule="exact"/>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3F258A83">
      <w:pPr>
        <w:spacing w:line="360" w:lineRule="auto"/>
        <w:jc w:val="left"/>
        <w:rPr>
          <w:rFonts w:hint="eastAsia" w:ascii="仿宋" w:hAnsi="仿宋" w:eastAsia="仿宋" w:cs="仿宋"/>
          <w:color w:val="auto"/>
          <w:sz w:val="24"/>
          <w:szCs w:val="24"/>
          <w:highlight w:val="none"/>
        </w:rPr>
      </w:pPr>
    </w:p>
    <w:p w14:paraId="4FC2D271">
      <w:pPr>
        <w:spacing w:line="360" w:lineRule="auto"/>
        <w:jc w:val="center"/>
        <w:outlineLvl w:val="1"/>
        <w:rPr>
          <w:rFonts w:hint="eastAsia" w:ascii="仿宋" w:hAnsi="仿宋" w:eastAsia="仿宋" w:cs="仿宋"/>
          <w:b/>
          <w:color w:val="auto"/>
          <w:sz w:val="24"/>
          <w:szCs w:val="24"/>
          <w:highlight w:val="none"/>
        </w:rPr>
      </w:pPr>
      <w:bookmarkStart w:id="145" w:name="_Toc11980"/>
      <w:bookmarkStart w:id="146" w:name="_Toc29380"/>
      <w:bookmarkStart w:id="147" w:name="_Toc13628"/>
      <w:bookmarkStart w:id="148" w:name="_Toc141050516"/>
      <w:bookmarkStart w:id="149" w:name="_Toc24317"/>
      <w:bookmarkStart w:id="150" w:name="_Toc18158"/>
      <w:bookmarkStart w:id="151" w:name="_Toc128476879"/>
      <w:bookmarkStart w:id="152" w:name="_Toc13140"/>
      <w:bookmarkStart w:id="153" w:name="_Toc643"/>
      <w:bookmarkStart w:id="154" w:name="_Toc23897"/>
      <w:bookmarkStart w:id="155" w:name="_Toc28034"/>
      <w:bookmarkStart w:id="156" w:name="_Toc5144"/>
      <w:bookmarkStart w:id="157" w:name="_Toc14695"/>
      <w:bookmarkStart w:id="158" w:name="_Toc19961"/>
      <w:bookmarkStart w:id="159" w:name="_Toc130252623"/>
      <w:bookmarkStart w:id="160" w:name="_Toc30664"/>
      <w:bookmarkStart w:id="161" w:name="_Toc4679"/>
      <w:bookmarkStart w:id="162" w:name="_Toc7702"/>
      <w:bookmarkStart w:id="163" w:name="_Toc31943"/>
      <w:bookmarkStart w:id="164" w:name="_Toc113901850"/>
      <w:r>
        <w:rPr>
          <w:rFonts w:hint="eastAsia" w:ascii="仿宋" w:hAnsi="仿宋" w:eastAsia="仿宋" w:cs="仿宋"/>
          <w:color w:val="auto"/>
          <w:sz w:val="24"/>
          <w:szCs w:val="24"/>
          <w:highlight w:val="none"/>
        </w:rPr>
        <w:br w:type="page"/>
      </w:r>
      <w:bookmarkStart w:id="165" w:name="_Toc14499"/>
      <w:bookmarkStart w:id="166" w:name="_Toc11252"/>
      <w:bookmarkStart w:id="167" w:name="_Toc5497"/>
      <w:bookmarkStart w:id="168" w:name="_Toc141050515"/>
      <w:bookmarkStart w:id="169" w:name="_Toc27784"/>
      <w:bookmarkStart w:id="170" w:name="_Toc29907"/>
      <w:bookmarkStart w:id="171" w:name="_Toc14445"/>
      <w:bookmarkStart w:id="172" w:name="_Toc26222"/>
      <w:bookmarkStart w:id="173" w:name="_Toc5059"/>
      <w:bookmarkStart w:id="174" w:name="_Toc7329"/>
      <w:bookmarkStart w:id="175" w:name="_Toc12625"/>
      <w:bookmarkStart w:id="176" w:name="_Toc5302"/>
      <w:bookmarkStart w:id="177" w:name="_Toc29449"/>
      <w:bookmarkStart w:id="178" w:name="_Toc22107"/>
      <w:bookmarkStart w:id="179" w:name="_Toc128476878"/>
      <w:bookmarkStart w:id="180" w:name="_Toc31890"/>
      <w:bookmarkStart w:id="181" w:name="_Toc113901849"/>
      <w:bookmarkStart w:id="182" w:name="_Toc8286"/>
      <w:bookmarkStart w:id="183" w:name="_Toc12657"/>
      <w:bookmarkStart w:id="184" w:name="_Toc130252622"/>
      <w:bookmarkStart w:id="185" w:name="_Toc56"/>
      <w:bookmarkStart w:id="186" w:name="_Toc13267"/>
      <w:bookmarkStart w:id="187" w:name="_Toc5906"/>
      <w:bookmarkStart w:id="188" w:name="_Toc29597"/>
      <w:bookmarkStart w:id="189" w:name="_Toc7909"/>
      <w:bookmarkStart w:id="190" w:name="_Toc2553"/>
      <w:bookmarkStart w:id="191" w:name="_Toc3937"/>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.1 法人或者其他组织的营业执照等证明文件，自然人的身份证明</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009E53C1">
      <w:pPr>
        <w:spacing w:line="360" w:lineRule="auto"/>
        <w:rPr>
          <w:rFonts w:hint="eastAsia" w:ascii="仿宋" w:hAnsi="仿宋" w:eastAsia="仿宋" w:cs="仿宋"/>
          <w:color w:val="auto"/>
          <w:sz w:val="24"/>
          <w:szCs w:val="24"/>
          <w:highlight w:val="none"/>
        </w:rPr>
      </w:pPr>
    </w:p>
    <w:p w14:paraId="70801213">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是企业（包括合伙企业)，应提供在工商部门注册的有效“企业法人营业执照”或“营业执照”;</w:t>
      </w:r>
    </w:p>
    <w:p w14:paraId="57DF2545">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是事业单位，应提供有效的“事业单位法人证书”;</w:t>
      </w:r>
    </w:p>
    <w:p w14:paraId="7A013F6B">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是非企业专业服务机构的，应提供执业许可证等证明文件;</w:t>
      </w:r>
    </w:p>
    <w:p w14:paraId="4325CFC7">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是个体工商户，应提供有效的“个体工商户营业执照”;</w:t>
      </w:r>
    </w:p>
    <w:p w14:paraId="205288C1">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是自然人，应提供有效的自然人身份证明。</w:t>
      </w:r>
    </w:p>
    <w:p w14:paraId="57C30A71">
      <w:pPr>
        <w:spacing w:line="360" w:lineRule="auto"/>
        <w:rPr>
          <w:rFonts w:hint="eastAsia" w:ascii="仿宋" w:hAnsi="仿宋" w:eastAsia="仿宋" w:cs="仿宋"/>
          <w:color w:val="auto"/>
          <w:sz w:val="24"/>
          <w:szCs w:val="24"/>
          <w:highlight w:val="none"/>
        </w:rPr>
      </w:pPr>
    </w:p>
    <w:p w14:paraId="02D30634">
      <w:pPr>
        <w:spacing w:line="360" w:lineRule="auto"/>
        <w:rPr>
          <w:rFonts w:hint="eastAsia" w:ascii="仿宋" w:hAnsi="仿宋" w:eastAsia="仿宋" w:cs="仿宋"/>
          <w:color w:val="auto"/>
          <w:sz w:val="24"/>
          <w:szCs w:val="24"/>
          <w:highlight w:val="none"/>
        </w:rPr>
      </w:pPr>
    </w:p>
    <w:p w14:paraId="61EB11F2">
      <w:pPr>
        <w:widowControl/>
        <w:spacing w:line="360" w:lineRule="auto"/>
        <w:jc w:val="left"/>
        <w:rPr>
          <w:rFonts w:hint="eastAsia" w:ascii="仿宋" w:hAnsi="仿宋" w:eastAsia="仿宋" w:cs="仿宋"/>
          <w:color w:val="auto"/>
          <w:highlight w:val="none"/>
        </w:rPr>
      </w:pPr>
      <w:r>
        <w:rPr>
          <w:rFonts w:hint="eastAsia" w:ascii="仿宋" w:hAnsi="仿宋" w:eastAsia="仿宋" w:cs="仿宋"/>
          <w:b/>
          <w:color w:val="auto"/>
          <w:sz w:val="24"/>
          <w:szCs w:val="24"/>
          <w:highlight w:val="none"/>
        </w:rPr>
        <w:br w:type="page"/>
      </w:r>
    </w:p>
    <w:p w14:paraId="60172FA5">
      <w:pPr>
        <w:spacing w:line="360" w:lineRule="auto"/>
        <w:jc w:val="center"/>
        <w:outlineLvl w:val="1"/>
        <w:rPr>
          <w:rFonts w:hint="eastAsia" w:ascii="仿宋" w:hAnsi="仿宋" w:eastAsia="仿宋" w:cs="仿宋"/>
          <w:b/>
          <w:color w:val="auto"/>
          <w:sz w:val="24"/>
          <w:szCs w:val="24"/>
          <w:highlight w:val="none"/>
        </w:rPr>
      </w:pPr>
      <w:bookmarkStart w:id="192" w:name="_Toc16077"/>
      <w:bookmarkStart w:id="193" w:name="_Toc30913"/>
      <w:bookmarkStart w:id="194" w:name="_Toc17549"/>
      <w:bookmarkStart w:id="195" w:name="_Toc6735"/>
      <w:bookmarkStart w:id="196" w:name="_Toc13139"/>
      <w:bookmarkStart w:id="197" w:name="_Toc21575"/>
      <w:bookmarkStart w:id="198" w:name="_Toc22852"/>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.2 财务状况报告，依法缴纳税收和社会保障资金的相关材料</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92"/>
      <w:bookmarkEnd w:id="193"/>
      <w:bookmarkEnd w:id="194"/>
      <w:bookmarkEnd w:id="195"/>
      <w:bookmarkEnd w:id="196"/>
      <w:bookmarkEnd w:id="197"/>
      <w:bookmarkEnd w:id="198"/>
    </w:p>
    <w:p w14:paraId="74BEA911">
      <w:pPr>
        <w:spacing w:after="120" w:line="360" w:lineRule="auto"/>
        <w:rPr>
          <w:rFonts w:hint="eastAsia" w:ascii="仿宋" w:hAnsi="仿宋" w:eastAsia="仿宋" w:cs="仿宋"/>
          <w:color w:val="auto"/>
          <w:spacing w:val="10"/>
          <w:kern w:val="0"/>
          <w:sz w:val="24"/>
          <w:szCs w:val="24"/>
          <w:highlight w:val="none"/>
        </w:rPr>
      </w:pPr>
    </w:p>
    <w:p w14:paraId="31040F44">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一、财务状况报告（满足下述一条要求即可）：</w:t>
      </w:r>
    </w:p>
    <w:p w14:paraId="133F4A4A">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w:t>
      </w:r>
      <w:r>
        <w:rPr>
          <w:rFonts w:hint="eastAsia" w:ascii="仿宋" w:hAnsi="仿宋" w:eastAsia="仿宋" w:cs="仿宋"/>
          <w:color w:val="auto"/>
          <w:spacing w:val="10"/>
          <w:szCs w:val="24"/>
          <w:highlight w:val="none"/>
          <w:shd w:val="clear" w:color="auto" w:fill="FFFFFF" w:themeFill="background1"/>
          <w:lang w:eastAsia="zh-CN"/>
        </w:rPr>
        <w:t>2024年度或2025年度</w:t>
      </w:r>
      <w:r>
        <w:rPr>
          <w:rFonts w:hint="eastAsia" w:ascii="仿宋" w:hAnsi="仿宋" w:eastAsia="仿宋" w:cs="仿宋"/>
          <w:color w:val="auto"/>
          <w:spacing w:val="10"/>
          <w:szCs w:val="24"/>
          <w:highlight w:val="none"/>
          <w:shd w:val="clear" w:color="auto" w:fill="FFFFFF" w:themeFill="background1"/>
        </w:rPr>
        <w:t>，包括“四表-注”，即资产负债表、利润表、现金流量表、所有者权益变动表及其附注）或银行出具的资信证明（投标文件递交截止之日前六个月内任意一个月</w:t>
      </w:r>
      <w:r>
        <w:rPr>
          <w:rFonts w:hint="eastAsia" w:ascii="仿宋" w:hAnsi="仿宋" w:eastAsia="仿宋" w:cs="仿宋"/>
          <w:color w:val="auto"/>
          <w:spacing w:val="10"/>
          <w:szCs w:val="24"/>
          <w:highlight w:val="none"/>
          <w:shd w:val="clear" w:color="auto" w:fill="FFFFFF" w:themeFill="background1"/>
          <w:lang w:eastAsia="zh-CN"/>
        </w:rPr>
        <w:t>，</w:t>
      </w:r>
      <w:r>
        <w:rPr>
          <w:rFonts w:hint="eastAsia" w:ascii="仿宋" w:hAnsi="仿宋" w:eastAsia="仿宋" w:cs="仿宋"/>
          <w:color w:val="auto"/>
          <w:spacing w:val="10"/>
          <w:szCs w:val="24"/>
          <w:highlight w:val="none"/>
          <w:shd w:val="clear" w:color="auto" w:fill="FFFFFF" w:themeFill="background1"/>
          <w:lang w:val="en-US" w:eastAsia="zh-CN"/>
        </w:rPr>
        <w:t>不限制采购人主体</w:t>
      </w:r>
      <w:r>
        <w:rPr>
          <w:rFonts w:hint="eastAsia" w:ascii="仿宋" w:hAnsi="仿宋" w:eastAsia="仿宋" w:cs="仿宋"/>
          <w:color w:val="auto"/>
          <w:spacing w:val="10"/>
          <w:szCs w:val="24"/>
          <w:highlight w:val="none"/>
          <w:shd w:val="clear" w:color="auto" w:fill="FFFFFF" w:themeFill="background1"/>
        </w:rPr>
        <w:t>）。</w:t>
      </w:r>
    </w:p>
    <w:p w14:paraId="7F075DB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w:t>
      </w:r>
      <w:r>
        <w:rPr>
          <w:rFonts w:hint="eastAsia" w:ascii="仿宋" w:hAnsi="仿宋" w:eastAsia="仿宋" w:cs="仿宋"/>
          <w:color w:val="auto"/>
          <w:spacing w:val="10"/>
          <w:szCs w:val="24"/>
          <w:highlight w:val="none"/>
          <w:shd w:val="clear" w:color="auto" w:fill="FFFFFF" w:themeFill="background1"/>
          <w:lang w:val="en-US" w:eastAsia="zh-CN"/>
        </w:rPr>
        <w:t>六</w:t>
      </w:r>
      <w:r>
        <w:rPr>
          <w:rFonts w:hint="eastAsia" w:ascii="仿宋" w:hAnsi="仿宋" w:eastAsia="仿宋" w:cs="仿宋"/>
          <w:color w:val="auto"/>
          <w:spacing w:val="10"/>
          <w:szCs w:val="24"/>
          <w:highlight w:val="none"/>
          <w:shd w:val="clear" w:color="auto" w:fill="FFFFFF" w:themeFill="background1"/>
        </w:rPr>
        <w:t>个月（以投标文件递交截止之日为期限）的投标人无需提供。</w:t>
      </w:r>
    </w:p>
    <w:p w14:paraId="47D5EF50">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6A61724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5BFEC4A1">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w:t>
      </w:r>
      <w:r>
        <w:rPr>
          <w:rFonts w:hint="eastAsia" w:ascii="仿宋" w:hAnsi="仿宋" w:eastAsia="仿宋" w:cs="仿宋"/>
          <w:color w:val="auto"/>
          <w:szCs w:val="21"/>
          <w:highlight w:val="none"/>
          <w:shd w:val="clear" w:color="auto" w:fill="FFFFFF" w:themeFill="background1"/>
        </w:rPr>
        <w:t>，提供上述任意一种即可</w:t>
      </w:r>
      <w:r>
        <w:rPr>
          <w:rFonts w:hint="eastAsia" w:ascii="仿宋" w:hAnsi="仿宋" w:eastAsia="仿宋" w:cs="仿宋"/>
          <w:color w:val="auto"/>
          <w:spacing w:val="10"/>
          <w:szCs w:val="24"/>
          <w:highlight w:val="none"/>
          <w:shd w:val="clear" w:color="auto" w:fill="FFFFFF" w:themeFill="background1"/>
        </w:rPr>
        <w:t>）。</w:t>
      </w:r>
    </w:p>
    <w:p w14:paraId="26B2EC41">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6C9EBB07">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5C108C1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w:t>
      </w:r>
      <w:r>
        <w:rPr>
          <w:rFonts w:hint="eastAsia" w:ascii="仿宋" w:hAnsi="仿宋" w:eastAsia="仿宋" w:cs="仿宋"/>
          <w:color w:val="auto"/>
          <w:spacing w:val="10"/>
          <w:szCs w:val="24"/>
          <w:highlight w:val="none"/>
          <w:shd w:val="clear" w:color="auto" w:fill="FFFFFF" w:themeFill="background1"/>
          <w:lang w:eastAsia="zh-CN"/>
        </w:rPr>
        <w:t>投标人</w:t>
      </w:r>
      <w:r>
        <w:rPr>
          <w:rFonts w:hint="eastAsia" w:ascii="仿宋" w:hAnsi="仿宋" w:eastAsia="仿宋" w:cs="仿宋"/>
          <w:color w:val="auto"/>
          <w:spacing w:val="10"/>
          <w:szCs w:val="24"/>
          <w:highlight w:val="none"/>
          <w:shd w:val="clear" w:color="auto" w:fill="FFFFFF" w:themeFill="background1"/>
        </w:rPr>
        <w:t>，应提供相应文件证明其依法免税或不需要缴纳社会保障资金。</w:t>
      </w:r>
    </w:p>
    <w:p w14:paraId="312F14D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65CE47A8">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68550847">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w:t>
      </w:r>
      <w:r>
        <w:rPr>
          <w:rFonts w:hint="eastAsia" w:ascii="仿宋" w:hAnsi="仿宋" w:eastAsia="仿宋" w:cs="仿宋"/>
          <w:color w:val="auto"/>
          <w:spacing w:val="10"/>
          <w:szCs w:val="24"/>
          <w:highlight w:val="none"/>
          <w:shd w:val="clear" w:color="auto" w:fill="FFFFFF" w:themeFill="background1"/>
          <w:lang w:eastAsia="zh-CN"/>
        </w:rPr>
        <w:t>投标人</w:t>
      </w:r>
      <w:r>
        <w:rPr>
          <w:rFonts w:hint="eastAsia" w:ascii="仿宋" w:hAnsi="仿宋" w:eastAsia="仿宋" w:cs="仿宋"/>
          <w:color w:val="auto"/>
          <w:spacing w:val="10"/>
          <w:szCs w:val="24"/>
          <w:highlight w:val="none"/>
          <w:shd w:val="clear" w:color="auto" w:fill="FFFFFF" w:themeFill="background1"/>
        </w:rPr>
        <w:t>所在地有关主管部门反馈的证明材料与本文中要求不一致时，以当地要求为准，但须</w:t>
      </w:r>
      <w:r>
        <w:rPr>
          <w:rFonts w:hint="eastAsia" w:ascii="仿宋" w:hAnsi="仿宋" w:eastAsia="仿宋" w:cs="仿宋"/>
          <w:color w:val="auto"/>
          <w:spacing w:val="10"/>
          <w:szCs w:val="24"/>
          <w:highlight w:val="none"/>
          <w:shd w:val="clear" w:color="auto" w:fill="FFFFFF" w:themeFill="background1"/>
          <w:lang w:eastAsia="zh-CN"/>
        </w:rPr>
        <w:t>投标人</w:t>
      </w:r>
      <w:r>
        <w:rPr>
          <w:rFonts w:hint="eastAsia" w:ascii="仿宋" w:hAnsi="仿宋" w:eastAsia="仿宋" w:cs="仿宋"/>
          <w:color w:val="auto"/>
          <w:spacing w:val="10"/>
          <w:szCs w:val="24"/>
          <w:highlight w:val="none"/>
          <w:shd w:val="clear" w:color="auto" w:fill="FFFFFF" w:themeFill="background1"/>
        </w:rPr>
        <w:t>提供文字说明。</w:t>
      </w:r>
    </w:p>
    <w:p w14:paraId="1A353648">
      <w:pPr>
        <w:spacing w:after="120" w:line="360" w:lineRule="auto"/>
        <w:ind w:firstLine="460" w:firstLineChars="200"/>
        <w:rPr>
          <w:rFonts w:hint="eastAsia" w:ascii="仿宋" w:hAnsi="仿宋" w:eastAsia="仿宋" w:cs="仿宋"/>
          <w:color w:val="auto"/>
          <w:spacing w:val="10"/>
          <w:szCs w:val="24"/>
          <w:highlight w:val="none"/>
          <w:shd w:val="clear" w:color="auto" w:fill="FFFFFF" w:themeFill="background1"/>
        </w:rPr>
      </w:pPr>
    </w:p>
    <w:p w14:paraId="3399B1A2">
      <w:pPr>
        <w:rPr>
          <w:rFonts w:hint="eastAsia" w:ascii="仿宋" w:hAnsi="仿宋" w:eastAsia="仿宋" w:cs="仿宋"/>
          <w:b/>
          <w:color w:val="auto"/>
          <w:sz w:val="24"/>
          <w:szCs w:val="24"/>
          <w:highlight w:val="none"/>
        </w:rPr>
      </w:pPr>
      <w:bookmarkStart w:id="199" w:name="_Toc28397"/>
      <w:bookmarkStart w:id="200" w:name="_Toc24817"/>
      <w:bookmarkStart w:id="201" w:name="_Toc28756"/>
      <w:bookmarkStart w:id="202" w:name="_Toc128476880"/>
      <w:bookmarkStart w:id="203" w:name="_Toc141050517"/>
      <w:bookmarkStart w:id="204" w:name="_Toc3038"/>
      <w:bookmarkStart w:id="205" w:name="_Toc28937"/>
      <w:bookmarkStart w:id="206" w:name="_Toc6490"/>
      <w:bookmarkStart w:id="207" w:name="_Toc24943"/>
      <w:bookmarkStart w:id="208" w:name="_Toc113901851"/>
      <w:bookmarkStart w:id="209" w:name="_Toc130252624"/>
      <w:bookmarkStart w:id="210" w:name="_Toc22195"/>
      <w:bookmarkStart w:id="211" w:name="_Toc6527"/>
      <w:bookmarkStart w:id="212" w:name="_Toc15267"/>
      <w:bookmarkStart w:id="213" w:name="_Toc20521"/>
      <w:bookmarkStart w:id="214" w:name="_Toc29582"/>
      <w:bookmarkStart w:id="215" w:name="_Toc8262"/>
      <w:bookmarkStart w:id="216" w:name="_Toc111556488"/>
      <w:r>
        <w:rPr>
          <w:rFonts w:hint="eastAsia" w:ascii="仿宋" w:hAnsi="仿宋" w:eastAsia="仿宋" w:cs="仿宋"/>
          <w:b/>
          <w:color w:val="auto"/>
          <w:sz w:val="24"/>
          <w:szCs w:val="24"/>
          <w:highlight w:val="none"/>
        </w:rPr>
        <w:br w:type="page"/>
      </w:r>
    </w:p>
    <w:p w14:paraId="35AA075A">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bookmarkStart w:id="217" w:name="_Toc22128"/>
      <w:bookmarkStart w:id="218" w:name="_Toc30845"/>
      <w:bookmarkStart w:id="219" w:name="_Toc13146"/>
      <w:bookmarkStart w:id="220" w:name="_Toc22548"/>
      <w:bookmarkStart w:id="221" w:name="_Toc16634"/>
      <w:bookmarkStart w:id="222" w:name="_Toc14829"/>
      <w:bookmarkStart w:id="223" w:name="_Toc17319"/>
      <w:bookmarkStart w:id="224" w:name="_Toc6917"/>
      <w:bookmarkStart w:id="225" w:name="_Toc31926"/>
      <w:bookmarkStart w:id="226" w:name="_Toc20036"/>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.3 具备履行合同所必需的设备和专业技术能力的证明材料</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7"/>
      <w:bookmarkEnd w:id="218"/>
      <w:bookmarkEnd w:id="219"/>
      <w:bookmarkEnd w:id="220"/>
      <w:bookmarkEnd w:id="221"/>
      <w:bookmarkEnd w:id="222"/>
      <w:bookmarkEnd w:id="223"/>
      <w:bookmarkEnd w:id="224"/>
      <w:bookmarkEnd w:id="225"/>
      <w:bookmarkEnd w:id="226"/>
    </w:p>
    <w:p w14:paraId="4E1418A4">
      <w:pPr>
        <w:spacing w:line="360" w:lineRule="auto"/>
        <w:jc w:val="center"/>
        <w:rPr>
          <w:rFonts w:hint="eastAsia" w:ascii="仿宋" w:hAnsi="仿宋" w:eastAsia="仿宋" w:cs="仿宋"/>
          <w:b/>
          <w:color w:val="auto"/>
          <w:sz w:val="24"/>
          <w:szCs w:val="24"/>
          <w:highlight w:val="none"/>
        </w:rPr>
      </w:pPr>
    </w:p>
    <w:p w14:paraId="51AEEEF0">
      <w:pPr>
        <w:spacing w:line="360" w:lineRule="auto"/>
        <w:jc w:val="center"/>
        <w:rPr>
          <w:rFonts w:hint="eastAsia" w:ascii="仿宋" w:hAnsi="仿宋" w:eastAsia="仿宋" w:cs="仿宋"/>
          <w:b/>
          <w:color w:val="auto"/>
          <w:sz w:val="24"/>
          <w:szCs w:val="24"/>
          <w:highlight w:val="none"/>
        </w:rPr>
      </w:pPr>
    </w:p>
    <w:p w14:paraId="526F3CD1">
      <w:pPr>
        <w:spacing w:line="360" w:lineRule="auto"/>
        <w:jc w:val="center"/>
        <w:rPr>
          <w:rFonts w:hint="eastAsia" w:ascii="仿宋" w:hAnsi="仿宋" w:eastAsia="仿宋" w:cs="仿宋"/>
          <w:b/>
          <w:color w:val="auto"/>
          <w:sz w:val="24"/>
          <w:szCs w:val="24"/>
          <w:highlight w:val="none"/>
        </w:rPr>
      </w:pPr>
    </w:p>
    <w:p w14:paraId="1D9089E7">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具有履行合同所必需的设备和专业技术能力的承诺</w:t>
      </w:r>
      <w:bookmarkEnd w:id="216"/>
      <w:r>
        <w:rPr>
          <w:rFonts w:hint="eastAsia" w:ascii="仿宋" w:hAnsi="仿宋" w:eastAsia="仿宋" w:cs="仿宋"/>
          <w:b/>
          <w:color w:val="auto"/>
          <w:sz w:val="24"/>
          <w:szCs w:val="24"/>
          <w:highlight w:val="none"/>
        </w:rPr>
        <w:t>函</w:t>
      </w:r>
    </w:p>
    <w:p w14:paraId="1AFB4AF6">
      <w:pPr>
        <w:adjustRightInd w:val="0"/>
        <w:snapToGrid w:val="0"/>
        <w:spacing w:line="360" w:lineRule="auto"/>
        <w:ind w:firstLine="480" w:firstLineChars="200"/>
        <w:jc w:val="center"/>
        <w:rPr>
          <w:rFonts w:hint="eastAsia" w:ascii="仿宋" w:hAnsi="仿宋" w:eastAsia="仿宋" w:cs="仿宋"/>
          <w:color w:val="auto"/>
          <w:sz w:val="24"/>
          <w:szCs w:val="24"/>
          <w:highlight w:val="none"/>
        </w:rPr>
      </w:pPr>
    </w:p>
    <w:p w14:paraId="404E18E8">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13DB202C">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4BB89F5F">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我单位郑重承诺： </w:t>
      </w:r>
    </w:p>
    <w:p w14:paraId="2B14B290">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我单位具备履行</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项目名称</w:t>
      </w:r>
      <w:r>
        <w:rPr>
          <w:rFonts w:hint="eastAsia" w:ascii="仿宋" w:hAnsi="仿宋" w:eastAsia="仿宋" w:cs="仿宋"/>
          <w:color w:val="auto"/>
          <w:kern w:val="0"/>
          <w:sz w:val="24"/>
          <w:szCs w:val="24"/>
          <w:highlight w:val="none"/>
        </w:rPr>
        <w:t>）合同所必需的设备和专业技术能力；</w:t>
      </w:r>
    </w:p>
    <w:p w14:paraId="0918A2CA">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特此承诺。 </w:t>
      </w:r>
    </w:p>
    <w:p w14:paraId="607ABC8A">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395B094F">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1B703FFD">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249B7F58">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32DE6FDD">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F6A2A2C">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496CF567">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4F914E2A">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5840E5F1">
      <w:pPr>
        <w:adjustRightInd w:val="0"/>
        <w:snapToGrid w:val="0"/>
        <w:spacing w:line="360" w:lineRule="auto"/>
        <w:rPr>
          <w:rFonts w:hint="eastAsia" w:ascii="仿宋" w:hAnsi="仿宋" w:eastAsia="仿宋" w:cs="仿宋"/>
          <w:bCs/>
          <w:color w:val="auto"/>
          <w:sz w:val="24"/>
          <w:szCs w:val="24"/>
          <w:highlight w:val="none"/>
        </w:rPr>
      </w:pPr>
    </w:p>
    <w:p w14:paraId="60AAE4A8">
      <w:pPr>
        <w:spacing w:line="360" w:lineRule="auto"/>
        <w:rPr>
          <w:rFonts w:hint="eastAsia" w:ascii="仿宋" w:hAnsi="仿宋" w:eastAsia="仿宋" w:cs="仿宋"/>
          <w:color w:val="auto"/>
          <w:sz w:val="24"/>
          <w:szCs w:val="24"/>
          <w:highlight w:val="none"/>
        </w:rPr>
      </w:pPr>
    </w:p>
    <w:p w14:paraId="3A97193D">
      <w:pPr>
        <w:spacing w:line="360" w:lineRule="auto"/>
        <w:rPr>
          <w:rFonts w:hint="eastAsia" w:ascii="仿宋" w:hAnsi="仿宋" w:eastAsia="仿宋" w:cs="仿宋"/>
          <w:color w:val="auto"/>
          <w:sz w:val="24"/>
          <w:szCs w:val="24"/>
          <w:highlight w:val="none"/>
        </w:rPr>
      </w:pPr>
    </w:p>
    <w:p w14:paraId="576FDC27">
      <w:pPr>
        <w:spacing w:line="360" w:lineRule="auto"/>
        <w:rPr>
          <w:rFonts w:hint="eastAsia" w:ascii="仿宋" w:hAnsi="仿宋" w:eastAsia="仿宋" w:cs="仿宋"/>
          <w:color w:val="auto"/>
          <w:sz w:val="24"/>
          <w:szCs w:val="24"/>
          <w:highlight w:val="none"/>
        </w:rPr>
      </w:pPr>
    </w:p>
    <w:p w14:paraId="3026A1F9">
      <w:pPr>
        <w:spacing w:line="360" w:lineRule="auto"/>
        <w:rPr>
          <w:rFonts w:hint="eastAsia" w:ascii="仿宋" w:hAnsi="仿宋" w:eastAsia="仿宋" w:cs="仿宋"/>
          <w:color w:val="auto"/>
          <w:sz w:val="24"/>
          <w:szCs w:val="24"/>
          <w:highlight w:val="none"/>
        </w:rPr>
      </w:pPr>
    </w:p>
    <w:p w14:paraId="65DAD9FE">
      <w:pPr>
        <w:spacing w:line="360" w:lineRule="auto"/>
        <w:rPr>
          <w:rFonts w:hint="eastAsia" w:ascii="仿宋" w:hAnsi="仿宋" w:eastAsia="仿宋" w:cs="仿宋"/>
          <w:color w:val="auto"/>
          <w:sz w:val="24"/>
          <w:szCs w:val="24"/>
          <w:highlight w:val="none"/>
        </w:rPr>
      </w:pPr>
    </w:p>
    <w:p w14:paraId="45B10340">
      <w:pPr>
        <w:spacing w:line="360" w:lineRule="auto"/>
        <w:rPr>
          <w:rFonts w:hint="eastAsia" w:ascii="仿宋" w:hAnsi="仿宋" w:eastAsia="仿宋" w:cs="仿宋"/>
          <w:color w:val="auto"/>
          <w:sz w:val="24"/>
          <w:szCs w:val="24"/>
          <w:highlight w:val="none"/>
        </w:rPr>
      </w:pPr>
    </w:p>
    <w:p w14:paraId="0A335200">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bookmarkStart w:id="227" w:name="_Toc1561"/>
      <w:bookmarkStart w:id="228" w:name="_Toc29127"/>
      <w:bookmarkStart w:id="229" w:name="_Toc19260"/>
      <w:bookmarkStart w:id="230" w:name="_Toc17656"/>
      <w:bookmarkStart w:id="231" w:name="_Toc12824"/>
      <w:bookmarkStart w:id="232" w:name="_Toc27933"/>
      <w:bookmarkStart w:id="233" w:name="_Toc9795"/>
      <w:bookmarkStart w:id="234" w:name="_Toc12742"/>
      <w:bookmarkStart w:id="235" w:name="_Toc141050518"/>
      <w:bookmarkStart w:id="236" w:name="_Toc1350"/>
      <w:bookmarkStart w:id="237" w:name="_Toc9901"/>
      <w:bookmarkStart w:id="238" w:name="_Toc24529"/>
      <w:bookmarkStart w:id="239" w:name="_Toc128476881"/>
      <w:bookmarkStart w:id="240" w:name="_Toc130252625"/>
      <w:bookmarkStart w:id="241" w:name="_Toc16035"/>
      <w:bookmarkStart w:id="242" w:name="_Toc154"/>
      <w:bookmarkStart w:id="243" w:name="_Toc14597"/>
      <w:bookmarkStart w:id="244" w:name="_Toc12060"/>
      <w:bookmarkStart w:id="245" w:name="_Toc26981"/>
      <w:bookmarkStart w:id="246" w:name="_Toc31613"/>
      <w:bookmarkStart w:id="247" w:name="_Toc113901852"/>
      <w:bookmarkStart w:id="248" w:name="_Toc11392"/>
      <w:bookmarkStart w:id="249" w:name="_Toc18553"/>
      <w:bookmarkStart w:id="250" w:name="_Toc18019"/>
      <w:bookmarkStart w:id="251" w:name="_Toc5472"/>
      <w:bookmarkStart w:id="252" w:name="_Toc9960"/>
      <w:bookmarkStart w:id="253" w:name="_Toc7293"/>
      <w:bookmarkStart w:id="254" w:name="_Toc111556490"/>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.4 参加政府采购活动前3年内在经营活动中没有重大违法记录的书面声明</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bookmarkEnd w:id="254"/>
    <w:p w14:paraId="7B26FBFE">
      <w:pPr>
        <w:widowControl/>
        <w:adjustRightInd w:val="0"/>
        <w:snapToGrid w:val="0"/>
        <w:spacing w:line="360" w:lineRule="auto"/>
        <w:rPr>
          <w:rFonts w:hint="eastAsia" w:ascii="仿宋" w:hAnsi="仿宋" w:eastAsia="仿宋" w:cs="仿宋"/>
          <w:color w:val="auto"/>
          <w:sz w:val="24"/>
          <w:szCs w:val="24"/>
          <w:highlight w:val="none"/>
        </w:rPr>
      </w:pPr>
    </w:p>
    <w:p w14:paraId="65630E1C">
      <w:pPr>
        <w:widowControl/>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参加政府采购活动前3年内在经营活动中没有重大违法记录的书面声明</w:t>
      </w:r>
    </w:p>
    <w:p w14:paraId="0B39696B">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4E6D1B5E">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7FE09689">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54DA2034">
      <w:pPr>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我单位在参与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lang w:eastAsia="zh-CN"/>
        </w:rPr>
        <w:t>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前三年内（以</w:t>
      </w:r>
      <w:r>
        <w:rPr>
          <w:rFonts w:hint="eastAsia" w:ascii="仿宋" w:hAnsi="仿宋" w:eastAsia="仿宋" w:cs="仿宋"/>
          <w:color w:val="auto"/>
          <w:sz w:val="24"/>
          <w:szCs w:val="24"/>
          <w:highlight w:val="none"/>
        </w:rPr>
        <w:t>投标文件递交截止之日为期限</w:t>
      </w:r>
      <w:r>
        <w:rPr>
          <w:rFonts w:hint="eastAsia" w:ascii="仿宋" w:hAnsi="仿宋" w:eastAsia="仿宋" w:cs="仿宋"/>
          <w:color w:val="auto"/>
          <w:kern w:val="0"/>
          <w:sz w:val="24"/>
          <w:szCs w:val="24"/>
          <w:highlight w:val="none"/>
        </w:rPr>
        <w:t>）在经营活动中没有重大违法记录。</w:t>
      </w:r>
    </w:p>
    <w:p w14:paraId="6A8914B7">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若贵方在本项目采购过程中发现我方参加政府采购活动前三年内有重大违法记录；</w:t>
      </w:r>
      <w:r>
        <w:rPr>
          <w:rFonts w:hint="eastAsia" w:ascii="仿宋" w:hAnsi="仿宋" w:eastAsia="仿宋" w:cs="仿宋"/>
          <w:color w:val="auto"/>
          <w:kern w:val="0"/>
          <w:sz w:val="24"/>
          <w:szCs w:val="24"/>
          <w:highlight w:val="none"/>
        </w:rPr>
        <w:t>我单位</w:t>
      </w:r>
      <w:r>
        <w:rPr>
          <w:rFonts w:hint="eastAsia" w:ascii="仿宋" w:hAnsi="仿宋" w:eastAsia="仿宋" w:cs="仿宋"/>
          <w:color w:val="auto"/>
          <w:sz w:val="24"/>
          <w:szCs w:val="24"/>
          <w:highlight w:val="none"/>
        </w:rPr>
        <w:t>将无条件退出本项目的投标，并承担因此引起的一切后果。我方对此声明负全部法律责任。</w:t>
      </w:r>
    </w:p>
    <w:p w14:paraId="00C6CD1A">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1C00DEBF">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261F0BE6">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423C376B">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备注：</w:t>
      </w:r>
    </w:p>
    <w:p w14:paraId="5B1CC9CC">
      <w:pPr>
        <w:adjustRightInd w:val="0"/>
        <w:snapToGrid w:val="0"/>
        <w:spacing w:line="360" w:lineRule="auto"/>
        <w:ind w:firstLine="420" w:firstLineChars="200"/>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t>若投标人在投标文件递交截止之日成立时间不足三年，以自成立以来的时间计取。</w:t>
      </w:r>
    </w:p>
    <w:p w14:paraId="4B3DADCD">
      <w:pPr>
        <w:adjustRightInd w:val="0"/>
        <w:snapToGrid w:val="0"/>
        <w:spacing w:line="360" w:lineRule="auto"/>
        <w:ind w:firstLine="480" w:firstLineChars="200"/>
        <w:rPr>
          <w:rFonts w:hint="eastAsia" w:ascii="仿宋" w:hAnsi="仿宋" w:eastAsia="仿宋" w:cs="仿宋"/>
          <w:color w:val="auto"/>
          <w:kern w:val="0"/>
          <w:sz w:val="24"/>
          <w:szCs w:val="24"/>
          <w:highlight w:val="none"/>
        </w:rPr>
      </w:pPr>
    </w:p>
    <w:p w14:paraId="0D0C24EC">
      <w:pPr>
        <w:adjustRightInd w:val="0"/>
        <w:snapToGrid w:val="0"/>
        <w:spacing w:line="360" w:lineRule="auto"/>
        <w:ind w:firstLine="3112" w:firstLineChars="1297"/>
        <w:rPr>
          <w:rFonts w:hint="eastAsia" w:ascii="仿宋" w:hAnsi="仿宋" w:eastAsia="仿宋" w:cs="仿宋"/>
          <w:color w:val="auto"/>
          <w:sz w:val="24"/>
          <w:szCs w:val="24"/>
          <w:highlight w:val="none"/>
        </w:rPr>
      </w:pPr>
    </w:p>
    <w:p w14:paraId="261B3E9D">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3253738">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12067059">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4D0F9561">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2F6AD998">
      <w:pPr>
        <w:widowControl/>
        <w:shd w:val="clear" w:color="auto" w:fill="FFFFFF"/>
        <w:snapToGrid w:val="0"/>
        <w:spacing w:line="360" w:lineRule="auto"/>
        <w:ind w:firstLine="420"/>
        <w:rPr>
          <w:rFonts w:hint="eastAsia" w:ascii="仿宋" w:hAnsi="仿宋" w:eastAsia="仿宋" w:cs="仿宋"/>
          <w:color w:val="auto"/>
          <w:kern w:val="0"/>
          <w:sz w:val="24"/>
          <w:szCs w:val="24"/>
          <w:highlight w:val="none"/>
        </w:rPr>
      </w:pPr>
    </w:p>
    <w:p w14:paraId="53863443">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255" w:name="_Toc113901853"/>
      <w:bookmarkStart w:id="256" w:name="_Toc6424"/>
      <w:bookmarkStart w:id="257" w:name="_Toc25108"/>
      <w:bookmarkStart w:id="258" w:name="_Toc4675"/>
      <w:bookmarkStart w:id="259" w:name="_Toc26082"/>
      <w:bookmarkStart w:id="260" w:name="_Toc141050519"/>
      <w:bookmarkStart w:id="261" w:name="_Toc8192"/>
      <w:bookmarkStart w:id="262" w:name="_Toc28411"/>
      <w:bookmarkStart w:id="263" w:name="_Toc13701"/>
      <w:bookmarkStart w:id="264" w:name="_Toc9385"/>
      <w:bookmarkStart w:id="265" w:name="_Toc14380"/>
      <w:bookmarkStart w:id="266" w:name="_Toc30447"/>
      <w:bookmarkStart w:id="267" w:name="_Toc30930"/>
      <w:bookmarkStart w:id="268" w:name="_Toc130252626"/>
      <w:bookmarkStart w:id="269" w:name="_Toc9134"/>
      <w:bookmarkStart w:id="270" w:name="_Toc31144"/>
      <w:bookmarkStart w:id="271" w:name="_Toc23676"/>
      <w:bookmarkStart w:id="272" w:name="_Toc8673"/>
      <w:bookmarkStart w:id="273" w:name="_Toc3183"/>
      <w:bookmarkStart w:id="274" w:name="_Toc12590"/>
      <w:bookmarkStart w:id="275" w:name="_Toc24660"/>
      <w:bookmarkStart w:id="276" w:name="_Toc13030"/>
      <w:bookmarkStart w:id="277" w:name="_Toc17488"/>
      <w:bookmarkStart w:id="278" w:name="_Toc313"/>
      <w:bookmarkStart w:id="279" w:name="_Toc11552"/>
      <w:bookmarkStart w:id="280" w:name="_Toc128476882"/>
      <w:bookmarkStart w:id="281" w:name="_Toc31380"/>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.5 具备法律、行政法规规定的其他条件的证明材料</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3FD0712E">
      <w:pPr>
        <w:widowControl/>
        <w:adjustRightInd w:val="0"/>
        <w:snapToGrid w:val="0"/>
        <w:spacing w:line="360" w:lineRule="auto"/>
        <w:rPr>
          <w:rFonts w:hint="eastAsia" w:ascii="仿宋" w:hAnsi="仿宋" w:eastAsia="仿宋" w:cs="仿宋"/>
          <w:color w:val="auto"/>
          <w:sz w:val="24"/>
          <w:szCs w:val="24"/>
          <w:highlight w:val="none"/>
        </w:rPr>
      </w:pPr>
    </w:p>
    <w:p w14:paraId="1EB0026C">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一、国家有关主管部门的行政许可（如有时）。</w:t>
      </w:r>
    </w:p>
    <w:p w14:paraId="1D623404">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二、中小企业声明函/残疾人福利性单位声明函/监狱企业证明文件（如有时）。</w:t>
      </w:r>
    </w:p>
    <w:p w14:paraId="0BC65008">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886E2C4">
      <w:pPr>
        <w:widowControl/>
        <w:spacing w:line="360" w:lineRule="auto"/>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附件一、                  </w:t>
      </w:r>
    </w:p>
    <w:p w14:paraId="129F010E">
      <w:pPr>
        <w:spacing w:line="588" w:lineRule="exact"/>
        <w:jc w:val="center"/>
        <w:rPr>
          <w:rFonts w:hint="eastAsia" w:ascii="仿宋" w:hAnsi="仿宋" w:eastAsia="仿宋" w:cs="仿宋"/>
          <w:b/>
          <w:color w:val="auto"/>
          <w:spacing w:val="6"/>
          <w:sz w:val="24"/>
          <w:szCs w:val="24"/>
          <w:highlight w:val="none"/>
        </w:rPr>
      </w:pPr>
    </w:p>
    <w:p w14:paraId="4083A5A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p>
    <w:p w14:paraId="4A2D8125">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中小企业声明函（工程、服务）</w:t>
      </w:r>
    </w:p>
    <w:p w14:paraId="04FF763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p>
    <w:p w14:paraId="1B827860">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（联合体）</w:t>
      </w:r>
      <w:r>
        <w:rPr>
          <w:rFonts w:hint="eastAsia" w:ascii="仿宋" w:hAnsi="仿宋" w:eastAsia="仿宋" w:cs="仿宋"/>
          <w:color w:val="auto"/>
          <w:kern w:val="0"/>
          <w:sz w:val="24"/>
          <w:szCs w:val="24"/>
          <w:highlight w:val="none"/>
          <w:shd w:val="clear" w:color="auto" w:fill="FFFFFF" w:themeFill="background1"/>
        </w:rPr>
        <w:t>参加</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（单位名称）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2931FAB9">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w:t>
      </w:r>
      <w:r>
        <w:rPr>
          <w:rFonts w:hint="eastAsia" w:ascii="仿宋" w:hAnsi="仿宋" w:eastAsia="仿宋" w:cs="仿宋"/>
          <w:color w:val="auto"/>
          <w:kern w:val="0"/>
          <w:sz w:val="24"/>
          <w:szCs w:val="24"/>
          <w:highlight w:val="none"/>
          <w:u w:val="single"/>
          <w:shd w:val="clear" w:color="auto" w:fill="FFFFFF" w:themeFill="background1"/>
          <w:lang w:eastAsia="zh-CN"/>
        </w:rPr>
        <w:t>招标文件</w:t>
      </w:r>
      <w:r>
        <w:rPr>
          <w:rFonts w:hint="eastAsia" w:ascii="仿宋" w:hAnsi="仿宋" w:eastAsia="仿宋" w:cs="仿宋"/>
          <w:color w:val="auto"/>
          <w:kern w:val="0"/>
          <w:sz w:val="24"/>
          <w:szCs w:val="24"/>
          <w:highlight w:val="none"/>
          <w:u w:val="single"/>
          <w:shd w:val="clear" w:color="auto" w:fill="FFFFFF" w:themeFill="background1"/>
        </w:rPr>
        <w:t>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78FA3730">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2.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w:t>
      </w:r>
      <w:r>
        <w:rPr>
          <w:rFonts w:hint="eastAsia" w:ascii="仿宋" w:hAnsi="仿宋" w:eastAsia="仿宋" w:cs="仿宋"/>
          <w:color w:val="auto"/>
          <w:kern w:val="0"/>
          <w:sz w:val="24"/>
          <w:szCs w:val="24"/>
          <w:highlight w:val="none"/>
          <w:u w:val="single"/>
          <w:shd w:val="clear" w:color="auto" w:fill="FFFFFF" w:themeFill="background1"/>
          <w:lang w:eastAsia="zh-CN"/>
        </w:rPr>
        <w:t>招标文件</w:t>
      </w:r>
      <w:r>
        <w:rPr>
          <w:rFonts w:hint="eastAsia" w:ascii="仿宋" w:hAnsi="仿宋" w:eastAsia="仿宋" w:cs="仿宋"/>
          <w:color w:val="auto"/>
          <w:kern w:val="0"/>
          <w:sz w:val="24"/>
          <w:szCs w:val="24"/>
          <w:highlight w:val="none"/>
          <w:u w:val="single"/>
          <w:shd w:val="clear" w:color="auto" w:fill="FFFFFF" w:themeFill="background1"/>
        </w:rPr>
        <w:t>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32354ABD">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w:t>
      </w:r>
    </w:p>
    <w:p w14:paraId="3F3CDEBD">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以上企业，不属于大企业的分支机构，不存在控股股东为大企业的情形，也不存在与大企业的负责人为同一人的情形。</w:t>
      </w:r>
    </w:p>
    <w:p w14:paraId="0D20FDB8">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本企业对上述声明内容的真实性负责。如有虚假，将依法承担相应责任。</w:t>
      </w:r>
    </w:p>
    <w:p w14:paraId="330832B3">
      <w:pPr>
        <w:keepLines w:val="0"/>
        <w:pageBreakBefore w:val="0"/>
        <w:kinsoku/>
        <w:overflowPunct/>
        <w:topLinePunct w:val="0"/>
        <w:bidi w:val="0"/>
        <w:spacing w:beforeAutospacing="0" w:afterAutospacing="0" w:line="360" w:lineRule="auto"/>
        <w:ind w:firstLine="480" w:firstLineChars="200"/>
        <w:jc w:val="right"/>
        <w:textAlignment w:val="auto"/>
        <w:rPr>
          <w:rFonts w:hint="eastAsia" w:ascii="仿宋" w:hAnsi="仿宋" w:eastAsia="仿宋" w:cs="仿宋"/>
          <w:color w:val="auto"/>
          <w:kern w:val="0"/>
          <w:sz w:val="24"/>
          <w:szCs w:val="24"/>
          <w:highlight w:val="none"/>
          <w:shd w:val="clear" w:color="auto" w:fill="FFFFFF" w:themeFill="background1"/>
        </w:rPr>
      </w:pPr>
    </w:p>
    <w:p w14:paraId="3CEB9419">
      <w:pPr>
        <w:keepLines w:val="0"/>
        <w:pageBreakBefore w:val="0"/>
        <w:kinsoku/>
        <w:overflowPunct/>
        <w:topLinePunct w:val="0"/>
        <w:bidi w:val="0"/>
        <w:spacing w:beforeAutospacing="0" w:afterAutospacing="0" w:line="360" w:lineRule="auto"/>
        <w:ind w:firstLine="480" w:firstLineChars="200"/>
        <w:jc w:val="center"/>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企业名称（盖章）：</w:t>
      </w:r>
    </w:p>
    <w:p w14:paraId="0572A425">
      <w:pPr>
        <w:keepLines w:val="0"/>
        <w:pageBreakBefore w:val="0"/>
        <w:kinsoku/>
        <w:overflowPunct/>
        <w:topLinePunct w:val="0"/>
        <w:bidi w:val="0"/>
        <w:spacing w:beforeAutospacing="0" w:afterAutospacing="0" w:line="360" w:lineRule="auto"/>
        <w:ind w:right="480" w:firstLine="480" w:firstLineChars="200"/>
        <w:jc w:val="center"/>
        <w:textAlignment w:val="auto"/>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日期：</w:t>
      </w:r>
    </w:p>
    <w:p w14:paraId="004503E5">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kern w:val="0"/>
          <w:sz w:val="24"/>
          <w:szCs w:val="24"/>
          <w:highlight w:val="none"/>
          <w:shd w:val="clear" w:color="auto" w:fill="FFFFFF" w:themeFill="background1"/>
        </w:rPr>
      </w:pPr>
    </w:p>
    <w:p w14:paraId="5DEF44BA">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4"/>
          <w:szCs w:val="24"/>
          <w:highlight w:val="none"/>
          <w:shd w:val="clear" w:color="auto" w:fill="FFFFFF" w:themeFill="background1"/>
        </w:rPr>
        <w:t>注：人员、营业收入、资产总额填报上一年度数据，无上一年度数据的新成立企业可不填报。</w:t>
      </w:r>
      <w:r>
        <w:rPr>
          <w:rFonts w:hint="eastAsia" w:ascii="仿宋" w:hAnsi="仿宋" w:eastAsia="仿宋" w:cs="仿宋"/>
          <w:color w:val="auto"/>
          <w:highlight w:val="none"/>
        </w:rPr>
        <w:br w:type="page"/>
      </w:r>
    </w:p>
    <w:p w14:paraId="3DCC91F3">
      <w:pPr>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附件二、</w:t>
      </w:r>
    </w:p>
    <w:p w14:paraId="3768BD99">
      <w:pPr>
        <w:spacing w:line="360" w:lineRule="auto"/>
        <w:jc w:val="center"/>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残疾人福利性单位声明函</w:t>
      </w:r>
    </w:p>
    <w:p w14:paraId="055EDA06">
      <w:pPr>
        <w:spacing w:line="360" w:lineRule="auto"/>
        <w:rPr>
          <w:rFonts w:hint="eastAsia" w:ascii="仿宋" w:hAnsi="仿宋" w:eastAsia="仿宋" w:cs="仿宋"/>
          <w:b/>
          <w:color w:val="auto"/>
          <w:spacing w:val="6"/>
          <w:sz w:val="24"/>
          <w:szCs w:val="24"/>
          <w:highlight w:val="none"/>
        </w:rPr>
      </w:pPr>
    </w:p>
    <w:p w14:paraId="38289FE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〔2017〕 141</w:t>
      </w:r>
      <w:r>
        <w:rPr>
          <w:rFonts w:hint="eastAsia" w:ascii="仿宋" w:hAnsi="仿宋" w:eastAsia="仿宋" w:cs="仿宋"/>
          <w:color w:val="auto"/>
          <w:spacing w:val="6"/>
          <w:sz w:val="24"/>
          <w:szCs w:val="24"/>
          <w:highlight w:val="none"/>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0DD15BF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17AF22B0">
      <w:pPr>
        <w:spacing w:line="360" w:lineRule="auto"/>
        <w:ind w:firstLine="504" w:firstLineChars="200"/>
        <w:rPr>
          <w:rFonts w:hint="eastAsia" w:ascii="仿宋" w:hAnsi="仿宋" w:eastAsia="仿宋" w:cs="仿宋"/>
          <w:color w:val="auto"/>
          <w:spacing w:val="6"/>
          <w:sz w:val="24"/>
          <w:szCs w:val="24"/>
          <w:highlight w:val="none"/>
        </w:rPr>
      </w:pPr>
    </w:p>
    <w:p w14:paraId="68C252A6">
      <w:pPr>
        <w:spacing w:line="360" w:lineRule="auto"/>
        <w:ind w:firstLine="504" w:firstLineChars="200"/>
        <w:rPr>
          <w:rFonts w:hint="eastAsia" w:ascii="仿宋" w:hAnsi="仿宋" w:eastAsia="仿宋" w:cs="仿宋"/>
          <w:color w:val="auto"/>
          <w:spacing w:val="6"/>
          <w:sz w:val="24"/>
          <w:szCs w:val="24"/>
          <w:highlight w:val="none"/>
        </w:rPr>
      </w:pPr>
    </w:p>
    <w:p w14:paraId="56692212">
      <w:pPr>
        <w:tabs>
          <w:tab w:val="left" w:pos="4860"/>
        </w:tabs>
        <w:spacing w:line="360" w:lineRule="auto"/>
        <w:ind w:right="1560"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单位名称（盖章）：</w:t>
      </w:r>
    </w:p>
    <w:p w14:paraId="7C0357D1">
      <w:pP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日  期：</w:t>
      </w:r>
    </w:p>
    <w:p w14:paraId="1DE3A8E0">
      <w:pPr>
        <w:spacing w:line="360" w:lineRule="auto"/>
        <w:rPr>
          <w:rFonts w:hint="eastAsia" w:ascii="仿宋" w:hAnsi="仿宋" w:eastAsia="仿宋" w:cs="仿宋"/>
          <w:color w:val="auto"/>
          <w:sz w:val="24"/>
          <w:szCs w:val="24"/>
          <w:highlight w:val="none"/>
        </w:rPr>
      </w:pPr>
    </w:p>
    <w:p w14:paraId="37A252F7">
      <w:pPr>
        <w:spacing w:line="360" w:lineRule="auto"/>
        <w:rPr>
          <w:rFonts w:hint="eastAsia" w:ascii="仿宋" w:hAnsi="仿宋" w:eastAsia="仿宋" w:cs="仿宋"/>
          <w:color w:val="auto"/>
          <w:sz w:val="24"/>
          <w:szCs w:val="24"/>
          <w:highlight w:val="none"/>
        </w:rPr>
      </w:pPr>
    </w:p>
    <w:p w14:paraId="3E1659EA">
      <w:pPr>
        <w:spacing w:line="360" w:lineRule="auto"/>
        <w:rPr>
          <w:rFonts w:hint="eastAsia" w:ascii="仿宋" w:hAnsi="仿宋" w:eastAsia="仿宋" w:cs="仿宋"/>
          <w:color w:val="auto"/>
          <w:sz w:val="24"/>
          <w:szCs w:val="24"/>
          <w:highlight w:val="none"/>
        </w:rPr>
      </w:pPr>
    </w:p>
    <w:p w14:paraId="5C43ABEF">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附件三、</w:t>
      </w:r>
    </w:p>
    <w:p w14:paraId="02593EC9">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b/>
          <w:color w:val="auto"/>
          <w:kern w:val="0"/>
          <w:sz w:val="24"/>
          <w:szCs w:val="24"/>
          <w:highlight w:val="none"/>
        </w:rPr>
        <w:t>监狱企业证明文件</w:t>
      </w:r>
    </w:p>
    <w:p w14:paraId="43CA88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监狱企业参加政府采购活动时，应当提供由省级以上监狱管理局、戒毒管理局（含新疆生产建设兵团）出具的属于监狱企业的证明文件。</w:t>
      </w:r>
    </w:p>
    <w:p w14:paraId="04C44AF9">
      <w:pPr>
        <w:widowControl/>
        <w:adjustRightInd w:val="0"/>
        <w:snapToGrid w:val="0"/>
        <w:spacing w:line="360" w:lineRule="auto"/>
        <w:rPr>
          <w:rFonts w:hint="eastAsia" w:ascii="仿宋" w:hAnsi="仿宋" w:eastAsia="仿宋" w:cs="仿宋"/>
          <w:color w:val="auto"/>
          <w:sz w:val="24"/>
          <w:szCs w:val="24"/>
          <w:highlight w:val="none"/>
        </w:rPr>
      </w:pPr>
    </w:p>
    <w:p w14:paraId="47D55BF7">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282" w:name="_Toc18236"/>
      <w:bookmarkStart w:id="283" w:name="_Toc25402"/>
      <w:bookmarkStart w:id="284" w:name="_Toc130252627"/>
      <w:bookmarkStart w:id="285" w:name="_Toc109941772"/>
      <w:bookmarkStart w:id="286" w:name="_Toc109921165"/>
      <w:bookmarkStart w:id="287" w:name="_Toc27167"/>
      <w:bookmarkStart w:id="288" w:name="_Toc110707972"/>
      <w:bookmarkStart w:id="289" w:name="_Toc20402"/>
      <w:bookmarkStart w:id="290" w:name="_Toc21684"/>
      <w:r>
        <w:rPr>
          <w:rFonts w:hint="eastAsia" w:ascii="仿宋" w:hAnsi="仿宋" w:eastAsia="仿宋" w:cs="仿宋"/>
          <w:b/>
          <w:color w:val="auto"/>
          <w:sz w:val="24"/>
          <w:szCs w:val="24"/>
          <w:highlight w:val="none"/>
          <w:lang w:val="en-US" w:eastAsia="zh-CN"/>
        </w:rPr>
        <w:t>九</w:t>
      </w:r>
      <w:r>
        <w:rPr>
          <w:rFonts w:hint="eastAsia" w:ascii="仿宋" w:hAnsi="仿宋" w:eastAsia="仿宋" w:cs="仿宋"/>
          <w:b/>
          <w:color w:val="auto"/>
          <w:sz w:val="24"/>
          <w:szCs w:val="24"/>
          <w:highlight w:val="none"/>
        </w:rPr>
        <w:t>、投标人近年类似项目情况表</w:t>
      </w:r>
      <w:bookmarkEnd w:id="282"/>
      <w:bookmarkEnd w:id="283"/>
      <w:bookmarkEnd w:id="284"/>
      <w:bookmarkEnd w:id="285"/>
      <w:bookmarkEnd w:id="286"/>
      <w:bookmarkEnd w:id="287"/>
      <w:bookmarkEnd w:id="288"/>
      <w:bookmarkEnd w:id="289"/>
      <w:bookmarkEnd w:id="290"/>
    </w:p>
    <w:p w14:paraId="08378AFD">
      <w:pPr>
        <w:spacing w:line="360" w:lineRule="auto"/>
        <w:jc w:val="left"/>
        <w:rPr>
          <w:rFonts w:hint="eastAsia" w:ascii="仿宋" w:hAnsi="仿宋" w:eastAsia="仿宋" w:cs="仿宋"/>
          <w:color w:val="auto"/>
          <w:sz w:val="24"/>
          <w:szCs w:val="24"/>
          <w:highlight w:val="none"/>
        </w:rPr>
      </w:pPr>
    </w:p>
    <w:tbl>
      <w:tblPr>
        <w:tblStyle w:val="3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33"/>
        <w:gridCol w:w="963"/>
        <w:gridCol w:w="1922"/>
        <w:gridCol w:w="1212"/>
        <w:gridCol w:w="1232"/>
        <w:gridCol w:w="1232"/>
        <w:gridCol w:w="795"/>
      </w:tblGrid>
      <w:tr w14:paraId="2C267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401CCBE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233" w:type="dxa"/>
            <w:shd w:val="clear" w:color="auto" w:fill="auto"/>
          </w:tcPr>
          <w:p w14:paraId="7F61E8C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p>
        </w:tc>
        <w:tc>
          <w:tcPr>
            <w:tcW w:w="963" w:type="dxa"/>
            <w:shd w:val="clear" w:color="auto" w:fill="auto"/>
          </w:tcPr>
          <w:p w14:paraId="5E4D52A4">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w:t>
            </w:r>
          </w:p>
        </w:tc>
        <w:tc>
          <w:tcPr>
            <w:tcW w:w="1922" w:type="dxa"/>
            <w:shd w:val="clear" w:color="auto" w:fill="auto"/>
          </w:tcPr>
          <w:p w14:paraId="417C2762">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采购人联系方式</w:t>
            </w:r>
          </w:p>
        </w:tc>
        <w:tc>
          <w:tcPr>
            <w:tcW w:w="1212" w:type="dxa"/>
            <w:shd w:val="clear" w:color="auto" w:fill="auto"/>
          </w:tcPr>
          <w:p w14:paraId="0F3D6F2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合同内容</w:t>
            </w:r>
          </w:p>
        </w:tc>
        <w:tc>
          <w:tcPr>
            <w:tcW w:w="1232" w:type="dxa"/>
            <w:shd w:val="clear" w:color="auto" w:fill="auto"/>
          </w:tcPr>
          <w:p w14:paraId="03C8A4B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合同价格</w:t>
            </w:r>
          </w:p>
        </w:tc>
        <w:tc>
          <w:tcPr>
            <w:tcW w:w="1232" w:type="dxa"/>
            <w:shd w:val="clear" w:color="auto" w:fill="auto"/>
          </w:tcPr>
          <w:p w14:paraId="3C3BA91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签约日期</w:t>
            </w:r>
          </w:p>
        </w:tc>
        <w:tc>
          <w:tcPr>
            <w:tcW w:w="795" w:type="dxa"/>
            <w:shd w:val="clear" w:color="auto" w:fill="auto"/>
          </w:tcPr>
          <w:p w14:paraId="516D8891">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611EF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10D659B">
            <w:pPr>
              <w:rPr>
                <w:rFonts w:hint="eastAsia" w:ascii="仿宋" w:hAnsi="仿宋" w:eastAsia="仿宋" w:cs="仿宋"/>
                <w:color w:val="auto"/>
                <w:kern w:val="0"/>
                <w:sz w:val="24"/>
                <w:szCs w:val="24"/>
                <w:highlight w:val="none"/>
              </w:rPr>
            </w:pPr>
          </w:p>
        </w:tc>
        <w:tc>
          <w:tcPr>
            <w:tcW w:w="1233" w:type="dxa"/>
            <w:shd w:val="clear" w:color="auto" w:fill="auto"/>
          </w:tcPr>
          <w:p w14:paraId="342CCFEC">
            <w:pPr>
              <w:rPr>
                <w:rFonts w:hint="eastAsia" w:ascii="仿宋" w:hAnsi="仿宋" w:eastAsia="仿宋" w:cs="仿宋"/>
                <w:color w:val="auto"/>
                <w:kern w:val="0"/>
                <w:sz w:val="24"/>
                <w:szCs w:val="24"/>
                <w:highlight w:val="none"/>
              </w:rPr>
            </w:pPr>
          </w:p>
        </w:tc>
        <w:tc>
          <w:tcPr>
            <w:tcW w:w="963" w:type="dxa"/>
            <w:shd w:val="clear" w:color="auto" w:fill="auto"/>
          </w:tcPr>
          <w:p w14:paraId="5C392A9F">
            <w:pPr>
              <w:rPr>
                <w:rFonts w:hint="eastAsia" w:ascii="仿宋" w:hAnsi="仿宋" w:eastAsia="仿宋" w:cs="仿宋"/>
                <w:color w:val="auto"/>
                <w:kern w:val="0"/>
                <w:sz w:val="24"/>
                <w:szCs w:val="24"/>
                <w:highlight w:val="none"/>
              </w:rPr>
            </w:pPr>
          </w:p>
        </w:tc>
        <w:tc>
          <w:tcPr>
            <w:tcW w:w="1922" w:type="dxa"/>
            <w:shd w:val="clear" w:color="auto" w:fill="auto"/>
          </w:tcPr>
          <w:p w14:paraId="674FD75E">
            <w:pPr>
              <w:rPr>
                <w:rFonts w:hint="eastAsia" w:ascii="仿宋" w:hAnsi="仿宋" w:eastAsia="仿宋" w:cs="仿宋"/>
                <w:color w:val="auto"/>
                <w:kern w:val="0"/>
                <w:sz w:val="24"/>
                <w:szCs w:val="24"/>
                <w:highlight w:val="none"/>
              </w:rPr>
            </w:pPr>
          </w:p>
        </w:tc>
        <w:tc>
          <w:tcPr>
            <w:tcW w:w="1212" w:type="dxa"/>
            <w:shd w:val="clear" w:color="auto" w:fill="auto"/>
          </w:tcPr>
          <w:p w14:paraId="0B8790B3">
            <w:pPr>
              <w:rPr>
                <w:rFonts w:hint="eastAsia" w:ascii="仿宋" w:hAnsi="仿宋" w:eastAsia="仿宋" w:cs="仿宋"/>
                <w:color w:val="auto"/>
                <w:kern w:val="0"/>
                <w:sz w:val="24"/>
                <w:szCs w:val="24"/>
                <w:highlight w:val="none"/>
              </w:rPr>
            </w:pPr>
          </w:p>
        </w:tc>
        <w:tc>
          <w:tcPr>
            <w:tcW w:w="1232" w:type="dxa"/>
            <w:shd w:val="clear" w:color="auto" w:fill="auto"/>
          </w:tcPr>
          <w:p w14:paraId="5DCE6D54">
            <w:pPr>
              <w:rPr>
                <w:rFonts w:hint="eastAsia" w:ascii="仿宋" w:hAnsi="仿宋" w:eastAsia="仿宋" w:cs="仿宋"/>
                <w:color w:val="auto"/>
                <w:kern w:val="0"/>
                <w:sz w:val="24"/>
                <w:szCs w:val="24"/>
                <w:highlight w:val="none"/>
              </w:rPr>
            </w:pPr>
          </w:p>
        </w:tc>
        <w:tc>
          <w:tcPr>
            <w:tcW w:w="1232" w:type="dxa"/>
            <w:shd w:val="clear" w:color="auto" w:fill="auto"/>
          </w:tcPr>
          <w:p w14:paraId="079F7D16">
            <w:pPr>
              <w:rPr>
                <w:rFonts w:hint="eastAsia" w:ascii="仿宋" w:hAnsi="仿宋" w:eastAsia="仿宋" w:cs="仿宋"/>
                <w:color w:val="auto"/>
                <w:kern w:val="0"/>
                <w:sz w:val="24"/>
                <w:szCs w:val="24"/>
                <w:highlight w:val="none"/>
              </w:rPr>
            </w:pPr>
          </w:p>
        </w:tc>
        <w:tc>
          <w:tcPr>
            <w:tcW w:w="795" w:type="dxa"/>
            <w:shd w:val="clear" w:color="auto" w:fill="auto"/>
          </w:tcPr>
          <w:p w14:paraId="4983E1C4">
            <w:pPr>
              <w:rPr>
                <w:rFonts w:hint="eastAsia" w:ascii="仿宋" w:hAnsi="仿宋" w:eastAsia="仿宋" w:cs="仿宋"/>
                <w:color w:val="auto"/>
                <w:kern w:val="0"/>
                <w:sz w:val="24"/>
                <w:szCs w:val="24"/>
                <w:highlight w:val="none"/>
              </w:rPr>
            </w:pPr>
          </w:p>
        </w:tc>
      </w:tr>
      <w:tr w14:paraId="79F18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5453BFBC">
            <w:pPr>
              <w:rPr>
                <w:rFonts w:hint="eastAsia" w:ascii="仿宋" w:hAnsi="仿宋" w:eastAsia="仿宋" w:cs="仿宋"/>
                <w:color w:val="auto"/>
                <w:kern w:val="0"/>
                <w:sz w:val="24"/>
                <w:szCs w:val="24"/>
                <w:highlight w:val="none"/>
              </w:rPr>
            </w:pPr>
          </w:p>
        </w:tc>
        <w:tc>
          <w:tcPr>
            <w:tcW w:w="1233" w:type="dxa"/>
            <w:shd w:val="clear" w:color="auto" w:fill="auto"/>
          </w:tcPr>
          <w:p w14:paraId="4E33563A">
            <w:pPr>
              <w:rPr>
                <w:rFonts w:hint="eastAsia" w:ascii="仿宋" w:hAnsi="仿宋" w:eastAsia="仿宋" w:cs="仿宋"/>
                <w:color w:val="auto"/>
                <w:kern w:val="0"/>
                <w:sz w:val="24"/>
                <w:szCs w:val="24"/>
                <w:highlight w:val="none"/>
              </w:rPr>
            </w:pPr>
          </w:p>
        </w:tc>
        <w:tc>
          <w:tcPr>
            <w:tcW w:w="963" w:type="dxa"/>
            <w:shd w:val="clear" w:color="auto" w:fill="auto"/>
          </w:tcPr>
          <w:p w14:paraId="1CF0160D">
            <w:pPr>
              <w:rPr>
                <w:rFonts w:hint="eastAsia" w:ascii="仿宋" w:hAnsi="仿宋" w:eastAsia="仿宋" w:cs="仿宋"/>
                <w:color w:val="auto"/>
                <w:kern w:val="0"/>
                <w:sz w:val="24"/>
                <w:szCs w:val="24"/>
                <w:highlight w:val="none"/>
              </w:rPr>
            </w:pPr>
          </w:p>
        </w:tc>
        <w:tc>
          <w:tcPr>
            <w:tcW w:w="1922" w:type="dxa"/>
            <w:shd w:val="clear" w:color="auto" w:fill="auto"/>
          </w:tcPr>
          <w:p w14:paraId="41C3E90D">
            <w:pPr>
              <w:rPr>
                <w:rFonts w:hint="eastAsia" w:ascii="仿宋" w:hAnsi="仿宋" w:eastAsia="仿宋" w:cs="仿宋"/>
                <w:color w:val="auto"/>
                <w:kern w:val="0"/>
                <w:sz w:val="24"/>
                <w:szCs w:val="24"/>
                <w:highlight w:val="none"/>
              </w:rPr>
            </w:pPr>
          </w:p>
        </w:tc>
        <w:tc>
          <w:tcPr>
            <w:tcW w:w="1212" w:type="dxa"/>
            <w:shd w:val="clear" w:color="auto" w:fill="auto"/>
          </w:tcPr>
          <w:p w14:paraId="4DAC3381">
            <w:pPr>
              <w:rPr>
                <w:rFonts w:hint="eastAsia" w:ascii="仿宋" w:hAnsi="仿宋" w:eastAsia="仿宋" w:cs="仿宋"/>
                <w:color w:val="auto"/>
                <w:kern w:val="0"/>
                <w:sz w:val="24"/>
                <w:szCs w:val="24"/>
                <w:highlight w:val="none"/>
              </w:rPr>
            </w:pPr>
          </w:p>
        </w:tc>
        <w:tc>
          <w:tcPr>
            <w:tcW w:w="1232" w:type="dxa"/>
            <w:shd w:val="clear" w:color="auto" w:fill="auto"/>
          </w:tcPr>
          <w:p w14:paraId="57B1C89D">
            <w:pPr>
              <w:rPr>
                <w:rFonts w:hint="eastAsia" w:ascii="仿宋" w:hAnsi="仿宋" w:eastAsia="仿宋" w:cs="仿宋"/>
                <w:color w:val="auto"/>
                <w:kern w:val="0"/>
                <w:sz w:val="24"/>
                <w:szCs w:val="24"/>
                <w:highlight w:val="none"/>
              </w:rPr>
            </w:pPr>
          </w:p>
        </w:tc>
        <w:tc>
          <w:tcPr>
            <w:tcW w:w="1232" w:type="dxa"/>
            <w:shd w:val="clear" w:color="auto" w:fill="auto"/>
          </w:tcPr>
          <w:p w14:paraId="4342D2F6">
            <w:pPr>
              <w:rPr>
                <w:rFonts w:hint="eastAsia" w:ascii="仿宋" w:hAnsi="仿宋" w:eastAsia="仿宋" w:cs="仿宋"/>
                <w:color w:val="auto"/>
                <w:kern w:val="0"/>
                <w:sz w:val="24"/>
                <w:szCs w:val="24"/>
                <w:highlight w:val="none"/>
              </w:rPr>
            </w:pPr>
          </w:p>
        </w:tc>
        <w:tc>
          <w:tcPr>
            <w:tcW w:w="795" w:type="dxa"/>
            <w:shd w:val="clear" w:color="auto" w:fill="auto"/>
          </w:tcPr>
          <w:p w14:paraId="0D751C5E">
            <w:pPr>
              <w:rPr>
                <w:rFonts w:hint="eastAsia" w:ascii="仿宋" w:hAnsi="仿宋" w:eastAsia="仿宋" w:cs="仿宋"/>
                <w:color w:val="auto"/>
                <w:kern w:val="0"/>
                <w:sz w:val="24"/>
                <w:szCs w:val="24"/>
                <w:highlight w:val="none"/>
              </w:rPr>
            </w:pPr>
          </w:p>
        </w:tc>
      </w:tr>
      <w:tr w14:paraId="5FA63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0FF5923">
            <w:pPr>
              <w:rPr>
                <w:rFonts w:hint="eastAsia" w:ascii="仿宋" w:hAnsi="仿宋" w:eastAsia="仿宋" w:cs="仿宋"/>
                <w:color w:val="auto"/>
                <w:kern w:val="0"/>
                <w:sz w:val="24"/>
                <w:szCs w:val="24"/>
                <w:highlight w:val="none"/>
              </w:rPr>
            </w:pPr>
          </w:p>
        </w:tc>
        <w:tc>
          <w:tcPr>
            <w:tcW w:w="1233" w:type="dxa"/>
            <w:shd w:val="clear" w:color="auto" w:fill="auto"/>
          </w:tcPr>
          <w:p w14:paraId="7B7939BB">
            <w:pPr>
              <w:rPr>
                <w:rFonts w:hint="eastAsia" w:ascii="仿宋" w:hAnsi="仿宋" w:eastAsia="仿宋" w:cs="仿宋"/>
                <w:color w:val="auto"/>
                <w:kern w:val="0"/>
                <w:sz w:val="24"/>
                <w:szCs w:val="24"/>
                <w:highlight w:val="none"/>
              </w:rPr>
            </w:pPr>
          </w:p>
        </w:tc>
        <w:tc>
          <w:tcPr>
            <w:tcW w:w="963" w:type="dxa"/>
            <w:shd w:val="clear" w:color="auto" w:fill="auto"/>
          </w:tcPr>
          <w:p w14:paraId="23E4D911">
            <w:pPr>
              <w:rPr>
                <w:rFonts w:hint="eastAsia" w:ascii="仿宋" w:hAnsi="仿宋" w:eastAsia="仿宋" w:cs="仿宋"/>
                <w:color w:val="auto"/>
                <w:kern w:val="0"/>
                <w:sz w:val="24"/>
                <w:szCs w:val="24"/>
                <w:highlight w:val="none"/>
              </w:rPr>
            </w:pPr>
          </w:p>
        </w:tc>
        <w:tc>
          <w:tcPr>
            <w:tcW w:w="1922" w:type="dxa"/>
            <w:shd w:val="clear" w:color="auto" w:fill="auto"/>
          </w:tcPr>
          <w:p w14:paraId="49A0A195">
            <w:pPr>
              <w:rPr>
                <w:rFonts w:hint="eastAsia" w:ascii="仿宋" w:hAnsi="仿宋" w:eastAsia="仿宋" w:cs="仿宋"/>
                <w:color w:val="auto"/>
                <w:kern w:val="0"/>
                <w:sz w:val="24"/>
                <w:szCs w:val="24"/>
                <w:highlight w:val="none"/>
              </w:rPr>
            </w:pPr>
          </w:p>
        </w:tc>
        <w:tc>
          <w:tcPr>
            <w:tcW w:w="1212" w:type="dxa"/>
            <w:shd w:val="clear" w:color="auto" w:fill="auto"/>
          </w:tcPr>
          <w:p w14:paraId="1CA62F28">
            <w:pPr>
              <w:rPr>
                <w:rFonts w:hint="eastAsia" w:ascii="仿宋" w:hAnsi="仿宋" w:eastAsia="仿宋" w:cs="仿宋"/>
                <w:color w:val="auto"/>
                <w:kern w:val="0"/>
                <w:sz w:val="24"/>
                <w:szCs w:val="24"/>
                <w:highlight w:val="none"/>
              </w:rPr>
            </w:pPr>
          </w:p>
        </w:tc>
        <w:tc>
          <w:tcPr>
            <w:tcW w:w="1232" w:type="dxa"/>
            <w:shd w:val="clear" w:color="auto" w:fill="auto"/>
          </w:tcPr>
          <w:p w14:paraId="420AF605">
            <w:pPr>
              <w:rPr>
                <w:rFonts w:hint="eastAsia" w:ascii="仿宋" w:hAnsi="仿宋" w:eastAsia="仿宋" w:cs="仿宋"/>
                <w:color w:val="auto"/>
                <w:kern w:val="0"/>
                <w:sz w:val="24"/>
                <w:szCs w:val="24"/>
                <w:highlight w:val="none"/>
              </w:rPr>
            </w:pPr>
          </w:p>
        </w:tc>
        <w:tc>
          <w:tcPr>
            <w:tcW w:w="1232" w:type="dxa"/>
            <w:shd w:val="clear" w:color="auto" w:fill="auto"/>
          </w:tcPr>
          <w:p w14:paraId="2677D9D6">
            <w:pPr>
              <w:rPr>
                <w:rFonts w:hint="eastAsia" w:ascii="仿宋" w:hAnsi="仿宋" w:eastAsia="仿宋" w:cs="仿宋"/>
                <w:color w:val="auto"/>
                <w:kern w:val="0"/>
                <w:sz w:val="24"/>
                <w:szCs w:val="24"/>
                <w:highlight w:val="none"/>
              </w:rPr>
            </w:pPr>
          </w:p>
        </w:tc>
        <w:tc>
          <w:tcPr>
            <w:tcW w:w="795" w:type="dxa"/>
            <w:shd w:val="clear" w:color="auto" w:fill="auto"/>
          </w:tcPr>
          <w:p w14:paraId="5F4327A0">
            <w:pPr>
              <w:rPr>
                <w:rFonts w:hint="eastAsia" w:ascii="仿宋" w:hAnsi="仿宋" w:eastAsia="仿宋" w:cs="仿宋"/>
                <w:color w:val="auto"/>
                <w:kern w:val="0"/>
                <w:sz w:val="24"/>
                <w:szCs w:val="24"/>
                <w:highlight w:val="none"/>
              </w:rPr>
            </w:pPr>
          </w:p>
        </w:tc>
      </w:tr>
      <w:tr w14:paraId="789AB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9BC4774">
            <w:pPr>
              <w:rPr>
                <w:rFonts w:hint="eastAsia" w:ascii="仿宋" w:hAnsi="仿宋" w:eastAsia="仿宋" w:cs="仿宋"/>
                <w:color w:val="auto"/>
                <w:kern w:val="0"/>
                <w:sz w:val="24"/>
                <w:szCs w:val="24"/>
                <w:highlight w:val="none"/>
              </w:rPr>
            </w:pPr>
          </w:p>
        </w:tc>
        <w:tc>
          <w:tcPr>
            <w:tcW w:w="1233" w:type="dxa"/>
            <w:shd w:val="clear" w:color="auto" w:fill="auto"/>
          </w:tcPr>
          <w:p w14:paraId="0D84DB1C">
            <w:pPr>
              <w:rPr>
                <w:rFonts w:hint="eastAsia" w:ascii="仿宋" w:hAnsi="仿宋" w:eastAsia="仿宋" w:cs="仿宋"/>
                <w:color w:val="auto"/>
                <w:kern w:val="0"/>
                <w:sz w:val="24"/>
                <w:szCs w:val="24"/>
                <w:highlight w:val="none"/>
              </w:rPr>
            </w:pPr>
          </w:p>
        </w:tc>
        <w:tc>
          <w:tcPr>
            <w:tcW w:w="963" w:type="dxa"/>
            <w:shd w:val="clear" w:color="auto" w:fill="auto"/>
          </w:tcPr>
          <w:p w14:paraId="143810E4">
            <w:pPr>
              <w:rPr>
                <w:rFonts w:hint="eastAsia" w:ascii="仿宋" w:hAnsi="仿宋" w:eastAsia="仿宋" w:cs="仿宋"/>
                <w:color w:val="auto"/>
                <w:kern w:val="0"/>
                <w:sz w:val="24"/>
                <w:szCs w:val="24"/>
                <w:highlight w:val="none"/>
              </w:rPr>
            </w:pPr>
          </w:p>
        </w:tc>
        <w:tc>
          <w:tcPr>
            <w:tcW w:w="1922" w:type="dxa"/>
            <w:shd w:val="clear" w:color="auto" w:fill="auto"/>
          </w:tcPr>
          <w:p w14:paraId="40D48CA5">
            <w:pPr>
              <w:rPr>
                <w:rFonts w:hint="eastAsia" w:ascii="仿宋" w:hAnsi="仿宋" w:eastAsia="仿宋" w:cs="仿宋"/>
                <w:color w:val="auto"/>
                <w:kern w:val="0"/>
                <w:sz w:val="24"/>
                <w:szCs w:val="24"/>
                <w:highlight w:val="none"/>
              </w:rPr>
            </w:pPr>
          </w:p>
        </w:tc>
        <w:tc>
          <w:tcPr>
            <w:tcW w:w="1212" w:type="dxa"/>
            <w:shd w:val="clear" w:color="auto" w:fill="auto"/>
          </w:tcPr>
          <w:p w14:paraId="65AFD767">
            <w:pPr>
              <w:rPr>
                <w:rFonts w:hint="eastAsia" w:ascii="仿宋" w:hAnsi="仿宋" w:eastAsia="仿宋" w:cs="仿宋"/>
                <w:color w:val="auto"/>
                <w:kern w:val="0"/>
                <w:sz w:val="24"/>
                <w:szCs w:val="24"/>
                <w:highlight w:val="none"/>
              </w:rPr>
            </w:pPr>
          </w:p>
        </w:tc>
        <w:tc>
          <w:tcPr>
            <w:tcW w:w="1232" w:type="dxa"/>
            <w:shd w:val="clear" w:color="auto" w:fill="auto"/>
          </w:tcPr>
          <w:p w14:paraId="252632E0">
            <w:pPr>
              <w:rPr>
                <w:rFonts w:hint="eastAsia" w:ascii="仿宋" w:hAnsi="仿宋" w:eastAsia="仿宋" w:cs="仿宋"/>
                <w:color w:val="auto"/>
                <w:kern w:val="0"/>
                <w:sz w:val="24"/>
                <w:szCs w:val="24"/>
                <w:highlight w:val="none"/>
              </w:rPr>
            </w:pPr>
          </w:p>
        </w:tc>
        <w:tc>
          <w:tcPr>
            <w:tcW w:w="1232" w:type="dxa"/>
            <w:shd w:val="clear" w:color="auto" w:fill="auto"/>
          </w:tcPr>
          <w:p w14:paraId="7AB0E314">
            <w:pPr>
              <w:rPr>
                <w:rFonts w:hint="eastAsia" w:ascii="仿宋" w:hAnsi="仿宋" w:eastAsia="仿宋" w:cs="仿宋"/>
                <w:color w:val="auto"/>
                <w:kern w:val="0"/>
                <w:sz w:val="24"/>
                <w:szCs w:val="24"/>
                <w:highlight w:val="none"/>
              </w:rPr>
            </w:pPr>
          </w:p>
        </w:tc>
        <w:tc>
          <w:tcPr>
            <w:tcW w:w="795" w:type="dxa"/>
            <w:shd w:val="clear" w:color="auto" w:fill="auto"/>
          </w:tcPr>
          <w:p w14:paraId="6CEC3F1A">
            <w:pPr>
              <w:rPr>
                <w:rFonts w:hint="eastAsia" w:ascii="仿宋" w:hAnsi="仿宋" w:eastAsia="仿宋" w:cs="仿宋"/>
                <w:color w:val="auto"/>
                <w:kern w:val="0"/>
                <w:sz w:val="24"/>
                <w:szCs w:val="24"/>
                <w:highlight w:val="none"/>
              </w:rPr>
            </w:pPr>
          </w:p>
        </w:tc>
      </w:tr>
      <w:tr w14:paraId="43553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C7B3995">
            <w:pPr>
              <w:rPr>
                <w:rFonts w:hint="eastAsia" w:ascii="仿宋" w:hAnsi="仿宋" w:eastAsia="仿宋" w:cs="仿宋"/>
                <w:color w:val="auto"/>
                <w:kern w:val="0"/>
                <w:sz w:val="24"/>
                <w:szCs w:val="24"/>
                <w:highlight w:val="none"/>
              </w:rPr>
            </w:pPr>
          </w:p>
        </w:tc>
        <w:tc>
          <w:tcPr>
            <w:tcW w:w="1233" w:type="dxa"/>
            <w:shd w:val="clear" w:color="auto" w:fill="auto"/>
          </w:tcPr>
          <w:p w14:paraId="2B7EE348">
            <w:pPr>
              <w:rPr>
                <w:rFonts w:hint="eastAsia" w:ascii="仿宋" w:hAnsi="仿宋" w:eastAsia="仿宋" w:cs="仿宋"/>
                <w:color w:val="auto"/>
                <w:kern w:val="0"/>
                <w:sz w:val="24"/>
                <w:szCs w:val="24"/>
                <w:highlight w:val="none"/>
              </w:rPr>
            </w:pPr>
          </w:p>
        </w:tc>
        <w:tc>
          <w:tcPr>
            <w:tcW w:w="963" w:type="dxa"/>
            <w:shd w:val="clear" w:color="auto" w:fill="auto"/>
          </w:tcPr>
          <w:p w14:paraId="55E26062">
            <w:pPr>
              <w:rPr>
                <w:rFonts w:hint="eastAsia" w:ascii="仿宋" w:hAnsi="仿宋" w:eastAsia="仿宋" w:cs="仿宋"/>
                <w:color w:val="auto"/>
                <w:kern w:val="0"/>
                <w:sz w:val="24"/>
                <w:szCs w:val="24"/>
                <w:highlight w:val="none"/>
              </w:rPr>
            </w:pPr>
          </w:p>
        </w:tc>
        <w:tc>
          <w:tcPr>
            <w:tcW w:w="1922" w:type="dxa"/>
            <w:shd w:val="clear" w:color="auto" w:fill="auto"/>
          </w:tcPr>
          <w:p w14:paraId="0C153CB0">
            <w:pPr>
              <w:rPr>
                <w:rFonts w:hint="eastAsia" w:ascii="仿宋" w:hAnsi="仿宋" w:eastAsia="仿宋" w:cs="仿宋"/>
                <w:color w:val="auto"/>
                <w:kern w:val="0"/>
                <w:sz w:val="24"/>
                <w:szCs w:val="24"/>
                <w:highlight w:val="none"/>
              </w:rPr>
            </w:pPr>
          </w:p>
        </w:tc>
        <w:tc>
          <w:tcPr>
            <w:tcW w:w="1212" w:type="dxa"/>
            <w:shd w:val="clear" w:color="auto" w:fill="auto"/>
          </w:tcPr>
          <w:p w14:paraId="62C63B92">
            <w:pPr>
              <w:rPr>
                <w:rFonts w:hint="eastAsia" w:ascii="仿宋" w:hAnsi="仿宋" w:eastAsia="仿宋" w:cs="仿宋"/>
                <w:color w:val="auto"/>
                <w:kern w:val="0"/>
                <w:sz w:val="24"/>
                <w:szCs w:val="24"/>
                <w:highlight w:val="none"/>
              </w:rPr>
            </w:pPr>
          </w:p>
        </w:tc>
        <w:tc>
          <w:tcPr>
            <w:tcW w:w="1232" w:type="dxa"/>
            <w:shd w:val="clear" w:color="auto" w:fill="auto"/>
          </w:tcPr>
          <w:p w14:paraId="13F7EEA6">
            <w:pPr>
              <w:rPr>
                <w:rFonts w:hint="eastAsia" w:ascii="仿宋" w:hAnsi="仿宋" w:eastAsia="仿宋" w:cs="仿宋"/>
                <w:color w:val="auto"/>
                <w:kern w:val="0"/>
                <w:sz w:val="24"/>
                <w:szCs w:val="24"/>
                <w:highlight w:val="none"/>
              </w:rPr>
            </w:pPr>
          </w:p>
        </w:tc>
        <w:tc>
          <w:tcPr>
            <w:tcW w:w="1232" w:type="dxa"/>
            <w:shd w:val="clear" w:color="auto" w:fill="auto"/>
          </w:tcPr>
          <w:p w14:paraId="12FF96CF">
            <w:pPr>
              <w:rPr>
                <w:rFonts w:hint="eastAsia" w:ascii="仿宋" w:hAnsi="仿宋" w:eastAsia="仿宋" w:cs="仿宋"/>
                <w:color w:val="auto"/>
                <w:kern w:val="0"/>
                <w:sz w:val="24"/>
                <w:szCs w:val="24"/>
                <w:highlight w:val="none"/>
              </w:rPr>
            </w:pPr>
          </w:p>
        </w:tc>
        <w:tc>
          <w:tcPr>
            <w:tcW w:w="795" w:type="dxa"/>
            <w:shd w:val="clear" w:color="auto" w:fill="auto"/>
          </w:tcPr>
          <w:p w14:paraId="03047574">
            <w:pPr>
              <w:rPr>
                <w:rFonts w:hint="eastAsia" w:ascii="仿宋" w:hAnsi="仿宋" w:eastAsia="仿宋" w:cs="仿宋"/>
                <w:color w:val="auto"/>
                <w:kern w:val="0"/>
                <w:sz w:val="24"/>
                <w:szCs w:val="24"/>
                <w:highlight w:val="none"/>
              </w:rPr>
            </w:pPr>
          </w:p>
        </w:tc>
      </w:tr>
    </w:tbl>
    <w:p w14:paraId="282B1FA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142"/>
    <w:p w14:paraId="0F23CC90">
      <w:pPr>
        <w:keepLines w:val="0"/>
        <w:pageBreakBefore w:val="0"/>
        <w:tabs>
          <w:tab w:val="center" w:pos="4832"/>
          <w:tab w:val="left" w:pos="7140"/>
        </w:tabs>
        <w:kinsoku/>
        <w:overflowPunct/>
        <w:topLinePunct w:val="0"/>
        <w:bidi w:val="0"/>
        <w:spacing w:beforeAutospacing="0" w:afterAutospacing="0" w:line="360" w:lineRule="auto"/>
        <w:jc w:val="center"/>
        <w:textAlignment w:val="auto"/>
        <w:outlineLvl w:val="1"/>
        <w:rPr>
          <w:rFonts w:hint="eastAsia" w:ascii="仿宋" w:hAnsi="仿宋" w:eastAsia="仿宋" w:cs="仿宋"/>
          <w:b/>
          <w:bCs/>
          <w:color w:val="auto"/>
          <w:sz w:val="24"/>
          <w:szCs w:val="24"/>
          <w:highlight w:val="none"/>
          <w:shd w:val="clear" w:color="auto" w:fill="FFFFFF" w:themeFill="background1"/>
        </w:rPr>
      </w:pPr>
      <w:bookmarkStart w:id="291" w:name="_Toc507586175"/>
      <w:bookmarkStart w:id="292" w:name="_Toc17068"/>
      <w:bookmarkStart w:id="293" w:name="_Toc38446480"/>
      <w:bookmarkStart w:id="294" w:name="_Toc19714"/>
      <w:bookmarkStart w:id="295" w:name="_Toc533503191"/>
      <w:bookmarkStart w:id="296" w:name="_Toc27045"/>
      <w:bookmarkStart w:id="297" w:name="_Toc18139"/>
      <w:bookmarkStart w:id="298" w:name="_Toc15641"/>
      <w:bookmarkStart w:id="299" w:name="_Toc30206"/>
      <w:bookmarkStart w:id="300" w:name="_Toc22688"/>
      <w:bookmarkStart w:id="301" w:name="_Toc60925660"/>
      <w:bookmarkStart w:id="302" w:name="_Toc130252631"/>
      <w:r>
        <w:rPr>
          <w:rFonts w:hint="eastAsia" w:ascii="仿宋" w:hAnsi="仿宋" w:eastAsia="仿宋" w:cs="仿宋"/>
          <w:b/>
          <w:color w:val="auto"/>
          <w:sz w:val="24"/>
          <w:szCs w:val="24"/>
          <w:highlight w:val="none"/>
          <w:shd w:val="clear" w:color="auto" w:fill="FFFFFF" w:themeFill="background1"/>
          <w:lang w:val="en-US" w:eastAsia="zh-CN"/>
        </w:rPr>
        <w:t>十、</w:t>
      </w:r>
      <w:r>
        <w:rPr>
          <w:rFonts w:hint="eastAsia" w:ascii="仿宋" w:hAnsi="仿宋" w:eastAsia="仿宋" w:cs="仿宋"/>
          <w:b/>
          <w:bCs/>
          <w:color w:val="auto"/>
          <w:sz w:val="24"/>
          <w:szCs w:val="24"/>
          <w:highlight w:val="none"/>
          <w:shd w:val="clear" w:color="auto" w:fill="FFFFFF" w:themeFill="background1"/>
        </w:rPr>
        <w:t>项目负责人简历表</w:t>
      </w:r>
      <w:bookmarkEnd w:id="291"/>
      <w:bookmarkEnd w:id="292"/>
      <w:bookmarkEnd w:id="293"/>
      <w:bookmarkEnd w:id="294"/>
      <w:bookmarkEnd w:id="295"/>
      <w:bookmarkEnd w:id="296"/>
      <w:bookmarkEnd w:id="297"/>
      <w:bookmarkEnd w:id="298"/>
    </w:p>
    <w:p w14:paraId="4CCFB7CE">
      <w:pPr>
        <w:keepLines w:val="0"/>
        <w:pageBreakBefore w:val="0"/>
        <w:kinsoku/>
        <w:overflowPunct/>
        <w:topLinePunct w:val="0"/>
        <w:bidi w:val="0"/>
        <w:spacing w:beforeAutospacing="0" w:afterAutospacing="0" w:line="360" w:lineRule="auto"/>
        <w:jc w:val="left"/>
        <w:textAlignment w:val="auto"/>
        <w:rPr>
          <w:rFonts w:hint="eastAsia" w:ascii="仿宋" w:hAnsi="仿宋" w:eastAsia="仿宋" w:cs="仿宋"/>
          <w:color w:val="auto"/>
          <w:sz w:val="24"/>
          <w:szCs w:val="24"/>
          <w:highlight w:val="none"/>
          <w:shd w:val="clear" w:color="auto" w:fill="FFFFFF" w:themeFill="background1"/>
        </w:rPr>
      </w:pPr>
    </w:p>
    <w:tbl>
      <w:tblPr>
        <w:tblStyle w:val="39"/>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372"/>
        <w:gridCol w:w="1230"/>
        <w:gridCol w:w="233"/>
        <w:gridCol w:w="1702"/>
        <w:gridCol w:w="1275"/>
        <w:gridCol w:w="1364"/>
      </w:tblGrid>
      <w:tr w14:paraId="2C55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0E40CF0A">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姓名</w:t>
            </w:r>
          </w:p>
        </w:tc>
        <w:tc>
          <w:tcPr>
            <w:tcW w:w="2602" w:type="dxa"/>
            <w:gridSpan w:val="2"/>
            <w:vAlign w:val="center"/>
          </w:tcPr>
          <w:p w14:paraId="58B79C2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418D37F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性别</w:t>
            </w:r>
          </w:p>
        </w:tc>
        <w:tc>
          <w:tcPr>
            <w:tcW w:w="2639" w:type="dxa"/>
            <w:gridSpan w:val="2"/>
            <w:vAlign w:val="center"/>
          </w:tcPr>
          <w:p w14:paraId="3C6B3B7C">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6B82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76F03297">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身份证号码</w:t>
            </w:r>
          </w:p>
        </w:tc>
        <w:tc>
          <w:tcPr>
            <w:tcW w:w="2602" w:type="dxa"/>
            <w:gridSpan w:val="2"/>
            <w:vAlign w:val="center"/>
          </w:tcPr>
          <w:p w14:paraId="7AFFD61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1458F4E5">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学历</w:t>
            </w:r>
          </w:p>
        </w:tc>
        <w:tc>
          <w:tcPr>
            <w:tcW w:w="2639" w:type="dxa"/>
            <w:gridSpan w:val="2"/>
            <w:vAlign w:val="center"/>
          </w:tcPr>
          <w:p w14:paraId="40876DA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08064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17C2F2CA">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毕业学校</w:t>
            </w:r>
          </w:p>
        </w:tc>
        <w:tc>
          <w:tcPr>
            <w:tcW w:w="2602" w:type="dxa"/>
            <w:gridSpan w:val="2"/>
            <w:vAlign w:val="center"/>
          </w:tcPr>
          <w:p w14:paraId="231A55B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2D8AC0F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专业</w:t>
            </w:r>
          </w:p>
        </w:tc>
        <w:tc>
          <w:tcPr>
            <w:tcW w:w="2639" w:type="dxa"/>
            <w:gridSpan w:val="2"/>
            <w:vAlign w:val="center"/>
          </w:tcPr>
          <w:p w14:paraId="222C7CF3">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7A2B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19B6DF81">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参加工作时间</w:t>
            </w:r>
          </w:p>
        </w:tc>
        <w:tc>
          <w:tcPr>
            <w:tcW w:w="2602" w:type="dxa"/>
            <w:gridSpan w:val="2"/>
            <w:vAlign w:val="center"/>
          </w:tcPr>
          <w:p w14:paraId="17E2533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3933123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从事</w:t>
            </w:r>
            <w:r>
              <w:rPr>
                <w:rFonts w:hint="eastAsia" w:ascii="仿宋" w:hAnsi="仿宋" w:eastAsia="仿宋" w:cs="仿宋"/>
                <w:color w:val="auto"/>
                <w:szCs w:val="21"/>
                <w:highlight w:val="none"/>
                <w:shd w:val="clear" w:color="auto" w:fill="FFFFFF" w:themeFill="background1"/>
                <w:lang w:val="en-US" w:eastAsia="zh-CN"/>
              </w:rPr>
              <w:t>相关</w:t>
            </w:r>
            <w:r>
              <w:rPr>
                <w:rFonts w:hint="eastAsia" w:ascii="仿宋" w:hAnsi="仿宋" w:eastAsia="仿宋" w:cs="仿宋"/>
                <w:color w:val="auto"/>
                <w:szCs w:val="21"/>
                <w:highlight w:val="none"/>
                <w:shd w:val="clear" w:color="auto" w:fill="FFFFFF" w:themeFill="background1"/>
              </w:rPr>
              <w:t>职业年限</w:t>
            </w:r>
          </w:p>
        </w:tc>
        <w:tc>
          <w:tcPr>
            <w:tcW w:w="2639" w:type="dxa"/>
            <w:gridSpan w:val="2"/>
            <w:vAlign w:val="center"/>
          </w:tcPr>
          <w:p w14:paraId="2D34D2F5">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68349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5E62EA1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在公司担任职务</w:t>
            </w:r>
          </w:p>
        </w:tc>
        <w:tc>
          <w:tcPr>
            <w:tcW w:w="2602" w:type="dxa"/>
            <w:gridSpan w:val="2"/>
            <w:vAlign w:val="center"/>
          </w:tcPr>
          <w:p w14:paraId="154C8C4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214578C8">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联系方式</w:t>
            </w:r>
          </w:p>
        </w:tc>
        <w:tc>
          <w:tcPr>
            <w:tcW w:w="2639" w:type="dxa"/>
            <w:gridSpan w:val="2"/>
            <w:vAlign w:val="center"/>
          </w:tcPr>
          <w:p w14:paraId="43E883F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72DF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restart"/>
            <w:vAlign w:val="center"/>
          </w:tcPr>
          <w:p w14:paraId="2DBD577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近三年类似业绩</w:t>
            </w:r>
          </w:p>
        </w:tc>
        <w:tc>
          <w:tcPr>
            <w:tcW w:w="1372" w:type="dxa"/>
            <w:vAlign w:val="center"/>
          </w:tcPr>
          <w:p w14:paraId="0EC814AA">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项目名称</w:t>
            </w:r>
          </w:p>
        </w:tc>
        <w:tc>
          <w:tcPr>
            <w:tcW w:w="1463" w:type="dxa"/>
            <w:gridSpan w:val="2"/>
            <w:vAlign w:val="center"/>
          </w:tcPr>
          <w:p w14:paraId="4940D060">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采购人</w:t>
            </w:r>
          </w:p>
        </w:tc>
        <w:tc>
          <w:tcPr>
            <w:tcW w:w="1702" w:type="dxa"/>
            <w:vAlign w:val="center"/>
          </w:tcPr>
          <w:p w14:paraId="404BEF4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合同内容</w:t>
            </w:r>
          </w:p>
        </w:tc>
        <w:tc>
          <w:tcPr>
            <w:tcW w:w="1275" w:type="dxa"/>
            <w:vAlign w:val="center"/>
          </w:tcPr>
          <w:p w14:paraId="7902569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合同价格</w:t>
            </w:r>
          </w:p>
        </w:tc>
        <w:tc>
          <w:tcPr>
            <w:tcW w:w="1364" w:type="dxa"/>
            <w:vAlign w:val="center"/>
          </w:tcPr>
          <w:p w14:paraId="75F17513">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签约日期</w:t>
            </w:r>
          </w:p>
        </w:tc>
      </w:tr>
      <w:tr w14:paraId="03A6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18CB4A8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00B31A69">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2731E11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72356B9C">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439EDD6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63D101A7">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446C6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0271323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0499D36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146A54F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5EF4984C">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321965E5">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2610366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0F148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142DC4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41A1EEF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76111C1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5E30119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39756418">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5425460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1178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2AD29431">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1415448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50AD7DD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468130F0">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5B28646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148116D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5C4F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36687B9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6F9CC11A">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15FB261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238F8AB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5CD2CBD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3AA97F28">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bl>
    <w:p w14:paraId="6FE391A4">
      <w:pPr>
        <w:keepLines w:val="0"/>
        <w:pageBreakBefore w:val="0"/>
        <w:kinsoku/>
        <w:overflowPunct/>
        <w:topLinePunct w:val="0"/>
        <w:bidi w:val="0"/>
        <w:spacing w:beforeAutospacing="0" w:afterAutospacing="0" w:line="360" w:lineRule="auto"/>
        <w:ind w:firstLine="420" w:firstLineChars="200"/>
        <w:textAlignment w:val="auto"/>
        <w:rPr>
          <w:rFonts w:hint="eastAsia" w:ascii="仿宋" w:hAnsi="仿宋" w:eastAsia="仿宋" w:cs="仿宋"/>
          <w:color w:val="auto"/>
          <w:sz w:val="22"/>
          <w:szCs w:val="22"/>
          <w:highlight w:val="none"/>
          <w:shd w:val="clear" w:color="auto" w:fill="FFFFFF" w:themeFill="background1"/>
        </w:rPr>
      </w:pPr>
      <w:r>
        <w:rPr>
          <w:rFonts w:hint="eastAsia" w:ascii="仿宋" w:hAnsi="仿宋" w:eastAsia="仿宋" w:cs="仿宋"/>
          <w:color w:val="auto"/>
          <w:sz w:val="21"/>
          <w:szCs w:val="21"/>
          <w:highlight w:val="none"/>
          <w:shd w:val="clear" w:color="auto" w:fill="FFFFFF" w:themeFill="background1"/>
        </w:rPr>
        <w:t>注：附身份证等其它相关材料</w:t>
      </w:r>
      <w:r>
        <w:rPr>
          <w:rFonts w:hint="eastAsia" w:ascii="仿宋" w:hAnsi="仿宋" w:eastAsia="仿宋" w:cs="仿宋"/>
          <w:color w:val="auto"/>
          <w:sz w:val="21"/>
          <w:szCs w:val="21"/>
          <w:highlight w:val="none"/>
          <w:shd w:val="clear" w:color="auto" w:fill="FFFFFF" w:themeFill="background1"/>
          <w:lang w:val="en-US" w:eastAsia="zh-CN"/>
        </w:rPr>
        <w:t>扫描件</w:t>
      </w:r>
      <w:r>
        <w:rPr>
          <w:rFonts w:hint="eastAsia" w:ascii="仿宋" w:hAnsi="仿宋" w:eastAsia="仿宋" w:cs="仿宋"/>
          <w:color w:val="auto"/>
          <w:sz w:val="22"/>
          <w:szCs w:val="22"/>
          <w:highlight w:val="none"/>
          <w:shd w:val="clear" w:color="auto" w:fill="FFFFFF" w:themeFill="background1"/>
        </w:rPr>
        <w:t>。</w:t>
      </w:r>
    </w:p>
    <w:p w14:paraId="70CD0E97">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8EED635">
      <w:pPr>
        <w:keepLines w:val="0"/>
        <w:pageBreakBefore w:val="0"/>
        <w:tabs>
          <w:tab w:val="center" w:pos="4832"/>
          <w:tab w:val="left" w:pos="7140"/>
        </w:tabs>
        <w:kinsoku/>
        <w:overflowPunct/>
        <w:topLinePunct w:val="0"/>
        <w:bidi w:val="0"/>
        <w:spacing w:beforeAutospacing="0" w:afterAutospacing="0" w:line="360" w:lineRule="auto"/>
        <w:jc w:val="center"/>
        <w:textAlignment w:val="auto"/>
        <w:outlineLvl w:val="1"/>
        <w:rPr>
          <w:rFonts w:hint="eastAsia" w:ascii="仿宋" w:hAnsi="仿宋" w:eastAsia="仿宋" w:cs="仿宋"/>
          <w:b/>
          <w:bCs/>
          <w:color w:val="auto"/>
          <w:sz w:val="24"/>
          <w:szCs w:val="24"/>
          <w:highlight w:val="none"/>
          <w:shd w:val="clear" w:color="auto" w:fill="FFFFFF" w:themeFill="background1"/>
        </w:rPr>
      </w:pPr>
      <w:bookmarkStart w:id="303" w:name="_Toc3377"/>
      <w:bookmarkStart w:id="304" w:name="_Toc19030"/>
      <w:bookmarkStart w:id="305" w:name="_Toc22814"/>
      <w:bookmarkStart w:id="306" w:name="_Toc25552"/>
      <w:r>
        <w:rPr>
          <w:rFonts w:hint="eastAsia" w:ascii="仿宋" w:hAnsi="仿宋" w:eastAsia="仿宋" w:cs="仿宋"/>
          <w:b/>
          <w:color w:val="auto"/>
          <w:sz w:val="24"/>
          <w:szCs w:val="24"/>
          <w:highlight w:val="none"/>
          <w:shd w:val="clear" w:color="auto" w:fill="FFFFFF" w:themeFill="background1"/>
          <w:lang w:val="en-US" w:eastAsia="zh-CN"/>
        </w:rPr>
        <w:t>十一</w:t>
      </w:r>
      <w:r>
        <w:rPr>
          <w:rFonts w:hint="eastAsia" w:ascii="仿宋" w:hAnsi="仿宋" w:eastAsia="仿宋" w:cs="仿宋"/>
          <w:b/>
          <w:color w:val="auto"/>
          <w:sz w:val="24"/>
          <w:szCs w:val="24"/>
          <w:highlight w:val="none"/>
          <w:shd w:val="clear" w:color="auto" w:fill="FFFFFF" w:themeFill="background1"/>
        </w:rPr>
        <w:t>、拟派主要</w:t>
      </w:r>
      <w:r>
        <w:rPr>
          <w:rFonts w:hint="eastAsia" w:ascii="仿宋" w:hAnsi="仿宋" w:eastAsia="仿宋" w:cs="仿宋"/>
          <w:b/>
          <w:color w:val="auto"/>
          <w:sz w:val="24"/>
          <w:szCs w:val="24"/>
          <w:highlight w:val="none"/>
          <w:shd w:val="clear" w:color="auto" w:fill="FFFFFF" w:themeFill="background1"/>
          <w:lang w:val="en-US" w:eastAsia="zh-CN"/>
        </w:rPr>
        <w:t>服务</w:t>
      </w:r>
      <w:r>
        <w:rPr>
          <w:rFonts w:hint="eastAsia" w:ascii="仿宋" w:hAnsi="仿宋" w:eastAsia="仿宋" w:cs="仿宋"/>
          <w:b/>
          <w:color w:val="auto"/>
          <w:sz w:val="24"/>
          <w:szCs w:val="24"/>
          <w:highlight w:val="none"/>
          <w:shd w:val="clear" w:color="auto" w:fill="FFFFFF" w:themeFill="background1"/>
        </w:rPr>
        <w:t>人员情况表</w:t>
      </w:r>
      <w:bookmarkEnd w:id="303"/>
      <w:bookmarkEnd w:id="304"/>
      <w:bookmarkEnd w:id="305"/>
      <w:bookmarkEnd w:id="306"/>
    </w:p>
    <w:tbl>
      <w:tblPr>
        <w:tblStyle w:val="39"/>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167"/>
        <w:gridCol w:w="2283"/>
        <w:gridCol w:w="1388"/>
        <w:gridCol w:w="1012"/>
        <w:gridCol w:w="1141"/>
        <w:gridCol w:w="1406"/>
      </w:tblGrid>
      <w:tr w14:paraId="7267B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494D569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167" w:type="dxa"/>
            <w:vAlign w:val="center"/>
          </w:tcPr>
          <w:p w14:paraId="6B5BF29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2283" w:type="dxa"/>
            <w:vAlign w:val="center"/>
          </w:tcPr>
          <w:p w14:paraId="58AF921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身份证号码</w:t>
            </w:r>
          </w:p>
        </w:tc>
        <w:tc>
          <w:tcPr>
            <w:tcW w:w="1388" w:type="dxa"/>
            <w:vAlign w:val="center"/>
          </w:tcPr>
          <w:p w14:paraId="55DEC3F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性别</w:t>
            </w:r>
          </w:p>
        </w:tc>
        <w:tc>
          <w:tcPr>
            <w:tcW w:w="1012" w:type="dxa"/>
            <w:vAlign w:val="center"/>
          </w:tcPr>
          <w:p w14:paraId="729AFFF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拟担任</w:t>
            </w:r>
            <w:r>
              <w:rPr>
                <w:rFonts w:hint="eastAsia" w:ascii="仿宋" w:hAnsi="仿宋" w:eastAsia="仿宋" w:cs="仿宋"/>
                <w:color w:val="auto"/>
                <w:szCs w:val="21"/>
                <w:highlight w:val="none"/>
              </w:rPr>
              <w:t>岗位</w:t>
            </w:r>
          </w:p>
        </w:tc>
        <w:tc>
          <w:tcPr>
            <w:tcW w:w="1141" w:type="dxa"/>
            <w:vAlign w:val="center"/>
          </w:tcPr>
          <w:p w14:paraId="7E1BE78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从事</w:t>
            </w:r>
            <w:r>
              <w:rPr>
                <w:rFonts w:hint="eastAsia" w:ascii="仿宋" w:hAnsi="仿宋" w:eastAsia="仿宋" w:cs="仿宋"/>
                <w:color w:val="auto"/>
                <w:szCs w:val="21"/>
                <w:highlight w:val="none"/>
                <w:lang w:val="en-US" w:eastAsia="zh-CN"/>
              </w:rPr>
              <w:t>相关</w:t>
            </w:r>
            <w:r>
              <w:rPr>
                <w:rFonts w:hint="eastAsia" w:ascii="仿宋" w:hAnsi="仿宋" w:eastAsia="仿宋" w:cs="仿宋"/>
                <w:color w:val="auto"/>
                <w:szCs w:val="21"/>
                <w:highlight w:val="none"/>
              </w:rPr>
              <w:t>工作年限</w:t>
            </w:r>
          </w:p>
        </w:tc>
        <w:tc>
          <w:tcPr>
            <w:tcW w:w="1406" w:type="dxa"/>
            <w:vAlign w:val="center"/>
          </w:tcPr>
          <w:p w14:paraId="2ED7A7C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0312C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64E54779">
            <w:pPr>
              <w:spacing w:line="440" w:lineRule="exact"/>
              <w:jc w:val="center"/>
              <w:rPr>
                <w:rFonts w:hint="eastAsia" w:ascii="仿宋" w:hAnsi="仿宋" w:eastAsia="仿宋" w:cs="仿宋"/>
                <w:color w:val="auto"/>
                <w:szCs w:val="21"/>
                <w:highlight w:val="none"/>
              </w:rPr>
            </w:pPr>
          </w:p>
        </w:tc>
        <w:tc>
          <w:tcPr>
            <w:tcW w:w="1167" w:type="dxa"/>
            <w:vAlign w:val="center"/>
          </w:tcPr>
          <w:p w14:paraId="29EBF84A">
            <w:pPr>
              <w:spacing w:line="360" w:lineRule="auto"/>
              <w:jc w:val="center"/>
              <w:rPr>
                <w:rFonts w:hint="eastAsia" w:ascii="仿宋" w:hAnsi="仿宋" w:eastAsia="仿宋" w:cs="仿宋"/>
                <w:color w:val="auto"/>
                <w:szCs w:val="21"/>
                <w:highlight w:val="none"/>
              </w:rPr>
            </w:pPr>
          </w:p>
        </w:tc>
        <w:tc>
          <w:tcPr>
            <w:tcW w:w="2283" w:type="dxa"/>
            <w:vAlign w:val="center"/>
          </w:tcPr>
          <w:p w14:paraId="377915A8">
            <w:pPr>
              <w:spacing w:line="360" w:lineRule="auto"/>
              <w:jc w:val="center"/>
              <w:rPr>
                <w:rFonts w:hint="eastAsia" w:ascii="仿宋" w:hAnsi="仿宋" w:eastAsia="仿宋" w:cs="仿宋"/>
                <w:color w:val="auto"/>
                <w:szCs w:val="21"/>
                <w:highlight w:val="none"/>
              </w:rPr>
            </w:pPr>
          </w:p>
        </w:tc>
        <w:tc>
          <w:tcPr>
            <w:tcW w:w="1388" w:type="dxa"/>
            <w:vAlign w:val="center"/>
          </w:tcPr>
          <w:p w14:paraId="56A22E02">
            <w:pPr>
              <w:spacing w:line="360" w:lineRule="auto"/>
              <w:jc w:val="center"/>
              <w:rPr>
                <w:rFonts w:hint="eastAsia" w:ascii="仿宋" w:hAnsi="仿宋" w:eastAsia="仿宋" w:cs="仿宋"/>
                <w:color w:val="auto"/>
                <w:szCs w:val="21"/>
                <w:highlight w:val="none"/>
              </w:rPr>
            </w:pPr>
          </w:p>
        </w:tc>
        <w:tc>
          <w:tcPr>
            <w:tcW w:w="1012" w:type="dxa"/>
            <w:vAlign w:val="center"/>
          </w:tcPr>
          <w:p w14:paraId="5EF1C244">
            <w:pPr>
              <w:spacing w:line="360" w:lineRule="auto"/>
              <w:jc w:val="center"/>
              <w:rPr>
                <w:rFonts w:hint="eastAsia" w:ascii="仿宋" w:hAnsi="仿宋" w:eastAsia="仿宋" w:cs="仿宋"/>
                <w:color w:val="auto"/>
                <w:szCs w:val="21"/>
                <w:highlight w:val="none"/>
              </w:rPr>
            </w:pPr>
          </w:p>
        </w:tc>
        <w:tc>
          <w:tcPr>
            <w:tcW w:w="1141" w:type="dxa"/>
            <w:vAlign w:val="center"/>
          </w:tcPr>
          <w:p w14:paraId="55D0A8DC">
            <w:pPr>
              <w:spacing w:line="360" w:lineRule="auto"/>
              <w:jc w:val="center"/>
              <w:rPr>
                <w:rFonts w:hint="eastAsia" w:ascii="仿宋" w:hAnsi="仿宋" w:eastAsia="仿宋" w:cs="仿宋"/>
                <w:color w:val="auto"/>
                <w:szCs w:val="21"/>
                <w:highlight w:val="none"/>
              </w:rPr>
            </w:pPr>
          </w:p>
        </w:tc>
        <w:tc>
          <w:tcPr>
            <w:tcW w:w="1406" w:type="dxa"/>
            <w:vAlign w:val="center"/>
          </w:tcPr>
          <w:p w14:paraId="401E8240">
            <w:pPr>
              <w:spacing w:line="360" w:lineRule="auto"/>
              <w:jc w:val="center"/>
              <w:rPr>
                <w:rFonts w:hint="eastAsia" w:ascii="仿宋" w:hAnsi="仿宋" w:eastAsia="仿宋" w:cs="仿宋"/>
                <w:color w:val="auto"/>
                <w:szCs w:val="21"/>
                <w:highlight w:val="none"/>
              </w:rPr>
            </w:pPr>
          </w:p>
        </w:tc>
      </w:tr>
      <w:tr w14:paraId="2D49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627FDA4E">
            <w:pPr>
              <w:spacing w:line="440" w:lineRule="exact"/>
              <w:jc w:val="center"/>
              <w:rPr>
                <w:rFonts w:hint="eastAsia" w:ascii="仿宋" w:hAnsi="仿宋" w:eastAsia="仿宋" w:cs="仿宋"/>
                <w:color w:val="auto"/>
                <w:szCs w:val="21"/>
                <w:highlight w:val="none"/>
              </w:rPr>
            </w:pPr>
          </w:p>
        </w:tc>
        <w:tc>
          <w:tcPr>
            <w:tcW w:w="1167" w:type="dxa"/>
            <w:vAlign w:val="center"/>
          </w:tcPr>
          <w:p w14:paraId="7D1CF219">
            <w:pPr>
              <w:spacing w:line="360" w:lineRule="auto"/>
              <w:jc w:val="center"/>
              <w:rPr>
                <w:rFonts w:hint="eastAsia" w:ascii="仿宋" w:hAnsi="仿宋" w:eastAsia="仿宋" w:cs="仿宋"/>
                <w:color w:val="auto"/>
                <w:szCs w:val="21"/>
                <w:highlight w:val="none"/>
              </w:rPr>
            </w:pPr>
          </w:p>
        </w:tc>
        <w:tc>
          <w:tcPr>
            <w:tcW w:w="2283" w:type="dxa"/>
            <w:vAlign w:val="center"/>
          </w:tcPr>
          <w:p w14:paraId="4D124028">
            <w:pPr>
              <w:spacing w:line="360" w:lineRule="auto"/>
              <w:jc w:val="center"/>
              <w:rPr>
                <w:rFonts w:hint="eastAsia" w:ascii="仿宋" w:hAnsi="仿宋" w:eastAsia="仿宋" w:cs="仿宋"/>
                <w:color w:val="auto"/>
                <w:szCs w:val="21"/>
                <w:highlight w:val="none"/>
              </w:rPr>
            </w:pPr>
          </w:p>
        </w:tc>
        <w:tc>
          <w:tcPr>
            <w:tcW w:w="1388" w:type="dxa"/>
            <w:vAlign w:val="center"/>
          </w:tcPr>
          <w:p w14:paraId="64C42B61">
            <w:pPr>
              <w:spacing w:line="360" w:lineRule="auto"/>
              <w:jc w:val="center"/>
              <w:rPr>
                <w:rFonts w:hint="eastAsia" w:ascii="仿宋" w:hAnsi="仿宋" w:eastAsia="仿宋" w:cs="仿宋"/>
                <w:color w:val="auto"/>
                <w:szCs w:val="21"/>
                <w:highlight w:val="none"/>
              </w:rPr>
            </w:pPr>
          </w:p>
        </w:tc>
        <w:tc>
          <w:tcPr>
            <w:tcW w:w="1012" w:type="dxa"/>
            <w:vAlign w:val="center"/>
          </w:tcPr>
          <w:p w14:paraId="126673B0">
            <w:pPr>
              <w:spacing w:line="360" w:lineRule="auto"/>
              <w:jc w:val="center"/>
              <w:rPr>
                <w:rFonts w:hint="eastAsia" w:ascii="仿宋" w:hAnsi="仿宋" w:eastAsia="仿宋" w:cs="仿宋"/>
                <w:color w:val="auto"/>
                <w:szCs w:val="21"/>
                <w:highlight w:val="none"/>
              </w:rPr>
            </w:pPr>
          </w:p>
        </w:tc>
        <w:tc>
          <w:tcPr>
            <w:tcW w:w="1141" w:type="dxa"/>
            <w:vAlign w:val="center"/>
          </w:tcPr>
          <w:p w14:paraId="0F24147A">
            <w:pPr>
              <w:spacing w:line="360" w:lineRule="auto"/>
              <w:jc w:val="center"/>
              <w:rPr>
                <w:rFonts w:hint="eastAsia" w:ascii="仿宋" w:hAnsi="仿宋" w:eastAsia="仿宋" w:cs="仿宋"/>
                <w:color w:val="auto"/>
                <w:szCs w:val="21"/>
                <w:highlight w:val="none"/>
              </w:rPr>
            </w:pPr>
          </w:p>
        </w:tc>
        <w:tc>
          <w:tcPr>
            <w:tcW w:w="1406" w:type="dxa"/>
            <w:vAlign w:val="center"/>
          </w:tcPr>
          <w:p w14:paraId="7A9B34FF">
            <w:pPr>
              <w:spacing w:line="360" w:lineRule="auto"/>
              <w:jc w:val="center"/>
              <w:rPr>
                <w:rFonts w:hint="eastAsia" w:ascii="仿宋" w:hAnsi="仿宋" w:eastAsia="仿宋" w:cs="仿宋"/>
                <w:color w:val="auto"/>
                <w:szCs w:val="21"/>
                <w:highlight w:val="none"/>
              </w:rPr>
            </w:pPr>
          </w:p>
        </w:tc>
      </w:tr>
      <w:tr w14:paraId="38DA0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5802E5C3">
            <w:pPr>
              <w:spacing w:line="440" w:lineRule="exact"/>
              <w:jc w:val="center"/>
              <w:rPr>
                <w:rFonts w:hint="eastAsia" w:ascii="仿宋" w:hAnsi="仿宋" w:eastAsia="仿宋" w:cs="仿宋"/>
                <w:color w:val="auto"/>
                <w:szCs w:val="21"/>
                <w:highlight w:val="none"/>
              </w:rPr>
            </w:pPr>
          </w:p>
        </w:tc>
        <w:tc>
          <w:tcPr>
            <w:tcW w:w="1167" w:type="dxa"/>
            <w:vAlign w:val="center"/>
          </w:tcPr>
          <w:p w14:paraId="7D16284D">
            <w:pPr>
              <w:spacing w:line="360" w:lineRule="auto"/>
              <w:jc w:val="center"/>
              <w:rPr>
                <w:rFonts w:hint="eastAsia" w:ascii="仿宋" w:hAnsi="仿宋" w:eastAsia="仿宋" w:cs="仿宋"/>
                <w:color w:val="auto"/>
                <w:szCs w:val="21"/>
                <w:highlight w:val="none"/>
              </w:rPr>
            </w:pPr>
          </w:p>
        </w:tc>
        <w:tc>
          <w:tcPr>
            <w:tcW w:w="2283" w:type="dxa"/>
            <w:vAlign w:val="center"/>
          </w:tcPr>
          <w:p w14:paraId="20DC9FE1">
            <w:pPr>
              <w:spacing w:line="360" w:lineRule="auto"/>
              <w:jc w:val="center"/>
              <w:rPr>
                <w:rFonts w:hint="eastAsia" w:ascii="仿宋" w:hAnsi="仿宋" w:eastAsia="仿宋" w:cs="仿宋"/>
                <w:color w:val="auto"/>
                <w:szCs w:val="21"/>
                <w:highlight w:val="none"/>
              </w:rPr>
            </w:pPr>
          </w:p>
        </w:tc>
        <w:tc>
          <w:tcPr>
            <w:tcW w:w="1388" w:type="dxa"/>
            <w:vAlign w:val="center"/>
          </w:tcPr>
          <w:p w14:paraId="2E7B6B7D">
            <w:pPr>
              <w:spacing w:line="360" w:lineRule="auto"/>
              <w:jc w:val="center"/>
              <w:rPr>
                <w:rFonts w:hint="eastAsia" w:ascii="仿宋" w:hAnsi="仿宋" w:eastAsia="仿宋" w:cs="仿宋"/>
                <w:color w:val="auto"/>
                <w:szCs w:val="21"/>
                <w:highlight w:val="none"/>
              </w:rPr>
            </w:pPr>
          </w:p>
        </w:tc>
        <w:tc>
          <w:tcPr>
            <w:tcW w:w="1012" w:type="dxa"/>
            <w:vAlign w:val="center"/>
          </w:tcPr>
          <w:p w14:paraId="50375FBA">
            <w:pPr>
              <w:spacing w:line="360" w:lineRule="auto"/>
              <w:jc w:val="center"/>
              <w:rPr>
                <w:rFonts w:hint="eastAsia" w:ascii="仿宋" w:hAnsi="仿宋" w:eastAsia="仿宋" w:cs="仿宋"/>
                <w:color w:val="auto"/>
                <w:szCs w:val="21"/>
                <w:highlight w:val="none"/>
              </w:rPr>
            </w:pPr>
          </w:p>
        </w:tc>
        <w:tc>
          <w:tcPr>
            <w:tcW w:w="1141" w:type="dxa"/>
            <w:vAlign w:val="center"/>
          </w:tcPr>
          <w:p w14:paraId="22DFA7F4">
            <w:pPr>
              <w:spacing w:line="360" w:lineRule="auto"/>
              <w:jc w:val="center"/>
              <w:rPr>
                <w:rFonts w:hint="eastAsia" w:ascii="仿宋" w:hAnsi="仿宋" w:eastAsia="仿宋" w:cs="仿宋"/>
                <w:color w:val="auto"/>
                <w:szCs w:val="21"/>
                <w:highlight w:val="none"/>
              </w:rPr>
            </w:pPr>
          </w:p>
        </w:tc>
        <w:tc>
          <w:tcPr>
            <w:tcW w:w="1406" w:type="dxa"/>
            <w:vAlign w:val="center"/>
          </w:tcPr>
          <w:p w14:paraId="5ED0E45A">
            <w:pPr>
              <w:spacing w:line="360" w:lineRule="auto"/>
              <w:jc w:val="center"/>
              <w:rPr>
                <w:rFonts w:hint="eastAsia" w:ascii="仿宋" w:hAnsi="仿宋" w:eastAsia="仿宋" w:cs="仿宋"/>
                <w:color w:val="auto"/>
                <w:szCs w:val="21"/>
                <w:highlight w:val="none"/>
              </w:rPr>
            </w:pPr>
          </w:p>
        </w:tc>
      </w:tr>
      <w:tr w14:paraId="4FE02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11A0D515">
            <w:pPr>
              <w:spacing w:line="440" w:lineRule="exact"/>
              <w:jc w:val="center"/>
              <w:rPr>
                <w:rFonts w:hint="eastAsia" w:ascii="仿宋" w:hAnsi="仿宋" w:eastAsia="仿宋" w:cs="仿宋"/>
                <w:color w:val="auto"/>
                <w:szCs w:val="21"/>
                <w:highlight w:val="none"/>
              </w:rPr>
            </w:pPr>
          </w:p>
        </w:tc>
        <w:tc>
          <w:tcPr>
            <w:tcW w:w="1167" w:type="dxa"/>
            <w:vAlign w:val="center"/>
          </w:tcPr>
          <w:p w14:paraId="6EC8309C">
            <w:pPr>
              <w:spacing w:line="360" w:lineRule="auto"/>
              <w:jc w:val="center"/>
              <w:rPr>
                <w:rFonts w:hint="eastAsia" w:ascii="仿宋" w:hAnsi="仿宋" w:eastAsia="仿宋" w:cs="仿宋"/>
                <w:color w:val="auto"/>
                <w:szCs w:val="21"/>
                <w:highlight w:val="none"/>
              </w:rPr>
            </w:pPr>
          </w:p>
        </w:tc>
        <w:tc>
          <w:tcPr>
            <w:tcW w:w="2283" w:type="dxa"/>
            <w:vAlign w:val="center"/>
          </w:tcPr>
          <w:p w14:paraId="0BB3D5A4">
            <w:pPr>
              <w:spacing w:line="360" w:lineRule="auto"/>
              <w:jc w:val="center"/>
              <w:rPr>
                <w:rFonts w:hint="eastAsia" w:ascii="仿宋" w:hAnsi="仿宋" w:eastAsia="仿宋" w:cs="仿宋"/>
                <w:color w:val="auto"/>
                <w:szCs w:val="21"/>
                <w:highlight w:val="none"/>
              </w:rPr>
            </w:pPr>
          </w:p>
        </w:tc>
        <w:tc>
          <w:tcPr>
            <w:tcW w:w="1388" w:type="dxa"/>
            <w:vAlign w:val="center"/>
          </w:tcPr>
          <w:p w14:paraId="78135FC1">
            <w:pPr>
              <w:spacing w:line="360" w:lineRule="auto"/>
              <w:jc w:val="center"/>
              <w:rPr>
                <w:rFonts w:hint="eastAsia" w:ascii="仿宋" w:hAnsi="仿宋" w:eastAsia="仿宋" w:cs="仿宋"/>
                <w:color w:val="auto"/>
                <w:szCs w:val="21"/>
                <w:highlight w:val="none"/>
              </w:rPr>
            </w:pPr>
          </w:p>
        </w:tc>
        <w:tc>
          <w:tcPr>
            <w:tcW w:w="1012" w:type="dxa"/>
            <w:vAlign w:val="center"/>
          </w:tcPr>
          <w:p w14:paraId="6C06817B">
            <w:pPr>
              <w:spacing w:line="360" w:lineRule="auto"/>
              <w:jc w:val="center"/>
              <w:rPr>
                <w:rFonts w:hint="eastAsia" w:ascii="仿宋" w:hAnsi="仿宋" w:eastAsia="仿宋" w:cs="仿宋"/>
                <w:color w:val="auto"/>
                <w:szCs w:val="21"/>
                <w:highlight w:val="none"/>
              </w:rPr>
            </w:pPr>
          </w:p>
        </w:tc>
        <w:tc>
          <w:tcPr>
            <w:tcW w:w="1141" w:type="dxa"/>
            <w:vAlign w:val="center"/>
          </w:tcPr>
          <w:p w14:paraId="171A0316">
            <w:pPr>
              <w:spacing w:line="360" w:lineRule="auto"/>
              <w:jc w:val="center"/>
              <w:rPr>
                <w:rFonts w:hint="eastAsia" w:ascii="仿宋" w:hAnsi="仿宋" w:eastAsia="仿宋" w:cs="仿宋"/>
                <w:color w:val="auto"/>
                <w:szCs w:val="21"/>
                <w:highlight w:val="none"/>
              </w:rPr>
            </w:pPr>
          </w:p>
        </w:tc>
        <w:tc>
          <w:tcPr>
            <w:tcW w:w="1406" w:type="dxa"/>
            <w:vAlign w:val="center"/>
          </w:tcPr>
          <w:p w14:paraId="6C5BDF43">
            <w:pPr>
              <w:spacing w:line="360" w:lineRule="auto"/>
              <w:jc w:val="center"/>
              <w:rPr>
                <w:rFonts w:hint="eastAsia" w:ascii="仿宋" w:hAnsi="仿宋" w:eastAsia="仿宋" w:cs="仿宋"/>
                <w:color w:val="auto"/>
                <w:szCs w:val="21"/>
                <w:highlight w:val="none"/>
              </w:rPr>
            </w:pPr>
          </w:p>
        </w:tc>
      </w:tr>
      <w:tr w14:paraId="7C19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785DD670">
            <w:pPr>
              <w:spacing w:line="440" w:lineRule="exact"/>
              <w:jc w:val="center"/>
              <w:rPr>
                <w:rFonts w:hint="eastAsia" w:ascii="仿宋" w:hAnsi="仿宋" w:eastAsia="仿宋" w:cs="仿宋"/>
                <w:color w:val="auto"/>
                <w:szCs w:val="21"/>
                <w:highlight w:val="none"/>
              </w:rPr>
            </w:pPr>
          </w:p>
        </w:tc>
        <w:tc>
          <w:tcPr>
            <w:tcW w:w="1167" w:type="dxa"/>
            <w:vAlign w:val="center"/>
          </w:tcPr>
          <w:p w14:paraId="054188CB">
            <w:pPr>
              <w:spacing w:line="360" w:lineRule="auto"/>
              <w:jc w:val="center"/>
              <w:rPr>
                <w:rFonts w:hint="eastAsia" w:ascii="仿宋" w:hAnsi="仿宋" w:eastAsia="仿宋" w:cs="仿宋"/>
                <w:color w:val="auto"/>
                <w:szCs w:val="21"/>
                <w:highlight w:val="none"/>
              </w:rPr>
            </w:pPr>
          </w:p>
        </w:tc>
        <w:tc>
          <w:tcPr>
            <w:tcW w:w="2283" w:type="dxa"/>
            <w:vAlign w:val="center"/>
          </w:tcPr>
          <w:p w14:paraId="1962FAB0">
            <w:pPr>
              <w:spacing w:line="360" w:lineRule="auto"/>
              <w:jc w:val="center"/>
              <w:rPr>
                <w:rFonts w:hint="eastAsia" w:ascii="仿宋" w:hAnsi="仿宋" w:eastAsia="仿宋" w:cs="仿宋"/>
                <w:color w:val="auto"/>
                <w:szCs w:val="21"/>
                <w:highlight w:val="none"/>
              </w:rPr>
            </w:pPr>
          </w:p>
        </w:tc>
        <w:tc>
          <w:tcPr>
            <w:tcW w:w="1388" w:type="dxa"/>
            <w:vAlign w:val="center"/>
          </w:tcPr>
          <w:p w14:paraId="0ADFFF24">
            <w:pPr>
              <w:spacing w:line="360" w:lineRule="auto"/>
              <w:jc w:val="center"/>
              <w:rPr>
                <w:rFonts w:hint="eastAsia" w:ascii="仿宋" w:hAnsi="仿宋" w:eastAsia="仿宋" w:cs="仿宋"/>
                <w:color w:val="auto"/>
                <w:szCs w:val="21"/>
                <w:highlight w:val="none"/>
              </w:rPr>
            </w:pPr>
          </w:p>
        </w:tc>
        <w:tc>
          <w:tcPr>
            <w:tcW w:w="1012" w:type="dxa"/>
            <w:vAlign w:val="center"/>
          </w:tcPr>
          <w:p w14:paraId="7E64FDB5">
            <w:pPr>
              <w:spacing w:line="360" w:lineRule="auto"/>
              <w:jc w:val="center"/>
              <w:rPr>
                <w:rFonts w:hint="eastAsia" w:ascii="仿宋" w:hAnsi="仿宋" w:eastAsia="仿宋" w:cs="仿宋"/>
                <w:color w:val="auto"/>
                <w:szCs w:val="21"/>
                <w:highlight w:val="none"/>
              </w:rPr>
            </w:pPr>
          </w:p>
        </w:tc>
        <w:tc>
          <w:tcPr>
            <w:tcW w:w="1141" w:type="dxa"/>
            <w:vAlign w:val="center"/>
          </w:tcPr>
          <w:p w14:paraId="1ADD7C8E">
            <w:pPr>
              <w:spacing w:line="360" w:lineRule="auto"/>
              <w:jc w:val="center"/>
              <w:rPr>
                <w:rFonts w:hint="eastAsia" w:ascii="仿宋" w:hAnsi="仿宋" w:eastAsia="仿宋" w:cs="仿宋"/>
                <w:color w:val="auto"/>
                <w:szCs w:val="21"/>
                <w:highlight w:val="none"/>
              </w:rPr>
            </w:pPr>
          </w:p>
        </w:tc>
        <w:tc>
          <w:tcPr>
            <w:tcW w:w="1406" w:type="dxa"/>
            <w:vAlign w:val="center"/>
          </w:tcPr>
          <w:p w14:paraId="5E4CF2EE">
            <w:pPr>
              <w:spacing w:line="360" w:lineRule="auto"/>
              <w:jc w:val="center"/>
              <w:rPr>
                <w:rFonts w:hint="eastAsia" w:ascii="仿宋" w:hAnsi="仿宋" w:eastAsia="仿宋" w:cs="仿宋"/>
                <w:color w:val="auto"/>
                <w:szCs w:val="21"/>
                <w:highlight w:val="none"/>
              </w:rPr>
            </w:pPr>
          </w:p>
        </w:tc>
      </w:tr>
    </w:tbl>
    <w:p w14:paraId="5A18178E">
      <w:pPr>
        <w:keepNext w:val="0"/>
        <w:keepLines w:val="0"/>
        <w:widowControl/>
        <w:suppressLineNumbers w:val="0"/>
        <w:jc w:val="left"/>
        <w:rPr>
          <w:rFonts w:hint="eastAsia" w:ascii="仿宋" w:hAnsi="仿宋" w:eastAsia="仿宋" w:cs="仿宋"/>
          <w:color w:val="auto"/>
          <w:highlight w:val="none"/>
        </w:rPr>
      </w:pPr>
    </w:p>
    <w:p w14:paraId="18626B92">
      <w:pPr>
        <w:keepLines w:val="0"/>
        <w:pageBreakBefore w:val="0"/>
        <w:kinsoku/>
        <w:overflowPunct/>
        <w:topLinePunct w:val="0"/>
        <w:bidi w:val="0"/>
        <w:spacing w:beforeAutospacing="0" w:afterAutospacing="0" w:line="360" w:lineRule="auto"/>
        <w:ind w:firstLine="420" w:firstLineChars="200"/>
        <w:textAlignment w:val="auto"/>
        <w:rPr>
          <w:rFonts w:hint="eastAsia" w:ascii="仿宋" w:hAnsi="仿宋" w:eastAsia="仿宋" w:cs="仿宋"/>
          <w:color w:val="auto"/>
          <w:sz w:val="21"/>
          <w:szCs w:val="21"/>
          <w:highlight w:val="none"/>
          <w:shd w:val="clear" w:color="auto" w:fill="FFFFFF" w:themeFill="background1"/>
          <w:lang w:eastAsia="zh-CN"/>
        </w:rPr>
      </w:pPr>
      <w:r>
        <w:rPr>
          <w:rFonts w:hint="eastAsia" w:ascii="仿宋" w:hAnsi="仿宋" w:eastAsia="仿宋" w:cs="仿宋"/>
          <w:color w:val="auto"/>
          <w:sz w:val="21"/>
          <w:szCs w:val="21"/>
          <w:highlight w:val="none"/>
          <w:shd w:val="clear" w:color="auto" w:fill="FFFFFF" w:themeFill="background1"/>
        </w:rPr>
        <w:t>注：拟派主要</w:t>
      </w:r>
      <w:r>
        <w:rPr>
          <w:rFonts w:hint="eastAsia" w:ascii="仿宋" w:hAnsi="仿宋" w:eastAsia="仿宋" w:cs="仿宋"/>
          <w:color w:val="auto"/>
          <w:sz w:val="21"/>
          <w:szCs w:val="21"/>
          <w:highlight w:val="none"/>
          <w:shd w:val="clear" w:color="auto" w:fill="FFFFFF" w:themeFill="background1"/>
          <w:lang w:val="en-US" w:eastAsia="zh-CN"/>
        </w:rPr>
        <w:t>服务</w:t>
      </w:r>
      <w:r>
        <w:rPr>
          <w:rFonts w:hint="eastAsia" w:ascii="仿宋" w:hAnsi="仿宋" w:eastAsia="仿宋" w:cs="仿宋"/>
          <w:color w:val="auto"/>
          <w:sz w:val="21"/>
          <w:szCs w:val="21"/>
          <w:highlight w:val="none"/>
          <w:shd w:val="clear" w:color="auto" w:fill="FFFFFF" w:themeFill="background1"/>
        </w:rPr>
        <w:t>人员由</w:t>
      </w:r>
      <w:r>
        <w:rPr>
          <w:rFonts w:hint="eastAsia" w:ascii="仿宋" w:hAnsi="仿宋" w:eastAsia="仿宋" w:cs="仿宋"/>
          <w:color w:val="auto"/>
          <w:sz w:val="21"/>
          <w:szCs w:val="21"/>
          <w:highlight w:val="none"/>
          <w:shd w:val="clear" w:color="auto" w:fill="FFFFFF" w:themeFill="background1"/>
          <w:lang w:val="en-US" w:eastAsia="zh-CN"/>
        </w:rPr>
        <w:t>投标人</w:t>
      </w:r>
      <w:r>
        <w:rPr>
          <w:rFonts w:hint="eastAsia" w:ascii="仿宋" w:hAnsi="仿宋" w:eastAsia="仿宋" w:cs="仿宋"/>
          <w:color w:val="auto"/>
          <w:sz w:val="21"/>
          <w:szCs w:val="21"/>
          <w:highlight w:val="none"/>
          <w:shd w:val="clear" w:color="auto" w:fill="FFFFFF" w:themeFill="background1"/>
        </w:rPr>
        <w:t>自行确定，但应能够满足本项目的基本需求；</w:t>
      </w:r>
      <w:r>
        <w:rPr>
          <w:rFonts w:hint="eastAsia" w:ascii="仿宋" w:hAnsi="仿宋" w:eastAsia="仿宋" w:cs="仿宋"/>
          <w:color w:val="auto"/>
          <w:sz w:val="21"/>
          <w:szCs w:val="21"/>
          <w:highlight w:val="none"/>
          <w:shd w:val="clear" w:color="auto" w:fill="FFFFFF" w:themeFill="background1"/>
          <w:lang w:val="en-US" w:eastAsia="zh-CN"/>
        </w:rPr>
        <w:t>后</w:t>
      </w:r>
      <w:r>
        <w:rPr>
          <w:rFonts w:hint="eastAsia" w:ascii="仿宋" w:hAnsi="仿宋" w:eastAsia="仿宋" w:cs="仿宋"/>
          <w:color w:val="auto"/>
          <w:sz w:val="21"/>
          <w:szCs w:val="21"/>
          <w:highlight w:val="none"/>
          <w:shd w:val="clear" w:color="auto" w:fill="FFFFFF" w:themeFill="background1"/>
        </w:rPr>
        <w:t>附身份证等其他相关材料</w:t>
      </w:r>
      <w:r>
        <w:rPr>
          <w:rFonts w:hint="eastAsia" w:ascii="仿宋" w:hAnsi="仿宋" w:eastAsia="仿宋" w:cs="仿宋"/>
          <w:color w:val="auto"/>
          <w:sz w:val="21"/>
          <w:szCs w:val="21"/>
          <w:highlight w:val="none"/>
          <w:shd w:val="clear" w:color="auto" w:fill="FFFFFF" w:themeFill="background1"/>
          <w:lang w:eastAsia="zh-CN"/>
        </w:rPr>
        <w:t>。</w:t>
      </w:r>
    </w:p>
    <w:p w14:paraId="30B5DF5B">
      <w:pPr>
        <w:bidi w:val="0"/>
        <w:jc w:val="center"/>
        <w:outlineLvl w:val="1"/>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br w:type="page"/>
      </w:r>
      <w:bookmarkStart w:id="307" w:name="_Toc130252629"/>
      <w:bookmarkStart w:id="308" w:name="_Toc109941774"/>
      <w:bookmarkStart w:id="309" w:name="_Toc109921167"/>
      <w:bookmarkStart w:id="310" w:name="_Toc110707974"/>
      <w:bookmarkStart w:id="311" w:name="_Toc18284"/>
      <w:bookmarkStart w:id="312" w:name="_Toc13060"/>
      <w:bookmarkStart w:id="313" w:name="_Toc23008"/>
      <w:bookmarkStart w:id="314" w:name="_Toc17257"/>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w:t>
      </w:r>
      <w:bookmarkEnd w:id="307"/>
      <w:bookmarkEnd w:id="308"/>
      <w:bookmarkEnd w:id="309"/>
      <w:bookmarkEnd w:id="310"/>
      <w:r>
        <w:rPr>
          <w:rFonts w:hint="eastAsia" w:ascii="仿宋" w:hAnsi="仿宋" w:eastAsia="仿宋" w:cs="仿宋"/>
          <w:b/>
          <w:color w:val="auto"/>
          <w:sz w:val="24"/>
          <w:szCs w:val="24"/>
          <w:highlight w:val="none"/>
          <w:lang w:eastAsia="zh-CN"/>
        </w:rPr>
        <w:t>服务方案</w:t>
      </w:r>
      <w:bookmarkEnd w:id="311"/>
      <w:bookmarkEnd w:id="312"/>
      <w:bookmarkEnd w:id="313"/>
      <w:bookmarkEnd w:id="314"/>
    </w:p>
    <w:p w14:paraId="49C40259">
      <w:pPr>
        <w:spacing w:line="360" w:lineRule="auto"/>
        <w:ind w:firstLine="480" w:firstLineChars="200"/>
        <w:rPr>
          <w:rFonts w:hint="eastAsia" w:ascii="仿宋" w:hAnsi="仿宋" w:eastAsia="仿宋" w:cs="仿宋"/>
          <w:bCs/>
          <w:color w:val="auto"/>
          <w:sz w:val="24"/>
          <w:szCs w:val="24"/>
          <w:highlight w:val="none"/>
        </w:rPr>
      </w:pPr>
      <w:bookmarkStart w:id="315" w:name="_Toc375218897"/>
    </w:p>
    <w:p w14:paraId="501256E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格式和内容</w:t>
      </w:r>
      <w:r>
        <w:rPr>
          <w:rFonts w:hint="eastAsia" w:ascii="仿宋" w:hAnsi="仿宋" w:eastAsia="仿宋" w:cs="仿宋"/>
          <w:color w:val="auto"/>
          <w:sz w:val="24"/>
          <w:szCs w:val="24"/>
          <w:highlight w:val="none"/>
        </w:rPr>
        <w:t>自行拟定</w:t>
      </w:r>
      <w:bookmarkStart w:id="316" w:name="_Toc375218899"/>
    </w:p>
    <w:p w14:paraId="76D9252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707DFDA2">
      <w:pPr>
        <w:tabs>
          <w:tab w:val="center" w:pos="4832"/>
          <w:tab w:val="left" w:pos="7140"/>
        </w:tabs>
        <w:jc w:val="center"/>
        <w:outlineLvl w:val="1"/>
        <w:rPr>
          <w:rFonts w:hint="eastAsia" w:ascii="仿宋" w:hAnsi="仿宋" w:eastAsia="仿宋" w:cs="仿宋"/>
          <w:b/>
          <w:color w:val="auto"/>
          <w:sz w:val="24"/>
          <w:szCs w:val="24"/>
          <w:highlight w:val="none"/>
        </w:rPr>
      </w:pPr>
      <w:bookmarkStart w:id="317" w:name="_Toc25834"/>
      <w:bookmarkStart w:id="318" w:name="_Toc3859"/>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、保证金缴纳证明材料</w:t>
      </w:r>
      <w:bookmarkEnd w:id="317"/>
      <w:bookmarkEnd w:id="318"/>
    </w:p>
    <w:p w14:paraId="1F44EE02">
      <w:pPr>
        <w:spacing w:line="360" w:lineRule="auto"/>
        <w:ind w:firstLine="480" w:firstLineChars="200"/>
        <w:rPr>
          <w:rFonts w:hint="eastAsia" w:ascii="仿宋" w:hAnsi="仿宋" w:eastAsia="仿宋" w:cs="仿宋"/>
          <w:color w:val="auto"/>
          <w:sz w:val="24"/>
          <w:szCs w:val="24"/>
          <w:highlight w:val="none"/>
        </w:rPr>
      </w:pPr>
    </w:p>
    <w:p w14:paraId="70EB6157">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3CB1B363">
      <w:pPr>
        <w:spacing w:line="360" w:lineRule="auto"/>
        <w:ind w:firstLine="480" w:firstLineChars="200"/>
        <w:rPr>
          <w:rFonts w:hint="eastAsia" w:ascii="仿宋" w:hAnsi="仿宋" w:eastAsia="仿宋" w:cs="仿宋"/>
          <w:color w:val="auto"/>
          <w:sz w:val="24"/>
          <w:szCs w:val="24"/>
          <w:highlight w:val="none"/>
        </w:rPr>
      </w:pPr>
    </w:p>
    <w:bookmarkEnd w:id="315"/>
    <w:bookmarkEnd w:id="316"/>
    <w:p w14:paraId="69DB5E36">
      <w:pPr>
        <w:spacing w:line="360" w:lineRule="auto"/>
        <w:ind w:firstLine="480" w:firstLineChars="200"/>
        <w:rPr>
          <w:rFonts w:hint="eastAsia" w:ascii="仿宋" w:hAnsi="仿宋" w:eastAsia="仿宋" w:cs="仿宋"/>
          <w:color w:val="auto"/>
          <w:sz w:val="24"/>
          <w:szCs w:val="24"/>
          <w:highlight w:val="none"/>
        </w:rPr>
      </w:pPr>
    </w:p>
    <w:p w14:paraId="0CABF8C4">
      <w:pPr>
        <w:spacing w:line="360" w:lineRule="auto"/>
        <w:ind w:firstLine="480" w:firstLineChars="200"/>
        <w:rPr>
          <w:rFonts w:hint="eastAsia" w:ascii="仿宋" w:hAnsi="仿宋" w:eastAsia="仿宋" w:cs="仿宋"/>
          <w:color w:val="auto"/>
          <w:sz w:val="24"/>
          <w:szCs w:val="24"/>
          <w:highlight w:val="none"/>
        </w:rPr>
      </w:pPr>
    </w:p>
    <w:p w14:paraId="6D7E15AF">
      <w:pPr>
        <w:spacing w:line="360" w:lineRule="auto"/>
        <w:ind w:firstLine="480" w:firstLineChars="200"/>
        <w:rPr>
          <w:rFonts w:hint="eastAsia" w:ascii="仿宋" w:hAnsi="仿宋" w:eastAsia="仿宋" w:cs="仿宋"/>
          <w:color w:val="auto"/>
          <w:sz w:val="24"/>
          <w:szCs w:val="24"/>
          <w:highlight w:val="none"/>
        </w:rPr>
      </w:pPr>
    </w:p>
    <w:p w14:paraId="62784970">
      <w:pPr>
        <w:rPr>
          <w:rFonts w:hint="eastAsia" w:ascii="仿宋" w:hAnsi="仿宋" w:eastAsia="仿宋" w:cs="仿宋"/>
          <w:b/>
          <w:color w:val="auto"/>
          <w:sz w:val="24"/>
          <w:szCs w:val="24"/>
          <w:highlight w:val="none"/>
        </w:rPr>
      </w:pPr>
      <w:bookmarkStart w:id="319" w:name="_Toc110707975"/>
      <w:bookmarkStart w:id="320" w:name="_Toc24108"/>
      <w:bookmarkStart w:id="321" w:name="_Toc14156"/>
      <w:bookmarkStart w:id="322" w:name="_Toc109941775"/>
      <w:bookmarkStart w:id="323" w:name="_Toc109921168"/>
      <w:bookmarkStart w:id="324" w:name="_Toc130252630"/>
      <w:r>
        <w:rPr>
          <w:rFonts w:hint="eastAsia" w:ascii="仿宋" w:hAnsi="仿宋" w:eastAsia="仿宋" w:cs="仿宋"/>
          <w:b/>
          <w:color w:val="auto"/>
          <w:sz w:val="24"/>
          <w:szCs w:val="24"/>
          <w:highlight w:val="none"/>
        </w:rPr>
        <w:br w:type="page"/>
      </w:r>
    </w:p>
    <w:p w14:paraId="322199AD">
      <w:pPr>
        <w:tabs>
          <w:tab w:val="center" w:pos="4832"/>
          <w:tab w:val="left" w:pos="7140"/>
        </w:tabs>
        <w:jc w:val="center"/>
        <w:outlineLvl w:val="1"/>
        <w:rPr>
          <w:rFonts w:hint="eastAsia" w:ascii="仿宋" w:hAnsi="仿宋" w:eastAsia="仿宋" w:cs="仿宋"/>
          <w:b/>
          <w:color w:val="auto"/>
          <w:sz w:val="24"/>
          <w:szCs w:val="24"/>
          <w:highlight w:val="none"/>
        </w:rPr>
      </w:pPr>
      <w:bookmarkStart w:id="325" w:name="_Toc8599"/>
      <w:bookmarkStart w:id="326" w:name="_Toc31650"/>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、其它需要提交的资料</w:t>
      </w:r>
      <w:bookmarkEnd w:id="319"/>
      <w:bookmarkEnd w:id="320"/>
      <w:bookmarkEnd w:id="321"/>
      <w:bookmarkEnd w:id="322"/>
      <w:bookmarkEnd w:id="323"/>
      <w:bookmarkEnd w:id="324"/>
      <w:bookmarkEnd w:id="325"/>
      <w:bookmarkEnd w:id="326"/>
    </w:p>
    <w:p w14:paraId="085A5BA8">
      <w:pPr>
        <w:spacing w:line="360" w:lineRule="auto"/>
        <w:ind w:firstLine="480" w:firstLineChars="200"/>
        <w:rPr>
          <w:rFonts w:hint="eastAsia" w:ascii="仿宋" w:hAnsi="仿宋" w:eastAsia="仿宋" w:cs="仿宋"/>
          <w:color w:val="auto"/>
          <w:sz w:val="24"/>
          <w:szCs w:val="24"/>
          <w:highlight w:val="none"/>
        </w:rPr>
      </w:pPr>
    </w:p>
    <w:p w14:paraId="7EB72C7A">
      <w:pPr>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根据招标文件的要求和投标人认为需要提供的资料</w:t>
      </w:r>
      <w:r>
        <w:rPr>
          <w:rFonts w:hint="eastAsia" w:ascii="仿宋" w:hAnsi="仿宋" w:eastAsia="仿宋" w:cs="仿宋"/>
          <w:b/>
          <w:color w:val="auto"/>
          <w:sz w:val="24"/>
          <w:szCs w:val="24"/>
          <w:highlight w:val="none"/>
        </w:rPr>
        <w:br w:type="page"/>
      </w:r>
    </w:p>
    <w:p w14:paraId="215DC147">
      <w:pPr>
        <w:spacing w:line="440" w:lineRule="exact"/>
        <w:jc w:val="center"/>
        <w:outlineLvl w:val="0"/>
        <w:rPr>
          <w:rFonts w:hint="eastAsia" w:ascii="仿宋" w:hAnsi="仿宋" w:eastAsia="仿宋" w:cs="仿宋"/>
          <w:b/>
          <w:color w:val="auto"/>
          <w:sz w:val="24"/>
          <w:szCs w:val="24"/>
          <w:highlight w:val="none"/>
        </w:rPr>
      </w:pPr>
      <w:bookmarkStart w:id="327" w:name="_Toc29150"/>
      <w:bookmarkStart w:id="328" w:name="_Toc23172"/>
      <w:r>
        <w:rPr>
          <w:rFonts w:hint="eastAsia" w:ascii="仿宋" w:hAnsi="仿宋" w:eastAsia="仿宋" w:cs="仿宋"/>
          <w:b/>
          <w:color w:val="auto"/>
          <w:sz w:val="24"/>
          <w:szCs w:val="24"/>
          <w:highlight w:val="none"/>
        </w:rPr>
        <w:t>第六章 补充条款</w:t>
      </w:r>
      <w:bookmarkEnd w:id="299"/>
      <w:bookmarkEnd w:id="300"/>
      <w:bookmarkEnd w:id="301"/>
      <w:bookmarkEnd w:id="302"/>
      <w:bookmarkEnd w:id="327"/>
      <w:bookmarkEnd w:id="328"/>
    </w:p>
    <w:p w14:paraId="558C65FF">
      <w:pPr>
        <w:rPr>
          <w:rFonts w:hint="eastAsia" w:ascii="仿宋" w:hAnsi="仿宋" w:eastAsia="仿宋" w:cs="仿宋"/>
          <w:color w:val="auto"/>
          <w:highlight w:val="none"/>
        </w:rPr>
      </w:pPr>
    </w:p>
    <w:p w14:paraId="00E69861">
      <w:pPr>
        <w:rPr>
          <w:rFonts w:hint="eastAsia" w:ascii="仿宋" w:hAnsi="仿宋" w:eastAsia="仿宋" w:cs="仿宋"/>
          <w:color w:val="auto"/>
          <w:highlight w:val="none"/>
        </w:rPr>
      </w:pPr>
    </w:p>
    <w:p w14:paraId="3DCD70F1">
      <w:pPr>
        <w:spacing w:line="360" w:lineRule="auto"/>
        <w:outlineLvl w:val="1"/>
        <w:rPr>
          <w:rFonts w:hint="eastAsia" w:ascii="仿宋" w:hAnsi="仿宋" w:eastAsia="仿宋" w:cs="仿宋"/>
          <w:color w:val="auto"/>
          <w:spacing w:val="6"/>
          <w:sz w:val="24"/>
          <w:szCs w:val="24"/>
          <w:highlight w:val="none"/>
        </w:rPr>
      </w:pPr>
      <w:bookmarkStart w:id="329" w:name="_Toc13775"/>
      <w:bookmarkStart w:id="330" w:name="_Toc22176"/>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1</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中小企业扶持政策</w:t>
      </w:r>
      <w:bookmarkEnd w:id="329"/>
      <w:bookmarkEnd w:id="330"/>
    </w:p>
    <w:p w14:paraId="62376727">
      <w:pPr>
        <w:spacing w:line="360" w:lineRule="auto"/>
        <w:jc w:val="center"/>
        <w:rPr>
          <w:rFonts w:hint="eastAsia" w:ascii="仿宋" w:hAnsi="仿宋" w:eastAsia="仿宋" w:cs="仿宋"/>
          <w:color w:val="auto"/>
          <w:spacing w:val="6"/>
          <w:sz w:val="24"/>
          <w:szCs w:val="24"/>
          <w:highlight w:val="none"/>
        </w:rPr>
      </w:pPr>
    </w:p>
    <w:p w14:paraId="46179A82">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13A437E5">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4C16C05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774C632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75E273EA">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44CA1809">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131CD9A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4FF01072">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1C553D9C">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0F9D9F42">
      <w:pPr>
        <w:spacing w:line="360" w:lineRule="auto"/>
        <w:ind w:firstLine="504" w:firstLineChars="200"/>
        <w:rPr>
          <w:rFonts w:hint="eastAsia" w:ascii="仿宋" w:hAnsi="仿宋" w:eastAsia="仿宋" w:cs="仿宋"/>
          <w:color w:val="auto"/>
          <w:spacing w:val="6"/>
          <w:sz w:val="24"/>
          <w:szCs w:val="24"/>
          <w:highlight w:val="none"/>
        </w:rPr>
      </w:pPr>
    </w:p>
    <w:p w14:paraId="11094B52">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5EB77BC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0702E61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0E0FAA2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w:t>
      </w:r>
      <w:r>
        <w:rPr>
          <w:rFonts w:hint="eastAsia" w:ascii="仿宋" w:hAnsi="仿宋" w:eastAsia="仿宋" w:cs="仿宋"/>
          <w:color w:val="auto"/>
          <w:spacing w:val="6"/>
          <w:sz w:val="24"/>
          <w:szCs w:val="24"/>
          <w:highlight w:val="none"/>
          <w:lang w:eastAsia="zh-CN"/>
        </w:rPr>
        <w:t>信息传输业</w:t>
      </w:r>
      <w:r>
        <w:rPr>
          <w:rFonts w:hint="eastAsia" w:ascii="仿宋" w:hAnsi="仿宋" w:eastAsia="仿宋" w:cs="仿宋"/>
          <w:color w:val="auto"/>
          <w:spacing w:val="6"/>
          <w:sz w:val="24"/>
          <w:szCs w:val="24"/>
          <w:highlight w:val="none"/>
        </w:rPr>
        <w:t>，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40E8D7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331C9F3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3ABB8D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3F9DFE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B1DCEF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8B7C2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F83499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500ADC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24F152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766143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F3FED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w:t>
      </w:r>
      <w:r>
        <w:rPr>
          <w:rFonts w:hint="eastAsia" w:ascii="仿宋" w:hAnsi="仿宋" w:eastAsia="仿宋" w:cs="仿宋"/>
          <w:color w:val="auto"/>
          <w:spacing w:val="6"/>
          <w:sz w:val="24"/>
          <w:szCs w:val="24"/>
          <w:highlight w:val="none"/>
          <w:lang w:eastAsia="zh-CN"/>
        </w:rPr>
        <w:t>信息传输业</w:t>
      </w:r>
      <w:r>
        <w:rPr>
          <w:rFonts w:hint="eastAsia" w:ascii="仿宋" w:hAnsi="仿宋" w:eastAsia="仿宋" w:cs="仿宋"/>
          <w:color w:val="auto"/>
          <w:spacing w:val="6"/>
          <w:sz w:val="24"/>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27EEA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918A50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4CC3EE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F297C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461010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F073C4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565C364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71F3C5A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402456B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FB55EE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6B798C8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65F865B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0C8B24A6">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72788278">
      <w:pPr>
        <w:spacing w:line="360" w:lineRule="auto"/>
        <w:outlineLvl w:val="1"/>
        <w:rPr>
          <w:rFonts w:hint="eastAsia" w:ascii="仿宋" w:hAnsi="仿宋" w:eastAsia="仿宋" w:cs="仿宋"/>
          <w:color w:val="auto"/>
          <w:spacing w:val="6"/>
          <w:sz w:val="24"/>
          <w:szCs w:val="24"/>
          <w:highlight w:val="none"/>
          <w:lang w:val="en-US" w:eastAsia="zh-CN"/>
        </w:rPr>
      </w:pPr>
      <w:bookmarkStart w:id="331" w:name="_Toc13470"/>
      <w:bookmarkStart w:id="332" w:name="_Toc17587"/>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残疾人企业扶持政策</w:t>
      </w:r>
      <w:bookmarkEnd w:id="331"/>
      <w:bookmarkEnd w:id="332"/>
    </w:p>
    <w:p w14:paraId="216970BC">
      <w:pPr>
        <w:spacing w:line="360" w:lineRule="auto"/>
        <w:jc w:val="center"/>
        <w:rPr>
          <w:rFonts w:hint="eastAsia" w:ascii="仿宋" w:hAnsi="仿宋" w:eastAsia="仿宋" w:cs="仿宋"/>
          <w:color w:val="auto"/>
          <w:spacing w:val="6"/>
          <w:sz w:val="24"/>
          <w:szCs w:val="24"/>
          <w:highlight w:val="none"/>
        </w:rPr>
      </w:pPr>
    </w:p>
    <w:p w14:paraId="68518E5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47BF1D1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7F2CAA7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6BBAD3E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4FB87CD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5E90713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00568C6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6D4CBC5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7A72283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6912D81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9EA706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5AD36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w:t>
      </w:r>
      <w:r>
        <w:rPr>
          <w:rFonts w:hint="eastAsia" w:ascii="仿宋" w:hAnsi="仿宋" w:eastAsia="仿宋" w:cs="仿宋"/>
          <w:color w:val="auto"/>
          <w:spacing w:val="6"/>
          <w:sz w:val="24"/>
          <w:szCs w:val="24"/>
          <w:highlight w:val="none"/>
          <w:lang w:eastAsia="zh-CN"/>
        </w:rPr>
        <w:t>中标人</w:t>
      </w:r>
      <w:r>
        <w:rPr>
          <w:rFonts w:hint="eastAsia" w:ascii="仿宋" w:hAnsi="仿宋" w:eastAsia="仿宋" w:cs="仿宋"/>
          <w:color w:val="auto"/>
          <w:spacing w:val="6"/>
          <w:sz w:val="24"/>
          <w:szCs w:val="24"/>
          <w:highlight w:val="none"/>
        </w:rPr>
        <w:t>为残疾人福利性单位的，采购人或者其委托的采购代理机构应当随中标、成交结果同时公告其《残疾人福利性单位声明函》，接受社会监督。</w:t>
      </w:r>
    </w:p>
    <w:p w14:paraId="10CB70E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投标人</w:t>
      </w:r>
      <w:r>
        <w:rPr>
          <w:rFonts w:hint="eastAsia" w:ascii="仿宋" w:hAnsi="仿宋" w:eastAsia="仿宋" w:cs="仿宋"/>
          <w:color w:val="auto"/>
          <w:spacing w:val="6"/>
          <w:sz w:val="24"/>
          <w:szCs w:val="24"/>
          <w:highlight w:val="none"/>
        </w:rPr>
        <w:t>提供的《残疾人福利性单位声明函》与事实不符的，依照《政府采购法》第七十七条第一款的规定追究法律责任。</w:t>
      </w:r>
    </w:p>
    <w:p w14:paraId="08D5C8A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9DC2F9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7743642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3C7267E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562046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6A129BC1">
      <w:pPr>
        <w:pStyle w:val="8"/>
        <w:rPr>
          <w:rFonts w:hint="eastAsia" w:ascii="仿宋" w:hAnsi="仿宋" w:eastAsia="仿宋" w:cs="仿宋"/>
          <w:color w:val="auto"/>
          <w:highlight w:val="none"/>
        </w:rPr>
      </w:pPr>
    </w:p>
    <w:p w14:paraId="4837621A">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074D0112">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5ECC95FE">
      <w:pPr>
        <w:spacing w:line="360" w:lineRule="auto"/>
        <w:outlineLvl w:val="1"/>
        <w:rPr>
          <w:rFonts w:hint="eastAsia" w:ascii="仿宋" w:hAnsi="仿宋" w:eastAsia="仿宋" w:cs="仿宋"/>
          <w:color w:val="auto"/>
          <w:spacing w:val="6"/>
          <w:sz w:val="24"/>
          <w:szCs w:val="24"/>
          <w:highlight w:val="none"/>
        </w:rPr>
      </w:pPr>
      <w:bookmarkStart w:id="333" w:name="_Toc23938"/>
      <w:bookmarkStart w:id="334" w:name="_Toc3384"/>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3</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监狱扶持政策</w:t>
      </w:r>
      <w:bookmarkEnd w:id="333"/>
      <w:bookmarkEnd w:id="334"/>
    </w:p>
    <w:p w14:paraId="03ED322B">
      <w:pPr>
        <w:spacing w:line="360" w:lineRule="auto"/>
        <w:jc w:val="center"/>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财政部 司法部关于政府采购支持</w:t>
      </w:r>
    </w:p>
    <w:p w14:paraId="0E961184">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监狱企业发展有关问题的通知</w:t>
      </w:r>
    </w:p>
    <w:p w14:paraId="4DAA07AD">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28975F5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7AF4706A">
      <w:pPr>
        <w:pStyle w:val="8"/>
        <w:rPr>
          <w:rFonts w:hint="eastAsia" w:ascii="仿宋" w:hAnsi="仿宋" w:eastAsia="仿宋" w:cs="仿宋"/>
          <w:color w:val="auto"/>
          <w:highlight w:val="none"/>
        </w:rPr>
      </w:pPr>
    </w:p>
    <w:p w14:paraId="187A3726">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07015AD9">
      <w:pPr>
        <w:spacing w:line="360" w:lineRule="auto"/>
        <w:jc w:val="both"/>
        <w:rPr>
          <w:rFonts w:hint="eastAsia" w:ascii="仿宋" w:hAnsi="仿宋" w:eastAsia="仿宋" w:cs="仿宋"/>
          <w:color w:val="auto"/>
          <w:sz w:val="24"/>
          <w:szCs w:val="24"/>
          <w:highlight w:val="none"/>
        </w:rPr>
      </w:pPr>
    </w:p>
    <w:sectPr>
      <w:headerReference r:id="rId11" w:type="default"/>
      <w:footerReference r:id="rId12" w:type="default"/>
      <w:pgSz w:w="11906" w:h="16838"/>
      <w:pgMar w:top="1134" w:right="1418" w:bottom="1134" w:left="1418"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Times New Roman"/>
    <w:panose1 w:val="00000000000000000000"/>
    <w:charset w:val="00"/>
    <w:family w:val="auto"/>
    <w:pitch w:val="default"/>
    <w:sig w:usb0="00000000" w:usb1="00000000" w:usb2="00000000" w:usb3="00000000" w:csb0="00000001" w:csb1="00000000"/>
  </w:font>
  <w:font w:name="??">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Trebuchet MS">
    <w:panose1 w:val="020B0603020202020204"/>
    <w:charset w:val="00"/>
    <w:family w:val="swiss"/>
    <w:pitch w:val="default"/>
    <w:sig w:usb0="00000687" w:usb1="00000000" w:usb2="00000000" w:usb3="00000000" w:csb0="2000009F" w:csb1="00000000"/>
  </w:font>
  <w:font w:name="方正仿宋简体">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76B49">
    <w:pPr>
      <w:pStyle w:val="22"/>
      <w:ind w:right="9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9F92E">
    <w:pPr>
      <w:pStyle w:val="22"/>
      <w:framePr w:wrap="around" w:vAnchor="text" w:hAnchor="margin" w:xAlign="center" w:y="1"/>
      <w:rPr>
        <w:rStyle w:val="43"/>
      </w:rPr>
    </w:pPr>
    <w:r>
      <w:rPr>
        <w:rStyle w:val="43"/>
      </w:rPr>
      <w:fldChar w:fldCharType="begin"/>
    </w:r>
    <w:r>
      <w:rPr>
        <w:rStyle w:val="43"/>
      </w:rPr>
      <w:instrText xml:space="preserve">PAGE  </w:instrText>
    </w:r>
    <w:r>
      <w:rPr>
        <w:rStyle w:val="43"/>
      </w:rPr>
      <w:fldChar w:fldCharType="separate"/>
    </w:r>
    <w:r>
      <w:rPr>
        <w:rStyle w:val="43"/>
      </w:rPr>
      <w:t>68</w:t>
    </w:r>
    <w:r>
      <w:rPr>
        <w:rStyle w:val="43"/>
      </w:rPr>
      <w:fldChar w:fldCharType="end"/>
    </w:r>
  </w:p>
  <w:p w14:paraId="52D5D66D">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D820B">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A14BE">
    <w:pPr>
      <w:pStyle w:val="22"/>
      <w:ind w:right="9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964145">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9964145">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08E7C">
    <w:pPr>
      <w:pStyle w:val="22"/>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16F6E">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8916F6E">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B0535">
    <w:pPr>
      <w:pStyle w:val="22"/>
      <w:framePr w:wrap="around" w:vAnchor="text" w:hAnchor="margin" w:xAlign="right" w:y="1"/>
      <w:rPr>
        <w:rStyle w:val="43"/>
      </w:rPr>
    </w:pPr>
    <w:r>
      <w:rPr>
        <w:rStyle w:val="43"/>
      </w:rPr>
      <w:fldChar w:fldCharType="begin"/>
    </w:r>
    <w:r>
      <w:rPr>
        <w:rStyle w:val="43"/>
      </w:rPr>
      <w:instrText xml:space="preserve">PAGE  </w:instrText>
    </w:r>
    <w:r>
      <w:rPr>
        <w:rStyle w:val="43"/>
      </w:rPr>
      <w:fldChar w:fldCharType="separate"/>
    </w:r>
    <w:r>
      <w:rPr>
        <w:rStyle w:val="43"/>
      </w:rPr>
      <w:t>1</w:t>
    </w:r>
    <w:r>
      <w:rPr>
        <w:rStyle w:val="43"/>
      </w:rPr>
      <w:fldChar w:fldCharType="end"/>
    </w:r>
  </w:p>
  <w:p w14:paraId="192A4463">
    <w:pPr>
      <w:pStyle w:val="2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3FC0F">
    <w:pPr>
      <w:pStyle w:val="2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77D21">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777D21">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43A82">
    <w:pPr>
      <w:pStyle w:val="22"/>
      <w:ind w:right="360"/>
      <w:jc w:val="center"/>
      <w:rPr>
        <w:rFonts w:asciiTheme="minorEastAsia" w:hAnsiTheme="minorEastAsia" w:eastAsiaTheme="minorEastAsia"/>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B19C7">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36</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62B19C7">
                    <w:pPr>
                      <w:pStyle w:val="22"/>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36</w:t>
                    </w:r>
                    <w:r>
                      <w:rPr>
                        <w:rFonts w:hint="eastAsia" w:ascii="仿宋" w:hAnsi="仿宋" w:eastAsia="仿宋" w:cs="仿宋"/>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B3B4F">
    <w:pPr>
      <w:pStyle w:val="23"/>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FD766">
    <w:pPr>
      <w:pStyle w:val="23"/>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837D13"/>
    <w:multiLevelType w:val="singleLevel"/>
    <w:tmpl w:val="DE837D13"/>
    <w:lvl w:ilvl="0" w:tentative="0">
      <w:start w:val="1"/>
      <w:numFmt w:val="decimal"/>
      <w:pStyle w:val="17"/>
      <w:lvlText w:val="%1."/>
      <w:lvlJc w:val="left"/>
      <w:pPr>
        <w:tabs>
          <w:tab w:val="left" w:pos="2040"/>
        </w:tabs>
        <w:ind w:left="2040" w:hanging="360"/>
      </w:pPr>
    </w:lvl>
  </w:abstractNum>
  <w:abstractNum w:abstractNumId="1">
    <w:nsid w:val="083D30AF"/>
    <w:multiLevelType w:val="multilevel"/>
    <w:tmpl w:val="083D30AF"/>
    <w:lvl w:ilvl="0" w:tentative="0">
      <w:start w:val="1"/>
      <w:numFmt w:val="japaneseCounting"/>
      <w:lvlText w:val="%1、"/>
      <w:lvlJc w:val="left"/>
      <w:pPr>
        <w:tabs>
          <w:tab w:val="left" w:pos="1275"/>
        </w:tabs>
        <w:ind w:left="1275" w:hanging="720"/>
      </w:pPr>
      <w:rPr>
        <w:rFonts w:hint="eastAsia"/>
      </w:rPr>
    </w:lvl>
    <w:lvl w:ilvl="1" w:tentative="0">
      <w:start w:val="1"/>
      <w:numFmt w:val="lowerLetter"/>
      <w:lvlText w:val="%2)"/>
      <w:lvlJc w:val="left"/>
      <w:pPr>
        <w:tabs>
          <w:tab w:val="left" w:pos="1395"/>
        </w:tabs>
        <w:ind w:left="1395" w:hanging="420"/>
      </w:pPr>
    </w:lvl>
    <w:lvl w:ilvl="2" w:tentative="0">
      <w:start w:val="1"/>
      <w:numFmt w:val="lowerRoman"/>
      <w:lvlText w:val="%3."/>
      <w:lvlJc w:val="right"/>
      <w:pPr>
        <w:tabs>
          <w:tab w:val="left" w:pos="1815"/>
        </w:tabs>
        <w:ind w:left="1815" w:hanging="420"/>
      </w:pPr>
    </w:lvl>
    <w:lvl w:ilvl="3" w:tentative="0">
      <w:start w:val="1"/>
      <w:numFmt w:val="decimal"/>
      <w:lvlText w:val="%4."/>
      <w:lvlJc w:val="left"/>
      <w:pPr>
        <w:tabs>
          <w:tab w:val="left" w:pos="2235"/>
        </w:tabs>
        <w:ind w:left="2235" w:hanging="420"/>
      </w:pPr>
    </w:lvl>
    <w:lvl w:ilvl="4" w:tentative="0">
      <w:start w:val="1"/>
      <w:numFmt w:val="lowerLetter"/>
      <w:lvlText w:val="%5)"/>
      <w:lvlJc w:val="left"/>
      <w:pPr>
        <w:tabs>
          <w:tab w:val="left" w:pos="2655"/>
        </w:tabs>
        <w:ind w:left="2655" w:hanging="420"/>
      </w:pPr>
    </w:lvl>
    <w:lvl w:ilvl="5" w:tentative="0">
      <w:start w:val="1"/>
      <w:numFmt w:val="lowerRoman"/>
      <w:lvlText w:val="%6."/>
      <w:lvlJc w:val="right"/>
      <w:pPr>
        <w:tabs>
          <w:tab w:val="left" w:pos="3075"/>
        </w:tabs>
        <w:ind w:left="3075" w:hanging="420"/>
      </w:pPr>
    </w:lvl>
    <w:lvl w:ilvl="6" w:tentative="0">
      <w:start w:val="1"/>
      <w:numFmt w:val="decimal"/>
      <w:lvlText w:val="%7."/>
      <w:lvlJc w:val="left"/>
      <w:pPr>
        <w:tabs>
          <w:tab w:val="left" w:pos="3495"/>
        </w:tabs>
        <w:ind w:left="3495" w:hanging="420"/>
      </w:pPr>
    </w:lvl>
    <w:lvl w:ilvl="7" w:tentative="0">
      <w:start w:val="1"/>
      <w:numFmt w:val="lowerLetter"/>
      <w:lvlText w:val="%8)"/>
      <w:lvlJc w:val="left"/>
      <w:pPr>
        <w:tabs>
          <w:tab w:val="left" w:pos="3915"/>
        </w:tabs>
        <w:ind w:left="3915" w:hanging="420"/>
      </w:pPr>
    </w:lvl>
    <w:lvl w:ilvl="8" w:tentative="0">
      <w:start w:val="1"/>
      <w:numFmt w:val="lowerRoman"/>
      <w:lvlText w:val="%9."/>
      <w:lvlJc w:val="right"/>
      <w:pPr>
        <w:tabs>
          <w:tab w:val="left" w:pos="4335"/>
        </w:tabs>
        <w:ind w:left="4335" w:hanging="420"/>
      </w:pPr>
    </w:lvl>
  </w:abstractNum>
  <w:abstractNum w:abstractNumId="2">
    <w:nsid w:val="644E5166"/>
    <w:multiLevelType w:val="multilevel"/>
    <w:tmpl w:val="644E516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64F426E2"/>
    <w:multiLevelType w:val="multilevel"/>
    <w:tmpl w:val="64F426E2"/>
    <w:lvl w:ilvl="0" w:tentative="0">
      <w:start w:val="7"/>
      <w:numFmt w:val="japaneseCounting"/>
      <w:lvlText w:val="第%1条"/>
      <w:lvlJc w:val="left"/>
      <w:pPr>
        <w:tabs>
          <w:tab w:val="left" w:pos="1620"/>
        </w:tabs>
        <w:ind w:left="1620" w:hanging="1095"/>
      </w:pPr>
      <w:rPr>
        <w:rFonts w:hint="eastAsia" w:ascii="黑体" w:eastAsia="黑体"/>
      </w:rPr>
    </w:lvl>
    <w:lvl w:ilvl="1" w:tentative="0">
      <w:start w:val="1"/>
      <w:numFmt w:val="lowerLetter"/>
      <w:lvlText w:val="%2)"/>
      <w:lvlJc w:val="left"/>
      <w:pPr>
        <w:tabs>
          <w:tab w:val="left" w:pos="1365"/>
        </w:tabs>
        <w:ind w:left="1365" w:hanging="420"/>
      </w:pPr>
    </w:lvl>
    <w:lvl w:ilvl="2" w:tentative="0">
      <w:start w:val="1"/>
      <w:numFmt w:val="lowerRoman"/>
      <w:lvlText w:val="%3."/>
      <w:lvlJc w:val="right"/>
      <w:pPr>
        <w:tabs>
          <w:tab w:val="left" w:pos="1785"/>
        </w:tabs>
        <w:ind w:left="1785" w:hanging="420"/>
      </w:pPr>
    </w:lvl>
    <w:lvl w:ilvl="3" w:tentative="0">
      <w:start w:val="1"/>
      <w:numFmt w:val="decimal"/>
      <w:lvlText w:val="%4."/>
      <w:lvlJc w:val="left"/>
      <w:pPr>
        <w:tabs>
          <w:tab w:val="left" w:pos="2205"/>
        </w:tabs>
        <w:ind w:left="2205" w:hanging="420"/>
      </w:pPr>
    </w:lvl>
    <w:lvl w:ilvl="4" w:tentative="0">
      <w:start w:val="1"/>
      <w:numFmt w:val="lowerLetter"/>
      <w:lvlText w:val="%5)"/>
      <w:lvlJc w:val="left"/>
      <w:pPr>
        <w:tabs>
          <w:tab w:val="left" w:pos="2625"/>
        </w:tabs>
        <w:ind w:left="2625" w:hanging="420"/>
      </w:pPr>
    </w:lvl>
    <w:lvl w:ilvl="5" w:tentative="0">
      <w:start w:val="1"/>
      <w:numFmt w:val="lowerRoman"/>
      <w:lvlText w:val="%6."/>
      <w:lvlJc w:val="right"/>
      <w:pPr>
        <w:tabs>
          <w:tab w:val="left" w:pos="3045"/>
        </w:tabs>
        <w:ind w:left="3045" w:hanging="420"/>
      </w:p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5YzQ0MWM2NDg3NzAxNTI3MDYxNmNiYmNjZWVhNTgifQ=="/>
    <w:docVar w:name="KSO_WPS_MARK_KEY" w:val="fdbdf24b-0dbf-482d-9e5c-40b2cee7c8c0"/>
  </w:docVars>
  <w:rsids>
    <w:rsidRoot w:val="00172A27"/>
    <w:rsid w:val="000002B4"/>
    <w:rsid w:val="00001340"/>
    <w:rsid w:val="00002143"/>
    <w:rsid w:val="00004DAA"/>
    <w:rsid w:val="00005C75"/>
    <w:rsid w:val="00006BD9"/>
    <w:rsid w:val="00007BA8"/>
    <w:rsid w:val="000104D6"/>
    <w:rsid w:val="00010CE2"/>
    <w:rsid w:val="00012108"/>
    <w:rsid w:val="00012E01"/>
    <w:rsid w:val="00014F7D"/>
    <w:rsid w:val="000162FE"/>
    <w:rsid w:val="00020411"/>
    <w:rsid w:val="0002386B"/>
    <w:rsid w:val="0002405E"/>
    <w:rsid w:val="000244CA"/>
    <w:rsid w:val="0002545E"/>
    <w:rsid w:val="00027B5D"/>
    <w:rsid w:val="00030171"/>
    <w:rsid w:val="00033566"/>
    <w:rsid w:val="00033852"/>
    <w:rsid w:val="000343A0"/>
    <w:rsid w:val="000347EB"/>
    <w:rsid w:val="00036B12"/>
    <w:rsid w:val="000400E8"/>
    <w:rsid w:val="00044B32"/>
    <w:rsid w:val="00046152"/>
    <w:rsid w:val="0005003E"/>
    <w:rsid w:val="00051397"/>
    <w:rsid w:val="00054F47"/>
    <w:rsid w:val="0005551C"/>
    <w:rsid w:val="000604DE"/>
    <w:rsid w:val="0006199F"/>
    <w:rsid w:val="000641A9"/>
    <w:rsid w:val="000653CD"/>
    <w:rsid w:val="000661C0"/>
    <w:rsid w:val="00070AF5"/>
    <w:rsid w:val="00070BFE"/>
    <w:rsid w:val="0007362D"/>
    <w:rsid w:val="00073846"/>
    <w:rsid w:val="00073D96"/>
    <w:rsid w:val="000762D4"/>
    <w:rsid w:val="00077DB3"/>
    <w:rsid w:val="0008025F"/>
    <w:rsid w:val="00080E16"/>
    <w:rsid w:val="000829F2"/>
    <w:rsid w:val="00082FC4"/>
    <w:rsid w:val="00085ED3"/>
    <w:rsid w:val="000904A3"/>
    <w:rsid w:val="00090F37"/>
    <w:rsid w:val="000916AB"/>
    <w:rsid w:val="000923E8"/>
    <w:rsid w:val="000946D4"/>
    <w:rsid w:val="00094989"/>
    <w:rsid w:val="000A0272"/>
    <w:rsid w:val="000A02F9"/>
    <w:rsid w:val="000A1ECD"/>
    <w:rsid w:val="000A32B9"/>
    <w:rsid w:val="000A3552"/>
    <w:rsid w:val="000A43C4"/>
    <w:rsid w:val="000A452A"/>
    <w:rsid w:val="000B210F"/>
    <w:rsid w:val="000B318F"/>
    <w:rsid w:val="000B331B"/>
    <w:rsid w:val="000B4C6A"/>
    <w:rsid w:val="000B7C76"/>
    <w:rsid w:val="000C364C"/>
    <w:rsid w:val="000C3FDE"/>
    <w:rsid w:val="000D171A"/>
    <w:rsid w:val="000D5DA0"/>
    <w:rsid w:val="000D7CE7"/>
    <w:rsid w:val="000E2D54"/>
    <w:rsid w:val="000E34FC"/>
    <w:rsid w:val="000E40A6"/>
    <w:rsid w:val="000E5B9C"/>
    <w:rsid w:val="000E674D"/>
    <w:rsid w:val="000E7461"/>
    <w:rsid w:val="000F186E"/>
    <w:rsid w:val="000F56EE"/>
    <w:rsid w:val="00100D44"/>
    <w:rsid w:val="00101AA4"/>
    <w:rsid w:val="00102AB6"/>
    <w:rsid w:val="00104F86"/>
    <w:rsid w:val="001063D0"/>
    <w:rsid w:val="0010650C"/>
    <w:rsid w:val="00106BA4"/>
    <w:rsid w:val="00111383"/>
    <w:rsid w:val="001145B2"/>
    <w:rsid w:val="00115901"/>
    <w:rsid w:val="00115A4B"/>
    <w:rsid w:val="0011725D"/>
    <w:rsid w:val="00121DF5"/>
    <w:rsid w:val="001248E7"/>
    <w:rsid w:val="00126044"/>
    <w:rsid w:val="00127B38"/>
    <w:rsid w:val="00127C9A"/>
    <w:rsid w:val="0013312B"/>
    <w:rsid w:val="00134210"/>
    <w:rsid w:val="00134F82"/>
    <w:rsid w:val="001357C8"/>
    <w:rsid w:val="00142BB8"/>
    <w:rsid w:val="00143169"/>
    <w:rsid w:val="0014554F"/>
    <w:rsid w:val="00146E26"/>
    <w:rsid w:val="001543A3"/>
    <w:rsid w:val="001575BE"/>
    <w:rsid w:val="00157673"/>
    <w:rsid w:val="0015794E"/>
    <w:rsid w:val="00160159"/>
    <w:rsid w:val="00160311"/>
    <w:rsid w:val="00161961"/>
    <w:rsid w:val="00162DD4"/>
    <w:rsid w:val="001652C6"/>
    <w:rsid w:val="0016644B"/>
    <w:rsid w:val="00170A17"/>
    <w:rsid w:val="00171110"/>
    <w:rsid w:val="00172AA0"/>
    <w:rsid w:val="001733AF"/>
    <w:rsid w:val="00176FAD"/>
    <w:rsid w:val="0017733A"/>
    <w:rsid w:val="00181200"/>
    <w:rsid w:val="001901CA"/>
    <w:rsid w:val="001930FC"/>
    <w:rsid w:val="00193402"/>
    <w:rsid w:val="00194DD8"/>
    <w:rsid w:val="00197628"/>
    <w:rsid w:val="001A1456"/>
    <w:rsid w:val="001A1D16"/>
    <w:rsid w:val="001A2117"/>
    <w:rsid w:val="001A45DD"/>
    <w:rsid w:val="001A4E5A"/>
    <w:rsid w:val="001A4E90"/>
    <w:rsid w:val="001A71AF"/>
    <w:rsid w:val="001B1372"/>
    <w:rsid w:val="001B1748"/>
    <w:rsid w:val="001B5A4C"/>
    <w:rsid w:val="001C15DD"/>
    <w:rsid w:val="001C4134"/>
    <w:rsid w:val="001D029C"/>
    <w:rsid w:val="001D4B73"/>
    <w:rsid w:val="001D50A5"/>
    <w:rsid w:val="001E288B"/>
    <w:rsid w:val="001E33A7"/>
    <w:rsid w:val="001E3D69"/>
    <w:rsid w:val="001E4755"/>
    <w:rsid w:val="001E6E8F"/>
    <w:rsid w:val="001E794E"/>
    <w:rsid w:val="001F292C"/>
    <w:rsid w:val="001F3A08"/>
    <w:rsid w:val="001F610A"/>
    <w:rsid w:val="001F79E8"/>
    <w:rsid w:val="00200BA8"/>
    <w:rsid w:val="0020240F"/>
    <w:rsid w:val="002055DD"/>
    <w:rsid w:val="00205968"/>
    <w:rsid w:val="00205DF6"/>
    <w:rsid w:val="00205F22"/>
    <w:rsid w:val="0021147C"/>
    <w:rsid w:val="00214257"/>
    <w:rsid w:val="00214392"/>
    <w:rsid w:val="00215BA5"/>
    <w:rsid w:val="00215F58"/>
    <w:rsid w:val="00217E00"/>
    <w:rsid w:val="0022016C"/>
    <w:rsid w:val="0022177D"/>
    <w:rsid w:val="002224AE"/>
    <w:rsid w:val="00223931"/>
    <w:rsid w:val="002246D6"/>
    <w:rsid w:val="00226DEC"/>
    <w:rsid w:val="0022747A"/>
    <w:rsid w:val="0023151C"/>
    <w:rsid w:val="0023323E"/>
    <w:rsid w:val="00236A48"/>
    <w:rsid w:val="00236D43"/>
    <w:rsid w:val="00240D63"/>
    <w:rsid w:val="00243861"/>
    <w:rsid w:val="002472C0"/>
    <w:rsid w:val="002508FA"/>
    <w:rsid w:val="00253DC3"/>
    <w:rsid w:val="002541CE"/>
    <w:rsid w:val="00255C6B"/>
    <w:rsid w:val="0025723D"/>
    <w:rsid w:val="00257F22"/>
    <w:rsid w:val="002604A7"/>
    <w:rsid w:val="00260910"/>
    <w:rsid w:val="00262A6E"/>
    <w:rsid w:val="00263141"/>
    <w:rsid w:val="00266F04"/>
    <w:rsid w:val="00280F38"/>
    <w:rsid w:val="00283C54"/>
    <w:rsid w:val="00285885"/>
    <w:rsid w:val="00285ABC"/>
    <w:rsid w:val="00292BAB"/>
    <w:rsid w:val="002967DA"/>
    <w:rsid w:val="002A6197"/>
    <w:rsid w:val="002A7CE2"/>
    <w:rsid w:val="002B0041"/>
    <w:rsid w:val="002B01D0"/>
    <w:rsid w:val="002B38BE"/>
    <w:rsid w:val="002B3DBF"/>
    <w:rsid w:val="002B77E1"/>
    <w:rsid w:val="002C02A1"/>
    <w:rsid w:val="002C2DD2"/>
    <w:rsid w:val="002C7FCF"/>
    <w:rsid w:val="002D280B"/>
    <w:rsid w:val="002D3439"/>
    <w:rsid w:val="002D635D"/>
    <w:rsid w:val="002D6CF2"/>
    <w:rsid w:val="002E1B79"/>
    <w:rsid w:val="002E25BC"/>
    <w:rsid w:val="002E29B4"/>
    <w:rsid w:val="002E5AAD"/>
    <w:rsid w:val="002F065A"/>
    <w:rsid w:val="002F10F5"/>
    <w:rsid w:val="002F2283"/>
    <w:rsid w:val="002F640F"/>
    <w:rsid w:val="002F7FD1"/>
    <w:rsid w:val="00300C92"/>
    <w:rsid w:val="003017E3"/>
    <w:rsid w:val="00301FBF"/>
    <w:rsid w:val="00304A1A"/>
    <w:rsid w:val="00304D2D"/>
    <w:rsid w:val="00305EE3"/>
    <w:rsid w:val="0030747A"/>
    <w:rsid w:val="003117CE"/>
    <w:rsid w:val="003121AD"/>
    <w:rsid w:val="00313F13"/>
    <w:rsid w:val="00315623"/>
    <w:rsid w:val="00315D4B"/>
    <w:rsid w:val="00315D59"/>
    <w:rsid w:val="003160D4"/>
    <w:rsid w:val="00316DBA"/>
    <w:rsid w:val="00317D34"/>
    <w:rsid w:val="00321036"/>
    <w:rsid w:val="00323AFC"/>
    <w:rsid w:val="0032592F"/>
    <w:rsid w:val="00326152"/>
    <w:rsid w:val="00331C14"/>
    <w:rsid w:val="0033231B"/>
    <w:rsid w:val="00332D2E"/>
    <w:rsid w:val="00333E01"/>
    <w:rsid w:val="00336EED"/>
    <w:rsid w:val="003414CA"/>
    <w:rsid w:val="00344BCD"/>
    <w:rsid w:val="00347E66"/>
    <w:rsid w:val="0035118C"/>
    <w:rsid w:val="003537E4"/>
    <w:rsid w:val="0035581F"/>
    <w:rsid w:val="00357E91"/>
    <w:rsid w:val="00360D30"/>
    <w:rsid w:val="00361C9D"/>
    <w:rsid w:val="00363991"/>
    <w:rsid w:val="00364473"/>
    <w:rsid w:val="003646E5"/>
    <w:rsid w:val="00366F29"/>
    <w:rsid w:val="00367BA8"/>
    <w:rsid w:val="00370F25"/>
    <w:rsid w:val="00373602"/>
    <w:rsid w:val="00373826"/>
    <w:rsid w:val="00373AD1"/>
    <w:rsid w:val="00376E83"/>
    <w:rsid w:val="00384E2D"/>
    <w:rsid w:val="00390A3C"/>
    <w:rsid w:val="00392652"/>
    <w:rsid w:val="003974F8"/>
    <w:rsid w:val="003A28C5"/>
    <w:rsid w:val="003A5B50"/>
    <w:rsid w:val="003A6107"/>
    <w:rsid w:val="003A7427"/>
    <w:rsid w:val="003B0D63"/>
    <w:rsid w:val="003B70AD"/>
    <w:rsid w:val="003B7226"/>
    <w:rsid w:val="003C0B9E"/>
    <w:rsid w:val="003C179F"/>
    <w:rsid w:val="003C21E8"/>
    <w:rsid w:val="003C558B"/>
    <w:rsid w:val="003D01BB"/>
    <w:rsid w:val="003D05EA"/>
    <w:rsid w:val="003D2C56"/>
    <w:rsid w:val="003D3CCB"/>
    <w:rsid w:val="003D4211"/>
    <w:rsid w:val="003E11F4"/>
    <w:rsid w:val="003E4A7A"/>
    <w:rsid w:val="003F08DC"/>
    <w:rsid w:val="003F3849"/>
    <w:rsid w:val="003F4611"/>
    <w:rsid w:val="003F59D7"/>
    <w:rsid w:val="0040310D"/>
    <w:rsid w:val="00404253"/>
    <w:rsid w:val="00407128"/>
    <w:rsid w:val="004079CE"/>
    <w:rsid w:val="004143A5"/>
    <w:rsid w:val="004220B6"/>
    <w:rsid w:val="004238E7"/>
    <w:rsid w:val="00423980"/>
    <w:rsid w:val="0042662D"/>
    <w:rsid w:val="004270EF"/>
    <w:rsid w:val="00427533"/>
    <w:rsid w:val="00432C0C"/>
    <w:rsid w:val="00433EED"/>
    <w:rsid w:val="0044198C"/>
    <w:rsid w:val="0044280B"/>
    <w:rsid w:val="00443888"/>
    <w:rsid w:val="004449F3"/>
    <w:rsid w:val="00444EE1"/>
    <w:rsid w:val="00445872"/>
    <w:rsid w:val="0044799D"/>
    <w:rsid w:val="0045091A"/>
    <w:rsid w:val="00451F71"/>
    <w:rsid w:val="00452BB8"/>
    <w:rsid w:val="00454FA1"/>
    <w:rsid w:val="00455196"/>
    <w:rsid w:val="0045602F"/>
    <w:rsid w:val="00457A37"/>
    <w:rsid w:val="004639BC"/>
    <w:rsid w:val="004640C1"/>
    <w:rsid w:val="00464725"/>
    <w:rsid w:val="00464BAE"/>
    <w:rsid w:val="004660B0"/>
    <w:rsid w:val="004704FB"/>
    <w:rsid w:val="004825A8"/>
    <w:rsid w:val="0048512D"/>
    <w:rsid w:val="004A010F"/>
    <w:rsid w:val="004A01F6"/>
    <w:rsid w:val="004A1F5D"/>
    <w:rsid w:val="004A3D6D"/>
    <w:rsid w:val="004A4981"/>
    <w:rsid w:val="004A5190"/>
    <w:rsid w:val="004A5376"/>
    <w:rsid w:val="004A6517"/>
    <w:rsid w:val="004A67FA"/>
    <w:rsid w:val="004A68AF"/>
    <w:rsid w:val="004A7173"/>
    <w:rsid w:val="004A7D7E"/>
    <w:rsid w:val="004B029E"/>
    <w:rsid w:val="004B0537"/>
    <w:rsid w:val="004B28CA"/>
    <w:rsid w:val="004B7DE5"/>
    <w:rsid w:val="004C1AE6"/>
    <w:rsid w:val="004C6BAD"/>
    <w:rsid w:val="004C7102"/>
    <w:rsid w:val="004C7FD7"/>
    <w:rsid w:val="004D0A4A"/>
    <w:rsid w:val="004D0E18"/>
    <w:rsid w:val="004D11B3"/>
    <w:rsid w:val="004D3C30"/>
    <w:rsid w:val="004D5AE9"/>
    <w:rsid w:val="004D5C23"/>
    <w:rsid w:val="004D5F63"/>
    <w:rsid w:val="004D75D5"/>
    <w:rsid w:val="004E0230"/>
    <w:rsid w:val="004E2088"/>
    <w:rsid w:val="004E419C"/>
    <w:rsid w:val="004E56D8"/>
    <w:rsid w:val="004E5B18"/>
    <w:rsid w:val="004E606C"/>
    <w:rsid w:val="004E6954"/>
    <w:rsid w:val="004E76F6"/>
    <w:rsid w:val="004E7786"/>
    <w:rsid w:val="004F0D23"/>
    <w:rsid w:val="00501303"/>
    <w:rsid w:val="0050507E"/>
    <w:rsid w:val="00507DCF"/>
    <w:rsid w:val="00511664"/>
    <w:rsid w:val="00516A4F"/>
    <w:rsid w:val="005170D9"/>
    <w:rsid w:val="00520FE8"/>
    <w:rsid w:val="0052394D"/>
    <w:rsid w:val="00524F86"/>
    <w:rsid w:val="00526F0E"/>
    <w:rsid w:val="005271EF"/>
    <w:rsid w:val="00527A46"/>
    <w:rsid w:val="005307A5"/>
    <w:rsid w:val="0053132A"/>
    <w:rsid w:val="00536952"/>
    <w:rsid w:val="005369FB"/>
    <w:rsid w:val="00537638"/>
    <w:rsid w:val="0054181E"/>
    <w:rsid w:val="00541AC4"/>
    <w:rsid w:val="00541FB5"/>
    <w:rsid w:val="0055435D"/>
    <w:rsid w:val="005574D7"/>
    <w:rsid w:val="00560740"/>
    <w:rsid w:val="005627EE"/>
    <w:rsid w:val="00562B2E"/>
    <w:rsid w:val="00566F28"/>
    <w:rsid w:val="00570015"/>
    <w:rsid w:val="00573EAA"/>
    <w:rsid w:val="00576ADE"/>
    <w:rsid w:val="00577ECB"/>
    <w:rsid w:val="00577FFA"/>
    <w:rsid w:val="0058012A"/>
    <w:rsid w:val="00582F95"/>
    <w:rsid w:val="00586658"/>
    <w:rsid w:val="00587816"/>
    <w:rsid w:val="005879D1"/>
    <w:rsid w:val="0059145C"/>
    <w:rsid w:val="00594BE3"/>
    <w:rsid w:val="00595F0C"/>
    <w:rsid w:val="00596BA7"/>
    <w:rsid w:val="005A215C"/>
    <w:rsid w:val="005A6326"/>
    <w:rsid w:val="005A69CA"/>
    <w:rsid w:val="005A770A"/>
    <w:rsid w:val="005C53A8"/>
    <w:rsid w:val="005D2A28"/>
    <w:rsid w:val="005D3846"/>
    <w:rsid w:val="005D5695"/>
    <w:rsid w:val="005D651D"/>
    <w:rsid w:val="005D6F56"/>
    <w:rsid w:val="005E22B8"/>
    <w:rsid w:val="005E28BD"/>
    <w:rsid w:val="005E3C18"/>
    <w:rsid w:val="005E617A"/>
    <w:rsid w:val="005F3159"/>
    <w:rsid w:val="005F3701"/>
    <w:rsid w:val="005F437E"/>
    <w:rsid w:val="005F4DCF"/>
    <w:rsid w:val="005F6E37"/>
    <w:rsid w:val="005F7CCF"/>
    <w:rsid w:val="0060072E"/>
    <w:rsid w:val="0060086F"/>
    <w:rsid w:val="00600C9C"/>
    <w:rsid w:val="00601507"/>
    <w:rsid w:val="006053D2"/>
    <w:rsid w:val="00606716"/>
    <w:rsid w:val="00607BD4"/>
    <w:rsid w:val="0061147C"/>
    <w:rsid w:val="00614490"/>
    <w:rsid w:val="0061632F"/>
    <w:rsid w:val="00616341"/>
    <w:rsid w:val="00617E79"/>
    <w:rsid w:val="00617EC4"/>
    <w:rsid w:val="00622699"/>
    <w:rsid w:val="00624E16"/>
    <w:rsid w:val="00630AAC"/>
    <w:rsid w:val="006314C2"/>
    <w:rsid w:val="00631C5A"/>
    <w:rsid w:val="0063569B"/>
    <w:rsid w:val="00635CE4"/>
    <w:rsid w:val="0063610A"/>
    <w:rsid w:val="006367D4"/>
    <w:rsid w:val="00644CAA"/>
    <w:rsid w:val="00646460"/>
    <w:rsid w:val="0064722F"/>
    <w:rsid w:val="00647D58"/>
    <w:rsid w:val="0065082F"/>
    <w:rsid w:val="00650F27"/>
    <w:rsid w:val="00651977"/>
    <w:rsid w:val="006523BD"/>
    <w:rsid w:val="00652A1B"/>
    <w:rsid w:val="00652A7E"/>
    <w:rsid w:val="00652A9D"/>
    <w:rsid w:val="00653B67"/>
    <w:rsid w:val="006546EA"/>
    <w:rsid w:val="00654D73"/>
    <w:rsid w:val="00655FCC"/>
    <w:rsid w:val="006568E0"/>
    <w:rsid w:val="00656C08"/>
    <w:rsid w:val="00657AD0"/>
    <w:rsid w:val="0066102E"/>
    <w:rsid w:val="00661E10"/>
    <w:rsid w:val="00664BD0"/>
    <w:rsid w:val="0066520F"/>
    <w:rsid w:val="006654E8"/>
    <w:rsid w:val="0066681E"/>
    <w:rsid w:val="00666A31"/>
    <w:rsid w:val="00670008"/>
    <w:rsid w:val="00670790"/>
    <w:rsid w:val="0067272A"/>
    <w:rsid w:val="006728AB"/>
    <w:rsid w:val="00672F73"/>
    <w:rsid w:val="00673798"/>
    <w:rsid w:val="00674559"/>
    <w:rsid w:val="00674A1B"/>
    <w:rsid w:val="00674AFD"/>
    <w:rsid w:val="006804BB"/>
    <w:rsid w:val="00691232"/>
    <w:rsid w:val="006932B7"/>
    <w:rsid w:val="00693DA7"/>
    <w:rsid w:val="00694538"/>
    <w:rsid w:val="006956A0"/>
    <w:rsid w:val="0069732C"/>
    <w:rsid w:val="0069791E"/>
    <w:rsid w:val="006A4AC4"/>
    <w:rsid w:val="006A72C3"/>
    <w:rsid w:val="006B014A"/>
    <w:rsid w:val="006B14EC"/>
    <w:rsid w:val="006B2DDD"/>
    <w:rsid w:val="006B6380"/>
    <w:rsid w:val="006B6739"/>
    <w:rsid w:val="006B72B0"/>
    <w:rsid w:val="006B72D9"/>
    <w:rsid w:val="006B7760"/>
    <w:rsid w:val="006C06C9"/>
    <w:rsid w:val="006C08F0"/>
    <w:rsid w:val="006C214D"/>
    <w:rsid w:val="006C2490"/>
    <w:rsid w:val="006C3250"/>
    <w:rsid w:val="006C551A"/>
    <w:rsid w:val="006C5A93"/>
    <w:rsid w:val="006D0395"/>
    <w:rsid w:val="006D21CC"/>
    <w:rsid w:val="006D3A4C"/>
    <w:rsid w:val="006D3A5D"/>
    <w:rsid w:val="006D5419"/>
    <w:rsid w:val="006D541A"/>
    <w:rsid w:val="006D54D4"/>
    <w:rsid w:val="006D72DF"/>
    <w:rsid w:val="006D747B"/>
    <w:rsid w:val="006E249F"/>
    <w:rsid w:val="006E344D"/>
    <w:rsid w:val="006E51CF"/>
    <w:rsid w:val="006F07AB"/>
    <w:rsid w:val="006F2A4E"/>
    <w:rsid w:val="006F3AF3"/>
    <w:rsid w:val="006F5509"/>
    <w:rsid w:val="006F6DB0"/>
    <w:rsid w:val="006F7BBE"/>
    <w:rsid w:val="00700939"/>
    <w:rsid w:val="00703743"/>
    <w:rsid w:val="00704AEC"/>
    <w:rsid w:val="00704C14"/>
    <w:rsid w:val="00705A54"/>
    <w:rsid w:val="00707DD7"/>
    <w:rsid w:val="007104B7"/>
    <w:rsid w:val="00711806"/>
    <w:rsid w:val="00711DFE"/>
    <w:rsid w:val="007127BA"/>
    <w:rsid w:val="00712834"/>
    <w:rsid w:val="007128C2"/>
    <w:rsid w:val="007137F1"/>
    <w:rsid w:val="007138D7"/>
    <w:rsid w:val="007156D2"/>
    <w:rsid w:val="007171D2"/>
    <w:rsid w:val="0072037A"/>
    <w:rsid w:val="00731CAD"/>
    <w:rsid w:val="00737F44"/>
    <w:rsid w:val="00742828"/>
    <w:rsid w:val="00747623"/>
    <w:rsid w:val="007509C9"/>
    <w:rsid w:val="00750F56"/>
    <w:rsid w:val="0075151D"/>
    <w:rsid w:val="0075182A"/>
    <w:rsid w:val="00751E8B"/>
    <w:rsid w:val="00752280"/>
    <w:rsid w:val="00752409"/>
    <w:rsid w:val="007555F9"/>
    <w:rsid w:val="00756E59"/>
    <w:rsid w:val="0075781F"/>
    <w:rsid w:val="0076194F"/>
    <w:rsid w:val="00761F55"/>
    <w:rsid w:val="00767044"/>
    <w:rsid w:val="00767A9C"/>
    <w:rsid w:val="007706A6"/>
    <w:rsid w:val="00775831"/>
    <w:rsid w:val="007758AC"/>
    <w:rsid w:val="00775DEA"/>
    <w:rsid w:val="00775E04"/>
    <w:rsid w:val="00777B6C"/>
    <w:rsid w:val="0078033B"/>
    <w:rsid w:val="00781F52"/>
    <w:rsid w:val="00782548"/>
    <w:rsid w:val="00782584"/>
    <w:rsid w:val="00784173"/>
    <w:rsid w:val="00786AAF"/>
    <w:rsid w:val="00787D19"/>
    <w:rsid w:val="007952C7"/>
    <w:rsid w:val="00796034"/>
    <w:rsid w:val="007A0C42"/>
    <w:rsid w:val="007A0E43"/>
    <w:rsid w:val="007A1947"/>
    <w:rsid w:val="007A237A"/>
    <w:rsid w:val="007A3B2A"/>
    <w:rsid w:val="007A5319"/>
    <w:rsid w:val="007A7C18"/>
    <w:rsid w:val="007A7EF1"/>
    <w:rsid w:val="007B2A84"/>
    <w:rsid w:val="007B32E9"/>
    <w:rsid w:val="007C4912"/>
    <w:rsid w:val="007C66D2"/>
    <w:rsid w:val="007C6BBF"/>
    <w:rsid w:val="007D1C55"/>
    <w:rsid w:val="007D3CF4"/>
    <w:rsid w:val="007D3DC6"/>
    <w:rsid w:val="007D4455"/>
    <w:rsid w:val="007D62D7"/>
    <w:rsid w:val="007D68A5"/>
    <w:rsid w:val="007E7421"/>
    <w:rsid w:val="007F314D"/>
    <w:rsid w:val="007F6C55"/>
    <w:rsid w:val="008012FC"/>
    <w:rsid w:val="00801FFA"/>
    <w:rsid w:val="008036B7"/>
    <w:rsid w:val="0080494D"/>
    <w:rsid w:val="00804D5D"/>
    <w:rsid w:val="0080672E"/>
    <w:rsid w:val="008067AA"/>
    <w:rsid w:val="008068DA"/>
    <w:rsid w:val="008068EC"/>
    <w:rsid w:val="00807795"/>
    <w:rsid w:val="00810459"/>
    <w:rsid w:val="00813D04"/>
    <w:rsid w:val="0081414C"/>
    <w:rsid w:val="00816A53"/>
    <w:rsid w:val="00820914"/>
    <w:rsid w:val="00822EBD"/>
    <w:rsid w:val="008247D9"/>
    <w:rsid w:val="00825A15"/>
    <w:rsid w:val="00825F46"/>
    <w:rsid w:val="00825FAA"/>
    <w:rsid w:val="00826C3A"/>
    <w:rsid w:val="00830296"/>
    <w:rsid w:val="0083223D"/>
    <w:rsid w:val="008330C9"/>
    <w:rsid w:val="00835F52"/>
    <w:rsid w:val="00840117"/>
    <w:rsid w:val="00843C8F"/>
    <w:rsid w:val="00844290"/>
    <w:rsid w:val="008443B1"/>
    <w:rsid w:val="00844507"/>
    <w:rsid w:val="0084490D"/>
    <w:rsid w:val="00844A00"/>
    <w:rsid w:val="00846F1B"/>
    <w:rsid w:val="008526D9"/>
    <w:rsid w:val="00854E30"/>
    <w:rsid w:val="00857654"/>
    <w:rsid w:val="00857B62"/>
    <w:rsid w:val="008618C1"/>
    <w:rsid w:val="00862EBB"/>
    <w:rsid w:val="008631DD"/>
    <w:rsid w:val="00864330"/>
    <w:rsid w:val="008703DB"/>
    <w:rsid w:val="00872CE4"/>
    <w:rsid w:val="0087459C"/>
    <w:rsid w:val="00877E4D"/>
    <w:rsid w:val="00880D74"/>
    <w:rsid w:val="00880ED3"/>
    <w:rsid w:val="00881BAB"/>
    <w:rsid w:val="00881D84"/>
    <w:rsid w:val="00883470"/>
    <w:rsid w:val="00884BA6"/>
    <w:rsid w:val="008858F6"/>
    <w:rsid w:val="00890712"/>
    <w:rsid w:val="00890B69"/>
    <w:rsid w:val="00892BDA"/>
    <w:rsid w:val="00892DE8"/>
    <w:rsid w:val="008A072E"/>
    <w:rsid w:val="008A2656"/>
    <w:rsid w:val="008A3A9E"/>
    <w:rsid w:val="008A4942"/>
    <w:rsid w:val="008A4B8E"/>
    <w:rsid w:val="008A53DE"/>
    <w:rsid w:val="008A561B"/>
    <w:rsid w:val="008A6628"/>
    <w:rsid w:val="008B01C2"/>
    <w:rsid w:val="008B029B"/>
    <w:rsid w:val="008B1D39"/>
    <w:rsid w:val="008B5573"/>
    <w:rsid w:val="008C24AF"/>
    <w:rsid w:val="008C5641"/>
    <w:rsid w:val="008C6135"/>
    <w:rsid w:val="008D0766"/>
    <w:rsid w:val="008D4229"/>
    <w:rsid w:val="008D4521"/>
    <w:rsid w:val="008D4BDD"/>
    <w:rsid w:val="008D5387"/>
    <w:rsid w:val="008D60F8"/>
    <w:rsid w:val="008D7591"/>
    <w:rsid w:val="008E1EA1"/>
    <w:rsid w:val="008E337E"/>
    <w:rsid w:val="008E47C0"/>
    <w:rsid w:val="008E6003"/>
    <w:rsid w:val="008E69FC"/>
    <w:rsid w:val="008E6AAE"/>
    <w:rsid w:val="008F1D6D"/>
    <w:rsid w:val="008F52D0"/>
    <w:rsid w:val="008F6AA2"/>
    <w:rsid w:val="00900116"/>
    <w:rsid w:val="009055EE"/>
    <w:rsid w:val="00905A28"/>
    <w:rsid w:val="00910B36"/>
    <w:rsid w:val="00910FF9"/>
    <w:rsid w:val="00913858"/>
    <w:rsid w:val="00914849"/>
    <w:rsid w:val="009166AD"/>
    <w:rsid w:val="0091776B"/>
    <w:rsid w:val="00917C51"/>
    <w:rsid w:val="009209E8"/>
    <w:rsid w:val="009211B4"/>
    <w:rsid w:val="00922373"/>
    <w:rsid w:val="00922592"/>
    <w:rsid w:val="00923C4A"/>
    <w:rsid w:val="009259D5"/>
    <w:rsid w:val="00925B9C"/>
    <w:rsid w:val="00926CDD"/>
    <w:rsid w:val="00926EE7"/>
    <w:rsid w:val="009278C5"/>
    <w:rsid w:val="00930024"/>
    <w:rsid w:val="0093107D"/>
    <w:rsid w:val="009324FE"/>
    <w:rsid w:val="00933150"/>
    <w:rsid w:val="00933165"/>
    <w:rsid w:val="0093334D"/>
    <w:rsid w:val="00934B57"/>
    <w:rsid w:val="00935307"/>
    <w:rsid w:val="0094041C"/>
    <w:rsid w:val="0094055B"/>
    <w:rsid w:val="00941545"/>
    <w:rsid w:val="009435A6"/>
    <w:rsid w:val="009437A7"/>
    <w:rsid w:val="00946789"/>
    <w:rsid w:val="00950163"/>
    <w:rsid w:val="0095139A"/>
    <w:rsid w:val="009546B7"/>
    <w:rsid w:val="00955047"/>
    <w:rsid w:val="00955238"/>
    <w:rsid w:val="009558DD"/>
    <w:rsid w:val="009613A3"/>
    <w:rsid w:val="0096147D"/>
    <w:rsid w:val="0096479F"/>
    <w:rsid w:val="00965552"/>
    <w:rsid w:val="0096574A"/>
    <w:rsid w:val="0096617A"/>
    <w:rsid w:val="00967429"/>
    <w:rsid w:val="009700E7"/>
    <w:rsid w:val="009701A2"/>
    <w:rsid w:val="00971FF1"/>
    <w:rsid w:val="00975775"/>
    <w:rsid w:val="00977D99"/>
    <w:rsid w:val="0098099B"/>
    <w:rsid w:val="00981749"/>
    <w:rsid w:val="00982857"/>
    <w:rsid w:val="00983E4E"/>
    <w:rsid w:val="009840B0"/>
    <w:rsid w:val="00984531"/>
    <w:rsid w:val="0098659E"/>
    <w:rsid w:val="009869E5"/>
    <w:rsid w:val="00991F92"/>
    <w:rsid w:val="0099239A"/>
    <w:rsid w:val="00992683"/>
    <w:rsid w:val="009930AE"/>
    <w:rsid w:val="00994368"/>
    <w:rsid w:val="009960AD"/>
    <w:rsid w:val="00997017"/>
    <w:rsid w:val="009A089A"/>
    <w:rsid w:val="009A1ABA"/>
    <w:rsid w:val="009A456E"/>
    <w:rsid w:val="009A6799"/>
    <w:rsid w:val="009A693B"/>
    <w:rsid w:val="009A7284"/>
    <w:rsid w:val="009A75CB"/>
    <w:rsid w:val="009B074B"/>
    <w:rsid w:val="009B0A3E"/>
    <w:rsid w:val="009B72EB"/>
    <w:rsid w:val="009B792F"/>
    <w:rsid w:val="009C07B4"/>
    <w:rsid w:val="009C4BB9"/>
    <w:rsid w:val="009C4C50"/>
    <w:rsid w:val="009C7D0A"/>
    <w:rsid w:val="009C7FD8"/>
    <w:rsid w:val="009D05BF"/>
    <w:rsid w:val="009D2432"/>
    <w:rsid w:val="009D245C"/>
    <w:rsid w:val="009D6AFE"/>
    <w:rsid w:val="009E0EA7"/>
    <w:rsid w:val="009E36F0"/>
    <w:rsid w:val="009F064F"/>
    <w:rsid w:val="009F11C8"/>
    <w:rsid w:val="009F15EF"/>
    <w:rsid w:val="009F24D1"/>
    <w:rsid w:val="009F3D47"/>
    <w:rsid w:val="009F4563"/>
    <w:rsid w:val="009F487E"/>
    <w:rsid w:val="009F6C40"/>
    <w:rsid w:val="00A01EFD"/>
    <w:rsid w:val="00A039D2"/>
    <w:rsid w:val="00A04B51"/>
    <w:rsid w:val="00A05781"/>
    <w:rsid w:val="00A068B7"/>
    <w:rsid w:val="00A069FC"/>
    <w:rsid w:val="00A0749F"/>
    <w:rsid w:val="00A12D09"/>
    <w:rsid w:val="00A17158"/>
    <w:rsid w:val="00A2031C"/>
    <w:rsid w:val="00A20856"/>
    <w:rsid w:val="00A2140F"/>
    <w:rsid w:val="00A24145"/>
    <w:rsid w:val="00A24411"/>
    <w:rsid w:val="00A252A2"/>
    <w:rsid w:val="00A25ADF"/>
    <w:rsid w:val="00A319A4"/>
    <w:rsid w:val="00A320D2"/>
    <w:rsid w:val="00A32455"/>
    <w:rsid w:val="00A32D75"/>
    <w:rsid w:val="00A33EC9"/>
    <w:rsid w:val="00A36113"/>
    <w:rsid w:val="00A377F1"/>
    <w:rsid w:val="00A40087"/>
    <w:rsid w:val="00A41CA5"/>
    <w:rsid w:val="00A426D2"/>
    <w:rsid w:val="00A46BC3"/>
    <w:rsid w:val="00A51A47"/>
    <w:rsid w:val="00A5296E"/>
    <w:rsid w:val="00A5323E"/>
    <w:rsid w:val="00A5538A"/>
    <w:rsid w:val="00A5692F"/>
    <w:rsid w:val="00A57C84"/>
    <w:rsid w:val="00A6358C"/>
    <w:rsid w:val="00A63DE3"/>
    <w:rsid w:val="00A648D2"/>
    <w:rsid w:val="00A648FB"/>
    <w:rsid w:val="00A665B8"/>
    <w:rsid w:val="00A67621"/>
    <w:rsid w:val="00A709D1"/>
    <w:rsid w:val="00A70DE0"/>
    <w:rsid w:val="00A81B56"/>
    <w:rsid w:val="00A82E49"/>
    <w:rsid w:val="00A83F70"/>
    <w:rsid w:val="00A841E3"/>
    <w:rsid w:val="00A86E53"/>
    <w:rsid w:val="00A920ED"/>
    <w:rsid w:val="00A92497"/>
    <w:rsid w:val="00A94B95"/>
    <w:rsid w:val="00A95164"/>
    <w:rsid w:val="00A96056"/>
    <w:rsid w:val="00A969C3"/>
    <w:rsid w:val="00A97447"/>
    <w:rsid w:val="00AA0C7F"/>
    <w:rsid w:val="00AA1E25"/>
    <w:rsid w:val="00AA65EF"/>
    <w:rsid w:val="00AA6837"/>
    <w:rsid w:val="00AB07FC"/>
    <w:rsid w:val="00AB0BCB"/>
    <w:rsid w:val="00AB1B7A"/>
    <w:rsid w:val="00AB234F"/>
    <w:rsid w:val="00AB490B"/>
    <w:rsid w:val="00AB50A1"/>
    <w:rsid w:val="00AB63EC"/>
    <w:rsid w:val="00AB706C"/>
    <w:rsid w:val="00AB7635"/>
    <w:rsid w:val="00AB7D40"/>
    <w:rsid w:val="00AC0195"/>
    <w:rsid w:val="00AC169A"/>
    <w:rsid w:val="00AC17BD"/>
    <w:rsid w:val="00AC627A"/>
    <w:rsid w:val="00AC7076"/>
    <w:rsid w:val="00AD0219"/>
    <w:rsid w:val="00AD0858"/>
    <w:rsid w:val="00AD159E"/>
    <w:rsid w:val="00AD25AF"/>
    <w:rsid w:val="00AD3FA3"/>
    <w:rsid w:val="00AD5B00"/>
    <w:rsid w:val="00AE0905"/>
    <w:rsid w:val="00AE2F7F"/>
    <w:rsid w:val="00AF35AE"/>
    <w:rsid w:val="00AF394B"/>
    <w:rsid w:val="00AF6C87"/>
    <w:rsid w:val="00AF7196"/>
    <w:rsid w:val="00B001EA"/>
    <w:rsid w:val="00B006E0"/>
    <w:rsid w:val="00B0365E"/>
    <w:rsid w:val="00B03D5C"/>
    <w:rsid w:val="00B11E1C"/>
    <w:rsid w:val="00B12CAE"/>
    <w:rsid w:val="00B12DA9"/>
    <w:rsid w:val="00B1771E"/>
    <w:rsid w:val="00B20979"/>
    <w:rsid w:val="00B20B9D"/>
    <w:rsid w:val="00B20CA6"/>
    <w:rsid w:val="00B2179E"/>
    <w:rsid w:val="00B21830"/>
    <w:rsid w:val="00B24130"/>
    <w:rsid w:val="00B24BED"/>
    <w:rsid w:val="00B259B3"/>
    <w:rsid w:val="00B3066F"/>
    <w:rsid w:val="00B31572"/>
    <w:rsid w:val="00B32FDE"/>
    <w:rsid w:val="00B3485C"/>
    <w:rsid w:val="00B3551C"/>
    <w:rsid w:val="00B41CC5"/>
    <w:rsid w:val="00B4456E"/>
    <w:rsid w:val="00B455A2"/>
    <w:rsid w:val="00B5121C"/>
    <w:rsid w:val="00B55DD4"/>
    <w:rsid w:val="00B562EE"/>
    <w:rsid w:val="00B601DE"/>
    <w:rsid w:val="00B60D21"/>
    <w:rsid w:val="00B61DB0"/>
    <w:rsid w:val="00B628A3"/>
    <w:rsid w:val="00B635C3"/>
    <w:rsid w:val="00B64059"/>
    <w:rsid w:val="00B64E0D"/>
    <w:rsid w:val="00B65DD7"/>
    <w:rsid w:val="00B66B82"/>
    <w:rsid w:val="00B67C8D"/>
    <w:rsid w:val="00B71A77"/>
    <w:rsid w:val="00B746DE"/>
    <w:rsid w:val="00B761D0"/>
    <w:rsid w:val="00B76B5B"/>
    <w:rsid w:val="00B76E0A"/>
    <w:rsid w:val="00B770A1"/>
    <w:rsid w:val="00B826E5"/>
    <w:rsid w:val="00B836E8"/>
    <w:rsid w:val="00B83FBC"/>
    <w:rsid w:val="00B841A4"/>
    <w:rsid w:val="00B871DD"/>
    <w:rsid w:val="00B87B57"/>
    <w:rsid w:val="00B93135"/>
    <w:rsid w:val="00B9774B"/>
    <w:rsid w:val="00BA1954"/>
    <w:rsid w:val="00BA376F"/>
    <w:rsid w:val="00BA5F64"/>
    <w:rsid w:val="00BA61A9"/>
    <w:rsid w:val="00BB0A71"/>
    <w:rsid w:val="00BB11E2"/>
    <w:rsid w:val="00BB33FD"/>
    <w:rsid w:val="00BB33FE"/>
    <w:rsid w:val="00BB5C5F"/>
    <w:rsid w:val="00BB612A"/>
    <w:rsid w:val="00BB627A"/>
    <w:rsid w:val="00BC193E"/>
    <w:rsid w:val="00BC4F1B"/>
    <w:rsid w:val="00BC6F1B"/>
    <w:rsid w:val="00BC753E"/>
    <w:rsid w:val="00BC7668"/>
    <w:rsid w:val="00BC7E29"/>
    <w:rsid w:val="00BD1D60"/>
    <w:rsid w:val="00BD1FA5"/>
    <w:rsid w:val="00BD2812"/>
    <w:rsid w:val="00BD3A3F"/>
    <w:rsid w:val="00BD6949"/>
    <w:rsid w:val="00BD7B88"/>
    <w:rsid w:val="00BE4B8D"/>
    <w:rsid w:val="00BE5EB9"/>
    <w:rsid w:val="00BE73E9"/>
    <w:rsid w:val="00BF0B2C"/>
    <w:rsid w:val="00BF0C97"/>
    <w:rsid w:val="00BF28EC"/>
    <w:rsid w:val="00BF51F6"/>
    <w:rsid w:val="00BF52C5"/>
    <w:rsid w:val="00BF682C"/>
    <w:rsid w:val="00BF7476"/>
    <w:rsid w:val="00C02D9A"/>
    <w:rsid w:val="00C06808"/>
    <w:rsid w:val="00C10DEC"/>
    <w:rsid w:val="00C10EEC"/>
    <w:rsid w:val="00C12240"/>
    <w:rsid w:val="00C138B2"/>
    <w:rsid w:val="00C13F57"/>
    <w:rsid w:val="00C17074"/>
    <w:rsid w:val="00C1758E"/>
    <w:rsid w:val="00C21672"/>
    <w:rsid w:val="00C21ACC"/>
    <w:rsid w:val="00C22755"/>
    <w:rsid w:val="00C31F14"/>
    <w:rsid w:val="00C34E9B"/>
    <w:rsid w:val="00C34FE2"/>
    <w:rsid w:val="00C36041"/>
    <w:rsid w:val="00C36B8D"/>
    <w:rsid w:val="00C402C9"/>
    <w:rsid w:val="00C406A0"/>
    <w:rsid w:val="00C41C1D"/>
    <w:rsid w:val="00C421A0"/>
    <w:rsid w:val="00C439B2"/>
    <w:rsid w:val="00C44001"/>
    <w:rsid w:val="00C4439D"/>
    <w:rsid w:val="00C45F5C"/>
    <w:rsid w:val="00C466A2"/>
    <w:rsid w:val="00C46AF0"/>
    <w:rsid w:val="00C479FE"/>
    <w:rsid w:val="00C47EB3"/>
    <w:rsid w:val="00C50B1D"/>
    <w:rsid w:val="00C53ADD"/>
    <w:rsid w:val="00C56178"/>
    <w:rsid w:val="00C562B0"/>
    <w:rsid w:val="00C56DD1"/>
    <w:rsid w:val="00C57D52"/>
    <w:rsid w:val="00C603C1"/>
    <w:rsid w:val="00C6061D"/>
    <w:rsid w:val="00C62E07"/>
    <w:rsid w:val="00C63C53"/>
    <w:rsid w:val="00C70B15"/>
    <w:rsid w:val="00C70F4F"/>
    <w:rsid w:val="00C7603F"/>
    <w:rsid w:val="00C80ECD"/>
    <w:rsid w:val="00C8206E"/>
    <w:rsid w:val="00C82962"/>
    <w:rsid w:val="00C83BA2"/>
    <w:rsid w:val="00C840F2"/>
    <w:rsid w:val="00C8538F"/>
    <w:rsid w:val="00C9122B"/>
    <w:rsid w:val="00C93D82"/>
    <w:rsid w:val="00C94904"/>
    <w:rsid w:val="00C9683B"/>
    <w:rsid w:val="00CA0EF6"/>
    <w:rsid w:val="00CA31DB"/>
    <w:rsid w:val="00CA4361"/>
    <w:rsid w:val="00CB21A0"/>
    <w:rsid w:val="00CB26B0"/>
    <w:rsid w:val="00CB2ACC"/>
    <w:rsid w:val="00CC0A81"/>
    <w:rsid w:val="00CC2EA3"/>
    <w:rsid w:val="00CC41D4"/>
    <w:rsid w:val="00CD2724"/>
    <w:rsid w:val="00CD33AB"/>
    <w:rsid w:val="00CD4A09"/>
    <w:rsid w:val="00CD5E71"/>
    <w:rsid w:val="00CD6B61"/>
    <w:rsid w:val="00CF08A4"/>
    <w:rsid w:val="00CF0C7B"/>
    <w:rsid w:val="00CF1C70"/>
    <w:rsid w:val="00CF291C"/>
    <w:rsid w:val="00CF4B54"/>
    <w:rsid w:val="00D02613"/>
    <w:rsid w:val="00D060F5"/>
    <w:rsid w:val="00D06613"/>
    <w:rsid w:val="00D114B4"/>
    <w:rsid w:val="00D119E0"/>
    <w:rsid w:val="00D1210A"/>
    <w:rsid w:val="00D12679"/>
    <w:rsid w:val="00D13574"/>
    <w:rsid w:val="00D13FCC"/>
    <w:rsid w:val="00D149B3"/>
    <w:rsid w:val="00D14E0D"/>
    <w:rsid w:val="00D15B9A"/>
    <w:rsid w:val="00D15D80"/>
    <w:rsid w:val="00D1666A"/>
    <w:rsid w:val="00D17D8C"/>
    <w:rsid w:val="00D21BE7"/>
    <w:rsid w:val="00D26793"/>
    <w:rsid w:val="00D27953"/>
    <w:rsid w:val="00D33441"/>
    <w:rsid w:val="00D334C0"/>
    <w:rsid w:val="00D36619"/>
    <w:rsid w:val="00D3707C"/>
    <w:rsid w:val="00D375DC"/>
    <w:rsid w:val="00D450F4"/>
    <w:rsid w:val="00D45431"/>
    <w:rsid w:val="00D505AC"/>
    <w:rsid w:val="00D50730"/>
    <w:rsid w:val="00D50E55"/>
    <w:rsid w:val="00D50E97"/>
    <w:rsid w:val="00D539DF"/>
    <w:rsid w:val="00D53B3B"/>
    <w:rsid w:val="00D542EE"/>
    <w:rsid w:val="00D545D3"/>
    <w:rsid w:val="00D54F3E"/>
    <w:rsid w:val="00D577AF"/>
    <w:rsid w:val="00D57932"/>
    <w:rsid w:val="00D65F39"/>
    <w:rsid w:val="00D664CF"/>
    <w:rsid w:val="00D67757"/>
    <w:rsid w:val="00D72D71"/>
    <w:rsid w:val="00D7654E"/>
    <w:rsid w:val="00D76D8D"/>
    <w:rsid w:val="00D83166"/>
    <w:rsid w:val="00D8329A"/>
    <w:rsid w:val="00D85475"/>
    <w:rsid w:val="00D86304"/>
    <w:rsid w:val="00D87DC8"/>
    <w:rsid w:val="00D9044D"/>
    <w:rsid w:val="00D90F3B"/>
    <w:rsid w:val="00D94EB2"/>
    <w:rsid w:val="00D96521"/>
    <w:rsid w:val="00DA2563"/>
    <w:rsid w:val="00DA318F"/>
    <w:rsid w:val="00DA380B"/>
    <w:rsid w:val="00DA5364"/>
    <w:rsid w:val="00DB160F"/>
    <w:rsid w:val="00DB2F65"/>
    <w:rsid w:val="00DB4270"/>
    <w:rsid w:val="00DB50E6"/>
    <w:rsid w:val="00DB5B28"/>
    <w:rsid w:val="00DB7459"/>
    <w:rsid w:val="00DC2111"/>
    <w:rsid w:val="00DC2BD1"/>
    <w:rsid w:val="00DC32BC"/>
    <w:rsid w:val="00DC3C54"/>
    <w:rsid w:val="00DC499D"/>
    <w:rsid w:val="00DC7034"/>
    <w:rsid w:val="00DC770C"/>
    <w:rsid w:val="00DD3685"/>
    <w:rsid w:val="00DD5A57"/>
    <w:rsid w:val="00DD5B1D"/>
    <w:rsid w:val="00DE664E"/>
    <w:rsid w:val="00DE6FEA"/>
    <w:rsid w:val="00DF29E0"/>
    <w:rsid w:val="00E002E1"/>
    <w:rsid w:val="00E00882"/>
    <w:rsid w:val="00E00DF4"/>
    <w:rsid w:val="00E0178C"/>
    <w:rsid w:val="00E0297A"/>
    <w:rsid w:val="00E0354C"/>
    <w:rsid w:val="00E05CD7"/>
    <w:rsid w:val="00E121FC"/>
    <w:rsid w:val="00E14149"/>
    <w:rsid w:val="00E155EB"/>
    <w:rsid w:val="00E17B8A"/>
    <w:rsid w:val="00E27F9E"/>
    <w:rsid w:val="00E311A1"/>
    <w:rsid w:val="00E34833"/>
    <w:rsid w:val="00E34FF9"/>
    <w:rsid w:val="00E3576F"/>
    <w:rsid w:val="00E36033"/>
    <w:rsid w:val="00E36E35"/>
    <w:rsid w:val="00E40272"/>
    <w:rsid w:val="00E413FB"/>
    <w:rsid w:val="00E41690"/>
    <w:rsid w:val="00E41A56"/>
    <w:rsid w:val="00E41F24"/>
    <w:rsid w:val="00E4229F"/>
    <w:rsid w:val="00E42A20"/>
    <w:rsid w:val="00E4570B"/>
    <w:rsid w:val="00E45AB6"/>
    <w:rsid w:val="00E50150"/>
    <w:rsid w:val="00E501D3"/>
    <w:rsid w:val="00E53766"/>
    <w:rsid w:val="00E53FDA"/>
    <w:rsid w:val="00E56EAE"/>
    <w:rsid w:val="00E62EE1"/>
    <w:rsid w:val="00E656AA"/>
    <w:rsid w:val="00E6785B"/>
    <w:rsid w:val="00E67BB4"/>
    <w:rsid w:val="00E702E4"/>
    <w:rsid w:val="00E705A5"/>
    <w:rsid w:val="00E71356"/>
    <w:rsid w:val="00E713BE"/>
    <w:rsid w:val="00E715AA"/>
    <w:rsid w:val="00E718FA"/>
    <w:rsid w:val="00E73C64"/>
    <w:rsid w:val="00E761CC"/>
    <w:rsid w:val="00E76A25"/>
    <w:rsid w:val="00E82AFE"/>
    <w:rsid w:val="00E8351B"/>
    <w:rsid w:val="00E8434D"/>
    <w:rsid w:val="00E847F7"/>
    <w:rsid w:val="00E84BDF"/>
    <w:rsid w:val="00E86E6A"/>
    <w:rsid w:val="00E87230"/>
    <w:rsid w:val="00E872AD"/>
    <w:rsid w:val="00E87666"/>
    <w:rsid w:val="00E9078D"/>
    <w:rsid w:val="00E90F88"/>
    <w:rsid w:val="00E912E2"/>
    <w:rsid w:val="00E92B97"/>
    <w:rsid w:val="00E92E6C"/>
    <w:rsid w:val="00E94407"/>
    <w:rsid w:val="00E964E5"/>
    <w:rsid w:val="00E96D5C"/>
    <w:rsid w:val="00EA076E"/>
    <w:rsid w:val="00EA75E3"/>
    <w:rsid w:val="00EB19B3"/>
    <w:rsid w:val="00EB312C"/>
    <w:rsid w:val="00EC012F"/>
    <w:rsid w:val="00EC22AB"/>
    <w:rsid w:val="00EC767D"/>
    <w:rsid w:val="00ED1CD5"/>
    <w:rsid w:val="00ED4D77"/>
    <w:rsid w:val="00ED7DB6"/>
    <w:rsid w:val="00EE1040"/>
    <w:rsid w:val="00EE2F7B"/>
    <w:rsid w:val="00EE35B9"/>
    <w:rsid w:val="00EE4888"/>
    <w:rsid w:val="00EE7991"/>
    <w:rsid w:val="00EF0DD2"/>
    <w:rsid w:val="00EF3196"/>
    <w:rsid w:val="00EF3352"/>
    <w:rsid w:val="00EF4BD4"/>
    <w:rsid w:val="00EF6989"/>
    <w:rsid w:val="00F00A1D"/>
    <w:rsid w:val="00F00D73"/>
    <w:rsid w:val="00F011EE"/>
    <w:rsid w:val="00F01EC3"/>
    <w:rsid w:val="00F029A4"/>
    <w:rsid w:val="00F0325A"/>
    <w:rsid w:val="00F04C40"/>
    <w:rsid w:val="00F077F5"/>
    <w:rsid w:val="00F078E8"/>
    <w:rsid w:val="00F101CF"/>
    <w:rsid w:val="00F10359"/>
    <w:rsid w:val="00F11AEB"/>
    <w:rsid w:val="00F141A0"/>
    <w:rsid w:val="00F1438C"/>
    <w:rsid w:val="00F21F0C"/>
    <w:rsid w:val="00F22CC8"/>
    <w:rsid w:val="00F2452B"/>
    <w:rsid w:val="00F26479"/>
    <w:rsid w:val="00F27F0C"/>
    <w:rsid w:val="00F31749"/>
    <w:rsid w:val="00F3403B"/>
    <w:rsid w:val="00F360D6"/>
    <w:rsid w:val="00F37DC2"/>
    <w:rsid w:val="00F41097"/>
    <w:rsid w:val="00F4197F"/>
    <w:rsid w:val="00F42929"/>
    <w:rsid w:val="00F42B8A"/>
    <w:rsid w:val="00F44D8C"/>
    <w:rsid w:val="00F45130"/>
    <w:rsid w:val="00F47920"/>
    <w:rsid w:val="00F518BA"/>
    <w:rsid w:val="00F52661"/>
    <w:rsid w:val="00F5283D"/>
    <w:rsid w:val="00F52D03"/>
    <w:rsid w:val="00F536DA"/>
    <w:rsid w:val="00F555A6"/>
    <w:rsid w:val="00F57796"/>
    <w:rsid w:val="00F61283"/>
    <w:rsid w:val="00F63A6B"/>
    <w:rsid w:val="00F65CFD"/>
    <w:rsid w:val="00F6738F"/>
    <w:rsid w:val="00F72E4D"/>
    <w:rsid w:val="00F73D80"/>
    <w:rsid w:val="00F7596E"/>
    <w:rsid w:val="00F81D99"/>
    <w:rsid w:val="00F83541"/>
    <w:rsid w:val="00F85A84"/>
    <w:rsid w:val="00F94DA0"/>
    <w:rsid w:val="00F95020"/>
    <w:rsid w:val="00F95580"/>
    <w:rsid w:val="00FA6BE0"/>
    <w:rsid w:val="00FA72A6"/>
    <w:rsid w:val="00FB1EB5"/>
    <w:rsid w:val="00FB2B09"/>
    <w:rsid w:val="00FB3DE9"/>
    <w:rsid w:val="00FB5939"/>
    <w:rsid w:val="00FB5C0D"/>
    <w:rsid w:val="00FB5EA4"/>
    <w:rsid w:val="00FC3E48"/>
    <w:rsid w:val="00FC44AA"/>
    <w:rsid w:val="00FC6F7D"/>
    <w:rsid w:val="00FD026D"/>
    <w:rsid w:val="00FD0E95"/>
    <w:rsid w:val="00FD28D5"/>
    <w:rsid w:val="00FD2BC5"/>
    <w:rsid w:val="00FD3D53"/>
    <w:rsid w:val="00FD722D"/>
    <w:rsid w:val="00FE0791"/>
    <w:rsid w:val="00FE2F34"/>
    <w:rsid w:val="00FE3038"/>
    <w:rsid w:val="00FE3D42"/>
    <w:rsid w:val="00FE5094"/>
    <w:rsid w:val="00FF2520"/>
    <w:rsid w:val="00FF2E08"/>
    <w:rsid w:val="00FF4215"/>
    <w:rsid w:val="00FF4B81"/>
    <w:rsid w:val="00FF4C85"/>
    <w:rsid w:val="00FF63F7"/>
    <w:rsid w:val="00FF7BA0"/>
    <w:rsid w:val="01190B56"/>
    <w:rsid w:val="01373E76"/>
    <w:rsid w:val="01390BCC"/>
    <w:rsid w:val="014529B7"/>
    <w:rsid w:val="01582DED"/>
    <w:rsid w:val="016519C1"/>
    <w:rsid w:val="019239B4"/>
    <w:rsid w:val="0196601E"/>
    <w:rsid w:val="01BD7A4F"/>
    <w:rsid w:val="01C401C9"/>
    <w:rsid w:val="01DD30DE"/>
    <w:rsid w:val="02D23086"/>
    <w:rsid w:val="02DA63DE"/>
    <w:rsid w:val="02F94BC3"/>
    <w:rsid w:val="02FD6D4D"/>
    <w:rsid w:val="03EC32E0"/>
    <w:rsid w:val="04422C51"/>
    <w:rsid w:val="04636418"/>
    <w:rsid w:val="049E6084"/>
    <w:rsid w:val="04A3407A"/>
    <w:rsid w:val="04A8452D"/>
    <w:rsid w:val="05602A5A"/>
    <w:rsid w:val="056326BB"/>
    <w:rsid w:val="057C19CF"/>
    <w:rsid w:val="05A218FD"/>
    <w:rsid w:val="05BA5435"/>
    <w:rsid w:val="063F4718"/>
    <w:rsid w:val="06C00186"/>
    <w:rsid w:val="06CB3F2E"/>
    <w:rsid w:val="07073390"/>
    <w:rsid w:val="070B4DB8"/>
    <w:rsid w:val="071719AF"/>
    <w:rsid w:val="071A149F"/>
    <w:rsid w:val="07702E6D"/>
    <w:rsid w:val="07CA3595"/>
    <w:rsid w:val="07CC05D8"/>
    <w:rsid w:val="07D93108"/>
    <w:rsid w:val="080F6B2A"/>
    <w:rsid w:val="082D6FB0"/>
    <w:rsid w:val="083321D8"/>
    <w:rsid w:val="084D31AF"/>
    <w:rsid w:val="085B3B1D"/>
    <w:rsid w:val="086329D2"/>
    <w:rsid w:val="0889118A"/>
    <w:rsid w:val="08A50077"/>
    <w:rsid w:val="09197B3E"/>
    <w:rsid w:val="0935436E"/>
    <w:rsid w:val="094B394B"/>
    <w:rsid w:val="09510A7C"/>
    <w:rsid w:val="09662A3F"/>
    <w:rsid w:val="09802D58"/>
    <w:rsid w:val="09870B6B"/>
    <w:rsid w:val="09910B62"/>
    <w:rsid w:val="09A45050"/>
    <w:rsid w:val="09D771D4"/>
    <w:rsid w:val="0A2C3657"/>
    <w:rsid w:val="0A3201D3"/>
    <w:rsid w:val="0A454A85"/>
    <w:rsid w:val="0B326FF4"/>
    <w:rsid w:val="0B3A5CA3"/>
    <w:rsid w:val="0B531F9E"/>
    <w:rsid w:val="0C2661F0"/>
    <w:rsid w:val="0CAD06C0"/>
    <w:rsid w:val="0CB8153E"/>
    <w:rsid w:val="0CF3376D"/>
    <w:rsid w:val="0D2332ED"/>
    <w:rsid w:val="0D415C54"/>
    <w:rsid w:val="0D5C45C0"/>
    <w:rsid w:val="0DD028B8"/>
    <w:rsid w:val="0DDA3736"/>
    <w:rsid w:val="0DEA1BCB"/>
    <w:rsid w:val="0E347BBB"/>
    <w:rsid w:val="0E9272B5"/>
    <w:rsid w:val="0E9D4E90"/>
    <w:rsid w:val="0F4E7C06"/>
    <w:rsid w:val="0F5576A6"/>
    <w:rsid w:val="0F73174D"/>
    <w:rsid w:val="0F75161B"/>
    <w:rsid w:val="0FD348E1"/>
    <w:rsid w:val="0FE9445C"/>
    <w:rsid w:val="0FF7412C"/>
    <w:rsid w:val="103E5A93"/>
    <w:rsid w:val="10923E54"/>
    <w:rsid w:val="10E87F18"/>
    <w:rsid w:val="11023CAD"/>
    <w:rsid w:val="111927C8"/>
    <w:rsid w:val="11204879"/>
    <w:rsid w:val="11C023CD"/>
    <w:rsid w:val="11C8783A"/>
    <w:rsid w:val="11F70C71"/>
    <w:rsid w:val="1202500A"/>
    <w:rsid w:val="12086AC4"/>
    <w:rsid w:val="12176D07"/>
    <w:rsid w:val="128F3808"/>
    <w:rsid w:val="1299596E"/>
    <w:rsid w:val="12AF7E37"/>
    <w:rsid w:val="12BE5A78"/>
    <w:rsid w:val="12DA1AE3"/>
    <w:rsid w:val="131462C7"/>
    <w:rsid w:val="131E78EB"/>
    <w:rsid w:val="13955291"/>
    <w:rsid w:val="139B3968"/>
    <w:rsid w:val="13BD568C"/>
    <w:rsid w:val="13EF712B"/>
    <w:rsid w:val="13FB724D"/>
    <w:rsid w:val="143028CF"/>
    <w:rsid w:val="14363136"/>
    <w:rsid w:val="1461239E"/>
    <w:rsid w:val="14642A47"/>
    <w:rsid w:val="14A423A8"/>
    <w:rsid w:val="14AB3CAB"/>
    <w:rsid w:val="14E47444"/>
    <w:rsid w:val="1517558A"/>
    <w:rsid w:val="151948F4"/>
    <w:rsid w:val="158E37F0"/>
    <w:rsid w:val="15FD6214"/>
    <w:rsid w:val="1607785B"/>
    <w:rsid w:val="160A7825"/>
    <w:rsid w:val="16353154"/>
    <w:rsid w:val="16610551"/>
    <w:rsid w:val="1669087F"/>
    <w:rsid w:val="168510F5"/>
    <w:rsid w:val="16C46D32"/>
    <w:rsid w:val="16C778CD"/>
    <w:rsid w:val="16D72F09"/>
    <w:rsid w:val="170B670F"/>
    <w:rsid w:val="172D148A"/>
    <w:rsid w:val="178D2ADC"/>
    <w:rsid w:val="18047D2E"/>
    <w:rsid w:val="18510A99"/>
    <w:rsid w:val="185537EF"/>
    <w:rsid w:val="188E357D"/>
    <w:rsid w:val="18C372FC"/>
    <w:rsid w:val="18CB25F9"/>
    <w:rsid w:val="19043F59"/>
    <w:rsid w:val="19153875"/>
    <w:rsid w:val="19351120"/>
    <w:rsid w:val="19766A09"/>
    <w:rsid w:val="19A05834"/>
    <w:rsid w:val="1A891F2F"/>
    <w:rsid w:val="1A951111"/>
    <w:rsid w:val="1AC75042"/>
    <w:rsid w:val="1AF91FA2"/>
    <w:rsid w:val="1B140288"/>
    <w:rsid w:val="1B574618"/>
    <w:rsid w:val="1B7F5081"/>
    <w:rsid w:val="1B8F0552"/>
    <w:rsid w:val="1B9A62B3"/>
    <w:rsid w:val="1BBB37C2"/>
    <w:rsid w:val="1BD10986"/>
    <w:rsid w:val="1BD664C1"/>
    <w:rsid w:val="1BF72D21"/>
    <w:rsid w:val="1C2D3D71"/>
    <w:rsid w:val="1C312E45"/>
    <w:rsid w:val="1C381D54"/>
    <w:rsid w:val="1CD47504"/>
    <w:rsid w:val="1D174F3D"/>
    <w:rsid w:val="1D2027D7"/>
    <w:rsid w:val="1D860599"/>
    <w:rsid w:val="1DAA1C58"/>
    <w:rsid w:val="1E2A7DC2"/>
    <w:rsid w:val="1E62130A"/>
    <w:rsid w:val="1E641526"/>
    <w:rsid w:val="1E6A26E0"/>
    <w:rsid w:val="1E9B2A6E"/>
    <w:rsid w:val="1EE00179"/>
    <w:rsid w:val="1EFF124F"/>
    <w:rsid w:val="1F0813F5"/>
    <w:rsid w:val="1F0C54A8"/>
    <w:rsid w:val="1F601FA9"/>
    <w:rsid w:val="1FC61D6D"/>
    <w:rsid w:val="1FE12702"/>
    <w:rsid w:val="200308CB"/>
    <w:rsid w:val="20646A1B"/>
    <w:rsid w:val="20C56428"/>
    <w:rsid w:val="20DB35F6"/>
    <w:rsid w:val="20EA10BE"/>
    <w:rsid w:val="21140BF4"/>
    <w:rsid w:val="211704C9"/>
    <w:rsid w:val="214B42D7"/>
    <w:rsid w:val="21690C01"/>
    <w:rsid w:val="21A36FDB"/>
    <w:rsid w:val="21E43368"/>
    <w:rsid w:val="21E9221E"/>
    <w:rsid w:val="21FE57EE"/>
    <w:rsid w:val="228C75D7"/>
    <w:rsid w:val="22993768"/>
    <w:rsid w:val="22A85B61"/>
    <w:rsid w:val="22C858FF"/>
    <w:rsid w:val="22DC7E78"/>
    <w:rsid w:val="231D6147"/>
    <w:rsid w:val="232A5A95"/>
    <w:rsid w:val="234242DD"/>
    <w:rsid w:val="238F6834"/>
    <w:rsid w:val="23FC43CB"/>
    <w:rsid w:val="23FF3832"/>
    <w:rsid w:val="24117358"/>
    <w:rsid w:val="244D480A"/>
    <w:rsid w:val="245C67FB"/>
    <w:rsid w:val="24612064"/>
    <w:rsid w:val="24833D88"/>
    <w:rsid w:val="249C4E4A"/>
    <w:rsid w:val="249E1EDD"/>
    <w:rsid w:val="252E6649"/>
    <w:rsid w:val="25583467"/>
    <w:rsid w:val="2573095D"/>
    <w:rsid w:val="2584600A"/>
    <w:rsid w:val="25847A9B"/>
    <w:rsid w:val="25873D4C"/>
    <w:rsid w:val="25D052BA"/>
    <w:rsid w:val="2608575D"/>
    <w:rsid w:val="26323CB8"/>
    <w:rsid w:val="264D464E"/>
    <w:rsid w:val="268A58A2"/>
    <w:rsid w:val="26F7280B"/>
    <w:rsid w:val="271B474C"/>
    <w:rsid w:val="272B1672"/>
    <w:rsid w:val="27535154"/>
    <w:rsid w:val="27541D8F"/>
    <w:rsid w:val="275639D6"/>
    <w:rsid w:val="275D6B12"/>
    <w:rsid w:val="278A580A"/>
    <w:rsid w:val="27AB3D22"/>
    <w:rsid w:val="27C065A2"/>
    <w:rsid w:val="27C61867"/>
    <w:rsid w:val="28092E82"/>
    <w:rsid w:val="283C7070"/>
    <w:rsid w:val="284B1663"/>
    <w:rsid w:val="285831A2"/>
    <w:rsid w:val="287D5314"/>
    <w:rsid w:val="28AB0135"/>
    <w:rsid w:val="28C32245"/>
    <w:rsid w:val="28D771B3"/>
    <w:rsid w:val="28E15521"/>
    <w:rsid w:val="28F22610"/>
    <w:rsid w:val="294A6240"/>
    <w:rsid w:val="294D1B32"/>
    <w:rsid w:val="29530FF5"/>
    <w:rsid w:val="297B7831"/>
    <w:rsid w:val="29AE0F00"/>
    <w:rsid w:val="29BB35C4"/>
    <w:rsid w:val="29C15A7E"/>
    <w:rsid w:val="29D335AD"/>
    <w:rsid w:val="2A43209A"/>
    <w:rsid w:val="2A6B7798"/>
    <w:rsid w:val="2AC33130"/>
    <w:rsid w:val="2AD4533E"/>
    <w:rsid w:val="2ADF3CE2"/>
    <w:rsid w:val="2B006133"/>
    <w:rsid w:val="2B183E1B"/>
    <w:rsid w:val="2B19215E"/>
    <w:rsid w:val="2BCC11A7"/>
    <w:rsid w:val="2BDB76C2"/>
    <w:rsid w:val="2BE27F2E"/>
    <w:rsid w:val="2BE87AAD"/>
    <w:rsid w:val="2C37360C"/>
    <w:rsid w:val="2C424529"/>
    <w:rsid w:val="2C5A3DB0"/>
    <w:rsid w:val="2C892158"/>
    <w:rsid w:val="2D265D01"/>
    <w:rsid w:val="2D5B1AF1"/>
    <w:rsid w:val="2D7121BC"/>
    <w:rsid w:val="2D8F7C42"/>
    <w:rsid w:val="2DB61DC2"/>
    <w:rsid w:val="2DB63420"/>
    <w:rsid w:val="2E61479F"/>
    <w:rsid w:val="2E7A444E"/>
    <w:rsid w:val="2E935510"/>
    <w:rsid w:val="2EC21111"/>
    <w:rsid w:val="2ED964C1"/>
    <w:rsid w:val="2EF647DB"/>
    <w:rsid w:val="2F0C2E65"/>
    <w:rsid w:val="2F113395"/>
    <w:rsid w:val="2F3F2FA2"/>
    <w:rsid w:val="2FA84FEB"/>
    <w:rsid w:val="2FBD207A"/>
    <w:rsid w:val="2FC46C7B"/>
    <w:rsid w:val="2FE8309F"/>
    <w:rsid w:val="2FF975F4"/>
    <w:rsid w:val="30226E93"/>
    <w:rsid w:val="302A1EA4"/>
    <w:rsid w:val="30847806"/>
    <w:rsid w:val="310D6104"/>
    <w:rsid w:val="31181CFC"/>
    <w:rsid w:val="316D029A"/>
    <w:rsid w:val="319770C5"/>
    <w:rsid w:val="323B149E"/>
    <w:rsid w:val="325A31AA"/>
    <w:rsid w:val="32650FD7"/>
    <w:rsid w:val="32916000"/>
    <w:rsid w:val="33163A81"/>
    <w:rsid w:val="332561EC"/>
    <w:rsid w:val="33646336"/>
    <w:rsid w:val="339C09C3"/>
    <w:rsid w:val="33AB50A9"/>
    <w:rsid w:val="33DC5BDE"/>
    <w:rsid w:val="3446557F"/>
    <w:rsid w:val="34567FB6"/>
    <w:rsid w:val="347161FA"/>
    <w:rsid w:val="34A30383"/>
    <w:rsid w:val="34C1517C"/>
    <w:rsid w:val="34F32864"/>
    <w:rsid w:val="351E0F07"/>
    <w:rsid w:val="3589141A"/>
    <w:rsid w:val="3599165E"/>
    <w:rsid w:val="35B27AD0"/>
    <w:rsid w:val="35D97CAC"/>
    <w:rsid w:val="35E46651"/>
    <w:rsid w:val="35FF348B"/>
    <w:rsid w:val="36063CE6"/>
    <w:rsid w:val="363B2715"/>
    <w:rsid w:val="3647031A"/>
    <w:rsid w:val="368528CA"/>
    <w:rsid w:val="36983C3C"/>
    <w:rsid w:val="36D668E1"/>
    <w:rsid w:val="377A341E"/>
    <w:rsid w:val="37984548"/>
    <w:rsid w:val="37E61FE4"/>
    <w:rsid w:val="380D6333"/>
    <w:rsid w:val="38363CC7"/>
    <w:rsid w:val="384004B6"/>
    <w:rsid w:val="38400B30"/>
    <w:rsid w:val="384F2264"/>
    <w:rsid w:val="386901D1"/>
    <w:rsid w:val="38DB2C38"/>
    <w:rsid w:val="39206C68"/>
    <w:rsid w:val="394A04AD"/>
    <w:rsid w:val="394B3C70"/>
    <w:rsid w:val="395104A1"/>
    <w:rsid w:val="396214F4"/>
    <w:rsid w:val="39E460AF"/>
    <w:rsid w:val="3A00614F"/>
    <w:rsid w:val="3A085004"/>
    <w:rsid w:val="3A117ED7"/>
    <w:rsid w:val="3A1A1FE4"/>
    <w:rsid w:val="3A4A585F"/>
    <w:rsid w:val="3A4D6F07"/>
    <w:rsid w:val="3A5A5133"/>
    <w:rsid w:val="3A643ACA"/>
    <w:rsid w:val="3A685AA2"/>
    <w:rsid w:val="3A773948"/>
    <w:rsid w:val="3A7E0A06"/>
    <w:rsid w:val="3A942F44"/>
    <w:rsid w:val="3A972710"/>
    <w:rsid w:val="3B3E6803"/>
    <w:rsid w:val="3B806E1C"/>
    <w:rsid w:val="3B945A17"/>
    <w:rsid w:val="3BB80364"/>
    <w:rsid w:val="3BC71277"/>
    <w:rsid w:val="3BC95E9A"/>
    <w:rsid w:val="3C2515D5"/>
    <w:rsid w:val="3C496F93"/>
    <w:rsid w:val="3CDE6407"/>
    <w:rsid w:val="3CEA49A0"/>
    <w:rsid w:val="3CFB0E50"/>
    <w:rsid w:val="3D136199"/>
    <w:rsid w:val="3D2F6747"/>
    <w:rsid w:val="3D410A49"/>
    <w:rsid w:val="3DF82424"/>
    <w:rsid w:val="3E026366"/>
    <w:rsid w:val="3E2E0DB1"/>
    <w:rsid w:val="3E607FF6"/>
    <w:rsid w:val="3E864749"/>
    <w:rsid w:val="3E9064A4"/>
    <w:rsid w:val="3E9A01F4"/>
    <w:rsid w:val="3EA34825"/>
    <w:rsid w:val="3F0044FB"/>
    <w:rsid w:val="3F22673D"/>
    <w:rsid w:val="3F32042D"/>
    <w:rsid w:val="3F3B3785"/>
    <w:rsid w:val="3F4343E8"/>
    <w:rsid w:val="3F543E53"/>
    <w:rsid w:val="3F7200D4"/>
    <w:rsid w:val="3F85397C"/>
    <w:rsid w:val="3F984734"/>
    <w:rsid w:val="3FAE422A"/>
    <w:rsid w:val="3FCF2120"/>
    <w:rsid w:val="3FDA7ED4"/>
    <w:rsid w:val="40224945"/>
    <w:rsid w:val="40742202"/>
    <w:rsid w:val="409C0254"/>
    <w:rsid w:val="40BE01CA"/>
    <w:rsid w:val="40D854C8"/>
    <w:rsid w:val="410B008F"/>
    <w:rsid w:val="416845DA"/>
    <w:rsid w:val="418331C2"/>
    <w:rsid w:val="419B49AF"/>
    <w:rsid w:val="42273EA0"/>
    <w:rsid w:val="423F17DF"/>
    <w:rsid w:val="42402E61"/>
    <w:rsid w:val="4276314B"/>
    <w:rsid w:val="42876CE2"/>
    <w:rsid w:val="42F70A75"/>
    <w:rsid w:val="432D5ADB"/>
    <w:rsid w:val="43BC79A0"/>
    <w:rsid w:val="44093E52"/>
    <w:rsid w:val="44123658"/>
    <w:rsid w:val="441B2477"/>
    <w:rsid w:val="44617F98"/>
    <w:rsid w:val="448E4357"/>
    <w:rsid w:val="44A572F1"/>
    <w:rsid w:val="44CC6850"/>
    <w:rsid w:val="44D90D2D"/>
    <w:rsid w:val="44E977E0"/>
    <w:rsid w:val="44EE4DF6"/>
    <w:rsid w:val="453A7E81"/>
    <w:rsid w:val="454A1600"/>
    <w:rsid w:val="45895E80"/>
    <w:rsid w:val="459F6E66"/>
    <w:rsid w:val="45EC1A9C"/>
    <w:rsid w:val="46136CAF"/>
    <w:rsid w:val="46152F37"/>
    <w:rsid w:val="465377FB"/>
    <w:rsid w:val="4656787E"/>
    <w:rsid w:val="46DF533E"/>
    <w:rsid w:val="4740699E"/>
    <w:rsid w:val="476538B5"/>
    <w:rsid w:val="480F1C53"/>
    <w:rsid w:val="480F46F9"/>
    <w:rsid w:val="489108BA"/>
    <w:rsid w:val="48F52BF7"/>
    <w:rsid w:val="48FF78DA"/>
    <w:rsid w:val="490364C8"/>
    <w:rsid w:val="490E3CB9"/>
    <w:rsid w:val="496747FE"/>
    <w:rsid w:val="4972249A"/>
    <w:rsid w:val="498613E3"/>
    <w:rsid w:val="498F50D9"/>
    <w:rsid w:val="49A07007"/>
    <w:rsid w:val="49D00F6E"/>
    <w:rsid w:val="49EA3D54"/>
    <w:rsid w:val="49EB7B56"/>
    <w:rsid w:val="49FF361D"/>
    <w:rsid w:val="4A031344"/>
    <w:rsid w:val="4A2B295E"/>
    <w:rsid w:val="4A3228A6"/>
    <w:rsid w:val="4A3B24EE"/>
    <w:rsid w:val="4A3B6699"/>
    <w:rsid w:val="4A7E7BF1"/>
    <w:rsid w:val="4A83508C"/>
    <w:rsid w:val="4A835FE1"/>
    <w:rsid w:val="4AF15640"/>
    <w:rsid w:val="4B1F3C01"/>
    <w:rsid w:val="4B553E21"/>
    <w:rsid w:val="4B5C6F5D"/>
    <w:rsid w:val="4B5F25AA"/>
    <w:rsid w:val="4BBE22D0"/>
    <w:rsid w:val="4BE84ADE"/>
    <w:rsid w:val="4BEA35E2"/>
    <w:rsid w:val="4C2D26A8"/>
    <w:rsid w:val="4C9B1D07"/>
    <w:rsid w:val="4C9E46AD"/>
    <w:rsid w:val="4CAD0F58"/>
    <w:rsid w:val="4CEC3221"/>
    <w:rsid w:val="4D245859"/>
    <w:rsid w:val="4D5221B8"/>
    <w:rsid w:val="4DE8774A"/>
    <w:rsid w:val="4DF354E4"/>
    <w:rsid w:val="4E121B55"/>
    <w:rsid w:val="4E6F2738"/>
    <w:rsid w:val="4E822DD2"/>
    <w:rsid w:val="4EEF633A"/>
    <w:rsid w:val="4EF574D2"/>
    <w:rsid w:val="4F02606E"/>
    <w:rsid w:val="4F22401A"/>
    <w:rsid w:val="4F3D0E54"/>
    <w:rsid w:val="4F561F16"/>
    <w:rsid w:val="4F806F93"/>
    <w:rsid w:val="4F9D7B44"/>
    <w:rsid w:val="4FA17635"/>
    <w:rsid w:val="4FC43323"/>
    <w:rsid w:val="4FD712A8"/>
    <w:rsid w:val="4FDE2637"/>
    <w:rsid w:val="50615016"/>
    <w:rsid w:val="50783615"/>
    <w:rsid w:val="50826F41"/>
    <w:rsid w:val="50A22688"/>
    <w:rsid w:val="50C03AEB"/>
    <w:rsid w:val="510A745C"/>
    <w:rsid w:val="51431169"/>
    <w:rsid w:val="51482C7D"/>
    <w:rsid w:val="515B7031"/>
    <w:rsid w:val="515E78B9"/>
    <w:rsid w:val="51965D71"/>
    <w:rsid w:val="51CE09F0"/>
    <w:rsid w:val="51F06651"/>
    <w:rsid w:val="524A3FB4"/>
    <w:rsid w:val="52772427"/>
    <w:rsid w:val="52804A52"/>
    <w:rsid w:val="52B256B5"/>
    <w:rsid w:val="531E4716"/>
    <w:rsid w:val="532F4F57"/>
    <w:rsid w:val="53310342"/>
    <w:rsid w:val="53A72D40"/>
    <w:rsid w:val="53B34B12"/>
    <w:rsid w:val="53B355D7"/>
    <w:rsid w:val="53C806C1"/>
    <w:rsid w:val="53F33750"/>
    <w:rsid w:val="541E31C1"/>
    <w:rsid w:val="543045BF"/>
    <w:rsid w:val="543C3DD0"/>
    <w:rsid w:val="546368B9"/>
    <w:rsid w:val="548D71B9"/>
    <w:rsid w:val="54BE5272"/>
    <w:rsid w:val="55580922"/>
    <w:rsid w:val="55795D23"/>
    <w:rsid w:val="55E60D40"/>
    <w:rsid w:val="561C4D71"/>
    <w:rsid w:val="567B189B"/>
    <w:rsid w:val="56BC4D54"/>
    <w:rsid w:val="56F820D5"/>
    <w:rsid w:val="575B456D"/>
    <w:rsid w:val="57633CE5"/>
    <w:rsid w:val="577A4DC8"/>
    <w:rsid w:val="578C2978"/>
    <w:rsid w:val="57960AF2"/>
    <w:rsid w:val="57C83332"/>
    <w:rsid w:val="580F2A32"/>
    <w:rsid w:val="58311772"/>
    <w:rsid w:val="584A0843"/>
    <w:rsid w:val="589E0EC5"/>
    <w:rsid w:val="58C46142"/>
    <w:rsid w:val="58D26AB1"/>
    <w:rsid w:val="58E107A1"/>
    <w:rsid w:val="58E16CF4"/>
    <w:rsid w:val="59145045"/>
    <w:rsid w:val="591D7F46"/>
    <w:rsid w:val="592A2449"/>
    <w:rsid w:val="59BC24DF"/>
    <w:rsid w:val="5A175C5B"/>
    <w:rsid w:val="5A364E1D"/>
    <w:rsid w:val="5A443ABB"/>
    <w:rsid w:val="5A957D96"/>
    <w:rsid w:val="5AA77AC9"/>
    <w:rsid w:val="5ABE498D"/>
    <w:rsid w:val="5AD76600"/>
    <w:rsid w:val="5B5A431C"/>
    <w:rsid w:val="5B8817AA"/>
    <w:rsid w:val="5BA30291"/>
    <w:rsid w:val="5BCA7F13"/>
    <w:rsid w:val="5C001B87"/>
    <w:rsid w:val="5C032CA7"/>
    <w:rsid w:val="5C1A4C32"/>
    <w:rsid w:val="5C443A51"/>
    <w:rsid w:val="5CAB7ACF"/>
    <w:rsid w:val="5CAC586B"/>
    <w:rsid w:val="5CB519F1"/>
    <w:rsid w:val="5CDD5E0B"/>
    <w:rsid w:val="5D2C38E4"/>
    <w:rsid w:val="5D2D2508"/>
    <w:rsid w:val="5D8B5B79"/>
    <w:rsid w:val="5DE30E18"/>
    <w:rsid w:val="5DF448C0"/>
    <w:rsid w:val="5DFB2D6D"/>
    <w:rsid w:val="5E4F72F6"/>
    <w:rsid w:val="5E5D286C"/>
    <w:rsid w:val="5E8262EE"/>
    <w:rsid w:val="5EE4753E"/>
    <w:rsid w:val="5EEB4428"/>
    <w:rsid w:val="5F57386C"/>
    <w:rsid w:val="5F5B4A5D"/>
    <w:rsid w:val="5F5E1D09"/>
    <w:rsid w:val="5F9745B0"/>
    <w:rsid w:val="5FB355F1"/>
    <w:rsid w:val="5FD255E8"/>
    <w:rsid w:val="602D0A71"/>
    <w:rsid w:val="603277EB"/>
    <w:rsid w:val="60777D0A"/>
    <w:rsid w:val="6098238E"/>
    <w:rsid w:val="60D47DFC"/>
    <w:rsid w:val="60D659FD"/>
    <w:rsid w:val="61110E6E"/>
    <w:rsid w:val="61835CB6"/>
    <w:rsid w:val="61845D8D"/>
    <w:rsid w:val="61F611D0"/>
    <w:rsid w:val="61FE0917"/>
    <w:rsid w:val="62287777"/>
    <w:rsid w:val="628F56D7"/>
    <w:rsid w:val="62A53835"/>
    <w:rsid w:val="62E4606E"/>
    <w:rsid w:val="62EC4C13"/>
    <w:rsid w:val="63332842"/>
    <w:rsid w:val="633E116D"/>
    <w:rsid w:val="63586D06"/>
    <w:rsid w:val="63A97172"/>
    <w:rsid w:val="64383AD1"/>
    <w:rsid w:val="64502F80"/>
    <w:rsid w:val="64590086"/>
    <w:rsid w:val="64740A1C"/>
    <w:rsid w:val="64E87550"/>
    <w:rsid w:val="6517084B"/>
    <w:rsid w:val="65735178"/>
    <w:rsid w:val="6577044D"/>
    <w:rsid w:val="658C7FE7"/>
    <w:rsid w:val="659155FE"/>
    <w:rsid w:val="65CD26B4"/>
    <w:rsid w:val="65DC4ACB"/>
    <w:rsid w:val="660648E1"/>
    <w:rsid w:val="66154481"/>
    <w:rsid w:val="661A0A16"/>
    <w:rsid w:val="66485229"/>
    <w:rsid w:val="666F1DE3"/>
    <w:rsid w:val="66760725"/>
    <w:rsid w:val="667F1ACF"/>
    <w:rsid w:val="66B9305E"/>
    <w:rsid w:val="66F83B86"/>
    <w:rsid w:val="66FD14C3"/>
    <w:rsid w:val="6700465F"/>
    <w:rsid w:val="67236BC5"/>
    <w:rsid w:val="676A6F7B"/>
    <w:rsid w:val="67753429"/>
    <w:rsid w:val="677D30E0"/>
    <w:rsid w:val="678609C8"/>
    <w:rsid w:val="67F945DA"/>
    <w:rsid w:val="68012F0F"/>
    <w:rsid w:val="684C793B"/>
    <w:rsid w:val="68555008"/>
    <w:rsid w:val="686200DD"/>
    <w:rsid w:val="688D02FE"/>
    <w:rsid w:val="688F22C8"/>
    <w:rsid w:val="68A80966"/>
    <w:rsid w:val="68EB20F0"/>
    <w:rsid w:val="68ED3493"/>
    <w:rsid w:val="68F95994"/>
    <w:rsid w:val="6917406C"/>
    <w:rsid w:val="692D388F"/>
    <w:rsid w:val="694420CC"/>
    <w:rsid w:val="69601EB7"/>
    <w:rsid w:val="69661355"/>
    <w:rsid w:val="696E1C4C"/>
    <w:rsid w:val="698D1F4D"/>
    <w:rsid w:val="69D306AC"/>
    <w:rsid w:val="69D84255"/>
    <w:rsid w:val="6A0A597F"/>
    <w:rsid w:val="6A31115D"/>
    <w:rsid w:val="6A4B64F3"/>
    <w:rsid w:val="6A56305A"/>
    <w:rsid w:val="6A7F7B72"/>
    <w:rsid w:val="6A8E035E"/>
    <w:rsid w:val="6AC0668D"/>
    <w:rsid w:val="6AD27C23"/>
    <w:rsid w:val="6ADF6E0B"/>
    <w:rsid w:val="6AFA27E1"/>
    <w:rsid w:val="6B067791"/>
    <w:rsid w:val="6B0D5850"/>
    <w:rsid w:val="6B7B77ED"/>
    <w:rsid w:val="6B923E7E"/>
    <w:rsid w:val="6BAB20AE"/>
    <w:rsid w:val="6BAF4A30"/>
    <w:rsid w:val="6C16685D"/>
    <w:rsid w:val="6D714693"/>
    <w:rsid w:val="6D9034EF"/>
    <w:rsid w:val="6DD01ED5"/>
    <w:rsid w:val="6DD05733"/>
    <w:rsid w:val="6DE2733E"/>
    <w:rsid w:val="6E1D776A"/>
    <w:rsid w:val="6E3336F6"/>
    <w:rsid w:val="6E3E23D3"/>
    <w:rsid w:val="6E58315D"/>
    <w:rsid w:val="6E8B1784"/>
    <w:rsid w:val="6E9137E0"/>
    <w:rsid w:val="6E916298"/>
    <w:rsid w:val="6EA84809"/>
    <w:rsid w:val="6EBD1D64"/>
    <w:rsid w:val="6EF041DC"/>
    <w:rsid w:val="6F1803BE"/>
    <w:rsid w:val="6F4831D1"/>
    <w:rsid w:val="6F66625A"/>
    <w:rsid w:val="6F8C49B5"/>
    <w:rsid w:val="6FAF3250"/>
    <w:rsid w:val="6FCE7B7A"/>
    <w:rsid w:val="6FD607DD"/>
    <w:rsid w:val="6FDC5F2A"/>
    <w:rsid w:val="6FF75479"/>
    <w:rsid w:val="70613731"/>
    <w:rsid w:val="70732E07"/>
    <w:rsid w:val="70812E3F"/>
    <w:rsid w:val="70981F36"/>
    <w:rsid w:val="70997AC2"/>
    <w:rsid w:val="713003C1"/>
    <w:rsid w:val="713A2FED"/>
    <w:rsid w:val="716A0FFB"/>
    <w:rsid w:val="71706A0F"/>
    <w:rsid w:val="719178EE"/>
    <w:rsid w:val="71AC0F36"/>
    <w:rsid w:val="71B132B0"/>
    <w:rsid w:val="71BC3A02"/>
    <w:rsid w:val="723839D1"/>
    <w:rsid w:val="72A1036E"/>
    <w:rsid w:val="72BA11D4"/>
    <w:rsid w:val="739F6935"/>
    <w:rsid w:val="74200FA1"/>
    <w:rsid w:val="745E5245"/>
    <w:rsid w:val="74DD43BC"/>
    <w:rsid w:val="74DE2D28"/>
    <w:rsid w:val="75043FC5"/>
    <w:rsid w:val="75317F36"/>
    <w:rsid w:val="753A7A60"/>
    <w:rsid w:val="758D193E"/>
    <w:rsid w:val="759242AE"/>
    <w:rsid w:val="759E6FA6"/>
    <w:rsid w:val="75D4756D"/>
    <w:rsid w:val="75FC4D15"/>
    <w:rsid w:val="761738FD"/>
    <w:rsid w:val="76431924"/>
    <w:rsid w:val="76447765"/>
    <w:rsid w:val="767E572A"/>
    <w:rsid w:val="76ED0D20"/>
    <w:rsid w:val="76F9201B"/>
    <w:rsid w:val="771B49C4"/>
    <w:rsid w:val="771E7D75"/>
    <w:rsid w:val="776668EA"/>
    <w:rsid w:val="77BA09E4"/>
    <w:rsid w:val="77E12415"/>
    <w:rsid w:val="77FA5285"/>
    <w:rsid w:val="781E0F73"/>
    <w:rsid w:val="782725D3"/>
    <w:rsid w:val="78A376CA"/>
    <w:rsid w:val="78B638A1"/>
    <w:rsid w:val="78C71DB0"/>
    <w:rsid w:val="791871BB"/>
    <w:rsid w:val="794A3E9B"/>
    <w:rsid w:val="79790EA1"/>
    <w:rsid w:val="798968C0"/>
    <w:rsid w:val="79B7167F"/>
    <w:rsid w:val="79D96301"/>
    <w:rsid w:val="79DC7338"/>
    <w:rsid w:val="7A1A0D3D"/>
    <w:rsid w:val="7A344A7E"/>
    <w:rsid w:val="7A8D32B9"/>
    <w:rsid w:val="7AA664FD"/>
    <w:rsid w:val="7AC51B7A"/>
    <w:rsid w:val="7B0A3A31"/>
    <w:rsid w:val="7B1524BC"/>
    <w:rsid w:val="7BD754B6"/>
    <w:rsid w:val="7BD858DD"/>
    <w:rsid w:val="7BE36163"/>
    <w:rsid w:val="7BE60B10"/>
    <w:rsid w:val="7C00428B"/>
    <w:rsid w:val="7C417E72"/>
    <w:rsid w:val="7C501E80"/>
    <w:rsid w:val="7C69085F"/>
    <w:rsid w:val="7CE60F01"/>
    <w:rsid w:val="7D3C7304"/>
    <w:rsid w:val="7D5B1FAF"/>
    <w:rsid w:val="7D807FDA"/>
    <w:rsid w:val="7DC4607A"/>
    <w:rsid w:val="7E3F60E7"/>
    <w:rsid w:val="7E415DD1"/>
    <w:rsid w:val="7E4253D3"/>
    <w:rsid w:val="7E6E734E"/>
    <w:rsid w:val="7E985949"/>
    <w:rsid w:val="7EC30AC6"/>
    <w:rsid w:val="7ECD54A1"/>
    <w:rsid w:val="7ED21BEA"/>
    <w:rsid w:val="7EFB1398"/>
    <w:rsid w:val="7F4A4D43"/>
    <w:rsid w:val="7F995383"/>
  </w:rsids>
  <m:mathPr>
    <m:mathFont m:val="Cambria Math"/>
    <m:brkBin m:val="before"/>
    <m:brkBinSub m:val="--"/>
    <m:smallFrac m:val="1"/>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99" w:semiHidden="0"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9"/>
    <w:qFormat/>
    <w:uiPriority w:val="9"/>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61"/>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60"/>
    <w:qFormat/>
    <w:uiPriority w:val="99"/>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rPr>
      <w:rFonts w:ascii="Times New Roman" w:hAnsi="Times New Roman" w:eastAsia="宋体" w:cs="Times New Roman"/>
      <w:szCs w:val="24"/>
    </w:rPr>
  </w:style>
  <w:style w:type="paragraph" w:styleId="7">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Normal Indent"/>
    <w:basedOn w:val="1"/>
    <w:link w:val="112"/>
    <w:qFormat/>
    <w:uiPriority w:val="99"/>
    <w:pPr>
      <w:ind w:firstLine="420" w:firstLineChars="200"/>
    </w:pPr>
    <w:rPr>
      <w:rFonts w:ascii="Times New Roman" w:hAnsi="Times New Roman" w:eastAsia="宋体" w:cs="Times New Roman"/>
      <w:kern w:val="0"/>
      <w:sz w:val="24"/>
      <w:szCs w:val="20"/>
    </w:rPr>
  </w:style>
  <w:style w:type="paragraph" w:styleId="9">
    <w:name w:val="Document Map"/>
    <w:basedOn w:val="1"/>
    <w:link w:val="130"/>
    <w:qFormat/>
    <w:uiPriority w:val="0"/>
    <w:rPr>
      <w:rFonts w:ascii="宋体" w:hAnsi="Calibri" w:eastAsia="宋体" w:cs="Times New Roman"/>
      <w:kern w:val="0"/>
      <w:sz w:val="18"/>
      <w:szCs w:val="20"/>
    </w:rPr>
  </w:style>
  <w:style w:type="paragraph" w:styleId="10">
    <w:name w:val="toa heading"/>
    <w:basedOn w:val="1"/>
    <w:next w:val="1"/>
    <w:qFormat/>
    <w:uiPriority w:val="0"/>
    <w:pPr>
      <w:spacing w:before="120"/>
    </w:pPr>
    <w:rPr>
      <w:rFonts w:ascii="Cambria" w:hAnsi="Cambria"/>
      <w:sz w:val="24"/>
      <w:szCs w:val="24"/>
    </w:rPr>
  </w:style>
  <w:style w:type="paragraph" w:styleId="11">
    <w:name w:val="annotation text"/>
    <w:basedOn w:val="1"/>
    <w:link w:val="158"/>
    <w:qFormat/>
    <w:uiPriority w:val="0"/>
    <w:pPr>
      <w:jc w:val="left"/>
    </w:pPr>
  </w:style>
  <w:style w:type="paragraph" w:styleId="12">
    <w:name w:val="Body Text"/>
    <w:basedOn w:val="1"/>
    <w:link w:val="133"/>
    <w:qFormat/>
    <w:uiPriority w:val="99"/>
    <w:pPr>
      <w:spacing w:after="120"/>
    </w:pPr>
    <w:rPr>
      <w:rFonts w:ascii="Calibri" w:hAnsi="Calibri" w:eastAsia="宋体" w:cs="Times New Roman"/>
      <w:kern w:val="0"/>
      <w:sz w:val="24"/>
      <w:szCs w:val="20"/>
    </w:rPr>
  </w:style>
  <w:style w:type="paragraph" w:styleId="13">
    <w:name w:val="Body Text Indent"/>
    <w:basedOn w:val="1"/>
    <w:link w:val="64"/>
    <w:qFormat/>
    <w:uiPriority w:val="0"/>
    <w:pPr>
      <w:widowControl/>
      <w:spacing w:after="120"/>
      <w:ind w:left="420"/>
    </w:pPr>
    <w:rPr>
      <w:rFonts w:ascii="??" w:hAnsi="??" w:eastAsia="宋体" w:cs="Arial"/>
      <w:kern w:val="0"/>
      <w:sz w:val="24"/>
      <w:szCs w:val="24"/>
    </w:rPr>
  </w:style>
  <w:style w:type="paragraph" w:styleId="14">
    <w:name w:val="toc 5"/>
    <w:basedOn w:val="1"/>
    <w:next w:val="1"/>
    <w:qFormat/>
    <w:uiPriority w:val="0"/>
    <w:pPr>
      <w:ind w:left="1680" w:leftChars="800"/>
    </w:pPr>
    <w:rPr>
      <w:rFonts w:ascii="Times New Roman" w:hAnsi="Times New Roman" w:eastAsia="宋体" w:cs="Times New Roman"/>
      <w:szCs w:val="24"/>
    </w:rPr>
  </w:style>
  <w:style w:type="paragraph" w:styleId="15">
    <w:name w:val="toc 3"/>
    <w:basedOn w:val="1"/>
    <w:next w:val="1"/>
    <w:qFormat/>
    <w:uiPriority w:val="39"/>
    <w:pPr>
      <w:ind w:left="840" w:leftChars="400"/>
    </w:pPr>
    <w:rPr>
      <w:rFonts w:ascii="Times New Roman" w:hAnsi="Times New Roman" w:eastAsia="宋体" w:cs="Times New Roman"/>
      <w:szCs w:val="24"/>
    </w:rPr>
  </w:style>
  <w:style w:type="paragraph" w:styleId="16">
    <w:name w:val="Plain Text"/>
    <w:basedOn w:val="1"/>
    <w:next w:val="17"/>
    <w:link w:val="193"/>
    <w:qFormat/>
    <w:uiPriority w:val="0"/>
    <w:rPr>
      <w:rFonts w:ascii="宋体" w:hAnsi="Courier New" w:eastAsia="宋体"/>
      <w:szCs w:val="21"/>
    </w:rPr>
  </w:style>
  <w:style w:type="paragraph" w:styleId="17">
    <w:name w:val="List Number 5"/>
    <w:basedOn w:val="1"/>
    <w:semiHidden/>
    <w:unhideWhenUsed/>
    <w:qFormat/>
    <w:uiPriority w:val="99"/>
    <w:pPr>
      <w:numPr>
        <w:ilvl w:val="0"/>
        <w:numId w:val="1"/>
      </w:numPr>
    </w:pPr>
  </w:style>
  <w:style w:type="paragraph" w:styleId="18">
    <w:name w:val="toc 8"/>
    <w:basedOn w:val="1"/>
    <w:next w:val="1"/>
    <w:qFormat/>
    <w:uiPriority w:val="0"/>
    <w:pPr>
      <w:ind w:left="2940" w:leftChars="1400"/>
    </w:pPr>
    <w:rPr>
      <w:rFonts w:ascii="Times New Roman" w:hAnsi="Times New Roman" w:eastAsia="宋体" w:cs="Times New Roman"/>
      <w:szCs w:val="24"/>
    </w:rPr>
  </w:style>
  <w:style w:type="paragraph" w:styleId="19">
    <w:name w:val="Date"/>
    <w:basedOn w:val="1"/>
    <w:next w:val="1"/>
    <w:link w:val="153"/>
    <w:qFormat/>
    <w:uiPriority w:val="0"/>
    <w:rPr>
      <w:szCs w:val="21"/>
    </w:rPr>
  </w:style>
  <w:style w:type="paragraph" w:styleId="20">
    <w:name w:val="Body Text Indent 2"/>
    <w:basedOn w:val="1"/>
    <w:link w:val="126"/>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1">
    <w:name w:val="Balloon Text"/>
    <w:basedOn w:val="1"/>
    <w:link w:val="76"/>
    <w:qFormat/>
    <w:uiPriority w:val="99"/>
    <w:rPr>
      <w:rFonts w:ascii="Calibri" w:hAnsi="Calibri" w:eastAsia="宋体" w:cs="Times New Roman"/>
      <w:sz w:val="18"/>
      <w:szCs w:val="18"/>
    </w:rPr>
  </w:style>
  <w:style w:type="paragraph" w:styleId="22">
    <w:name w:val="footer"/>
    <w:basedOn w:val="1"/>
    <w:link w:val="63"/>
    <w:qFormat/>
    <w:uiPriority w:val="99"/>
    <w:pPr>
      <w:tabs>
        <w:tab w:val="center" w:pos="4153"/>
        <w:tab w:val="right" w:pos="8306"/>
      </w:tabs>
      <w:snapToGrid w:val="0"/>
      <w:jc w:val="left"/>
    </w:pPr>
    <w:rPr>
      <w:rFonts w:ascii="Calibri" w:hAnsi="Calibri" w:eastAsia="宋体" w:cs="Times New Roman"/>
      <w:sz w:val="18"/>
      <w:szCs w:val="18"/>
    </w:rPr>
  </w:style>
  <w:style w:type="paragraph" w:styleId="23">
    <w:name w:val="header"/>
    <w:basedOn w:val="1"/>
    <w:link w:val="62"/>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4">
    <w:name w:val="toc 1"/>
    <w:basedOn w:val="1"/>
    <w:next w:val="1"/>
    <w:qFormat/>
    <w:uiPriority w:val="39"/>
    <w:rPr>
      <w:rFonts w:ascii="Times New Roman" w:hAnsi="Times New Roman" w:eastAsia="宋体" w:cs="Times New Roman"/>
      <w:szCs w:val="24"/>
    </w:rPr>
  </w:style>
  <w:style w:type="paragraph" w:styleId="25">
    <w:name w:val="toc 4"/>
    <w:basedOn w:val="1"/>
    <w:next w:val="1"/>
    <w:qFormat/>
    <w:uiPriority w:val="0"/>
    <w:pPr>
      <w:ind w:left="1260" w:leftChars="600"/>
    </w:pPr>
    <w:rPr>
      <w:rFonts w:ascii="Times New Roman" w:hAnsi="Times New Roman" w:eastAsia="宋体" w:cs="Times New Roman"/>
      <w:szCs w:val="24"/>
    </w:rPr>
  </w:style>
  <w:style w:type="paragraph" w:styleId="26">
    <w:name w:val="footnote text"/>
    <w:basedOn w:val="1"/>
    <w:link w:val="170"/>
    <w:semiHidden/>
    <w:qFormat/>
    <w:uiPriority w:val="0"/>
    <w:pPr>
      <w:snapToGrid w:val="0"/>
      <w:jc w:val="left"/>
    </w:pPr>
    <w:rPr>
      <w:rFonts w:ascii="Times New Roman" w:hAnsi="Times New Roman" w:eastAsia="宋体" w:cs="Times New Roman"/>
      <w:sz w:val="18"/>
      <w:szCs w:val="18"/>
    </w:rPr>
  </w:style>
  <w:style w:type="paragraph" w:styleId="27">
    <w:name w:val="toc 6"/>
    <w:basedOn w:val="1"/>
    <w:next w:val="1"/>
    <w:qFormat/>
    <w:uiPriority w:val="0"/>
    <w:pPr>
      <w:ind w:left="2100" w:leftChars="1000"/>
    </w:pPr>
    <w:rPr>
      <w:rFonts w:ascii="Times New Roman" w:hAnsi="Times New Roman" w:eastAsia="宋体" w:cs="Times New Roman"/>
      <w:szCs w:val="24"/>
    </w:rPr>
  </w:style>
  <w:style w:type="paragraph" w:styleId="28">
    <w:name w:val="Body Text Indent 3"/>
    <w:basedOn w:val="1"/>
    <w:link w:val="128"/>
    <w:qFormat/>
    <w:uiPriority w:val="99"/>
    <w:pPr>
      <w:spacing w:line="440" w:lineRule="exact"/>
      <w:ind w:firstLine="412" w:firstLineChars="200"/>
    </w:pPr>
    <w:rPr>
      <w:rFonts w:ascii="宋体" w:hAnsi="Calibri" w:eastAsia="宋体" w:cs="Times New Roman"/>
      <w:kern w:val="0"/>
      <w:sz w:val="20"/>
      <w:szCs w:val="20"/>
    </w:rPr>
  </w:style>
  <w:style w:type="paragraph" w:styleId="29">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30">
    <w:name w:val="toc 2"/>
    <w:basedOn w:val="1"/>
    <w:next w:val="1"/>
    <w:qFormat/>
    <w:uiPriority w:val="39"/>
    <w:pPr>
      <w:ind w:left="420" w:leftChars="200"/>
    </w:pPr>
    <w:rPr>
      <w:rFonts w:ascii="Times New Roman" w:hAnsi="Times New Roman" w:eastAsia="宋体" w:cs="Times New Roman"/>
      <w:szCs w:val="24"/>
    </w:rPr>
  </w:style>
  <w:style w:type="paragraph" w:styleId="31">
    <w:name w:val="toc 9"/>
    <w:basedOn w:val="1"/>
    <w:next w:val="1"/>
    <w:qFormat/>
    <w:uiPriority w:val="0"/>
    <w:pPr>
      <w:ind w:left="3360" w:leftChars="1600"/>
    </w:pPr>
    <w:rPr>
      <w:rFonts w:ascii="Times New Roman" w:hAnsi="Times New Roman" w:eastAsia="宋体" w:cs="Times New Roman"/>
      <w:szCs w:val="24"/>
    </w:rPr>
  </w:style>
  <w:style w:type="paragraph" w:styleId="32">
    <w:name w:val="List Continue 2"/>
    <w:basedOn w:val="1"/>
    <w:qFormat/>
    <w:uiPriority w:val="99"/>
    <w:pPr>
      <w:spacing w:after="120"/>
      <w:ind w:left="840" w:leftChars="400"/>
    </w:pPr>
    <w:rPr>
      <w:rFonts w:ascii="Times New Roman" w:hAnsi="Times New Roman" w:eastAsia="宋体" w:cs="Times New Roman"/>
      <w:szCs w:val="24"/>
    </w:rPr>
  </w:style>
  <w:style w:type="paragraph" w:styleId="33">
    <w:name w:val="Normal (Web)"/>
    <w:basedOn w:val="1"/>
    <w:next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34">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35">
    <w:name w:val="Title"/>
    <w:basedOn w:val="1"/>
    <w:link w:val="156"/>
    <w:qFormat/>
    <w:uiPriority w:val="0"/>
    <w:pPr>
      <w:spacing w:before="240" w:after="60"/>
      <w:jc w:val="center"/>
      <w:outlineLvl w:val="0"/>
    </w:pPr>
    <w:rPr>
      <w:rFonts w:ascii="Cambria" w:hAnsi="Cambria" w:cs="Times New Roman"/>
      <w:b/>
      <w:bCs/>
      <w:sz w:val="32"/>
      <w:szCs w:val="32"/>
    </w:rPr>
  </w:style>
  <w:style w:type="paragraph" w:styleId="36">
    <w:name w:val="annotation subject"/>
    <w:basedOn w:val="11"/>
    <w:next w:val="11"/>
    <w:link w:val="163"/>
    <w:qFormat/>
    <w:uiPriority w:val="0"/>
    <w:rPr>
      <w:b/>
      <w:bCs/>
    </w:rPr>
  </w:style>
  <w:style w:type="paragraph" w:styleId="37">
    <w:name w:val="Body Text First Indent"/>
    <w:basedOn w:val="12"/>
    <w:link w:val="203"/>
    <w:semiHidden/>
    <w:unhideWhenUsed/>
    <w:qFormat/>
    <w:uiPriority w:val="99"/>
    <w:pPr>
      <w:ind w:firstLine="420" w:firstLineChars="100"/>
    </w:pPr>
    <w:rPr>
      <w:rFonts w:asciiTheme="minorHAnsi" w:hAnsiTheme="minorHAnsi" w:eastAsiaTheme="minorEastAsia" w:cstheme="minorBidi"/>
      <w:kern w:val="2"/>
      <w:sz w:val="21"/>
      <w:szCs w:val="22"/>
    </w:rPr>
  </w:style>
  <w:style w:type="paragraph" w:styleId="38">
    <w:name w:val="Body Text First Indent 2"/>
    <w:basedOn w:val="13"/>
    <w:next w:val="1"/>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40">
    <w:name w:val="Table Grid"/>
    <w:basedOn w:val="39"/>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22"/>
    <w:rPr>
      <w:rFonts w:cs="Times New Roman"/>
      <w:b/>
    </w:rPr>
  </w:style>
  <w:style w:type="character" w:styleId="43">
    <w:name w:val="page number"/>
    <w:basedOn w:val="41"/>
    <w:qFormat/>
    <w:uiPriority w:val="0"/>
    <w:rPr>
      <w:rFonts w:cs="Times New Roman"/>
    </w:rPr>
  </w:style>
  <w:style w:type="character" w:styleId="44">
    <w:name w:val="FollowedHyperlink"/>
    <w:basedOn w:val="41"/>
    <w:qFormat/>
    <w:uiPriority w:val="99"/>
    <w:rPr>
      <w:rFonts w:cs="Times New Roman"/>
      <w:color w:val="555555"/>
      <w:u w:val="none"/>
    </w:rPr>
  </w:style>
  <w:style w:type="character" w:styleId="45">
    <w:name w:val="Emphasis"/>
    <w:basedOn w:val="41"/>
    <w:qFormat/>
    <w:uiPriority w:val="0"/>
    <w:rPr>
      <w:rFonts w:cs="Times New Roman"/>
      <w:i/>
    </w:rPr>
  </w:style>
  <w:style w:type="character" w:styleId="46">
    <w:name w:val="HTML Definition"/>
    <w:basedOn w:val="41"/>
    <w:qFormat/>
    <w:uiPriority w:val="99"/>
    <w:rPr>
      <w:rFonts w:cs="Times New Roman"/>
    </w:rPr>
  </w:style>
  <w:style w:type="character" w:styleId="47">
    <w:name w:val="HTML Acronym"/>
    <w:basedOn w:val="41"/>
    <w:qFormat/>
    <w:uiPriority w:val="99"/>
    <w:rPr>
      <w:rFonts w:cs="Times New Roman"/>
    </w:rPr>
  </w:style>
  <w:style w:type="character" w:styleId="48">
    <w:name w:val="HTML Variable"/>
    <w:basedOn w:val="41"/>
    <w:qFormat/>
    <w:uiPriority w:val="99"/>
    <w:rPr>
      <w:rFonts w:cs="Times New Roman"/>
    </w:rPr>
  </w:style>
  <w:style w:type="character" w:styleId="49">
    <w:name w:val="Hyperlink"/>
    <w:basedOn w:val="41"/>
    <w:qFormat/>
    <w:uiPriority w:val="99"/>
    <w:rPr>
      <w:rFonts w:cs="Times New Roman"/>
      <w:color w:val="555555"/>
      <w:u w:val="none"/>
    </w:rPr>
  </w:style>
  <w:style w:type="character" w:styleId="50">
    <w:name w:val="HTML Code"/>
    <w:basedOn w:val="41"/>
    <w:qFormat/>
    <w:uiPriority w:val="99"/>
    <w:rPr>
      <w:rFonts w:ascii="monospace" w:hAnsi="monospace" w:cs="Times New Roman"/>
      <w:sz w:val="24"/>
    </w:rPr>
  </w:style>
  <w:style w:type="character" w:styleId="51">
    <w:name w:val="annotation reference"/>
    <w:qFormat/>
    <w:uiPriority w:val="0"/>
    <w:rPr>
      <w:sz w:val="21"/>
      <w:szCs w:val="21"/>
    </w:rPr>
  </w:style>
  <w:style w:type="character" w:styleId="52">
    <w:name w:val="HTML Cite"/>
    <w:basedOn w:val="41"/>
    <w:qFormat/>
    <w:uiPriority w:val="99"/>
    <w:rPr>
      <w:rFonts w:cs="Times New Roman"/>
    </w:rPr>
  </w:style>
  <w:style w:type="character" w:styleId="53">
    <w:name w:val="footnote reference"/>
    <w:semiHidden/>
    <w:qFormat/>
    <w:uiPriority w:val="0"/>
    <w:rPr>
      <w:vertAlign w:val="superscript"/>
    </w:rPr>
  </w:style>
  <w:style w:type="character" w:styleId="54">
    <w:name w:val="HTML Keyboard"/>
    <w:basedOn w:val="41"/>
    <w:qFormat/>
    <w:uiPriority w:val="99"/>
    <w:rPr>
      <w:rFonts w:ascii="monospace" w:hAnsi="monospace" w:cs="Times New Roman"/>
      <w:sz w:val="24"/>
    </w:rPr>
  </w:style>
  <w:style w:type="character" w:styleId="55">
    <w:name w:val="HTML Sample"/>
    <w:basedOn w:val="41"/>
    <w:qFormat/>
    <w:uiPriority w:val="99"/>
    <w:rPr>
      <w:rFonts w:ascii="monospace" w:hAnsi="monospace" w:cs="Times New Roman"/>
      <w:sz w:val="24"/>
    </w:rPr>
  </w:style>
  <w:style w:type="paragraph" w:customStyle="1" w:styleId="56">
    <w:name w:val="Default"/>
    <w:qFormat/>
    <w:uiPriority w:val="0"/>
    <w:pPr>
      <w:widowControl w:val="0"/>
      <w:autoSpaceDE w:val="0"/>
      <w:autoSpaceDN w:val="0"/>
      <w:adjustRightInd w:val="0"/>
      <w:jc w:val="both"/>
    </w:pPr>
    <w:rPr>
      <w:rFonts w:ascii="黑体" w:hAnsi="黑体" w:eastAsia="宋体" w:cs="黑体"/>
      <w:color w:val="000000"/>
      <w:sz w:val="24"/>
      <w:szCs w:val="24"/>
      <w:lang w:val="en-US" w:eastAsia="zh-CN" w:bidi="ar-SA"/>
    </w:rPr>
  </w:style>
  <w:style w:type="paragraph" w:customStyle="1" w:styleId="57">
    <w:name w:val="Normal Indent1"/>
    <w:next w:val="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58">
    <w:name w:val="方案正文"/>
    <w:basedOn w:val="12"/>
    <w:qFormat/>
    <w:uiPriority w:val="0"/>
    <w:pPr>
      <w:spacing w:after="0"/>
      <w:ind w:firstLine="560" w:firstLineChars="200"/>
      <w:jc w:val="left"/>
    </w:pPr>
    <w:rPr>
      <w:rFonts w:ascii="Arial" w:hAnsi="Arial" w:eastAsia="仿宋" w:cs="宋体"/>
      <w:sz w:val="28"/>
      <w:szCs w:val="21"/>
    </w:rPr>
  </w:style>
  <w:style w:type="character" w:customStyle="1" w:styleId="59">
    <w:name w:val="标题 1 字符"/>
    <w:basedOn w:val="41"/>
    <w:link w:val="2"/>
    <w:qFormat/>
    <w:uiPriority w:val="9"/>
    <w:rPr>
      <w:rFonts w:ascii="???" w:hAnsi="???" w:eastAsia="宋体" w:cs="Arial"/>
      <w:b/>
      <w:bCs/>
      <w:color w:val="020000"/>
      <w:kern w:val="36"/>
      <w:sz w:val="44"/>
      <w:szCs w:val="44"/>
    </w:rPr>
  </w:style>
  <w:style w:type="character" w:customStyle="1" w:styleId="60">
    <w:name w:val="标题 3 字符"/>
    <w:basedOn w:val="41"/>
    <w:link w:val="4"/>
    <w:qFormat/>
    <w:uiPriority w:val="0"/>
    <w:rPr>
      <w:rFonts w:ascii="??" w:hAnsi="??" w:eastAsia="宋体" w:cs="Arial"/>
      <w:b/>
      <w:bCs/>
      <w:color w:val="000000"/>
      <w:kern w:val="0"/>
      <w:sz w:val="32"/>
      <w:szCs w:val="32"/>
    </w:rPr>
  </w:style>
  <w:style w:type="character" w:customStyle="1" w:styleId="61">
    <w:name w:val="标题 2 字符"/>
    <w:basedOn w:val="41"/>
    <w:link w:val="3"/>
    <w:qFormat/>
    <w:uiPriority w:val="99"/>
    <w:rPr>
      <w:rFonts w:ascii="???" w:hAnsi="???" w:eastAsia="宋体" w:cs="Arial"/>
      <w:b/>
      <w:bCs/>
      <w:color w:val="020000"/>
      <w:kern w:val="0"/>
      <w:sz w:val="32"/>
      <w:szCs w:val="32"/>
    </w:rPr>
  </w:style>
  <w:style w:type="character" w:customStyle="1" w:styleId="62">
    <w:name w:val="页眉 字符"/>
    <w:basedOn w:val="41"/>
    <w:link w:val="23"/>
    <w:qFormat/>
    <w:uiPriority w:val="99"/>
    <w:rPr>
      <w:rFonts w:ascii="Calibri" w:hAnsi="Calibri" w:eastAsia="宋体" w:cs="Times New Roman"/>
      <w:sz w:val="18"/>
      <w:szCs w:val="18"/>
    </w:rPr>
  </w:style>
  <w:style w:type="character" w:customStyle="1" w:styleId="63">
    <w:name w:val="页脚 字符"/>
    <w:basedOn w:val="41"/>
    <w:link w:val="22"/>
    <w:qFormat/>
    <w:uiPriority w:val="99"/>
    <w:rPr>
      <w:rFonts w:ascii="Calibri" w:hAnsi="Calibri" w:eastAsia="宋体" w:cs="Times New Roman"/>
      <w:sz w:val="18"/>
      <w:szCs w:val="18"/>
    </w:rPr>
  </w:style>
  <w:style w:type="character" w:customStyle="1" w:styleId="64">
    <w:name w:val="正文文本缩进 字符"/>
    <w:basedOn w:val="41"/>
    <w:link w:val="13"/>
    <w:qFormat/>
    <w:uiPriority w:val="0"/>
    <w:rPr>
      <w:rFonts w:ascii="??" w:hAnsi="??" w:eastAsia="宋体" w:cs="Arial"/>
      <w:kern w:val="0"/>
      <w:sz w:val="24"/>
      <w:szCs w:val="24"/>
    </w:rPr>
  </w:style>
  <w:style w:type="paragraph" w:customStyle="1" w:styleId="65">
    <w:name w:val="列出段落1"/>
    <w:basedOn w:val="1"/>
    <w:qFormat/>
    <w:uiPriority w:val="34"/>
    <w:pPr>
      <w:ind w:firstLine="420" w:firstLineChars="200"/>
    </w:pPr>
    <w:rPr>
      <w:rFonts w:ascii="Calibri" w:hAnsi="Calibri" w:eastAsia="宋体" w:cs="Times New Roman"/>
    </w:rPr>
  </w:style>
  <w:style w:type="character" w:customStyle="1" w:styleId="66">
    <w:name w:val="标题 2 Char Char"/>
    <w:qFormat/>
    <w:uiPriority w:val="99"/>
    <w:rPr>
      <w:rFonts w:ascii="Arial" w:hAnsi="Arial" w:eastAsia="黑体"/>
      <w:b/>
      <w:kern w:val="2"/>
      <w:sz w:val="32"/>
      <w:lang w:val="en-US" w:eastAsia="zh-CN"/>
    </w:rPr>
  </w:style>
  <w:style w:type="character" w:customStyle="1" w:styleId="67">
    <w:name w:val="2charchar"/>
    <w:basedOn w:val="41"/>
    <w:qFormat/>
    <w:uiPriority w:val="99"/>
    <w:rPr>
      <w:rFonts w:cs="Times New Roman"/>
    </w:rPr>
  </w:style>
  <w:style w:type="paragraph" w:customStyle="1" w:styleId="68">
    <w:name w:val="表格文字"/>
    <w:basedOn w:val="1"/>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69">
    <w:name w:val="z-窗体顶端1"/>
    <w:basedOn w:val="1"/>
    <w:next w:val="1"/>
    <w:link w:val="70"/>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70">
    <w:name w:val="z-窗体顶端 Char"/>
    <w:basedOn w:val="41"/>
    <w:link w:val="69"/>
    <w:semiHidden/>
    <w:qFormat/>
    <w:uiPriority w:val="99"/>
    <w:rPr>
      <w:rFonts w:ascii="Arial" w:hAnsi="Arial" w:eastAsia="宋体" w:cs="Arial"/>
      <w:vanish/>
      <w:kern w:val="0"/>
      <w:sz w:val="16"/>
      <w:szCs w:val="16"/>
    </w:rPr>
  </w:style>
  <w:style w:type="paragraph" w:customStyle="1" w:styleId="71">
    <w:name w:val="z-窗体底端1"/>
    <w:basedOn w:val="1"/>
    <w:next w:val="1"/>
    <w:link w:val="72"/>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2">
    <w:name w:val="z-窗体底端 Char"/>
    <w:basedOn w:val="41"/>
    <w:link w:val="71"/>
    <w:semiHidden/>
    <w:qFormat/>
    <w:uiPriority w:val="99"/>
    <w:rPr>
      <w:rFonts w:ascii="Arial" w:hAnsi="Arial" w:eastAsia="宋体" w:cs="Arial"/>
      <w:vanish/>
      <w:kern w:val="0"/>
      <w:sz w:val="16"/>
      <w:szCs w:val="16"/>
    </w:rPr>
  </w:style>
  <w:style w:type="paragraph" w:customStyle="1" w:styleId="73">
    <w:name w:val="hu正文"/>
    <w:basedOn w:val="1"/>
    <w:link w:val="74"/>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4">
    <w:name w:val="hu正文 Char"/>
    <w:link w:val="73"/>
    <w:qFormat/>
    <w:locked/>
    <w:uiPriority w:val="99"/>
    <w:rPr>
      <w:rFonts w:ascii="Times New Roman" w:hAnsi="Times New Roman" w:eastAsia="宋体" w:cs="Times New Roman"/>
      <w:kern w:val="0"/>
      <w:sz w:val="24"/>
      <w:szCs w:val="20"/>
    </w:rPr>
  </w:style>
  <w:style w:type="paragraph" w:customStyle="1" w:styleId="75">
    <w:name w:val="无间隔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76">
    <w:name w:val="批注框文本 字符"/>
    <w:basedOn w:val="41"/>
    <w:link w:val="21"/>
    <w:qFormat/>
    <w:uiPriority w:val="99"/>
    <w:rPr>
      <w:rFonts w:ascii="Calibri" w:hAnsi="Calibri" w:eastAsia="宋体" w:cs="Times New Roman"/>
      <w:sz w:val="18"/>
      <w:szCs w:val="18"/>
    </w:rPr>
  </w:style>
  <w:style w:type="character" w:customStyle="1" w:styleId="77">
    <w:name w:val="ui-bz-bg-hover1"/>
    <w:basedOn w:val="41"/>
    <w:qFormat/>
    <w:uiPriority w:val="99"/>
    <w:rPr>
      <w:rFonts w:cs="Times New Roman"/>
    </w:rPr>
  </w:style>
  <w:style w:type="character" w:customStyle="1" w:styleId="78">
    <w:name w:val="批注框文本 Char1"/>
    <w:qFormat/>
    <w:uiPriority w:val="99"/>
    <w:rPr>
      <w:rFonts w:ascii="Times New Roman" w:hAnsi="Times New Roman" w:eastAsia="宋体"/>
      <w:sz w:val="18"/>
    </w:rPr>
  </w:style>
  <w:style w:type="character" w:customStyle="1" w:styleId="79">
    <w:name w:val="bds_nopic"/>
    <w:basedOn w:val="41"/>
    <w:qFormat/>
    <w:uiPriority w:val="99"/>
    <w:rPr>
      <w:rFonts w:cs="Times New Roman"/>
    </w:rPr>
  </w:style>
  <w:style w:type="character" w:customStyle="1" w:styleId="80">
    <w:name w:val="tip12"/>
    <w:qFormat/>
    <w:uiPriority w:val="99"/>
    <w:rPr>
      <w:vanish/>
      <w:color w:val="FF0000"/>
      <w:sz w:val="18"/>
    </w:rPr>
  </w:style>
  <w:style w:type="character" w:customStyle="1" w:styleId="81">
    <w:name w:val="Body Text Indent 3 Char"/>
    <w:qFormat/>
    <w:locked/>
    <w:uiPriority w:val="99"/>
    <w:rPr>
      <w:rFonts w:ascii="宋体" w:eastAsia="宋体"/>
    </w:rPr>
  </w:style>
  <w:style w:type="character" w:customStyle="1" w:styleId="82">
    <w:name w:val="HTML Markup"/>
    <w:qFormat/>
    <w:uiPriority w:val="99"/>
    <w:rPr>
      <w:vanish/>
      <w:color w:val="FF0000"/>
    </w:rPr>
  </w:style>
  <w:style w:type="character" w:customStyle="1" w:styleId="83">
    <w:name w:val="tip7"/>
    <w:qFormat/>
    <w:uiPriority w:val="99"/>
    <w:rPr>
      <w:vanish/>
      <w:color w:val="FF0000"/>
      <w:sz w:val="18"/>
    </w:rPr>
  </w:style>
  <w:style w:type="character" w:customStyle="1" w:styleId="84">
    <w:name w:val="f-star"/>
    <w:qFormat/>
    <w:uiPriority w:val="99"/>
    <w:rPr>
      <w:color w:val="999999"/>
      <w:sz w:val="21"/>
    </w:rPr>
  </w:style>
  <w:style w:type="character" w:customStyle="1" w:styleId="85">
    <w:name w:val="Document Map Char1"/>
    <w:qFormat/>
    <w:uiPriority w:val="99"/>
    <w:rPr>
      <w:rFonts w:ascii="Times New Roman" w:hAnsi="Times New Roman"/>
      <w:kern w:val="2"/>
      <w:sz w:val="2"/>
    </w:rPr>
  </w:style>
  <w:style w:type="character" w:customStyle="1" w:styleId="86">
    <w:name w:val="my-class2"/>
    <w:basedOn w:val="41"/>
    <w:qFormat/>
    <w:uiPriority w:val="99"/>
    <w:rPr>
      <w:rFonts w:cs="Times New Roman"/>
    </w:rPr>
  </w:style>
  <w:style w:type="character" w:customStyle="1" w:styleId="87">
    <w:name w:val="no52"/>
    <w:basedOn w:val="41"/>
    <w:qFormat/>
    <w:uiPriority w:val="99"/>
    <w:rPr>
      <w:rFonts w:cs="Times New Roman"/>
    </w:rPr>
  </w:style>
  <w:style w:type="character" w:customStyle="1" w:styleId="88">
    <w:name w:val="no4"/>
    <w:basedOn w:val="41"/>
    <w:qFormat/>
    <w:uiPriority w:val="99"/>
    <w:rPr>
      <w:rFonts w:cs="Times New Roman"/>
    </w:rPr>
  </w:style>
  <w:style w:type="character" w:customStyle="1" w:styleId="89">
    <w:name w:val="my-notice"/>
    <w:basedOn w:val="41"/>
    <w:qFormat/>
    <w:uiPriority w:val="99"/>
    <w:rPr>
      <w:rFonts w:cs="Times New Roman"/>
    </w:rPr>
  </w:style>
  <w:style w:type="character" w:customStyle="1" w:styleId="90">
    <w:name w:val="ico-jiang"/>
    <w:basedOn w:val="41"/>
    <w:qFormat/>
    <w:uiPriority w:val="99"/>
    <w:rPr>
      <w:rFonts w:cs="Times New Roman"/>
    </w:rPr>
  </w:style>
  <w:style w:type="character" w:customStyle="1" w:styleId="91">
    <w:name w:val="ico-jiang2"/>
    <w:basedOn w:val="41"/>
    <w:qFormat/>
    <w:uiPriority w:val="99"/>
    <w:rPr>
      <w:rFonts w:cs="Times New Roman"/>
    </w:rPr>
  </w:style>
  <w:style w:type="character" w:customStyle="1" w:styleId="92">
    <w:name w:val="bds_more1"/>
    <w:qFormat/>
    <w:uiPriority w:val="99"/>
    <w:rPr>
      <w:rFonts w:ascii="宋体" w:hAnsi="宋体" w:eastAsia="宋体"/>
    </w:rPr>
  </w:style>
  <w:style w:type="character" w:customStyle="1" w:styleId="93">
    <w:name w:val="Body Text Indent 2 Char"/>
    <w:qFormat/>
    <w:locked/>
    <w:uiPriority w:val="99"/>
    <w:rPr>
      <w:rFonts w:ascii="宋体" w:eastAsia="宋体"/>
      <w:sz w:val="24"/>
    </w:rPr>
  </w:style>
  <w:style w:type="character" w:customStyle="1" w:styleId="94">
    <w:name w:val="org_name"/>
    <w:basedOn w:val="41"/>
    <w:qFormat/>
    <w:uiPriority w:val="99"/>
    <w:rPr>
      <w:rFonts w:cs="Times New Roman"/>
    </w:rPr>
  </w:style>
  <w:style w:type="character" w:customStyle="1" w:styleId="95">
    <w:name w:val="org_name2"/>
    <w:basedOn w:val="41"/>
    <w:qFormat/>
    <w:uiPriority w:val="99"/>
    <w:rPr>
      <w:rFonts w:cs="Times New Roman"/>
    </w:rPr>
  </w:style>
  <w:style w:type="character" w:customStyle="1" w:styleId="96">
    <w:name w:val="tip10"/>
    <w:qFormat/>
    <w:uiPriority w:val="99"/>
    <w:rPr>
      <w:vanish/>
      <w:color w:val="FF0000"/>
      <w:sz w:val="18"/>
    </w:rPr>
  </w:style>
  <w:style w:type="character" w:customStyle="1" w:styleId="97">
    <w:name w:val="orange"/>
    <w:qFormat/>
    <w:uiPriority w:val="99"/>
    <w:rPr>
      <w:color w:val="3FB58F"/>
    </w:rPr>
  </w:style>
  <w:style w:type="character" w:customStyle="1" w:styleId="98">
    <w:name w:val="bds_more"/>
    <w:basedOn w:val="41"/>
    <w:qFormat/>
    <w:uiPriority w:val="99"/>
    <w:rPr>
      <w:rFonts w:cs="Times New Roman"/>
    </w:rPr>
  </w:style>
  <w:style w:type="character" w:customStyle="1" w:styleId="99">
    <w:name w:val="t-tag"/>
    <w:qFormat/>
    <w:uiPriority w:val="99"/>
    <w:rPr>
      <w:color w:val="FFFFFF"/>
      <w:sz w:val="18"/>
      <w:shd w:val="clear" w:color="auto" w:fill="FE8833"/>
    </w:rPr>
  </w:style>
  <w:style w:type="character" w:customStyle="1" w:styleId="100">
    <w:name w:val="top-icon"/>
    <w:basedOn w:val="41"/>
    <w:qFormat/>
    <w:uiPriority w:val="99"/>
    <w:rPr>
      <w:rFonts w:cs="Times New Roman"/>
    </w:rPr>
  </w:style>
  <w:style w:type="character" w:customStyle="1" w:styleId="101">
    <w:name w:val="Body Text Char"/>
    <w:qFormat/>
    <w:locked/>
    <w:uiPriority w:val="99"/>
    <w:rPr>
      <w:sz w:val="24"/>
    </w:rPr>
  </w:style>
  <w:style w:type="character" w:customStyle="1" w:styleId="102">
    <w:name w:val="no72"/>
    <w:basedOn w:val="41"/>
    <w:qFormat/>
    <w:uiPriority w:val="99"/>
    <w:rPr>
      <w:rFonts w:cs="Times New Roman"/>
    </w:rPr>
  </w:style>
  <w:style w:type="character" w:customStyle="1" w:styleId="103">
    <w:name w:val="bds_nopic2"/>
    <w:basedOn w:val="41"/>
    <w:qFormat/>
    <w:uiPriority w:val="99"/>
    <w:rPr>
      <w:rFonts w:cs="Times New Roman"/>
    </w:rPr>
  </w:style>
  <w:style w:type="character" w:customStyle="1" w:styleId="104">
    <w:name w:val="Document Map Char"/>
    <w:qFormat/>
    <w:uiPriority w:val="99"/>
    <w:rPr>
      <w:rFonts w:ascii="宋体"/>
      <w:sz w:val="18"/>
    </w:rPr>
  </w:style>
  <w:style w:type="character" w:customStyle="1" w:styleId="105">
    <w:name w:val="no6"/>
    <w:basedOn w:val="41"/>
    <w:qFormat/>
    <w:uiPriority w:val="99"/>
    <w:rPr>
      <w:rFonts w:cs="Times New Roman"/>
    </w:rPr>
  </w:style>
  <w:style w:type="character" w:customStyle="1" w:styleId="106">
    <w:name w:val="tip"/>
    <w:qFormat/>
    <w:uiPriority w:val="99"/>
    <w:rPr>
      <w:vanish/>
      <w:color w:val="FF0000"/>
      <w:sz w:val="18"/>
    </w:rPr>
  </w:style>
  <w:style w:type="character" w:customStyle="1" w:styleId="107">
    <w:name w:val="apple-converted-space"/>
    <w:basedOn w:val="41"/>
    <w:qFormat/>
    <w:uiPriority w:val="99"/>
    <w:rPr>
      <w:rFonts w:cs="Times New Roman"/>
    </w:rPr>
  </w:style>
  <w:style w:type="character" w:customStyle="1" w:styleId="108">
    <w:name w:val="bds_more2"/>
    <w:basedOn w:val="41"/>
    <w:qFormat/>
    <w:uiPriority w:val="99"/>
    <w:rPr>
      <w:rFonts w:cs="Times New Roman"/>
    </w:rPr>
  </w:style>
  <w:style w:type="character" w:customStyle="1" w:styleId="109">
    <w:name w:val="my-class"/>
    <w:basedOn w:val="41"/>
    <w:qFormat/>
    <w:uiPriority w:val="99"/>
    <w:rPr>
      <w:rFonts w:cs="Times New Roman"/>
    </w:rPr>
  </w:style>
  <w:style w:type="character" w:customStyle="1" w:styleId="110">
    <w:name w:val="ui-bz-bg-hover"/>
    <w:qFormat/>
    <w:uiPriority w:val="99"/>
    <w:rPr>
      <w:shd w:val="clear" w:color="auto" w:fill="000000"/>
    </w:rPr>
  </w:style>
  <w:style w:type="character" w:customStyle="1" w:styleId="111">
    <w:name w:val="no7"/>
    <w:basedOn w:val="41"/>
    <w:qFormat/>
    <w:uiPriority w:val="99"/>
    <w:rPr>
      <w:rFonts w:cs="Times New Roman"/>
    </w:rPr>
  </w:style>
  <w:style w:type="character" w:customStyle="1" w:styleId="112">
    <w:name w:val="正文缩进 字符"/>
    <w:link w:val="8"/>
    <w:qFormat/>
    <w:locked/>
    <w:uiPriority w:val="99"/>
    <w:rPr>
      <w:rFonts w:ascii="Times New Roman" w:hAnsi="Times New Roman" w:eastAsia="宋体" w:cs="Times New Roman"/>
      <w:kern w:val="0"/>
      <w:sz w:val="24"/>
      <w:szCs w:val="20"/>
    </w:rPr>
  </w:style>
  <w:style w:type="character" w:customStyle="1" w:styleId="113">
    <w:name w:val="ico-jiang1"/>
    <w:basedOn w:val="41"/>
    <w:qFormat/>
    <w:uiPriority w:val="99"/>
    <w:rPr>
      <w:rFonts w:cs="Times New Roman"/>
    </w:rPr>
  </w:style>
  <w:style w:type="character" w:customStyle="1" w:styleId="114">
    <w:name w:val="no62"/>
    <w:basedOn w:val="41"/>
    <w:qFormat/>
    <w:uiPriority w:val="99"/>
    <w:rPr>
      <w:rFonts w:cs="Times New Roman"/>
    </w:rPr>
  </w:style>
  <w:style w:type="character" w:customStyle="1" w:styleId="115">
    <w:name w:val="orange5"/>
    <w:qFormat/>
    <w:uiPriority w:val="99"/>
    <w:rPr>
      <w:color w:val="3FB58F"/>
    </w:rPr>
  </w:style>
  <w:style w:type="character" w:customStyle="1" w:styleId="116">
    <w:name w:val="bds_more4"/>
    <w:basedOn w:val="41"/>
    <w:qFormat/>
    <w:uiPriority w:val="99"/>
    <w:rPr>
      <w:rFonts w:cs="Times New Roman"/>
    </w:rPr>
  </w:style>
  <w:style w:type="character" w:customStyle="1" w:styleId="117">
    <w:name w:val="no5"/>
    <w:basedOn w:val="41"/>
    <w:qFormat/>
    <w:uiPriority w:val="99"/>
    <w:rPr>
      <w:rFonts w:cs="Times New Roman"/>
    </w:rPr>
  </w:style>
  <w:style w:type="character" w:customStyle="1" w:styleId="118">
    <w:name w:val="bds_more3"/>
    <w:basedOn w:val="41"/>
    <w:qFormat/>
    <w:uiPriority w:val="99"/>
    <w:rPr>
      <w:rFonts w:cs="Times New Roman"/>
    </w:rPr>
  </w:style>
  <w:style w:type="character" w:customStyle="1" w:styleId="119">
    <w:name w:val="no42"/>
    <w:basedOn w:val="41"/>
    <w:qFormat/>
    <w:uiPriority w:val="99"/>
    <w:rPr>
      <w:rFonts w:cs="Times New Roman"/>
    </w:rPr>
  </w:style>
  <w:style w:type="character" w:customStyle="1" w:styleId="120">
    <w:name w:val="bds_nopic1"/>
    <w:basedOn w:val="41"/>
    <w:qFormat/>
    <w:uiPriority w:val="99"/>
    <w:rPr>
      <w:rFonts w:cs="Times New Roman"/>
    </w:rPr>
  </w:style>
  <w:style w:type="character" w:customStyle="1" w:styleId="121">
    <w:name w:val="my-notice1"/>
    <w:basedOn w:val="41"/>
    <w:qFormat/>
    <w:uiPriority w:val="99"/>
    <w:rPr>
      <w:rFonts w:cs="Times New Roman"/>
    </w:rPr>
  </w:style>
  <w:style w:type="character" w:customStyle="1" w:styleId="122">
    <w:name w:val="orange6"/>
    <w:qFormat/>
    <w:uiPriority w:val="99"/>
    <w:rPr>
      <w:color w:val="3FB58F"/>
    </w:rPr>
  </w:style>
  <w:style w:type="character" w:customStyle="1" w:styleId="123">
    <w:name w:val="Document Map Char2"/>
    <w:qFormat/>
    <w:locked/>
    <w:uiPriority w:val="99"/>
    <w:rPr>
      <w:rFonts w:ascii="宋体"/>
      <w:sz w:val="18"/>
    </w:rPr>
  </w:style>
  <w:style w:type="character" w:customStyle="1" w:styleId="124">
    <w:name w:val="ico-jiang3"/>
    <w:basedOn w:val="41"/>
    <w:qFormat/>
    <w:uiPriority w:val="99"/>
    <w:rPr>
      <w:rFonts w:cs="Times New Roman"/>
    </w:rPr>
  </w:style>
  <w:style w:type="character" w:customStyle="1" w:styleId="125">
    <w:name w:val="tip13"/>
    <w:qFormat/>
    <w:uiPriority w:val="99"/>
    <w:rPr>
      <w:vanish/>
      <w:color w:val="FF0000"/>
      <w:sz w:val="18"/>
    </w:rPr>
  </w:style>
  <w:style w:type="character" w:customStyle="1" w:styleId="126">
    <w:name w:val="正文文本缩进 2 字符"/>
    <w:basedOn w:val="41"/>
    <w:link w:val="20"/>
    <w:qFormat/>
    <w:uiPriority w:val="99"/>
    <w:rPr>
      <w:rFonts w:ascii="宋体" w:hAnsi="Calibri" w:eastAsia="宋体" w:cs="Times New Roman"/>
      <w:kern w:val="0"/>
      <w:sz w:val="24"/>
      <w:szCs w:val="20"/>
    </w:rPr>
  </w:style>
  <w:style w:type="character" w:customStyle="1" w:styleId="127">
    <w:name w:val="Body Text Indent 2 Char1"/>
    <w:basedOn w:val="41"/>
    <w:semiHidden/>
    <w:qFormat/>
    <w:locked/>
    <w:uiPriority w:val="99"/>
    <w:rPr>
      <w:rFonts w:cs="Times New Roman"/>
    </w:rPr>
  </w:style>
  <w:style w:type="character" w:customStyle="1" w:styleId="128">
    <w:name w:val="正文文本缩进 3 字符"/>
    <w:basedOn w:val="41"/>
    <w:link w:val="28"/>
    <w:qFormat/>
    <w:uiPriority w:val="99"/>
    <w:rPr>
      <w:rFonts w:ascii="宋体" w:hAnsi="Calibri" w:eastAsia="宋体" w:cs="Times New Roman"/>
      <w:kern w:val="0"/>
      <w:sz w:val="20"/>
      <w:szCs w:val="20"/>
    </w:rPr>
  </w:style>
  <w:style w:type="character" w:customStyle="1" w:styleId="129">
    <w:name w:val="Body Text Indent 3 Char1"/>
    <w:basedOn w:val="41"/>
    <w:semiHidden/>
    <w:qFormat/>
    <w:locked/>
    <w:uiPriority w:val="99"/>
    <w:rPr>
      <w:rFonts w:cs="Times New Roman"/>
      <w:sz w:val="16"/>
      <w:szCs w:val="16"/>
    </w:rPr>
  </w:style>
  <w:style w:type="character" w:customStyle="1" w:styleId="130">
    <w:name w:val="文档结构图 字符"/>
    <w:basedOn w:val="41"/>
    <w:link w:val="9"/>
    <w:qFormat/>
    <w:uiPriority w:val="99"/>
    <w:rPr>
      <w:rFonts w:ascii="宋体" w:hAnsi="Calibri" w:eastAsia="宋体" w:cs="Times New Roman"/>
      <w:kern w:val="0"/>
      <w:sz w:val="18"/>
      <w:szCs w:val="20"/>
    </w:rPr>
  </w:style>
  <w:style w:type="character" w:customStyle="1" w:styleId="131">
    <w:name w:val="Document Map Char3"/>
    <w:basedOn w:val="41"/>
    <w:semiHidden/>
    <w:qFormat/>
    <w:locked/>
    <w:uiPriority w:val="99"/>
    <w:rPr>
      <w:rFonts w:ascii="Times New Roman" w:hAnsi="Times New Roman" w:cs="Times New Roman"/>
      <w:sz w:val="2"/>
    </w:rPr>
  </w:style>
  <w:style w:type="paragraph" w:customStyle="1" w:styleId="132">
    <w:name w:val="_Style 1"/>
    <w:basedOn w:val="1"/>
    <w:qFormat/>
    <w:uiPriority w:val="99"/>
    <w:pPr>
      <w:ind w:firstLine="420" w:firstLineChars="200"/>
    </w:pPr>
    <w:rPr>
      <w:rFonts w:ascii="Times New Roman" w:hAnsi="Times New Roman" w:eastAsia="宋体" w:cs="Times New Roman"/>
      <w:szCs w:val="24"/>
    </w:rPr>
  </w:style>
  <w:style w:type="character" w:customStyle="1" w:styleId="133">
    <w:name w:val="正文文本 字符"/>
    <w:basedOn w:val="41"/>
    <w:link w:val="12"/>
    <w:qFormat/>
    <w:uiPriority w:val="99"/>
    <w:rPr>
      <w:rFonts w:ascii="Calibri" w:hAnsi="Calibri" w:eastAsia="宋体" w:cs="Times New Roman"/>
      <w:kern w:val="0"/>
      <w:sz w:val="24"/>
      <w:szCs w:val="20"/>
    </w:rPr>
  </w:style>
  <w:style w:type="character" w:customStyle="1" w:styleId="134">
    <w:name w:val="Body Text Char1"/>
    <w:basedOn w:val="41"/>
    <w:semiHidden/>
    <w:qFormat/>
    <w:locked/>
    <w:uiPriority w:val="99"/>
    <w:rPr>
      <w:rFonts w:cs="Times New Roman"/>
    </w:rPr>
  </w:style>
  <w:style w:type="paragraph" w:customStyle="1" w:styleId="135">
    <w:name w:val="_Style 21"/>
    <w:basedOn w:val="1"/>
    <w:qFormat/>
    <w:uiPriority w:val="99"/>
    <w:rPr>
      <w:rFonts w:ascii="Times New Roman" w:hAnsi="Times New Roman" w:eastAsia="宋体" w:cs="Times New Roman"/>
      <w:szCs w:val="20"/>
    </w:rPr>
  </w:style>
  <w:style w:type="paragraph" w:customStyle="1" w:styleId="136">
    <w:name w:val="p0"/>
    <w:basedOn w:val="1"/>
    <w:qFormat/>
    <w:uiPriority w:val="99"/>
    <w:pPr>
      <w:widowControl/>
    </w:pPr>
    <w:rPr>
      <w:rFonts w:ascii="Times New Roman" w:hAnsi="Times New Roman" w:eastAsia="宋体" w:cs="Times New Roman"/>
      <w:kern w:val="0"/>
      <w:szCs w:val="21"/>
    </w:rPr>
  </w:style>
  <w:style w:type="paragraph" w:customStyle="1" w:styleId="137">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38">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39">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40">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41">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2">
    <w:name w:val="_Style 2"/>
    <w:basedOn w:val="1"/>
    <w:qFormat/>
    <w:uiPriority w:val="99"/>
    <w:pPr>
      <w:ind w:firstLine="420" w:firstLineChars="200"/>
    </w:pPr>
    <w:rPr>
      <w:rFonts w:ascii="Calibri" w:hAnsi="Calibri" w:eastAsia="宋体" w:cs="Times New Roman"/>
    </w:rPr>
  </w:style>
  <w:style w:type="paragraph" w:customStyle="1" w:styleId="143">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4">
    <w:name w:val="_Style 11"/>
    <w:basedOn w:val="1"/>
    <w:qFormat/>
    <w:uiPriority w:val="99"/>
    <w:rPr>
      <w:rFonts w:ascii="Times New Roman" w:hAnsi="Times New Roman" w:eastAsia="宋体" w:cs="Times New Roman"/>
      <w:szCs w:val="24"/>
    </w:rPr>
  </w:style>
  <w:style w:type="paragraph" w:customStyle="1" w:styleId="145">
    <w:name w:val="Char"/>
    <w:basedOn w:val="1"/>
    <w:qFormat/>
    <w:uiPriority w:val="99"/>
    <w:rPr>
      <w:rFonts w:ascii="Times New Roman" w:hAnsi="Times New Roman" w:eastAsia="宋体" w:cs="Times New Roman"/>
      <w:szCs w:val="21"/>
    </w:rPr>
  </w:style>
  <w:style w:type="paragraph" w:customStyle="1" w:styleId="146">
    <w:name w:val="列出段落12"/>
    <w:basedOn w:val="1"/>
    <w:qFormat/>
    <w:uiPriority w:val="99"/>
    <w:pPr>
      <w:ind w:firstLine="420" w:firstLineChars="200"/>
    </w:pPr>
    <w:rPr>
      <w:rFonts w:ascii="Times New Roman" w:hAnsi="Times New Roman" w:eastAsia="宋体" w:cs="Times New Roman"/>
      <w:szCs w:val="24"/>
    </w:rPr>
  </w:style>
  <w:style w:type="paragraph" w:customStyle="1" w:styleId="147">
    <w:name w:val="列出段落2"/>
    <w:basedOn w:val="1"/>
    <w:qFormat/>
    <w:uiPriority w:val="99"/>
    <w:pPr>
      <w:ind w:firstLine="420" w:firstLineChars="200"/>
    </w:pPr>
    <w:rPr>
      <w:rFonts w:ascii="Times New Roman" w:hAnsi="Times New Roman" w:eastAsia="宋体" w:cs="Times New Roman"/>
      <w:szCs w:val="24"/>
    </w:rPr>
  </w:style>
  <w:style w:type="paragraph" w:customStyle="1" w:styleId="148">
    <w:name w:val="TOC 标题1"/>
    <w:basedOn w:val="2"/>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49">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50">
    <w:name w:val="font41"/>
    <w:qFormat/>
    <w:uiPriority w:val="99"/>
    <w:rPr>
      <w:rFonts w:hint="eastAsia" w:ascii="宋体" w:hAnsi="宋体" w:eastAsia="宋体" w:cs="宋体"/>
      <w:b/>
      <w:color w:val="000000"/>
      <w:sz w:val="22"/>
      <w:szCs w:val="22"/>
      <w:u w:val="none"/>
    </w:rPr>
  </w:style>
  <w:style w:type="character" w:customStyle="1" w:styleId="151">
    <w:name w:val="font81"/>
    <w:qFormat/>
    <w:uiPriority w:val="99"/>
    <w:rPr>
      <w:rFonts w:hint="eastAsia" w:ascii="宋体" w:hAnsi="宋体" w:eastAsia="宋体" w:cs="宋体"/>
      <w:b/>
      <w:color w:val="000000"/>
      <w:sz w:val="22"/>
      <w:szCs w:val="22"/>
      <w:u w:val="none"/>
    </w:rPr>
  </w:style>
  <w:style w:type="character" w:customStyle="1" w:styleId="152">
    <w:name w:val="font21"/>
    <w:basedOn w:val="41"/>
    <w:qFormat/>
    <w:uiPriority w:val="0"/>
    <w:rPr>
      <w:rFonts w:hint="eastAsia" w:ascii="宋体" w:hAnsi="宋体" w:eastAsia="宋体" w:cs="宋体"/>
      <w:color w:val="000000"/>
      <w:sz w:val="18"/>
      <w:szCs w:val="18"/>
      <w:u w:val="none"/>
    </w:rPr>
  </w:style>
  <w:style w:type="character" w:customStyle="1" w:styleId="153">
    <w:name w:val="日期 字符"/>
    <w:link w:val="19"/>
    <w:qFormat/>
    <w:uiPriority w:val="0"/>
    <w:rPr>
      <w:szCs w:val="21"/>
    </w:rPr>
  </w:style>
  <w:style w:type="character" w:customStyle="1" w:styleId="154">
    <w:name w:val="font01"/>
    <w:qFormat/>
    <w:uiPriority w:val="99"/>
    <w:rPr>
      <w:rFonts w:hint="eastAsia" w:ascii="宋体" w:hAnsi="宋体" w:eastAsia="宋体" w:cs="宋体"/>
      <w:color w:val="000000"/>
      <w:sz w:val="22"/>
      <w:szCs w:val="22"/>
      <w:u w:val="none"/>
    </w:rPr>
  </w:style>
  <w:style w:type="character" w:customStyle="1" w:styleId="155">
    <w:name w:val="Char Char1"/>
    <w:qFormat/>
    <w:uiPriority w:val="0"/>
    <w:rPr>
      <w:rFonts w:eastAsia="宋体"/>
      <w:kern w:val="2"/>
      <w:sz w:val="18"/>
      <w:szCs w:val="18"/>
      <w:lang w:val="en-US" w:eastAsia="zh-CN" w:bidi="ar-SA"/>
    </w:rPr>
  </w:style>
  <w:style w:type="character" w:customStyle="1" w:styleId="156">
    <w:name w:val="标题 字符"/>
    <w:link w:val="35"/>
    <w:qFormat/>
    <w:uiPriority w:val="0"/>
    <w:rPr>
      <w:rFonts w:ascii="Cambria" w:hAnsi="Cambria" w:cs="Times New Roman"/>
      <w:b/>
      <w:bCs/>
      <w:sz w:val="32"/>
      <w:szCs w:val="32"/>
    </w:rPr>
  </w:style>
  <w:style w:type="character" w:customStyle="1" w:styleId="157">
    <w:name w:val="hei141"/>
    <w:qFormat/>
    <w:uiPriority w:val="0"/>
    <w:rPr>
      <w:rFonts w:hint="eastAsia" w:ascii="宋体" w:hAnsi="宋体" w:eastAsia="宋体"/>
      <w:color w:val="000000"/>
      <w:sz w:val="19"/>
      <w:szCs w:val="19"/>
      <w:u w:val="none"/>
    </w:rPr>
  </w:style>
  <w:style w:type="character" w:customStyle="1" w:styleId="158">
    <w:name w:val="批注文字 字符"/>
    <w:link w:val="11"/>
    <w:qFormat/>
    <w:uiPriority w:val="0"/>
  </w:style>
  <w:style w:type="character" w:customStyle="1" w:styleId="159">
    <w:name w:val="apple-style-span"/>
    <w:basedOn w:val="41"/>
    <w:qFormat/>
    <w:uiPriority w:val="0"/>
  </w:style>
  <w:style w:type="character" w:customStyle="1" w:styleId="160">
    <w:name w:val="param-value"/>
    <w:qFormat/>
    <w:uiPriority w:val="99"/>
    <w:rPr>
      <w:rFonts w:cs="Times New Roman"/>
    </w:rPr>
  </w:style>
  <w:style w:type="character" w:customStyle="1" w:styleId="161">
    <w:name w:val="font61"/>
    <w:qFormat/>
    <w:uiPriority w:val="0"/>
    <w:rPr>
      <w:rFonts w:hint="eastAsia" w:ascii="宋体" w:hAnsi="宋体" w:eastAsia="宋体" w:cs="宋体"/>
      <w:color w:val="000000"/>
      <w:sz w:val="22"/>
      <w:szCs w:val="22"/>
      <w:u w:val="none"/>
    </w:rPr>
  </w:style>
  <w:style w:type="character" w:customStyle="1" w:styleId="162">
    <w:name w:val="font11"/>
    <w:qFormat/>
    <w:uiPriority w:val="0"/>
    <w:rPr>
      <w:rFonts w:hint="eastAsia" w:ascii="宋体" w:hAnsi="宋体" w:eastAsia="宋体" w:cs="宋体"/>
      <w:color w:val="FF0000"/>
      <w:sz w:val="22"/>
      <w:szCs w:val="22"/>
      <w:u w:val="none"/>
    </w:rPr>
  </w:style>
  <w:style w:type="character" w:customStyle="1" w:styleId="163">
    <w:name w:val="批注主题 字符"/>
    <w:link w:val="36"/>
    <w:qFormat/>
    <w:uiPriority w:val="0"/>
    <w:rPr>
      <w:b/>
      <w:bCs/>
    </w:rPr>
  </w:style>
  <w:style w:type="character" w:customStyle="1" w:styleId="164">
    <w:name w:val="批注文字 Char1"/>
    <w:basedOn w:val="41"/>
    <w:semiHidden/>
    <w:qFormat/>
    <w:uiPriority w:val="99"/>
  </w:style>
  <w:style w:type="paragraph" w:customStyle="1" w:styleId="165">
    <w:name w:val="内文"/>
    <w:basedOn w:val="1"/>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66">
    <w:name w:val="批注主题 Char1"/>
    <w:basedOn w:val="164"/>
    <w:semiHidden/>
    <w:qFormat/>
    <w:uiPriority w:val="99"/>
    <w:rPr>
      <w:b/>
      <w:bCs/>
    </w:rPr>
  </w:style>
  <w:style w:type="paragraph" w:customStyle="1" w:styleId="167">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8">
    <w:name w:val="日期 Char1"/>
    <w:basedOn w:val="41"/>
    <w:semiHidden/>
    <w:qFormat/>
    <w:uiPriority w:val="99"/>
  </w:style>
  <w:style w:type="paragraph" w:customStyle="1" w:styleId="169">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0">
    <w:name w:val="脚注文本 字符"/>
    <w:basedOn w:val="41"/>
    <w:link w:val="26"/>
    <w:semiHidden/>
    <w:qFormat/>
    <w:uiPriority w:val="0"/>
    <w:rPr>
      <w:rFonts w:ascii="Times New Roman" w:hAnsi="Times New Roman" w:eastAsia="宋体" w:cs="Times New Roman"/>
      <w:sz w:val="18"/>
      <w:szCs w:val="18"/>
    </w:rPr>
  </w:style>
  <w:style w:type="paragraph" w:customStyle="1" w:styleId="171">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2">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3">
    <w:name w:val="标题 Char1"/>
    <w:basedOn w:val="41"/>
    <w:qFormat/>
    <w:uiPriority w:val="10"/>
    <w:rPr>
      <w:rFonts w:eastAsia="宋体" w:asciiTheme="majorHAnsi" w:hAnsiTheme="majorHAnsi" w:cstheme="majorBidi"/>
      <w:b/>
      <w:bCs/>
      <w:sz w:val="32"/>
      <w:szCs w:val="32"/>
    </w:rPr>
  </w:style>
  <w:style w:type="paragraph" w:customStyle="1" w:styleId="174">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5">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6">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77">
    <w:name w:val="List Paragraph1"/>
    <w:basedOn w:val="1"/>
    <w:qFormat/>
    <w:uiPriority w:val="0"/>
    <w:pPr>
      <w:ind w:firstLine="420" w:firstLineChars="200"/>
    </w:pPr>
    <w:rPr>
      <w:rFonts w:ascii="Times New Roman" w:hAnsi="Times New Roman" w:eastAsia="宋体" w:cs="Times New Roman"/>
      <w:szCs w:val="24"/>
    </w:rPr>
  </w:style>
  <w:style w:type="paragraph" w:customStyle="1" w:styleId="178">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9">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0">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1">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2">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3">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4">
    <w:name w:val="列出段落3"/>
    <w:basedOn w:val="1"/>
    <w:qFormat/>
    <w:uiPriority w:val="0"/>
    <w:pPr>
      <w:ind w:firstLine="420" w:firstLineChars="200"/>
    </w:pPr>
    <w:rPr>
      <w:rFonts w:ascii="Times New Roman" w:hAnsi="Times New Roman" w:eastAsia="宋体" w:cs="Times New Roman"/>
      <w:szCs w:val="24"/>
    </w:rPr>
  </w:style>
  <w:style w:type="character" w:customStyle="1" w:styleId="185">
    <w:name w:val="Char Char12"/>
    <w:qFormat/>
    <w:uiPriority w:val="0"/>
    <w:rPr>
      <w:rFonts w:eastAsia="宋体"/>
      <w:kern w:val="2"/>
      <w:sz w:val="18"/>
      <w:szCs w:val="18"/>
      <w:lang w:val="en-US" w:eastAsia="zh-CN" w:bidi="ar-SA"/>
    </w:rPr>
  </w:style>
  <w:style w:type="paragraph" w:customStyle="1" w:styleId="186">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7">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8">
    <w:name w:val="列出段落4"/>
    <w:basedOn w:val="1"/>
    <w:qFormat/>
    <w:uiPriority w:val="0"/>
    <w:pPr>
      <w:ind w:firstLine="420" w:firstLineChars="200"/>
    </w:pPr>
    <w:rPr>
      <w:rFonts w:ascii="Times New Roman" w:hAnsi="Times New Roman" w:eastAsia="宋体" w:cs="Times New Roman"/>
      <w:szCs w:val="24"/>
    </w:rPr>
  </w:style>
  <w:style w:type="character" w:customStyle="1" w:styleId="189">
    <w:name w:val="Char Char11"/>
    <w:qFormat/>
    <w:uiPriority w:val="0"/>
    <w:rPr>
      <w:rFonts w:eastAsia="宋体"/>
      <w:kern w:val="2"/>
      <w:sz w:val="18"/>
      <w:szCs w:val="18"/>
      <w:lang w:val="en-US" w:eastAsia="zh-CN" w:bidi="ar-SA"/>
    </w:rPr>
  </w:style>
  <w:style w:type="paragraph" w:customStyle="1" w:styleId="190">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1">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2">
    <w:name w:val="列出段落5"/>
    <w:basedOn w:val="1"/>
    <w:qFormat/>
    <w:uiPriority w:val="0"/>
    <w:pPr>
      <w:ind w:firstLine="420" w:firstLineChars="200"/>
    </w:pPr>
    <w:rPr>
      <w:rFonts w:ascii="Times New Roman" w:hAnsi="Times New Roman" w:eastAsia="宋体" w:cs="Times New Roman"/>
      <w:szCs w:val="24"/>
    </w:rPr>
  </w:style>
  <w:style w:type="character" w:customStyle="1" w:styleId="193">
    <w:name w:val="纯文本 字符"/>
    <w:link w:val="16"/>
    <w:qFormat/>
    <w:uiPriority w:val="0"/>
    <w:rPr>
      <w:rFonts w:ascii="宋体" w:hAnsi="Courier New" w:eastAsia="宋体"/>
      <w:szCs w:val="21"/>
    </w:rPr>
  </w:style>
  <w:style w:type="character" w:customStyle="1" w:styleId="194">
    <w:name w:val="纯文本 Char1"/>
    <w:basedOn w:val="41"/>
    <w:semiHidden/>
    <w:qFormat/>
    <w:uiPriority w:val="99"/>
    <w:rPr>
      <w:rFonts w:ascii="宋体" w:hAnsi="Courier New" w:eastAsia="宋体" w:cs="Courier New"/>
      <w:szCs w:val="21"/>
    </w:rPr>
  </w:style>
  <w:style w:type="paragraph" w:customStyle="1" w:styleId="195">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196">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97">
    <w:name w:val="样式4"/>
    <w:basedOn w:val="1"/>
    <w:qFormat/>
    <w:uiPriority w:val="0"/>
    <w:pPr>
      <w:adjustRightInd w:val="0"/>
      <w:spacing w:line="480" w:lineRule="auto"/>
      <w:textAlignment w:val="baseline"/>
    </w:pPr>
    <w:rPr>
      <w:rFonts w:ascii="Times New Roman" w:hAnsi="Times New Roman" w:eastAsia="黑体" w:cs="Times New Roman"/>
      <w:spacing w:val="10"/>
      <w:kern w:val="28"/>
      <w:sz w:val="48"/>
      <w:szCs w:val="20"/>
    </w:rPr>
  </w:style>
  <w:style w:type="paragraph" w:customStyle="1" w:styleId="198">
    <w:name w:val="正文缩进2格"/>
    <w:basedOn w:val="1"/>
    <w:link w:val="199"/>
    <w:qFormat/>
    <w:uiPriority w:val="0"/>
    <w:pPr>
      <w:spacing w:line="600" w:lineRule="exact"/>
      <w:ind w:firstLine="639" w:firstLineChars="206"/>
    </w:pPr>
    <w:rPr>
      <w:rFonts w:ascii="仿宋_GB2312" w:hAnsi="宋体" w:eastAsia="仿宋_GB2312" w:cs="Times New Roman"/>
      <w:sz w:val="31"/>
      <w:szCs w:val="28"/>
    </w:rPr>
  </w:style>
  <w:style w:type="character" w:customStyle="1" w:styleId="199">
    <w:name w:val="正文缩进2格 Char"/>
    <w:link w:val="198"/>
    <w:qFormat/>
    <w:uiPriority w:val="0"/>
    <w:rPr>
      <w:rFonts w:ascii="仿宋_GB2312" w:hAnsi="宋体" w:eastAsia="仿宋_GB2312" w:cs="Times New Roman"/>
      <w:sz w:val="31"/>
      <w:szCs w:val="28"/>
    </w:rPr>
  </w:style>
  <w:style w:type="paragraph" w:customStyle="1" w:styleId="200">
    <w:name w:val="文件抬头"/>
    <w:qFormat/>
    <w:uiPriority w:val="0"/>
    <w:pPr>
      <w:widowControl w:val="0"/>
      <w:jc w:val="both"/>
    </w:pPr>
    <w:rPr>
      <w:rFonts w:ascii="Calibri" w:hAnsi="Calibri" w:eastAsia="仿宋_GB2312" w:cs="Times New Roman"/>
      <w:kern w:val="2"/>
      <w:sz w:val="32"/>
      <w:szCs w:val="21"/>
      <w:lang w:val="en-US" w:eastAsia="zh-CN" w:bidi="ar-SA"/>
    </w:rPr>
  </w:style>
  <w:style w:type="paragraph" w:styleId="201">
    <w:name w:val="List Paragraph"/>
    <w:basedOn w:val="1"/>
    <w:qFormat/>
    <w:uiPriority w:val="34"/>
    <w:pPr>
      <w:ind w:firstLine="420" w:firstLineChars="200"/>
    </w:pPr>
  </w:style>
  <w:style w:type="paragraph" w:customStyle="1" w:styleId="202">
    <w:name w:val="普通正文"/>
    <w:basedOn w:val="1"/>
    <w:qFormat/>
    <w:uiPriority w:val="0"/>
    <w:pPr>
      <w:adjustRightInd w:val="0"/>
      <w:spacing w:before="120" w:after="120" w:line="360" w:lineRule="auto"/>
      <w:ind w:left="50" w:leftChars="50" w:right="50" w:rightChars="50" w:firstLine="480" w:firstLineChars="200"/>
      <w:jc w:val="left"/>
      <w:textAlignment w:val="baseline"/>
    </w:pPr>
    <w:rPr>
      <w:rFonts w:ascii="Arial" w:hAnsi="Arial" w:eastAsia="宋体" w:cs="Times New Roman"/>
      <w:kern w:val="0"/>
      <w:sz w:val="24"/>
      <w:szCs w:val="24"/>
    </w:rPr>
  </w:style>
  <w:style w:type="character" w:customStyle="1" w:styleId="203">
    <w:name w:val="正文文本首行缩进 字符"/>
    <w:basedOn w:val="133"/>
    <w:link w:val="37"/>
    <w:semiHidden/>
    <w:qFormat/>
    <w:uiPriority w:val="99"/>
    <w:rPr>
      <w:rFonts w:asciiTheme="minorHAnsi" w:hAnsiTheme="minorHAnsi" w:eastAsiaTheme="minorEastAsia" w:cstheme="minorBidi"/>
      <w:kern w:val="2"/>
      <w:sz w:val="21"/>
      <w:szCs w:val="22"/>
    </w:rPr>
  </w:style>
  <w:style w:type="paragraph" w:customStyle="1" w:styleId="204">
    <w:name w:val="Table Paragraph"/>
    <w:basedOn w:val="1"/>
    <w:qFormat/>
    <w:uiPriority w:val="1"/>
    <w:pPr>
      <w:autoSpaceDE w:val="0"/>
      <w:autoSpaceDN w:val="0"/>
      <w:jc w:val="left"/>
    </w:pPr>
    <w:rPr>
      <w:rFonts w:ascii="宋体" w:hAnsi="宋体" w:eastAsia="宋体" w:cs="宋体"/>
      <w:kern w:val="0"/>
      <w:sz w:val="22"/>
    </w:rPr>
  </w:style>
  <w:style w:type="paragraph" w:customStyle="1" w:styleId="205">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6">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7">
    <w:name w:val="font31"/>
    <w:basedOn w:val="41"/>
    <w:qFormat/>
    <w:uiPriority w:val="0"/>
    <w:rPr>
      <w:rFonts w:ascii="Calibri" w:hAnsi="Calibri" w:cs="Calibri"/>
      <w:color w:val="000000"/>
      <w:sz w:val="18"/>
      <w:szCs w:val="18"/>
      <w:u w:val="none"/>
    </w:rPr>
  </w:style>
  <w:style w:type="paragraph" w:customStyle="1" w:styleId="20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209">
    <w:name w:val="Table Normal"/>
    <w:unhideWhenUsed/>
    <w:qFormat/>
    <w:uiPriority w:val="0"/>
    <w:tblPr>
      <w:tblCellMar>
        <w:top w:w="0" w:type="dxa"/>
        <w:left w:w="0" w:type="dxa"/>
        <w:bottom w:w="0" w:type="dxa"/>
        <w:right w:w="0" w:type="dxa"/>
      </w:tblCellMar>
    </w:tblPr>
  </w:style>
  <w:style w:type="paragraph" w:customStyle="1" w:styleId="210">
    <w:name w:val="字母编号列项"/>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1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2">
    <w:name w:val="字元 字元"/>
    <w:basedOn w:val="1"/>
    <w:qFormat/>
    <w:uiPriority w:val="0"/>
    <w:rPr>
      <w:rFonts w:ascii="Tahoma" w:hAnsi="Tahoma"/>
      <w:sz w:val="24"/>
      <w:szCs w:val="20"/>
    </w:rPr>
  </w:style>
  <w:style w:type="character" w:customStyle="1" w:styleId="213">
    <w:name w:val="font101"/>
    <w:basedOn w:val="41"/>
    <w:qFormat/>
    <w:uiPriority w:val="0"/>
    <w:rPr>
      <w:rFonts w:hint="default" w:ascii="Times New Roman" w:hAnsi="Times New Roman" w:cs="Times New Roman"/>
      <w:color w:val="000000"/>
      <w:sz w:val="24"/>
      <w:szCs w:val="24"/>
      <w:u w:val="none"/>
    </w:rPr>
  </w:style>
  <w:style w:type="paragraph" w:customStyle="1" w:styleId="214">
    <w:name w:val="Table Text"/>
    <w:basedOn w:val="1"/>
    <w:semiHidden/>
    <w:qFormat/>
    <w:uiPriority w:val="0"/>
    <w:rPr>
      <w:rFonts w:ascii="Arial" w:hAnsi="Arial" w:eastAsia="Arial" w:cs="Arial"/>
      <w:sz w:val="21"/>
      <w:szCs w:val="21"/>
      <w:lang w:val="en-US" w:eastAsia="en-US" w:bidi="ar-SA"/>
    </w:rPr>
  </w:style>
  <w:style w:type="paragraph" w:customStyle="1" w:styleId="215">
    <w:name w:val="白鹤滩正文"/>
    <w:basedOn w:val="148"/>
    <w:qFormat/>
    <w:uiPriority w:val="0"/>
    <w:pPr>
      <w:keepNext w:val="0"/>
      <w:keepLines w:val="0"/>
      <w:suppressAutoHyphens/>
      <w:spacing w:before="0" w:line="360" w:lineRule="auto"/>
      <w:ind w:firstLine="480" w:firstLineChars="200"/>
      <w:jc w:val="both"/>
    </w:pPr>
    <w:rPr>
      <w:rFonts w:ascii="Times New Roman" w:hAnsi="Times New Roman" w:eastAsia="宋体"/>
      <w:snapToGrid w:val="0"/>
      <w:color w:val="auto"/>
      <w:sz w:val="24"/>
      <w:szCs w:val="24"/>
    </w:rPr>
  </w:style>
  <w:style w:type="paragraph" w:customStyle="1" w:styleId="216">
    <w:name w:val="彩色列表 - 强调文字颜色 11"/>
    <w:basedOn w:val="1"/>
    <w:qFormat/>
    <w:uiPriority w:val="34"/>
    <w:pPr>
      <w:adjustRightInd w:val="0"/>
      <w:snapToGrid w:val="0"/>
      <w:spacing w:after="200"/>
      <w:ind w:firstLine="420" w:firstLineChars="200"/>
      <w:jc w:val="left"/>
      <w:textAlignment w:val="auto"/>
    </w:pPr>
    <w:rPr>
      <w:rFonts w:ascii="Tahoma" w:hAnsi="Tahoma" w:eastAsia="微软雅黑" w:cs="Times New Roman"/>
      <w:kern w:val="0"/>
      <w:sz w:val="22"/>
      <w:szCs w:val="22"/>
    </w:rPr>
  </w:style>
  <w:style w:type="paragraph" w:customStyle="1" w:styleId="217">
    <w:name w:val="标准正文"/>
    <w:basedOn w:val="1"/>
    <w:qFormat/>
    <w:uiPriority w:val="0"/>
    <w:pPr>
      <w:ind w:firstLine="48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0C109-E789-406A-BDBA-9506EB43D9C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77</Pages>
  <Words>11174</Words>
  <Characters>12189</Characters>
  <Lines>257</Lines>
  <Paragraphs>72</Paragraphs>
  <TotalTime>0</TotalTime>
  <ScaleCrop>false</ScaleCrop>
  <LinksUpToDate>false</LinksUpToDate>
  <CharactersWithSpaces>12284</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2024-07-05T12:50:00Z</dcterms:created>
  <dc:creator>Administrator</dc:creator>
  <cp:lastModifiedBy>.</cp:lastModifiedBy>
  <cp:lastPrinted>2026-04-10T11:55:00Z</cp:lastPrinted>
  <dcterms:modified xsi:type="dcterms:W3CDTF">2026-07-10T08:07:30Z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66787BA716E04E638EB601E79C36C7A5_13</vt:lpwstr>
  </property>
  <property fmtid="{D5CDD505-2E9C-101B-9397-08002B2CF9AE}" pid="4" name="KSOTemplateDocerSaveRecord">
    <vt:lpwstr>eyJoZGlkIjoiYzE5M2NlMWI0ZmI4MTMyOTFjNDg1ODY2YTdiMDE0NzAiLCJ1c2VySWQiOiIyMDc2NjcyMDcifQ==</vt:lpwstr>
  </property>
</Properties>
</file>